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5"/>
        <w:jc w:val="center"/>
        <w:spacing w:before="120" w:beforeAutospacing="0" w:after="120" w:afterAutospacing="0" w:line="360" w:lineRule="auto"/>
        <w:rPr>
          <w:rFonts w:hint="eastAsia" w:ascii="Arial" w:hAnsi="Arial" w:eastAsia="宋体" w:cs="Arial"/>
          <w:b/>
          <w:color w:val="auto"/>
          <w:sz w:val="52"/>
          <w:szCs w:val="52"/>
          <w:highlight w:val="none"/>
          <w:lang w:eastAsia="zh-CN"/>
        </w:rPr>
      </w:pPr>
      <w:r>
        <w:rPr>
          <w:rFonts w:hint="eastAsia" w:ascii="Arial" w:hAnsi="Arial" w:eastAsia="宋体" w:cs="Arial"/>
          <w:b/>
          <w:color w:val="auto"/>
          <w:sz w:val="52"/>
          <w:szCs w:val="52"/>
          <w:highlight w:val="none"/>
          <w:lang w:eastAsia="zh-CN"/>
        </w:rPr>
      </w:r>
      <w:r/>
    </w:p>
    <w:p>
      <w:pPr>
        <w:pStyle w:val="715"/>
        <w:jc w:val="center"/>
        <w:spacing w:before="120" w:beforeAutospacing="0" w:after="120" w:afterAutospacing="0" w:line="360" w:lineRule="auto"/>
        <w:rPr>
          <w:rFonts w:hint="eastAsia" w:ascii="Arial" w:hAnsi="Arial" w:eastAsia="宋体" w:cs="Arial"/>
          <w:b/>
          <w:color w:val="auto"/>
          <w:sz w:val="32"/>
          <w:szCs w:val="32"/>
          <w:highlight w:val="none"/>
          <w:lang w:eastAsia="zh-CN"/>
        </w:rPr>
      </w:pPr>
      <w:r>
        <w:rPr>
          <w:rFonts w:hint="eastAsia" w:ascii="Arial" w:hAnsi="Arial" w:eastAsia="宋体" w:cs="Arial"/>
          <w:b/>
          <w:color w:val="auto"/>
          <w:sz w:val="52"/>
          <w:szCs w:val="52"/>
          <w:highlight w:val="none"/>
          <w:lang w:eastAsia="zh-CN"/>
        </w:rPr>
        <w:t xml:space="preserve">东台市城管局10T吸粪车采购项目</w:t>
      </w:r>
      <w:r/>
    </w:p>
    <w:p>
      <w:pPr>
        <w:pStyle w:val="715"/>
        <w:ind w:firstLine="2249"/>
        <w:jc w:val="both"/>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15"/>
        <w:jc w:val="center"/>
        <w:spacing w:before="120" w:beforeAutospacing="0" w:after="120" w:afterAutospacing="0" w:line="360" w:lineRule="auto"/>
        <w:rPr>
          <w:rFonts w:hint="eastAsia" w:ascii="Arial" w:hAnsi="Arial" w:cs="Arial"/>
          <w:b/>
          <w:color w:val="auto"/>
          <w:sz w:val="84"/>
          <w:szCs w:val="84"/>
          <w:highlight w:val="none"/>
        </w:rPr>
      </w:pPr>
      <w:r>
        <w:rPr>
          <w:rFonts w:hint="eastAsia" w:ascii="Arial" w:hAnsi="Arial" w:cs="Arial"/>
          <w:b/>
          <w:color w:val="auto"/>
          <w:sz w:val="84"/>
          <w:szCs w:val="84"/>
          <w:highlight w:val="none"/>
        </w:rPr>
      </w:r>
      <w:r/>
    </w:p>
    <w:p>
      <w:pPr>
        <w:pStyle w:val="715"/>
        <w:jc w:val="center"/>
        <w:spacing w:before="120" w:beforeAutospacing="0" w:after="120" w:afterAutospacing="0" w:line="360" w:lineRule="auto"/>
        <w:rPr>
          <w:rFonts w:ascii="Arial" w:hAnsi="Arial" w:cs="Arial"/>
          <w:b/>
          <w:color w:val="auto"/>
          <w:sz w:val="32"/>
          <w:szCs w:val="32"/>
          <w:highlight w:val="none"/>
        </w:rPr>
      </w:pPr>
      <w:r>
        <w:rPr>
          <w:rFonts w:hint="eastAsia" w:ascii="Arial" w:hAnsi="Arial" w:cs="Arial"/>
          <w:b/>
          <w:color w:val="auto"/>
          <w:sz w:val="84"/>
          <w:szCs w:val="84"/>
          <w:highlight w:val="none"/>
        </w:rPr>
        <w:t xml:space="preserve">招标文件</w:t>
      </w:r>
      <w:r/>
    </w:p>
    <w:p>
      <w:pPr>
        <w:pStyle w:val="715"/>
        <w:ind w:firstLine="2249"/>
        <w:jc w:val="both"/>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15"/>
        <w:jc w:val="center"/>
        <w:spacing w:before="120" w:beforeAutospacing="0" w:after="120" w:afterAutospacing="0" w:line="360" w:lineRule="auto"/>
        <w:rPr>
          <w:rFonts w:hint="eastAsia" w:ascii="Arial" w:hAnsi="Arial" w:cs="Arial" w:eastAsiaTheme="minorEastAsia"/>
          <w:b/>
          <w:color w:val="auto"/>
          <w:sz w:val="36"/>
          <w:szCs w:val="36"/>
          <w:highlight w:val="none"/>
          <w:lang w:eastAsia="zh-CN"/>
        </w:rPr>
      </w:pPr>
      <w:r>
        <w:rPr>
          <w:rFonts w:hint="eastAsia" w:ascii="Arial" w:hAnsi="Arial" w:cs="Arial"/>
          <w:b/>
          <w:color w:val="auto"/>
          <w:sz w:val="36"/>
          <w:szCs w:val="36"/>
          <w:highlight w:val="none"/>
        </w:rPr>
        <w:t xml:space="preserve">编号：</w:t>
      </w:r>
      <w:r>
        <w:rPr>
          <w:rFonts w:hint="eastAsia" w:ascii="Arial" w:hAnsi="Arial" w:cs="Arial"/>
          <w:b/>
          <w:color w:val="auto"/>
          <w:sz w:val="36"/>
          <w:szCs w:val="36"/>
          <w:highlight w:val="none"/>
          <w:lang w:eastAsia="zh-CN"/>
        </w:rPr>
        <w:t xml:space="preserve">JSZC-320981-XHZB-G2024-0055</w:t>
      </w:r>
      <w:r/>
    </w:p>
    <w:p>
      <w:pPr>
        <w:pStyle w:val="715"/>
        <w:ind w:firstLine="2249"/>
        <w:jc w:val="both"/>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t xml:space="preserve"> </w:t>
      </w:r>
      <w:r/>
    </w:p>
    <w:p>
      <w:pPr>
        <w:pStyle w:val="715"/>
        <w:spacing w:beforeAutospacing="0" w:afterAutospacing="0" w:line="360" w:lineRule="auto"/>
        <w:rPr>
          <w:color w:val="auto"/>
          <w:highlight w:val="none"/>
        </w:rPr>
      </w:pPr>
      <w:r>
        <w:rPr>
          <w:color w:val="auto"/>
          <w:highlight w:val="none"/>
        </w:rPr>
        <w:t xml:space="preserve"> </w:t>
      </w:r>
      <w:r/>
    </w:p>
    <w:p>
      <w:pPr>
        <w:pStyle w:val="715"/>
        <w:spacing w:beforeAutospacing="0" w:afterAutospacing="0" w:line="360" w:lineRule="auto"/>
        <w:rPr>
          <w:color w:val="auto"/>
          <w:highlight w:val="none"/>
        </w:rPr>
      </w:pPr>
      <w:r>
        <w:rPr>
          <w:color w:val="auto"/>
          <w:highlight w:val="none"/>
        </w:rPr>
        <w:t xml:space="preserve"> </w:t>
      </w:r>
      <w:r/>
    </w:p>
    <w:p>
      <w:pPr>
        <w:pStyle w:val="715"/>
        <w:spacing w:beforeAutospacing="0" w:afterAutospacing="0" w:line="360" w:lineRule="auto"/>
        <w:rPr>
          <w:color w:val="auto"/>
          <w:highlight w:val="none"/>
        </w:rPr>
      </w:pPr>
      <w:r>
        <w:rPr>
          <w:color w:val="auto"/>
          <w:highlight w:val="none"/>
        </w:rPr>
        <w:t xml:space="preserve"> </w:t>
      </w:r>
      <w:r/>
    </w:p>
    <w:p>
      <w:pPr>
        <w:pStyle w:val="715"/>
        <w:spacing w:beforeAutospacing="0" w:afterAutospacing="0" w:line="360" w:lineRule="auto"/>
        <w:rPr>
          <w:color w:val="auto"/>
          <w:highlight w:val="none"/>
        </w:rPr>
      </w:pPr>
      <w:r>
        <w:rPr>
          <w:color w:val="auto"/>
          <w:highlight w:val="none"/>
        </w:rPr>
      </w:r>
      <w:r/>
    </w:p>
    <w:p>
      <w:pPr>
        <w:pStyle w:val="715"/>
        <w:spacing w:beforeAutospacing="0" w:afterAutospacing="0" w:line="360" w:lineRule="auto"/>
        <w:rPr>
          <w:color w:val="auto"/>
          <w:highlight w:val="none"/>
        </w:rPr>
      </w:pPr>
      <w:r>
        <w:rPr>
          <w:color w:val="auto"/>
          <w:highlight w:val="none"/>
        </w:rPr>
      </w:r>
      <w:r/>
    </w:p>
    <w:p>
      <w:pPr>
        <w:pStyle w:val="715"/>
        <w:spacing w:beforeAutospacing="0" w:afterAutospacing="0" w:line="360" w:lineRule="auto"/>
        <w:rPr>
          <w:color w:val="auto"/>
          <w:highlight w:val="none"/>
        </w:rPr>
      </w:pPr>
      <w:r>
        <w:rPr>
          <w:color w:val="auto"/>
          <w:highlight w:val="none"/>
        </w:rPr>
        <w:t xml:space="preserve"> </w:t>
      </w:r>
      <w:r/>
    </w:p>
    <w:p>
      <w:pPr>
        <w:pStyle w:val="715"/>
        <w:spacing w:beforeAutospacing="0" w:afterAutospacing="0" w:line="360" w:lineRule="auto"/>
        <w:rPr>
          <w:color w:val="auto"/>
          <w:highlight w:val="none"/>
        </w:rPr>
      </w:pPr>
      <w:r>
        <w:rPr>
          <w:color w:val="auto"/>
          <w:highlight w:val="none"/>
        </w:rPr>
        <w:t xml:space="preserve"> </w:t>
      </w:r>
      <w:r/>
    </w:p>
    <w:p>
      <w:pPr>
        <w:pStyle w:val="715"/>
        <w:jc w:val="center"/>
        <w:spacing w:before="120" w:beforeAutospacing="0" w:after="120" w:afterAutospacing="0" w:line="360" w:lineRule="auto"/>
        <w:rPr>
          <w:rFonts w:hint="eastAsia" w:ascii="Arial" w:hAnsi="Arial" w:cs="Arial" w:eastAsiaTheme="minorEastAsia"/>
          <w:b/>
          <w:color w:val="auto"/>
          <w:sz w:val="36"/>
          <w:szCs w:val="36"/>
          <w:highlight w:val="none"/>
          <w:lang w:eastAsia="zh-CN"/>
        </w:rPr>
      </w:pPr>
      <w:r>
        <w:rPr>
          <w:rFonts w:hint="eastAsia" w:ascii="Arial" w:hAnsi="Arial" w:cs="Arial"/>
          <w:b/>
          <w:color w:val="auto"/>
          <w:sz w:val="36"/>
          <w:szCs w:val="36"/>
          <w:highlight w:val="none"/>
        </w:rPr>
        <w:t xml:space="preserve">东台市</w:t>
      </w:r>
      <w:r>
        <w:rPr>
          <w:rFonts w:hint="eastAsia" w:ascii="Arial" w:hAnsi="Arial" w:cs="Arial"/>
          <w:b/>
          <w:color w:val="auto"/>
          <w:sz w:val="36"/>
          <w:szCs w:val="36"/>
          <w:highlight w:val="none"/>
          <w:lang w:val="en-US" w:eastAsia="zh-CN"/>
        </w:rPr>
        <w:t xml:space="preserve">城市管理局</w:t>
      </w:r>
      <w:r/>
    </w:p>
    <w:p>
      <w:pPr>
        <w:pStyle w:val="715"/>
        <w:jc w:val="center"/>
        <w:spacing w:before="120" w:beforeAutospacing="0" w:after="120" w:afterAutospacing="0" w:line="360" w:lineRule="auto"/>
        <w:rPr>
          <w:color w:val="auto"/>
          <w:highlight w:val="none"/>
          <w:u w:val="single"/>
        </w:rPr>
      </w:pPr>
      <w:r>
        <w:rPr>
          <w:rFonts w:hint="eastAsia" w:ascii="Arial" w:hAnsi="Arial" w:cs="Arial"/>
          <w:b/>
          <w:color w:val="auto"/>
          <w:sz w:val="36"/>
          <w:szCs w:val="36"/>
          <w:highlight w:val="none"/>
          <w:u w:val="single"/>
        </w:rPr>
        <w:t xml:space="preserve"> 2024 </w:t>
      </w:r>
      <w:r>
        <w:rPr>
          <w:rFonts w:ascii="Arial" w:hAnsi="Arial" w:cs="Arial"/>
          <w:b/>
          <w:color w:val="auto"/>
          <w:sz w:val="36"/>
          <w:szCs w:val="36"/>
          <w:highlight w:val="none"/>
        </w:rPr>
        <w:t xml:space="preserve">年</w:t>
      </w:r>
      <w:r>
        <w:rPr>
          <w:rFonts w:hint="eastAsia" w:ascii="Arial" w:hAnsi="Arial" w:cs="Arial"/>
          <w:b/>
          <w:color w:val="auto"/>
          <w:sz w:val="36"/>
          <w:szCs w:val="36"/>
          <w:highlight w:val="none"/>
          <w:u w:val="single"/>
        </w:rPr>
        <w:t xml:space="preserve"> </w:t>
      </w:r>
      <w:r>
        <w:rPr>
          <w:rFonts w:hint="eastAsia" w:ascii="Arial" w:hAnsi="Arial" w:cs="Arial"/>
          <w:b/>
          <w:color w:val="auto"/>
          <w:sz w:val="36"/>
          <w:szCs w:val="36"/>
          <w:highlight w:val="none"/>
          <w:u w:val="single"/>
          <w:lang w:val="en-US" w:eastAsia="zh-CN"/>
        </w:rPr>
        <w:t xml:space="preserve">12</w:t>
      </w:r>
      <w:r>
        <w:rPr>
          <w:rFonts w:hint="eastAsia" w:ascii="Arial" w:hAnsi="Arial" w:cs="Arial"/>
          <w:b/>
          <w:color w:val="auto"/>
          <w:sz w:val="36"/>
          <w:szCs w:val="36"/>
          <w:highlight w:val="none"/>
          <w:u w:val="single"/>
        </w:rPr>
        <w:t xml:space="preserve"> </w:t>
      </w:r>
      <w:r>
        <w:rPr>
          <w:rFonts w:ascii="Arial" w:hAnsi="Arial" w:cs="Arial"/>
          <w:b/>
          <w:color w:val="auto"/>
          <w:sz w:val="36"/>
          <w:szCs w:val="36"/>
          <w:highlight w:val="none"/>
        </w:rPr>
        <w:t xml:space="preserve">月</w:t>
      </w:r>
      <w:r>
        <w:rPr>
          <w:rFonts w:hint="eastAsia" w:ascii="Arial" w:hAnsi="Arial" w:cs="Arial"/>
          <w:b/>
          <w:color w:val="auto"/>
          <w:sz w:val="36"/>
          <w:szCs w:val="36"/>
          <w:highlight w:val="none"/>
          <w:u w:val="single"/>
        </w:rPr>
        <w:t xml:space="preserve"> </w:t>
      </w:r>
      <w:r>
        <w:rPr>
          <w:rFonts w:hint="eastAsia" w:ascii="Arial" w:hAnsi="Arial" w:cs="Arial"/>
          <w:b/>
          <w:color w:val="auto"/>
          <w:sz w:val="36"/>
          <w:szCs w:val="36"/>
          <w:highlight w:val="none"/>
          <w:u w:val="single"/>
          <w:lang w:val="en-US" w:eastAsia="zh-CN"/>
        </w:rPr>
        <w:t xml:space="preserve">6</w:t>
      </w:r>
      <w:r>
        <w:rPr>
          <w:rFonts w:hint="eastAsia" w:ascii="Arial" w:hAnsi="Arial" w:cs="Arial"/>
          <w:b/>
          <w:color w:val="auto"/>
          <w:sz w:val="36"/>
          <w:szCs w:val="36"/>
          <w:highlight w:val="none"/>
          <w:u w:val="single"/>
        </w:rPr>
        <w:t xml:space="preserve"> </w:t>
      </w:r>
      <w:r>
        <w:rPr>
          <w:rFonts w:hint="eastAsia" w:ascii="Arial" w:hAnsi="Arial" w:cs="Arial"/>
          <w:b/>
          <w:color w:val="auto"/>
          <w:sz w:val="36"/>
          <w:szCs w:val="36"/>
          <w:highlight w:val="none"/>
        </w:rPr>
        <w:t xml:space="preserve">日</w:t>
      </w:r>
      <w:r/>
    </w:p>
    <w:p>
      <w:pPr>
        <w:pStyle w:val="715"/>
        <w:jc w:val="center"/>
        <w:spacing w:beforeAutospacing="0" w:afterAutospacing="0" w:line="480" w:lineRule="auto"/>
        <w:rPr>
          <w:rFonts w:ascii="Times New Roman" w:hAnsi="Times New Roman"/>
          <w:color w:val="auto"/>
          <w:sz w:val="21"/>
          <w:szCs w:val="21"/>
          <w:highlight w:val="none"/>
        </w:rPr>
      </w:pPr>
      <w:r>
        <w:rPr>
          <w:rFonts w:ascii="Arial" w:hAnsi="Arial" w:cs="Arial"/>
          <w:color w:val="auto"/>
          <w:highlight w:val="none"/>
        </w:rPr>
        <w:t xml:space="preserve">    </w:t>
      </w:r>
      <w:r>
        <w:rPr>
          <w:rFonts w:ascii="Times New Roman" w:hAnsi="Times New Roman"/>
          <w:color w:val="auto"/>
          <w:sz w:val="21"/>
          <w:szCs w:val="21"/>
          <w:highlight w:val="none"/>
        </w:rPr>
        <w:t xml:space="preserve"> </w:t>
      </w:r>
      <w:bookmarkStart w:id="0" w:name="_Toc479757206"/>
      <w:r/>
      <w:bookmarkStart w:id="1" w:name="_Toc523127445"/>
      <w:r/>
      <w:bookmarkStart w:id="2" w:name="_Toc20823272"/>
      <w:r/>
      <w:bookmarkStart w:id="3" w:name="_Toc120614210"/>
      <w:r/>
      <w:bookmarkStart w:id="4" w:name="_Toc513029200"/>
      <w:r/>
      <w:bookmarkStart w:id="5" w:name="_Toc16938516"/>
      <w:r/>
      <w:r/>
    </w:p>
    <w:p>
      <w:pPr>
        <w:pStyle w:val="715"/>
        <w:jc w:val="center"/>
        <w:spacing w:beforeAutospacing="0" w:afterAutospacing="0" w:line="480" w:lineRule="auto"/>
        <w:rPr>
          <w:color w:val="auto"/>
          <w:highlight w:val="none"/>
        </w:rPr>
      </w:pP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715"/>
        <w:jc w:val="both"/>
        <w:spacing w:beforeAutospacing="0" w:afterAutospacing="0" w:line="480" w:lineRule="auto"/>
        <w:rPr>
          <w:color w:val="auto"/>
          <w:highlight w:val="none"/>
        </w:rPr>
      </w:pPr>
      <w:r>
        <w:rPr>
          <w:color w:val="auto"/>
          <w:highlight w:val="none"/>
        </w:rPr>
        <w:t xml:space="preserve"> </w:t>
      </w:r>
      <w:r/>
    </w:p>
    <w:p>
      <w:pPr>
        <w:pStyle w:val="71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招标公告…………………………………… </w:t>
      </w:r>
      <w:r/>
    </w:p>
    <w:p>
      <w:pPr>
        <w:pStyle w:val="71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  </w:t>
      </w:r>
      <w:r/>
    </w:p>
    <w:p>
      <w:pPr>
        <w:pStyle w:val="71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合同文本……………………………………</w:t>
      </w:r>
      <w:r/>
    </w:p>
    <w:p>
      <w:pPr>
        <w:pStyle w:val="71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采购需求……………………………………</w:t>
      </w:r>
      <w:r/>
    </w:p>
    <w:p>
      <w:pPr>
        <w:pStyle w:val="71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评标方法与评标标准………………………</w:t>
      </w:r>
      <w:r/>
    </w:p>
    <w:p>
      <w:pPr>
        <w:pStyle w:val="71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投标文件格式………………………………</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center"/>
        <w:keepNext/>
        <w:spacing w:beforeAutospacing="0" w:afterAutospacing="0"/>
        <w:rPr>
          <w:rFonts w:eastAsia="黑体"/>
          <w:color w:val="auto"/>
          <w:highlight w:val="none"/>
        </w:rPr>
      </w:pPr>
      <w:r/>
      <w:bookmarkStart w:id="6" w:name="_Toc28359086"/>
      <w:r>
        <w:rPr>
          <w:rFonts w:hint="eastAsia" w:ascii="黑体" w:hAnsi="宋体" w:eastAsia="黑体" w:cs="黑体"/>
          <w:color w:val="auto"/>
          <w:sz w:val="44"/>
          <w:szCs w:val="44"/>
          <w:highlight w:val="none"/>
        </w:rPr>
        <w:t xml:space="preserve">第一章 招标公告</w:t>
      </w:r>
      <w:r/>
    </w:p>
    <w:p>
      <w:pPr>
        <w:pStyle w:val="715"/>
        <w:ind w:firstLine="560"/>
        <w:jc w:val="both"/>
        <w:pageBreakBefore w:val="0"/>
        <w:spacing w:beforeAutospacing="0" w:afterAutospacing="0" w:line="480" w:lineRule="exact"/>
        <w:rPr>
          <w:rFonts w:hint="eastAsia" w:ascii="仿宋" w:hAnsi="仿宋" w:eastAsia="仿宋" w:cs="仿宋"/>
          <w:color w:val="auto"/>
          <w:sz w:val="28"/>
          <w:szCs w:val="28"/>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auto"/>
          <w:sz w:val="28"/>
          <w:szCs w:val="28"/>
          <w:highlight w:val="none"/>
        </w:rPr>
        <w:t xml:space="preserve">项目概况</w:t>
      </w:r>
      <w:r/>
    </w:p>
    <w:p>
      <w:pPr>
        <w:pStyle w:val="715"/>
        <w:ind w:firstLine="560"/>
        <w:jc w:val="both"/>
        <w:pageBreakBefore w:val="0"/>
        <w:spacing w:beforeAutospacing="0" w:afterAutospacing="0" w:line="480" w:lineRule="exact"/>
        <w:rPr>
          <w:rFonts w:hint="eastAsia" w:ascii="仿宋" w:hAnsi="仿宋" w:eastAsia="仿宋" w:cs="仿宋"/>
          <w:color w:val="auto"/>
          <w:sz w:val="28"/>
          <w:szCs w:val="28"/>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auto"/>
          <w:sz w:val="28"/>
          <w:szCs w:val="28"/>
          <w:highlight w:val="none"/>
          <w:u w:val="single"/>
          <w:lang w:eastAsia="zh-CN"/>
        </w:rPr>
        <w:t xml:space="preserve">东台市城管局10T吸粪车采购项目</w:t>
      </w:r>
      <w:r>
        <w:rPr>
          <w:rFonts w:hint="eastAsia" w:ascii="仿宋" w:hAnsi="仿宋" w:eastAsia="仿宋" w:cs="仿宋"/>
          <w:color w:val="auto"/>
          <w:sz w:val="28"/>
          <w:szCs w:val="28"/>
          <w:highlight w:val="none"/>
        </w:rPr>
        <w:t xml:space="preserve">的潜在投标人可在</w:t>
      </w:r>
      <w:r>
        <w:rPr>
          <w:rFonts w:hint="eastAsia" w:ascii="仿宋" w:hAnsi="仿宋" w:eastAsia="仿宋" w:cs="仿宋"/>
          <w:color w:val="auto"/>
          <w:sz w:val="28"/>
          <w:szCs w:val="28"/>
          <w:highlight w:val="none"/>
          <w:u w:val="single"/>
        </w:rPr>
        <w:t xml:space="preserve">“中国政府采购网</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江苏政府采购网、盐城市政府采购网”</w:t>
      </w:r>
      <w:r>
        <w:rPr>
          <w:rFonts w:hint="eastAsia" w:ascii="仿宋" w:hAnsi="仿宋" w:eastAsia="仿宋" w:cs="仿宋"/>
          <w:color w:val="auto"/>
          <w:sz w:val="28"/>
          <w:szCs w:val="28"/>
          <w:highlight w:val="none"/>
        </w:rPr>
        <w:t xml:space="preserve">获取招标文件，并于</w:t>
      </w:r>
      <w:r>
        <w:rPr>
          <w:rFonts w:hint="eastAsia" w:ascii="仿宋" w:hAnsi="仿宋" w:eastAsia="仿宋" w:cs="仿宋"/>
          <w:color w:val="auto"/>
          <w:sz w:val="28"/>
          <w:szCs w:val="28"/>
          <w:highlight w:val="none"/>
          <w:u w:val="single"/>
        </w:rPr>
        <w:t xml:space="preserve">2024</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lang w:val="en-US" w:eastAsia="zh-CN"/>
        </w:rPr>
        <w:t xml:space="preserve">12</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lang w:val="en-US" w:eastAsia="zh-CN"/>
        </w:rPr>
        <w:t xml:space="preserve">31</w:t>
      </w: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u w:val="single"/>
          <w:lang w:val="en-US" w:eastAsia="zh-CN"/>
        </w:rPr>
        <w:t xml:space="preserve">15</w:t>
      </w:r>
      <w:r>
        <w:rPr>
          <w:rFonts w:hint="eastAsia" w:ascii="仿宋" w:hAnsi="仿宋" w:eastAsia="仿宋" w:cs="仿宋"/>
          <w:color w:val="auto"/>
          <w:sz w:val="28"/>
          <w:szCs w:val="28"/>
          <w:highlight w:val="none"/>
        </w:rPr>
        <w:t xml:space="preserve">点</w:t>
      </w:r>
      <w:r>
        <w:rPr>
          <w:rFonts w:hint="eastAsia" w:ascii="仿宋" w:hAnsi="仿宋" w:eastAsia="仿宋" w:cs="仿宋"/>
          <w:color w:val="auto"/>
          <w:sz w:val="28"/>
          <w:szCs w:val="28"/>
          <w:highlight w:val="none"/>
          <w:u w:val="single"/>
        </w:rPr>
        <w:t xml:space="preserve">00</w:t>
      </w:r>
      <w:r>
        <w:rPr>
          <w:rFonts w:hint="eastAsia" w:ascii="仿宋" w:hAnsi="仿宋" w:eastAsia="仿宋" w:cs="仿宋"/>
          <w:color w:val="auto"/>
          <w:sz w:val="28"/>
          <w:szCs w:val="28"/>
          <w:highlight w:val="none"/>
        </w:rPr>
        <w:t xml:space="preserve">分（北京时间）前递交投标文件。</w:t>
      </w:r>
      <w:r/>
    </w:p>
    <w:p>
      <w:pPr>
        <w:pStyle w:val="715"/>
        <w:ind w:firstLine="643"/>
        <w:jc w:val="both"/>
        <w:keepLines/>
        <w:keepNext/>
        <w:pageBreakBefore w:val="0"/>
        <w:spacing w:beforeAutospacing="0" w:afterAutospacing="0" w:line="480" w:lineRule="exact"/>
        <w:rPr>
          <w:rFonts w:ascii="Times New Roman" w:hAnsi="Times New Roman"/>
          <w:b/>
          <w:color w:val="auto"/>
          <w:sz w:val="32"/>
          <w:szCs w:val="32"/>
          <w:highlight w:val="none"/>
        </w:rPr>
      </w:pPr>
      <w:r/>
      <w:bookmarkStart w:id="7" w:name="_Toc38985263"/>
      <w:r/>
      <w:bookmarkStart w:id="8" w:name="_Hlk24379207"/>
      <w:r/>
      <w:bookmarkStart w:id="9" w:name="_Toc28359079"/>
      <w:r/>
      <w:bookmarkStart w:id="10" w:name="_Toc28359002"/>
      <w:r/>
      <w:bookmarkStart w:id="11" w:name="_Toc35393621"/>
      <w:r/>
      <w:bookmarkStart w:id="12" w:name="_Toc35393790"/>
      <w:r>
        <w:rPr>
          <w:rFonts w:ascii="Times New Roman" w:hAnsi="Times New Roman"/>
          <w:b/>
          <w:color w:val="auto"/>
          <w:sz w:val="32"/>
          <w:szCs w:val="32"/>
          <w:highlight w:val="none"/>
        </w:rPr>
        <w:t xml:space="preserve">一、项目基本情况</w:t>
      </w:r>
      <w:bookmarkEnd w:id="7"/>
      <w:r/>
      <w:bookmarkEnd w:id="8"/>
      <w:r/>
      <w:bookmarkEnd w:id="9"/>
      <w:r/>
      <w:bookmarkEnd w:id="10"/>
      <w:r/>
      <w:bookmarkEnd w:id="11"/>
      <w:r/>
      <w:bookmarkEnd w:id="12"/>
      <w:r/>
      <w:r/>
    </w:p>
    <w:p>
      <w:pPr>
        <w:pStyle w:val="715"/>
        <w:ind w:firstLine="560"/>
        <w:jc w:val="both"/>
        <w:pageBreakBefore w:val="0"/>
        <w:spacing w:beforeAutospacing="0" w:afterAutospacing="0"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1.项目编号：</w:t>
      </w:r>
      <w:r>
        <w:rPr>
          <w:rFonts w:hint="eastAsia" w:ascii="仿宋" w:hAnsi="仿宋" w:eastAsia="仿宋" w:cs="仿宋"/>
          <w:color w:val="auto"/>
          <w:sz w:val="28"/>
          <w:szCs w:val="28"/>
          <w:highlight w:val="none"/>
          <w:lang w:eastAsia="zh-CN"/>
        </w:rPr>
        <w:t xml:space="preserve">JSZC-320981-XHZB-G2024-0055</w:t>
      </w:r>
      <w:r/>
    </w:p>
    <w:p>
      <w:pPr>
        <w:pStyle w:val="715"/>
        <w:ind w:firstLine="560"/>
        <w:jc w:val="both"/>
        <w:pageBreakBefore w:val="0"/>
        <w:spacing w:beforeAutospacing="0" w:afterAutospacing="0"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2.项目名称：</w:t>
      </w:r>
      <w:r>
        <w:rPr>
          <w:rFonts w:hint="eastAsia" w:ascii="仿宋" w:hAnsi="仿宋" w:eastAsia="仿宋" w:cs="仿宋"/>
          <w:color w:val="auto"/>
          <w:sz w:val="28"/>
          <w:szCs w:val="28"/>
          <w:highlight w:val="none"/>
          <w:lang w:eastAsia="zh-CN"/>
        </w:rPr>
        <w:t xml:space="preserve">东台市城管局10T吸粪车采购项目</w:t>
      </w:r>
      <w:r/>
    </w:p>
    <w:p>
      <w:pPr>
        <w:pStyle w:val="715"/>
        <w:ind w:firstLine="560"/>
        <w:jc w:val="both"/>
        <w:pageBreakBefore w:val="0"/>
        <w:spacing w:beforeAutospacing="0" w:afterAutospacing="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3.采购方式：公开招标</w:t>
      </w:r>
      <w:r/>
    </w:p>
    <w:p>
      <w:pPr>
        <w:pStyle w:val="715"/>
        <w:ind w:firstLine="560"/>
        <w:jc w:val="both"/>
        <w:pageBreakBefore w:val="0"/>
        <w:spacing w:beforeAutospacing="0" w:afterAutospacing="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4.预算金额：</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0万元</w:t>
      </w:r>
      <w:r/>
    </w:p>
    <w:p>
      <w:pPr>
        <w:pStyle w:val="715"/>
        <w:ind w:firstLine="560"/>
        <w:jc w:val="both"/>
        <w:pageBreakBefore w:val="0"/>
        <w:spacing w:beforeAutospacing="0" w:afterAutospacing="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5.最高限价：</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0万元</w:t>
      </w:r>
      <w:r/>
    </w:p>
    <w:p>
      <w:pPr>
        <w:pStyle w:val="715"/>
        <w:ind w:firstLine="560"/>
        <w:jc w:val="both"/>
        <w:pageBreakBefore w:val="0"/>
        <w:spacing w:beforeAutospacing="0" w:afterAutospacing="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6.采购需求（简介）：东台市城管局</w:t>
      </w:r>
      <w:r>
        <w:rPr>
          <w:rFonts w:hint="eastAsia" w:ascii="仿宋" w:hAnsi="仿宋" w:eastAsia="仿宋" w:cs="仿宋"/>
          <w:color w:val="auto"/>
          <w:sz w:val="28"/>
          <w:szCs w:val="28"/>
          <w:highlight w:val="none"/>
          <w:lang w:val="en-US" w:eastAsia="zh-CN"/>
        </w:rPr>
        <w:t xml:space="preserve">拟购</w:t>
      </w:r>
      <w:r>
        <w:rPr>
          <w:rFonts w:hint="eastAsia" w:ascii="仿宋" w:hAnsi="仿宋" w:eastAsia="仿宋" w:cs="仿宋"/>
          <w:color w:val="auto"/>
          <w:sz w:val="28"/>
          <w:szCs w:val="28"/>
          <w:highlight w:val="none"/>
          <w:lang w:eastAsia="zh-CN"/>
        </w:rPr>
        <w:t xml:space="preserve">10T吸粪车</w:t>
      </w:r>
      <w:r>
        <w:rPr>
          <w:rFonts w:hint="eastAsia" w:ascii="仿宋" w:hAnsi="仿宋" w:eastAsia="仿宋" w:cs="仿宋"/>
          <w:color w:val="auto"/>
          <w:sz w:val="28"/>
          <w:szCs w:val="28"/>
          <w:highlight w:val="none"/>
          <w:lang w:val="en-US" w:eastAsia="zh-CN"/>
        </w:rPr>
        <w:t xml:space="preserve">1辆，具体性能及参数要求详见招标文件</w:t>
      </w:r>
      <w:r>
        <w:rPr>
          <w:rFonts w:hint="eastAsia" w:ascii="仿宋" w:hAnsi="仿宋" w:eastAsia="仿宋" w:cs="仿宋"/>
          <w:color w:val="auto"/>
          <w:sz w:val="28"/>
          <w:szCs w:val="28"/>
          <w:highlight w:val="none"/>
        </w:rPr>
        <w:t xml:space="preserve">。</w:t>
      </w:r>
      <w:r/>
    </w:p>
    <w:p>
      <w:pPr>
        <w:pStyle w:val="715"/>
        <w:ind w:firstLine="560"/>
        <w:jc w:val="both"/>
        <w:pageBreakBefore w:val="0"/>
        <w:spacing w:beforeAutospacing="0" w:afterAutospacing="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7.合同履行期限：合同签订后</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0日内货物全部送达招标人指定地点，并安装调试完毕。</w:t>
      </w:r>
      <w:r/>
    </w:p>
    <w:p>
      <w:pPr>
        <w:pStyle w:val="715"/>
        <w:ind w:firstLine="560"/>
        <w:jc w:val="both"/>
        <w:pageBreakBefore w:val="0"/>
        <w:spacing w:beforeAutospacing="0" w:afterAutospacing="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8.本项目不接受联合体参与投标。</w:t>
      </w:r>
      <w:r/>
    </w:p>
    <w:p>
      <w:pPr>
        <w:pStyle w:val="715"/>
        <w:ind w:firstLine="643"/>
        <w:jc w:val="both"/>
        <w:keepLines/>
        <w:keepNext/>
        <w:pageBreakBefore w:val="0"/>
        <w:spacing w:beforeAutospacing="0" w:afterAutospacing="0" w:line="480" w:lineRule="exact"/>
        <w:rPr>
          <w:color w:val="auto"/>
          <w:highlight w:val="none"/>
        </w:rPr>
      </w:pPr>
      <w:r/>
      <w:bookmarkStart w:id="13" w:name="_Toc28359003"/>
      <w:r/>
      <w:bookmarkStart w:id="14" w:name="_Toc28359080"/>
      <w:r/>
      <w:bookmarkStart w:id="15" w:name="_Toc38985264"/>
      <w:r/>
      <w:bookmarkStart w:id="16" w:name="_Toc35393622"/>
      <w:r/>
      <w:bookmarkStart w:id="17" w:name="_Toc35393791"/>
      <w:r>
        <w:rPr>
          <w:rFonts w:ascii="Times New Roman" w:hAnsi="Times New Roman"/>
          <w:b/>
          <w:color w:val="auto"/>
          <w:sz w:val="32"/>
          <w:szCs w:val="32"/>
          <w:highlight w:val="none"/>
        </w:rPr>
        <w:t xml:space="preserve">二、申请人的资格要求：</w:t>
      </w:r>
      <w:bookmarkEnd w:id="13"/>
      <w:r/>
      <w:bookmarkEnd w:id="14"/>
      <w:r/>
      <w:bookmarkEnd w:id="15"/>
      <w:r/>
      <w:bookmarkEnd w:id="16"/>
      <w:r/>
      <w:bookmarkEnd w:id="17"/>
      <w:r/>
      <w:r/>
    </w:p>
    <w:p>
      <w:pPr>
        <w:pStyle w:val="715"/>
        <w:ind w:firstLine="560"/>
        <w:jc w:val="both"/>
        <w:pageBreakBefore w:val="0"/>
        <w:spacing w:beforeAutospacing="0" w:afterAutospacing="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1.满足《中华人民共和国政府采购法》第二十二条规定，并提供下列材料：</w:t>
      </w:r>
      <w:r/>
    </w:p>
    <w:p>
      <w:pPr>
        <w:pStyle w:val="715"/>
        <w:ind w:firstLine="560"/>
        <w:jc w:val="both"/>
        <w:pageBreakBefore w:val="0"/>
        <w:spacing w:beforeAutospacing="0" w:afterAutospacing="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 法人或者其他组织的营业执照等证明文件，自然人的身份证明；</w:t>
      </w:r>
      <w:r/>
    </w:p>
    <w:p>
      <w:pPr>
        <w:pStyle w:val="715"/>
        <w:ind w:firstLine="560"/>
        <w:jc w:val="both"/>
        <w:pageBreakBefore w:val="0"/>
        <w:spacing w:beforeAutospacing="0" w:afterAutospacing="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1.2上一年度或上上年度的财务状况报表（成立不满一年无需提供）；</w:t>
      </w:r>
      <w:r/>
    </w:p>
    <w:p>
      <w:pPr>
        <w:pStyle w:val="715"/>
        <w:ind w:firstLine="560"/>
        <w:jc w:val="both"/>
        <w:pageBreakBefore w:val="0"/>
        <w:spacing w:beforeAutospacing="0" w:afterAutospacing="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1.3具备履行合同所必需的设备和专业技术能力的书面声明；</w:t>
      </w:r>
      <w:r/>
    </w:p>
    <w:p>
      <w:pPr>
        <w:pStyle w:val="715"/>
        <w:ind w:firstLine="560"/>
        <w:jc w:val="both"/>
        <w:pageBreakBefore w:val="0"/>
        <w:spacing w:beforeAutospacing="0" w:afterAutospacing="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15"/>
        <w:ind w:firstLine="560"/>
        <w:jc w:val="both"/>
        <w:pageBreakBefore w:val="0"/>
        <w:spacing w:beforeAutospacing="0" w:afterAutospacing="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1.5参加政府采购活动前3年内在经营活动中没有重大违法记录的书面声明。</w:t>
      </w:r>
      <w:r/>
    </w:p>
    <w:p>
      <w:pPr>
        <w:pStyle w:val="715"/>
        <w:ind w:firstLine="560"/>
        <w:jc w:val="both"/>
        <w:pageBreakBefore w:val="0"/>
        <w:spacing w:beforeAutospacing="0" w:afterAutospacing="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1.6法律、行政法规规定的其他条件。</w:t>
      </w:r>
      <w:r/>
    </w:p>
    <w:p>
      <w:pPr>
        <w:pStyle w:val="715"/>
        <w:ind w:firstLine="560"/>
        <w:jc w:val="both"/>
        <w:pageBreakBefore w:val="0"/>
        <w:spacing w:beforeAutospacing="0" w:afterAutospacing="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15"/>
        <w:ind w:firstLine="560"/>
        <w:jc w:val="both"/>
        <w:pageBreakBefore w:val="0"/>
        <w:spacing w:beforeAutospacing="0" w:afterAutospacing="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1.8单位负责人为同一人或者存在直接控股、服务关系的不同供应商，不得参加同一合同项下的政府采购活动。</w:t>
      </w:r>
      <w:r/>
    </w:p>
    <w:p>
      <w:pPr>
        <w:pStyle w:val="715"/>
        <w:ind w:firstLine="560"/>
        <w:jc w:val="both"/>
        <w:pageBreakBefore w:val="0"/>
        <w:spacing w:beforeAutospacing="0" w:afterAutospacing="0"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2.落实政府采购政策需满足的资格要求：</w:t>
      </w:r>
      <w:r>
        <w:rPr>
          <w:rFonts w:hint="eastAsia" w:ascii="仿宋" w:hAnsi="仿宋" w:eastAsia="仿宋" w:cs="仿宋"/>
          <w:color w:val="auto"/>
          <w:sz w:val="28"/>
          <w:szCs w:val="28"/>
          <w:highlight w:val="none"/>
          <w:lang w:val="en-US" w:eastAsia="zh-CN"/>
        </w:rPr>
        <w:t xml:space="preserve">无</w:t>
      </w:r>
      <w:r>
        <w:rPr>
          <w:rFonts w:hint="eastAsia" w:ascii="仿宋" w:hAnsi="仿宋" w:eastAsia="仿宋" w:cs="仿宋"/>
          <w:color w:val="auto"/>
          <w:sz w:val="28"/>
          <w:szCs w:val="28"/>
          <w:highlight w:val="none"/>
          <w:lang w:eastAsia="zh-CN"/>
        </w:rPr>
        <w:t xml:space="preserve">。</w:t>
      </w:r>
      <w:r/>
    </w:p>
    <w:p>
      <w:pPr>
        <w:pStyle w:val="715"/>
        <w:ind w:firstLine="560"/>
        <w:jc w:val="both"/>
        <w:pageBreakBefore w:val="0"/>
        <w:spacing w:beforeAutospacing="0" w:afterAutospacing="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3.本项目的特定资格要求：投标人如委托被授权人参与，则被授权人须为本单位正式职工并提供投标人为被授权人缴纳的社会养老保险证明</w:t>
      </w:r>
      <w:r/>
    </w:p>
    <w:p>
      <w:pPr>
        <w:pStyle w:val="715"/>
        <w:ind w:firstLine="643"/>
        <w:jc w:val="both"/>
        <w:keepLines/>
        <w:keepNext/>
        <w:pageBreakBefore w:val="0"/>
        <w:spacing w:beforeAutospacing="0" w:afterAutospacing="0" w:line="480" w:lineRule="exact"/>
        <w:rPr>
          <w:rFonts w:ascii="Times New Roman" w:hAnsi="Times New Roman"/>
          <w:b/>
          <w:color w:val="auto"/>
          <w:sz w:val="32"/>
          <w:szCs w:val="32"/>
          <w:highlight w:val="none"/>
        </w:rPr>
      </w:pPr>
      <w:r>
        <w:rPr>
          <w:rFonts w:ascii="Times New Roman" w:hAnsi="Times New Roman"/>
          <w:b/>
          <w:color w:val="auto"/>
          <w:sz w:val="32"/>
          <w:szCs w:val="32"/>
          <w:highlight w:val="none"/>
        </w:rPr>
        <w:t xml:space="preserve">三、获取招标文件</w:t>
      </w:r>
      <w:r/>
    </w:p>
    <w:p>
      <w:pPr>
        <w:ind w:firstLine="560"/>
        <w:jc w:val="left"/>
        <w:pageBreakBefore w:val="0"/>
        <w:spacing w:line="480" w:lineRule="exact"/>
        <w:widowControl/>
        <w:rPr>
          <w:rFonts w:hint="eastAsia" w:ascii="仿宋" w:hAnsi="仿宋" w:eastAsia="仿宋" w:cs="仿宋"/>
          <w:color w:val="auto"/>
          <w:sz w:val="28"/>
          <w:szCs w:val="28"/>
          <w:highlight w:val="none"/>
        </w:rPr>
      </w:pPr>
      <w:r/>
      <w:bookmarkStart w:id="18" w:name="_Toc35393624"/>
      <w:r/>
      <w:bookmarkStart w:id="19" w:name="_Toc35393793"/>
      <w:r/>
      <w:bookmarkStart w:id="20" w:name="_Toc38985266"/>
      <w:r/>
      <w:bookmarkStart w:id="21" w:name="_Toc28359005"/>
      <w:r/>
      <w:bookmarkStart w:id="22" w:name="_Toc28359082"/>
      <w:r>
        <w:rPr>
          <w:rFonts w:hint="eastAsia" w:ascii="仿宋" w:hAnsi="仿宋" w:eastAsia="仿宋" w:cs="仿宋"/>
          <w:color w:val="auto"/>
          <w:sz w:val="28"/>
          <w:szCs w:val="28"/>
          <w:highlight w:val="none"/>
        </w:rPr>
        <w:t xml:space="preserve">1.时间：</w:t>
      </w:r>
      <w:bookmarkEnd w:id="18"/>
      <w:r/>
      <w:bookmarkEnd w:id="19"/>
      <w:r/>
      <w:bookmarkEnd w:id="20"/>
      <w:r/>
      <w:bookmarkEnd w:id="21"/>
      <w:r/>
      <w:bookmarkEnd w:id="22"/>
      <w:r>
        <w:rPr>
          <w:rFonts w:hint="eastAsia" w:ascii="仿宋" w:hAnsi="仿宋" w:eastAsia="仿宋" w:cs="仿宋"/>
          <w:color w:val="auto"/>
          <w:sz w:val="28"/>
          <w:szCs w:val="28"/>
          <w:highlight w:val="none"/>
        </w:rPr>
        <w:t xml:space="preserve">自招标文件公告发布之日起5个工作日。</w:t>
      </w:r>
      <w:r/>
    </w:p>
    <w:p>
      <w:pPr>
        <w:ind w:firstLine="560"/>
        <w:jc w:val="left"/>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2.地点：中国政府采购网、江苏政府采购网、盐城市政府采购网。</w:t>
      </w:r>
      <w:r/>
    </w:p>
    <w:p>
      <w:pPr>
        <w:ind w:firstLine="560"/>
        <w:jc w:val="left"/>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3.方式：在“中国政府采购网</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江苏政府采购网</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盐城市政府采购网”自行免费下载招标文件。</w:t>
      </w:r>
      <w:r/>
    </w:p>
    <w:p>
      <w:pPr>
        <w:ind w:firstLine="560"/>
        <w:jc w:val="left"/>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4.售价：0元</w:t>
      </w:r>
      <w:r/>
    </w:p>
    <w:p>
      <w:pPr>
        <w:pStyle w:val="715"/>
        <w:ind w:firstLine="643"/>
        <w:jc w:val="both"/>
        <w:keepLines/>
        <w:keepNext/>
        <w:pageBreakBefore w:val="0"/>
        <w:spacing w:beforeAutospacing="0" w:afterAutospacing="0" w:line="480" w:lineRule="exact"/>
        <w:rPr>
          <w:rFonts w:ascii="Times New Roman" w:hAnsi="Times New Roman"/>
          <w:b/>
          <w:color w:val="auto"/>
          <w:sz w:val="32"/>
          <w:szCs w:val="32"/>
          <w:highlight w:val="none"/>
        </w:rPr>
      </w:pPr>
      <w:r>
        <w:rPr>
          <w:rFonts w:ascii="Times New Roman" w:hAnsi="Times New Roman"/>
          <w:b/>
          <w:color w:val="auto"/>
          <w:sz w:val="32"/>
          <w:szCs w:val="32"/>
          <w:highlight w:val="none"/>
        </w:rPr>
        <w:t xml:space="preserve">四、提交投标文件截止时间、开标时间和地点</w:t>
      </w:r>
      <w:r/>
    </w:p>
    <w:p>
      <w:pPr>
        <w:pStyle w:val="715"/>
        <w:ind w:firstLine="560"/>
        <w:jc w:val="both"/>
        <w:pageBreakBefore w:val="0"/>
        <w:spacing w:beforeAutospacing="0" w:afterAutospacing="0" w:line="480" w:lineRule="exact"/>
        <w:shd w:val="clear" w:color="auto" w:fill="ffffff"/>
        <w:widowControl/>
        <w:rPr>
          <w:rFonts w:hint="eastAsia" w:ascii="仿宋" w:hAnsi="仿宋" w:eastAsia="仿宋" w:cs="仿宋"/>
          <w:color w:val="auto"/>
          <w:sz w:val="28"/>
          <w:szCs w:val="28"/>
          <w:highlight w:val="none"/>
        </w:rPr>
      </w:pPr>
      <w:r/>
      <w:bookmarkStart w:id="23" w:name="_Toc35393625"/>
      <w:r/>
      <w:bookmarkStart w:id="24" w:name="_Toc28359007"/>
      <w:r/>
      <w:bookmarkStart w:id="25" w:name="_Toc35393794"/>
      <w:r/>
      <w:bookmarkStart w:id="26" w:name="_Toc38985267"/>
      <w:r/>
      <w:bookmarkStart w:id="27" w:name="_Toc28359084"/>
      <w:r>
        <w:rPr>
          <w:rFonts w:hint="eastAsia" w:ascii="仿宋" w:hAnsi="仿宋" w:eastAsia="仿宋" w:cs="仿宋"/>
          <w:color w:val="auto"/>
          <w:sz w:val="28"/>
          <w:szCs w:val="28"/>
          <w:highlight w:val="none"/>
        </w:rPr>
        <w:t xml:space="preserve">1.时间：2024年</w:t>
      </w:r>
      <w:r>
        <w:rPr>
          <w:rFonts w:hint="eastAsia" w:ascii="仿宋" w:hAnsi="仿宋" w:eastAsia="仿宋" w:cs="仿宋"/>
          <w:color w:val="auto"/>
          <w:sz w:val="28"/>
          <w:szCs w:val="28"/>
          <w:highlight w:val="none"/>
          <w:u w:val="single"/>
          <w:lang w:val="en-US" w:eastAsia="zh-CN"/>
        </w:rPr>
        <w:t xml:space="preserve">12</w:t>
      </w:r>
      <w:r>
        <w:rPr>
          <w:rFonts w:hint="eastAsia" w:ascii="仿宋" w:hAnsi="仿宋" w:eastAsia="仿宋" w:cs="仿宋"/>
          <w:color w:val="auto"/>
          <w:sz w:val="28"/>
          <w:szCs w:val="28"/>
          <w:highlight w:val="none"/>
        </w:rPr>
        <w:t xml:space="preserve">月31</w:t>
      </w: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u w:val="single"/>
          <w:lang w:val="en-US" w:eastAsia="zh-CN"/>
        </w:rPr>
        <w:t xml:space="preserve">15</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00</w:t>
      </w:r>
      <w:bookmarkStart w:id="201" w:name="_GoBack"/>
      <w:r/>
      <w:bookmarkEnd w:id="201"/>
      <w:r>
        <w:rPr>
          <w:rFonts w:hint="eastAsia" w:ascii="仿宋" w:hAnsi="仿宋" w:eastAsia="仿宋" w:cs="仿宋"/>
          <w:color w:val="auto"/>
          <w:sz w:val="28"/>
          <w:szCs w:val="28"/>
          <w:highlight w:val="none"/>
        </w:rPr>
        <w:t xml:space="preserve">（北京时间）</w:t>
      </w:r>
      <w:r/>
    </w:p>
    <w:p>
      <w:pPr>
        <w:pStyle w:val="715"/>
        <w:ind w:firstLine="560"/>
        <w:jc w:val="both"/>
        <w:keepLines/>
        <w:keepNext/>
        <w:pageBreakBefore w:val="0"/>
        <w:spacing w:beforeAutospacing="0" w:afterAutospacing="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2.地点：“苏采云”政府采购交易系统网上开标大厅。</w:t>
      </w:r>
      <w:r/>
    </w:p>
    <w:p>
      <w:pPr>
        <w:pStyle w:val="715"/>
        <w:ind w:firstLine="643"/>
        <w:jc w:val="both"/>
        <w:keepLines/>
        <w:keepNext/>
        <w:pageBreakBefore w:val="0"/>
        <w:spacing w:beforeAutospacing="0" w:afterAutospacing="0" w:line="480" w:lineRule="exact"/>
        <w:rPr>
          <w:color w:val="auto"/>
          <w:highlight w:val="none"/>
        </w:rPr>
      </w:pPr>
      <w:r>
        <w:rPr>
          <w:rFonts w:ascii="Times New Roman" w:hAnsi="Times New Roman"/>
          <w:b/>
          <w:color w:val="auto"/>
          <w:sz w:val="32"/>
          <w:szCs w:val="32"/>
          <w:highlight w:val="none"/>
        </w:rPr>
        <w:t xml:space="preserve">五、公告期限</w:t>
      </w:r>
      <w:bookmarkEnd w:id="23"/>
      <w:r/>
      <w:bookmarkEnd w:id="24"/>
      <w:r/>
      <w:bookmarkEnd w:id="25"/>
      <w:r/>
      <w:bookmarkEnd w:id="26"/>
      <w:r/>
      <w:bookmarkEnd w:id="27"/>
      <w:r/>
      <w:r/>
    </w:p>
    <w:p>
      <w:pPr>
        <w:pStyle w:val="715"/>
        <w:ind w:firstLine="560"/>
        <w:jc w:val="both"/>
        <w:pageBreakBefore w:val="0"/>
        <w:spacing w:beforeAutospacing="0" w:afterAutospacing="0" w:line="480" w:lineRule="exact"/>
        <w:shd w:val="clear" w:color="auto" w:fill="ffffff"/>
        <w:widowControl/>
        <w:rPr>
          <w:rFonts w:hint="eastAsia" w:ascii="仿宋" w:hAnsi="仿宋" w:eastAsia="仿宋" w:cs="仿宋"/>
          <w:color w:val="auto"/>
          <w:sz w:val="28"/>
          <w:szCs w:val="28"/>
          <w:highlight w:val="none"/>
          <w:shd w:val="clear" w:color="auto" w:fill="ffffff"/>
        </w:rPr>
      </w:pPr>
      <w:r/>
      <w:bookmarkStart w:id="28" w:name="_Toc35393626"/>
      <w:r/>
      <w:bookmarkStart w:id="29" w:name="_Toc38985268"/>
      <w:r/>
      <w:bookmarkStart w:id="30" w:name="_Toc35393795"/>
      <w:r>
        <w:rPr>
          <w:rFonts w:hint="eastAsia" w:ascii="仿宋" w:hAnsi="仿宋" w:eastAsia="仿宋" w:cs="仿宋"/>
          <w:color w:val="auto"/>
          <w:sz w:val="28"/>
          <w:szCs w:val="28"/>
          <w:highlight w:val="none"/>
          <w:shd w:val="clear" w:color="auto" w:fill="ffffff"/>
        </w:rPr>
        <w:t xml:space="preserve">自本公告发布之日起5个工作日。</w:t>
      </w:r>
      <w:bookmarkEnd w:id="28"/>
      <w:r/>
      <w:bookmarkEnd w:id="29"/>
      <w:r/>
      <w:bookmarkEnd w:id="30"/>
      <w:r/>
      <w:r/>
    </w:p>
    <w:p>
      <w:pPr>
        <w:pStyle w:val="715"/>
        <w:ind w:firstLine="643"/>
        <w:jc w:val="both"/>
        <w:keepLines/>
        <w:keepNext/>
        <w:pageBreakBefore w:val="0"/>
        <w:spacing w:beforeAutospacing="0" w:afterAutospacing="0" w:line="480" w:lineRule="exact"/>
        <w:rPr>
          <w:color w:val="auto"/>
          <w:highlight w:val="none"/>
        </w:rPr>
      </w:pPr>
      <w:r>
        <w:rPr>
          <w:rFonts w:ascii="Times New Roman" w:hAnsi="Times New Roman"/>
          <w:b/>
          <w:color w:val="auto"/>
          <w:sz w:val="32"/>
          <w:szCs w:val="32"/>
          <w:highlight w:val="none"/>
        </w:rPr>
        <w:t xml:space="preserve">六、其他补充事宜</w:t>
      </w:r>
      <w:r/>
    </w:p>
    <w:p>
      <w:pPr>
        <w:pStyle w:val="715"/>
        <w:ind w:firstLine="560"/>
        <w:jc w:val="both"/>
        <w:pageBreakBefore w:val="0"/>
        <w:spacing w:beforeAutospacing="0" w:afterAutospacing="0" w:line="480" w:lineRule="exact"/>
        <w:shd w:val="clear" w:color="auto" w:fill="ffffff"/>
        <w:widowControl/>
        <w:rPr>
          <w:rFonts w:hint="eastAsia" w:ascii="仿宋" w:hAnsi="仿宋" w:eastAsia="仿宋" w:cs="仿宋"/>
          <w:color w:val="auto"/>
          <w:sz w:val="28"/>
          <w:szCs w:val="28"/>
          <w:highlight w:val="none"/>
          <w:shd w:val="clear" w:color="auto" w:fill="ffffff"/>
        </w:rPr>
      </w:pPr>
      <w:r/>
      <w:bookmarkStart w:id="31" w:name="_Toc28359018"/>
      <w:r>
        <w:rPr>
          <w:rFonts w:hint="eastAsia" w:ascii="仿宋" w:hAnsi="仿宋" w:eastAsia="仿宋" w:cs="仿宋"/>
          <w:color w:val="auto"/>
          <w:sz w:val="28"/>
          <w:szCs w:val="28"/>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715"/>
        <w:ind w:firstLine="560"/>
        <w:jc w:val="both"/>
        <w:pageBreakBefore w:val="0"/>
        <w:spacing w:beforeAutospacing="0" w:afterAutospacing="0" w:line="480" w:lineRule="exact"/>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http://www.ccgp-jiangsu.gov.cn/jiangsu/zlxz/ee/ee3a4bc5a3454aa2b0d9312230633ce9.html。</w:t>
      </w:r>
      <w:r/>
    </w:p>
    <w:p>
      <w:pPr>
        <w:pStyle w:val="715"/>
        <w:ind w:firstLine="560"/>
        <w:jc w:val="both"/>
        <w:pageBreakBefore w:val="0"/>
        <w:spacing w:beforeAutospacing="0" w:afterAutospacing="0" w:line="480" w:lineRule="exact"/>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领取CA和办理电子签章（请至亭湖区政务服务中心二楼226窗口办理，联系电话：15051556883，办理邮箱：yancheng@ideabank.net.cn，具体联系方式见《苏采云系统供应商操作手册》</w:t>
      </w:r>
      <w:r>
        <w:rPr>
          <w:rFonts w:hint="eastAsia" w:ascii="仿宋" w:hAnsi="仿宋" w:eastAsia="仿宋" w:cs="仿宋"/>
          <w:color w:val="auto"/>
          <w:sz w:val="28"/>
          <w:szCs w:val="28"/>
          <w:highlight w:val="none"/>
          <w:shd w:val="clear" w:color="auto" w:fill="ffffff"/>
          <w:lang w:eastAsia="zh-CN"/>
        </w:rPr>
        <w:t xml:space="preserve">（</w:t>
      </w:r>
      <w:r>
        <w:rPr>
          <w:rFonts w:hint="eastAsia" w:ascii="仿宋" w:hAnsi="仿宋" w:eastAsia="仿宋" w:cs="仿宋"/>
          <w:color w:val="auto"/>
          <w:sz w:val="28"/>
          <w:szCs w:val="28"/>
          <w:highlight w:val="none"/>
          <w:shd w:val="clear" w:color="auto" w:fill="ffffff"/>
        </w:rPr>
        <w:t xml:space="preserve">以下简称《操作手册》</w:t>
      </w:r>
      <w:r>
        <w:rPr>
          <w:rFonts w:hint="eastAsia" w:ascii="仿宋" w:hAnsi="仿宋" w:eastAsia="仿宋" w:cs="仿宋"/>
          <w:color w:val="auto"/>
          <w:sz w:val="28"/>
          <w:szCs w:val="28"/>
          <w:highlight w:val="none"/>
          <w:shd w:val="clear" w:color="auto" w:fill="ffffff"/>
          <w:lang w:eastAsia="zh-CN"/>
        </w:rPr>
        <w:t xml:space="preserve">）</w:t>
      </w:r>
      <w:r>
        <w:rPr>
          <w:rFonts w:hint="eastAsia" w:ascii="仿宋" w:hAnsi="仿宋" w:eastAsia="仿宋" w:cs="仿宋"/>
          <w:color w:val="auto"/>
          <w:sz w:val="28"/>
          <w:szCs w:val="28"/>
          <w:highlight w:val="none"/>
          <w:shd w:val="clear" w:color="auto" w:fill="ffffff"/>
        </w:rPr>
        <w:t xml:space="preserve">）、进行注册并按《操作手册》要求制作、上传电子投标文件</w:t>
      </w:r>
      <w:r>
        <w:rPr>
          <w:rFonts w:hint="eastAsia" w:ascii="仿宋" w:hAnsi="仿宋" w:eastAsia="仿宋" w:cs="仿宋"/>
          <w:color w:val="auto"/>
          <w:sz w:val="28"/>
          <w:szCs w:val="28"/>
          <w:highlight w:val="none"/>
          <w:shd w:val="clear" w:color="auto" w:fill="ffffff"/>
          <w:lang w:eastAsia="zh-CN"/>
        </w:rPr>
        <w:t xml:space="preserve">，</w:t>
      </w:r>
      <w:r>
        <w:rPr>
          <w:rFonts w:hint="eastAsia" w:ascii="仿宋" w:hAnsi="仿宋" w:eastAsia="仿宋" w:cs="仿宋"/>
          <w:color w:val="auto"/>
          <w:sz w:val="28"/>
          <w:szCs w:val="28"/>
          <w:highlight w:val="none"/>
          <w:shd w:val="clear" w:color="auto" w:fill="ffffff"/>
        </w:rPr>
        <w:t xml:space="preserve">《苏采云系统供应商操作手册》下载：http://czj.yancheng.gov.cn/art/2023/9/14/art_2407_4057499.html。</w:t>
      </w:r>
      <w:r/>
    </w:p>
    <w:p>
      <w:pPr>
        <w:pStyle w:val="715"/>
        <w:ind w:firstLine="560"/>
        <w:jc w:val="both"/>
        <w:pageBreakBefore w:val="0"/>
        <w:spacing w:beforeAutospacing="0" w:afterAutospacing="0" w:line="480" w:lineRule="exact"/>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2.有关本次招标的事项若存在变动或修改，敬请及时关注采购人在“</w:t>
      </w:r>
      <w:r>
        <w:rPr>
          <w:rFonts w:hint="eastAsia" w:ascii="仿宋" w:hAnsi="仿宋" w:eastAsia="仿宋" w:cs="仿宋"/>
          <w:color w:val="auto"/>
          <w:sz w:val="28"/>
          <w:szCs w:val="28"/>
          <w:highlight w:val="none"/>
        </w:rPr>
        <w:t xml:space="preserve">中国政府采购网</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shd w:val="clear" w:color="auto" w:fill="ffffff"/>
        </w:rPr>
        <w:t xml:space="preserve">江苏政府采购网</w:t>
      </w:r>
      <w:r>
        <w:rPr>
          <w:rFonts w:hint="eastAsia" w:ascii="仿宋" w:hAnsi="仿宋" w:eastAsia="仿宋" w:cs="仿宋"/>
          <w:color w:val="auto"/>
          <w:sz w:val="28"/>
          <w:szCs w:val="28"/>
          <w:highlight w:val="none"/>
          <w:shd w:val="clear" w:color="auto" w:fill="ffffff"/>
          <w:lang w:eastAsia="zh-CN"/>
        </w:rPr>
        <w:t xml:space="preserve">”“</w:t>
      </w:r>
      <w:r>
        <w:rPr>
          <w:rFonts w:hint="eastAsia" w:ascii="仿宋" w:hAnsi="仿宋" w:eastAsia="仿宋" w:cs="仿宋"/>
          <w:color w:val="auto"/>
          <w:sz w:val="28"/>
          <w:szCs w:val="28"/>
          <w:highlight w:val="none"/>
          <w:shd w:val="clear" w:color="auto" w:fill="ffffff"/>
        </w:rPr>
        <w:t xml:space="preserve">盐城市政府采购网”发布的更正公告。</w:t>
      </w:r>
      <w:r/>
    </w:p>
    <w:p>
      <w:pPr>
        <w:pStyle w:val="715"/>
        <w:ind w:firstLine="560"/>
        <w:jc w:val="both"/>
        <w:pageBreakBefore w:val="0"/>
        <w:spacing w:beforeAutospacing="0" w:afterAutospacing="0" w:line="480" w:lineRule="exact"/>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3.本次招标不收取投标保证金，不收取质量保证金。</w:t>
      </w:r>
      <w:r/>
    </w:p>
    <w:p>
      <w:pPr>
        <w:pStyle w:val="715"/>
        <w:ind w:firstLine="643"/>
        <w:jc w:val="both"/>
        <w:keepLines/>
        <w:keepNext/>
        <w:pageBreakBefore w:val="0"/>
        <w:spacing w:beforeAutospacing="0" w:afterAutospacing="0" w:line="480" w:lineRule="exact"/>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七</w:t>
      </w:r>
      <w:r>
        <w:rPr>
          <w:rFonts w:ascii="Times New Roman" w:hAnsi="Times New Roman"/>
          <w:b/>
          <w:color w:val="auto"/>
          <w:sz w:val="32"/>
          <w:szCs w:val="32"/>
          <w:highlight w:val="none"/>
        </w:rPr>
        <w:t xml:space="preserve">、</w:t>
      </w:r>
      <w:r>
        <w:rPr>
          <w:rFonts w:hint="eastAsia" w:ascii="Times New Roman" w:hAnsi="Times New Roman"/>
          <w:b/>
          <w:color w:val="auto"/>
          <w:sz w:val="32"/>
          <w:szCs w:val="32"/>
          <w:highlight w:val="none"/>
        </w:rPr>
        <w:t xml:space="preserve">对本次招标提出询问，请按以下方式联系。</w:t>
      </w:r>
      <w:bookmarkEnd w:id="31"/>
      <w:r/>
      <w:r/>
    </w:p>
    <w:p>
      <w:pPr>
        <w:pStyle w:val="715"/>
        <w:ind w:firstLine="560"/>
        <w:jc w:val="both"/>
        <w:pageBreakBefore w:val="0"/>
        <w:spacing w:beforeAutospacing="0" w:afterAutospacing="0" w:line="480" w:lineRule="exact"/>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1.采购人信息</w:t>
      </w:r>
      <w:r/>
    </w:p>
    <w:p>
      <w:pPr>
        <w:pStyle w:val="715"/>
        <w:ind w:firstLine="560"/>
        <w:jc w:val="both"/>
        <w:pageBreakBefore w:val="0"/>
        <w:spacing w:beforeAutospacing="0" w:afterAutospacing="0" w:line="480" w:lineRule="exact"/>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名    称： 东台市城市管理局  </w:t>
      </w:r>
      <w:r/>
    </w:p>
    <w:p>
      <w:pPr>
        <w:pStyle w:val="715"/>
        <w:ind w:firstLine="560"/>
        <w:jc w:val="both"/>
        <w:pageBreakBefore w:val="0"/>
        <w:spacing w:beforeAutospacing="0" w:afterAutospacing="0" w:line="480" w:lineRule="exact"/>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地    址： 东台市北海中路8号  </w:t>
      </w:r>
      <w:r/>
    </w:p>
    <w:p>
      <w:pPr>
        <w:pStyle w:val="715"/>
        <w:ind w:firstLine="560"/>
        <w:jc w:val="both"/>
        <w:pageBreakBefore w:val="0"/>
        <w:spacing w:beforeAutospacing="0" w:afterAutospacing="0" w:line="480" w:lineRule="exact"/>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联  系人： 朱先生             </w:t>
      </w:r>
      <w:r/>
    </w:p>
    <w:p>
      <w:pPr>
        <w:pStyle w:val="715"/>
        <w:ind w:firstLine="560"/>
        <w:jc w:val="both"/>
        <w:pageBreakBefore w:val="0"/>
        <w:spacing w:beforeAutospacing="0" w:afterAutospacing="0" w:line="480" w:lineRule="exact"/>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联系方式：18962092680            </w:t>
      </w:r>
      <w:r/>
    </w:p>
    <w:p>
      <w:pPr>
        <w:pStyle w:val="715"/>
        <w:ind w:firstLine="560"/>
        <w:jc w:val="both"/>
        <w:pageBreakBefore w:val="0"/>
        <w:spacing w:beforeAutospacing="0" w:afterAutospacing="0" w:line="480" w:lineRule="exact"/>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2.采购代理机构信息（如有）</w:t>
      </w:r>
      <w:r/>
    </w:p>
    <w:p>
      <w:pPr>
        <w:pStyle w:val="715"/>
        <w:ind w:firstLine="560"/>
        <w:jc w:val="both"/>
        <w:pageBreakBefore w:val="0"/>
        <w:spacing w:beforeAutospacing="0" w:afterAutospacing="0" w:line="480" w:lineRule="exact"/>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名    称：东台市兴华招标代理有限公司</w:t>
      </w:r>
      <w:r/>
    </w:p>
    <w:p>
      <w:pPr>
        <w:pStyle w:val="715"/>
        <w:ind w:firstLine="560"/>
        <w:jc w:val="both"/>
        <w:pageBreakBefore w:val="0"/>
        <w:spacing w:beforeAutospacing="0" w:afterAutospacing="0" w:line="480" w:lineRule="exact"/>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地    址：东台市东达翰林院小区商铺12-104号</w:t>
      </w:r>
      <w:r/>
    </w:p>
    <w:p>
      <w:pPr>
        <w:pStyle w:val="715"/>
        <w:ind w:firstLine="560"/>
        <w:jc w:val="both"/>
        <w:pageBreakBefore w:val="0"/>
        <w:spacing w:beforeAutospacing="0" w:afterAutospacing="0" w:line="480" w:lineRule="exact"/>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联 系 人：刘先生                     </w:t>
      </w:r>
      <w:r/>
    </w:p>
    <w:p>
      <w:pPr>
        <w:pStyle w:val="715"/>
        <w:ind w:firstLine="560"/>
        <w:jc w:val="both"/>
        <w:pageBreakBefore w:val="0"/>
        <w:spacing w:beforeAutospacing="0" w:afterAutospacing="0" w:line="480" w:lineRule="exact"/>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联系方式：</w:t>
      </w:r>
      <w:bookmarkStart w:id="32" w:name="_Toc28359087"/>
      <w:r/>
      <w:bookmarkStart w:id="33" w:name="_Toc28359010"/>
      <w:r>
        <w:rPr>
          <w:rFonts w:hint="eastAsia" w:ascii="仿宋" w:hAnsi="仿宋" w:eastAsia="仿宋" w:cs="仿宋"/>
          <w:color w:val="auto"/>
          <w:sz w:val="28"/>
          <w:szCs w:val="28"/>
          <w:highlight w:val="none"/>
          <w:shd w:val="clear" w:color="auto" w:fill="ffffff"/>
        </w:rPr>
        <w:t xml:space="preserve">13921850520       </w:t>
      </w:r>
      <w:bookmarkEnd w:id="32"/>
      <w:r/>
      <w:bookmarkEnd w:id="33"/>
      <w:r>
        <w:rPr>
          <w:rFonts w:hint="eastAsia" w:ascii="仿宋" w:hAnsi="仿宋" w:eastAsia="仿宋" w:cs="仿宋"/>
          <w:color w:val="auto"/>
          <w:sz w:val="28"/>
          <w:szCs w:val="28"/>
          <w:highlight w:val="none"/>
          <w:shd w:val="clear" w:color="auto" w:fill="ffffff"/>
        </w:rPr>
        <w:t xml:space="preserve">            </w:t>
      </w:r>
      <w:r/>
    </w:p>
    <w:p>
      <w:pPr>
        <w:pStyle w:val="715"/>
        <w:ind w:firstLine="560"/>
        <w:jc w:val="both"/>
        <w:pageBreakBefore w:val="0"/>
        <w:spacing w:beforeAutospacing="0" w:afterAutospacing="0" w:line="480" w:lineRule="exact"/>
        <w:shd w:val="clear" w:color="auto" w:fill="ffffff"/>
        <w:widowControl/>
        <w:rPr>
          <w:rFonts w:hint="eastAsia" w:ascii="仿宋" w:hAnsi="仿宋" w:eastAsia="仿宋" w:cs="仿宋"/>
          <w:color w:val="auto"/>
          <w:sz w:val="28"/>
          <w:szCs w:val="28"/>
          <w:highlight w:val="none"/>
          <w:shd w:val="clear" w:color="auto" w:fill="ffffff"/>
        </w:rPr>
      </w:pPr>
      <w:r/>
      <w:bookmarkStart w:id="34" w:name="_Toc28359021"/>
      <w:r>
        <w:rPr>
          <w:rFonts w:hint="eastAsia" w:ascii="仿宋" w:hAnsi="仿宋" w:eastAsia="仿宋" w:cs="仿宋"/>
          <w:color w:val="auto"/>
          <w:sz w:val="28"/>
          <w:szCs w:val="28"/>
          <w:highlight w:val="none"/>
          <w:shd w:val="clear" w:color="auto" w:fill="ffffff"/>
        </w:rPr>
        <w:t xml:space="preserve">3.</w:t>
      </w:r>
      <w:bookmarkEnd w:id="34"/>
      <w:r>
        <w:rPr>
          <w:rFonts w:hint="eastAsia" w:ascii="仿宋" w:hAnsi="仿宋" w:eastAsia="仿宋" w:cs="仿宋"/>
          <w:color w:val="auto"/>
          <w:sz w:val="28"/>
          <w:szCs w:val="28"/>
          <w:highlight w:val="none"/>
          <w:shd w:val="clear" w:color="auto" w:fill="ffffff"/>
        </w:rPr>
        <w:t xml:space="preserve">项目联系方式</w:t>
      </w:r>
      <w:r/>
    </w:p>
    <w:p>
      <w:pPr>
        <w:pStyle w:val="715"/>
        <w:ind w:firstLine="560"/>
        <w:jc w:val="both"/>
        <w:pageBreakBefore w:val="0"/>
        <w:spacing w:beforeAutospacing="0" w:afterAutospacing="0" w:line="480" w:lineRule="exact"/>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项目联系人：朱先生、刘先生</w:t>
      </w:r>
      <w:r/>
    </w:p>
    <w:p>
      <w:pPr>
        <w:pStyle w:val="715"/>
        <w:ind w:firstLine="560"/>
        <w:jc w:val="both"/>
        <w:pageBreakBefore w:val="0"/>
        <w:spacing w:beforeAutospacing="0" w:afterAutospacing="0" w:line="480" w:lineRule="exact"/>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电　 　 话：18962092680、13921850520　　　　　　　　　　　　</w:t>
      </w:r>
      <w:r/>
    </w:p>
    <w:p>
      <w:pPr>
        <w:rPr>
          <w:color w:val="auto"/>
          <w:highlight w:val="none"/>
        </w:rPr>
      </w:pPr>
      <w:r>
        <w:rPr>
          <w:color w:val="auto"/>
          <w:highlight w:val="none"/>
        </w:rPr>
        <w:t xml:space="preserve"> </w:t>
      </w:r>
      <w:r/>
    </w:p>
    <w:p>
      <w:pPr>
        <w:rPr>
          <w:rFonts w:hint="eastAsia" w:ascii="黑体" w:hAnsi="宋体" w:eastAsia="黑体" w:cs="黑体"/>
          <w:b/>
          <w:color w:val="auto"/>
          <w:sz w:val="44"/>
          <w:szCs w:val="44"/>
          <w:highlight w:val="none"/>
        </w:rPr>
      </w:pPr>
      <w:r>
        <w:rPr>
          <w:rFonts w:hint="eastAsia" w:ascii="宋体" w:hAnsi="宋体" w:eastAsia="宋体" w:cs="宋体"/>
          <w:color w:val="auto"/>
          <w:highlight w:val="none"/>
        </w:rPr>
        <w:br w:type="page" w:clear="all"/>
      </w:r>
      <w:bookmarkStart w:id="35" w:name="_Toc120614211"/>
      <w:r/>
      <w:r/>
    </w:p>
    <w:p>
      <w:pPr>
        <w:pStyle w:val="715"/>
        <w:ind w:firstLine="2429"/>
        <w:jc w:val="both"/>
        <w:keepLines/>
        <w:keepNext/>
        <w:spacing w:before="260" w:beforeAutospacing="0" w:after="260" w:afterAutospacing="0" w:line="415" w:lineRule="auto"/>
        <w:rPr>
          <w:color w:val="auto"/>
          <w:highlight w:val="none"/>
        </w:rPr>
      </w:pPr>
      <w:r>
        <w:rPr>
          <w:rFonts w:hint="eastAsia" w:ascii="黑体" w:hAnsi="宋体" w:eastAsia="黑体" w:cs="黑体"/>
          <w:b/>
          <w:color w:val="auto"/>
          <w:sz w:val="44"/>
          <w:szCs w:val="44"/>
          <w:highlight w:val="none"/>
        </w:rPr>
        <w:t xml:space="preserve">第二章  </w:t>
      </w:r>
      <w:bookmarkEnd w:id="35"/>
      <w:r/>
      <w:bookmarkStart w:id="36" w:name="_Toc16938518"/>
      <w:r/>
      <w:bookmarkStart w:id="37" w:name="_Toc120614213"/>
      <w:r/>
      <w:bookmarkStart w:id="38" w:name="_Toc513029202"/>
      <w:r/>
      <w:bookmarkStart w:id="39" w:name="_Toc20823274"/>
      <w:r>
        <w:rPr>
          <w:rFonts w:hint="eastAsia" w:ascii="黑体" w:hAnsi="宋体" w:eastAsia="黑体" w:cs="黑体"/>
          <w:b/>
          <w:color w:val="auto"/>
          <w:sz w:val="44"/>
          <w:szCs w:val="44"/>
          <w:highlight w:val="none"/>
        </w:rPr>
        <w:t xml:space="preserve">投标人须知</w:t>
      </w:r>
      <w:bookmarkEnd w:id="36"/>
      <w:r/>
      <w:bookmarkEnd w:id="37"/>
      <w:r/>
      <w:bookmarkEnd w:id="38"/>
      <w:r/>
      <w:bookmarkEnd w:id="39"/>
      <w:r/>
      <w:r/>
    </w:p>
    <w:p>
      <w:pPr>
        <w:pStyle w:val="715"/>
        <w:ind w:firstLine="643"/>
        <w:jc w:val="both"/>
        <w:keepLines/>
        <w:keepNext/>
        <w:pageBreakBefore w:val="0"/>
        <w:spacing w:beforeAutospacing="0" w:afterAutospacing="0" w:line="480" w:lineRule="exact"/>
        <w:widowControl w:val="off"/>
        <w:rPr>
          <w:color w:val="auto"/>
          <w:highlight w:val="none"/>
        </w:rPr>
      </w:pPr>
      <w:r/>
      <w:bookmarkStart w:id="40" w:name="_Toc20823275"/>
      <w:r/>
      <w:bookmarkStart w:id="41" w:name="_Toc120614214"/>
      <w:r/>
      <w:bookmarkStart w:id="42" w:name="_Toc16938519"/>
      <w:r/>
      <w:bookmarkStart w:id="43" w:name="_Toc513029203"/>
      <w:r>
        <w:rPr>
          <w:rFonts w:ascii="Times New Roman" w:hAnsi="Times New Roman"/>
          <w:b/>
          <w:color w:val="auto"/>
          <w:sz w:val="32"/>
          <w:szCs w:val="32"/>
          <w:highlight w:val="none"/>
        </w:rPr>
        <w:t xml:space="preserve">一、总则</w:t>
      </w:r>
      <w:bookmarkEnd w:id="40"/>
      <w:r/>
      <w:bookmarkEnd w:id="41"/>
      <w:r/>
      <w:bookmarkEnd w:id="42"/>
      <w:r/>
      <w:bookmarkEnd w:id="43"/>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bookmarkStart w:id="44" w:name="_Toc20823276"/>
      <w:r/>
      <w:bookmarkStart w:id="45" w:name="_Toc513029204"/>
      <w:r/>
      <w:bookmarkStart w:id="46" w:name="_Toc16938520"/>
      <w:r/>
      <w:bookmarkStart w:id="47" w:name="_Toc458694821"/>
      <w:r/>
      <w:bookmarkStart w:id="48" w:name="_Hlt16619475"/>
      <w:r>
        <w:rPr>
          <w:rFonts w:hint="eastAsia" w:ascii="宋体" w:hAnsi="宋体" w:eastAsia="宋体" w:cs="宋体"/>
          <w:color w:val="auto"/>
          <w:sz w:val="28"/>
          <w:szCs w:val="28"/>
          <w:highlight w:val="none"/>
        </w:rPr>
        <w:t xml:space="preserve">1</w:t>
      </w:r>
      <w:bookmarkEnd w:id="44"/>
      <w:r>
        <w:rPr>
          <w:rFonts w:hint="eastAsia" w:ascii="宋体" w:hAnsi="宋体" w:eastAsia="宋体" w:cs="宋体"/>
          <w:color w:val="auto"/>
          <w:sz w:val="28"/>
          <w:szCs w:val="28"/>
          <w:highlight w:val="none"/>
        </w:rPr>
        <w:t xml:space="preserve">、招标方式</w:t>
      </w:r>
      <w:bookmarkEnd w:id="45"/>
      <w:r/>
      <w:bookmarkEnd w:id="46"/>
      <w:r/>
      <w:bookmarkEnd w:id="47"/>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 本次招标采取公开招标方式，本招标文件仅适用于招标公告中所述项目。</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bookmarkStart w:id="49" w:name="_Toc513029205"/>
      <w:r/>
      <w:bookmarkStart w:id="50" w:name="_Toc20823277"/>
      <w:r/>
      <w:bookmarkStart w:id="51" w:name="_Toc16938521"/>
      <w:r>
        <w:rPr>
          <w:rFonts w:hint="eastAsia" w:ascii="宋体" w:hAnsi="宋体" w:eastAsia="宋体" w:cs="宋体"/>
          <w:color w:val="auto"/>
          <w:sz w:val="28"/>
          <w:szCs w:val="28"/>
          <w:highlight w:val="none"/>
        </w:rPr>
        <w:t xml:space="preserve">2、合格的投标人</w:t>
      </w:r>
      <w:bookmarkEnd w:id="49"/>
      <w:r/>
      <w:bookmarkEnd w:id="50"/>
      <w:r/>
      <w:bookmarkEnd w:id="51"/>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 满足招标公告中供应商的资格要求的规定。</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 满足本文件实质性要求和条件的规定。</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bookmarkStart w:id="52" w:name="_Toc513029206"/>
      <w:r/>
      <w:bookmarkStart w:id="53" w:name="_Toc20823278"/>
      <w:r/>
      <w:bookmarkStart w:id="54" w:name="_Toc16938522"/>
      <w:r>
        <w:rPr>
          <w:rFonts w:hint="eastAsia" w:ascii="宋体" w:hAnsi="宋体" w:eastAsia="宋体" w:cs="宋体"/>
          <w:color w:val="auto"/>
          <w:sz w:val="28"/>
          <w:szCs w:val="28"/>
          <w:highlight w:val="none"/>
        </w:rPr>
        <w:t xml:space="preserve">3、适用法律</w:t>
      </w:r>
      <w:bookmarkEnd w:id="52"/>
      <w:r/>
      <w:bookmarkEnd w:id="53"/>
      <w:r/>
      <w:bookmarkEnd w:id="54"/>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 本次招标及由此产生的合同受中华人民共和国有关的法律法规制约和保护。</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bookmarkStart w:id="55" w:name="_Toc462564067"/>
      <w:r/>
      <w:bookmarkStart w:id="56" w:name="_Toc20823279"/>
      <w:r/>
      <w:bookmarkStart w:id="57" w:name="_Toc16938523"/>
      <w:r/>
      <w:bookmarkStart w:id="58" w:name="_Toc513029207"/>
      <w:r>
        <w:rPr>
          <w:rFonts w:hint="eastAsia" w:ascii="宋体" w:hAnsi="宋体" w:eastAsia="宋体" w:cs="宋体"/>
          <w:color w:val="auto"/>
          <w:sz w:val="28"/>
          <w:szCs w:val="28"/>
          <w:highlight w:val="none"/>
        </w:rPr>
        <w:t xml:space="preserve">4、投标费用</w:t>
      </w:r>
      <w:bookmarkEnd w:id="55"/>
      <w:r/>
      <w:bookmarkEnd w:id="56"/>
      <w:r/>
      <w:bookmarkEnd w:id="57"/>
      <w:r/>
      <w:bookmarkEnd w:id="58"/>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 投标人应自行承担所有与参加投标有关的费用，无论投标过程中的做法和结果如何，采购人在任何情况下均无义务和责任承担这些费用。</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 本次招标采购人和代理机构不收取标书工本费。</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5、招标文件的约束力</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5.1 投标人一旦参加本项目采购活动，即被认为接受了本招标文件的规定和约束。</w:t>
      </w:r>
      <w:r/>
    </w:p>
    <w:p>
      <w:pPr>
        <w:pStyle w:val="715"/>
        <w:ind w:firstLine="643"/>
        <w:jc w:val="both"/>
        <w:keepLines/>
        <w:keepNext/>
        <w:pageBreakBefore w:val="0"/>
        <w:spacing w:beforeAutospacing="0" w:afterAutospacing="0" w:line="480" w:lineRule="exact"/>
        <w:widowControl w:val="off"/>
        <w:rPr>
          <w:rFonts w:ascii="Times New Roman" w:hAnsi="Times New Roman"/>
          <w:b/>
          <w:color w:val="auto"/>
          <w:sz w:val="32"/>
          <w:szCs w:val="32"/>
          <w:highlight w:val="none"/>
        </w:rPr>
      </w:pPr>
      <w:r/>
      <w:bookmarkStart w:id="59" w:name="_Toc120614215"/>
      <w:r/>
      <w:bookmarkStart w:id="60" w:name="_Toc20823281"/>
      <w:r/>
      <w:bookmarkStart w:id="61" w:name="_Toc16938525"/>
      <w:r/>
      <w:bookmarkStart w:id="62" w:name="_Toc513029209"/>
      <w:r>
        <w:rPr>
          <w:rFonts w:ascii="Times New Roman" w:hAnsi="Times New Roman"/>
          <w:b/>
          <w:color w:val="auto"/>
          <w:sz w:val="32"/>
          <w:szCs w:val="32"/>
          <w:highlight w:val="none"/>
        </w:rPr>
        <w:t xml:space="preserve">二、招标文件</w:t>
      </w:r>
      <w:bookmarkEnd w:id="59"/>
      <w:r/>
      <w:bookmarkEnd w:id="60"/>
      <w:r/>
      <w:bookmarkEnd w:id="61"/>
      <w:r/>
      <w:bookmarkEnd w:id="62"/>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bookmarkStart w:id="63" w:name="_Toc513029210"/>
      <w:r/>
      <w:bookmarkStart w:id="64" w:name="_Toc20823282"/>
      <w:r/>
      <w:bookmarkStart w:id="65" w:name="_Toc16938526"/>
      <w:r>
        <w:rPr>
          <w:rFonts w:hint="eastAsia" w:ascii="宋体" w:hAnsi="宋体" w:eastAsia="宋体" w:cs="宋体"/>
          <w:color w:val="auto"/>
          <w:sz w:val="28"/>
          <w:szCs w:val="28"/>
          <w:highlight w:val="none"/>
        </w:rPr>
        <w:t xml:space="preserve">6、招标文件构成</w:t>
      </w:r>
      <w:bookmarkEnd w:id="63"/>
      <w:r/>
      <w:bookmarkEnd w:id="64"/>
      <w:r/>
      <w:bookmarkEnd w:id="65"/>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6.1 招标文件由以下部分组成：</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（1）招标公告</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（2）投标人须知</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（3）合同文本</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（4）采购需求</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（5）评标方法与评标标准</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（6）投标文件格式</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请仔细检查招标文件是否齐全，如有缺漏请立即与采购人联系解决。</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bookmarkStart w:id="66" w:name="_Toc462564070"/>
      <w:r/>
      <w:bookmarkStart w:id="67" w:name="_Toc20823283"/>
      <w:r/>
      <w:bookmarkStart w:id="68" w:name="_Toc513029211"/>
      <w:r/>
      <w:bookmarkStart w:id="69" w:name="_Toc16938527"/>
      <w:r>
        <w:rPr>
          <w:rFonts w:hint="eastAsia" w:ascii="宋体" w:hAnsi="宋体" w:eastAsia="宋体" w:cs="宋体"/>
          <w:color w:val="auto"/>
          <w:sz w:val="28"/>
          <w:szCs w:val="28"/>
          <w:highlight w:val="none"/>
        </w:rPr>
        <w:t xml:space="preserve">7、招标文件的澄清</w:t>
      </w:r>
      <w:bookmarkEnd w:id="66"/>
      <w:r/>
      <w:bookmarkEnd w:id="67"/>
      <w:r/>
      <w:bookmarkEnd w:id="68"/>
      <w:r/>
      <w:bookmarkEnd w:id="69"/>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7.1 任何要求对招标文件进行澄清的投标人，应在投标截止期十日前按招标公告中的通讯地址，以书面形式通知采购人。</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bookmarkStart w:id="70" w:name="_Toc513029212"/>
      <w:r/>
      <w:bookmarkStart w:id="71" w:name="_Toc462564071"/>
      <w:r/>
      <w:bookmarkStart w:id="72" w:name="_Toc20823284"/>
      <w:r/>
      <w:bookmarkStart w:id="73" w:name="_Toc16938528"/>
      <w:r>
        <w:rPr>
          <w:rFonts w:hint="eastAsia" w:ascii="宋体" w:hAnsi="宋体" w:eastAsia="宋体" w:cs="宋体"/>
          <w:color w:val="auto"/>
          <w:sz w:val="28"/>
          <w:szCs w:val="28"/>
          <w:highlight w:val="none"/>
        </w:rPr>
        <w:t xml:space="preserve">8、招标文件的修改</w:t>
      </w:r>
      <w:bookmarkEnd w:id="70"/>
      <w:r/>
      <w:bookmarkEnd w:id="71"/>
      <w:r/>
      <w:bookmarkEnd w:id="72"/>
      <w:r/>
      <w:bookmarkEnd w:id="73"/>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8.1 在投标截止时间前，采购人可以对招标文件进行修改。</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8.2 采购人有权按照法定的要求推迟投标截止日期和开标日期。</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8.3 招标文件的修改将在中国政府采购网、江苏政府采购网、盐城市政府采购网公布，补充文件将作为招标文件的组成部分，并对投标人具有约束力。</w:t>
      </w:r>
      <w:r/>
    </w:p>
    <w:p>
      <w:pPr>
        <w:pStyle w:val="715"/>
        <w:ind w:firstLine="643"/>
        <w:jc w:val="both"/>
        <w:keepLines/>
        <w:keepNext/>
        <w:pageBreakBefore w:val="0"/>
        <w:spacing w:beforeAutospacing="0" w:afterAutospacing="0" w:line="480" w:lineRule="exact"/>
        <w:widowControl w:val="off"/>
        <w:rPr>
          <w:color w:val="auto"/>
          <w:highlight w:val="none"/>
        </w:rPr>
      </w:pPr>
      <w:r/>
      <w:bookmarkStart w:id="74" w:name="_Toc16938529"/>
      <w:r/>
      <w:bookmarkStart w:id="75" w:name="_Toc513029213"/>
      <w:r/>
      <w:bookmarkStart w:id="76" w:name="_Toc462564072"/>
      <w:r/>
      <w:bookmarkStart w:id="77" w:name="_Toc20823285"/>
      <w:r/>
      <w:bookmarkStart w:id="78" w:name="_Toc120614216"/>
      <w:r>
        <w:rPr>
          <w:rFonts w:ascii="Times New Roman" w:hAnsi="Times New Roman"/>
          <w:b/>
          <w:color w:val="auto"/>
          <w:sz w:val="32"/>
          <w:szCs w:val="32"/>
          <w:highlight w:val="none"/>
        </w:rPr>
        <w:t xml:space="preserve">三、投标文件的编制</w:t>
      </w:r>
      <w:bookmarkEnd w:id="74"/>
      <w:r/>
      <w:bookmarkEnd w:id="75"/>
      <w:r/>
      <w:bookmarkEnd w:id="76"/>
      <w:r/>
      <w:bookmarkEnd w:id="77"/>
      <w:r/>
      <w:bookmarkEnd w:id="78"/>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bookmarkStart w:id="79" w:name="_Toc16938530"/>
      <w:r/>
      <w:bookmarkStart w:id="80" w:name="_Toc20823286"/>
      <w:r/>
      <w:bookmarkStart w:id="81" w:name="_Toc462564073"/>
      <w:r/>
      <w:bookmarkStart w:id="82" w:name="_Toc513029214"/>
      <w:r>
        <w:rPr>
          <w:rFonts w:hint="eastAsia" w:ascii="宋体" w:hAnsi="宋体" w:eastAsia="宋体" w:cs="宋体"/>
          <w:color w:val="auto"/>
          <w:sz w:val="28"/>
          <w:szCs w:val="28"/>
          <w:highlight w:val="none"/>
        </w:rPr>
        <w:t xml:space="preserve">9、投标文件的语言及度量衡单位</w:t>
      </w:r>
      <w:bookmarkEnd w:id="79"/>
      <w:r/>
      <w:bookmarkEnd w:id="80"/>
      <w:r/>
      <w:bookmarkEnd w:id="81"/>
      <w:r/>
      <w:bookmarkEnd w:id="82"/>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9.1 投标人提交的投标文件以及投标人与采购人就有关投标的所有来往通知、函件和文件均应使用简体中文。</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9.2 除技术性能另有规定外，投标文件所使用的度量衡单位，均须采用国家法定计量单位。</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bookmarkStart w:id="83" w:name="_Toc462564074"/>
      <w:r/>
      <w:bookmarkStart w:id="84" w:name="_Toc16938531"/>
      <w:r/>
      <w:bookmarkStart w:id="85" w:name="_Toc513029215"/>
      <w:r/>
      <w:bookmarkStart w:id="86" w:name="_Toc20823287"/>
      <w:r>
        <w:rPr>
          <w:rFonts w:hint="eastAsia" w:ascii="宋体" w:hAnsi="宋体" w:eastAsia="宋体" w:cs="宋体"/>
          <w:color w:val="auto"/>
          <w:sz w:val="28"/>
          <w:szCs w:val="28"/>
          <w:highlight w:val="none"/>
        </w:rPr>
        <w:t xml:space="preserve">10、投标文件构成</w:t>
      </w:r>
      <w:bookmarkEnd w:id="83"/>
      <w:r/>
      <w:bookmarkEnd w:id="84"/>
      <w:r/>
      <w:bookmarkEnd w:id="85"/>
      <w:r/>
      <w:bookmarkEnd w:id="86"/>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10.2 如标书制作工具中格式和内容与“中国政府采购网</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江苏政府采购网</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盐城市政府采购网”发布的招标文件不一致，请以中国政府采购网</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江苏政府采购网</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盐城市政府采购网”发布的招标文件为准。</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bookmarkStart w:id="87" w:name="_Toc14577355"/>
      <w:r/>
      <w:bookmarkStart w:id="88" w:name="_Toc14577354"/>
      <w:r/>
      <w:bookmarkStart w:id="89" w:name="_Toc49090508"/>
      <w:r/>
      <w:bookmarkStart w:id="90" w:name="_Toc49090507"/>
      <w:r/>
      <w:bookmarkStart w:id="91" w:name="_Toc14577357"/>
      <w:r/>
      <w:bookmarkStart w:id="92" w:name="_Toc49090509"/>
      <w:r/>
      <w:bookmarkStart w:id="93" w:name="_Toc513029216"/>
      <w:r/>
      <w:bookmarkStart w:id="94" w:name="_Toc513029219"/>
      <w:r/>
      <w:bookmarkStart w:id="95" w:name="_Hlt26668975"/>
      <w:r/>
      <w:bookmarkStart w:id="96" w:name="_Hlt26670360"/>
      <w:r/>
      <w:bookmarkStart w:id="97" w:name="_Hlt26954838"/>
      <w:r>
        <w:rPr>
          <w:rFonts w:hint="eastAsia" w:ascii="宋体" w:hAnsi="宋体" w:eastAsia="宋体" w:cs="宋体"/>
          <w:color w:val="auto"/>
          <w:sz w:val="28"/>
          <w:szCs w:val="28"/>
          <w:highlight w:val="none"/>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11.1 投标人应按照招标文件要求提交证明文件，证明其及投标标的符合招标文件规定。</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11.2 招标文件对证明文件无明确形式要求的，证明文件可以以文字资料、图纸和数据等形式提交。</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12、投标分项报价表</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12.1 投标人应按照招标文件规定格式填报投标分项报价表。</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12.2 投标货币。投标文件中的单价和总价无特殊规定的采用人民币报价，以元为单位标注。招标文件中另有规定的按规定执行。</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bookmarkStart w:id="98" w:name="_Hlt26670486"/>
      <w:r/>
      <w:bookmarkStart w:id="99" w:name="_Hlt26954848"/>
      <w:r/>
      <w:bookmarkStart w:id="100" w:name="_Hlt26954731"/>
      <w:r/>
      <w:bookmarkStart w:id="101" w:name="_Hlt26954846"/>
      <w:r/>
      <w:bookmarkStart w:id="102" w:name="_Hlt26670482"/>
      <w:r>
        <w:rPr>
          <w:rFonts w:hint="eastAsia" w:ascii="宋体" w:hAnsi="宋体" w:eastAsia="宋体" w:cs="宋体"/>
          <w:color w:val="auto"/>
          <w:sz w:val="28"/>
          <w:szCs w:val="28"/>
          <w:highlight w:val="none"/>
        </w:rPr>
        <w:t xml:space="preserve">13、技术要求响应及偏离表、商务要求响应及偏离表</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13.1 投标人需对招标文件中的技术要求与商务要求逐项作出响应或偏离，并说明原因。</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13.2 投标人可在投标文件中提供认为需要的其他技术文件或说明。</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14、服务承诺、培训计划、人员安排及其他</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14.1 投标人需根据招标文件要求提供有关售后服务的管理制度，售后服务机构的分布情况，售后服务人员的数量、素质、技术水平及售后服务的反应能力等。</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14.2 投标人需根据招标文件要求提供培训计划。</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14.3 投标人需根据招标文件要求提供所投标</w:t>
      </w:r>
      <w:r>
        <w:rPr>
          <w:rFonts w:hint="eastAsia" w:ascii="宋体" w:hAnsi="宋体" w:eastAsia="宋体" w:cs="宋体"/>
          <w:color w:val="auto"/>
          <w:sz w:val="28"/>
          <w:szCs w:val="28"/>
          <w:highlight w:val="none"/>
          <w:lang w:eastAsia="zh-CN"/>
        </w:rPr>
        <w:t xml:space="preserve">的主要</w:t>
      </w:r>
      <w:r>
        <w:rPr>
          <w:rFonts w:hint="eastAsia" w:ascii="宋体" w:hAnsi="宋体" w:eastAsia="宋体" w:cs="宋体"/>
          <w:color w:val="auto"/>
          <w:sz w:val="28"/>
          <w:szCs w:val="28"/>
          <w:highlight w:val="none"/>
        </w:rPr>
        <w:t xml:space="preserve">组成部分、功能设计、实现思路及关键技术等。</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bookmarkStart w:id="103" w:name="_Toc49090510"/>
      <w:r/>
      <w:bookmarkStart w:id="104" w:name="_Toc14577359"/>
      <w:r>
        <w:rPr>
          <w:rFonts w:hint="eastAsia" w:ascii="宋体" w:hAnsi="宋体" w:eastAsia="宋体" w:cs="宋体"/>
          <w:color w:val="auto"/>
          <w:sz w:val="28"/>
          <w:szCs w:val="28"/>
          <w:highlight w:val="none"/>
        </w:rPr>
        <w:t xml:space="preserve">15、投标函和开标一览表</w:t>
      </w:r>
      <w:bookmarkEnd w:id="103"/>
      <w:r/>
      <w:bookmarkEnd w:id="104"/>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15.1 投标人应按照招标文件中提供的格式完整、正确填写投标函、开标一览表。</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bookmarkStart w:id="105" w:name="_Toc49090511"/>
      <w:r/>
      <w:bookmarkStart w:id="106" w:name="_Toc14577360"/>
      <w:r>
        <w:rPr>
          <w:rFonts w:hint="eastAsia" w:ascii="宋体" w:hAnsi="宋体" w:eastAsia="宋体" w:cs="宋体"/>
          <w:color w:val="auto"/>
          <w:sz w:val="28"/>
          <w:szCs w:val="28"/>
          <w:highlight w:val="none"/>
        </w:rPr>
        <w:t xml:space="preserve">16、投标有效期</w:t>
      </w:r>
      <w:bookmarkEnd w:id="105"/>
      <w:r/>
      <w:bookmarkEnd w:id="106"/>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16.1投标有效期为开标之日后六十（60）天。投标有效期比规定短的将被视为未实质性响应招标文件而予以拒绝。</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17、投标有效期的延长</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17.1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715"/>
        <w:ind w:firstLine="643"/>
        <w:jc w:val="both"/>
        <w:keepLines/>
        <w:keepNext/>
        <w:pageBreakBefore w:val="0"/>
        <w:spacing w:beforeAutospacing="0" w:afterAutospacing="0" w:line="480" w:lineRule="exact"/>
        <w:widowControl w:val="off"/>
        <w:rPr>
          <w:color w:val="auto"/>
          <w:highlight w:val="none"/>
        </w:rPr>
      </w:pPr>
      <w:r/>
      <w:bookmarkStart w:id="107" w:name="_Toc120614217"/>
      <w:r/>
      <w:bookmarkStart w:id="108" w:name="_Toc20823296"/>
      <w:r/>
      <w:bookmarkStart w:id="109" w:name="_Toc16938540"/>
      <w:r/>
      <w:bookmarkStart w:id="110" w:name="_Toc513029224"/>
      <w:r/>
      <w:bookmarkStart w:id="111" w:name="_Hlt26954739"/>
      <w:r/>
      <w:bookmarkStart w:id="112" w:name="_Hlt26954852"/>
      <w:r>
        <w:rPr>
          <w:rFonts w:ascii="Times New Roman" w:hAnsi="Times New Roman"/>
          <w:b/>
          <w:color w:val="auto"/>
          <w:sz w:val="32"/>
          <w:szCs w:val="32"/>
          <w:highlight w:val="none"/>
        </w:rPr>
        <w:t xml:space="preserve">四、投标文件的递交</w:t>
      </w:r>
      <w:bookmarkEnd w:id="107"/>
      <w:r/>
      <w:bookmarkEnd w:id="108"/>
      <w:r/>
      <w:bookmarkEnd w:id="109"/>
      <w:r/>
      <w:bookmarkEnd w:id="110"/>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bookmarkStart w:id="113" w:name="_Toc462564084"/>
      <w:r/>
      <w:bookmarkStart w:id="114" w:name="_Toc16938541"/>
      <w:r/>
      <w:bookmarkStart w:id="115" w:name="_Toc513029225"/>
      <w:r/>
      <w:bookmarkStart w:id="116" w:name="_Toc20823297"/>
      <w:r>
        <w:rPr>
          <w:rFonts w:hint="eastAsia" w:ascii="宋体" w:hAnsi="宋体" w:eastAsia="宋体" w:cs="宋体"/>
          <w:color w:val="auto"/>
          <w:sz w:val="28"/>
          <w:szCs w:val="28"/>
          <w:highlight w:val="none"/>
        </w:rPr>
        <w:t xml:space="preserve">18、电子投标文件</w:t>
      </w:r>
      <w:bookmarkEnd w:id="113"/>
      <w:r/>
      <w:bookmarkEnd w:id="114"/>
      <w:r/>
      <w:bookmarkEnd w:id="115"/>
      <w:r/>
      <w:bookmarkEnd w:id="116"/>
      <w:r>
        <w:rPr>
          <w:rFonts w:hint="eastAsia" w:ascii="宋体" w:hAnsi="宋体" w:eastAsia="宋体" w:cs="宋体"/>
          <w:color w:val="auto"/>
          <w:sz w:val="28"/>
          <w:szCs w:val="28"/>
          <w:highlight w:val="none"/>
        </w:rPr>
        <w:t xml:space="preserve">的递交</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18.1 投标人应当按照《操作手册》规定，在投标截止时间前制作并上传电子投标</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文件。</w:t>
      </w:r>
      <w:bookmarkStart w:id="117" w:name="_Toc20823298"/>
      <w:r/>
      <w:bookmarkEnd w:id="117"/>
      <w:r/>
      <w:bookmarkStart w:id="118" w:name="_Toc16938542"/>
      <w:r/>
      <w:bookmarkEnd w:id="118"/>
      <w:r/>
      <w:bookmarkStart w:id="119" w:name="_Toc513029226"/>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19、投标截止日期</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19.1 投标人上传电子投标文件的时间不得迟于招标公告中规定的投标截止时间。</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投标人应</w:t>
      </w:r>
      <w:r>
        <w:rPr>
          <w:rFonts w:hint="eastAsia" w:ascii="宋体" w:hAnsi="宋体" w:eastAsia="宋体" w:cs="宋体"/>
          <w:color w:val="auto"/>
          <w:sz w:val="28"/>
          <w:szCs w:val="28"/>
          <w:highlight w:val="none"/>
          <w:lang w:eastAsia="zh-CN"/>
        </w:rPr>
        <w:t xml:space="preserve">充分考虑</w:t>
      </w:r>
      <w:r>
        <w:rPr>
          <w:rFonts w:hint="eastAsia" w:ascii="宋体" w:hAnsi="宋体" w:eastAsia="宋体" w:cs="宋体"/>
          <w:color w:val="auto"/>
          <w:sz w:val="28"/>
          <w:szCs w:val="28"/>
          <w:highlight w:val="none"/>
        </w:rPr>
        <w:t xml:space="preserve">网络环境、网络带宽等风险因素，如因投标人自身原因造成的电子投标文件上传不</w:t>
      </w:r>
      <w:r>
        <w:rPr>
          <w:rFonts w:hint="eastAsia" w:ascii="宋体" w:hAnsi="宋体" w:eastAsia="宋体" w:cs="宋体"/>
          <w:color w:val="auto"/>
          <w:sz w:val="28"/>
          <w:szCs w:val="28"/>
          <w:highlight w:val="none"/>
          <w:lang w:eastAsia="zh-CN"/>
        </w:rPr>
        <w:t xml:space="preserve">成功地按照</w:t>
      </w:r>
      <w:r>
        <w:rPr>
          <w:rFonts w:hint="eastAsia" w:ascii="宋体" w:hAnsi="宋体" w:eastAsia="宋体" w:cs="宋体"/>
          <w:color w:val="auto"/>
          <w:sz w:val="28"/>
          <w:szCs w:val="28"/>
          <w:highlight w:val="none"/>
        </w:rPr>
        <w:t xml:space="preserve">本招标文件第二章第27.1.2条规定做无效投标处理。</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19.2 采购人可以按照规定，通过修改招标文件酌情延长投标截止日期，在此情况下，投标人的所有权利和义务以及投标人受制的截止日期均应以延长后新的截止日期为准。</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bookmarkStart w:id="120" w:name="_Toc16938543"/>
      <w:r/>
      <w:bookmarkStart w:id="121" w:name="_Toc513029227"/>
      <w:r/>
      <w:bookmarkStart w:id="122" w:name="_Toc20823299"/>
      <w:r>
        <w:rPr>
          <w:rFonts w:hint="eastAsia" w:ascii="宋体" w:hAnsi="宋体" w:eastAsia="宋体" w:cs="宋体"/>
          <w:color w:val="auto"/>
          <w:sz w:val="28"/>
          <w:szCs w:val="28"/>
          <w:highlight w:val="none"/>
        </w:rPr>
        <w:t xml:space="preserve">20、投标文件</w:t>
      </w:r>
      <w:bookmarkEnd w:id="120"/>
      <w:r/>
      <w:bookmarkEnd w:id="121"/>
      <w:r/>
      <w:bookmarkEnd w:id="122"/>
      <w:r>
        <w:rPr>
          <w:rFonts w:hint="eastAsia" w:ascii="宋体" w:hAnsi="宋体" w:eastAsia="宋体" w:cs="宋体"/>
          <w:color w:val="auto"/>
          <w:sz w:val="28"/>
          <w:szCs w:val="28"/>
          <w:highlight w:val="none"/>
        </w:rPr>
        <w:t xml:space="preserve">的拒收</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20.1 采购人拒绝接收在其规定的投标截止时间后上传的任何投标文件。</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bookmarkStart w:id="123" w:name="_Toc16938544"/>
      <w:r/>
      <w:bookmarkStart w:id="124" w:name="_Toc513029228"/>
      <w:r/>
      <w:bookmarkStart w:id="125" w:name="_Toc20823300"/>
      <w:r>
        <w:rPr>
          <w:rFonts w:hint="eastAsia" w:ascii="宋体" w:hAnsi="宋体" w:eastAsia="宋体" w:cs="宋体"/>
          <w:color w:val="auto"/>
          <w:sz w:val="28"/>
          <w:szCs w:val="28"/>
          <w:highlight w:val="none"/>
        </w:rPr>
        <w:t xml:space="preserve">21、投标文件的撤回和修改</w:t>
      </w:r>
      <w:bookmarkEnd w:id="123"/>
      <w:r/>
      <w:bookmarkEnd w:id="124"/>
      <w:r/>
      <w:bookmarkEnd w:id="125"/>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21.1 投标文件的撤回</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21.1.1 电子投标文件的撤回</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投标人可在投标截止时间前，撤回其电子投标文件，具体操作方法见《操作手册》。</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21.1.2 投标人撤回电子投标文件，则认为其不再参与本项目投标活动。</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21.2 投标文件的修改</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21.2.1 投标人可在投标截止时间前，对其电子投标文件进行修改，具体操作方法见《操作手册》。</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21.2.2 在投标截止时间之后，投标人不得对其电子投标文件作任何修改。</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21.3 在投标截止时间至招标文件中规定的投标有效期满之间的这段时间内，投标人不得撤回其投标。</w:t>
      </w:r>
      <w:r/>
    </w:p>
    <w:p>
      <w:pPr>
        <w:pStyle w:val="715"/>
        <w:ind w:firstLine="643"/>
        <w:jc w:val="both"/>
        <w:keepLines/>
        <w:keepNext/>
        <w:pageBreakBefore w:val="0"/>
        <w:spacing w:beforeAutospacing="0" w:afterAutospacing="0" w:line="480" w:lineRule="exact"/>
        <w:widowControl w:val="off"/>
        <w:rPr>
          <w:color w:val="auto"/>
          <w:highlight w:val="none"/>
        </w:rPr>
      </w:pPr>
      <w:r/>
      <w:bookmarkStart w:id="126" w:name="_Toc120614218"/>
      <w:r/>
      <w:bookmarkStart w:id="127" w:name="_Toc20823301"/>
      <w:r/>
      <w:bookmarkStart w:id="128" w:name="_Toc513029229"/>
      <w:r/>
      <w:bookmarkStart w:id="129" w:name="_Toc16938545"/>
      <w:r>
        <w:rPr>
          <w:rFonts w:ascii="Times New Roman" w:hAnsi="Times New Roman"/>
          <w:b/>
          <w:color w:val="auto"/>
          <w:sz w:val="32"/>
          <w:szCs w:val="32"/>
          <w:highlight w:val="none"/>
        </w:rPr>
        <w:t xml:space="preserve">五、开标与评标</w:t>
      </w:r>
      <w:bookmarkEnd w:id="126"/>
      <w:r/>
      <w:bookmarkEnd w:id="127"/>
      <w:r/>
      <w:bookmarkEnd w:id="128"/>
      <w:r/>
      <w:bookmarkEnd w:id="129"/>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bookmarkStart w:id="130" w:name="_Toc20823302"/>
      <w:r/>
      <w:bookmarkStart w:id="131" w:name="_Toc16938546"/>
      <w:r/>
      <w:bookmarkStart w:id="132" w:name="_Toc513029230"/>
      <w:r>
        <w:rPr>
          <w:rFonts w:hint="eastAsia" w:ascii="宋体" w:hAnsi="宋体" w:eastAsia="宋体" w:cs="宋体"/>
          <w:color w:val="auto"/>
          <w:sz w:val="28"/>
          <w:szCs w:val="28"/>
          <w:highlight w:val="none"/>
        </w:rPr>
        <w:t xml:space="preserve">22、开标</w:t>
      </w:r>
      <w:bookmarkEnd w:id="130"/>
      <w:r/>
      <w:bookmarkEnd w:id="131"/>
      <w:r/>
      <w:bookmarkEnd w:id="132"/>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22.1 采购人将在招标公告中规定的时间和地点组织公开开标。投标人应当按照《操作手册》规定，参加开标活动和在苏采云系统规定的时间内对投标文件进行解密。</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22.2 开标仪式由招标人组织。苏采云系统将自动对项目进行开标，并宣布各投标人名称和投标价格。</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22.3 投标人在开标过程中</w:t>
      </w:r>
      <w:r>
        <w:rPr>
          <w:rFonts w:hint="eastAsia" w:ascii="宋体" w:hAnsi="宋体" w:eastAsia="宋体" w:cs="宋体"/>
          <w:color w:val="auto"/>
          <w:sz w:val="28"/>
          <w:szCs w:val="28"/>
          <w:highlight w:val="none"/>
          <w:lang w:eastAsia="zh-CN"/>
        </w:rPr>
        <w:t xml:space="preserve">涉及的</w:t>
      </w:r>
      <w:r>
        <w:rPr>
          <w:rFonts w:hint="eastAsia" w:ascii="宋体" w:hAnsi="宋体" w:eastAsia="宋体" w:cs="宋体"/>
          <w:color w:val="auto"/>
          <w:sz w:val="28"/>
          <w:szCs w:val="28"/>
          <w:highlight w:val="none"/>
        </w:rPr>
        <w:t xml:space="preserve">投标文件解密、开标结果确认等工作，应按照《操作手册》规定执行。</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22.4 投标人如果对开标过程和开标记录有疑义，应当根据《操作手册》规定提出，如 苏采云系统中《开标记录表》宣布后5分钟内未提出的，视同认可开标结果。</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bookmarkStart w:id="133" w:name="_Toc16938547"/>
      <w:r/>
      <w:bookmarkStart w:id="134" w:name="_Toc20823303"/>
      <w:r/>
      <w:bookmarkStart w:id="135" w:name="_Toc513029231"/>
      <w:r>
        <w:rPr>
          <w:rFonts w:hint="eastAsia" w:ascii="宋体" w:hAnsi="宋体" w:eastAsia="宋体" w:cs="宋体"/>
          <w:color w:val="auto"/>
          <w:sz w:val="28"/>
          <w:szCs w:val="28"/>
          <w:highlight w:val="none"/>
        </w:rPr>
        <w:t xml:space="preserve">23、评标委员会</w:t>
      </w:r>
      <w:bookmarkEnd w:id="133"/>
      <w:r/>
      <w:bookmarkEnd w:id="134"/>
      <w:r/>
      <w:bookmarkEnd w:id="135"/>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23.1 开标后，采购人将立即组织评标委员会（以下简称评委会）进行评标。</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23.2 评委会由采购人代表和有关技术、经济等方面的专家组成，且人员构成符合政府采购有关规定。</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23.3 评委会独立工作，负责评审所有投标文件并确定中标</w:t>
      </w:r>
      <w:r>
        <w:rPr>
          <w:rFonts w:hint="eastAsia" w:ascii="宋体" w:hAnsi="宋体" w:eastAsia="宋体" w:cs="宋体"/>
          <w:color w:val="auto"/>
          <w:sz w:val="28"/>
          <w:szCs w:val="28"/>
          <w:highlight w:val="none"/>
          <w:lang w:eastAsia="zh-CN"/>
        </w:rPr>
        <w:t xml:space="preserve">候</w:t>
      </w:r>
      <w:r>
        <w:rPr>
          <w:rFonts w:hint="eastAsia" w:ascii="宋体" w:hAnsi="宋体" w:eastAsia="宋体" w:cs="宋体"/>
          <w:color w:val="auto"/>
          <w:sz w:val="28"/>
          <w:szCs w:val="28"/>
          <w:highlight w:val="none"/>
        </w:rPr>
        <w:t xml:space="preserve">选人。</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24．评标过程的保密与公正</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24.1 凡是与审查、澄清、评价和比较投标的有关资料以及授标建议等，采购人及评委不得向投标人或与评标无关的其他人员透露。</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24.2 在评标过程中，投标人不得以任何行为影响评标过程，否则其投标文件将被作为无效投标文件。</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24.3 评标委员会不向未中标的投标人解释未中标原因，也不公布评标过程中的相关细节。</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24.4 采用综合评分法的项目，未中标的投标人可于中标结果公告期限届满之日起通过苏采云系统查看自己的评审得分及排序情况。</w:t>
      </w:r>
      <w:bookmarkStart w:id="136" w:name="_Toc20823304"/>
      <w:r/>
      <w:bookmarkStart w:id="137" w:name="_Toc513029232"/>
      <w:r/>
      <w:bookmarkStart w:id="138" w:name="_Toc16938548"/>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25．投标文件的澄清</w:t>
      </w:r>
      <w:bookmarkEnd w:id="136"/>
      <w:r/>
      <w:bookmarkEnd w:id="137"/>
      <w:r/>
      <w:bookmarkEnd w:id="138"/>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bookmarkStart w:id="139" w:name="_Toc16938549"/>
      <w:r/>
      <w:bookmarkStart w:id="140" w:name="_Toc20823305"/>
      <w:r/>
      <w:bookmarkStart w:id="141" w:name="_Toc513029233"/>
      <w:r>
        <w:rPr>
          <w:rFonts w:hint="eastAsia" w:ascii="宋体" w:hAnsi="宋体" w:eastAsia="宋体" w:cs="宋体"/>
          <w:color w:val="auto"/>
          <w:sz w:val="28"/>
          <w:szCs w:val="28"/>
          <w:highlight w:val="none"/>
        </w:rPr>
        <w:t xml:space="preserve">25.1 评标期间，评委会对投标文件中含义不明确、同类问题表述不一致或者有明显文字和计算错误的内容 ，有权要求投标人作出必要的澄清、说明或者补正。</w:t>
      </w:r>
      <w:bookmarkEnd w:id="139"/>
      <w:r/>
      <w:bookmarkEnd w:id="140"/>
      <w:r/>
      <w:bookmarkEnd w:id="141"/>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投标人的澄清、说明或者补正不得超出投标文件的范围或者改变投标文件的实质性内容。</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评标委员会并非对每个投标人都做澄清要求。</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25.3 接到评委会澄清、说明和补正要求的投标人如未按规定</w:t>
      </w:r>
      <w:r>
        <w:rPr>
          <w:rFonts w:hint="eastAsia" w:ascii="宋体" w:hAnsi="宋体" w:eastAsia="宋体" w:cs="宋体"/>
          <w:color w:val="auto"/>
          <w:sz w:val="28"/>
          <w:szCs w:val="28"/>
          <w:highlight w:val="none"/>
          <w:lang w:eastAsia="zh-CN"/>
        </w:rPr>
        <w:t xml:space="preserve">作出</w:t>
      </w:r>
      <w:r>
        <w:rPr>
          <w:rFonts w:hint="eastAsia" w:ascii="宋体" w:hAnsi="宋体" w:eastAsia="宋体" w:cs="宋体"/>
          <w:color w:val="auto"/>
          <w:sz w:val="28"/>
          <w:szCs w:val="28"/>
          <w:highlight w:val="none"/>
        </w:rPr>
        <w:t xml:space="preserve">澄清、说明和补正，其风险由投标人自行承担。</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26、对投标文件的初审</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26.1 投标文件初审分为资格审查和符合性审查。</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26.1.1 资格审查：依据法律法规和招标文件的规定，由采购人对投标文件中的资格证明文件进行审查。资格审查的结论，采购人以书面形式向评委会进行反馈。</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查询结果留存并归档。</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联合体成员中任何一方存在不良信用记录的，视同联合体存在不良应用记录。</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26.1.2 符合性审查：依据招标文件的规定，由评委会从投标文件的有效性、完整性和对招标文件的响应程度进行审查，以确定是否对招标文件的实质性要求作出响应。</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26.1.3 未通过资格审查或符合性审查的投标人，将在苏采云系统中告知未通过资格审查或符合性审查的原因，评审结束后，将不再告知未通过资格审查或符合性审查的原因。</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26.3 如果投标文件实质上没有响应招标文件的要求，评委会将予以拒绝，投标人不得通过修改或撤销不合要求的偏离或保留而使其投标成为实质性响应的投标。</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26.4 评委会将对确定为实质性响应的投标进行进一步审核，看其是否有计算上或累加上的算术错误，修正错误的原则如下：</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（1）投标文件中开标一览表内容与投标文件中相应内容不一致的，以开标一览表为准。</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（2）大写金额和小写金额不一致的，以大写金额为准。</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（3）单价金额小数点或者百分比有明显错位的，以开标一览表的总价为准，并修改单价。</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（4）总价金额与按单价汇总金额不一致的，以单价金额计算结果为准。</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同时出现两种以上错误的，按照前款规定的顺序修正。</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26.5 评委会将按上述修正错误的方法调整投标文件中的投标报价，并通过苏采云系统告知投标人，调整后的价格</w:t>
      </w:r>
      <w:r>
        <w:rPr>
          <w:rFonts w:hint="eastAsia" w:ascii="宋体" w:hAnsi="宋体" w:eastAsia="宋体" w:cs="宋体"/>
          <w:color w:val="auto"/>
          <w:sz w:val="28"/>
          <w:szCs w:val="28"/>
          <w:highlight w:val="none"/>
          <w:lang w:eastAsia="zh-CN"/>
        </w:rPr>
        <w:t xml:space="preserve">对</w:t>
      </w:r>
      <w:r>
        <w:rPr>
          <w:rFonts w:hint="eastAsia" w:ascii="宋体" w:hAnsi="宋体" w:eastAsia="宋体" w:cs="宋体"/>
          <w:color w:val="auto"/>
          <w:sz w:val="28"/>
          <w:szCs w:val="28"/>
          <w:highlight w:val="none"/>
        </w:rPr>
        <w:t xml:space="preserve">投标人具有约束力。如果投标人不接受修正后的价格，则其投标将被拒绝。</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bookmarkStart w:id="142" w:name="_Toc20823306"/>
      <w:r/>
      <w:bookmarkStart w:id="143" w:name="_Toc16938550"/>
      <w:r/>
      <w:bookmarkStart w:id="144" w:name="_Toc513029234"/>
      <w:r>
        <w:rPr>
          <w:rFonts w:hint="eastAsia" w:ascii="宋体" w:hAnsi="宋体" w:eastAsia="宋体" w:cs="宋体"/>
          <w:color w:val="auto"/>
          <w:sz w:val="28"/>
          <w:szCs w:val="28"/>
          <w:highlight w:val="none"/>
        </w:rPr>
        <w:t xml:space="preserve">26.6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非单一产品采购项目，招标文件中将载明其中的核心产品。多家投标人提供的核心产品品牌相同的，按前两款规定处理。</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26.7 投标人在开、评标全过程中应保持通讯畅通，及时登录苏采云系统查阅、答复相关信息，并安排专人与采购人及评标委员会联系。</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27、无效投标条款和废标条款</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bookmarkStart w:id="145" w:name="_Toc20823307"/>
      <w:r/>
      <w:bookmarkStart w:id="146" w:name="_Toc513029235"/>
      <w:r/>
      <w:bookmarkStart w:id="147" w:name="_Toc16938551"/>
      <w:r>
        <w:rPr>
          <w:rFonts w:hint="eastAsia" w:ascii="宋体" w:hAnsi="宋体" w:eastAsia="宋体" w:cs="宋体"/>
          <w:color w:val="auto"/>
          <w:sz w:val="28"/>
          <w:szCs w:val="28"/>
          <w:highlight w:val="none"/>
        </w:rPr>
        <w:t xml:space="preserve">27.1 无效投标条款</w:t>
      </w:r>
      <w:bookmarkEnd w:id="145"/>
      <w:r/>
      <w:bookmarkEnd w:id="146"/>
      <w:r/>
      <w:bookmarkEnd w:id="147"/>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27.1.1 投标人在苏采云系统规定的时间内未成功解密电子投标文件的。</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27.1.2 投标人未按照招标文件要求上传电子投标文件的。</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27.1.3 同一投标人提交两个（含两个）以上不同的投标报价的。</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27.1.4 投标人不具备招标文件中规定资格要求的。</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27.1.5 投标人的报价超过了采购预算或最高限价的。</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27.1.6 未通过符合性审查的。</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27.1.7 不符合招标文件中规定的实质性要求和条件的（本招标文件中斜体且有下划线部分为实质性要求和条件）。</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27.1.9 投标文件含有采购人不能接受的附加条件的。</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27.1.10 评标委员会认为投标人的报价明显低于其他通过符合性审</w:t>
      </w:r>
      <w:r>
        <w:rPr>
          <w:rFonts w:hint="eastAsia" w:ascii="宋体" w:hAnsi="宋体" w:eastAsia="宋体" w:cs="宋体"/>
          <w:color w:val="auto"/>
          <w:sz w:val="28"/>
          <w:szCs w:val="28"/>
          <w:highlight w:val="none"/>
          <w:lang w:eastAsia="zh-CN"/>
        </w:rPr>
        <w:t xml:space="preserve">查的</w:t>
      </w:r>
      <w:r>
        <w:rPr>
          <w:rFonts w:hint="eastAsia" w:ascii="宋体" w:hAnsi="宋体" w:eastAsia="宋体" w:cs="宋体"/>
          <w:color w:val="auto"/>
          <w:sz w:val="28"/>
          <w:szCs w:val="28"/>
          <w:highlight w:val="none"/>
        </w:rPr>
        <w:t xml:space="preserve">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27.1.11 本项目采购产品被财政部、</w:t>
      </w:r>
      <w:r>
        <w:rPr>
          <w:rFonts w:hint="eastAsia" w:ascii="宋体" w:hAnsi="宋体" w:eastAsia="宋体" w:cs="宋体"/>
          <w:color w:val="auto"/>
          <w:sz w:val="28"/>
          <w:szCs w:val="28"/>
          <w:highlight w:val="none"/>
          <w:lang w:eastAsia="zh-CN"/>
        </w:rPr>
        <w:t xml:space="preserve">国家发展改革委</w:t>
      </w:r>
      <w:r>
        <w:rPr>
          <w:rFonts w:hint="eastAsia" w:ascii="宋体" w:hAnsi="宋体" w:eastAsia="宋体" w:cs="宋体"/>
          <w:color w:val="auto"/>
          <w:sz w:val="28"/>
          <w:szCs w:val="28"/>
          <w:highlight w:val="none"/>
        </w:rPr>
        <w:t xml:space="preserve">、生态环境部等列入“节能产品品目清单</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27.1.12 投标文件未按照招标文件要求加盖CA电子公章的。</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27.1.13 其他</w:t>
      </w:r>
      <w:r>
        <w:rPr>
          <w:rFonts w:hint="eastAsia" w:ascii="宋体" w:hAnsi="宋体" w:eastAsia="宋体" w:cs="宋体"/>
          <w:color w:val="auto"/>
          <w:sz w:val="28"/>
          <w:szCs w:val="28"/>
          <w:highlight w:val="none"/>
          <w:lang w:eastAsia="zh-CN"/>
        </w:rPr>
        <w:t xml:space="preserve">法律法规</w:t>
      </w:r>
      <w:r>
        <w:rPr>
          <w:rFonts w:hint="eastAsia" w:ascii="宋体" w:hAnsi="宋体" w:eastAsia="宋体" w:cs="宋体"/>
          <w:color w:val="auto"/>
          <w:sz w:val="28"/>
          <w:szCs w:val="28"/>
          <w:highlight w:val="none"/>
        </w:rPr>
        <w:t xml:space="preserve">及本招标文件规定的属无效投标的情形。</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27.2废标条款</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27.2.1 符合专业条件的供应商或者对招标文件</w:t>
      </w:r>
      <w:r>
        <w:rPr>
          <w:rFonts w:hint="eastAsia" w:ascii="宋体" w:hAnsi="宋体" w:eastAsia="宋体" w:cs="宋体"/>
          <w:color w:val="auto"/>
          <w:sz w:val="28"/>
          <w:szCs w:val="28"/>
          <w:highlight w:val="none"/>
          <w:lang w:eastAsia="zh-CN"/>
        </w:rPr>
        <w:t xml:space="preserve">做</w:t>
      </w:r>
      <w:r>
        <w:rPr>
          <w:rFonts w:hint="eastAsia" w:ascii="宋体" w:hAnsi="宋体" w:eastAsia="宋体" w:cs="宋体"/>
          <w:color w:val="auto"/>
          <w:sz w:val="28"/>
          <w:szCs w:val="28"/>
          <w:highlight w:val="none"/>
        </w:rPr>
        <w:t xml:space="preserve">实质响应的供应商不足三家的。27.2.2出现影响采购公正的违法、违规行为的。</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27.2.2 因重大变故，采购任务取消的。</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27.2.3评标委员会认定招标文件存在歧义、重大缺陷导致评审工作无法进行。</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27.2.4 因苏采云</w:t>
      </w:r>
      <w:r>
        <w:rPr>
          <w:rFonts w:hint="eastAsia" w:ascii="宋体" w:hAnsi="宋体" w:eastAsia="宋体" w:cs="宋体"/>
          <w:color w:val="auto"/>
          <w:sz w:val="28"/>
          <w:szCs w:val="28"/>
          <w:highlight w:val="none"/>
          <w:lang w:eastAsia="zh-CN"/>
        </w:rPr>
        <w:t xml:space="preserve">系统故障</w:t>
      </w:r>
      <w:r>
        <w:rPr>
          <w:rFonts w:hint="eastAsia" w:ascii="宋体" w:hAnsi="宋体" w:eastAsia="宋体" w:cs="宋体"/>
          <w:color w:val="auto"/>
          <w:sz w:val="28"/>
          <w:szCs w:val="28"/>
          <w:highlight w:val="none"/>
        </w:rPr>
        <w:t xml:space="preserve">原因造成开标不成功的。</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27.3 投标截止时间结束后参加投标的供应商不足三家的处理：</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27.3.1 如出现投标截止时间结束后参加投标的供应商或者在评标期间对招标文件做出实质响应的供应商不足三家情况，按政府采购相关规定执行。</w:t>
      </w:r>
      <w:r/>
    </w:p>
    <w:p>
      <w:pPr>
        <w:pStyle w:val="715"/>
        <w:ind w:firstLine="643"/>
        <w:jc w:val="both"/>
        <w:keepLines/>
        <w:keepNext/>
        <w:pageBreakBefore w:val="0"/>
        <w:spacing w:beforeAutospacing="0" w:afterAutospacing="0" w:line="480" w:lineRule="exact"/>
        <w:widowControl w:val="off"/>
        <w:rPr>
          <w:color w:val="auto"/>
          <w:highlight w:val="none"/>
        </w:rPr>
      </w:pPr>
      <w:r/>
      <w:bookmarkStart w:id="148" w:name="_Toc120614219"/>
      <w:r>
        <w:rPr>
          <w:rFonts w:ascii="Times New Roman" w:hAnsi="Times New Roman"/>
          <w:b/>
          <w:color w:val="auto"/>
          <w:sz w:val="32"/>
          <w:szCs w:val="32"/>
          <w:highlight w:val="none"/>
        </w:rPr>
        <w:t xml:space="preserve">六、定标</w:t>
      </w:r>
      <w:bookmarkEnd w:id="148"/>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bookmarkStart w:id="149" w:name="_Toc20823310"/>
      <w:r/>
      <w:bookmarkStart w:id="150" w:name="_Toc16938554"/>
      <w:r/>
      <w:bookmarkStart w:id="151" w:name="_Toc513029238"/>
      <w:r>
        <w:rPr>
          <w:rFonts w:hint="eastAsia" w:ascii="宋体" w:hAnsi="宋体" w:eastAsia="宋体" w:cs="宋体"/>
          <w:color w:val="auto"/>
          <w:sz w:val="28"/>
          <w:szCs w:val="28"/>
          <w:highlight w:val="none"/>
        </w:rPr>
        <w:t xml:space="preserve">28、</w:t>
      </w:r>
      <w:bookmarkEnd w:id="149"/>
      <w:r>
        <w:rPr>
          <w:rFonts w:hint="eastAsia" w:ascii="宋体" w:hAnsi="宋体" w:eastAsia="宋体" w:cs="宋体"/>
          <w:color w:val="auto"/>
          <w:sz w:val="28"/>
          <w:szCs w:val="28"/>
          <w:highlight w:val="none"/>
        </w:rPr>
        <w:t xml:space="preserve">确定</w:t>
      </w:r>
      <w:bookmarkEnd w:id="150"/>
      <w:r/>
      <w:bookmarkEnd w:id="151"/>
      <w:r>
        <w:rPr>
          <w:rFonts w:hint="eastAsia" w:ascii="宋体" w:hAnsi="宋体" w:eastAsia="宋体" w:cs="宋体"/>
          <w:color w:val="auto"/>
          <w:sz w:val="28"/>
          <w:szCs w:val="28"/>
          <w:highlight w:val="none"/>
        </w:rPr>
        <w:t xml:space="preserve">中标单位</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28.1 中标候选人的选取原则和数量见招标文件第五章规定。 </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28.2 采购人应根据评委会推荐的中标候选人确定中标人。</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28.3 采购人将在中国政府采购网</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江苏政府采购网</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盐城市政府采购网”发布中标公告，公告期限为1个工作日。</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28.4 若有充分证据证明，中标人出现下列情况之一的，一经查实，将被取消中标资格：</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28.4.1 提供虚假材料谋取中标的。</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28.4.2 向采购人行贿或者提供其他不正当利益的。</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28.4.3 属于本文件规定的无效条件，但在评标过程中又未被评委会发现的。</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28.4.4 与采购人或者其他供应商恶意串通的。</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28.4.5 采取不正当手段诋毁、排挤其他供应商的。</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bookmarkStart w:id="152" w:name="_Toc200451960"/>
      <w:r>
        <w:rPr>
          <w:rFonts w:hint="eastAsia" w:ascii="宋体" w:hAnsi="宋体" w:eastAsia="宋体" w:cs="宋体"/>
          <w:color w:val="auto"/>
          <w:sz w:val="28"/>
          <w:szCs w:val="28"/>
          <w:highlight w:val="none"/>
        </w:rPr>
        <w:t xml:space="preserve">28.5 有下列情形之一的，视为投标人串通投标，投标无效：</w:t>
      </w:r>
      <w:bookmarkEnd w:id="152"/>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28.5.1 不同投标人的投标文件由同一单位或者个人编制；</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28.5.2 不同投标人委托同一单位或者个人办理投标事宜；</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28.5.3 不同投标人的投标文件载明的项目管理成员或者联系人员为同一人；</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28.5.4 不同投标人的投标文件异常一致或者投标报价呈规律性差异；</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29、质疑处理</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29.1 提出质疑的供应商应当是参与所质疑项目采购活动的供应商。潜在供应商依法获取其可质疑的采购文件的，可以对采购文件提出质疑。</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29.2 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29.2.1 对可以质疑的采购文件提出质疑的，为收到采购文件之日或者采购文件公告期限届满之日；</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29.2.2 对采购过程提出质疑的，为各采购程序环节结束之日；</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29.2.3 对中标或者成交结果提出质疑的，为中标或者成交结果公告期限届满之日。</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人提出，由采购人负责答复。</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采购人只接收以纸质原件形式送达的质疑</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采购人不接受未填写快递运单的快件。质疑接收地址及联系电话详见招标公告。</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29.5 以下情形的质疑不予受理</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29.5.1 内容不符合《政府采购质疑和投诉办法》第十二条规定的质疑。</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29.5.2 超出政府采购法定期限的质疑。</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29.5.3 以传真、电子邮件等方式递交的非原件形式的质疑。</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29.5.4 未参加投标活动的供应商或在投标活动中自身权益未受到损害的供应商所提出的质疑。</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29.5.5 供应商组成联合体参加投标，联合体中任何一方或多方未按要求签字、盖章、加盖公章的质疑。</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30、中标通知书</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30.l 中标结果确定后，采购人将向中标人发出中标通知书。请中标人在中标结果公告届满之日起30日内</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因未及时下载而造成的不利后果由中标人自行承担。</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pStyle w:val="715"/>
        <w:ind w:firstLine="643"/>
        <w:jc w:val="both"/>
        <w:keepLines/>
        <w:keepNext/>
        <w:pageBreakBefore w:val="0"/>
        <w:spacing w:beforeAutospacing="0" w:afterAutospacing="0" w:line="480" w:lineRule="exact"/>
        <w:widowControl w:val="off"/>
        <w:rPr>
          <w:color w:val="auto"/>
          <w:highlight w:val="none"/>
        </w:rPr>
      </w:pPr>
      <w:r/>
      <w:bookmarkStart w:id="153" w:name="_Toc16938552"/>
      <w:r/>
      <w:bookmarkStart w:id="154" w:name="_Toc513029236"/>
      <w:r/>
      <w:bookmarkStart w:id="155" w:name="_Toc20823308"/>
      <w:r/>
      <w:bookmarkStart w:id="156" w:name="_Toc120614220"/>
      <w:r>
        <w:rPr>
          <w:rFonts w:ascii="Times New Roman" w:hAnsi="Times New Roman"/>
          <w:b/>
          <w:color w:val="auto"/>
          <w:sz w:val="32"/>
          <w:szCs w:val="32"/>
          <w:highlight w:val="none"/>
        </w:rPr>
        <w:t xml:space="preserve">七、授予合同</w:t>
      </w:r>
      <w:bookmarkEnd w:id="153"/>
      <w:r/>
      <w:bookmarkEnd w:id="154"/>
      <w:r/>
      <w:bookmarkEnd w:id="155"/>
      <w:r/>
      <w:bookmarkEnd w:id="156"/>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bookmarkStart w:id="157" w:name="_Toc513029237"/>
      <w:r/>
      <w:bookmarkStart w:id="158" w:name="_Toc16938553"/>
      <w:r/>
      <w:bookmarkStart w:id="159" w:name="_Toc20823309"/>
      <w:r>
        <w:rPr>
          <w:rFonts w:hint="eastAsia" w:ascii="宋体" w:hAnsi="宋体" w:eastAsia="宋体" w:cs="宋体"/>
          <w:color w:val="auto"/>
          <w:sz w:val="28"/>
          <w:szCs w:val="28"/>
          <w:highlight w:val="none"/>
        </w:rPr>
        <w:t xml:space="preserve">31.签订合同</w:t>
      </w:r>
      <w:bookmarkEnd w:id="157"/>
      <w:r/>
      <w:bookmarkEnd w:id="158"/>
      <w:r/>
      <w:bookmarkEnd w:id="159"/>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31.l 中标人应当在中标通知书发出之日起三十日内，按照招标文件确定的事项与采购人签订政府采购合同。</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31.2 招标文件、中标人的投标文件及招标过程中有关澄清、承诺文件均应作为合同附件。</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（备注：项目经办人在发标前应与采购人商定是否允许中标人分包履行合同，确定后该备注删除）</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32、货物（包含与货物相关的服务）的追加</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32.1 政府采购合同履行中，采购人需追加与合同标的相同的货物（包含与货物相关的服务）的，在不改变合同其他条款的前提下，可以与中标人协商签订补充合同，但所有补充合同的采购金额不超过原合同金</w:t>
      </w:r>
      <w:r>
        <w:rPr>
          <w:rFonts w:hint="eastAsia" w:ascii="宋体" w:hAnsi="宋体" w:eastAsia="宋体" w:cs="宋体"/>
          <w:color w:val="auto"/>
          <w:sz w:val="28"/>
          <w:szCs w:val="28"/>
          <w:highlight w:val="none"/>
          <w:lang w:eastAsia="zh-CN"/>
        </w:rPr>
        <w:t xml:space="preserve">额的</w:t>
      </w:r>
      <w:r>
        <w:rPr>
          <w:rFonts w:hint="eastAsia" w:ascii="宋体" w:hAnsi="宋体" w:eastAsia="宋体" w:cs="宋体"/>
          <w:color w:val="auto"/>
          <w:sz w:val="28"/>
          <w:szCs w:val="28"/>
          <w:highlight w:val="none"/>
        </w:rPr>
        <w:t xml:space="preserve">10%。</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bookmarkStart w:id="160" w:name="_Toc120614221"/>
      <w:r/>
      <w:bookmarkStart w:id="161" w:name="_Toc16938558"/>
      <w:r/>
      <w:bookmarkStart w:id="162" w:name="_Toc20823314"/>
      <w:r/>
      <w:bookmarkStart w:id="163" w:name="_Toc513029242"/>
      <w:r/>
      <w:bookmarkStart w:id="164" w:name="_Toc479757207"/>
      <w:r>
        <w:rPr>
          <w:rFonts w:hint="eastAsia" w:ascii="宋体" w:hAnsi="宋体" w:eastAsia="宋体" w:cs="宋体"/>
          <w:color w:val="auto"/>
          <w:sz w:val="28"/>
          <w:szCs w:val="28"/>
          <w:highlight w:val="none"/>
        </w:rPr>
        <w:t xml:space="preserve">33、政府采购履约资金扶持政策</w:t>
      </w:r>
      <w:bookmarkEnd w:id="160"/>
      <w:r/>
      <w:bookmarkEnd w:id="161"/>
      <w:r/>
      <w:bookmarkEnd w:id="162"/>
      <w:r/>
      <w:bookmarkEnd w:id="163"/>
      <w:r/>
      <w:bookmarkEnd w:id="164"/>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根据《转发江苏省财政厅 中国人民银行南京分行</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关于深入推进政府采购线上合同信用融资工作的通知</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34、代理服务费</w:t>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本项目代理服务费由招标人支付。</w:t>
      </w:r>
      <w:r/>
    </w:p>
    <w:p>
      <w:pPr>
        <w:pStyle w:val="715"/>
        <w:ind w:firstLine="420"/>
        <w:jc w:val="both"/>
        <w:keepLines/>
        <w:keepNext/>
        <w:spacing w:beforeAutospacing="0" w:afterAutospacing="0"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15"/>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715"/>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715"/>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第三章  合同文本</w:t>
      </w:r>
      <w:r/>
    </w:p>
    <w:p>
      <w:pPr>
        <w:pStyle w:val="715"/>
        <w:jc w:val="both"/>
        <w:keepLines/>
        <w:keepNext/>
        <w:spacing w:beforeAutospacing="0" w:afterAutospacing="0" w:line="440" w:lineRule="exact"/>
        <w:rPr>
          <w:rFonts w:hint="eastAsia" w:ascii="宋体" w:hAnsi="宋体" w:eastAsia="宋体" w:cs="宋体"/>
          <w:color w:val="auto"/>
          <w:sz w:val="28"/>
          <w:szCs w:val="28"/>
          <w:highlight w:val="none"/>
        </w:rPr>
      </w:pPr>
      <w:r/>
      <w:bookmarkStart w:id="165" w:name="_Toc16938559"/>
      <w:r/>
      <w:bookmarkStart w:id="166" w:name="_Toc513029243"/>
      <w:r/>
      <w:bookmarkStart w:id="167" w:name="_Toc20823315"/>
      <w:r/>
      <w:r/>
    </w:p>
    <w:p>
      <w:pPr>
        <w:pStyle w:val="715"/>
        <w:ind w:firstLine="560"/>
        <w:jc w:val="both"/>
        <w:keepLines/>
        <w:keepNext/>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以下为中标后</w:t>
      </w:r>
      <w:r>
        <w:rPr>
          <w:rFonts w:hint="eastAsia" w:ascii="宋体" w:hAnsi="宋体" w:eastAsia="宋体" w:cs="宋体"/>
          <w:color w:val="auto"/>
          <w:sz w:val="28"/>
          <w:szCs w:val="28"/>
          <w:highlight w:val="none"/>
          <w:lang w:eastAsia="zh-CN"/>
        </w:rPr>
        <w:t xml:space="preserve">签订</w:t>
      </w:r>
      <w:r>
        <w:rPr>
          <w:rFonts w:hint="eastAsia" w:ascii="宋体" w:hAnsi="宋体" w:eastAsia="宋体" w:cs="宋体"/>
          <w:color w:val="auto"/>
          <w:sz w:val="28"/>
          <w:szCs w:val="28"/>
          <w:highlight w:val="none"/>
        </w:rPr>
        <w:t xml:space="preserve">本项目合同的通用条款，中标人不得提出实质性的修改。</w:t>
      </w:r>
      <w:bookmarkEnd w:id="165"/>
      <w:r/>
      <w:bookmarkEnd w:id="166"/>
      <w:r/>
      <w:bookmarkEnd w:id="167"/>
      <w:r/>
      <w:r/>
    </w:p>
    <w:p>
      <w:pPr>
        <w:pageBreakBefore w:val="0"/>
        <w:spacing w:line="480" w:lineRule="exact"/>
        <w:widowControl w:val="off"/>
        <w:rPr>
          <w:rFonts w:ascii="黑体" w:eastAsia="黑体"/>
          <w:color w:val="auto"/>
          <w:sz w:val="28"/>
          <w:szCs w:val="28"/>
          <w:highlight w:val="none"/>
        </w:rPr>
      </w:pPr>
      <w:r/>
      <w:bookmarkStart w:id="168" w:name="_Toc479757211"/>
      <w:r/>
      <w:bookmarkStart w:id="169" w:name="_Toc120614244"/>
      <w:r/>
      <w:bookmarkStart w:id="170" w:name="_Toc16938590"/>
      <w:r/>
      <w:bookmarkStart w:id="171" w:name="_Toc462564139"/>
      <w:r/>
      <w:bookmarkStart w:id="172" w:name="_Hlt16619350"/>
      <w:r/>
      <w:bookmarkStart w:id="173" w:name="_Toc20823346"/>
      <w:r/>
      <w:bookmarkStart w:id="174" w:name="_Hlt16619369"/>
      <w:r/>
      <w:r/>
    </w:p>
    <w:p>
      <w:pPr>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（采购人）</w:t>
      </w:r>
      <w:r/>
    </w:p>
    <w:p>
      <w:pPr>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sz w:val="28"/>
          <w:szCs w:val="28"/>
          <w:highlight w:val="none"/>
        </w:rPr>
        <w:t xml:space="preserve">乙方：</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（中标人）</w:t>
      </w:r>
      <w:r/>
    </w:p>
    <w:p>
      <w:pP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甲方于</w:t>
      </w:r>
      <w:r>
        <w:rPr>
          <w:rFonts w:hint="eastAsia" w:ascii="宋体" w:hAnsi="宋体" w:eastAsia="宋体" w:cs="宋体"/>
          <w:color w:val="auto"/>
          <w:sz w:val="28"/>
          <w:szCs w:val="28"/>
          <w:highlight w:val="none"/>
          <w:u w:val="single"/>
        </w:rPr>
        <w:t xml:space="preserve">2024</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午在东台市公共资源交易中心进行</w:t>
      </w:r>
      <w:r>
        <w:rPr>
          <w:rFonts w:hint="eastAsia" w:ascii="宋体" w:hAnsi="宋体" w:eastAsia="宋体" w:cs="宋体"/>
          <w:color w:val="auto"/>
          <w:sz w:val="28"/>
          <w:szCs w:val="28"/>
          <w:highlight w:val="none"/>
          <w:u w:val="single"/>
        </w:rPr>
        <w:t xml:space="preserve">公开招标</w:t>
      </w:r>
      <w:r>
        <w:rPr>
          <w:rFonts w:hint="eastAsia" w:ascii="宋体" w:hAnsi="宋体" w:eastAsia="宋体" w:cs="宋体"/>
          <w:color w:val="auto"/>
          <w:sz w:val="28"/>
          <w:szCs w:val="28"/>
          <w:highlight w:val="none"/>
        </w:rPr>
        <w:t xml:space="preserve">采购（招标文件编号：</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），经综合评审，确定乙方为中标供应商，依据（或参照）《中华人民共和国政府采购法》《中华人民共和国民法典》及有关</w:t>
      </w:r>
      <w:r>
        <w:rPr>
          <w:rFonts w:hint="eastAsia" w:ascii="宋体" w:hAnsi="宋体" w:eastAsia="宋体" w:cs="宋体"/>
          <w:color w:val="auto"/>
          <w:sz w:val="28"/>
          <w:szCs w:val="28"/>
          <w:highlight w:val="none"/>
          <w:lang w:eastAsia="zh-CN"/>
        </w:rPr>
        <w:t xml:space="preserve">法律法规</w:t>
      </w:r>
      <w:r>
        <w:rPr>
          <w:rFonts w:hint="eastAsia" w:ascii="宋体" w:hAnsi="宋体" w:eastAsia="宋体" w:cs="宋体"/>
          <w:color w:val="auto"/>
          <w:sz w:val="28"/>
          <w:szCs w:val="28"/>
          <w:highlight w:val="none"/>
        </w:rPr>
        <w:t xml:space="preserve">。双方就有关事项协商一致，订立本合同。</w:t>
      </w:r>
      <w:r/>
    </w:p>
    <w:p>
      <w:pPr>
        <w:ind w:left="840"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一、合同价款及中标内容清单：</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1.合同总价人民币（大写）：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），该价格包括交付使用前的一切费用。</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2.本合同执行中相关的一切税费均由乙方负担。</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3.中标内容清单</w:t>
      </w:r>
      <w:r/>
    </w:p>
    <w:tbl>
      <w:tblPr>
        <w:tblStyle w:val="692"/>
        <w:tblW w:w="0" w:type="auto"/>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68"/>
        <w:gridCol w:w="2424"/>
        <w:gridCol w:w="1368"/>
        <w:gridCol w:w="1095"/>
        <w:gridCol w:w="1425"/>
      </w:tblGrid>
      <w:tr>
        <w:trPr>
          <w:trHeight w:val="474"/>
        </w:trPr>
        <w:tc>
          <w:tcPr>
            <w:tcW w:w="1968" w:type="dxa"/>
            <w:vAlign w:val="center"/>
            <w:textDirection w:val="lrTb"/>
            <w:noWrap w:val="false"/>
          </w:tcPr>
          <w:p>
            <w:pPr>
              <w:ind w:firstLine="0"/>
              <w:jc w:val="center"/>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货物名称</w:t>
            </w:r>
            <w:r/>
          </w:p>
        </w:tc>
        <w:tc>
          <w:tcPr>
            <w:tcW w:w="2424" w:type="dxa"/>
            <w:vAlign w:val="center"/>
            <w:textDirection w:val="lrTb"/>
            <w:noWrap w:val="false"/>
          </w:tcPr>
          <w:p>
            <w:pPr>
              <w:ind w:firstLine="0"/>
              <w:jc w:val="center"/>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品牌及</w:t>
            </w:r>
            <w:r>
              <w:rPr>
                <w:rFonts w:hint="eastAsia" w:ascii="宋体" w:hAnsi="宋体" w:eastAsia="宋体" w:cs="宋体"/>
                <w:color w:val="auto"/>
                <w:sz w:val="28"/>
                <w:szCs w:val="28"/>
                <w:highlight w:val="none"/>
              </w:rPr>
              <w:t xml:space="preserve">型号</w:t>
            </w:r>
            <w:r/>
          </w:p>
        </w:tc>
        <w:tc>
          <w:tcPr>
            <w:tcW w:w="1368" w:type="dxa"/>
            <w:vAlign w:val="center"/>
            <w:textDirection w:val="lrTb"/>
            <w:noWrap w:val="false"/>
          </w:tcPr>
          <w:p>
            <w:pPr>
              <w:ind w:firstLine="0"/>
              <w:jc w:val="center"/>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数  量</w:t>
            </w:r>
            <w:r/>
          </w:p>
        </w:tc>
        <w:tc>
          <w:tcPr>
            <w:tcW w:w="1095" w:type="dxa"/>
            <w:vAlign w:val="center"/>
            <w:textDirection w:val="lrTb"/>
            <w:noWrap w:val="false"/>
          </w:tcPr>
          <w:p>
            <w:pPr>
              <w:ind w:firstLine="0"/>
              <w:jc w:val="center"/>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  价</w:t>
            </w:r>
            <w:r/>
          </w:p>
        </w:tc>
        <w:tc>
          <w:tcPr>
            <w:tcW w:w="1425" w:type="dxa"/>
            <w:vAlign w:val="center"/>
            <w:textDirection w:val="lrTb"/>
            <w:noWrap w:val="false"/>
          </w:tcPr>
          <w:p>
            <w:pPr>
              <w:ind w:firstLine="0"/>
              <w:jc w:val="center"/>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  价</w:t>
            </w:r>
            <w:r/>
          </w:p>
        </w:tc>
      </w:tr>
      <w:tr>
        <w:trPr>
          <w:trHeight w:val="474"/>
        </w:trPr>
        <w:tc>
          <w:tcPr>
            <w:tcW w:w="1968" w:type="dxa"/>
            <w:vAlign w:val="center"/>
            <w:textDirection w:val="lrTb"/>
            <w:noWrap w:val="false"/>
          </w:tcPr>
          <w:p>
            <w:pPr>
              <w:ind w:firstLine="0"/>
              <w:jc w:val="center"/>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10吨吸粪车</w:t>
            </w:r>
            <w:r/>
          </w:p>
        </w:tc>
        <w:tc>
          <w:tcPr>
            <w:tcW w:w="2424" w:type="dxa"/>
            <w:vAlign w:val="center"/>
            <w:textDirection w:val="lrTb"/>
            <w:noWrap w:val="false"/>
          </w:tcPr>
          <w:p>
            <w:pPr>
              <w:ind w:firstLine="0"/>
              <w:jc w:val="center"/>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68" w:type="dxa"/>
            <w:vAlign w:val="center"/>
            <w:textDirection w:val="lrTb"/>
            <w:noWrap w:val="false"/>
          </w:tcPr>
          <w:p>
            <w:pPr>
              <w:ind w:firstLine="0"/>
              <w:jc w:val="center"/>
              <w:keepLines w:val="0"/>
              <w:keepNext w:val="0"/>
              <w:pageBreakBefore w:val="0"/>
              <w:spacing w:line="48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w:t>
            </w:r>
            <w:r/>
          </w:p>
        </w:tc>
        <w:tc>
          <w:tcPr>
            <w:tcW w:w="1095" w:type="dxa"/>
            <w:textDirection w:val="lrTb"/>
            <w:noWrap w:val="false"/>
          </w:tcPr>
          <w:p>
            <w:pPr>
              <w:ind w:firstLine="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25" w:type="dxa"/>
            <w:textDirection w:val="lrTb"/>
            <w:noWrap w:val="false"/>
          </w:tcPr>
          <w:p>
            <w:pPr>
              <w:ind w:firstLine="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trHeight w:val="484"/>
        </w:trPr>
        <w:tc>
          <w:tcPr>
            <w:gridSpan w:val="5"/>
            <w:tcW w:w="8280" w:type="dxa"/>
            <w:vAlign w:val="center"/>
            <w:textDirection w:val="lrTb"/>
            <w:noWrap w:val="false"/>
          </w:tcPr>
          <w:p>
            <w:pPr>
              <w:ind w:firstLine="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总价（大写）：</w:t>
            </w:r>
            <w:r/>
          </w:p>
        </w:tc>
      </w:tr>
    </w:tbl>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二、供货时间、地点及验收方法</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1.供货时间及地点</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（1）合同签订后</w:t>
      </w:r>
      <w:r>
        <w:rPr>
          <w:rFonts w:hint="eastAsia" w:ascii="宋体" w:hAnsi="宋体" w:eastAsia="宋体" w:cs="宋体"/>
          <w:color w:val="auto"/>
          <w:sz w:val="28"/>
          <w:szCs w:val="28"/>
          <w:highlight w:val="none"/>
          <w:u w:val="single"/>
          <w:lang w:val="en-US" w:eastAsia="zh-CN"/>
        </w:rPr>
        <w:t xml:space="preserve">2</w:t>
      </w:r>
      <w:r>
        <w:rPr>
          <w:rFonts w:hint="eastAsia" w:ascii="宋体" w:hAnsi="宋体" w:eastAsia="宋体" w:cs="宋体"/>
          <w:color w:val="auto"/>
          <w:sz w:val="28"/>
          <w:szCs w:val="28"/>
          <w:highlight w:val="none"/>
          <w:u w:val="single"/>
        </w:rPr>
        <w:t xml:space="preserve">0</w:t>
      </w:r>
      <w:r>
        <w:rPr>
          <w:rFonts w:hint="eastAsia" w:ascii="宋体" w:hAnsi="宋体" w:eastAsia="宋体" w:cs="宋体"/>
          <w:color w:val="auto"/>
          <w:sz w:val="28"/>
          <w:szCs w:val="28"/>
          <w:highlight w:val="none"/>
        </w:rPr>
        <w:t xml:space="preserve">日内货物全部送达</w:t>
      </w:r>
      <w:r>
        <w:rPr>
          <w:rFonts w:hint="eastAsia" w:ascii="宋体" w:hAnsi="宋体" w:eastAsia="宋体" w:cs="宋体"/>
          <w:color w:val="auto"/>
          <w:sz w:val="28"/>
          <w:szCs w:val="28"/>
          <w:highlight w:val="none"/>
          <w:u w:val="single"/>
        </w:rPr>
        <w:t xml:space="preserve">甲方指定地点</w:t>
      </w:r>
      <w:r>
        <w:rPr>
          <w:rFonts w:hint="eastAsia" w:ascii="宋体" w:hAnsi="宋体" w:eastAsia="宋体" w:cs="宋体"/>
          <w:color w:val="auto"/>
          <w:sz w:val="28"/>
          <w:szCs w:val="28"/>
          <w:highlight w:val="none"/>
        </w:rPr>
        <w:t xml:space="preserve">，并安装调试完毕。</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（2）乙方应在货物发运前对其进行满足运输距离、防潮、防震、防锈和防破损装卸等要求包装，以保证货物安全运达甲方指定地点。乙方对货物的包装应符合《商品包装政府采购需求标准（试行）</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快递包装政府采购需求标准（试行）》的规定。</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（3）使用说明书、质量检验证明书、随配附件和工具以及清单一并附于货物内。</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（4）乙方在货物发运手续办理完毕后24小时内或货到甲方48小时前通知甲方，以准备接货。</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（5）货物在交付甲方前发生的风险均由乙方负责。</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（6）货物在规定的交付期限内由乙方送达甲方指定的地点视为交付，乙方同时需通知甲方货物已送达。</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2.质量及验收方法</w:t>
      </w:r>
      <w:r/>
    </w:p>
    <w:p>
      <w:pPr>
        <w:ind w:left="279" w:firstLine="560"/>
        <w:keepLines w:val="0"/>
        <w:keepNext w:val="0"/>
        <w:pageBreakBefore w:val="0"/>
        <w:spacing w:line="48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（1）甲方依法组织履约验收工作</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对乙方的履约情况进行验收。</w:t>
      </w:r>
      <w:r>
        <w:rPr>
          <w:rFonts w:hint="eastAsia" w:ascii="宋体" w:hAnsi="宋体" w:eastAsia="宋体" w:cs="宋体"/>
          <w:color w:val="auto"/>
          <w:sz w:val="28"/>
          <w:szCs w:val="28"/>
          <w:highlight w:val="none"/>
          <w:lang w:val="en-US" w:eastAsia="zh-CN"/>
        </w:rPr>
        <w:t xml:space="preserve"> </w:t>
      </w:r>
      <w:r/>
    </w:p>
    <w:p>
      <w:pPr>
        <w:ind w:left="279"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）验收合格的项目</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sz w:val="28"/>
          <w:szCs w:val="28"/>
          <w:highlight w:val="none"/>
          <w:lang w:eastAsia="zh-CN"/>
        </w:rPr>
        <w:t xml:space="preserve">中华人民共和国民法典</w:t>
      </w:r>
      <w:r>
        <w:rPr>
          <w:rFonts w:hint="eastAsia" w:ascii="宋体" w:hAnsi="宋体" w:eastAsia="宋体" w:cs="宋体"/>
          <w:color w:val="auto"/>
          <w:sz w:val="28"/>
          <w:szCs w:val="28"/>
          <w:highlight w:val="none"/>
        </w:rPr>
        <w:t xml:space="preserve">》。乙方在履约过程中有政府采购法律法规规定的违法违规情形的</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甲方将及时报告本级财政部门。</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三、付款方式</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1.合同签订后支付30%的预付款。</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验收合格后付至合同价款的</w:t>
      </w:r>
      <w:r>
        <w:rPr>
          <w:rFonts w:hint="eastAsia" w:ascii="宋体" w:hAnsi="宋体" w:eastAsia="宋体" w:cs="宋体"/>
          <w:color w:val="auto"/>
          <w:sz w:val="28"/>
          <w:szCs w:val="28"/>
          <w:highlight w:val="none"/>
        </w:rPr>
        <w:t xml:space="preserve">9</w:t>
      </w: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w:t>
      </w:r>
      <w:r/>
    </w:p>
    <w:p>
      <w:pPr>
        <w:ind w:firstLine="560"/>
        <w:keepLines w:val="0"/>
        <w:keepNext w:val="0"/>
        <w:pageBreakBefore w:val="0"/>
        <w:spacing w:line="480" w:lineRule="exact"/>
        <w:widowControl w:val="off"/>
        <w:rPr>
          <w:color w:val="auto"/>
          <w:highlight w:val="none"/>
        </w:rPr>
      </w:pP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验收合格</w:t>
      </w:r>
      <w:r>
        <w:rPr>
          <w:rFonts w:hint="eastAsia" w:ascii="宋体" w:hAnsi="宋体" w:eastAsia="宋体" w:cs="宋体"/>
          <w:color w:val="auto"/>
          <w:sz w:val="28"/>
          <w:szCs w:val="28"/>
          <w:highlight w:val="none"/>
        </w:rPr>
        <w:t xml:space="preserve">之日起算满</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lang w:val="en-US" w:eastAsia="zh-CN"/>
        </w:rPr>
        <w:t xml:space="preserve">后</w:t>
      </w:r>
      <w:r>
        <w:rPr>
          <w:rFonts w:hint="eastAsia" w:ascii="宋体" w:hAnsi="宋体" w:eastAsia="宋体" w:cs="宋体"/>
          <w:color w:val="auto"/>
          <w:sz w:val="28"/>
          <w:szCs w:val="28"/>
          <w:highlight w:val="none"/>
        </w:rPr>
        <w:t xml:space="preserve">支</w:t>
      </w:r>
      <w:r>
        <w:rPr>
          <w:rFonts w:hint="eastAsia" w:ascii="宋体" w:hAnsi="宋体" w:eastAsia="宋体" w:cs="宋体"/>
          <w:color w:val="auto"/>
          <w:sz w:val="28"/>
          <w:szCs w:val="28"/>
          <w:highlight w:val="none"/>
          <w:lang w:val="en-US" w:eastAsia="zh-CN"/>
        </w:rPr>
        <w:t xml:space="preserve">付清余款</w:t>
      </w:r>
      <w:r>
        <w:rPr>
          <w:rFonts w:hint="eastAsia" w:ascii="宋体" w:hAnsi="宋体" w:eastAsia="宋体" w:cs="宋体"/>
          <w:color w:val="auto"/>
          <w:sz w:val="28"/>
          <w:szCs w:val="28"/>
          <w:highlight w:val="none"/>
        </w:rPr>
        <w:t xml:space="preserve">。</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.在签订合同时，乙方明确表示无需预付款或者主动要求降低预付款比例的，甲方可不适用上述关于预付款的规定。</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.结算款项时乙方须出具相应金额的有效票据。</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.甲方原则上自收到发票后10个工作日内将资金支付到乙方账户。</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四、履约保证金及售后服务承诺</w:t>
      </w:r>
      <w:r/>
    </w:p>
    <w:p>
      <w:pPr>
        <w:ind w:left="-2"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1.本合同的履约保证金数额为成交金额的5%，由乙方在合同签订前向甲方提交，项目全部完成并验收合格后30日内无息退还至投标人缴纳履约保证金的账户。如为保函，在到期时自行失效。</w:t>
      </w:r>
      <w:r/>
    </w:p>
    <w:p>
      <w:pPr>
        <w:ind w:left="-2"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2.除不可抗力情况外，乙方出现下列情形之一的，其履约保证金，甲方将视情节决定不予退还或部分不予退还。</w:t>
      </w:r>
      <w:r/>
    </w:p>
    <w:p>
      <w:pPr>
        <w:ind w:left="-2"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（1）中标人无正当理由拒绝签订合同的，或者在签订合同时向采购人提出附加条件或者更改合同实质性内容要求的；</w:t>
      </w:r>
      <w:r/>
    </w:p>
    <w:p>
      <w:pPr>
        <w:ind w:left="-2"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（2）中标人不履行与采购人订立的合同的；</w:t>
      </w:r>
      <w:r/>
    </w:p>
    <w:p>
      <w:pPr>
        <w:ind w:left="-2"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（3）中标人所供货物或服务不符合招标文件规定要求的；</w:t>
      </w:r>
      <w:r/>
    </w:p>
    <w:p>
      <w:pPr>
        <w:ind w:left="-2"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（4）中标人采取欺骗、弄虚作假方式投标的或与</w:t>
      </w:r>
      <w:r>
        <w:rPr>
          <w:rFonts w:hint="eastAsia" w:ascii="宋体" w:hAnsi="宋体" w:eastAsia="宋体" w:cs="宋体"/>
          <w:color w:val="auto"/>
          <w:sz w:val="28"/>
          <w:szCs w:val="28"/>
          <w:highlight w:val="none"/>
          <w:lang w:eastAsia="zh-CN"/>
        </w:rPr>
        <w:t xml:space="preserve">其他</w:t>
      </w:r>
      <w:r>
        <w:rPr>
          <w:rFonts w:hint="eastAsia" w:ascii="宋体" w:hAnsi="宋体" w:eastAsia="宋体" w:cs="宋体"/>
          <w:color w:val="auto"/>
          <w:sz w:val="28"/>
          <w:szCs w:val="28"/>
          <w:highlight w:val="none"/>
        </w:rPr>
        <w:t xml:space="preserve">投标人串通投标的；</w:t>
      </w:r>
      <w:r/>
    </w:p>
    <w:p>
      <w:pPr>
        <w:ind w:left="-2"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（5）中标人将合同内容转包、违法分包的；</w:t>
      </w:r>
      <w:r/>
    </w:p>
    <w:p>
      <w:pPr>
        <w:ind w:left="-2"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（6）中标人故意捏造事实或伪造证明材料，进行虚假恶意投诉或反映的。</w:t>
      </w:r>
      <w:r/>
    </w:p>
    <w:p>
      <w:pPr>
        <w:ind w:left="-2"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3.逾期退还的违约责任：采购人逾期无故未退还履约保证金的，按全国银行间同业拆借中心贷款利率上浮20%后的利率支付超期资金占用费，但因供应商自身原因导致无法及时退还的除外。</w:t>
      </w:r>
      <w:r/>
    </w:p>
    <w:p>
      <w:pPr>
        <w:ind w:left="-2"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4.履约保证金缴纳形式：乙方自主选择以支票、汇票、本票或者金融机构、担保机构出具的保函（保险）等非现金形式提交（根据苏财购</w:t>
      </w:r>
      <w:r>
        <w:rPr>
          <w:rFonts w:hint="eastAsia" w:ascii="宋体" w:hAnsi="宋体" w:eastAsia="宋体" w:cs="宋体"/>
          <w:color w:val="auto"/>
          <w:sz w:val="28"/>
          <w:szCs w:val="28"/>
          <w:highlight w:val="none"/>
          <w:lang w:eastAsia="zh-CN"/>
        </w:rPr>
        <w:t xml:space="preserve">〔2023〕150号</w:t>
      </w:r>
      <w:r>
        <w:rPr>
          <w:rFonts w:hint="eastAsia" w:ascii="宋体" w:hAnsi="宋体" w:eastAsia="宋体" w:cs="宋体"/>
          <w:color w:val="auto"/>
          <w:sz w:val="28"/>
          <w:szCs w:val="28"/>
          <w:highlight w:val="none"/>
        </w:rPr>
        <w:t xml:space="preserve">《关于在全省政府采购领域推行电子履约保函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保险</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的通知》乙方可选择电子保函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保险</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的形式），鼓励供应商自愿使用履约保函（保险）代替缴纳履约保证金。</w:t>
      </w:r>
      <w:r/>
    </w:p>
    <w:p>
      <w:pPr>
        <w:ind w:left="-2"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5.按《关于在政府采购活动中应用第三方信用报告落实“信易购”应用场景的通知》（东财购</w:t>
      </w:r>
      <w:r>
        <w:rPr>
          <w:rFonts w:hint="eastAsia" w:ascii="宋体" w:hAnsi="宋体" w:eastAsia="宋体" w:cs="宋体"/>
          <w:color w:val="auto"/>
          <w:sz w:val="28"/>
          <w:szCs w:val="28"/>
          <w:highlight w:val="none"/>
          <w:lang w:eastAsia="zh-CN"/>
        </w:rPr>
        <w:t xml:space="preserve">〔2021〕15号</w:t>
      </w:r>
      <w:r>
        <w:rPr>
          <w:rFonts w:hint="eastAsia" w:ascii="宋体" w:hAnsi="宋体" w:eastAsia="宋体" w:cs="宋体"/>
          <w:color w:val="auto"/>
          <w:sz w:val="28"/>
          <w:szCs w:val="28"/>
          <w:highlight w:val="none"/>
        </w:rPr>
        <w:t xml:space="preserve">）要求，乙方在签订采购合同前提供信用管理部门备案的第三方信用报告，且信用报告通过“信用盐城网”可查实的，则免收履约保证金。</w:t>
      </w:r>
      <w:r/>
    </w:p>
    <w:p>
      <w:pPr>
        <w:ind w:left="-2"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6.本项目的质量保证期为</w:t>
      </w:r>
      <w:r>
        <w:rPr>
          <w:rFonts w:hint="eastAsia" w:ascii="宋体" w:hAnsi="宋体" w:eastAsia="宋体" w:cs="宋体"/>
          <w:color w:val="auto"/>
          <w:sz w:val="28"/>
          <w:szCs w:val="28"/>
          <w:highlight w:val="none"/>
          <w:u w:val="single"/>
        </w:rPr>
        <w:t xml:space="preserve"> 2 </w:t>
      </w:r>
      <w:r>
        <w:rPr>
          <w:rFonts w:hint="eastAsia" w:ascii="宋体" w:hAnsi="宋体" w:eastAsia="宋体" w:cs="宋体"/>
          <w:color w:val="auto"/>
          <w:sz w:val="28"/>
          <w:szCs w:val="28"/>
          <w:highlight w:val="none"/>
        </w:rPr>
        <w:t xml:space="preserve">年。在质保期内所供货物发生故障时，中标人须在</w:t>
      </w:r>
      <w:r>
        <w:rPr>
          <w:rFonts w:hint="eastAsia" w:ascii="宋体" w:hAnsi="宋体" w:eastAsia="宋体" w:cs="宋体"/>
          <w:color w:val="auto"/>
          <w:sz w:val="28"/>
          <w:szCs w:val="28"/>
          <w:highlight w:val="none"/>
          <w:u w:val="single"/>
        </w:rPr>
        <w:t xml:space="preserve">4</w:t>
      </w:r>
      <w:r>
        <w:rPr>
          <w:rFonts w:hint="eastAsia" w:ascii="宋体" w:hAnsi="宋体" w:eastAsia="宋体" w:cs="宋体"/>
          <w:color w:val="auto"/>
          <w:sz w:val="28"/>
          <w:szCs w:val="28"/>
          <w:highlight w:val="none"/>
        </w:rPr>
        <w:t xml:space="preserve">小时内到场维修，无法修复时，须在</w:t>
      </w:r>
      <w:r>
        <w:rPr>
          <w:rFonts w:hint="eastAsia" w:ascii="宋体" w:hAnsi="宋体" w:eastAsia="宋体" w:cs="宋体"/>
          <w:color w:val="auto"/>
          <w:sz w:val="28"/>
          <w:szCs w:val="28"/>
          <w:highlight w:val="none"/>
          <w:u w:val="single"/>
        </w:rPr>
        <w:t xml:space="preserve">24</w:t>
      </w:r>
      <w:r>
        <w:rPr>
          <w:rFonts w:hint="eastAsia" w:ascii="宋体" w:hAnsi="宋体" w:eastAsia="宋体" w:cs="宋体"/>
          <w:color w:val="auto"/>
          <w:sz w:val="28"/>
          <w:szCs w:val="28"/>
          <w:highlight w:val="none"/>
        </w:rPr>
        <w:t xml:space="preserve">小时内提供备用产品，否则甲方有权自行处理，其费用在乙方履约保证金中扣除。</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7.所有货物免费送达甲方指定地点，货物的托运、安装及预装常用软件（如需要）等，均不需另行付费。</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8.根据厂方的规定对所供货物进行保修，在质量保证期内，乙方不得收取任何费用；质量保证期满后，乙方对用户货物的维修，只收成本费，并提供终生技术服务。</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9.如甲方使用不当造成货物的毁损，乙方有义务协助维修。</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五、违约责任</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1.甲方无故逾期验收和办理货款支付手续的，将按全国银行间同业拆借中心贷款利率计算。</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2.如果乙方没有按照合同规定的期限提交货物并安装完毕，甲方可要求乙方支付违约金。违约金按每天应交未交货物合同价的</w:t>
      </w:r>
      <w:r>
        <w:rPr>
          <w:rFonts w:hint="eastAsia" w:ascii="宋体" w:hAnsi="宋体" w:eastAsia="宋体" w:cs="宋体"/>
          <w:color w:val="auto"/>
          <w:sz w:val="28"/>
          <w:szCs w:val="28"/>
          <w:highlight w:val="none"/>
          <w:u w:val="single"/>
        </w:rPr>
        <w:t xml:space="preserve">0.5%</w:t>
      </w:r>
      <w:r>
        <w:rPr>
          <w:rFonts w:hint="eastAsia" w:ascii="宋体" w:hAnsi="宋体" w:eastAsia="宋体" w:cs="宋体"/>
          <w:color w:val="auto"/>
          <w:sz w:val="28"/>
          <w:szCs w:val="28"/>
          <w:highlight w:val="none"/>
        </w:rPr>
        <w:t xml:space="preserve">计收，但违约金的最高限额为应交未交货物合同价的</w:t>
      </w:r>
      <w:r>
        <w:rPr>
          <w:rFonts w:hint="eastAsia" w:ascii="宋体" w:hAnsi="宋体" w:eastAsia="宋体" w:cs="宋体"/>
          <w:color w:val="auto"/>
          <w:sz w:val="28"/>
          <w:szCs w:val="28"/>
          <w:highlight w:val="none"/>
          <w:u w:val="single"/>
        </w:rPr>
        <w:t xml:space="preserve">5%</w:t>
      </w:r>
      <w:r>
        <w:rPr>
          <w:rFonts w:hint="eastAsia" w:ascii="宋体" w:hAnsi="宋体" w:eastAsia="宋体" w:cs="宋体"/>
          <w:color w:val="auto"/>
          <w:sz w:val="28"/>
          <w:szCs w:val="28"/>
          <w:highlight w:val="none"/>
        </w:rPr>
        <w:t xml:space="preserve">，如果达到最高限额，甲方有权解除合同。</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4.全部货物安装调试完毕后，甲方不在规定时间内验收，无特殊原因，视同验收合格。</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5.乙方不得将合同标的转包给他人履行，乙方如有转包或未经甲方同意的分包行为，甲方有权终止合同。</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6.发生合同纠纷，先由甲乙双方协商解决，协商未果乙方可</w:t>
      </w:r>
      <w:r>
        <w:rPr>
          <w:rFonts w:hint="eastAsia" w:ascii="宋体" w:hAnsi="宋体" w:eastAsia="宋体" w:cs="宋体"/>
          <w:color w:val="auto"/>
          <w:sz w:val="28"/>
          <w:szCs w:val="28"/>
          <w:highlight w:val="none"/>
          <w:lang w:val="en-US" w:eastAsia="zh-CN"/>
        </w:rPr>
        <w:t xml:space="preserve">向</w:t>
      </w:r>
      <w:r>
        <w:rPr>
          <w:rFonts w:hint="eastAsia" w:ascii="宋体" w:hAnsi="宋体" w:eastAsia="宋体" w:cs="宋体"/>
          <w:color w:val="auto"/>
          <w:sz w:val="28"/>
          <w:szCs w:val="28"/>
          <w:highlight w:val="none"/>
        </w:rPr>
        <w:t xml:space="preserve">甲方所在地人民法院提起诉讼，甲方可按行政协议有关规定办理。</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六、知识产权</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七、产权担保</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乙方保证所交付的货物（包含与货物相关的服务）的所有权完全属于乙方且无任何抵押、查封等产权瑕疵。</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八、不可抗力事件处理</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1.在合同有效期内，任何一方因不可抗力事件导致不能履行合同，则合同履行期可延长，其延长期与不可抗力影响期相同。</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2.不可抗力事件发生后，应立即通知对方，并寄送有关权威机构出具的证明。</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3.不可抗力事件延续120天以上，双方应通过友好协商，确定是否继续履行合同。</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九、本合同由下列文件共同构成：</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1.本合同书；</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2.中标通知书；</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3.招标人的招标文件及其补充（答疑）资料；</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4.中标供应商的投标文件及其补充（澄清）资料。</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十、本合同未尽事宜，由甲、乙双方依据招标文件、中标供应商的投标文件另行协商解决。</w:t>
      </w:r>
      <w:r/>
    </w:p>
    <w:p>
      <w:pPr>
        <w:ind w:firstLine="560"/>
        <w:keepLines w:val="0"/>
        <w:keepNext w:val="0"/>
        <w:pageBreakBefore w:val="0"/>
        <w:spacing w:line="480" w:lineRule="exact"/>
        <w:widowControl w:val="off"/>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 xml:space="preserve">十一、本合同一式</w:t>
      </w:r>
      <w:r>
        <w:rPr>
          <w:rFonts w:hint="eastAsia" w:ascii="宋体" w:hAnsi="宋体" w:eastAsia="宋体" w:cs="宋体"/>
          <w:color w:val="auto"/>
          <w:sz w:val="28"/>
          <w:szCs w:val="28"/>
          <w:highlight w:val="none"/>
          <w:u w:val="single"/>
        </w:rPr>
        <w:t xml:space="preserve"> 六 </w:t>
      </w:r>
      <w:r>
        <w:rPr>
          <w:rFonts w:hint="eastAsia" w:ascii="宋体" w:hAnsi="宋体" w:eastAsia="宋体" w:cs="宋体"/>
          <w:color w:val="auto"/>
          <w:sz w:val="28"/>
          <w:szCs w:val="28"/>
          <w:highlight w:val="none"/>
        </w:rPr>
        <w:t xml:space="preserve">份，甲方</w:t>
      </w:r>
      <w:r>
        <w:rPr>
          <w:rFonts w:hint="eastAsia" w:ascii="宋体" w:hAnsi="宋体" w:eastAsia="宋体" w:cs="宋体"/>
          <w:color w:val="auto"/>
          <w:sz w:val="28"/>
          <w:szCs w:val="28"/>
          <w:highlight w:val="none"/>
          <w:u w:val="single"/>
        </w:rPr>
        <w:t xml:space="preserve">两</w:t>
      </w:r>
      <w:r>
        <w:rPr>
          <w:rFonts w:hint="eastAsia" w:ascii="宋体" w:hAnsi="宋体" w:eastAsia="宋体" w:cs="宋体"/>
          <w:color w:val="auto"/>
          <w:sz w:val="28"/>
          <w:szCs w:val="28"/>
          <w:highlight w:val="none"/>
        </w:rPr>
        <w:t xml:space="preserve">份、乙方</w:t>
      </w:r>
      <w:r>
        <w:rPr>
          <w:rFonts w:hint="eastAsia" w:ascii="宋体" w:hAnsi="宋体" w:eastAsia="宋体" w:cs="宋体"/>
          <w:color w:val="auto"/>
          <w:sz w:val="28"/>
          <w:szCs w:val="28"/>
          <w:highlight w:val="none"/>
          <w:u w:val="single"/>
        </w:rPr>
        <w:t xml:space="preserve">两</w:t>
      </w:r>
      <w:r>
        <w:rPr>
          <w:rFonts w:hint="eastAsia" w:ascii="宋体" w:hAnsi="宋体" w:eastAsia="宋体" w:cs="宋体"/>
          <w:color w:val="auto"/>
          <w:sz w:val="28"/>
          <w:szCs w:val="28"/>
          <w:highlight w:val="none"/>
        </w:rPr>
        <w:t xml:space="preserve">份，其他分送相关部门。采购人应当自政府采购合同签订之日起2个工作日内，将政府采购合同的扫描件（PDF格式）传送政府采购交易执行系统实施网上备案，经东台市财政局审核后，网上公示。</w:t>
      </w:r>
      <w:r/>
    </w:p>
    <w:p>
      <w:pPr>
        <w:ind w:firstLine="560"/>
        <w:keepLines w:val="0"/>
        <w:keepNext w:val="0"/>
        <w:pageBreakBefore w:val="0"/>
        <w:spacing w:line="480" w:lineRule="exact"/>
        <w:widowControl w:val="off"/>
        <w:tabs>
          <w:tab w:val="left" w:pos="525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480" w:lineRule="exact"/>
        <w:widowControl w:val="off"/>
        <w:tabs>
          <w:tab w:val="left" w:pos="525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甲方（盖章）　　　　　　　乙方（盖章）</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代表（签字）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代表（签字）　　　　　　　</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        </w:t>
      </w:r>
      <w:r/>
    </w:p>
    <w:p>
      <w:pPr>
        <w:ind w:firstLine="560"/>
        <w:jc w:val="right"/>
        <w:keepLines w:val="0"/>
        <w:keepNext w:val="0"/>
        <w:pageBreakBefore w:val="0"/>
        <w:spacing w:line="480" w:lineRule="exact"/>
        <w:widowControl w:val="off"/>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ind w:firstLine="560"/>
        <w:jc w:val="righ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2024</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w:t>
      </w:r>
      <w:r/>
    </w:p>
    <w:p>
      <w:pPr>
        <w:pStyle w:val="715"/>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715"/>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715"/>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715"/>
        <w:jc w:val="center"/>
        <w:spacing w:before="120" w:beforeAutospacing="0" w:after="120" w:afterAutospacing="0" w:line="0" w:lineRule="atLeast"/>
        <w:rPr>
          <w:color w:val="auto"/>
          <w:highlight w:val="none"/>
        </w:rPr>
        <w:outlineLvl w:val="0"/>
      </w:pPr>
      <w:r>
        <w:rPr>
          <w:rFonts w:hint="eastAsia" w:ascii="黑体" w:hAnsi="宋体" w:eastAsia="黑体" w:cs="黑体"/>
          <w:color w:val="auto"/>
          <w:sz w:val="44"/>
          <w:szCs w:val="44"/>
          <w:highlight w:val="none"/>
        </w:rPr>
        <w:t xml:space="preserve">第</w:t>
      </w:r>
      <w:bookmarkEnd w:id="168"/>
      <w:r>
        <w:rPr>
          <w:rFonts w:hint="eastAsia" w:ascii="黑体" w:hAnsi="宋体" w:eastAsia="黑体" w:cs="黑体"/>
          <w:color w:val="auto"/>
          <w:sz w:val="44"/>
          <w:szCs w:val="44"/>
          <w:highlight w:val="none"/>
        </w:rPr>
        <w:t xml:space="preserve">四章 采购需求</w:t>
      </w:r>
      <w:bookmarkEnd w:id="169"/>
      <w:r/>
      <w:bookmarkEnd w:id="170"/>
      <w:r/>
      <w:bookmarkEnd w:id="171"/>
      <w:r/>
      <w:bookmarkEnd w:id="172"/>
      <w:r/>
      <w:bookmarkEnd w:id="173"/>
      <w:r/>
      <w:r/>
    </w:p>
    <w:p>
      <w:pPr>
        <w:pStyle w:val="715"/>
        <w:ind w:firstLine="560"/>
        <w:jc w:val="both"/>
        <w:keepLines w:val="0"/>
        <w:keepNext w:val="0"/>
        <w:pageBreakBefore w:val="0"/>
        <w:spacing w:beforeAutospacing="0" w:afterAutospacing="0" w:line="480" w:lineRule="exact"/>
        <w:rPr>
          <w:rFonts w:hint="eastAsia" w:ascii="宋体" w:hAnsi="宋体" w:eastAsia="宋体" w:cs="宋体"/>
          <w:color w:val="auto"/>
          <w:sz w:val="28"/>
          <w:szCs w:val="28"/>
          <w:highlight w:val="none"/>
        </w:rPr>
      </w:pPr>
      <w:r/>
      <w:bookmarkStart w:id="175" w:name="_Toc49090575"/>
      <w:r/>
      <w:bookmarkStart w:id="176" w:name="_Toc26554093"/>
      <w:r>
        <w:rPr>
          <w:rFonts w:hint="eastAsia" w:ascii="宋体" w:hAnsi="宋体" w:eastAsia="宋体" w:cs="宋体"/>
          <w:color w:val="auto"/>
          <w:sz w:val="28"/>
          <w:szCs w:val="28"/>
          <w:highlight w:val="none"/>
        </w:rPr>
        <w:t xml:space="preserve">项目属性</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货物类项目。</w:t>
      </w:r>
      <w:bookmarkEnd w:id="175"/>
      <w:r/>
      <w:bookmarkEnd w:id="176"/>
      <w:r/>
      <w:r/>
    </w:p>
    <w:p>
      <w:pPr>
        <w:pStyle w:val="715"/>
        <w:ind w:firstLine="562"/>
        <w:jc w:val="both"/>
        <w:keepLines w:val="0"/>
        <w:keepNext w:val="0"/>
        <w:pageBreakBefore w:val="0"/>
        <w:spacing w:beforeAutospacing="0" w:afterAutospacing="0" w:line="480" w:lineRule="exact"/>
        <w:rPr>
          <w:rFonts w:ascii="Arial" w:hAnsi="Arial" w:cs="Arial"/>
          <w:b/>
          <w:bCs/>
          <w:color w:val="auto"/>
          <w:sz w:val="28"/>
          <w:szCs w:val="28"/>
          <w:highlight w:val="none"/>
        </w:rPr>
      </w:pPr>
      <w:r>
        <w:rPr>
          <w:rFonts w:hint="eastAsia" w:ascii="Arial" w:hAnsi="Arial" w:cs="Arial"/>
          <w:b/>
          <w:bCs/>
          <w:color w:val="auto"/>
          <w:sz w:val="28"/>
          <w:szCs w:val="28"/>
          <w:highlight w:val="none"/>
        </w:rPr>
        <w:t xml:space="preserve">1、采购内容</w:t>
      </w:r>
      <w:r/>
    </w:p>
    <w:p>
      <w:pPr>
        <w:pStyle w:val="715"/>
        <w:ind w:firstLine="560"/>
        <w:jc w:val="both"/>
        <w:keepLines w:val="0"/>
        <w:keepNext w:val="0"/>
        <w:pageBreakBefore w:val="0"/>
        <w:spacing w:beforeAutospacing="0" w:afterAutospacing="0" w:line="480" w:lineRule="exact"/>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10吨吸粪车1辆。</w:t>
      </w:r>
      <w:r/>
    </w:p>
    <w:p>
      <w:pPr>
        <w:pStyle w:val="715"/>
        <w:ind w:firstLine="562"/>
        <w:jc w:val="both"/>
        <w:keepLines w:val="0"/>
        <w:keepNext w:val="0"/>
        <w:pageBreakBefore w:val="0"/>
        <w:spacing w:beforeAutospacing="0" w:afterAutospacing="0" w:line="480" w:lineRule="exact"/>
        <w:rPr>
          <w:rFonts w:ascii="Arial" w:hAnsi="Arial" w:cs="Arial"/>
          <w:b/>
          <w:bCs/>
          <w:color w:val="auto"/>
          <w:sz w:val="28"/>
          <w:szCs w:val="28"/>
          <w:highlight w:val="none"/>
        </w:rPr>
      </w:pPr>
      <w:r>
        <w:rPr>
          <w:rFonts w:hint="eastAsia" w:ascii="Arial" w:hAnsi="Arial" w:cs="Arial"/>
          <w:b/>
          <w:bCs/>
          <w:color w:val="auto"/>
          <w:sz w:val="28"/>
          <w:szCs w:val="28"/>
          <w:highlight w:val="none"/>
        </w:rPr>
        <w:t xml:space="preserve">2、技术要求</w:t>
      </w:r>
      <w:r/>
    </w:p>
    <w:p>
      <w:pPr>
        <w:ind w:firstLine="562"/>
        <w:keepLines w:val="0"/>
        <w:keepNext w:val="0"/>
        <w:pageBreakBefore w:val="0"/>
        <w:spacing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2.1 参数要求</w:t>
      </w:r>
      <w:r/>
    </w:p>
    <w:tbl>
      <w:tblPr>
        <w:tblStyle w:val="692"/>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28"/>
        <w:gridCol w:w="3696"/>
        <w:gridCol w:w="3698"/>
      </w:tblGrid>
      <w:tr>
        <w:trPr>
          <w:jc w:val="center"/>
          <w:trHeight w:val="57"/>
        </w:trPr>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ind w:firstLine="0"/>
              <w:jc w:val="center"/>
              <w:keepLines w:val="0"/>
              <w:keepNext w:val="0"/>
              <w:pageBreakBefore w:val="0"/>
              <w:spacing w:line="48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2168" w:type="pct"/>
            <w:vAlign w:val="center"/>
            <w:textDirection w:val="lrTb"/>
            <w:noWrap/>
          </w:tcPr>
          <w:p>
            <w:pPr>
              <w:ind w:firstLine="0"/>
              <w:jc w:val="center"/>
              <w:keepLines w:val="0"/>
              <w:keepNext w:val="0"/>
              <w:pageBreakBefore w:val="0"/>
              <w:spacing w:line="48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2169" w:type="pct"/>
            <w:vAlign w:val="center"/>
            <w:textDirection w:val="lrTb"/>
            <w:noWrap/>
          </w:tcPr>
          <w:p>
            <w:pPr>
              <w:ind w:firstLine="0"/>
              <w:jc w:val="center"/>
              <w:keepLines w:val="0"/>
              <w:keepNext w:val="0"/>
              <w:pageBreakBefore w:val="0"/>
              <w:spacing w:line="48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要求</w:t>
            </w:r>
            <w:r/>
          </w:p>
        </w:tc>
      </w:tr>
      <w:tr>
        <w:trPr>
          <w:jc w:val="center"/>
          <w:trHeight w:val="57"/>
        </w:trPr>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168"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底盘发动机功率（kW）</w:t>
            </w:r>
            <w:r/>
          </w:p>
        </w:tc>
        <w:tc>
          <w:tcPr>
            <w:shd w:val="clear" w:color="auto" w:fill="ffffff"/>
            <w:tcBorders>
              <w:top w:val="single" w:color="000000" w:sz="4" w:space="0"/>
              <w:left w:val="single" w:color="000000" w:sz="4" w:space="0"/>
              <w:bottom w:val="single" w:color="000000" w:sz="4" w:space="0"/>
              <w:right w:val="single" w:color="000000" w:sz="4" w:space="0"/>
            </w:tcBorders>
            <w:tcW w:w="2169"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≥169</w:t>
            </w:r>
            <w:r/>
          </w:p>
        </w:tc>
      </w:tr>
      <w:tr>
        <w:trPr>
          <w:jc w:val="center"/>
          <w:trHeight w:val="57"/>
        </w:trPr>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168"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排放标准</w:t>
            </w:r>
            <w:r/>
          </w:p>
        </w:tc>
        <w:tc>
          <w:tcPr>
            <w:shd w:val="clear" w:color="auto" w:fill="ffffff"/>
            <w:tcBorders>
              <w:top w:val="single" w:color="000000" w:sz="4" w:space="0"/>
              <w:left w:val="single" w:color="000000" w:sz="4" w:space="0"/>
              <w:bottom w:val="single" w:color="000000" w:sz="4" w:space="0"/>
              <w:right w:val="single" w:color="000000" w:sz="4" w:space="0"/>
            </w:tcBorders>
            <w:tcW w:w="2169"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r>
      <w:tr>
        <w:trPr>
          <w:jc w:val="center"/>
          <w:trHeight w:val="57"/>
        </w:trPr>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168"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总质量（kg）</w:t>
            </w:r>
            <w:r/>
          </w:p>
        </w:tc>
        <w:tc>
          <w:tcPr>
            <w:shd w:val="clear" w:color="auto" w:fill="ffffff"/>
            <w:tcBorders>
              <w:top w:val="single" w:color="000000" w:sz="4" w:space="0"/>
              <w:left w:val="single" w:color="000000" w:sz="4" w:space="0"/>
              <w:bottom w:val="single" w:color="000000" w:sz="4" w:space="0"/>
              <w:right w:val="single" w:color="000000" w:sz="4" w:space="0"/>
            </w:tcBorders>
            <w:tcW w:w="2169"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≥18000</w:t>
            </w:r>
            <w:r/>
          </w:p>
        </w:tc>
      </w:tr>
      <w:tr>
        <w:trPr>
          <w:jc w:val="center"/>
          <w:trHeight w:val="57"/>
        </w:trPr>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168"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最高车速（km/h）</w:t>
            </w:r>
            <w:r/>
          </w:p>
        </w:tc>
        <w:tc>
          <w:tcPr>
            <w:shd w:val="clear" w:color="auto" w:fill="ffffff"/>
            <w:tcBorders>
              <w:top w:val="single" w:color="000000" w:sz="4" w:space="0"/>
              <w:left w:val="single" w:color="000000" w:sz="4" w:space="0"/>
              <w:bottom w:val="single" w:color="000000" w:sz="4" w:space="0"/>
              <w:right w:val="single" w:color="000000" w:sz="4" w:space="0"/>
            </w:tcBorders>
            <w:tcW w:w="2169"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r>
      <w:tr>
        <w:trPr>
          <w:jc w:val="center"/>
          <w:trHeight w:val="57"/>
        </w:trPr>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168"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车长</w:t>
            </w:r>
            <w:r/>
          </w:p>
        </w:tc>
        <w:tc>
          <w:tcPr>
            <w:shd w:val="clear" w:color="auto" w:fill="ffffff"/>
            <w:tcBorders>
              <w:top w:val="single" w:color="000000" w:sz="4" w:space="0"/>
              <w:left w:val="single" w:color="000000" w:sz="4" w:space="0"/>
              <w:bottom w:val="single" w:color="000000" w:sz="4" w:space="0"/>
              <w:right w:val="single" w:color="000000" w:sz="4" w:space="0"/>
            </w:tcBorders>
            <w:tcW w:w="2169"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≥8300</w:t>
            </w:r>
            <w:r/>
          </w:p>
        </w:tc>
      </w:tr>
      <w:tr>
        <w:trPr>
          <w:jc w:val="center"/>
          <w:trHeight w:val="57"/>
        </w:trPr>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168"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车高</w:t>
            </w:r>
            <w:r/>
          </w:p>
        </w:tc>
        <w:tc>
          <w:tcPr>
            <w:shd w:val="clear" w:color="auto" w:fill="ffffff"/>
            <w:tcBorders>
              <w:top w:val="single" w:color="000000" w:sz="4" w:space="0"/>
              <w:left w:val="single" w:color="000000" w:sz="4" w:space="0"/>
              <w:bottom w:val="single" w:color="000000" w:sz="4" w:space="0"/>
              <w:right w:val="single" w:color="000000" w:sz="4" w:space="0"/>
            </w:tcBorders>
            <w:tcW w:w="2169"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≥2900</w:t>
            </w:r>
            <w:r/>
          </w:p>
        </w:tc>
      </w:tr>
      <w:tr>
        <w:trPr>
          <w:jc w:val="center"/>
          <w:trHeight w:val="57"/>
        </w:trPr>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168"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车宽</w:t>
            </w:r>
            <w:r/>
          </w:p>
        </w:tc>
        <w:tc>
          <w:tcPr>
            <w:shd w:val="clear" w:color="auto" w:fill="ffffff"/>
            <w:tcBorders>
              <w:top w:val="single" w:color="000000" w:sz="4" w:space="0"/>
              <w:left w:val="single" w:color="000000" w:sz="4" w:space="0"/>
              <w:bottom w:val="single" w:color="000000" w:sz="4" w:space="0"/>
              <w:right w:val="single" w:color="000000" w:sz="4" w:space="0"/>
            </w:tcBorders>
            <w:tcW w:w="2169" w:type="pct"/>
            <w:vAlign w:val="center"/>
            <w:textDirection w:val="lrTb"/>
            <w:noWrap w:val="false"/>
          </w:tcPr>
          <w:p>
            <w:pPr>
              <w:ind w:firstLine="0"/>
              <w:jc w:val="center"/>
              <w:keepLines w:val="0"/>
              <w:keepNext w:val="0"/>
              <w:pageBreakBefore w:val="0"/>
              <w:spacing w:line="48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≥2500</w:t>
            </w:r>
            <w:r/>
          </w:p>
        </w:tc>
      </w:tr>
      <w:tr>
        <w:trPr>
          <w:jc w:val="center"/>
          <w:trHeight w:val="57"/>
        </w:trPr>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168"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整备质量（kg）</w:t>
            </w:r>
            <w:r/>
          </w:p>
        </w:tc>
        <w:tc>
          <w:tcPr>
            <w:shd w:val="clear" w:color="auto" w:fill="ffffff"/>
            <w:tcBorders>
              <w:top w:val="single" w:color="000000" w:sz="4" w:space="0"/>
              <w:left w:val="single" w:color="000000" w:sz="4" w:space="0"/>
              <w:bottom w:val="single" w:color="000000" w:sz="4" w:space="0"/>
              <w:right w:val="single" w:color="000000" w:sz="4" w:space="0"/>
            </w:tcBorders>
            <w:tcW w:w="2169"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≤8300</w:t>
            </w:r>
            <w:r/>
          </w:p>
        </w:tc>
      </w:tr>
      <w:tr>
        <w:trPr>
          <w:jc w:val="center"/>
          <w:trHeight w:val="57"/>
        </w:trPr>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168"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olor w:val="auto"/>
                <w:sz w:val="24"/>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额定载质量（kg）</w:t>
            </w:r>
            <w:r/>
          </w:p>
        </w:tc>
        <w:tc>
          <w:tcPr>
            <w:shd w:val="clear" w:color="auto" w:fill="ffffff"/>
            <w:tcBorders>
              <w:top w:val="single" w:color="000000" w:sz="4" w:space="0"/>
              <w:left w:val="single" w:color="000000" w:sz="4" w:space="0"/>
              <w:bottom w:val="single" w:color="000000" w:sz="4" w:space="0"/>
              <w:right w:val="single" w:color="000000" w:sz="4" w:space="0"/>
            </w:tcBorders>
            <w:tcW w:w="2169"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≥9500</w:t>
            </w:r>
            <w:r/>
          </w:p>
        </w:tc>
      </w:tr>
      <w:tr>
        <w:trPr>
          <w:jc w:val="center"/>
          <w:trHeight w:val="57"/>
        </w:trPr>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168"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olor w:val="auto"/>
                <w:sz w:val="24"/>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接近角/离去角（°）</w:t>
            </w:r>
            <w:r/>
          </w:p>
        </w:tc>
        <w:tc>
          <w:tcPr>
            <w:shd w:val="clear" w:color="auto" w:fill="ffffff"/>
            <w:tcBorders>
              <w:top w:val="single" w:color="000000" w:sz="4" w:space="0"/>
              <w:left w:val="single" w:color="000000" w:sz="4" w:space="0"/>
              <w:bottom w:val="single" w:color="000000" w:sz="4" w:space="0"/>
              <w:right w:val="single" w:color="000000" w:sz="4" w:space="0"/>
            </w:tcBorders>
            <w:tcW w:w="2169"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≥17/14</w:t>
            </w:r>
            <w:r/>
          </w:p>
        </w:tc>
      </w:tr>
      <w:tr>
        <w:trPr>
          <w:jc w:val="center"/>
          <w:trHeight w:val="57"/>
        </w:trPr>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168"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罐体有效容积 (m³)</w:t>
            </w:r>
            <w:r/>
          </w:p>
        </w:tc>
        <w:tc>
          <w:tcPr>
            <w:shd w:val="clear" w:color="auto" w:fill="ffffff"/>
            <w:tcBorders>
              <w:top w:val="single" w:color="000000" w:sz="4" w:space="0"/>
              <w:left w:val="single" w:color="000000" w:sz="4" w:space="0"/>
              <w:bottom w:val="single" w:color="000000" w:sz="4" w:space="0"/>
              <w:right w:val="single" w:color="000000" w:sz="4" w:space="0"/>
            </w:tcBorders>
            <w:tcW w:w="2169"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r>
      <w:tr>
        <w:trPr>
          <w:jc w:val="center"/>
          <w:trHeight w:val="57"/>
        </w:trPr>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2168"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抽吸高度（m）</w:t>
            </w:r>
            <w:r/>
          </w:p>
        </w:tc>
        <w:tc>
          <w:tcPr>
            <w:shd w:val="clear" w:color="auto" w:fill="ffffff"/>
            <w:tcBorders>
              <w:top w:val="single" w:color="000000" w:sz="4" w:space="0"/>
              <w:left w:val="single" w:color="000000" w:sz="4" w:space="0"/>
              <w:bottom w:val="single" w:color="000000" w:sz="4" w:space="0"/>
              <w:right w:val="single" w:color="000000" w:sz="4" w:space="0"/>
            </w:tcBorders>
            <w:tcW w:w="2169" w:type="pct"/>
            <w:vAlign w:val="center"/>
            <w:textDirection w:val="lrTb"/>
            <w:noWrap w:val="false"/>
          </w:tcPr>
          <w:p>
            <w:pPr>
              <w:ind w:firstLine="0"/>
              <w:jc w:val="center"/>
              <w:keepLines w:val="0"/>
              <w:keepNext w:val="0"/>
              <w:pageBreakBefore w:val="0"/>
              <w:spacing w:line="48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jc w:val="center"/>
          <w:trHeight w:val="57"/>
        </w:trPr>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2168"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抽吸长度（m）</w:t>
            </w:r>
            <w:r/>
          </w:p>
        </w:tc>
        <w:tc>
          <w:tcPr>
            <w:shd w:val="clear" w:color="auto" w:fill="ffffff"/>
            <w:tcBorders>
              <w:top w:val="single" w:color="000000" w:sz="4" w:space="0"/>
              <w:left w:val="single" w:color="000000" w:sz="4" w:space="0"/>
              <w:bottom w:val="single" w:color="000000" w:sz="4" w:space="0"/>
              <w:right w:val="single" w:color="000000" w:sz="4" w:space="0"/>
            </w:tcBorders>
            <w:tcW w:w="2169" w:type="pct"/>
            <w:vAlign w:val="center"/>
            <w:textDirection w:val="lrTb"/>
            <w:noWrap w:val="false"/>
          </w:tcPr>
          <w:p>
            <w:pPr>
              <w:ind w:firstLine="0"/>
              <w:jc w:val="center"/>
              <w:keepLines w:val="0"/>
              <w:keepNext w:val="0"/>
              <w:pageBreakBefore w:val="0"/>
              <w:spacing w:line="48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r>
      <w:tr>
        <w:trPr>
          <w:jc w:val="center"/>
          <w:trHeight w:val="57"/>
        </w:trPr>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2168"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抽吸时间（min）</w:t>
            </w:r>
            <w:r/>
          </w:p>
        </w:tc>
        <w:tc>
          <w:tcPr>
            <w:shd w:val="clear" w:color="auto" w:fill="ffffff"/>
            <w:tcBorders>
              <w:top w:val="single" w:color="000000" w:sz="4" w:space="0"/>
              <w:left w:val="single" w:color="000000" w:sz="4" w:space="0"/>
              <w:bottom w:val="single" w:color="000000" w:sz="4" w:space="0"/>
              <w:right w:val="single" w:color="000000" w:sz="4" w:space="0"/>
            </w:tcBorders>
            <w:tcW w:w="2169" w:type="pct"/>
            <w:vAlign w:val="center"/>
            <w:textDirection w:val="lrTb"/>
            <w:noWrap w:val="false"/>
          </w:tcPr>
          <w:p>
            <w:pPr>
              <w:ind w:firstLine="0"/>
              <w:jc w:val="center"/>
              <w:keepLines w:val="0"/>
              <w:keepNext w:val="0"/>
              <w:pageBreakBefore w:val="0"/>
              <w:spacing w:line="48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jc w:val="center"/>
          <w:trHeight w:val="57"/>
        </w:trPr>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2168"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排空时间（min）</w:t>
            </w:r>
            <w:r/>
          </w:p>
        </w:tc>
        <w:tc>
          <w:tcPr>
            <w:shd w:val="clear" w:color="auto" w:fill="ffffff"/>
            <w:tcBorders>
              <w:top w:val="single" w:color="000000" w:sz="4" w:space="0"/>
              <w:left w:val="single" w:color="000000" w:sz="4" w:space="0"/>
              <w:bottom w:val="single" w:color="000000" w:sz="4" w:space="0"/>
              <w:right w:val="single" w:color="000000" w:sz="4" w:space="0"/>
            </w:tcBorders>
            <w:tcW w:w="2169" w:type="pct"/>
            <w:vAlign w:val="center"/>
            <w:textDirection w:val="lrTb"/>
            <w:noWrap w:val="false"/>
          </w:tcPr>
          <w:p>
            <w:pPr>
              <w:ind w:firstLine="0"/>
              <w:jc w:val="center"/>
              <w:keepLines w:val="0"/>
              <w:keepNext w:val="0"/>
              <w:pageBreakBefore w:val="0"/>
              <w:spacing w:line="48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jc w:val="center"/>
          <w:trHeight w:val="57"/>
        </w:trPr>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2168"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额定转速（rpm）</w:t>
            </w:r>
            <w:r/>
          </w:p>
        </w:tc>
        <w:tc>
          <w:tcPr>
            <w:shd w:val="clear" w:color="auto" w:fill="ffffff"/>
            <w:tcBorders>
              <w:top w:val="single" w:color="000000" w:sz="4" w:space="0"/>
              <w:left w:val="single" w:color="000000" w:sz="4" w:space="0"/>
              <w:bottom w:val="single" w:color="000000" w:sz="4" w:space="0"/>
              <w:right w:val="single" w:color="000000" w:sz="4" w:space="0"/>
            </w:tcBorders>
            <w:tcW w:w="2169"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w:t>
            </w:r>
            <w:r/>
          </w:p>
        </w:tc>
      </w:tr>
      <w:tr>
        <w:trPr>
          <w:jc w:val="center"/>
          <w:trHeight w:val="57"/>
        </w:trPr>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2168"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极限真空度（MPa）</w:t>
            </w:r>
            <w:r/>
          </w:p>
        </w:tc>
        <w:tc>
          <w:tcPr>
            <w:shd w:val="clear" w:color="auto" w:fill="ffffff"/>
            <w:tcBorders>
              <w:top w:val="single" w:color="000000" w:sz="4" w:space="0"/>
              <w:left w:val="single" w:color="000000" w:sz="4" w:space="0"/>
              <w:bottom w:val="single" w:color="000000" w:sz="4" w:space="0"/>
              <w:right w:val="single" w:color="000000" w:sz="4" w:space="0"/>
            </w:tcBorders>
            <w:tcW w:w="2169"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≤-0.09</w:t>
            </w:r>
            <w:r/>
          </w:p>
        </w:tc>
      </w:tr>
      <w:tr>
        <w:trPr>
          <w:jc w:val="center"/>
          <w:trHeight w:val="57"/>
        </w:trPr>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firstLine="0"/>
              <w:jc w:val="center"/>
              <w:keepLines w:val="0"/>
              <w:keepNext w:val="0"/>
              <w:pageBreakBefore w:val="0"/>
              <w:spacing w:line="480" w:lineRule="exact"/>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2168"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olor w:val="auto"/>
                <w:sz w:val="24"/>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 作业噪声（db(A)</w:t>
            </w:r>
            <w:r/>
          </w:p>
        </w:tc>
        <w:tc>
          <w:tcPr>
            <w:shd w:val="clear" w:color="auto" w:fill="ffffff"/>
            <w:tcBorders>
              <w:top w:val="single" w:color="000000" w:sz="4" w:space="0"/>
              <w:left w:val="single" w:color="000000" w:sz="4" w:space="0"/>
              <w:bottom w:val="single" w:color="000000" w:sz="4" w:space="0"/>
              <w:right w:val="single" w:color="000000" w:sz="4" w:space="0"/>
            </w:tcBorders>
            <w:tcW w:w="2169" w:type="pct"/>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r>
    </w:tbl>
    <w:p>
      <w:pPr>
        <w:pStyle w:val="715"/>
        <w:ind w:firstLine="562"/>
        <w:jc w:val="both"/>
        <w:keepLines w:val="0"/>
        <w:keepNext w:val="0"/>
        <w:pageBreakBefore w:val="0"/>
        <w:spacing w:beforeAutospacing="0" w:afterAutospacing="0" w:line="480" w:lineRule="exact"/>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2.2主要性能要求</w:t>
      </w:r>
      <w:r/>
    </w:p>
    <w:p>
      <w:pPr>
        <w:pStyle w:val="715"/>
        <w:ind w:firstLine="560"/>
        <w:jc w:val="both"/>
        <w:keepLines w:val="0"/>
        <w:keepNext w:val="0"/>
        <w:pageBreakBefore w:val="0"/>
        <w:spacing w:beforeAutospacing="0" w:afterAutospacing="0"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1.罐体参照压力容器标准制造</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液罐是由4mm厚的钢板焊接而成，罐体截面为椭圆形，罐内焊有加强圈和防波板，以加强罐体刚度和减轻行驶中罐内液体对罐底的冲击。液罐内表面涂覆环氧酯底漆和沥青耐酸漆，具有优良的防腐性能。</w:t>
      </w:r>
      <w:r/>
    </w:p>
    <w:p>
      <w:pPr>
        <w:pStyle w:val="715"/>
        <w:ind w:firstLine="560"/>
        <w:jc w:val="both"/>
        <w:keepLines w:val="0"/>
        <w:keepNext w:val="0"/>
        <w:pageBreakBefore w:val="0"/>
        <w:spacing w:beforeAutospacing="0" w:afterAutospacing="0"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2.为避免作业扰民和高效作业，车辆应选用低噪音、低转速高效真空泵，真空泵额定转速不超过600转/分钟；发动机在怠速下</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无需加油门</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就可以使真空泵正常工作，5分钟内完成满罐工作从而保证节能环保。</w:t>
      </w:r>
      <w:r/>
    </w:p>
    <w:p>
      <w:pPr>
        <w:pStyle w:val="715"/>
        <w:ind w:firstLine="560"/>
        <w:jc w:val="both"/>
        <w:keepLines w:val="0"/>
        <w:keepNext w:val="0"/>
        <w:pageBreakBefore w:val="0"/>
        <w:spacing w:beforeAutospacing="0" w:afterAutospacing="0"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3.车辆应配有专用洗手水箱，配有防溢流装置（吸满液体，自动打开，防止粪便污水倒灌至真空泵），配备油气分离器、水汽分离器、粗滤器等全套分离装置。</w:t>
      </w:r>
      <w:r/>
    </w:p>
    <w:p>
      <w:pPr>
        <w:pStyle w:val="715"/>
        <w:ind w:firstLine="560"/>
        <w:jc w:val="both"/>
        <w:keepLines w:val="0"/>
        <w:keepNext w:val="0"/>
        <w:pageBreakBefore w:val="0"/>
        <w:spacing w:beforeAutospacing="0" w:afterAutospacing="0"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★4.后放粪阀可加装减速器轻松控制球阀，后放粪阀球阀可连接其他管路实现长距离排泄。（以公告照片为准）</w:t>
      </w:r>
      <w:r/>
    </w:p>
    <w:p>
      <w:pPr>
        <w:pStyle w:val="715"/>
        <w:ind w:firstLine="560"/>
        <w:jc w:val="both"/>
        <w:keepLines w:val="0"/>
        <w:keepNext w:val="0"/>
        <w:pageBreakBefore w:val="0"/>
        <w:spacing w:beforeAutospacing="0" w:afterAutospacing="0"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5.根据采购方需求罐体上部可选装短旋转头或长距离吊杆。</w:t>
      </w:r>
      <w:r/>
    </w:p>
    <w:p>
      <w:pPr>
        <w:pStyle w:val="715"/>
        <w:ind w:firstLine="560"/>
        <w:jc w:val="both"/>
        <w:keepLines w:val="0"/>
        <w:keepNext w:val="0"/>
        <w:pageBreakBefore w:val="0"/>
        <w:spacing w:beforeAutospacing="0" w:afterAutospacing="0"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6.垃圾箱内腔关键部位需采用高品质耐腐蚀性强的耐候钢，极限强度高，耐腐蚀能力强，使用寿命长，尤其适用于腐蚀性作业环境；</w:t>
      </w:r>
      <w:r/>
    </w:p>
    <w:p>
      <w:pPr>
        <w:pStyle w:val="715"/>
        <w:ind w:firstLine="560"/>
        <w:jc w:val="both"/>
        <w:keepLines w:val="0"/>
        <w:keepNext w:val="0"/>
        <w:pageBreakBefore w:val="0"/>
        <w:spacing w:beforeAutospacing="0" w:afterAutospacing="0"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7.标配6米优质吸粪管，需要情况下可快接50米吸粪管，以便部分地区不</w:t>
      </w:r>
      <w:r>
        <w:rPr>
          <w:rFonts w:hint="eastAsia" w:ascii="宋体" w:hAnsi="宋体" w:eastAsia="宋体" w:cs="宋体"/>
          <w:color w:val="auto"/>
          <w:sz w:val="28"/>
          <w:szCs w:val="28"/>
          <w:highlight w:val="none"/>
          <w:lang w:eastAsia="zh-CN"/>
        </w:rPr>
        <w:t xml:space="preserve">方</w:t>
      </w:r>
      <w:r>
        <w:rPr>
          <w:rFonts w:hint="eastAsia" w:ascii="宋体" w:hAnsi="宋体" w:eastAsia="宋体" w:cs="宋体"/>
          <w:color w:val="auto"/>
          <w:sz w:val="28"/>
          <w:szCs w:val="28"/>
          <w:highlight w:val="none"/>
        </w:rPr>
        <w:t xml:space="preserve">便驶入直接远距离抽吸。</w:t>
      </w:r>
      <w:r/>
    </w:p>
    <w:p>
      <w:pPr>
        <w:pStyle w:val="715"/>
        <w:ind w:firstLine="560"/>
        <w:jc w:val="both"/>
        <w:keepLines w:val="0"/>
        <w:keepNext w:val="0"/>
        <w:pageBreakBefore w:val="0"/>
        <w:spacing w:beforeAutospacing="0" w:afterAutospacing="0"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★8.胶管箱安装在罐体上，其作用是安放吸粪胶管，以及使用时随车带的工具。胶管箱上安装有铝合金门，并使用门锁锁牢。（以公告照片为准）</w:t>
      </w:r>
      <w:r/>
    </w:p>
    <w:p>
      <w:pPr>
        <w:pStyle w:val="715"/>
        <w:ind w:firstLine="560"/>
        <w:jc w:val="both"/>
        <w:keepLines w:val="0"/>
        <w:keepNext w:val="0"/>
        <w:pageBreakBefore w:val="0"/>
        <w:spacing w:beforeAutospacing="0" w:afterAutospacing="0"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9.清理口位于罐体后封头的下方或者罐体后上部，用螺栓和开口压杆的方式密封，便于日常快捷开启，清理罐体内的杂物。</w:t>
      </w:r>
      <w:r/>
    </w:p>
    <w:p>
      <w:pPr>
        <w:pStyle w:val="715"/>
        <w:ind w:firstLine="562"/>
        <w:jc w:val="both"/>
        <w:keepLines w:val="0"/>
        <w:keepNext w:val="0"/>
        <w:pageBreakBefore w:val="0"/>
        <w:spacing w:beforeAutospacing="0" w:afterAutospacing="0" w:line="480" w:lineRule="exact"/>
        <w:rPr>
          <w:rFonts w:ascii="Arial" w:hAnsi="Arial" w:cs="Arial"/>
          <w:b/>
          <w:bCs/>
          <w:color w:val="auto"/>
          <w:sz w:val="28"/>
          <w:szCs w:val="28"/>
          <w:highlight w:val="none"/>
        </w:rPr>
      </w:pPr>
      <w:r>
        <w:rPr>
          <w:rFonts w:hint="eastAsia" w:ascii="Arial" w:hAnsi="Arial" w:cs="Arial"/>
          <w:b/>
          <w:bCs/>
          <w:color w:val="auto"/>
          <w:sz w:val="28"/>
          <w:szCs w:val="28"/>
          <w:highlight w:val="none"/>
        </w:rPr>
        <w:t xml:space="preserve">3、商务要求</w:t>
      </w:r>
      <w:r/>
    </w:p>
    <w:p>
      <w:pPr>
        <w:pStyle w:val="715"/>
        <w:ind w:firstLine="560"/>
        <w:jc w:val="both"/>
        <w:keepLines w:val="0"/>
        <w:keepNext w:val="0"/>
        <w:pageBreakBefore w:val="0"/>
        <w:spacing w:beforeAutospacing="0" w:afterAutospacing="0"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 履约期限</w:t>
      </w:r>
      <w:r/>
    </w:p>
    <w:p>
      <w:pPr>
        <w:pStyle w:val="715"/>
        <w:ind w:firstLine="560"/>
        <w:jc w:val="both"/>
        <w:keepLines w:val="0"/>
        <w:keepNext w:val="0"/>
        <w:pageBreakBefore w:val="0"/>
        <w:spacing w:beforeAutospacing="0" w:afterAutospacing="0"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（1）合同签订后</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0日内货物全部送达甲方指定地点，并安装调试完毕。</w:t>
      </w:r>
      <w:r/>
    </w:p>
    <w:p>
      <w:pPr>
        <w:pStyle w:val="715"/>
        <w:ind w:firstLine="560"/>
        <w:jc w:val="both"/>
        <w:keepLines w:val="0"/>
        <w:keepNext w:val="0"/>
        <w:pageBreakBefore w:val="0"/>
        <w:spacing w:beforeAutospacing="0" w:afterAutospacing="0"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（2）乙方在交货时，货物的品牌型号必须与投标报价单保持一致，必须保证品牌正宗，原始包装并附有合格证、产品安装使用说明书等相关资料。</w:t>
      </w:r>
      <w:r/>
    </w:p>
    <w:p>
      <w:pPr>
        <w:pStyle w:val="715"/>
        <w:ind w:firstLine="560"/>
        <w:jc w:val="both"/>
        <w:keepLines w:val="0"/>
        <w:keepNext w:val="0"/>
        <w:pageBreakBefore w:val="0"/>
        <w:spacing w:beforeAutospacing="0" w:afterAutospacing="0"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 履约地点</w:t>
      </w:r>
      <w:r/>
    </w:p>
    <w:p>
      <w:pPr>
        <w:pStyle w:val="715"/>
        <w:ind w:firstLine="560"/>
        <w:jc w:val="both"/>
        <w:keepLines w:val="0"/>
        <w:keepNext w:val="0"/>
        <w:pageBreakBefore w:val="0"/>
        <w:spacing w:beforeAutospacing="0" w:afterAutospacing="0"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东台市</w:t>
      </w:r>
      <w:r/>
    </w:p>
    <w:p>
      <w:pPr>
        <w:pStyle w:val="715"/>
        <w:ind w:firstLine="560"/>
        <w:jc w:val="both"/>
        <w:keepLines w:val="0"/>
        <w:keepNext w:val="0"/>
        <w:pageBreakBefore w:val="0"/>
        <w:spacing w:beforeAutospacing="0" w:afterAutospacing="0"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3.3 付款方式</w:t>
      </w:r>
      <w:r/>
    </w:p>
    <w:p>
      <w:pPr>
        <w:pStyle w:val="715"/>
        <w:ind w:firstLine="560"/>
        <w:jc w:val="both"/>
        <w:keepLines w:val="0"/>
        <w:keepNext w:val="0"/>
        <w:pageBreakBefore w:val="0"/>
        <w:spacing w:beforeAutospacing="0" w:afterAutospacing="0"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合同签订后支付30%的预付款。</w:t>
      </w:r>
      <w:r/>
    </w:p>
    <w:p>
      <w:pPr>
        <w:pStyle w:val="715"/>
        <w:ind w:firstLine="560"/>
        <w:jc w:val="both"/>
        <w:keepLines w:val="0"/>
        <w:keepNext w:val="0"/>
        <w:pageBreakBefore w:val="0"/>
        <w:spacing w:beforeAutospacing="0" w:afterAutospacing="0"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验收合格后付至合同价款的90%。</w:t>
      </w:r>
      <w:r/>
    </w:p>
    <w:p>
      <w:pPr>
        <w:pStyle w:val="715"/>
        <w:ind w:firstLine="560"/>
        <w:jc w:val="both"/>
        <w:keepLines w:val="0"/>
        <w:keepNext w:val="0"/>
        <w:pageBreakBefore w:val="0"/>
        <w:spacing w:beforeAutospacing="0" w:afterAutospacing="0"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验收合格之日起算满一年后支付清余款。</w:t>
      </w:r>
      <w:r/>
    </w:p>
    <w:p>
      <w:pPr>
        <w:pStyle w:val="715"/>
        <w:ind w:firstLine="560"/>
        <w:jc w:val="both"/>
        <w:keepLines w:val="0"/>
        <w:keepNext w:val="0"/>
        <w:pageBreakBefore w:val="0"/>
        <w:spacing w:beforeAutospacing="0" w:afterAutospacing="0"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）在签订合同时，乙方明确表示无需预付款或者主动要求降低预付款比例的，甲方可不适用上述关于预付款的规定。</w:t>
      </w:r>
      <w:r/>
    </w:p>
    <w:p>
      <w:pPr>
        <w:pStyle w:val="715"/>
        <w:ind w:firstLine="560"/>
        <w:jc w:val="both"/>
        <w:keepLines w:val="0"/>
        <w:keepNext w:val="0"/>
        <w:pageBreakBefore w:val="0"/>
        <w:spacing w:beforeAutospacing="0" w:afterAutospacing="0"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）结算款项时乙方须出具相应金额的有效票据。</w:t>
      </w:r>
      <w:r/>
    </w:p>
    <w:p>
      <w:pPr>
        <w:pStyle w:val="715"/>
        <w:ind w:firstLine="560"/>
        <w:jc w:val="both"/>
        <w:keepLines w:val="0"/>
        <w:keepNext w:val="0"/>
        <w:pageBreakBefore w:val="0"/>
        <w:spacing w:beforeAutospacing="0" w:afterAutospacing="0"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）甲方原则上自收到发票后10个工作日内将资金支付到乙方账户。</w:t>
      </w:r>
      <w:r/>
    </w:p>
    <w:p>
      <w:pPr>
        <w:pStyle w:val="715"/>
        <w:ind w:firstLine="560"/>
        <w:jc w:val="both"/>
        <w:keepLines w:val="0"/>
        <w:keepNext w:val="0"/>
        <w:pageBreakBefore w:val="0"/>
        <w:spacing w:beforeAutospacing="0" w:afterAutospacing="0"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3.4 售后服务</w:t>
      </w:r>
      <w:r/>
    </w:p>
    <w:p>
      <w:pPr>
        <w:pStyle w:val="715"/>
        <w:ind w:firstLine="560"/>
        <w:jc w:val="both"/>
        <w:keepLines w:val="0"/>
        <w:keepNext w:val="0"/>
        <w:pageBreakBefore w:val="0"/>
        <w:spacing w:beforeAutospacing="0" w:afterAutospacing="0"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（1）本项目的质量保证期为</w:t>
      </w:r>
      <w:r>
        <w:rPr>
          <w:rFonts w:hint="eastAsia" w:ascii="宋体" w:hAnsi="宋体" w:eastAsia="宋体" w:cs="宋体"/>
          <w:color w:val="auto"/>
          <w:sz w:val="28"/>
          <w:szCs w:val="28"/>
          <w:highlight w:val="none"/>
          <w:u w:val="single"/>
        </w:rPr>
        <w:t xml:space="preserve">2</w:t>
      </w:r>
      <w:r>
        <w:rPr>
          <w:rFonts w:hint="eastAsia" w:ascii="宋体" w:hAnsi="宋体" w:eastAsia="宋体" w:cs="宋体"/>
          <w:color w:val="auto"/>
          <w:sz w:val="28"/>
          <w:szCs w:val="28"/>
          <w:highlight w:val="none"/>
        </w:rPr>
        <w:t xml:space="preserve">年。在质保期内所供货物发生故障时，中标人须在</w:t>
      </w: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小时内到场维修，无法修复时，须在24小时内提供备用产品，否则甲方有权自行处理，其费用在乙方履约保证金中扣除。</w:t>
      </w:r>
      <w:r/>
    </w:p>
    <w:p>
      <w:pPr>
        <w:pStyle w:val="715"/>
        <w:ind w:firstLine="560"/>
        <w:jc w:val="both"/>
        <w:keepLines w:val="0"/>
        <w:keepNext w:val="0"/>
        <w:pageBreakBefore w:val="0"/>
        <w:spacing w:beforeAutospacing="0" w:afterAutospacing="0"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（2）所有货物免费送达甲方指定地点，货物的托运、安装及预装常用软件（如需要）等，均不需另行付费。</w:t>
      </w:r>
      <w:r/>
    </w:p>
    <w:p>
      <w:pPr>
        <w:pStyle w:val="715"/>
        <w:ind w:firstLine="560"/>
        <w:jc w:val="both"/>
        <w:keepLines w:val="0"/>
        <w:keepNext w:val="0"/>
        <w:pageBreakBefore w:val="0"/>
        <w:spacing w:beforeAutospacing="0" w:afterAutospacing="0"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（3）根据厂方的规定对所供货物进行保修，在质量保证期内，乙方不得收取任何费用；质量保证期满后，乙方对用户货物的维修，只收成本费，并提供终生技术服务。</w:t>
      </w:r>
      <w:r/>
    </w:p>
    <w:p>
      <w:pPr>
        <w:pStyle w:val="715"/>
        <w:ind w:firstLine="560"/>
        <w:jc w:val="both"/>
        <w:keepLines w:val="0"/>
        <w:keepNext w:val="0"/>
        <w:pageBreakBefore w:val="0"/>
        <w:spacing w:beforeAutospacing="0" w:afterAutospacing="0" w:line="480" w:lineRule="exact"/>
        <w:rPr>
          <w:rFonts w:ascii="Arial" w:hAnsi="Arial" w:cs="Arial"/>
          <w:color w:val="auto"/>
          <w:sz w:val="28"/>
          <w:szCs w:val="28"/>
          <w:highlight w:val="none"/>
        </w:rPr>
      </w:pPr>
      <w:r>
        <w:rPr>
          <w:rFonts w:hint="eastAsia" w:ascii="宋体" w:hAnsi="宋体" w:eastAsia="宋体" w:cs="宋体"/>
          <w:color w:val="auto"/>
          <w:sz w:val="28"/>
          <w:szCs w:val="28"/>
          <w:highlight w:val="none"/>
        </w:rPr>
        <w:t xml:space="preserve">（4）如甲方使用不当造成货物的毁损，乙方有义务协助维修。</w:t>
      </w:r>
      <w:r/>
    </w:p>
    <w:p>
      <w:pPr>
        <w:pStyle w:val="715"/>
        <w:ind w:firstLine="560"/>
        <w:jc w:val="both"/>
        <w:keepLines w:val="0"/>
        <w:keepNext w:val="0"/>
        <w:pageBreakBefore w:val="0"/>
        <w:spacing w:beforeAutospacing="0" w:afterAutospacing="0" w:line="480" w:lineRule="exact"/>
        <w:rPr>
          <w:rFonts w:hint="eastAsia" w:ascii="宋体" w:hAnsi="宋体" w:eastAsia="宋体" w:cs="宋体"/>
          <w:color w:val="auto"/>
          <w:sz w:val="28"/>
          <w:szCs w:val="28"/>
          <w:highlight w:val="none"/>
        </w:rPr>
      </w:pPr>
      <w:r>
        <w:rPr>
          <w:rFonts w:hint="eastAsia" w:ascii="Arial" w:hAnsi="Arial" w:cs="Arial"/>
          <w:color w:val="auto"/>
          <w:sz w:val="28"/>
          <w:szCs w:val="28"/>
          <w:highlight w:val="none"/>
        </w:rPr>
        <w:t xml:space="preserve">4、</w:t>
      </w:r>
      <w:r>
        <w:rPr>
          <w:rFonts w:hint="eastAsia" w:ascii="宋体" w:hAnsi="宋体" w:eastAsia="宋体" w:cs="宋体"/>
          <w:color w:val="auto"/>
          <w:sz w:val="28"/>
          <w:szCs w:val="28"/>
          <w:highlight w:val="none"/>
        </w:rPr>
        <w:t xml:space="preserve">本项目不接受进口产品投标。</w:t>
      </w:r>
      <w:r/>
    </w:p>
    <w:p>
      <w:pPr>
        <w:pStyle w:val="715"/>
        <w:ind w:firstLine="560"/>
        <w:jc w:val="both"/>
        <w:keepLines w:val="0"/>
        <w:keepNext w:val="0"/>
        <w:pageBreakBefore w:val="0"/>
        <w:spacing w:beforeAutospacing="0" w:afterAutospacing="0" w:line="480" w:lineRule="exact"/>
        <w:rPr>
          <w:rFonts w:ascii="Arial" w:hAnsi="Arial" w:cs="Arial"/>
          <w:color w:val="auto"/>
          <w:sz w:val="28"/>
          <w:szCs w:val="28"/>
          <w:highlight w:val="none"/>
        </w:rPr>
      </w:pPr>
      <w:r>
        <w:rPr>
          <w:rFonts w:hint="eastAsia" w:ascii="Arial" w:hAnsi="Arial" w:cs="Arial"/>
          <w:color w:val="auto"/>
          <w:sz w:val="28"/>
          <w:szCs w:val="28"/>
          <w:highlight w:val="none"/>
        </w:rPr>
        <w:t xml:space="preserve">5、采购标的对应的中小企业划分标准所属行业一览表</w:t>
      </w:r>
      <w:r/>
    </w:p>
    <w:tbl>
      <w:tblPr>
        <w:tblStyle w:val="692"/>
        <w:tblW w:w="814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2"/>
        <w:gridCol w:w="2954"/>
        <w:gridCol w:w="4245"/>
      </w:tblGrid>
      <w:tr>
        <w:trPr>
          <w:jc w:val="center"/>
          <w:tblCellSpacing w:w="0" w:type="dxa"/>
          <w:trHeight w:val="570"/>
        </w:trPr>
        <w:tc>
          <w:tcPr>
            <w:shd w:val="clear" w:color="auto" w:fill="auto"/>
            <w:tcW w:w="942" w:type="dxa"/>
            <w:vAlign w:val="center"/>
            <w:textDirection w:val="lrTb"/>
            <w:noWrap w:val="false"/>
          </w:tcPr>
          <w:p>
            <w:pPr>
              <w:pStyle w:val="715"/>
              <w:ind w:firstLine="0"/>
              <w:jc w:val="center"/>
              <w:keepLines w:val="0"/>
              <w:keepNext w:val="0"/>
              <w:pageBreakBefore w:val="0"/>
              <w:spacing w:beforeAutospacing="0" w:afterAutospacing="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shd w:val="clear" w:color="auto" w:fill="auto"/>
            <w:tcW w:w="2954" w:type="dxa"/>
            <w:vAlign w:val="center"/>
            <w:textDirection w:val="lrTb"/>
            <w:noWrap w:val="false"/>
          </w:tcPr>
          <w:p>
            <w:pPr>
              <w:pStyle w:val="715"/>
              <w:ind w:firstLine="0"/>
              <w:jc w:val="center"/>
              <w:keepLines w:val="0"/>
              <w:keepNext w:val="0"/>
              <w:pageBreakBefore w:val="0"/>
              <w:spacing w:beforeAutospacing="0" w:afterAutospacing="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采购标的</w:t>
            </w:r>
            <w:r/>
          </w:p>
        </w:tc>
        <w:tc>
          <w:tcPr>
            <w:shd w:val="clear" w:color="auto" w:fill="auto"/>
            <w:tcW w:w="4245" w:type="dxa"/>
            <w:vAlign w:val="center"/>
            <w:textDirection w:val="lrTb"/>
            <w:noWrap w:val="false"/>
          </w:tcPr>
          <w:p>
            <w:pPr>
              <w:pStyle w:val="715"/>
              <w:ind w:firstLine="0"/>
              <w:jc w:val="center"/>
              <w:keepLines w:val="0"/>
              <w:keepNext w:val="0"/>
              <w:pageBreakBefore w:val="0"/>
              <w:spacing w:beforeAutospacing="0" w:afterAutospacing="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对应中小企业划分标准所属行业</w:t>
            </w:r>
            <w:r/>
          </w:p>
        </w:tc>
      </w:tr>
      <w:tr>
        <w:trPr>
          <w:jc w:val="center"/>
          <w:tblCellSpacing w:w="0" w:type="dxa"/>
          <w:trHeight w:val="570"/>
        </w:trPr>
        <w:tc>
          <w:tcPr>
            <w:shd w:val="clear" w:color="auto" w:fill="auto"/>
            <w:tcW w:w="942" w:type="dxa"/>
            <w:vAlign w:val="center"/>
            <w:textDirection w:val="lrTb"/>
            <w:noWrap w:val="false"/>
          </w:tcPr>
          <w:p>
            <w:pPr>
              <w:pStyle w:val="715"/>
              <w:ind w:firstLine="0"/>
              <w:jc w:val="center"/>
              <w:keepLines w:val="0"/>
              <w:keepNext w:val="0"/>
              <w:pageBreakBefore w:val="0"/>
              <w:spacing w:beforeAutospacing="0" w:afterAutospacing="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p>
        </w:tc>
        <w:tc>
          <w:tcPr>
            <w:shd w:val="clear" w:color="auto" w:fill="auto"/>
            <w:tcW w:w="2954" w:type="dxa"/>
            <w:vAlign w:val="center"/>
            <w:textDirection w:val="lrTb"/>
            <w:noWrap w:val="false"/>
          </w:tcPr>
          <w:p>
            <w:pPr>
              <w:pStyle w:val="715"/>
              <w:ind w:firstLine="0"/>
              <w:jc w:val="center"/>
              <w:keepLines w:val="0"/>
              <w:keepNext w:val="0"/>
              <w:pageBreakBefore w:val="0"/>
              <w:spacing w:beforeAutospacing="0" w:afterAutospacing="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10吨吸粪车</w:t>
            </w:r>
            <w:r/>
          </w:p>
        </w:tc>
        <w:tc>
          <w:tcPr>
            <w:shd w:val="clear" w:color="auto" w:fill="auto"/>
            <w:tcW w:w="4245" w:type="dxa"/>
            <w:vAlign w:val="center"/>
            <w:textDirection w:val="lrTb"/>
            <w:noWrap w:val="false"/>
          </w:tcPr>
          <w:p>
            <w:pPr>
              <w:pStyle w:val="715"/>
              <w:ind w:firstLine="0"/>
              <w:jc w:val="center"/>
              <w:keepLines w:val="0"/>
              <w:keepNext w:val="0"/>
              <w:pageBreakBefore w:val="0"/>
              <w:spacing w:beforeAutospacing="0" w:afterAutospacing="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工业</w:t>
            </w:r>
            <w:r/>
          </w:p>
        </w:tc>
      </w:tr>
    </w:tbl>
    <w:p>
      <w:pPr>
        <w:pStyle w:val="715"/>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bookmarkStart w:id="177" w:name="_Toc120614281"/>
      <w:r/>
      <w:r/>
    </w:p>
    <w:p>
      <w:pPr>
        <w:pStyle w:val="715"/>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t xml:space="preserve">第五章  评标方法与评标标准</w:t>
      </w:r>
      <w:r/>
    </w:p>
    <w:p>
      <w:pPr>
        <w:pStyle w:val="715"/>
        <w:jc w:val="both"/>
        <w:spacing w:beforeAutospacing="0" w:afterAutospacing="0"/>
        <w:rPr>
          <w:color w:val="auto"/>
          <w:highlight w:val="none"/>
        </w:rPr>
      </w:pPr>
      <w:r>
        <w:rPr>
          <w:color w:val="auto"/>
          <w:highlight w:val="none"/>
        </w:rPr>
        <w:t xml:space="preserve"> </w:t>
      </w:r>
      <w:r/>
    </w:p>
    <w:p>
      <w:pPr>
        <w:pStyle w:val="715"/>
        <w:ind w:firstLine="560"/>
        <w:jc w:val="both"/>
        <w:keepLines w:val="0"/>
        <w:keepNext w:val="0"/>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715"/>
        <w:ind w:firstLine="560"/>
        <w:jc w:val="both"/>
        <w:keepLines w:val="0"/>
        <w:keepNext w:val="0"/>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政府采购政策功能落实</w:t>
      </w:r>
      <w:r/>
    </w:p>
    <w:p>
      <w:pPr>
        <w:pStyle w:val="715"/>
        <w:ind w:firstLine="560"/>
        <w:jc w:val="both"/>
        <w:keepLines w:val="0"/>
        <w:keepNext w:val="0"/>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1、小微型企业价格扣除</w:t>
      </w:r>
      <w:r/>
    </w:p>
    <w:p>
      <w:pPr>
        <w:pStyle w:val="715"/>
        <w:ind w:firstLine="560"/>
        <w:jc w:val="both"/>
        <w:keepLines w:val="0"/>
        <w:keepNext w:val="0"/>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（1）本项目对小型和微型企业产品给予20%的扣除价格，用扣除后的价格参与评审。</w:t>
      </w:r>
      <w:r/>
    </w:p>
    <w:p>
      <w:pPr>
        <w:pStyle w:val="715"/>
        <w:ind w:firstLine="560"/>
        <w:jc w:val="both"/>
        <w:keepLines w:val="0"/>
        <w:keepNext w:val="0"/>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（2）供应商需按照采购文件的要求提供相应的《小微企业声明函》。</w:t>
      </w:r>
      <w:r/>
    </w:p>
    <w:p>
      <w:pPr>
        <w:pStyle w:val="715"/>
        <w:ind w:firstLine="560"/>
        <w:jc w:val="both"/>
        <w:keepLines w:val="0"/>
        <w:keepNext w:val="0"/>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（3）企业标准请参照《关于印发中小企业划型标准规定的通知》（工信部联企业</w:t>
      </w:r>
      <w:r>
        <w:rPr>
          <w:rFonts w:hint="eastAsia" w:ascii="宋体" w:hAnsi="宋体" w:eastAsia="宋体" w:cs="宋体"/>
          <w:color w:val="auto"/>
          <w:sz w:val="28"/>
          <w:szCs w:val="28"/>
          <w:highlight w:val="none"/>
          <w:lang w:eastAsia="zh-CN"/>
        </w:rPr>
        <w:t xml:space="preserve">〔2011〕300号</w:t>
      </w:r>
      <w:r>
        <w:rPr>
          <w:rFonts w:hint="eastAsia" w:ascii="宋体" w:hAnsi="宋体" w:eastAsia="宋体" w:cs="宋体"/>
          <w:color w:val="auto"/>
          <w:sz w:val="28"/>
          <w:szCs w:val="28"/>
          <w:highlight w:val="none"/>
        </w:rPr>
        <w:t xml:space="preserve">）文件规定自行填写。</w:t>
      </w:r>
      <w:r/>
    </w:p>
    <w:p>
      <w:pPr>
        <w:pStyle w:val="715"/>
        <w:ind w:firstLine="560"/>
        <w:jc w:val="both"/>
        <w:keepLines w:val="0"/>
        <w:keepNext w:val="0"/>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2、残疾人福利单位价格扣除</w:t>
      </w:r>
      <w:r/>
    </w:p>
    <w:p>
      <w:pPr>
        <w:pStyle w:val="715"/>
        <w:ind w:firstLine="560"/>
        <w:jc w:val="both"/>
        <w:keepLines w:val="0"/>
        <w:keepNext w:val="0"/>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（1）本项目对残疾人福利性单位视同小型、微型企业，给予20%</w:t>
      </w:r>
      <w:r/>
    </w:p>
    <w:p>
      <w:pPr>
        <w:pStyle w:val="715"/>
        <w:ind w:firstLine="560"/>
        <w:jc w:val="both"/>
        <w:keepLines w:val="0"/>
        <w:keepNext w:val="0"/>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（2）残疾人福利单位需按照采购文件的要求提供《残疾人福利性单位声明函》。</w:t>
      </w:r>
      <w:r/>
    </w:p>
    <w:p>
      <w:pPr>
        <w:pStyle w:val="715"/>
        <w:ind w:firstLine="560"/>
        <w:jc w:val="both"/>
        <w:keepLines w:val="0"/>
        <w:keepNext w:val="0"/>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（3）残疾人福利单位标准请参照《关于促进残疾人就业政府采购政策的通知》（财库〔2017〕141号）。</w:t>
      </w:r>
      <w:r/>
    </w:p>
    <w:p>
      <w:pPr>
        <w:pStyle w:val="715"/>
        <w:ind w:firstLine="560"/>
        <w:jc w:val="both"/>
        <w:keepLines w:val="0"/>
        <w:keepNext w:val="0"/>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3、监狱和戒毒企业价格扣除</w:t>
      </w:r>
      <w:r/>
    </w:p>
    <w:p>
      <w:pPr>
        <w:pStyle w:val="715"/>
        <w:ind w:firstLine="560"/>
        <w:jc w:val="both"/>
        <w:keepLines w:val="0"/>
        <w:keepNext w:val="0"/>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（1）本项目对监狱和戒毒企业（简称监狱企业）视同小型、微型企业，给予20%</w:t>
      </w:r>
      <w:r/>
    </w:p>
    <w:p>
      <w:pPr>
        <w:pStyle w:val="715"/>
        <w:ind w:firstLine="560"/>
        <w:jc w:val="both"/>
        <w:keepLines w:val="0"/>
        <w:keepNext w:val="0"/>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（2）监狱企业参加政府采购活动时，需提供由省级以上监狱管理局、戒毒管理局</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含新疆生产建设兵团</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出具的属于监狱企业的证明文件。供应商如不提供上述证明文件，价格将不做相应扣除。</w:t>
      </w:r>
      <w:r/>
    </w:p>
    <w:p>
      <w:pPr>
        <w:pStyle w:val="715"/>
        <w:ind w:firstLine="560"/>
        <w:jc w:val="both"/>
        <w:keepLines w:val="0"/>
        <w:keepNext w:val="0"/>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（3）监狱企业标准请参照《关于政府采购支持监狱企业发展有关问题的通知》（财库</w:t>
      </w:r>
      <w:r>
        <w:rPr>
          <w:rFonts w:hint="eastAsia" w:ascii="宋体" w:hAnsi="宋体" w:eastAsia="宋体" w:cs="宋体"/>
          <w:color w:val="auto"/>
          <w:sz w:val="28"/>
          <w:szCs w:val="28"/>
          <w:highlight w:val="none"/>
          <w:lang w:eastAsia="zh-CN"/>
        </w:rPr>
        <w:t xml:space="preserve">〔2014〕68号</w:t>
      </w:r>
      <w:r>
        <w:rPr>
          <w:rFonts w:hint="eastAsia" w:ascii="宋体" w:hAnsi="宋体" w:eastAsia="宋体" w:cs="宋体"/>
          <w:color w:val="auto"/>
          <w:sz w:val="28"/>
          <w:szCs w:val="28"/>
          <w:highlight w:val="none"/>
        </w:rPr>
        <w:t xml:space="preserve">）。</w:t>
      </w:r>
      <w:r/>
    </w:p>
    <w:p>
      <w:pPr>
        <w:pStyle w:val="715"/>
        <w:ind w:firstLine="560"/>
        <w:jc w:val="both"/>
        <w:keepLines w:val="0"/>
        <w:keepNext w:val="0"/>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4、残疾人福利单位、监狱企业属于小型、微型企业的，不重复享受政策。</w:t>
      </w:r>
      <w:r/>
    </w:p>
    <w:p>
      <w:pPr>
        <w:pStyle w:val="715"/>
        <w:ind w:firstLine="560"/>
        <w:jc w:val="both"/>
        <w:keepLines w:val="0"/>
        <w:keepNext w:val="0"/>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5、如本项目同意联合体投标或同意分包履行合同的</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715"/>
        <w:ind w:firstLine="560"/>
        <w:jc w:val="both"/>
        <w:keepLines w:val="0"/>
        <w:keepNext w:val="0"/>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6、联合体各方均为小型、微型企业（残疾人福利单位、监狱企业）的，联合体享受20%。</w:t>
      </w:r>
      <w:r/>
    </w:p>
    <w:p>
      <w:pPr>
        <w:pStyle w:val="715"/>
        <w:ind w:firstLine="560"/>
        <w:jc w:val="both"/>
        <w:keepLines w:val="0"/>
        <w:keepNext w:val="0"/>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由国家确定的认证机构出具的、处于有效期之内的节能产品、环境标志产品认证证书</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15"/>
        <w:ind w:firstLine="560"/>
        <w:jc w:val="both"/>
        <w:keepLines w:val="0"/>
        <w:keepNext w:val="0"/>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8、供应商对于投标产品的商品包装、快递包装应按照《关于印发《商品包装政府采购需求标准（试行）</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快递包装政府采购需求标准（试行）》的通知》（财办库〔2020〕123号）执行。</w:t>
      </w:r>
      <w:r/>
    </w:p>
    <w:p>
      <w:pPr>
        <w:pStyle w:val="715"/>
        <w:ind w:firstLine="560"/>
        <w:jc w:val="both"/>
        <w:keepLines w:val="0"/>
        <w:keepNext w:val="0"/>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9、本文件中若</w:t>
      </w:r>
      <w:r>
        <w:rPr>
          <w:rFonts w:hint="eastAsia" w:ascii="宋体" w:hAnsi="宋体" w:eastAsia="宋体" w:cs="宋体"/>
          <w:color w:val="auto"/>
          <w:sz w:val="28"/>
          <w:szCs w:val="28"/>
          <w:highlight w:val="none"/>
          <w:lang w:eastAsia="zh-CN"/>
        </w:rPr>
        <w:t xml:space="preserve">涉及</w:t>
      </w:r>
      <w:r>
        <w:rPr>
          <w:rFonts w:hint="eastAsia" w:ascii="宋体" w:hAnsi="宋体" w:eastAsia="宋体" w:cs="宋体"/>
          <w:color w:val="auto"/>
          <w:sz w:val="28"/>
          <w:szCs w:val="28"/>
          <w:highlight w:val="none"/>
        </w:rPr>
        <w:t xml:space="preserve">数据中心采购，应按照《</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绿色数据中心政府采购需求标准（试行）</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的通知》（财库〔2023〕7号）执行。</w:t>
      </w:r>
      <w:r/>
    </w:p>
    <w:p>
      <w:pPr>
        <w:pStyle w:val="715"/>
        <w:ind w:firstLine="560"/>
        <w:jc w:val="both"/>
        <w:keepLines w:val="0"/>
        <w:keepNext w:val="0"/>
        <w:pageBreakBefore w:val="0"/>
        <w:spacing w:beforeAutospacing="0" w:afterAutospacing="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10、根据《江苏省政府采购信用管理暂行办法》的规定，供应商信用评价结果为三星的扣2分，评价结果为二星的扣3分，评价结果为一星的扣4分。</w:t>
      </w:r>
      <w:r/>
    </w:p>
    <w:p>
      <w:pPr>
        <w:pStyle w:val="715"/>
        <w:ind w:firstLine="562"/>
        <w:keepLines w:val="0"/>
        <w:keepNext w:val="0"/>
        <w:pageBreakBefore w:val="0"/>
        <w:spacing w:beforeAutospacing="0" w:afterAutospacing="0" w:line="48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评标方法与评标标准</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本次招标采用使用综合评分法，综合评分法，是指各标段投标文件满足招标文件全部实质性要求，且按照评审因素的量化指标评审得分最高的投标人为该标段中标候选人的评标方法。</w:t>
      </w:r>
      <w:r/>
    </w:p>
    <w:p>
      <w:pPr>
        <w:pStyle w:val="722"/>
        <w:ind w:firstLine="560"/>
        <w:keepLines w:val="0"/>
        <w:keepNext w:val="0"/>
        <w:pageBreakBefore w:val="0"/>
        <w:spacing w:line="480" w:lineRule="exact"/>
        <w:widowControl w:val="off"/>
        <w:rPr>
          <w:rFonts w:ascii="宋体" w:hAnsi="宋体" w:eastAsia="宋体" w:cs="宋体"/>
          <w:color w:val="auto"/>
          <w:sz w:val="28"/>
          <w:szCs w:val="28"/>
          <w:highlight w:val="none"/>
        </w:rPr>
      </w:pPr>
      <w:r>
        <w:rPr>
          <w:rFonts w:ascii="宋体" w:hAnsi="宋体" w:eastAsia="宋体" w:cs="宋体"/>
          <w:color w:val="auto"/>
          <w:sz w:val="28"/>
          <w:szCs w:val="28"/>
          <w:highlight w:val="none"/>
        </w:rPr>
        <w:t xml:space="preserve">具体评审细则如下：</w:t>
      </w:r>
      <w:r/>
    </w:p>
    <w:tbl>
      <w:tblPr>
        <w:tblStyle w:val="692"/>
        <w:tblW w:w="96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155"/>
        <w:gridCol w:w="7047"/>
        <w:gridCol w:w="659"/>
      </w:tblGrid>
      <w:tr>
        <w:trPr>
          <w:jc w:val="center"/>
          <w:trHeight w:val="57"/>
          <w:tblHeader/>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shd w:val="clear" w:color="auto" w:fill="auto"/>
            <w:tcBorders>
              <w:top w:val="single" w:color="auto" w:sz="4" w:space="0"/>
              <w:left w:val="single" w:color="auto" w:sz="4" w:space="0"/>
              <w:bottom w:val="single" w:color="auto" w:sz="4" w:space="0"/>
              <w:right w:val="single" w:color="auto" w:sz="4" w:space="0"/>
            </w:tcBorders>
            <w:tcW w:w="704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评审标准</w:t>
            </w:r>
            <w:r/>
          </w:p>
        </w:tc>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r>
      <w:tr>
        <w:trPr>
          <w:jc w:val="center"/>
          <w:trHeight w:val="57"/>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firstLine="0"/>
              <w:jc w:val="center"/>
              <w:keepLines w:val="0"/>
              <w:keepNext w:val="0"/>
              <w:pageBreakBefore w:val="0"/>
              <w:spacing w:line="240" w:lineRule="auto"/>
              <w:shd w:val="solid" w:color="ffffff" w:fill="auto"/>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lang w:eastAsia="zh-CN"/>
              </w:rPr>
              <w:t xml:space="preserve">投标</w:t>
            </w:r>
            <w:r>
              <w:rPr>
                <w:rFonts w:hint="eastAsia" w:ascii="宋体" w:hAnsi="宋体" w:eastAsia="宋体" w:cs="宋体"/>
                <w:b/>
                <w:bCs/>
                <w:color w:val="auto"/>
                <w:sz w:val="21"/>
                <w:szCs w:val="21"/>
                <w:highlight w:val="none"/>
                <w:shd w:val="clear" w:color="auto" w:fill="ffffff"/>
              </w:rPr>
              <w:t xml:space="preserve">价格</w:t>
            </w:r>
            <w:r/>
          </w:p>
          <w:p>
            <w:pPr>
              <w:ind w:firstLine="0"/>
              <w:jc w:val="center"/>
              <w:keepLines w:val="0"/>
              <w:keepNext w:val="0"/>
              <w:pageBreakBefore w:val="0"/>
              <w:spacing w:line="240" w:lineRule="auto"/>
              <w:shd w:val="solid" w:color="ffffff" w:fill="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shd w:val="clear" w:color="auto" w:fill="ffffff"/>
              </w:rPr>
              <w:t xml:space="preserve">（30分）</w:t>
            </w:r>
            <w:r/>
          </w:p>
        </w:tc>
        <w:tc>
          <w:tcPr>
            <w:shd w:val="clear" w:color="auto" w:fill="auto"/>
            <w:tcBorders>
              <w:top w:val="single" w:color="auto" w:sz="4" w:space="0"/>
              <w:left w:val="single" w:color="auto" w:sz="4" w:space="0"/>
              <w:bottom w:val="single" w:color="auto" w:sz="4" w:space="0"/>
              <w:right w:val="single" w:color="auto" w:sz="4" w:space="0"/>
            </w:tcBorders>
            <w:tcW w:w="7047" w:type="dxa"/>
            <w:vAlign w:val="center"/>
            <w:textDirection w:val="lrTb"/>
            <w:noWrap w:val="false"/>
          </w:tcPr>
          <w:p>
            <w:pPr>
              <w:ind w:firstLine="0"/>
              <w:jc w:val="left"/>
              <w:keepLines w:val="0"/>
              <w:keepNext w:val="0"/>
              <w:pageBreakBefore w:val="0"/>
              <w:spacing w:line="240" w:lineRule="auto"/>
              <w:shd w:val="solid" w:color="ffffff" w:fil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价格分采用低价优先法计算，即满足招标文件要求且投标价格最低的投标报价为评标基准价，其价格分为满分。其他投标人的价格分统一按照下列公式计算：投标报价得分</w:t>
            </w:r>
            <w:r>
              <w:rPr>
                <w:rFonts w:hint="eastAsia" w:ascii="宋体" w:hAnsi="宋体" w:eastAsia="宋体" w:cs="宋体"/>
                <w:color w:val="auto"/>
                <w:sz w:val="21"/>
                <w:szCs w:val="21"/>
                <w:highlight w:val="none"/>
                <w:lang w:val="en-US" w:eastAsia="zh-CN" w:bidi="ar-SA"/>
              </w:rPr>
              <w:t xml:space="preserve">=（评标基准价/投标报价）*30（四舍五入保留两位小数）。因落实政府采购政策进行价格调整的，以调整后的价格计算评标基准价和投标报价。</w:t>
            </w:r>
            <w:r/>
          </w:p>
        </w:tc>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firstLine="0"/>
              <w:jc w:val="center"/>
              <w:keepLines w:val="0"/>
              <w:keepNext w:val="0"/>
              <w:pageBreakBefore w:val="0"/>
              <w:spacing w:line="240" w:lineRule="auto"/>
              <w:shd w:val="solid" w:color="ffffff"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30</w:t>
            </w:r>
            <w:r/>
          </w:p>
        </w:tc>
      </w:tr>
      <w:tr>
        <w:trPr>
          <w:jc w:val="center"/>
          <w:trHeight w:val="57"/>
        </w:trPr>
        <w:tc>
          <w:tcPr>
            <w:shd w:val="clear" w:color="auto" w:fill="auto"/>
            <w:tcBorders>
              <w:top w:val="single" w:color="auto" w:sz="4" w:space="0"/>
              <w:left w:val="single" w:color="auto" w:sz="4" w:space="0"/>
              <w:right w:val="single" w:color="auto" w:sz="4" w:space="0"/>
            </w:tcBorders>
            <w:tcW w:w="741" w:type="dxa"/>
            <w:vAlign w:val="center"/>
            <w:vMerge w:val="restart"/>
            <w:textDirection w:val="lrTb"/>
            <w:noWrap w:val="false"/>
          </w:tcPr>
          <w:p>
            <w:pPr>
              <w:ind w:firstLine="0"/>
              <w:jc w:val="center"/>
              <w:keepLines w:val="0"/>
              <w:keepNext w:val="0"/>
              <w:pageBreakBefore w:val="0"/>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55"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技术参数和性能</w:t>
            </w:r>
            <w:r/>
          </w:p>
          <w:p>
            <w:pPr>
              <w:ind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40</w:t>
            </w:r>
            <w:r>
              <w:rPr>
                <w:rFonts w:hint="eastAsia" w:ascii="宋体" w:hAnsi="宋体" w:eastAsia="宋体" w:cs="宋体"/>
                <w:b/>
                <w:color w:val="auto"/>
                <w:sz w:val="21"/>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047" w:type="dxa"/>
            <w:vAlign w:val="center"/>
            <w:textDirection w:val="lrTb"/>
            <w:noWrap w:val="false"/>
          </w:tcPr>
          <w:p>
            <w:pPr>
              <w:pStyle w:val="715"/>
              <w:ind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投标产品技术参数和性能全部符合招标要求的得3</w:t>
            </w:r>
            <w:r>
              <w:rPr>
                <w:rFonts w:hint="eastAsia" w:ascii="宋体" w:hAnsi="宋体" w:eastAsia="宋体" w:cs="宋体"/>
                <w:color w:val="auto"/>
                <w:sz w:val="21"/>
                <w:szCs w:val="21"/>
                <w:highlight w:val="none"/>
                <w:lang w:val="en-US" w:eastAsia="zh-CN" w:bidi="ar-SA"/>
              </w:rPr>
              <w:t xml:space="preserve">0</w:t>
            </w:r>
            <w:r>
              <w:rPr>
                <w:rFonts w:hint="eastAsia" w:ascii="宋体" w:hAnsi="宋体" w:eastAsia="宋体" w:cs="宋体"/>
                <w:color w:val="auto"/>
                <w:sz w:val="21"/>
                <w:szCs w:val="21"/>
                <w:highlight w:val="none"/>
                <w:lang w:val="zh-CN" w:eastAsia="zh-CN" w:bidi="ar-SA"/>
              </w:rPr>
              <w:t xml:space="preserve">分；带★每有一项不满足扣</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zh-CN" w:eastAsia="zh-CN" w:bidi="ar-SA"/>
              </w:rPr>
              <w:t xml:space="preserve">分，未带★每有一项不满足扣</w:t>
            </w:r>
            <w:r>
              <w:rPr>
                <w:rFonts w:hint="eastAsia" w:ascii="宋体" w:hAnsi="宋体" w:eastAsia="宋体" w:cs="宋体"/>
                <w:color w:val="auto"/>
                <w:sz w:val="21"/>
                <w:szCs w:val="21"/>
                <w:highlight w:val="none"/>
                <w:lang w:val="en-US" w:eastAsia="zh-CN" w:bidi="ar-SA"/>
              </w:rPr>
              <w:t xml:space="preserve">1分，</w:t>
            </w:r>
            <w:r>
              <w:rPr>
                <w:rFonts w:hint="eastAsia" w:ascii="宋体" w:hAnsi="宋体" w:eastAsia="宋体" w:cs="宋体"/>
                <w:color w:val="auto"/>
                <w:sz w:val="21"/>
                <w:szCs w:val="21"/>
                <w:highlight w:val="none"/>
                <w:lang w:val="zh-CN" w:eastAsia="zh-CN" w:bidi="ar-SA"/>
              </w:rPr>
              <w:t xml:space="preserve">扣完为止。投标人须提供响应偏离表，逐条响应。如提供虚假响应材料将被纳入政府采购黑名单。</w:t>
            </w:r>
            <w:r/>
          </w:p>
          <w:p>
            <w:pPr>
              <w:pStyle w:val="715"/>
              <w:ind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注：投标文件中需</w:t>
            </w:r>
            <w:r>
              <w:rPr>
                <w:rFonts w:hint="eastAsia" w:ascii="宋体" w:hAnsi="宋体" w:eastAsia="宋体" w:cs="宋体"/>
                <w:color w:val="auto"/>
                <w:sz w:val="21"/>
                <w:szCs w:val="21"/>
                <w:highlight w:val="none"/>
                <w:lang w:val="zh-CN" w:eastAsia="zh-CN" w:bidi="ar-SA"/>
              </w:rPr>
              <w:t xml:space="preserve">提供工信部公告截图并加盖投标人公章。</w:t>
            </w:r>
            <w:r/>
          </w:p>
        </w:tc>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0</w:t>
            </w:r>
            <w:r/>
          </w:p>
        </w:tc>
      </w:tr>
      <w:tr>
        <w:trPr>
          <w:jc w:val="center"/>
          <w:trHeight w:val="57"/>
        </w:trPr>
        <w:tc>
          <w:tcPr>
            <w:shd w:val="clear" w:color="auto" w:fill="auto"/>
            <w:tcBorders>
              <w:left w:val="single" w:color="auto" w:sz="4" w:space="0"/>
              <w:bottom w:val="single" w:color="auto" w:sz="4" w:space="0"/>
              <w:right w:val="single" w:color="auto" w:sz="4" w:space="0"/>
            </w:tcBorders>
            <w:tcW w:w="741"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55" w:type="dxa"/>
            <w:vAlign w:val="center"/>
            <w:vMerge w:val="continue"/>
            <w:textDirection w:val="lrTb"/>
            <w:noWrap w:val="false"/>
          </w:tcPr>
          <w:p>
            <w:pPr>
              <w:ind w:firstLine="0"/>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47" w:type="dxa"/>
            <w:vAlign w:val="center"/>
            <w:textDirection w:val="lrTb"/>
            <w:noWrap w:val="false"/>
          </w:tcPr>
          <w:p>
            <w:pPr>
              <w:ind w:firstLine="0"/>
              <w:keepLines w:val="0"/>
              <w:keepNext w:val="0"/>
              <w:pageBreakBefore w:val="0"/>
              <w:spacing w:line="24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根据投标人提供的车辆的选型和详细配置质量情况（包括底盘等各设备部件和随车器材配置等）的技术与质量</w:t>
            </w:r>
            <w:r>
              <w:rPr>
                <w:rFonts w:hint="eastAsia" w:ascii="宋体" w:hAnsi="宋体" w:eastAsia="宋体" w:cs="宋体"/>
                <w:color w:val="auto"/>
                <w:sz w:val="21"/>
                <w:szCs w:val="21"/>
                <w:highlight w:val="none"/>
                <w:lang w:val="en-US" w:eastAsia="zh-CN" w:bidi="ar-SA"/>
              </w:rPr>
              <w:t xml:space="preserve">方案</w:t>
            </w:r>
            <w:r>
              <w:rPr>
                <w:rFonts w:hint="eastAsia" w:ascii="宋体" w:hAnsi="宋体" w:eastAsia="宋体" w:cs="宋体"/>
                <w:color w:val="auto"/>
                <w:sz w:val="21"/>
                <w:szCs w:val="21"/>
                <w:highlight w:val="none"/>
                <w:lang w:val="zh-CN" w:eastAsia="zh-CN" w:bidi="ar-SA"/>
              </w:rPr>
              <w:t xml:space="preserve">：包括生产工艺水平、精细程度、品牌、规格型号、产地、生产厂家、制造工艺、规模、技术可靠性等进行综合评定（需提供清晰的实物图及工艺说明）：</w:t>
            </w:r>
            <w:r/>
          </w:p>
          <w:p>
            <w:pPr>
              <w:ind w:firstLine="0"/>
              <w:keepLines w:val="0"/>
              <w:keepNext w:val="0"/>
              <w:pageBreakBefore w:val="0"/>
              <w:spacing w:line="24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（1）生产工艺先进、精细程度及技术可靠性高的，得10分；</w:t>
            </w:r>
            <w:r/>
          </w:p>
          <w:p>
            <w:pPr>
              <w:ind w:firstLine="0"/>
              <w:keepLines w:val="0"/>
              <w:keepNext w:val="0"/>
              <w:pageBreakBefore w:val="0"/>
              <w:spacing w:line="24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（2）生产工艺尚可、精细程度及技术可靠性较高的，得</w:t>
            </w:r>
            <w:r>
              <w:rPr>
                <w:rFonts w:hint="eastAsia" w:ascii="宋体" w:hAnsi="宋体" w:eastAsia="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zh-CN" w:eastAsia="zh-CN" w:bidi="ar-SA"/>
              </w:rPr>
              <w:t xml:space="preserve">分；</w:t>
            </w:r>
            <w:r/>
          </w:p>
          <w:p>
            <w:pPr>
              <w:ind w:firstLine="0"/>
              <w:keepLines w:val="0"/>
              <w:keepNext w:val="0"/>
              <w:pageBreakBefore w:val="0"/>
              <w:spacing w:line="24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（3）生产工艺落后、精细程度及技术可靠性一般的，得</w:t>
            </w: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zh-CN" w:eastAsia="zh-CN" w:bidi="ar-SA"/>
              </w:rPr>
              <w:t xml:space="preserve">分；</w:t>
            </w:r>
            <w:r/>
          </w:p>
          <w:p>
            <w:pPr>
              <w:ind w:firstLine="0"/>
              <w:keepLines w:val="0"/>
              <w:keepNext w:val="0"/>
              <w:pageBreakBefore w:val="0"/>
              <w:spacing w:line="24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（4）未提供方案或提供的方案不符合项目要求的不得分。</w:t>
            </w:r>
            <w:r/>
          </w:p>
        </w:tc>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r>
      <w:tr>
        <w:trPr>
          <w:jc w:val="center"/>
          <w:trHeight w:val="57"/>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业绩</w:t>
            </w:r>
            <w:r/>
          </w:p>
          <w:p>
            <w:pPr>
              <w:ind w:firstLine="0"/>
              <w:jc w:val="center"/>
              <w:keepLines w:val="0"/>
              <w:keepNext w:val="0"/>
              <w:pageBreakBefore w:val="0"/>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rPr>
              <w:t xml:space="preserve">分）        </w:t>
            </w:r>
            <w:r/>
          </w:p>
        </w:tc>
        <w:tc>
          <w:tcPr>
            <w:shd w:val="clear" w:color="auto" w:fill="auto"/>
            <w:tcBorders>
              <w:top w:val="single" w:color="auto" w:sz="4" w:space="0"/>
              <w:left w:val="single" w:color="auto" w:sz="4" w:space="0"/>
              <w:bottom w:val="single" w:color="auto" w:sz="4" w:space="0"/>
              <w:right w:val="single" w:color="auto" w:sz="4" w:space="0"/>
            </w:tcBorders>
            <w:tcW w:w="7047" w:type="dxa"/>
            <w:vAlign w:val="center"/>
            <w:textDirection w:val="lrTb"/>
            <w:noWrap w:val="false"/>
          </w:tcPr>
          <w:p>
            <w:pPr>
              <w:ind w:firstLine="0"/>
              <w:keepLines w:val="0"/>
              <w:keepNext w:val="0"/>
              <w:pageBreakBefore w:val="0"/>
              <w:spacing w:line="24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投标人提供2020年1月1日（含）以来，具有类似项目业绩，每提供一份得</w:t>
            </w: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zh-CN" w:eastAsia="zh-CN" w:bidi="ar-SA"/>
              </w:rPr>
              <w:t xml:space="preserve">分。此项最多得</w:t>
            </w: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zh-CN" w:eastAsia="zh-CN" w:bidi="ar-SA"/>
              </w:rPr>
              <w:t xml:space="preserve">分。</w:t>
            </w:r>
            <w:r/>
          </w:p>
          <w:p>
            <w:pPr>
              <w:ind w:firstLine="0"/>
              <w:keepLines w:val="0"/>
              <w:keepNext w:val="0"/>
              <w:pageBreakBefore w:val="0"/>
              <w:spacing w:line="24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注：投标文件中需提供中标（成交）通知书、合同、验收证明的扫描</w:t>
            </w:r>
            <w:r>
              <w:rPr>
                <w:rFonts w:hint="eastAsia" w:ascii="宋体" w:hAnsi="宋体" w:eastAsia="宋体" w:cs="宋体"/>
                <w:color w:val="auto"/>
                <w:sz w:val="21"/>
                <w:szCs w:val="21"/>
                <w:highlight w:val="none"/>
                <w:lang w:val="zh-CN" w:eastAsia="zh-CN" w:bidi="ar-SA"/>
              </w:rPr>
              <w:t xml:space="preserve">件，</w:t>
            </w:r>
            <w:r>
              <w:rPr>
                <w:rFonts w:hint="eastAsia" w:ascii="宋体" w:hAnsi="宋体" w:eastAsia="宋体" w:cs="宋体"/>
                <w:color w:val="auto"/>
                <w:sz w:val="21"/>
                <w:szCs w:val="21"/>
                <w:highlight w:val="none"/>
                <w:lang w:val="en-US" w:eastAsia="zh-CN" w:bidi="ar-SA"/>
              </w:rPr>
              <w:t xml:space="preserve">未提供或提供不全的</w:t>
            </w:r>
            <w:r>
              <w:rPr>
                <w:rFonts w:hint="eastAsia" w:ascii="宋体" w:hAnsi="宋体" w:eastAsia="宋体" w:cs="宋体"/>
                <w:color w:val="auto"/>
                <w:sz w:val="21"/>
                <w:szCs w:val="21"/>
                <w:highlight w:val="none"/>
                <w:lang w:val="zh-CN" w:eastAsia="zh-CN" w:bidi="ar-SA"/>
              </w:rPr>
              <w:t xml:space="preserve">不得分。如提供虚假响应材料将被纳入政府采购黑名单。</w:t>
            </w:r>
            <w:r/>
          </w:p>
        </w:tc>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p>
        </w:tc>
      </w:tr>
      <w:tr>
        <w:trPr>
          <w:jc w:val="center"/>
          <w:trHeight w:val="57"/>
        </w:trPr>
        <w:tc>
          <w:tcPr>
            <w:shd w:val="clear" w:color="auto" w:fill="auto"/>
            <w:tcBorders>
              <w:top w:val="single" w:color="auto" w:sz="4" w:space="0"/>
              <w:left w:val="single" w:color="auto" w:sz="4" w:space="0"/>
              <w:right w:val="single" w:color="auto" w:sz="4" w:space="0"/>
            </w:tcBorders>
            <w:tcW w:w="74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w:t>
            </w:r>
            <w:r/>
          </w:p>
        </w:tc>
        <w:tc>
          <w:tcPr>
            <w:shd w:val="clear" w:color="auto" w:fill="auto"/>
            <w:tcBorders>
              <w:top w:val="single" w:color="auto" w:sz="4" w:space="0"/>
              <w:left w:val="single" w:color="auto" w:sz="4" w:space="0"/>
              <w:right w:val="single" w:color="auto" w:sz="4" w:space="0"/>
            </w:tcBorders>
            <w:tcW w:w="115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信誉  </w:t>
            </w:r>
            <w:r/>
          </w:p>
          <w:p>
            <w:pPr>
              <w:ind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047" w:type="dxa"/>
            <w:vAlign w:val="center"/>
            <w:textDirection w:val="lrTb"/>
            <w:noWrap w:val="false"/>
          </w:tcPr>
          <w:p>
            <w:pPr>
              <w:ind w:firstLine="0"/>
              <w:keepLines w:val="0"/>
              <w:keepNext w:val="0"/>
              <w:pageBreakBefore w:val="0"/>
              <w:spacing w:line="24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投标人或生产制造商提供具备质量管理体系认证证书、环境管理体系认证证书、职业健康体系证书的，每提供一份得</w:t>
            </w: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zh-CN" w:eastAsia="zh-CN" w:bidi="ar-SA"/>
              </w:rPr>
              <w:t xml:space="preserve">分，满分</w:t>
            </w: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zh-CN" w:eastAsia="zh-CN" w:bidi="ar-SA"/>
              </w:rPr>
              <w:t xml:space="preserve">分。</w:t>
            </w:r>
            <w:r/>
          </w:p>
          <w:p>
            <w:pPr>
              <w:ind w:firstLine="0"/>
              <w:keepLines w:val="0"/>
              <w:keepNext w:val="0"/>
              <w:pageBreakBefore w:val="0"/>
              <w:spacing w:line="24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注：投标文件中</w:t>
            </w:r>
            <w:r>
              <w:rPr>
                <w:rFonts w:hint="eastAsia" w:ascii="宋体" w:hAnsi="宋体" w:eastAsia="宋体" w:cs="宋体"/>
                <w:color w:val="auto"/>
                <w:sz w:val="21"/>
                <w:szCs w:val="21"/>
                <w:highlight w:val="none"/>
                <w:lang w:val="zh-CN" w:eastAsia="zh-CN" w:bidi="ar-SA"/>
              </w:rPr>
              <w:t xml:space="preserve">需提供有效期内的认证证书复印件并加盖投标人公章。</w:t>
            </w:r>
            <w:r/>
          </w:p>
        </w:tc>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p>
        </w:tc>
      </w:tr>
      <w:tr>
        <w:trPr>
          <w:jc w:val="center"/>
          <w:trHeight w:val="57"/>
        </w:trPr>
        <w:tc>
          <w:tcPr>
            <w:shd w:val="clear" w:color="auto" w:fill="auto"/>
            <w:tcBorders>
              <w:top w:val="single" w:color="auto" w:sz="4" w:space="0"/>
              <w:left w:val="single" w:color="auto" w:sz="4" w:space="0"/>
              <w:right w:val="single" w:color="auto" w:sz="4" w:space="0"/>
            </w:tcBorders>
            <w:tcW w:w="741"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w:t>
            </w:r>
            <w:r/>
          </w:p>
        </w:tc>
        <w:tc>
          <w:tcPr>
            <w:shd w:val="clear" w:color="auto" w:fill="auto"/>
            <w:tcBorders>
              <w:top w:val="single" w:color="auto" w:sz="4" w:space="0"/>
              <w:left w:val="single" w:color="auto" w:sz="4" w:space="0"/>
              <w:right w:val="single" w:color="auto" w:sz="4" w:space="0"/>
            </w:tcBorders>
            <w:tcW w:w="1155"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服务</w:t>
            </w:r>
            <w:r>
              <w:rPr>
                <w:rFonts w:hint="eastAsia" w:ascii="宋体" w:hAnsi="宋体" w:eastAsia="宋体" w:cs="宋体"/>
                <w:b/>
                <w:color w:val="auto"/>
                <w:sz w:val="21"/>
                <w:szCs w:val="21"/>
                <w:highlight w:val="none"/>
                <w:lang w:val="en-US" w:eastAsia="zh-CN"/>
              </w:rPr>
              <w:t xml:space="preserve">方案</w:t>
            </w:r>
            <w:r/>
          </w:p>
          <w:p>
            <w:pPr>
              <w:ind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18</w:t>
            </w:r>
            <w:r>
              <w:rPr>
                <w:rFonts w:hint="eastAsia" w:ascii="宋体" w:hAnsi="宋体" w:eastAsia="宋体" w:cs="宋体"/>
                <w:b/>
                <w:color w:val="auto"/>
                <w:sz w:val="21"/>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047" w:type="dxa"/>
            <w:vAlign w:val="center"/>
            <w:textDirection w:val="lrTb"/>
            <w:noWrap w:val="false"/>
          </w:tcPr>
          <w:p>
            <w:pPr>
              <w:ind w:firstLine="0"/>
              <w:keepLines w:val="0"/>
              <w:keepNext w:val="0"/>
              <w:pageBreakBefore w:val="0"/>
              <w:spacing w:line="240" w:lineRule="auto"/>
              <w:rPr>
                <w:rFonts w:hint="eastAsia" w:ascii="宋体" w:hAnsi="宋体" w:eastAsia="宋体" w:cs="宋体"/>
                <w:color w:val="auto"/>
                <w:sz w:val="21"/>
                <w:szCs w:val="21"/>
                <w:highlight w:val="none"/>
                <w:lang w:val="zh-CN" w:eastAsia="zh-CN" w:bidi="ar-SA"/>
              </w:rPr>
              <w:outlineLvl w:val="2"/>
            </w:pPr>
            <w:r>
              <w:rPr>
                <w:rFonts w:hint="eastAsia" w:ascii="宋体" w:hAnsi="宋体" w:eastAsia="宋体" w:cs="宋体"/>
                <w:color w:val="auto"/>
                <w:sz w:val="21"/>
                <w:szCs w:val="21"/>
                <w:highlight w:val="none"/>
                <w:lang w:val="zh-CN" w:eastAsia="zh-CN" w:bidi="ar-SA"/>
              </w:rPr>
              <w:t xml:space="preserve">服务方案：评委对投标人的售后服务方案（包括但不限于售后服务人员的配备、服务响应时间、质保期后服务等技术指导）进行综合评价：</w:t>
            </w:r>
            <w:r/>
          </w:p>
          <w:p>
            <w:pPr>
              <w:ind w:firstLine="0"/>
              <w:keepLines w:val="0"/>
              <w:keepNext w:val="0"/>
              <w:pageBreakBefore w:val="0"/>
              <w:spacing w:line="240" w:lineRule="auto"/>
              <w:rPr>
                <w:rFonts w:hint="eastAsia" w:ascii="宋体" w:hAnsi="宋体" w:eastAsia="宋体" w:cs="宋体"/>
                <w:color w:val="auto"/>
                <w:sz w:val="21"/>
                <w:szCs w:val="21"/>
                <w:highlight w:val="none"/>
                <w:lang w:val="zh-CN" w:eastAsia="zh-CN" w:bidi="ar-SA"/>
              </w:rPr>
              <w:outlineLvl w:val="2"/>
            </w:pPr>
            <w:r>
              <w:rPr>
                <w:rFonts w:hint="eastAsia" w:ascii="宋体" w:hAnsi="宋体" w:eastAsia="宋体" w:cs="宋体"/>
                <w:color w:val="auto"/>
                <w:sz w:val="21"/>
                <w:szCs w:val="21"/>
                <w:highlight w:val="none"/>
                <w:lang w:val="zh-CN" w:eastAsia="zh-CN" w:bidi="ar-SA"/>
              </w:rPr>
              <w:t xml:space="preserve">服务方案全面，细致，有针对性，且售后服务、质保期服务、质保期后服务等技术指导方案周全的，得</w:t>
            </w:r>
            <w:r>
              <w:rPr>
                <w:rFonts w:hint="eastAsia" w:ascii="宋体" w:hAnsi="宋体" w:eastAsia="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zh-CN" w:eastAsia="zh-CN" w:bidi="ar-SA"/>
              </w:rPr>
              <w:t xml:space="preserve">分；</w:t>
            </w:r>
            <w:r/>
          </w:p>
          <w:p>
            <w:pPr>
              <w:ind w:firstLine="0"/>
              <w:keepLines w:val="0"/>
              <w:keepNext w:val="0"/>
              <w:pageBreakBefore w:val="0"/>
              <w:spacing w:line="240" w:lineRule="auto"/>
              <w:rPr>
                <w:rFonts w:hint="eastAsia" w:ascii="宋体" w:hAnsi="宋体" w:eastAsia="宋体" w:cs="宋体"/>
                <w:color w:val="auto"/>
                <w:sz w:val="21"/>
                <w:szCs w:val="21"/>
                <w:highlight w:val="none"/>
                <w:lang w:val="zh-CN" w:eastAsia="zh-CN" w:bidi="ar-SA"/>
              </w:rPr>
              <w:outlineLvl w:val="2"/>
            </w:pPr>
            <w:r>
              <w:rPr>
                <w:rFonts w:hint="eastAsia" w:ascii="宋体" w:hAnsi="宋体" w:eastAsia="宋体" w:cs="宋体"/>
                <w:color w:val="auto"/>
                <w:sz w:val="21"/>
                <w:szCs w:val="21"/>
                <w:highlight w:val="none"/>
                <w:lang w:val="zh-CN" w:eastAsia="zh-CN" w:bidi="ar-SA"/>
              </w:rPr>
              <w:t xml:space="preserve">服务方案较全面，细致，有较强针对性，且售后服务、质保期服务、质保期后服务等技术指导方案基本周全的，得</w:t>
            </w: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zh-CN" w:eastAsia="zh-CN" w:bidi="ar-SA"/>
              </w:rPr>
              <w:t xml:space="preserve">分；</w:t>
            </w:r>
            <w:r/>
          </w:p>
          <w:p>
            <w:pPr>
              <w:ind w:firstLine="0"/>
              <w:keepLines w:val="0"/>
              <w:keepNext w:val="0"/>
              <w:pageBreakBefore w:val="0"/>
              <w:spacing w:line="240" w:lineRule="auto"/>
              <w:rPr>
                <w:rFonts w:hint="eastAsia" w:ascii="宋体" w:hAnsi="宋体" w:eastAsia="宋体" w:cs="宋体"/>
                <w:color w:val="auto"/>
                <w:sz w:val="21"/>
                <w:szCs w:val="21"/>
                <w:highlight w:val="none"/>
                <w:lang w:val="zh-CN" w:eastAsia="zh-CN" w:bidi="ar-SA"/>
              </w:rPr>
              <w:outlineLvl w:val="2"/>
            </w:pPr>
            <w:r>
              <w:rPr>
                <w:rFonts w:hint="eastAsia" w:ascii="宋体" w:hAnsi="宋体" w:eastAsia="宋体" w:cs="宋体"/>
                <w:color w:val="auto"/>
                <w:sz w:val="21"/>
                <w:szCs w:val="21"/>
                <w:highlight w:val="none"/>
                <w:lang w:val="zh-CN" w:eastAsia="zh-CN" w:bidi="ar-SA"/>
              </w:rPr>
              <w:t xml:space="preserve">服务方案不够全面，细致，无针对性，且售后服务、质保期服务、质保期后服务等技术指导方案内容不够周全的，得</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zh-CN" w:eastAsia="zh-CN" w:bidi="ar-SA"/>
              </w:rPr>
              <w:t xml:space="preserve">分。</w:t>
            </w:r>
            <w:r/>
          </w:p>
          <w:p>
            <w:pPr>
              <w:ind w:firstLine="0"/>
              <w:keepLines w:val="0"/>
              <w:keepNext w:val="0"/>
              <w:pageBreakBefore w:val="0"/>
              <w:spacing w:line="240" w:lineRule="auto"/>
              <w:rPr>
                <w:rFonts w:hint="eastAsia" w:ascii="宋体" w:hAnsi="宋体" w:eastAsia="宋体" w:cs="宋体"/>
                <w:color w:val="auto"/>
                <w:sz w:val="21"/>
                <w:szCs w:val="21"/>
                <w:highlight w:val="none"/>
                <w:lang w:val="zh-CN" w:eastAsia="zh-CN" w:bidi="ar-SA"/>
              </w:rPr>
              <w:outlineLvl w:val="2"/>
            </w:pPr>
            <w:r>
              <w:rPr>
                <w:rFonts w:hint="eastAsia" w:ascii="宋体" w:hAnsi="宋体" w:eastAsia="宋体" w:cs="宋体"/>
                <w:color w:val="auto"/>
                <w:sz w:val="21"/>
                <w:szCs w:val="21"/>
                <w:highlight w:val="none"/>
                <w:lang w:val="zh-CN" w:eastAsia="zh-CN" w:bidi="ar-SA"/>
              </w:rPr>
              <w:t xml:space="preserve">未提供售后服务方案的不得分。</w:t>
            </w:r>
            <w:r/>
          </w:p>
        </w:tc>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p>
        </w:tc>
      </w:tr>
      <w:tr>
        <w:trPr>
          <w:jc w:val="center"/>
          <w:trHeight w:val="57"/>
        </w:trPr>
        <w:tc>
          <w:tcPr>
            <w:shd w:val="clear" w:color="auto" w:fill="auto"/>
            <w:tcBorders>
              <w:left w:val="single" w:color="auto" w:sz="4" w:space="0"/>
              <w:right w:val="single" w:color="auto" w:sz="4" w:space="0"/>
            </w:tcBorders>
            <w:tcW w:w="741"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shd w:val="clear" w:color="auto" w:fill="auto"/>
            <w:tcBorders>
              <w:left w:val="single" w:color="auto" w:sz="4" w:space="0"/>
              <w:right w:val="single" w:color="auto" w:sz="4" w:space="0"/>
            </w:tcBorders>
            <w:tcW w:w="1155" w:type="dxa"/>
            <w:vAlign w:val="center"/>
            <w:vMerge w:val="continue"/>
            <w:textDirection w:val="lrTb"/>
            <w:noWrap w:val="false"/>
          </w:tcPr>
          <w:p>
            <w:pPr>
              <w:ind w:firstLine="0"/>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47" w:type="dxa"/>
            <w:vAlign w:val="center"/>
            <w:textDirection w:val="lrTb"/>
            <w:noWrap w:val="false"/>
          </w:tcPr>
          <w:p>
            <w:pPr>
              <w:ind w:firstLine="0"/>
              <w:keepLines w:val="0"/>
              <w:keepNext w:val="0"/>
              <w:pageBreakBefore w:val="0"/>
              <w:spacing w:line="240" w:lineRule="auto"/>
              <w:rPr>
                <w:rFonts w:hint="eastAsia" w:ascii="宋体" w:hAnsi="宋体" w:eastAsia="宋体" w:cs="宋体"/>
                <w:color w:val="auto"/>
                <w:sz w:val="21"/>
                <w:szCs w:val="21"/>
                <w:highlight w:val="none"/>
                <w:lang w:val="zh-CN" w:eastAsia="zh-CN" w:bidi="ar-SA"/>
              </w:rPr>
              <w:outlineLvl w:val="2"/>
            </w:pPr>
            <w:r>
              <w:rPr>
                <w:rFonts w:hint="eastAsia" w:ascii="宋体" w:hAnsi="宋体" w:eastAsia="宋体" w:cs="宋体"/>
                <w:color w:val="auto"/>
                <w:sz w:val="21"/>
                <w:szCs w:val="21"/>
                <w:highlight w:val="none"/>
                <w:lang w:val="zh-CN" w:eastAsia="zh-CN" w:bidi="ar-SA"/>
              </w:rPr>
              <w:t xml:space="preserve">培训方案：评委根据投标人或生产厂家提供的人员培训、技术指导方案（包括但不限于现场车辆操作培训及保养培训服务）进行综合评分：</w:t>
            </w:r>
            <w:r/>
          </w:p>
          <w:p>
            <w:pPr>
              <w:ind w:firstLine="0"/>
              <w:keepLines w:val="0"/>
              <w:keepNext w:val="0"/>
              <w:pageBreakBefore w:val="0"/>
              <w:spacing w:line="240" w:lineRule="auto"/>
              <w:rPr>
                <w:rFonts w:hint="eastAsia" w:ascii="宋体" w:hAnsi="宋体" w:eastAsia="宋体" w:cs="宋体"/>
                <w:color w:val="auto"/>
                <w:sz w:val="21"/>
                <w:szCs w:val="21"/>
                <w:highlight w:val="none"/>
                <w:lang w:val="zh-CN" w:eastAsia="zh-CN" w:bidi="ar-SA"/>
              </w:rPr>
              <w:outlineLvl w:val="2"/>
            </w:pPr>
            <w:r>
              <w:rPr>
                <w:rFonts w:hint="eastAsia" w:ascii="宋体" w:hAnsi="宋体" w:eastAsia="宋体" w:cs="宋体"/>
                <w:color w:val="auto"/>
                <w:sz w:val="21"/>
                <w:szCs w:val="21"/>
                <w:highlight w:val="none"/>
                <w:lang w:val="zh-CN" w:eastAsia="zh-CN" w:bidi="ar-SA"/>
              </w:rPr>
              <w:t xml:space="preserve">人员培训、技术指导方案承诺明确、具体、内容详尽，保证措施得力的，得</w:t>
            </w:r>
            <w:r>
              <w:rPr>
                <w:rFonts w:hint="eastAsia" w:ascii="宋体" w:hAnsi="宋体" w:eastAsia="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zh-CN" w:eastAsia="zh-CN" w:bidi="ar-SA"/>
              </w:rPr>
              <w:t xml:space="preserve">分；</w:t>
            </w:r>
            <w:r/>
          </w:p>
          <w:p>
            <w:pPr>
              <w:ind w:firstLine="0"/>
              <w:keepLines w:val="0"/>
              <w:keepNext w:val="0"/>
              <w:pageBreakBefore w:val="0"/>
              <w:spacing w:line="240" w:lineRule="auto"/>
              <w:rPr>
                <w:rFonts w:hint="eastAsia" w:ascii="宋体" w:hAnsi="宋体" w:eastAsia="宋体" w:cs="宋体"/>
                <w:color w:val="auto"/>
                <w:sz w:val="21"/>
                <w:szCs w:val="21"/>
                <w:highlight w:val="none"/>
                <w:lang w:val="zh-CN" w:eastAsia="zh-CN" w:bidi="ar-SA"/>
              </w:rPr>
              <w:outlineLvl w:val="2"/>
            </w:pPr>
            <w:r>
              <w:rPr>
                <w:rFonts w:hint="eastAsia" w:ascii="宋体" w:hAnsi="宋体" w:eastAsia="宋体" w:cs="宋体"/>
                <w:color w:val="auto"/>
                <w:sz w:val="21"/>
                <w:szCs w:val="21"/>
                <w:highlight w:val="none"/>
                <w:lang w:val="zh-CN" w:eastAsia="zh-CN" w:bidi="ar-SA"/>
              </w:rPr>
              <w:t xml:space="preserve">人员培训、技术指导方案和承诺明确、内容具体的，得</w:t>
            </w: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zh-CN" w:eastAsia="zh-CN" w:bidi="ar-SA"/>
              </w:rPr>
              <w:t xml:space="preserve">分；</w:t>
            </w:r>
            <w:r/>
          </w:p>
          <w:p>
            <w:pPr>
              <w:ind w:firstLine="0"/>
              <w:keepLines w:val="0"/>
              <w:keepNext w:val="0"/>
              <w:pageBreakBefore w:val="0"/>
              <w:spacing w:line="240" w:lineRule="auto"/>
              <w:rPr>
                <w:rFonts w:hint="eastAsia" w:ascii="宋体" w:hAnsi="宋体" w:eastAsia="宋体" w:cs="宋体"/>
                <w:color w:val="auto"/>
                <w:sz w:val="21"/>
                <w:szCs w:val="21"/>
                <w:highlight w:val="none"/>
                <w:lang w:val="zh-CN" w:eastAsia="zh-CN" w:bidi="ar-SA"/>
              </w:rPr>
              <w:outlineLvl w:val="2"/>
            </w:pPr>
            <w:r>
              <w:rPr>
                <w:rFonts w:hint="eastAsia" w:ascii="宋体" w:hAnsi="宋体" w:eastAsia="宋体" w:cs="宋体"/>
                <w:color w:val="auto"/>
                <w:sz w:val="21"/>
                <w:szCs w:val="21"/>
                <w:highlight w:val="none"/>
                <w:lang w:val="zh-CN" w:eastAsia="zh-CN" w:bidi="ar-SA"/>
              </w:rPr>
              <w:t xml:space="preserve">人员培训、技术指导方案内容阐述简洁、无实质性可行内容的，得3分；</w:t>
            </w:r>
            <w:r/>
          </w:p>
          <w:p>
            <w:pPr>
              <w:ind w:firstLine="0"/>
              <w:keepLines w:val="0"/>
              <w:keepNext w:val="0"/>
              <w:pageBreakBefore w:val="0"/>
              <w:spacing w:line="240" w:lineRule="auto"/>
              <w:rPr>
                <w:rFonts w:hint="eastAsia" w:ascii="宋体" w:hAnsi="宋体" w:eastAsia="宋体" w:cs="宋体"/>
                <w:color w:val="auto"/>
                <w:sz w:val="21"/>
                <w:szCs w:val="21"/>
                <w:highlight w:val="none"/>
                <w:lang w:val="zh-CN" w:eastAsia="zh-CN" w:bidi="ar-SA"/>
              </w:rPr>
              <w:outlineLvl w:val="2"/>
            </w:pPr>
            <w:r>
              <w:rPr>
                <w:rFonts w:hint="eastAsia" w:ascii="宋体" w:hAnsi="宋体" w:eastAsia="宋体" w:cs="宋体"/>
                <w:color w:val="auto"/>
                <w:sz w:val="21"/>
                <w:szCs w:val="21"/>
                <w:highlight w:val="none"/>
                <w:lang w:val="zh-CN" w:eastAsia="zh-CN" w:bidi="ar-SA"/>
              </w:rPr>
              <w:t xml:space="preserve">未提供培训方案的不得分。</w:t>
            </w:r>
            <w:r/>
          </w:p>
        </w:tc>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p>
        </w:tc>
      </w:tr>
    </w:tbl>
    <w:p>
      <w:pPr>
        <w:pStyle w:val="715"/>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第六章  投标文件格式 </w:t>
      </w:r>
      <w:r/>
    </w:p>
    <w:p>
      <w:pPr>
        <w:pStyle w:val="715"/>
        <w:jc w:val="center"/>
        <w:spacing w:beforeAutospacing="0" w:afterAutospacing="0"/>
        <w:rPr>
          <w:rFonts w:hint="eastAsia" w:ascii="宋体" w:hAnsi="宋体" w:eastAsia="宋体" w:cs="宋体"/>
          <w:b/>
          <w:color w:val="auto"/>
          <w:sz w:val="72"/>
          <w:szCs w:val="72"/>
          <w:highlight w:val="none"/>
        </w:rPr>
      </w:pPr>
      <w:r/>
      <w:bookmarkStart w:id="178" w:name="_Toc49090576"/>
      <w:r/>
      <w:bookmarkEnd w:id="178"/>
      <w:r/>
      <w:bookmarkStart w:id="179" w:name="_Toc120614282"/>
      <w:r/>
      <w:bookmarkEnd w:id="179"/>
      <w:r/>
      <w:bookmarkStart w:id="180" w:name="_Hlt26671244"/>
      <w:r/>
      <w:bookmarkStart w:id="181" w:name="_Toc26554094"/>
      <w:r/>
      <w:bookmarkStart w:id="182" w:name="_Hlt26955039"/>
      <w:r/>
      <w:r/>
    </w:p>
    <w:p>
      <w:pPr>
        <w:pStyle w:val="715"/>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15"/>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715"/>
        <w:jc w:val="center"/>
        <w:spacing w:beforeAutospacing="0" w:afterAutospacing="0"/>
        <w:rPr>
          <w:color w:val="auto"/>
          <w:highlight w:val="none"/>
        </w:rPr>
      </w:pPr>
      <w:r>
        <w:rPr>
          <w:color w:val="auto"/>
          <w:highlight w:val="none"/>
        </w:rPr>
        <w:t xml:space="preserve"> </w:t>
      </w:r>
      <w:r/>
    </w:p>
    <w:p>
      <w:pPr>
        <w:pStyle w:val="715"/>
        <w:jc w:val="center"/>
        <w:spacing w:beforeAutospacing="0" w:afterAutospacing="0"/>
        <w:rPr>
          <w:color w:val="auto"/>
          <w:highlight w:val="none"/>
        </w:rPr>
      </w:pPr>
      <w:r>
        <w:rPr>
          <w:color w:val="auto"/>
          <w:highlight w:val="none"/>
        </w:rPr>
        <w:t xml:space="preserve"> </w:t>
      </w:r>
      <w:r/>
    </w:p>
    <w:p>
      <w:pPr>
        <w:pStyle w:val="715"/>
        <w:jc w:val="center"/>
        <w:spacing w:beforeAutospacing="0" w:afterAutospacing="0"/>
        <w:rPr>
          <w:color w:val="auto"/>
          <w:highlight w:val="none"/>
        </w:rPr>
      </w:pPr>
      <w:r>
        <w:rPr>
          <w:color w:val="auto"/>
          <w:highlight w:val="none"/>
        </w:rPr>
        <w:t xml:space="preserve"> </w:t>
      </w:r>
      <w:r/>
    </w:p>
    <w:p>
      <w:pPr>
        <w:pStyle w:val="715"/>
        <w:jc w:val="center"/>
        <w:spacing w:beforeAutospacing="0" w:afterAutospacing="0"/>
        <w:rPr>
          <w:color w:val="auto"/>
          <w:highlight w:val="none"/>
        </w:rPr>
      </w:pPr>
      <w:r>
        <w:rPr>
          <w:color w:val="auto"/>
          <w:highlight w:val="none"/>
        </w:rPr>
        <w:t xml:space="preserve"> </w:t>
      </w:r>
      <w:r/>
    </w:p>
    <w:p>
      <w:pPr>
        <w:pStyle w:val="715"/>
        <w:jc w:val="center"/>
        <w:spacing w:beforeAutospacing="0" w:afterAutospacing="0"/>
        <w:rPr>
          <w:color w:val="auto"/>
          <w:highlight w:val="none"/>
        </w:rPr>
      </w:pPr>
      <w:r>
        <w:rPr>
          <w:color w:val="auto"/>
          <w:highlight w:val="none"/>
        </w:rPr>
        <w:t xml:space="preserve"> </w:t>
      </w:r>
      <w:r/>
    </w:p>
    <w:p>
      <w:pPr>
        <w:pStyle w:val="715"/>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715"/>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715"/>
        <w:jc w:val="both"/>
        <w:spacing w:beforeAutospacing="0" w:afterAutospacing="0"/>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r>
        <w:rPr>
          <w:rFonts w:hint="eastAsia" w:ascii="宋体" w:hAnsi="宋体" w:eastAsia="宋体" w:cs="宋体"/>
          <w:b/>
          <w:color w:val="auto"/>
          <w:sz w:val="36"/>
          <w:szCs w:val="36"/>
          <w:highlight w:val="none"/>
          <w:u w:val="single"/>
          <w:lang w:val="en-US" w:eastAsia="zh-CN"/>
        </w:rPr>
        <w:t xml:space="preserve">       </w:t>
      </w:r>
      <w:r/>
    </w:p>
    <w:p>
      <w:pPr>
        <w:pStyle w:val="715"/>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 xml:space="preserve">日   期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rPr>
        <w:t xml:space="preserve"> </w:t>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715"/>
        <w:jc w:val="center"/>
        <w:spacing w:beforeAutospacing="0" w:afterAutospacing="0" w:line="0" w:lineRule="atLeast"/>
        <w:rPr>
          <w:color w:val="auto"/>
          <w:highlight w:val="none"/>
        </w:rPr>
      </w:pPr>
      <w:r>
        <w:rPr>
          <w:color w:val="auto"/>
          <w:highlight w:val="none"/>
        </w:rPr>
        <w:t xml:space="preserve"> </w:t>
      </w:r>
      <w:r/>
    </w:p>
    <w:p>
      <w:pPr>
        <w:pStyle w:val="715"/>
        <w:ind w:firstLine="560"/>
        <w:jc w:val="both"/>
        <w:spacing w:beforeAutospacing="0" w:afterAutospacing="0" w:line="440" w:lineRule="exact"/>
        <w:rPr>
          <w:iCs/>
          <w:color w:val="auto"/>
          <w:sz w:val="28"/>
          <w:szCs w:val="28"/>
          <w:highlight w:val="none"/>
        </w:rPr>
      </w:pPr>
      <w:r>
        <w:rPr>
          <w:rFonts w:hint="eastAsia" w:ascii="宋体" w:hAnsi="宋体" w:eastAsia="宋体" w:cs="宋体"/>
          <w:iCs/>
          <w:color w:val="auto"/>
          <w:sz w:val="28"/>
          <w:szCs w:val="28"/>
          <w:highlight w:val="none"/>
        </w:rPr>
        <w:t xml:space="preserve">一、法人或者其他组织的营业执照等证明文件，自然人的身份证明</w:t>
      </w:r>
      <w:r/>
    </w:p>
    <w:p>
      <w:pPr>
        <w:ind w:firstLine="560"/>
        <w:jc w:val="left"/>
        <w:spacing w:line="440" w:lineRule="exact"/>
        <w:tabs>
          <w:tab w:val="left" w:pos="1331" w:leader="none"/>
        </w:tabs>
        <w:rPr>
          <w:iCs/>
          <w:color w:val="auto"/>
          <w:sz w:val="28"/>
          <w:szCs w:val="28"/>
          <w:highlight w:val="none"/>
        </w:rPr>
      </w:pPr>
      <w:r>
        <w:rPr>
          <w:rFonts w:hint="eastAsia" w:ascii="宋体" w:hAnsi="宋体" w:eastAsia="宋体" w:cs="宋体"/>
          <w:iCs/>
          <w:color w:val="auto"/>
          <w:sz w:val="28"/>
          <w:szCs w:val="28"/>
          <w:highlight w:val="none"/>
        </w:rPr>
        <w:t xml:space="preserve">二、上一年度或上上年度的财务状况报表（至少提供资产负债表、利润表、现金流量表，投标人成立不满一年无需提供）</w:t>
      </w:r>
      <w:r/>
    </w:p>
    <w:p>
      <w:pPr>
        <w:pStyle w:val="715"/>
        <w:ind w:firstLine="560"/>
        <w:jc w:val="both"/>
        <w:spacing w:beforeAutospacing="0" w:afterAutospacing="0" w:line="440" w:lineRule="exact"/>
        <w:rPr>
          <w:rFonts w:hint="eastAsia" w:ascii="宋体" w:hAnsi="宋体" w:eastAsia="宋体" w:cs="宋体"/>
          <w:iCs/>
          <w:color w:val="auto"/>
          <w:sz w:val="28"/>
          <w:szCs w:val="28"/>
          <w:highlight w:val="none"/>
        </w:rPr>
      </w:pPr>
      <w:r>
        <w:rPr>
          <w:rFonts w:hint="eastAsia" w:ascii="宋体" w:hAnsi="宋体" w:eastAsia="宋体" w:cs="宋体"/>
          <w:iCs/>
          <w:color w:val="auto"/>
          <w:sz w:val="28"/>
          <w:szCs w:val="28"/>
          <w:highlight w:val="none"/>
        </w:rPr>
        <w:t xml:space="preserve">三、具备履行合同所必需的设备和专业技术能力的书面声明</w:t>
      </w:r>
      <w:r/>
    </w:p>
    <w:p>
      <w:pPr>
        <w:pStyle w:val="715"/>
        <w:ind w:firstLine="560"/>
        <w:jc w:val="both"/>
        <w:spacing w:beforeAutospacing="0" w:afterAutospacing="0" w:line="440" w:lineRule="exact"/>
        <w:rPr>
          <w:rFonts w:hint="eastAsia" w:ascii="宋体" w:hAnsi="宋体" w:eastAsia="宋体" w:cs="宋体"/>
          <w:iCs/>
          <w:color w:val="auto"/>
          <w:sz w:val="28"/>
          <w:szCs w:val="28"/>
          <w:highlight w:val="none"/>
          <w:lang w:eastAsia="zh-CN"/>
        </w:rPr>
      </w:pPr>
      <w:r>
        <w:rPr>
          <w:rFonts w:hint="eastAsia" w:ascii="宋体" w:hAnsi="宋体" w:eastAsia="宋体" w:cs="宋体"/>
          <w:iCs/>
          <w:color w:val="auto"/>
          <w:sz w:val="28"/>
          <w:szCs w:val="28"/>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iCs/>
          <w:color w:val="auto"/>
          <w:sz w:val="28"/>
          <w:szCs w:val="28"/>
          <w:highlight w:val="none"/>
          <w:lang w:eastAsia="zh-CN"/>
        </w:rPr>
        <w:t xml:space="preserve">。</w:t>
      </w:r>
      <w:r/>
    </w:p>
    <w:p>
      <w:pPr>
        <w:pStyle w:val="715"/>
        <w:ind w:firstLine="560"/>
        <w:jc w:val="both"/>
        <w:spacing w:beforeAutospacing="0" w:afterAutospacing="0" w:line="440" w:lineRule="exact"/>
        <w:rPr>
          <w:iCs/>
          <w:color w:val="auto"/>
          <w:sz w:val="28"/>
          <w:szCs w:val="28"/>
          <w:highlight w:val="none"/>
        </w:rPr>
      </w:pPr>
      <w:r>
        <w:rPr>
          <w:rFonts w:hint="eastAsia" w:ascii="宋体" w:hAnsi="宋体" w:eastAsia="宋体" w:cs="宋体"/>
          <w:iCs/>
          <w:color w:val="auto"/>
          <w:sz w:val="28"/>
          <w:szCs w:val="28"/>
          <w:highlight w:val="none"/>
        </w:rPr>
        <w:t xml:space="preserve">五、参加政府采购活动前 3 年内在经营活动中没有重大违法记录的书面声明</w:t>
      </w:r>
      <w:r/>
    </w:p>
    <w:p>
      <w:pPr>
        <w:pStyle w:val="715"/>
        <w:ind w:firstLine="560"/>
        <w:jc w:val="both"/>
        <w:spacing w:beforeAutospacing="0" w:afterAutospacing="0" w:line="440" w:lineRule="exact"/>
        <w:rPr>
          <w:rFonts w:hint="eastAsia" w:ascii="宋体" w:hAnsi="宋体" w:eastAsia="宋体" w:cs="宋体"/>
          <w:iCs/>
          <w:color w:val="auto"/>
          <w:sz w:val="28"/>
          <w:szCs w:val="28"/>
          <w:highlight w:val="none"/>
        </w:rPr>
      </w:pPr>
      <w:r>
        <w:rPr>
          <w:rFonts w:hint="eastAsia" w:ascii="宋体" w:hAnsi="宋体" w:eastAsia="宋体" w:cs="宋体"/>
          <w:iCs/>
          <w:color w:val="auto"/>
          <w:sz w:val="28"/>
          <w:szCs w:val="28"/>
          <w:highlight w:val="none"/>
        </w:rPr>
        <w:t xml:space="preserve">六、投标人法定代表人身份证明和投标文件签署授权委托书（另附法定代表人和被授权人的身份证复印件）</w:t>
      </w:r>
      <w:r/>
    </w:p>
    <w:p>
      <w:pPr>
        <w:pStyle w:val="715"/>
        <w:ind w:firstLine="560"/>
        <w:jc w:val="both"/>
        <w:spacing w:beforeAutospacing="0" w:afterAutospacing="0" w:line="440" w:lineRule="exact"/>
        <w:rPr>
          <w:iCs/>
          <w:color w:val="auto"/>
          <w:sz w:val="28"/>
          <w:szCs w:val="28"/>
          <w:highlight w:val="none"/>
        </w:rPr>
      </w:pPr>
      <w:r>
        <w:rPr>
          <w:rFonts w:hint="eastAsia" w:ascii="宋体" w:hAnsi="宋体" w:eastAsia="宋体" w:cs="宋体"/>
          <w:iCs/>
          <w:color w:val="auto"/>
          <w:sz w:val="28"/>
          <w:szCs w:val="28"/>
          <w:highlight w:val="none"/>
        </w:rPr>
        <w:t xml:space="preserve">七、投标人为被授权人缴纳的社会养老保险证明</w:t>
      </w:r>
      <w:r/>
    </w:p>
    <w:p>
      <w:pPr>
        <w:pStyle w:val="715"/>
        <w:ind w:firstLine="560"/>
        <w:jc w:val="both"/>
        <w:spacing w:beforeAutospacing="0" w:afterAutospacing="0" w:line="440" w:lineRule="exact"/>
        <w:rPr>
          <w:iCs/>
          <w:color w:val="auto"/>
          <w:sz w:val="28"/>
          <w:szCs w:val="28"/>
          <w:highlight w:val="none"/>
        </w:rPr>
      </w:pPr>
      <w:r>
        <w:rPr>
          <w:rFonts w:hint="eastAsia" w:ascii="宋体" w:hAnsi="宋体" w:eastAsia="宋体" w:cs="宋体"/>
          <w:iCs/>
          <w:color w:val="auto"/>
          <w:sz w:val="28"/>
          <w:szCs w:val="28"/>
          <w:highlight w:val="none"/>
        </w:rPr>
        <w:t xml:space="preserve">八、投标函</w:t>
      </w:r>
      <w:r/>
    </w:p>
    <w:p>
      <w:pPr>
        <w:pStyle w:val="715"/>
        <w:ind w:firstLine="560"/>
        <w:jc w:val="both"/>
        <w:spacing w:beforeAutospacing="0" w:afterAutospacing="0" w:line="440" w:lineRule="exact"/>
        <w:rPr>
          <w:color w:val="auto"/>
          <w:sz w:val="28"/>
          <w:szCs w:val="28"/>
          <w:highlight w:val="none"/>
        </w:rPr>
      </w:pPr>
      <w:r>
        <w:rPr>
          <w:rFonts w:hint="eastAsia" w:ascii="宋体" w:hAnsi="宋体" w:eastAsia="宋体" w:cs="宋体"/>
          <w:color w:val="auto"/>
          <w:sz w:val="28"/>
          <w:szCs w:val="28"/>
          <w:highlight w:val="none"/>
        </w:rPr>
        <w:t xml:space="preserve">九、小微企业声明函</w:t>
      </w:r>
      <w:r/>
    </w:p>
    <w:p>
      <w:pPr>
        <w:pStyle w:val="715"/>
        <w:ind w:firstLine="560"/>
        <w:jc w:val="both"/>
        <w:spacing w:beforeAutospacing="0" w:afterAutospacing="0" w:line="440" w:lineRule="exact"/>
        <w:rPr>
          <w:color w:val="auto"/>
          <w:sz w:val="28"/>
          <w:szCs w:val="28"/>
          <w:highlight w:val="none"/>
        </w:rPr>
      </w:pPr>
      <w:r>
        <w:rPr>
          <w:rFonts w:hint="eastAsia" w:ascii="宋体" w:hAnsi="宋体" w:eastAsia="宋体" w:cs="宋体"/>
          <w:color w:val="auto"/>
          <w:sz w:val="28"/>
          <w:szCs w:val="28"/>
          <w:highlight w:val="none"/>
        </w:rPr>
        <w:t xml:space="preserve">十、残疾人福利性单位声明函</w:t>
      </w:r>
      <w:r/>
    </w:p>
    <w:p>
      <w:pPr>
        <w:pStyle w:val="715"/>
        <w:ind w:firstLine="560"/>
        <w:jc w:val="both"/>
        <w:spacing w:beforeAutospacing="0" w:afterAutospacing="0"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十一、技术要求响应及偏离表</w:t>
      </w:r>
      <w:r/>
    </w:p>
    <w:p>
      <w:pPr>
        <w:pStyle w:val="715"/>
        <w:ind w:firstLine="560"/>
        <w:jc w:val="both"/>
        <w:spacing w:beforeAutospacing="0" w:afterAutospacing="0"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十二、商务要求响应及偏离表</w:t>
      </w:r>
      <w:r/>
    </w:p>
    <w:p>
      <w:pPr>
        <w:pStyle w:val="715"/>
        <w:ind w:firstLine="560"/>
        <w:jc w:val="both"/>
        <w:spacing w:beforeAutospacing="0" w:afterAutospacing="0"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十三、报价表</w:t>
      </w:r>
      <w:r/>
    </w:p>
    <w:p>
      <w:pPr>
        <w:pStyle w:val="715"/>
        <w:ind w:firstLine="560"/>
        <w:jc w:val="both"/>
        <w:spacing w:beforeAutospacing="0" w:afterAutospacing="0"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十四、盐城市政府采购事前信用承诺书</w:t>
      </w:r>
      <w:r/>
    </w:p>
    <w:p>
      <w:pPr>
        <w:pStyle w:val="715"/>
        <w:ind w:firstLine="560"/>
        <w:jc w:val="both"/>
        <w:spacing w:beforeAutospacing="0" w:afterAutospacing="0"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十五、与评审有关的其他资料</w:t>
      </w:r>
      <w:r/>
    </w:p>
    <w:p>
      <w:pPr>
        <w:pStyle w:val="715"/>
        <w:ind w:firstLine="560"/>
        <w:jc w:val="both"/>
        <w:spacing w:beforeAutospacing="0" w:afterAutospacing="0"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15"/>
        <w:ind w:firstLine="480"/>
        <w:jc w:val="both"/>
        <w:spacing w:beforeAutospacing="0" w:afterAutospacing="0" w:line="0" w:lineRule="atLeast"/>
        <w:rPr>
          <w:color w:val="auto"/>
          <w:highlight w:val="none"/>
        </w:rPr>
      </w:pPr>
      <w:r>
        <w:rPr>
          <w:color w:val="auto"/>
          <w:highlight w:val="none"/>
        </w:rPr>
        <w:t xml:space="preserve"> </w:t>
      </w:r>
      <w:r/>
    </w:p>
    <w:p>
      <w:pPr>
        <w:pStyle w:val="715"/>
        <w:ind w:firstLine="480"/>
        <w:jc w:val="both"/>
        <w:spacing w:beforeAutospacing="0" w:afterAutospacing="0" w:line="0" w:lineRule="atLeast"/>
        <w:rPr>
          <w:color w:val="auto"/>
          <w:highlight w:val="none"/>
        </w:rPr>
      </w:pPr>
      <w:r>
        <w:rPr>
          <w:color w:val="auto"/>
          <w:highlight w:val="none"/>
        </w:rPr>
      </w:r>
      <w:r/>
    </w:p>
    <w:p>
      <w:pPr>
        <w:pStyle w:val="715"/>
        <w:ind w:firstLine="480"/>
        <w:jc w:val="both"/>
        <w:spacing w:beforeAutospacing="0" w:afterAutospacing="0" w:line="0" w:lineRule="atLeast"/>
        <w:rPr>
          <w:color w:val="auto"/>
          <w:highlight w:val="none"/>
        </w:rPr>
      </w:pPr>
      <w:r>
        <w:rPr>
          <w:color w:val="auto"/>
          <w:highlight w:val="none"/>
        </w:rPr>
      </w:r>
      <w:r/>
    </w:p>
    <w:p>
      <w:pPr>
        <w:pStyle w:val="715"/>
        <w:ind w:firstLine="480"/>
        <w:jc w:val="both"/>
        <w:spacing w:beforeAutospacing="0" w:afterAutospacing="0" w:line="0" w:lineRule="atLeast"/>
        <w:rPr>
          <w:color w:val="auto"/>
          <w:highlight w:val="none"/>
        </w:rPr>
      </w:pPr>
      <w:r>
        <w:rPr>
          <w:color w:val="auto"/>
          <w:highlight w:val="none"/>
        </w:rPr>
      </w:r>
      <w:r/>
    </w:p>
    <w:p>
      <w:pPr>
        <w:pStyle w:val="715"/>
        <w:ind w:firstLine="480"/>
        <w:jc w:val="both"/>
        <w:spacing w:beforeAutospacing="0" w:afterAutospacing="0" w:line="0" w:lineRule="atLeast"/>
        <w:rPr>
          <w:color w:val="auto"/>
          <w:highlight w:val="none"/>
        </w:rPr>
      </w:pPr>
      <w:r>
        <w:rPr>
          <w:color w:val="auto"/>
          <w:highlight w:val="none"/>
        </w:rPr>
      </w:r>
      <w:r/>
    </w:p>
    <w:p>
      <w:pPr>
        <w:pStyle w:val="715"/>
        <w:ind w:firstLine="480"/>
        <w:jc w:val="both"/>
        <w:spacing w:beforeAutospacing="0" w:afterAutospacing="0" w:line="0" w:lineRule="atLeast"/>
        <w:rPr>
          <w:color w:val="auto"/>
          <w:highlight w:val="none"/>
        </w:rPr>
      </w:pPr>
      <w:r>
        <w:rPr>
          <w:color w:val="auto"/>
          <w:highlight w:val="none"/>
        </w:rPr>
      </w:r>
      <w:r/>
    </w:p>
    <w:p>
      <w:pPr>
        <w:pStyle w:val="715"/>
        <w:ind w:firstLine="480"/>
        <w:jc w:val="both"/>
        <w:spacing w:beforeAutospacing="0" w:afterAutospacing="0" w:line="0" w:lineRule="atLeast"/>
        <w:rPr>
          <w:color w:val="auto"/>
          <w:highlight w:val="none"/>
        </w:rPr>
      </w:pPr>
      <w:r>
        <w:rPr>
          <w:color w:val="auto"/>
          <w:highlight w:val="none"/>
        </w:rPr>
      </w:r>
      <w:r/>
    </w:p>
    <w:p>
      <w:pPr>
        <w:pStyle w:val="715"/>
        <w:ind w:firstLine="480"/>
        <w:jc w:val="both"/>
        <w:spacing w:beforeAutospacing="0" w:afterAutospacing="0" w:line="0" w:lineRule="atLeast"/>
        <w:rPr>
          <w:color w:val="auto"/>
          <w:highlight w:val="none"/>
        </w:rPr>
      </w:pPr>
      <w:r>
        <w:rPr>
          <w:color w:val="auto"/>
          <w:highlight w:val="none"/>
        </w:rPr>
      </w:r>
      <w:r/>
    </w:p>
    <w:p>
      <w:pPr>
        <w:pStyle w:val="715"/>
        <w:ind w:firstLine="480"/>
        <w:jc w:val="both"/>
        <w:spacing w:beforeAutospacing="0" w:afterAutospacing="0" w:line="0" w:lineRule="atLeast"/>
        <w:rPr>
          <w:color w:val="auto"/>
          <w:highlight w:val="none"/>
        </w:rPr>
      </w:pPr>
      <w:r>
        <w:rPr>
          <w:color w:val="auto"/>
          <w:highlight w:val="none"/>
        </w:rPr>
      </w:r>
      <w:r/>
    </w:p>
    <w:p>
      <w:pPr>
        <w:pStyle w:val="715"/>
        <w:ind w:firstLine="480"/>
        <w:jc w:val="both"/>
        <w:spacing w:beforeAutospacing="0" w:afterAutospacing="0" w:line="0" w:lineRule="atLeast"/>
        <w:rPr>
          <w:color w:val="auto"/>
          <w:highlight w:val="none"/>
        </w:rPr>
      </w:pPr>
      <w:r>
        <w:rPr>
          <w:color w:val="auto"/>
          <w:highlight w:val="none"/>
        </w:rPr>
      </w:r>
      <w:r/>
    </w:p>
    <w:p>
      <w:pPr>
        <w:pStyle w:val="715"/>
        <w:ind w:firstLine="480"/>
        <w:jc w:val="both"/>
        <w:spacing w:beforeAutospacing="0" w:afterAutospacing="0" w:line="0" w:lineRule="atLeast"/>
        <w:rPr>
          <w:color w:val="auto"/>
          <w:highlight w:val="none"/>
        </w:rPr>
      </w:pPr>
      <w:r>
        <w:rPr>
          <w:color w:val="auto"/>
          <w:highlight w:val="none"/>
        </w:rPr>
        <w:t xml:space="preserve"> </w:t>
      </w:r>
      <w:r/>
    </w:p>
    <w:p>
      <w:pPr>
        <w:pStyle w:val="71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715"/>
        <w:ind w:firstLine="480"/>
        <w:jc w:val="both"/>
        <w:spacing w:beforeAutospacing="0" w:afterAutospacing="0" w:line="0" w:lineRule="atLeast"/>
        <w:rPr>
          <w:color w:val="auto"/>
          <w:highlight w:val="none"/>
        </w:rPr>
      </w:pPr>
      <w:r>
        <w:rPr>
          <w:color w:val="auto"/>
          <w:highlight w:val="none"/>
        </w:rPr>
        <w:t xml:space="preserve"> </w:t>
      </w:r>
      <w:r/>
    </w:p>
    <w:p>
      <w:pPr>
        <w:pStyle w:val="715"/>
        <w:jc w:val="both"/>
        <w:spacing w:beforeAutospacing="0" w:afterAutospacing="0"/>
        <w:rPr>
          <w:rFonts w:eastAsia="黑体"/>
          <w:color w:val="auto"/>
          <w:highlight w:val="none"/>
        </w:rPr>
      </w:pPr>
      <w:r>
        <w:rPr>
          <w:rFonts w:hint="eastAsia" w:ascii="黑体" w:hAnsi="宋体" w:eastAsia="黑体" w:cs="黑体"/>
          <w:i/>
          <w:color w:val="auto"/>
          <w:sz w:val="32"/>
          <w:szCs w:val="32"/>
          <w:highlight w:val="none"/>
          <w:u w:val="single"/>
        </w:rPr>
        <w:t xml:space="preserve">二、上一年度或上上年度的财务状况报表</w:t>
      </w:r>
      <w:r/>
    </w:p>
    <w:p>
      <w:pPr>
        <w:pStyle w:val="71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投标人成立不满一年无需提供</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三、具备履行合同所必需的设备和专业技术能力的书面声明</w:t>
      </w:r>
      <w:r/>
    </w:p>
    <w:p>
      <w:pPr>
        <w:pStyle w:val="715"/>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15"/>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1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1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四、依法缴纳税收和社会保障资金的相关材料</w:t>
      </w:r>
      <w:r/>
    </w:p>
    <w:p>
      <w:pPr>
        <w:pStyle w:val="715"/>
        <w:ind w:firstLine="480"/>
        <w:jc w:val="both"/>
        <w:spacing w:beforeAutospacing="0" w:afterAutospacing="0"/>
        <w:rPr>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715"/>
        <w:jc w:val="both"/>
        <w:spacing w:beforeAutospacing="0" w:afterAutospacing="0" w:line="0" w:lineRule="atLeas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                </w:t>
      </w:r>
      <w:r/>
    </w:p>
    <w:p>
      <w:pPr>
        <w:pStyle w:val="715"/>
        <w:ind w:firstLine="3092"/>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715"/>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rFonts w:hint="eastAsia" w:ascii="黑体" w:hAnsi="宋体" w:eastAsia="黑体" w:cs="黑体"/>
          <w:i/>
          <w:color w:val="auto"/>
          <w:sz w:val="32"/>
          <w:szCs w:val="32"/>
          <w:highlight w:val="none"/>
          <w:u w:val="single"/>
        </w:rPr>
      </w:pPr>
      <w:r/>
      <w:bookmarkStart w:id="183" w:name="_Hlt26955070"/>
      <w:r/>
      <w:bookmarkStart w:id="184" w:name="_Hlt26671380"/>
      <w:r/>
      <w:bookmarkStart w:id="185" w:name="_格式3__银行出具的资信证明"/>
      <w:r/>
      <w:bookmarkStart w:id="186" w:name="_Toc120614284"/>
      <w:r/>
      <w:r/>
    </w:p>
    <w:p>
      <w:pPr>
        <w:pStyle w:val="715"/>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15"/>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15"/>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bCs/>
          <w:i/>
          <w:color w:val="auto"/>
          <w:sz w:val="32"/>
          <w:szCs w:val="32"/>
          <w:highlight w:val="none"/>
          <w:u w:val="single"/>
        </w:rPr>
      </w:r>
      <w:r/>
    </w:p>
    <w:p>
      <w:pPr>
        <w:pStyle w:val="715"/>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bCs/>
          <w:i/>
          <w:color w:val="auto"/>
          <w:sz w:val="32"/>
          <w:szCs w:val="32"/>
          <w:highlight w:val="none"/>
          <w:u w:val="single"/>
        </w:rPr>
      </w:r>
      <w:r/>
    </w:p>
    <w:p>
      <w:pPr>
        <w:pStyle w:val="715"/>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bCs/>
          <w:i/>
          <w:color w:val="auto"/>
          <w:sz w:val="32"/>
          <w:szCs w:val="32"/>
          <w:highlight w:val="none"/>
          <w:u w:val="single"/>
        </w:rPr>
      </w:r>
      <w:r/>
    </w:p>
    <w:p>
      <w:pPr>
        <w:pStyle w:val="715"/>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bCs/>
          <w:i/>
          <w:color w:val="auto"/>
          <w:sz w:val="32"/>
          <w:szCs w:val="32"/>
          <w:highlight w:val="none"/>
          <w:u w:val="single"/>
        </w:rPr>
      </w:r>
      <w:r/>
    </w:p>
    <w:p>
      <w:pPr>
        <w:pStyle w:val="715"/>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bCs/>
          <w:i/>
          <w:color w:val="auto"/>
          <w:sz w:val="32"/>
          <w:szCs w:val="32"/>
          <w:highlight w:val="none"/>
          <w:u w:val="single"/>
        </w:rPr>
      </w:r>
      <w:r/>
    </w:p>
    <w:p>
      <w:pPr>
        <w:pStyle w:val="715"/>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bCs/>
          <w:i/>
          <w:color w:val="auto"/>
          <w:sz w:val="32"/>
          <w:szCs w:val="32"/>
          <w:highlight w:val="none"/>
          <w:u w:val="single"/>
        </w:rPr>
      </w:r>
      <w:r/>
    </w:p>
    <w:p>
      <w:pPr>
        <w:pStyle w:val="715"/>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15"/>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1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六、投标人法定代表人身份证明和投标文件签署授权委托书（另附法定代表人和被授权人的身份证复印件）</w:t>
      </w:r>
      <w:r/>
    </w:p>
    <w:p>
      <w:pPr>
        <w:jc w:val="center"/>
        <w:spacing w:line="600" w:lineRule="exact"/>
        <w:rPr>
          <w:rFonts w:ascii="黑体" w:eastAsia="黑体"/>
          <w:b/>
          <w:bCs/>
          <w:color w:val="auto"/>
          <w:sz w:val="32"/>
          <w:szCs w:val="32"/>
          <w:highlight w:val="none"/>
        </w:rPr>
      </w:pPr>
      <w:r>
        <w:rPr>
          <w:rFonts w:hint="eastAsia" w:ascii="黑体" w:hAnsi="Calibri" w:eastAsia="黑体"/>
          <w:b/>
          <w:bCs/>
          <w:color w:val="auto"/>
          <w:sz w:val="32"/>
          <w:szCs w:val="32"/>
          <w:highlight w:val="none"/>
        </w:rPr>
        <w:t xml:space="preserve">法</w:t>
      </w:r>
      <w:r>
        <w:rPr>
          <w:rFonts w:hint="eastAsia" w:ascii="黑体" w:eastAsia="黑体"/>
          <w:b/>
          <w:bCs/>
          <w:color w:val="auto"/>
          <w:sz w:val="32"/>
          <w:szCs w:val="32"/>
          <w:highlight w:val="none"/>
        </w:rPr>
        <w:t xml:space="preserve">定代表人身份证明书</w:t>
      </w:r>
      <w:r/>
    </w:p>
    <w:p>
      <w:pPr>
        <w:jc w:val="center"/>
        <w:spacing w:line="600" w:lineRule="exact"/>
        <w:rPr>
          <w:rFonts w:ascii="黑体" w:eastAsia="黑体"/>
          <w:b/>
          <w:color w:val="auto"/>
          <w:sz w:val="28"/>
          <w:highlight w:val="none"/>
        </w:rPr>
      </w:pPr>
      <w:r>
        <w:rPr>
          <w:rFonts w:ascii="黑体" w:eastAsia="黑体"/>
          <w:b/>
          <w:color w:val="auto"/>
          <w:sz w:val="28"/>
          <w:highlight w:val="none"/>
        </w:rPr>
      </w:r>
      <w:r/>
    </w:p>
    <w:p>
      <w:pPr>
        <w:spacing w:line="600" w:lineRule="exact"/>
        <w:rPr>
          <w:rFonts w:ascii="仿宋_GB2312" w:eastAsia="仿宋_GB2312"/>
          <w:color w:val="auto"/>
          <w:sz w:val="24"/>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rPr>
        <w:t xml:space="preserve">（采购人名称）</w:t>
      </w:r>
      <w:r/>
    </w:p>
    <w:p>
      <w:pPr>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u w:val="single"/>
        </w:rPr>
        <w:t xml:space="preserve">  （法定代表人姓名） </w:t>
      </w:r>
      <w:r>
        <w:rPr>
          <w:rFonts w:hint="eastAsia" w:ascii="仿宋_GB2312" w:eastAsia="仿宋_GB2312"/>
          <w:color w:val="auto"/>
          <w:sz w:val="24"/>
          <w:highlight w:val="none"/>
        </w:rPr>
        <w:t xml:space="preserve">在</w:t>
      </w:r>
      <w:r>
        <w:rPr>
          <w:rFonts w:hint="eastAsia" w:ascii="仿宋_GB2312" w:eastAsia="仿宋_GB2312"/>
          <w:color w:val="auto"/>
          <w:sz w:val="24"/>
          <w:highlight w:val="none"/>
          <w:u w:val="single"/>
        </w:rPr>
        <w:t xml:space="preserve">     （投标人名称）     </w:t>
      </w:r>
      <w:r>
        <w:rPr>
          <w:rFonts w:hint="eastAsia" w:ascii="仿宋_GB2312" w:eastAsia="仿宋_GB2312"/>
          <w:color w:val="auto"/>
          <w:sz w:val="24"/>
          <w:highlight w:val="none"/>
        </w:rPr>
        <w:t xml:space="preserve"> 任</w:t>
      </w:r>
      <w:r>
        <w:rPr>
          <w:rFonts w:hint="eastAsia" w:ascii="仿宋_GB2312" w:eastAsia="仿宋_GB2312"/>
          <w:color w:val="auto"/>
          <w:sz w:val="24"/>
          <w:highlight w:val="none"/>
          <w:u w:val="single"/>
        </w:rPr>
        <w:t xml:space="preserve">（职务名称）</w:t>
      </w:r>
      <w:r>
        <w:rPr>
          <w:rFonts w:hint="eastAsia" w:ascii="仿宋_GB2312" w:eastAsia="仿宋_GB2312"/>
          <w:color w:val="auto"/>
          <w:sz w:val="24"/>
          <w:highlight w:val="none"/>
        </w:rPr>
        <w:t xml:space="preserve">职务，是</w:t>
      </w:r>
      <w:r>
        <w:rPr>
          <w:rFonts w:hint="eastAsia" w:ascii="仿宋_GB2312" w:eastAsia="仿宋_GB2312"/>
          <w:color w:val="auto"/>
          <w:sz w:val="24"/>
          <w:highlight w:val="none"/>
          <w:u w:val="single"/>
        </w:rPr>
        <w:t xml:space="preserve">        （投标人名称）      </w:t>
      </w:r>
      <w:r>
        <w:rPr>
          <w:rFonts w:hint="eastAsia" w:ascii="仿宋_GB2312" w:eastAsia="仿宋_GB2312"/>
          <w:color w:val="auto"/>
          <w:sz w:val="24"/>
          <w:highlight w:val="none"/>
        </w:rPr>
        <w:t xml:space="preserve">的法定代表人，联系电话（手机号码）</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p>
    <w:p>
      <w:pPr>
        <w:spacing w:line="600" w:lineRule="exact"/>
        <w:rPr>
          <w:rFonts w:ascii="仿宋_GB2312" w:eastAsia="仿宋_GB2312"/>
          <w:color w:val="auto"/>
          <w:sz w:val="24"/>
          <w:highlight w:val="none"/>
        </w:rPr>
      </w:pPr>
      <w:r>
        <w:rPr>
          <w:rFonts w:ascii="仿宋_GB2312" w:eastAsia="仿宋_GB2312"/>
          <w:color w:val="auto"/>
          <w:sz w:val="24"/>
          <w:highlight w:val="none"/>
        </w:rPr>
      </w:r>
      <w:r/>
    </w:p>
    <w:p>
      <w:pPr>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特此证明。</w:t>
      </w:r>
      <w:r/>
    </w:p>
    <w:p>
      <w:pPr>
        <w:ind w:firstLine="456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投标人（盖单位公章）      </w:t>
      </w:r>
      <w:r/>
    </w:p>
    <w:p>
      <w:pPr>
        <w:ind w:firstLine="1200"/>
        <w:spacing w:line="600" w:lineRule="exact"/>
        <w:rPr>
          <w:rFonts w:ascii="仿宋_GB2312" w:eastAsia="仿宋_GB2312"/>
          <w:color w:val="auto"/>
          <w:sz w:val="24"/>
          <w:highlight w:val="none"/>
        </w:rPr>
      </w:pPr>
      <w:r>
        <w:rPr>
          <w:rFonts w:ascii="仿宋_GB2312" w:eastAsia="仿宋_GB2312"/>
          <w:color w:val="auto"/>
          <w:sz w:val="24"/>
          <w:highlight w:val="none"/>
        </w:rPr>
      </w:r>
      <w:r/>
    </w:p>
    <w:p>
      <w:pPr>
        <w:ind w:firstLine="2126"/>
        <w:jc w:val="right"/>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 </w:t>
      </w:r>
      <w:r/>
    </w:p>
    <w:p>
      <w:pPr>
        <w:jc w:val="left"/>
        <w:spacing w:line="600" w:lineRule="exact"/>
        <w:rPr>
          <w:rFonts w:ascii="仿宋_GB2312" w:eastAsia="仿宋_GB2312"/>
          <w:b/>
          <w:bCs/>
          <w:color w:val="auto"/>
          <w:sz w:val="24"/>
          <w:highlight w:val="none"/>
        </w:rPr>
      </w:pPr>
      <w:r>
        <w:rPr>
          <w:rFonts w:ascii="仿宋_GB2312" w:eastAsia="仿宋_GB2312"/>
          <w:b/>
          <w:bCs/>
          <w:color w:val="auto"/>
          <w:sz w:val="24"/>
          <w:highlight w:val="none"/>
        </w:rPr>
      </w:r>
      <w:r/>
    </w:p>
    <w:p>
      <w:pPr>
        <w:jc w:val="left"/>
        <w:spacing w:line="60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（附：法定代表人身份证正反面复印件）</w:t>
      </w:r>
      <w:r/>
    </w:p>
    <w:p>
      <w:pPr>
        <w:jc w:val="left"/>
        <w:rPr>
          <w:rFonts w:ascii="仿宋_GB2312" w:eastAsia="仿宋_GB2312"/>
          <w:color w:val="auto"/>
          <w:sz w:val="24"/>
          <w:highlight w:val="none"/>
        </w:rPr>
      </w:pPr>
      <w:r>
        <w:rPr>
          <w:rFonts w:ascii="仿宋_GB2312" w:eastAsia="仿宋_GB2312"/>
          <w:color w:val="auto"/>
          <w:sz w:val="24"/>
          <w:highlight w:val="none"/>
        </w:rPr>
      </w:r>
      <w:r/>
    </w:p>
    <w:p>
      <w:pPr>
        <w:jc w:val="center"/>
        <w:spacing w:line="400" w:lineRule="exact"/>
        <w:rPr>
          <w:rFonts w:ascii="黑体" w:eastAsia="黑体"/>
          <w:color w:val="auto"/>
          <w:sz w:val="28"/>
          <w:highlight w:val="none"/>
        </w:rPr>
      </w:pPr>
      <w:r>
        <w:rPr>
          <w:rFonts w:ascii="仿宋_GB2312" w:eastAsia="仿宋_GB2312"/>
          <w:color w:val="auto"/>
          <w:sz w:val="24"/>
          <w:highlight w:val="none"/>
        </w:rPr>
        <w:br w:type="page" w:clear="all"/>
      </w:r>
      <w:r>
        <w:rPr>
          <w:rFonts w:hint="eastAsia" w:ascii="黑体" w:hAnsi="Calibri" w:eastAsia="黑体"/>
          <w:b/>
          <w:bCs/>
          <w:color w:val="auto"/>
          <w:sz w:val="32"/>
          <w:szCs w:val="32"/>
          <w:highlight w:val="none"/>
        </w:rPr>
        <w:t xml:space="preserve">投标文件</w:t>
      </w:r>
      <w:r>
        <w:rPr>
          <w:rFonts w:hint="eastAsia" w:ascii="黑体" w:eastAsia="黑体"/>
          <w:b/>
          <w:bCs/>
          <w:color w:val="auto"/>
          <w:sz w:val="32"/>
          <w:szCs w:val="32"/>
          <w:highlight w:val="none"/>
        </w:rPr>
        <w:t xml:space="preserve">签署授权委托书</w:t>
      </w:r>
      <w:r/>
    </w:p>
    <w:p>
      <w:pPr>
        <w:jc w:val="center"/>
        <w:spacing w:line="400" w:lineRule="exact"/>
        <w:rPr>
          <w:rFonts w:ascii="黑体" w:eastAsia="黑体"/>
          <w:b/>
          <w:color w:val="auto"/>
          <w:sz w:val="28"/>
          <w:highlight w:val="none"/>
        </w:rPr>
      </w:pPr>
      <w:r>
        <w:rPr>
          <w:rFonts w:ascii="黑体" w:eastAsia="黑体"/>
          <w:b/>
          <w:color w:val="auto"/>
          <w:sz w:val="28"/>
          <w:highlight w:val="none"/>
        </w:rPr>
      </w:r>
      <w:r/>
    </w:p>
    <w:p>
      <w:pPr>
        <w:ind w:firstLine="480"/>
        <w:spacing w:line="400" w:lineRule="exact"/>
        <w:rPr>
          <w:rFonts w:ascii="仿宋_GB2312" w:eastAsia="仿宋_GB2312"/>
          <w:color w:val="auto"/>
          <w:sz w:val="24"/>
          <w:highlight w:val="none"/>
        </w:rPr>
      </w:pPr>
      <w:r>
        <w:rPr>
          <w:rFonts w:hint="eastAsia" w:ascii="仿宋_GB2312" w:eastAsia="仿宋_GB2312"/>
          <w:color w:val="auto"/>
          <w:sz w:val="24"/>
          <w:highlight w:val="none"/>
        </w:rPr>
        <w:t xml:space="preserve">本授权委托书声明：我</w:t>
      </w:r>
      <w:r>
        <w:rPr>
          <w:rFonts w:hint="eastAsia" w:ascii="仿宋_GB2312" w:eastAsia="仿宋_GB2312"/>
          <w:color w:val="auto"/>
          <w:sz w:val="24"/>
          <w:highlight w:val="none"/>
          <w:u w:val="single"/>
        </w:rPr>
        <w:t xml:space="preserve">       （姓名）      </w:t>
      </w:r>
      <w:r>
        <w:rPr>
          <w:rFonts w:hint="eastAsia" w:ascii="仿宋_GB2312" w:eastAsia="仿宋_GB2312"/>
          <w:color w:val="auto"/>
          <w:sz w:val="24"/>
          <w:highlight w:val="none"/>
        </w:rPr>
        <w:t xml:space="preserve">系</w:t>
      </w:r>
      <w:r>
        <w:rPr>
          <w:rFonts w:hint="eastAsia" w:ascii="仿宋_GB2312" w:eastAsia="仿宋_GB2312"/>
          <w:color w:val="auto"/>
          <w:sz w:val="24"/>
          <w:highlight w:val="none"/>
          <w:u w:val="single"/>
        </w:rPr>
        <w:t xml:space="preserve">      （投标人名称）        </w:t>
      </w:r>
      <w:r>
        <w:rPr>
          <w:rFonts w:hint="eastAsia" w:ascii="仿宋_GB2312" w:eastAsia="仿宋_GB2312"/>
          <w:color w:val="auto"/>
          <w:sz w:val="24"/>
          <w:highlight w:val="none"/>
        </w:rPr>
        <w:t xml:space="preserve"> 的法定代表人，现授权</w:t>
      </w:r>
      <w:r>
        <w:rPr>
          <w:rFonts w:hint="eastAsia" w:ascii="仿宋_GB2312" w:eastAsia="仿宋_GB2312"/>
          <w:color w:val="auto"/>
          <w:sz w:val="24"/>
          <w:highlight w:val="none"/>
          <w:u w:val="single"/>
        </w:rPr>
        <w:t xml:space="preserve">         （投标人名称）</w:t>
      </w:r>
      <w:r>
        <w:rPr>
          <w:rFonts w:hint="eastAsia" w:ascii="仿宋_GB2312" w:eastAsia="仿宋_GB2312"/>
          <w:color w:val="auto"/>
          <w:sz w:val="24"/>
          <w:highlight w:val="none"/>
        </w:rPr>
        <w:t xml:space="preserve">的</w:t>
      </w:r>
      <w:r>
        <w:rPr>
          <w:rFonts w:hint="eastAsia" w:ascii="仿宋_GB2312" w:eastAsia="仿宋_GB2312"/>
          <w:color w:val="auto"/>
          <w:sz w:val="24"/>
          <w:highlight w:val="none"/>
          <w:u w:val="single"/>
        </w:rPr>
        <w:t xml:space="preserve">        （姓名）         </w:t>
      </w:r>
      <w:r>
        <w:rPr>
          <w:rFonts w:hint="eastAsia" w:ascii="仿宋_GB2312" w:eastAsia="仿宋_GB2312"/>
          <w:color w:val="auto"/>
          <w:sz w:val="24"/>
          <w:highlight w:val="none"/>
        </w:rPr>
        <w:t xml:space="preserve">为我公司签署本项目的投标文件的法定代表人授权委托代</w:t>
      </w:r>
      <w:r>
        <w:rPr>
          <w:rFonts w:hint="eastAsia" w:ascii="仿宋_GB2312" w:eastAsia="仿宋_GB2312"/>
          <w:color w:val="auto"/>
          <w:sz w:val="24"/>
          <w:highlight w:val="none"/>
          <w:lang w:eastAsia="zh-CN"/>
        </w:rPr>
        <w:t xml:space="preserve">理人</w:t>
      </w:r>
      <w:r>
        <w:rPr>
          <w:rFonts w:hint="eastAsia" w:ascii="仿宋_GB2312" w:eastAsia="仿宋_GB2312"/>
          <w:color w:val="auto"/>
          <w:sz w:val="24"/>
          <w:highlight w:val="none"/>
        </w:rPr>
        <w:t xml:space="preserve">，我承认被授权人全权代表我所签署的本项目的投标文件的内容。</w:t>
      </w:r>
      <w:r/>
    </w:p>
    <w:p>
      <w:pPr>
        <w:spacing w:line="400" w:lineRule="exact"/>
        <w:rPr>
          <w:rFonts w:ascii="仿宋_GB2312" w:eastAsia="仿宋_GB2312"/>
          <w:color w:val="auto"/>
          <w:sz w:val="24"/>
          <w:highlight w:val="none"/>
        </w:rPr>
      </w:pPr>
      <w:r>
        <w:rPr>
          <w:rFonts w:ascii="仿宋_GB2312" w:eastAsia="仿宋_GB2312"/>
          <w:color w:val="auto"/>
          <w:sz w:val="24"/>
          <w:highlight w:val="none"/>
        </w:rPr>
      </w:r>
      <w:r/>
    </w:p>
    <w:p>
      <w:pPr>
        <w:ind w:firstLine="480"/>
        <w:spacing w:line="4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特此委托。</w:t>
      </w:r>
      <w:r/>
    </w:p>
    <w:p>
      <w:pPr>
        <w:ind w:firstLine="480"/>
        <w:spacing w:line="400" w:lineRule="exact"/>
        <w:rPr>
          <w:rFonts w:ascii="仿宋_GB2312" w:eastAsia="仿宋_GB2312"/>
          <w:color w:val="auto"/>
          <w:sz w:val="24"/>
          <w:highlight w:val="none"/>
        </w:rPr>
      </w:pPr>
      <w:r>
        <w:rPr>
          <w:rFonts w:ascii="仿宋_GB2312" w:eastAsia="仿宋_GB2312"/>
          <w:color w:val="auto"/>
          <w:sz w:val="24"/>
          <w:highlight w:val="none"/>
        </w:rPr>
      </w:r>
      <w:r/>
    </w:p>
    <w:p>
      <w:pPr>
        <w:ind w:firstLine="480"/>
        <w:spacing w:line="400" w:lineRule="exact"/>
        <w:rPr>
          <w:rFonts w:ascii="仿宋_GB2312" w:eastAsia="仿宋_GB2312"/>
          <w:color w:val="auto"/>
          <w:sz w:val="24"/>
          <w:highlight w:val="none"/>
        </w:rPr>
      </w:pPr>
      <w:r>
        <w:rPr>
          <w:rFonts w:ascii="仿宋_GB2312" w:eastAsia="仿宋_GB2312"/>
          <w:color w:val="auto"/>
          <w:sz w:val="24"/>
          <w:highlight w:val="none"/>
        </w:rPr>
      </w:r>
      <w:r/>
    </w:p>
    <w:p>
      <w:pPr>
        <w:ind w:firstLine="2126"/>
        <w:spacing w:line="400" w:lineRule="exact"/>
        <w:rPr>
          <w:rFonts w:ascii="仿宋_GB2312" w:eastAsia="仿宋_GB2312"/>
          <w:color w:val="auto"/>
          <w:sz w:val="24"/>
          <w:highlight w:val="none"/>
          <w:u w:val="single"/>
        </w:rPr>
      </w:pPr>
      <w:r>
        <w:rPr>
          <w:rFonts w:hint="eastAsia" w:ascii="仿宋_GB2312" w:hAnsi="Calibri" w:eastAsia="仿宋_GB2312"/>
          <w:color w:val="auto"/>
          <w:sz w:val="24"/>
          <w:highlight w:val="none"/>
        </w:rPr>
        <w:t xml:space="preserve">代理人（</w:t>
      </w:r>
      <w:r>
        <w:rPr>
          <w:rFonts w:hint="eastAsia" w:ascii="仿宋_GB2312" w:eastAsia="仿宋_GB2312"/>
          <w:color w:val="auto"/>
          <w:sz w:val="24"/>
          <w:highlight w:val="none"/>
        </w:rPr>
        <w:t xml:space="preserve">被授权人</w:t>
      </w:r>
      <w:r>
        <w:rPr>
          <w:rFonts w:hint="eastAsia" w:ascii="仿宋_GB2312" w:hAnsi="Calibri" w:eastAsia="仿宋_GB2312"/>
          <w:color w:val="auto"/>
          <w:sz w:val="24"/>
          <w:highlight w:val="none"/>
        </w:rPr>
        <w:t xml:space="preserve">）</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性别：</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年龄：</w:t>
      </w:r>
      <w:r>
        <w:rPr>
          <w:rFonts w:hint="eastAsia" w:ascii="仿宋_GB2312" w:eastAsia="仿宋_GB2312"/>
          <w:color w:val="auto"/>
          <w:sz w:val="24"/>
          <w:highlight w:val="none"/>
          <w:u w:val="single"/>
        </w:rPr>
        <w:t xml:space="preserve">         </w:t>
      </w:r>
      <w:r/>
    </w:p>
    <w:p>
      <w:pPr>
        <w:ind w:firstLine="2126"/>
        <w:spacing w:line="4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ind w:firstLine="2126"/>
        <w:spacing w:line="4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身份证号码：</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职务：</w:t>
      </w:r>
      <w:r>
        <w:rPr>
          <w:rFonts w:hint="eastAsia" w:ascii="仿宋_GB2312" w:eastAsia="仿宋_GB2312"/>
          <w:color w:val="auto"/>
          <w:sz w:val="24"/>
          <w:highlight w:val="none"/>
          <w:u w:val="single"/>
        </w:rPr>
        <w:t xml:space="preserve">        </w:t>
      </w:r>
      <w:r/>
    </w:p>
    <w:p>
      <w:pPr>
        <w:pStyle w:val="722"/>
        <w:rPr>
          <w:color w:val="auto"/>
          <w:highlight w:val="none"/>
        </w:rPr>
      </w:pPr>
      <w:r>
        <w:rPr>
          <w:color w:val="auto"/>
          <w:highlight w:val="none"/>
        </w:rPr>
      </w:r>
      <w:r/>
    </w:p>
    <w:p>
      <w:pPr>
        <w:ind w:firstLine="2126"/>
        <w:spacing w:line="400" w:lineRule="exact"/>
        <w:rPr>
          <w:rFonts w:ascii="仿宋_GB2312" w:eastAsia="仿宋_GB2312"/>
          <w:color w:val="auto"/>
          <w:sz w:val="24"/>
          <w:highlight w:val="none"/>
          <w:u w:val="single"/>
        </w:rPr>
      </w:pPr>
      <w:r>
        <w:rPr>
          <w:rFonts w:hint="eastAsia" w:ascii="仿宋_GB2312" w:eastAsia="仿宋_GB2312"/>
          <w:color w:val="auto"/>
          <w:sz w:val="24"/>
          <w:szCs w:val="22"/>
          <w:highlight w:val="none"/>
        </w:rPr>
        <w:t xml:space="preserve">联系号码（手机号码）</w:t>
      </w:r>
      <w:r>
        <w:rPr>
          <w:rFonts w:hint="eastAsia" w:ascii="仿宋_GB2312" w:eastAsia="仿宋_GB2312"/>
          <w:color w:val="auto"/>
          <w:sz w:val="24"/>
          <w:szCs w:val="22"/>
          <w:highlight w:val="none"/>
          <w:lang w:eastAsia="zh-CN"/>
        </w:rPr>
        <w:t xml:space="preserve">；</w:t>
      </w:r>
      <w:r>
        <w:rPr>
          <w:rFonts w:hint="eastAsia" w:ascii="仿宋_GB2312" w:eastAsia="仿宋_GB2312"/>
          <w:color w:val="auto"/>
          <w:sz w:val="24"/>
          <w:highlight w:val="none"/>
          <w:u w:val="single"/>
        </w:rPr>
        <w:t xml:space="preserve">                               </w:t>
      </w:r>
      <w:r/>
    </w:p>
    <w:p>
      <w:pPr>
        <w:ind w:firstLine="2126"/>
        <w:spacing w:line="4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ind w:firstLine="2126"/>
        <w:spacing w:line="400" w:lineRule="exact"/>
        <w:rPr>
          <w:rFonts w:ascii="仿宋_GB2312" w:eastAsia="仿宋_GB2312"/>
          <w:color w:val="auto"/>
          <w:sz w:val="24"/>
          <w:highlight w:val="none"/>
        </w:rPr>
      </w:pPr>
      <w:r>
        <w:rPr>
          <w:rFonts w:hint="eastAsia" w:ascii="仿宋_GB2312" w:eastAsia="仿宋_GB2312"/>
          <w:color w:val="auto"/>
          <w:sz w:val="24"/>
          <w:highlight w:val="none"/>
        </w:rPr>
        <w:t xml:space="preserve">投标人：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（盖单位公章）</w:t>
      </w:r>
      <w:r/>
    </w:p>
    <w:p>
      <w:pPr>
        <w:ind w:firstLine="2126"/>
        <w:spacing w:line="400" w:lineRule="exact"/>
        <w:rPr>
          <w:rFonts w:ascii="仿宋_GB2312" w:eastAsia="仿宋_GB2312"/>
          <w:color w:val="auto"/>
          <w:sz w:val="24"/>
          <w:highlight w:val="none"/>
        </w:rPr>
      </w:pPr>
      <w:r>
        <w:rPr>
          <w:rFonts w:ascii="仿宋_GB2312" w:eastAsia="仿宋_GB2312"/>
          <w:color w:val="auto"/>
          <w:sz w:val="24"/>
          <w:highlight w:val="none"/>
        </w:rPr>
      </w:r>
      <w:r/>
    </w:p>
    <w:p>
      <w:pPr>
        <w:ind w:firstLine="2126"/>
        <w:spacing w:line="4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（盖章）</w:t>
      </w:r>
      <w:r/>
    </w:p>
    <w:p>
      <w:pPr>
        <w:ind w:firstLine="2126"/>
        <w:spacing w:line="4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ind w:firstLine="2126"/>
        <w:spacing w:line="400" w:lineRule="exact"/>
        <w:rPr>
          <w:rFonts w:ascii="仿宋_GB2312" w:eastAsia="仿宋_GB2312"/>
          <w:color w:val="auto"/>
          <w:sz w:val="24"/>
          <w:highlight w:val="none"/>
        </w:rPr>
      </w:pPr>
      <w:r>
        <w:rPr>
          <w:rFonts w:hint="eastAsia" w:ascii="仿宋_GB2312" w:eastAsia="仿宋_GB2312"/>
          <w:color w:val="auto"/>
          <w:sz w:val="24"/>
          <w:highlight w:val="none"/>
        </w:rPr>
        <w:t xml:space="preserve">授权委托日期：</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ind w:firstLine="2126"/>
        <w:spacing w:line="400" w:lineRule="exact"/>
        <w:rPr>
          <w:rFonts w:ascii="仿宋_GB2312" w:eastAsia="仿宋_GB2312"/>
          <w:color w:val="auto"/>
          <w:sz w:val="24"/>
          <w:highlight w:val="none"/>
        </w:rPr>
      </w:pPr>
      <w:r>
        <w:rPr>
          <w:rFonts w:ascii="仿宋_GB2312" w:eastAsia="仿宋_GB2312"/>
          <w:color w:val="auto"/>
          <w:sz w:val="24"/>
          <w:highlight w:val="none"/>
        </w:rPr>
      </w:r>
      <w:r/>
    </w:p>
    <w:p>
      <w:pPr>
        <w:jc w:val="left"/>
        <w:spacing w:line="40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（附：被授权人身份证正反面复印件）</w:t>
      </w:r>
      <w:r/>
    </w:p>
    <w:p>
      <w:pPr>
        <w:jc w:val="left"/>
        <w:rPr>
          <w:rFonts w:ascii="仿宋_GB2312" w:eastAsia="仿宋_GB2312"/>
          <w:color w:val="auto"/>
          <w:sz w:val="24"/>
          <w:highlight w:val="none"/>
        </w:rPr>
      </w:pPr>
      <w:r>
        <w:rPr>
          <w:rFonts w:ascii="仿宋_GB2312" w:eastAsia="仿宋_GB2312"/>
          <w:color w:val="auto"/>
          <w:sz w:val="24"/>
          <w:highlight w:val="none"/>
        </w:rPr>
      </w:r>
      <w:r/>
    </w:p>
    <w:p>
      <w:pPr>
        <w:jc w:val="left"/>
        <w:rPr>
          <w:rFonts w:ascii="仿宋_GB2312" w:eastAsia="仿宋_GB2312"/>
          <w:color w:val="auto"/>
          <w:sz w:val="24"/>
          <w:highlight w:val="none"/>
        </w:rPr>
      </w:pPr>
      <w:r>
        <w:rPr>
          <w:rFonts w:ascii="仿宋_GB2312" w:eastAsia="仿宋_GB2312"/>
          <w:color w:val="auto"/>
          <w:sz w:val="24"/>
          <w:highlight w:val="none"/>
        </w:rPr>
      </w:r>
      <w:r/>
    </w:p>
    <w:p>
      <w:pPr>
        <w:jc w:val="left"/>
        <w:rPr>
          <w:rFonts w:ascii="仿宋_GB2312" w:eastAsia="仿宋_GB2312"/>
          <w:color w:val="auto"/>
          <w:sz w:val="24"/>
          <w:highlight w:val="none"/>
        </w:rPr>
      </w:pPr>
      <w:r>
        <w:rPr>
          <w:rFonts w:ascii="仿宋_GB2312" w:eastAsia="仿宋_GB2312"/>
          <w:color w:val="auto"/>
          <w:sz w:val="24"/>
          <w:highlight w:val="none"/>
        </w:rPr>
      </w:r>
      <w:r/>
    </w:p>
    <w:p>
      <w:pPr>
        <w:jc w:val="center"/>
        <w:rPr>
          <w:rFonts w:ascii="黑体" w:eastAsia="黑体"/>
          <w:color w:val="auto"/>
          <w:sz w:val="28"/>
          <w:highlight w:val="none"/>
        </w:rPr>
      </w:pPr>
      <w:r>
        <w:rPr>
          <w:rFonts w:ascii="黑体" w:eastAsia="黑体"/>
          <w:color w:val="auto"/>
          <w:sz w:val="28"/>
          <w:highlight w:val="none"/>
        </w:rPr>
      </w:r>
      <w:r/>
    </w:p>
    <w:p>
      <w:pPr>
        <w:jc w:val="center"/>
        <w:rPr>
          <w:rFonts w:ascii="黑体" w:eastAsia="黑体"/>
          <w:color w:val="auto"/>
          <w:sz w:val="28"/>
          <w:highlight w:val="none"/>
        </w:rPr>
      </w:pPr>
      <w:r>
        <w:rPr>
          <w:rFonts w:ascii="黑体" w:eastAsia="黑体"/>
          <w:color w:val="auto"/>
          <w:sz w:val="28"/>
          <w:highlight w:val="none"/>
        </w:rPr>
      </w:r>
      <w:r/>
    </w:p>
    <w:p>
      <w:pPr>
        <w:jc w:val="center"/>
        <w:rPr>
          <w:rFonts w:ascii="黑体" w:eastAsia="黑体"/>
          <w:color w:val="auto"/>
          <w:sz w:val="28"/>
          <w:highlight w:val="none"/>
        </w:rPr>
      </w:pPr>
      <w:r>
        <w:rPr>
          <w:rFonts w:ascii="黑体" w:eastAsia="黑体"/>
          <w:color w:val="auto"/>
          <w:sz w:val="28"/>
          <w:highlight w:val="none"/>
        </w:rPr>
      </w:r>
      <w:r/>
    </w:p>
    <w:p>
      <w:pPr>
        <w:pStyle w:val="722"/>
        <w:rPr>
          <w:color w:val="auto"/>
          <w:highlight w:val="none"/>
        </w:rPr>
      </w:pPr>
      <w:r>
        <w:rPr>
          <w:color w:val="auto"/>
          <w:highlight w:val="none"/>
        </w:rPr>
      </w:r>
      <w:r/>
    </w:p>
    <w:p>
      <w:pPr>
        <w:jc w:val="center"/>
        <w:rPr>
          <w:rFonts w:ascii="黑体" w:eastAsia="黑体"/>
          <w:color w:val="auto"/>
          <w:sz w:val="28"/>
          <w:highlight w:val="none"/>
        </w:rPr>
      </w:pPr>
      <w:r>
        <w:rPr>
          <w:rFonts w:ascii="黑体" w:eastAsia="黑体"/>
          <w:color w:val="auto"/>
          <w:sz w:val="28"/>
          <w:highlight w:val="none"/>
        </w:rPr>
      </w:r>
      <w:r/>
    </w:p>
    <w:p>
      <w:pPr>
        <w:jc w:val="center"/>
        <w:rPr>
          <w:rFonts w:ascii="黑体" w:eastAsia="黑体"/>
          <w:color w:val="auto"/>
          <w:sz w:val="28"/>
          <w:highlight w:val="none"/>
        </w:rPr>
      </w:pPr>
      <w:r>
        <w:rPr>
          <w:rFonts w:ascii="黑体" w:eastAsia="黑体"/>
          <w:color w:val="auto"/>
          <w:sz w:val="28"/>
          <w:highlight w:val="none"/>
        </w:rPr>
      </w:r>
      <w:r/>
    </w:p>
    <w:p>
      <w:pPr>
        <w:pStyle w:val="715"/>
        <w:jc w:val="both"/>
        <w:keepLines/>
        <w:keepNext/>
        <w:spacing w:before="260" w:beforeAutospacing="0" w:after="260" w:afterAutospacing="0" w:line="415" w:lineRule="auto"/>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rPr>
        <w:t xml:space="preserve">七、</w:t>
      </w:r>
      <w:r>
        <w:rPr>
          <w:rFonts w:hint="eastAsia" w:ascii="黑体" w:hAnsi="宋体" w:eastAsia="黑体" w:cs="黑体"/>
          <w:i/>
          <w:color w:val="auto"/>
          <w:sz w:val="32"/>
          <w:szCs w:val="32"/>
          <w:highlight w:val="none"/>
          <w:u w:val="single"/>
        </w:rPr>
        <w:t xml:space="preserve">投标人为被授权人缴纳的社会养老保险证明</w:t>
      </w:r>
      <w:r/>
    </w:p>
    <w:p>
      <w:pPr>
        <w:pStyle w:val="715"/>
        <w:ind w:left="3630"/>
        <w:jc w:val="both"/>
        <w:keepLines/>
        <w:keepNext/>
        <w:spacing w:before="260" w:beforeAutospacing="0" w:after="260" w:afterAutospacing="0" w:line="415" w:lineRule="auto"/>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715"/>
        <w:ind w:left="3630"/>
        <w:jc w:val="both"/>
        <w:keepLines/>
        <w:keepNext/>
        <w:spacing w:before="260" w:beforeAutospacing="0" w:after="260" w:afterAutospacing="0" w:line="415" w:lineRule="auto"/>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715"/>
        <w:ind w:left="3630"/>
        <w:jc w:val="both"/>
        <w:keepLines/>
        <w:keepNext/>
        <w:spacing w:before="260" w:beforeAutospacing="0" w:after="260" w:afterAutospacing="0" w:line="415" w:lineRule="auto"/>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715"/>
        <w:ind w:left="3630"/>
        <w:jc w:val="both"/>
        <w:keepLines/>
        <w:keepNext/>
        <w:spacing w:before="260" w:beforeAutospacing="0" w:after="260" w:afterAutospacing="0" w:line="415" w:lineRule="auto"/>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715"/>
        <w:ind w:left="3630"/>
        <w:jc w:val="both"/>
        <w:keepLines/>
        <w:keepNext/>
        <w:spacing w:before="260" w:beforeAutospacing="0" w:after="260" w:afterAutospacing="0" w:line="415" w:lineRule="auto"/>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715"/>
        <w:ind w:left="3630"/>
        <w:jc w:val="both"/>
        <w:keepLines/>
        <w:keepNext/>
        <w:spacing w:before="260" w:beforeAutospacing="0" w:after="260" w:afterAutospacing="0" w:line="415" w:lineRule="auto"/>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715"/>
        <w:ind w:left="3630"/>
        <w:jc w:val="both"/>
        <w:keepLines/>
        <w:keepNext/>
        <w:spacing w:before="260" w:beforeAutospacing="0" w:after="260" w:afterAutospacing="0" w:line="415" w:lineRule="auto"/>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715"/>
        <w:ind w:left="3630"/>
        <w:jc w:val="both"/>
        <w:keepLines/>
        <w:keepNext/>
        <w:spacing w:before="260" w:beforeAutospacing="0" w:after="260" w:afterAutospacing="0" w:line="415" w:lineRule="auto"/>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715"/>
        <w:ind w:left="3630"/>
        <w:jc w:val="both"/>
        <w:keepLines/>
        <w:keepNext/>
        <w:spacing w:before="260" w:beforeAutospacing="0" w:after="260" w:afterAutospacing="0" w:line="415" w:lineRule="auto"/>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715"/>
        <w:ind w:left="3630"/>
        <w:jc w:val="both"/>
        <w:keepLines/>
        <w:keepNext/>
        <w:spacing w:before="260" w:beforeAutospacing="0" w:after="260" w:afterAutospacing="0" w:line="415" w:lineRule="auto"/>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715"/>
        <w:ind w:left="3630"/>
        <w:jc w:val="both"/>
        <w:keepLines/>
        <w:keepNext/>
        <w:spacing w:before="260" w:beforeAutospacing="0" w:after="260" w:afterAutospacing="0" w:line="415" w:lineRule="auto"/>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715"/>
        <w:ind w:left="3630"/>
        <w:jc w:val="both"/>
        <w:keepLines/>
        <w:keepNext/>
        <w:spacing w:before="260" w:beforeAutospacing="0" w:after="260" w:afterAutospacing="0" w:line="415" w:lineRule="auto"/>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715"/>
        <w:ind w:left="3630"/>
        <w:jc w:val="both"/>
        <w:keepLines/>
        <w:keepNext/>
        <w:spacing w:before="260" w:beforeAutospacing="0" w:after="260" w:afterAutospacing="0" w:line="415" w:lineRule="auto"/>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715"/>
        <w:ind w:left="3630"/>
        <w:jc w:val="both"/>
        <w:keepLines/>
        <w:keepNext/>
        <w:spacing w:before="260" w:beforeAutospacing="0" w:after="260" w:afterAutospacing="0" w:line="415" w:lineRule="auto"/>
        <w:rPr>
          <w:color w:val="auto"/>
          <w:highlight w:val="none"/>
        </w:rPr>
      </w:pPr>
      <w:r>
        <w:rPr>
          <w:rFonts w:hint="eastAsia" w:ascii="黑体" w:hAnsi="宋体" w:eastAsia="黑体" w:cs="黑体"/>
          <w:b/>
          <w:i/>
          <w:color w:val="auto"/>
          <w:sz w:val="32"/>
          <w:szCs w:val="32"/>
          <w:highlight w:val="none"/>
          <w:u w:val="single"/>
        </w:rPr>
        <w:t xml:space="preserve">八、投标函</w:t>
      </w:r>
      <w:r/>
    </w:p>
    <w:p>
      <w:pPr>
        <w:pStyle w:val="715"/>
        <w:spacing w:beforeAutospacing="0" w:afterAutospacing="0" w:line="0" w:lineRule="atLeast"/>
        <w:rPr>
          <w:rFonts w:eastAsia="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东台市</w:t>
      </w:r>
      <w:r>
        <w:rPr>
          <w:rFonts w:hint="eastAsia" w:ascii="宋体" w:hAnsi="宋体" w:eastAsia="宋体" w:cs="宋体"/>
          <w:color w:val="auto"/>
          <w:highlight w:val="none"/>
          <w:u w:val="single"/>
          <w:lang w:val="en-US" w:eastAsia="zh-CN"/>
        </w:rPr>
        <w:t xml:space="preserve">城市管理局</w:t>
      </w:r>
      <w:r>
        <w:rPr>
          <w:rFonts w:hint="eastAsia" w:ascii="宋体" w:hAnsi="宋体" w:eastAsia="宋体" w:cs="宋体"/>
          <w:color w:val="auto"/>
          <w:highlight w:val="none"/>
          <w:u w:val="single"/>
        </w:rPr>
        <w:t xml:space="preserve">     </w:t>
      </w:r>
      <w:r/>
    </w:p>
    <w:p>
      <w:pPr>
        <w:pStyle w:val="71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号招标文件，正式授权下述签字人_________________</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姓名</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代表我方______________（投标人的名称），全权处理本次项目投标的有关事宜。</w:t>
      </w:r>
      <w:r/>
    </w:p>
    <w:p>
      <w:pPr>
        <w:pStyle w:val="71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71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71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71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71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71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71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6.一旦我方中标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我方将根据招标文件的规定，严格履行合同的责任和义务</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并保证在招标文件规定的时间完成项目，交付买方验收、使用。</w:t>
      </w:r>
      <w:r/>
    </w:p>
    <w:p>
      <w:pPr>
        <w:pStyle w:val="715"/>
        <w:ind w:left="425"/>
        <w:spacing w:beforeAutospacing="0" w:afterAutospacing="0" w:line="0" w:lineRule="atLeast"/>
        <w:rPr>
          <w:color w:val="auto"/>
          <w:highlight w:val="none"/>
        </w:rPr>
      </w:pPr>
      <w:r>
        <w:rPr>
          <w:rFonts w:hint="eastAsia" w:ascii="宋体" w:hAnsi="宋体" w:eastAsia="宋体" w:cs="宋体"/>
          <w:color w:val="auto"/>
          <w:highlight w:val="none"/>
        </w:rPr>
        <w:t xml:space="preserve">7.与本投标有关的正式通讯地址为：</w:t>
      </w:r>
      <w:r/>
    </w:p>
    <w:p>
      <w:pPr>
        <w:pStyle w:val="71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71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71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71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71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投标人开户行：</w:t>
      </w:r>
      <w:r/>
    </w:p>
    <w:p>
      <w:pPr>
        <w:pStyle w:val="71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71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715"/>
        <w:ind w:firstLine="240"/>
        <w:jc w:val="center"/>
        <w:spacing w:beforeAutospacing="0" w:afterAutospacing="0" w:line="0" w:lineRule="atLeast"/>
        <w:rPr>
          <w:color w:val="auto"/>
          <w:highlight w:val="none"/>
        </w:rPr>
      </w:pPr>
      <w:r>
        <w:rPr>
          <w:color w:val="auto"/>
          <w:highlight w:val="none"/>
        </w:rPr>
        <w:t xml:space="preserve"> </w:t>
      </w:r>
      <w:r/>
    </w:p>
    <w:p>
      <w:pPr>
        <w:pStyle w:val="715"/>
        <w:ind w:firstLine="240"/>
        <w:jc w:val="center"/>
        <w:spacing w:beforeAutospacing="0" w:afterAutospacing="0" w:line="0" w:lineRule="atLeast"/>
        <w:rPr>
          <w:color w:val="auto"/>
          <w:highlight w:val="none"/>
        </w:rPr>
      </w:pPr>
      <w:r>
        <w:rPr>
          <w:color w:val="auto"/>
          <w:highlight w:val="none"/>
        </w:rPr>
        <w:t xml:space="preserve"> </w:t>
      </w:r>
      <w:r/>
    </w:p>
    <w:p>
      <w:pPr>
        <w:pStyle w:val="715"/>
        <w:ind w:firstLine="240"/>
        <w:jc w:val="center"/>
        <w:spacing w:beforeAutospacing="0" w:afterAutospacing="0" w:line="0" w:lineRule="atLeast"/>
        <w:rPr>
          <w:color w:val="auto"/>
          <w:highlight w:val="none"/>
        </w:rPr>
      </w:pPr>
      <w:r>
        <w:rPr>
          <w:color w:val="auto"/>
          <w:highlight w:val="none"/>
        </w:rPr>
        <w:t xml:space="preserve"> </w:t>
      </w:r>
      <w:r/>
    </w:p>
    <w:p>
      <w:pPr>
        <w:pStyle w:val="715"/>
        <w:ind w:firstLine="240"/>
        <w:jc w:val="center"/>
        <w:spacing w:beforeAutospacing="0" w:afterAutospacing="0" w:line="0" w:lineRule="atLeast"/>
        <w:rPr>
          <w:color w:val="auto"/>
          <w:highlight w:val="none"/>
        </w:rPr>
      </w:pPr>
      <w:r>
        <w:rPr>
          <w:color w:val="auto"/>
          <w:highlight w:val="none"/>
        </w:rPr>
        <w:t xml:space="preserve"> </w:t>
      </w:r>
      <w:r/>
    </w:p>
    <w:p>
      <w:pPr>
        <w:pStyle w:val="715"/>
        <w:ind w:firstLine="240"/>
        <w:jc w:val="center"/>
        <w:spacing w:beforeAutospacing="0" w:afterAutospacing="0" w:line="0" w:lineRule="atLeast"/>
        <w:rPr>
          <w:color w:val="auto"/>
          <w:highlight w:val="none"/>
        </w:rPr>
      </w:pPr>
      <w:r>
        <w:rPr>
          <w:color w:val="auto"/>
          <w:highlight w:val="none"/>
        </w:rPr>
      </w:r>
      <w:r/>
    </w:p>
    <w:p>
      <w:pPr>
        <w:pStyle w:val="715"/>
        <w:ind w:firstLine="240"/>
        <w:jc w:val="center"/>
        <w:spacing w:beforeAutospacing="0" w:afterAutospacing="0" w:line="0" w:lineRule="atLeast"/>
        <w:rPr>
          <w:color w:val="auto"/>
          <w:highlight w:val="none"/>
        </w:rPr>
      </w:pPr>
      <w:r>
        <w:rPr>
          <w:color w:val="auto"/>
          <w:highlight w:val="none"/>
        </w:rPr>
      </w:r>
      <w:r/>
    </w:p>
    <w:p>
      <w:pPr>
        <w:pStyle w:val="715"/>
        <w:ind w:firstLine="240"/>
        <w:jc w:val="center"/>
        <w:spacing w:beforeAutospacing="0" w:afterAutospacing="0" w:line="0" w:lineRule="atLeast"/>
        <w:rPr>
          <w:color w:val="auto"/>
          <w:highlight w:val="none"/>
        </w:rPr>
      </w:pPr>
      <w:r>
        <w:rPr>
          <w:color w:val="auto"/>
          <w:highlight w:val="none"/>
        </w:rPr>
      </w:r>
      <w:r/>
    </w:p>
    <w:p>
      <w:pPr>
        <w:pStyle w:val="715"/>
        <w:ind w:firstLine="240"/>
        <w:jc w:val="center"/>
        <w:spacing w:beforeAutospacing="0" w:afterAutospacing="0" w:line="0" w:lineRule="atLeast"/>
        <w:rPr>
          <w:color w:val="auto"/>
          <w:highlight w:val="none"/>
        </w:rPr>
      </w:pPr>
      <w:r>
        <w:rPr>
          <w:color w:val="auto"/>
          <w:highlight w:val="none"/>
        </w:rPr>
      </w:r>
      <w:r/>
    </w:p>
    <w:p>
      <w:pPr>
        <w:pStyle w:val="715"/>
        <w:ind w:firstLine="240"/>
        <w:jc w:val="center"/>
        <w:spacing w:beforeAutospacing="0" w:afterAutospacing="0" w:line="0" w:lineRule="atLeast"/>
        <w:rPr>
          <w:color w:val="auto"/>
          <w:highlight w:val="none"/>
        </w:rPr>
      </w:pPr>
      <w:r>
        <w:rPr>
          <w:color w:val="auto"/>
          <w:highlight w:val="none"/>
        </w:rPr>
      </w:r>
      <w:r/>
    </w:p>
    <w:p>
      <w:pPr>
        <w:pStyle w:val="715"/>
        <w:ind w:firstLine="240"/>
        <w:jc w:val="center"/>
        <w:spacing w:beforeAutospacing="0" w:afterAutospacing="0" w:line="0" w:lineRule="atLeast"/>
        <w:rPr>
          <w:color w:val="auto"/>
          <w:highlight w:val="none"/>
        </w:rPr>
      </w:pPr>
      <w:r>
        <w:rPr>
          <w:color w:val="auto"/>
          <w:highlight w:val="none"/>
        </w:rPr>
      </w:r>
      <w:r/>
    </w:p>
    <w:p>
      <w:pPr>
        <w:pStyle w:val="715"/>
        <w:ind w:firstLine="240"/>
        <w:jc w:val="center"/>
        <w:spacing w:beforeAutospacing="0" w:afterAutospacing="0" w:line="0" w:lineRule="atLeast"/>
        <w:rPr>
          <w:color w:val="auto"/>
          <w:highlight w:val="none"/>
        </w:rPr>
      </w:pPr>
      <w:r>
        <w:rPr>
          <w:color w:val="auto"/>
          <w:highlight w:val="none"/>
        </w:rPr>
      </w:r>
      <w:r/>
    </w:p>
    <w:p>
      <w:pPr>
        <w:pStyle w:val="715"/>
        <w:ind w:firstLine="240"/>
        <w:jc w:val="center"/>
        <w:spacing w:beforeAutospacing="0" w:afterAutospacing="0" w:line="0" w:lineRule="atLeast"/>
        <w:rPr>
          <w:color w:val="auto"/>
          <w:highlight w:val="none"/>
        </w:rPr>
      </w:pPr>
      <w:r>
        <w:rPr>
          <w:color w:val="auto"/>
          <w:highlight w:val="none"/>
        </w:rPr>
      </w:r>
      <w:r/>
    </w:p>
    <w:p>
      <w:pPr>
        <w:pStyle w:val="715"/>
        <w:ind w:firstLine="240"/>
        <w:jc w:val="center"/>
        <w:spacing w:beforeAutospacing="0" w:afterAutospacing="0" w:line="0" w:lineRule="atLeast"/>
        <w:rPr>
          <w:color w:val="auto"/>
          <w:highlight w:val="none"/>
        </w:rPr>
      </w:pPr>
      <w:r>
        <w:rPr>
          <w:color w:val="auto"/>
          <w:highlight w:val="none"/>
        </w:rPr>
      </w:r>
      <w:r/>
    </w:p>
    <w:p>
      <w:pPr>
        <w:pStyle w:val="715"/>
        <w:ind w:firstLine="240"/>
        <w:jc w:val="center"/>
        <w:spacing w:beforeAutospacing="0" w:afterAutospacing="0" w:line="0" w:lineRule="atLeast"/>
        <w:rPr>
          <w:color w:val="auto"/>
          <w:highlight w:val="none"/>
        </w:rPr>
      </w:pPr>
      <w:r>
        <w:rPr>
          <w:color w:val="auto"/>
          <w:highlight w:val="none"/>
        </w:rPr>
      </w:r>
      <w:r/>
    </w:p>
    <w:p>
      <w:pPr>
        <w:pStyle w:val="715"/>
        <w:ind w:firstLine="240"/>
        <w:jc w:val="center"/>
        <w:spacing w:beforeAutospacing="0" w:afterAutospacing="0" w:line="0" w:lineRule="atLeast"/>
        <w:rPr>
          <w:color w:val="auto"/>
          <w:highlight w:val="none"/>
        </w:rPr>
      </w:pPr>
      <w:r>
        <w:rPr>
          <w:color w:val="auto"/>
          <w:highlight w:val="none"/>
        </w:rPr>
      </w:r>
      <w:r/>
    </w:p>
    <w:p>
      <w:pPr>
        <w:pStyle w:val="715"/>
        <w:ind w:firstLine="240"/>
        <w:jc w:val="center"/>
        <w:spacing w:beforeAutospacing="0" w:afterAutospacing="0" w:line="0" w:lineRule="atLeast"/>
        <w:rPr>
          <w:color w:val="auto"/>
          <w:highlight w:val="none"/>
        </w:rPr>
      </w:pPr>
      <w:r>
        <w:rPr>
          <w:color w:val="auto"/>
          <w:highlight w:val="none"/>
        </w:rPr>
      </w:r>
      <w:r/>
    </w:p>
    <w:p>
      <w:pPr>
        <w:pStyle w:val="715"/>
        <w:ind w:firstLine="240"/>
        <w:jc w:val="center"/>
        <w:spacing w:beforeAutospacing="0" w:afterAutospacing="0" w:line="0" w:lineRule="atLeast"/>
        <w:rPr>
          <w:color w:val="auto"/>
          <w:highlight w:val="none"/>
        </w:rPr>
      </w:pPr>
      <w:r>
        <w:rPr>
          <w:color w:val="auto"/>
          <w:highlight w:val="none"/>
        </w:rPr>
      </w:r>
      <w:r/>
    </w:p>
    <w:p>
      <w:pPr>
        <w:pStyle w:val="715"/>
        <w:ind w:firstLine="240"/>
        <w:jc w:val="center"/>
        <w:spacing w:beforeAutospacing="0" w:afterAutospacing="0" w:line="0" w:lineRule="atLeast"/>
        <w:rPr>
          <w:color w:val="auto"/>
          <w:highlight w:val="none"/>
        </w:rPr>
      </w:pPr>
      <w:r>
        <w:rPr>
          <w:color w:val="auto"/>
          <w:highlight w:val="none"/>
        </w:rPr>
        <w:t xml:space="preserve"> </w:t>
      </w:r>
      <w:r/>
    </w:p>
    <w:p>
      <w:pPr>
        <w:pStyle w:val="715"/>
        <w:ind w:firstLine="321"/>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九、小微企业声明函（货物）（分包号：**）</w:t>
      </w:r>
      <w:r/>
    </w:p>
    <w:p>
      <w:pPr>
        <w:pStyle w:val="715"/>
        <w:ind w:firstLine="36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本公司（联合体）郑重声明，根据《政府采购促进中小企业发展管理办法》</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财库</w:t>
      </w:r>
      <w:r>
        <w:rPr>
          <w:rFonts w:hint="eastAsia" w:ascii="宋体" w:hAnsi="宋体" w:eastAsia="宋体" w:cs="宋体"/>
          <w:color w:val="auto"/>
          <w:highlight w:val="none"/>
          <w:lang w:eastAsia="zh-CN"/>
        </w:rPr>
        <w:t xml:space="preserve">〔2020〕46号）</w:t>
      </w:r>
      <w:r>
        <w:rPr>
          <w:rFonts w:hint="eastAsia" w:ascii="宋体" w:hAnsi="宋体" w:eastAsia="宋体" w:cs="宋体"/>
          <w:color w:val="auto"/>
          <w:highlight w:val="none"/>
        </w:rPr>
        <w:t xml:space="preserve">的规定，本公司（联合体）参加采购编号为</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的采购活动，提供的货物全部由符合政策要求的小微企业制造。根据《工业和信息化部、国家统计局、国家发展和改革委员会、财政部关于印发中小企业划型标准规定的通知》</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工信部联企业</w:t>
      </w:r>
      <w:r>
        <w:rPr>
          <w:rFonts w:hint="eastAsia" w:ascii="宋体" w:hAnsi="宋体" w:eastAsia="宋体" w:cs="宋体"/>
          <w:color w:val="auto"/>
          <w:highlight w:val="none"/>
          <w:lang w:eastAsia="zh-CN"/>
        </w:rPr>
        <w:t xml:space="preserve">〔2011〕300号）</w:t>
      </w:r>
      <w:r>
        <w:rPr>
          <w:rFonts w:hint="eastAsia" w:ascii="宋体" w:hAnsi="宋体" w:eastAsia="宋体" w:cs="宋体"/>
          <w:color w:val="auto"/>
          <w:highlight w:val="none"/>
        </w:rPr>
        <w:t xml:space="preserve">的规定，相关企业（含联合体中的小微企业、签订分包意向协议的小微企业）的具体情况如下：</w:t>
      </w:r>
      <w:r/>
    </w:p>
    <w:p>
      <w:pPr>
        <w:pStyle w:val="715"/>
        <w:ind w:firstLine="36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（小型企业、微型企业）；</w:t>
      </w:r>
      <w:r/>
    </w:p>
    <w:p>
      <w:pPr>
        <w:pStyle w:val="715"/>
        <w:ind w:firstLine="36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（小型企业、微型企业）；</w:t>
      </w:r>
      <w:r/>
    </w:p>
    <w:p>
      <w:pPr>
        <w:pStyle w:val="715"/>
        <w:ind w:firstLine="36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w:t>
      </w:r>
      <w:r/>
    </w:p>
    <w:p>
      <w:pPr>
        <w:pStyle w:val="715"/>
        <w:ind w:firstLine="36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pStyle w:val="715"/>
        <w:ind w:firstLine="36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pStyle w:val="715"/>
        <w:ind w:right="720"/>
        <w:jc w:val="both"/>
        <w:spacing w:beforeAutospacing="0" w:afterAutospacing="0" w:line="0" w:lineRule="atLeast"/>
        <w:rPr>
          <w:color w:val="auto"/>
          <w:highlight w:val="none"/>
        </w:rPr>
      </w:pPr>
      <w:r>
        <w:rPr>
          <w:color w:val="auto"/>
          <w:highlight w:val="none"/>
        </w:rPr>
        <w:t xml:space="preserve"> </w:t>
      </w:r>
      <w:r/>
    </w:p>
    <w:p>
      <w:pPr>
        <w:pStyle w:val="715"/>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715"/>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715"/>
        <w:ind w:firstLine="360"/>
        <w:jc w:val="both"/>
        <w:spacing w:beforeAutospacing="0" w:afterAutospacing="0" w:line="0" w:lineRule="atLeast"/>
        <w:rPr>
          <w:color w:val="auto"/>
          <w:highlight w:val="none"/>
        </w:rPr>
      </w:pPr>
      <w:r>
        <w:rPr>
          <w:color w:val="auto"/>
          <w:highlight w:val="none"/>
        </w:rPr>
        <w:t xml:space="preserve"> </w:t>
      </w:r>
      <w:r/>
    </w:p>
    <w:p>
      <w:pPr>
        <w:pStyle w:val="71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1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p>
    <w:p>
      <w:pPr>
        <w:pStyle w:val="715"/>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十、残疾人福利性单位声明函（分包号：**）</w:t>
      </w:r>
      <w:r/>
    </w:p>
    <w:p>
      <w:pPr>
        <w:pStyle w:val="71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71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715"/>
        <w:ind w:firstLine="480"/>
        <w:jc w:val="both"/>
        <w:spacing w:beforeAutospacing="0" w:afterAutospacing="0" w:line="0" w:lineRule="atLeast"/>
        <w:rPr>
          <w:color w:val="auto"/>
          <w:highlight w:val="none"/>
        </w:rPr>
      </w:pPr>
      <w:r>
        <w:rPr>
          <w:color w:val="auto"/>
          <w:highlight w:val="none"/>
        </w:rPr>
        <w:t xml:space="preserve"> </w:t>
      </w:r>
      <w:r/>
    </w:p>
    <w:p>
      <w:pPr>
        <w:pStyle w:val="71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（备注：1、供应商如不提供此声明函，价格将不做相应扣除。2、中标供应商为残疾人福利单位的，此声明函将随中标结果同时公告，接受社会监督）</w:t>
      </w:r>
      <w:r/>
    </w:p>
    <w:p>
      <w:pPr>
        <w:pStyle w:val="715"/>
        <w:ind w:firstLine="624"/>
        <w:jc w:val="both"/>
        <w:spacing w:beforeAutospacing="0" w:afterAutospacing="0" w:line="0" w:lineRule="atLeast"/>
        <w:rPr>
          <w:color w:val="auto"/>
          <w:highlight w:val="none"/>
        </w:rPr>
      </w:pPr>
      <w:r>
        <w:rPr>
          <w:color w:val="auto"/>
          <w:highlight w:val="none"/>
        </w:rPr>
        <w:t xml:space="preserve"> </w:t>
      </w:r>
      <w:r/>
    </w:p>
    <w:p>
      <w:pPr>
        <w:pStyle w:val="715"/>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715"/>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5"/>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715"/>
        <w:jc w:val="center"/>
        <w:spacing w:beforeAutospacing="0" w:afterAutospacing="0" w:line="0" w:lineRule="atLeast"/>
        <w:rPr>
          <w:color w:val="auto"/>
          <w:highlight w:val="none"/>
        </w:rPr>
      </w:pPr>
      <w:r>
        <w:rPr>
          <w:color w:val="auto"/>
          <w:highlight w:val="none"/>
        </w:rPr>
        <w:t xml:space="preserve"> </w:t>
      </w:r>
      <w:r/>
    </w:p>
    <w:p>
      <w:pPr>
        <w:pStyle w:val="715"/>
        <w:jc w:val="center"/>
        <w:spacing w:beforeAutospacing="0" w:afterAutospacing="0" w:line="0" w:lineRule="atLeast"/>
        <w:rPr>
          <w:color w:val="auto"/>
          <w:highlight w:val="none"/>
        </w:rPr>
      </w:pPr>
      <w:r>
        <w:rPr>
          <w:color w:val="auto"/>
          <w:highlight w:val="none"/>
        </w:rPr>
        <w:t xml:space="preserve"> </w:t>
      </w:r>
      <w:r/>
    </w:p>
    <w:p>
      <w:pPr>
        <w:pStyle w:val="715"/>
        <w:jc w:val="center"/>
        <w:spacing w:beforeAutospacing="0" w:afterAutospacing="0" w:line="0" w:lineRule="atLeast"/>
        <w:rPr>
          <w:color w:val="auto"/>
          <w:highlight w:val="none"/>
        </w:rPr>
      </w:pPr>
      <w:r>
        <w:rPr>
          <w:color w:val="auto"/>
          <w:highlight w:val="none"/>
        </w:rPr>
        <w:t xml:space="preserve"> </w:t>
      </w:r>
      <w:r/>
    </w:p>
    <w:p>
      <w:pPr>
        <w:pStyle w:val="715"/>
        <w:jc w:val="center"/>
        <w:spacing w:beforeAutospacing="0" w:afterAutospacing="0" w:line="0" w:lineRule="atLeast"/>
        <w:rPr>
          <w:color w:val="auto"/>
          <w:highlight w:val="none"/>
        </w:rPr>
      </w:pPr>
      <w:r>
        <w:rPr>
          <w:color w:val="auto"/>
          <w:highlight w:val="none"/>
        </w:rPr>
        <w:t xml:space="preserve"> </w:t>
      </w:r>
      <w:r/>
    </w:p>
    <w:p>
      <w:pPr>
        <w:pStyle w:val="715"/>
        <w:jc w:val="center"/>
        <w:spacing w:beforeAutospacing="0" w:afterAutospacing="0" w:line="0" w:lineRule="atLeast"/>
        <w:rPr>
          <w:color w:val="auto"/>
          <w:highlight w:val="none"/>
        </w:rPr>
      </w:pPr>
      <w:r>
        <w:rPr>
          <w:color w:val="auto"/>
          <w:highlight w:val="none"/>
        </w:rPr>
        <w:t xml:space="preserve"> </w:t>
      </w:r>
      <w:r/>
    </w:p>
    <w:p>
      <w:pPr>
        <w:pStyle w:val="715"/>
        <w:jc w:val="center"/>
        <w:spacing w:beforeAutospacing="0" w:afterAutospacing="0" w:line="0" w:lineRule="atLeast"/>
        <w:rPr>
          <w:color w:val="auto"/>
          <w:highlight w:val="none"/>
        </w:rPr>
      </w:pPr>
      <w:r>
        <w:rPr>
          <w:color w:val="auto"/>
          <w:highlight w:val="none"/>
        </w:rPr>
        <w:t xml:space="preserve"> </w:t>
      </w:r>
      <w:r/>
    </w:p>
    <w:p>
      <w:pPr>
        <w:pStyle w:val="715"/>
        <w:jc w:val="center"/>
        <w:spacing w:beforeAutospacing="0" w:afterAutospacing="0" w:line="0" w:lineRule="atLeast"/>
        <w:rPr>
          <w:color w:val="auto"/>
          <w:highlight w:val="none"/>
        </w:rPr>
      </w:pPr>
      <w:r>
        <w:rPr>
          <w:color w:val="auto"/>
          <w:highlight w:val="none"/>
        </w:rPr>
        <w:t xml:space="preserve"> </w:t>
      </w:r>
      <w:r/>
    </w:p>
    <w:p>
      <w:pPr>
        <w:pStyle w:val="715"/>
        <w:jc w:val="center"/>
        <w:spacing w:beforeAutospacing="0" w:afterAutospacing="0" w:line="0" w:lineRule="atLeast"/>
        <w:rPr>
          <w:color w:val="auto"/>
          <w:highlight w:val="none"/>
        </w:rPr>
      </w:pPr>
      <w:r>
        <w:rPr>
          <w:color w:val="auto"/>
          <w:highlight w:val="none"/>
        </w:rPr>
        <w:t xml:space="preserve"> </w:t>
      </w:r>
      <w:r/>
    </w:p>
    <w:p>
      <w:pPr>
        <w:pStyle w:val="715"/>
        <w:jc w:val="center"/>
        <w:spacing w:beforeAutospacing="0" w:afterAutospacing="0" w:line="0" w:lineRule="atLeast"/>
        <w:rPr>
          <w:color w:val="auto"/>
          <w:highlight w:val="none"/>
        </w:rPr>
      </w:pPr>
      <w:r>
        <w:rPr>
          <w:color w:val="auto"/>
          <w:highlight w:val="none"/>
        </w:rPr>
        <w:t xml:space="preserve"> </w:t>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r>
      <w:r/>
    </w:p>
    <w:p>
      <w:pPr>
        <w:pStyle w:val="715"/>
        <w:jc w:val="center"/>
        <w:spacing w:beforeAutospacing="0" w:afterAutospacing="0" w:line="0" w:lineRule="atLeast"/>
        <w:rPr>
          <w:color w:val="auto"/>
          <w:highlight w:val="none"/>
        </w:rPr>
      </w:pPr>
      <w:r>
        <w:rPr>
          <w:color w:val="auto"/>
          <w:highlight w:val="none"/>
        </w:rPr>
        <w:t xml:space="preserve"> </w:t>
      </w:r>
      <w:r/>
    </w:p>
    <w:p>
      <w:pPr>
        <w:pStyle w:val="715"/>
        <w:jc w:val="center"/>
        <w:spacing w:beforeAutospacing="0" w:afterAutospacing="0" w:line="0" w:lineRule="atLeast"/>
        <w:rPr>
          <w:color w:val="auto"/>
          <w:highlight w:val="none"/>
        </w:rPr>
      </w:pPr>
      <w:r>
        <w:rPr>
          <w:color w:val="auto"/>
          <w:highlight w:val="none"/>
        </w:rPr>
        <w:t xml:space="preserve"> </w:t>
      </w:r>
      <w:r/>
    </w:p>
    <w:p>
      <w:pPr>
        <w:pStyle w:val="715"/>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十一、技术要求响应及偏离表</w:t>
      </w:r>
      <w:r/>
    </w:p>
    <w:tbl>
      <w:tblPr>
        <w:tblStyle w:val="69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5"/>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5"/>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5"/>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5"/>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5"/>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715"/>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5"/>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r>
    </w:tbl>
    <w:p>
      <w:pPr>
        <w:pStyle w:val="715"/>
        <w:jc w:val="both"/>
        <w:spacing w:beforeAutospacing="0" w:afterAutospacing="0"/>
        <w:rPr>
          <w:color w:val="auto"/>
          <w:highlight w:val="none"/>
        </w:rPr>
      </w:pPr>
      <w:r>
        <w:rPr>
          <w:rFonts w:hint="eastAsia" w:ascii="宋体" w:hAnsi="宋体" w:eastAsia="宋体" w:cs="宋体"/>
          <w:color w:val="auto"/>
          <w:highlight w:val="none"/>
        </w:rPr>
        <w:t xml:space="preserve">注：行数不够，可自行添加。</w:t>
      </w:r>
      <w:r/>
    </w:p>
    <w:p>
      <w:pPr>
        <w:pStyle w:val="715"/>
        <w:jc w:val="center"/>
        <w:spacing w:beforeAutospacing="0" w:afterAutospacing="0"/>
        <w:rPr>
          <w:color w:val="auto"/>
          <w:highlight w:val="none"/>
        </w:rPr>
      </w:pPr>
      <w:r>
        <w:rPr>
          <w:color w:val="auto"/>
          <w:highlight w:val="none"/>
        </w:rPr>
        <w:t xml:space="preserve"> </w:t>
      </w:r>
      <w:r/>
    </w:p>
    <w:p>
      <w:pPr>
        <w:pStyle w:val="715"/>
        <w:jc w:val="center"/>
        <w:spacing w:beforeAutospacing="0" w:afterAutospacing="0"/>
        <w:rPr>
          <w:color w:val="auto"/>
          <w:highlight w:val="none"/>
        </w:rPr>
      </w:pPr>
      <w:r>
        <w:rPr>
          <w:color w:val="auto"/>
          <w:highlight w:val="none"/>
        </w:rPr>
        <w:t xml:space="preserve"> </w:t>
      </w:r>
      <w:r/>
    </w:p>
    <w:p>
      <w:pPr>
        <w:pStyle w:val="715"/>
        <w:jc w:val="center"/>
        <w:spacing w:beforeAutospacing="0" w:afterAutospacing="0"/>
        <w:rPr>
          <w:color w:val="auto"/>
          <w:highlight w:val="none"/>
        </w:rPr>
      </w:pPr>
      <w:r>
        <w:rPr>
          <w:color w:val="auto"/>
          <w:highlight w:val="none"/>
        </w:rPr>
        <w:t xml:space="preserve"> </w:t>
      </w:r>
      <w:r/>
    </w:p>
    <w:p>
      <w:pPr>
        <w:pStyle w:val="715"/>
        <w:jc w:val="center"/>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r>
      <w:r/>
    </w:p>
    <w:p>
      <w:pPr>
        <w:pStyle w:val="715"/>
        <w:jc w:val="both"/>
        <w:spacing w:beforeAutospacing="0" w:afterAutospacing="0"/>
        <w:rPr>
          <w:color w:val="auto"/>
          <w:highlight w:val="none"/>
        </w:rPr>
      </w:pPr>
      <w:r>
        <w:rPr>
          <w:color w:val="auto"/>
          <w:highlight w:val="none"/>
        </w:rPr>
      </w:r>
      <w:r/>
    </w:p>
    <w:p>
      <w:pPr>
        <w:pStyle w:val="715"/>
        <w:jc w:val="both"/>
        <w:spacing w:beforeAutospacing="0" w:afterAutospacing="0"/>
        <w:rPr>
          <w:color w:val="auto"/>
          <w:highlight w:val="none"/>
        </w:rPr>
      </w:pPr>
      <w:r>
        <w:rPr>
          <w:color w:val="auto"/>
          <w:highlight w:val="none"/>
        </w:rPr>
      </w:r>
      <w:r/>
    </w:p>
    <w:p>
      <w:pPr>
        <w:pStyle w:val="715"/>
        <w:jc w:val="both"/>
        <w:spacing w:beforeAutospacing="0" w:afterAutospacing="0"/>
        <w:rPr>
          <w:color w:val="auto"/>
          <w:highlight w:val="none"/>
        </w:rPr>
      </w:pPr>
      <w:r>
        <w:rPr>
          <w:color w:val="auto"/>
          <w:highlight w:val="none"/>
        </w:rPr>
      </w:r>
      <w:r/>
    </w:p>
    <w:p>
      <w:pPr>
        <w:pStyle w:val="715"/>
        <w:jc w:val="both"/>
        <w:spacing w:beforeAutospacing="0" w:afterAutospacing="0"/>
        <w:rPr>
          <w:color w:val="auto"/>
          <w:highlight w:val="none"/>
        </w:rPr>
      </w:pPr>
      <w:r>
        <w:rPr>
          <w:color w:val="auto"/>
          <w:highlight w:val="none"/>
        </w:rPr>
      </w:r>
      <w:r/>
    </w:p>
    <w:p>
      <w:pPr>
        <w:pStyle w:val="715"/>
        <w:jc w:val="both"/>
        <w:spacing w:beforeAutospacing="0" w:afterAutospacing="0"/>
        <w:rPr>
          <w:color w:val="auto"/>
          <w:highlight w:val="none"/>
        </w:rPr>
      </w:pPr>
      <w:r>
        <w:rPr>
          <w:color w:val="auto"/>
          <w:highlight w:val="none"/>
        </w:rPr>
      </w:r>
      <w:r/>
    </w:p>
    <w:p>
      <w:pPr>
        <w:pStyle w:val="715"/>
        <w:jc w:val="both"/>
        <w:spacing w:beforeAutospacing="0" w:afterAutospacing="0"/>
        <w:rPr>
          <w:color w:val="auto"/>
          <w:highlight w:val="none"/>
        </w:rPr>
      </w:pPr>
      <w:r>
        <w:rPr>
          <w:color w:val="auto"/>
          <w:highlight w:val="none"/>
        </w:rPr>
      </w:r>
      <w:r/>
    </w:p>
    <w:p>
      <w:pPr>
        <w:pStyle w:val="715"/>
        <w:jc w:val="both"/>
        <w:spacing w:beforeAutospacing="0" w:afterAutospacing="0"/>
        <w:rPr>
          <w:color w:val="auto"/>
          <w:highlight w:val="none"/>
        </w:rPr>
      </w:pPr>
      <w:r>
        <w:rPr>
          <w:color w:val="auto"/>
          <w:highlight w:val="none"/>
        </w:rPr>
      </w:r>
      <w:r/>
    </w:p>
    <w:p>
      <w:pPr>
        <w:pStyle w:val="715"/>
        <w:jc w:val="both"/>
        <w:spacing w:beforeAutospacing="0" w:afterAutospacing="0"/>
        <w:rPr>
          <w:color w:val="auto"/>
          <w:highlight w:val="none"/>
        </w:rPr>
      </w:pPr>
      <w:r>
        <w:rPr>
          <w:color w:val="auto"/>
          <w:highlight w:val="none"/>
        </w:rPr>
      </w:r>
      <w:r/>
    </w:p>
    <w:p>
      <w:pPr>
        <w:pStyle w:val="715"/>
        <w:jc w:val="both"/>
        <w:spacing w:beforeAutospacing="0" w:afterAutospacing="0"/>
        <w:rPr>
          <w:color w:val="auto"/>
          <w:highlight w:val="none"/>
        </w:rPr>
      </w:pPr>
      <w:r>
        <w:rPr>
          <w:color w:val="auto"/>
          <w:highlight w:val="none"/>
        </w:rPr>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r>
      <w:r/>
    </w:p>
    <w:p>
      <w:pPr>
        <w:pStyle w:val="715"/>
        <w:jc w:val="both"/>
        <w:spacing w:beforeAutospacing="0" w:afterAutospacing="0"/>
        <w:rPr>
          <w:color w:val="auto"/>
          <w:highlight w:val="none"/>
        </w:rPr>
      </w:pPr>
      <w:r>
        <w:rPr>
          <w:color w:val="auto"/>
          <w:highlight w:val="none"/>
        </w:rPr>
      </w:r>
      <w:r/>
    </w:p>
    <w:p>
      <w:pPr>
        <w:pStyle w:val="715"/>
        <w:jc w:val="both"/>
        <w:spacing w:beforeAutospacing="0" w:afterAutospacing="0"/>
        <w:rPr>
          <w:color w:val="auto"/>
          <w:highlight w:val="none"/>
        </w:rPr>
      </w:pPr>
      <w:r>
        <w:rPr>
          <w:color w:val="auto"/>
          <w:highlight w:val="none"/>
        </w:rPr>
      </w:r>
      <w:r/>
    </w:p>
    <w:p>
      <w:pPr>
        <w:pStyle w:val="715"/>
        <w:jc w:val="both"/>
        <w:spacing w:beforeAutospacing="0" w:afterAutospacing="0"/>
        <w:rPr>
          <w:color w:val="auto"/>
          <w:highlight w:val="none"/>
        </w:rPr>
      </w:pPr>
      <w:r>
        <w:rPr>
          <w:color w:val="auto"/>
          <w:highlight w:val="none"/>
        </w:rPr>
        <w:t xml:space="preserve"> </w:t>
      </w:r>
      <w:r/>
    </w:p>
    <w:p>
      <w:pPr>
        <w:pStyle w:val="715"/>
        <w:jc w:val="center"/>
        <w:spacing w:beforeAutospacing="0" w:afterAutospacing="0"/>
        <w:rPr>
          <w:color w:val="auto"/>
          <w:highlight w:val="none"/>
        </w:rPr>
      </w:pPr>
      <w:r/>
      <w:bookmarkStart w:id="187" w:name="_Hlt26955054"/>
      <w:r>
        <w:rPr>
          <w:rFonts w:hint="eastAsia" w:ascii="黑体" w:hAnsi="宋体" w:eastAsia="黑体" w:cs="黑体"/>
          <w:b/>
          <w:color w:val="auto"/>
          <w:sz w:val="32"/>
          <w:szCs w:val="32"/>
          <w:highlight w:val="none"/>
        </w:rPr>
        <w:t xml:space="preserve">十二、商务要求响应及偏离表</w:t>
      </w:r>
      <w:r/>
    </w:p>
    <w:tbl>
      <w:tblPr>
        <w:tblStyle w:val="69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5"/>
              <w:jc w:val="center"/>
              <w:spacing w:beforeAutospacing="0" w:afterAutospacing="0"/>
              <w:rPr>
                <w:color w:val="auto"/>
                <w:highlight w:val="none"/>
              </w:rPr>
            </w:pPr>
            <w:r/>
            <w:bookmarkStart w:id="188" w:name="_Hlt26580838"/>
            <w:r/>
            <w:bookmarkStart w:id="189" w:name="_Hlt26671343"/>
            <w:r/>
            <w:bookmarkStart w:id="190" w:name="_Hlt24879081"/>
            <w:r/>
            <w:bookmarkStart w:id="191" w:name="_Hlt26782999"/>
            <w:r/>
            <w:bookmarkStart w:id="192" w:name="_Hlt26671372"/>
            <w:r/>
            <w:bookmarkStart w:id="193" w:name="_Hlt26609391"/>
            <w:r/>
            <w:bookmarkStart w:id="194" w:name="_Hlt26955056"/>
            <w:r/>
            <w:bookmarkStart w:id="195" w:name="_Hlt26955064"/>
            <w:r>
              <w:rPr>
                <w:rFonts w:hint="eastAsia" w:ascii="宋体" w:hAnsi="宋体" w:eastAsia="宋体" w:cs="宋体"/>
                <w:color w:val="auto"/>
                <w:highlight w:val="none"/>
              </w:rPr>
              <w:t xml:space="preserve">序号</w:t>
            </w:r>
            <w:bookmarkEnd w:id="188"/>
            <w:r/>
            <w:bookmarkEnd w:id="189"/>
            <w:r/>
            <w:bookmarkEnd w:id="190"/>
            <w:r/>
            <w:bookmarkEnd w:id="191"/>
            <w:r/>
            <w:bookmarkEnd w:id="192"/>
            <w:r/>
            <w:bookmarkEnd w:id="193"/>
            <w:r/>
            <w:bookmarkEnd w:id="194"/>
            <w:r/>
            <w:bookmarkEnd w:id="195"/>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5"/>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5"/>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5"/>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5"/>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715"/>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5"/>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5"/>
              <w:jc w:val="center"/>
              <w:spacing w:beforeAutospacing="0" w:afterAutospacing="0"/>
              <w:rPr>
                <w:color w:val="auto"/>
                <w:highlight w:val="none"/>
              </w:rPr>
            </w:pPr>
            <w:r>
              <w:rPr>
                <w:color w:val="auto"/>
                <w:highlight w:val="none"/>
              </w:rPr>
              <w:t xml:space="preserve"> </w:t>
            </w:r>
            <w:r/>
          </w:p>
        </w:tc>
      </w:tr>
    </w:tbl>
    <w:p>
      <w:pPr>
        <w:pStyle w:val="715"/>
        <w:jc w:val="both"/>
        <w:spacing w:beforeAutospacing="0" w:afterAutospacing="0"/>
        <w:rPr>
          <w:color w:val="auto"/>
          <w:highlight w:val="none"/>
        </w:rPr>
      </w:pPr>
      <w:r>
        <w:rPr>
          <w:rFonts w:hint="eastAsia" w:ascii="宋体" w:hAnsi="宋体" w:eastAsia="宋体" w:cs="宋体"/>
          <w:color w:val="auto"/>
          <w:highlight w:val="none"/>
        </w:rPr>
        <w:t xml:space="preserve">注：行数不够，可自行添加。</w:t>
      </w:r>
      <w:r/>
    </w:p>
    <w:p>
      <w:pPr>
        <w:pStyle w:val="715"/>
        <w:jc w:val="both"/>
        <w:spacing w:beforeAutospacing="0" w:afterAutospacing="0" w:line="480" w:lineRule="auto"/>
        <w:rPr>
          <w:color w:val="auto"/>
          <w:highlight w:val="none"/>
        </w:rPr>
      </w:pPr>
      <w:r>
        <w:rPr>
          <w:color w:val="auto"/>
          <w:highlight w:val="none"/>
        </w:rPr>
        <w:t xml:space="preserve"> </w:t>
      </w:r>
      <w:r/>
    </w:p>
    <w:p>
      <w:pPr>
        <w:pStyle w:val="715"/>
        <w:jc w:val="both"/>
        <w:spacing w:beforeAutospacing="0" w:afterAutospacing="0" w:line="480" w:lineRule="auto"/>
        <w:rPr>
          <w:color w:val="auto"/>
          <w:highlight w:val="none"/>
        </w:rPr>
      </w:pPr>
      <w:r>
        <w:rPr>
          <w:color w:val="auto"/>
          <w:highlight w:val="none"/>
        </w:rPr>
        <w:t xml:space="preserve"> </w:t>
      </w:r>
      <w:r/>
    </w:p>
    <w:p>
      <w:pPr>
        <w:pStyle w:val="715"/>
        <w:jc w:val="center"/>
        <w:spacing w:beforeAutospacing="0" w:afterAutospacing="0"/>
        <w:rPr>
          <w:color w:val="auto"/>
          <w:highlight w:val="none"/>
        </w:rPr>
      </w:pPr>
      <w:r/>
      <w:bookmarkStart w:id="196" w:name="_Hlt26671374"/>
      <w:r/>
      <w:bookmarkStart w:id="197" w:name="_Toc462564146"/>
      <w:r/>
      <w:bookmarkStart w:id="198" w:name="_Hlt26955066"/>
      <w:r/>
      <w:bookmarkStart w:id="199" w:name="_Hlt26609389"/>
      <w:r/>
      <w:bookmarkStart w:id="200" w:name="_格式2__法定代表人授权书"/>
      <w:r>
        <w:rPr>
          <w:color w:val="auto"/>
          <w:highlight w:val="none"/>
        </w:rPr>
        <w:t xml:space="preserve"> </w:t>
      </w:r>
      <w:r/>
    </w:p>
    <w:p>
      <w:pPr>
        <w:pStyle w:val="715"/>
        <w:jc w:val="center"/>
        <w:spacing w:beforeAutospacing="0" w:afterAutospacing="0"/>
        <w:rPr>
          <w:color w:val="auto"/>
          <w:highlight w:val="none"/>
        </w:rPr>
      </w:pPr>
      <w:r>
        <w:rPr>
          <w:color w:val="auto"/>
          <w:highlight w:val="none"/>
        </w:rPr>
        <w:t xml:space="preserve"> </w:t>
      </w:r>
      <w:r/>
    </w:p>
    <w:p>
      <w:pPr>
        <w:pStyle w:val="715"/>
        <w:jc w:val="center"/>
        <w:spacing w:beforeAutospacing="0" w:afterAutospacing="0"/>
        <w:rPr>
          <w:color w:val="auto"/>
          <w:highlight w:val="none"/>
        </w:rPr>
      </w:pPr>
      <w:r>
        <w:rPr>
          <w:color w:val="auto"/>
          <w:highlight w:val="none"/>
        </w:rPr>
        <w:t xml:space="preserve"> </w:t>
      </w:r>
      <w:r/>
    </w:p>
    <w:p>
      <w:pPr>
        <w:pStyle w:val="715"/>
        <w:jc w:val="center"/>
        <w:spacing w:beforeAutospacing="0" w:afterAutospacing="0"/>
        <w:rPr>
          <w:color w:val="auto"/>
          <w:highlight w:val="none"/>
        </w:rPr>
      </w:pPr>
      <w:r>
        <w:rPr>
          <w:color w:val="auto"/>
          <w:highlight w:val="none"/>
        </w:rPr>
        <w:t xml:space="preserve"> </w:t>
      </w:r>
      <w:r/>
    </w:p>
    <w:p>
      <w:pPr>
        <w:pStyle w:val="715"/>
        <w:jc w:val="center"/>
        <w:spacing w:beforeAutospacing="0" w:afterAutospacing="0"/>
        <w:rPr>
          <w:color w:val="auto"/>
          <w:highlight w:val="none"/>
        </w:rPr>
      </w:pPr>
      <w:r>
        <w:rPr>
          <w:color w:val="auto"/>
          <w:highlight w:val="none"/>
        </w:rPr>
        <w:t xml:space="preserve"> </w:t>
      </w:r>
      <w:r/>
    </w:p>
    <w:p>
      <w:pPr>
        <w:pStyle w:val="715"/>
        <w:jc w:val="center"/>
        <w:spacing w:beforeAutospacing="0" w:afterAutospacing="0"/>
        <w:rPr>
          <w:color w:val="auto"/>
          <w:highlight w:val="none"/>
        </w:rPr>
      </w:pPr>
      <w:r>
        <w:rPr>
          <w:color w:val="auto"/>
          <w:highlight w:val="none"/>
        </w:rPr>
        <w:t xml:space="preserve"> </w:t>
      </w:r>
      <w:r/>
    </w:p>
    <w:p>
      <w:pPr>
        <w:pStyle w:val="715"/>
        <w:jc w:val="center"/>
        <w:spacing w:beforeAutospacing="0" w:afterAutospacing="0"/>
        <w:rPr>
          <w:color w:val="auto"/>
          <w:highlight w:val="none"/>
        </w:rPr>
      </w:pPr>
      <w:r>
        <w:rPr>
          <w:color w:val="auto"/>
          <w:highlight w:val="none"/>
        </w:rPr>
      </w:r>
      <w:r/>
    </w:p>
    <w:p>
      <w:pPr>
        <w:pStyle w:val="715"/>
        <w:jc w:val="center"/>
        <w:spacing w:beforeAutospacing="0" w:afterAutospacing="0"/>
        <w:rPr>
          <w:color w:val="auto"/>
          <w:highlight w:val="none"/>
        </w:rPr>
      </w:pPr>
      <w:r>
        <w:rPr>
          <w:color w:val="auto"/>
          <w:highlight w:val="none"/>
        </w:rPr>
      </w:r>
      <w:r/>
    </w:p>
    <w:p>
      <w:pPr>
        <w:pStyle w:val="715"/>
        <w:jc w:val="center"/>
        <w:spacing w:beforeAutospacing="0" w:afterAutospacing="0"/>
        <w:rPr>
          <w:color w:val="auto"/>
          <w:highlight w:val="none"/>
        </w:rPr>
      </w:pPr>
      <w:r>
        <w:rPr>
          <w:color w:val="auto"/>
          <w:highlight w:val="none"/>
        </w:rPr>
      </w:r>
      <w:r/>
    </w:p>
    <w:p>
      <w:pPr>
        <w:pStyle w:val="715"/>
        <w:jc w:val="center"/>
        <w:spacing w:beforeAutospacing="0" w:afterAutospacing="0"/>
        <w:rPr>
          <w:color w:val="auto"/>
          <w:highlight w:val="none"/>
        </w:rPr>
      </w:pPr>
      <w:r>
        <w:rPr>
          <w:color w:val="auto"/>
          <w:highlight w:val="none"/>
        </w:rPr>
      </w:r>
      <w:r/>
    </w:p>
    <w:p>
      <w:pPr>
        <w:pStyle w:val="715"/>
        <w:jc w:val="center"/>
        <w:spacing w:beforeAutospacing="0" w:afterAutospacing="0"/>
        <w:rPr>
          <w:color w:val="auto"/>
          <w:highlight w:val="none"/>
        </w:rPr>
      </w:pPr>
      <w:r>
        <w:rPr>
          <w:color w:val="auto"/>
          <w:highlight w:val="none"/>
        </w:rPr>
      </w:r>
      <w:r/>
    </w:p>
    <w:p>
      <w:pPr>
        <w:pStyle w:val="715"/>
        <w:jc w:val="center"/>
        <w:spacing w:beforeAutospacing="0" w:afterAutospacing="0"/>
        <w:rPr>
          <w:color w:val="auto"/>
          <w:highlight w:val="none"/>
        </w:rPr>
      </w:pPr>
      <w:r>
        <w:rPr>
          <w:color w:val="auto"/>
          <w:highlight w:val="none"/>
        </w:rPr>
      </w:r>
      <w:r/>
    </w:p>
    <w:p>
      <w:pPr>
        <w:pStyle w:val="715"/>
        <w:jc w:val="center"/>
        <w:spacing w:beforeAutospacing="0" w:afterAutospacing="0"/>
        <w:rPr>
          <w:color w:val="auto"/>
          <w:highlight w:val="none"/>
        </w:rPr>
      </w:pPr>
      <w:r>
        <w:rPr>
          <w:color w:val="auto"/>
          <w:highlight w:val="none"/>
        </w:rPr>
      </w:r>
      <w:r/>
    </w:p>
    <w:p>
      <w:pPr>
        <w:pStyle w:val="715"/>
        <w:jc w:val="center"/>
        <w:spacing w:beforeAutospacing="0" w:afterAutospacing="0"/>
        <w:rPr>
          <w:color w:val="auto"/>
          <w:highlight w:val="none"/>
        </w:rPr>
      </w:pPr>
      <w:r>
        <w:rPr>
          <w:color w:val="auto"/>
          <w:highlight w:val="none"/>
        </w:rPr>
      </w:r>
      <w:r/>
    </w:p>
    <w:p>
      <w:pPr>
        <w:pStyle w:val="715"/>
        <w:jc w:val="center"/>
        <w:spacing w:beforeAutospacing="0" w:afterAutospacing="0"/>
        <w:rPr>
          <w:color w:val="auto"/>
          <w:highlight w:val="none"/>
        </w:rPr>
      </w:pPr>
      <w:r>
        <w:rPr>
          <w:color w:val="auto"/>
          <w:highlight w:val="none"/>
        </w:rPr>
      </w:r>
      <w:r/>
    </w:p>
    <w:p>
      <w:pPr>
        <w:pStyle w:val="715"/>
        <w:jc w:val="center"/>
        <w:spacing w:beforeAutospacing="0" w:afterAutospacing="0"/>
        <w:rPr>
          <w:color w:val="auto"/>
          <w:highlight w:val="none"/>
        </w:rPr>
      </w:pPr>
      <w:r>
        <w:rPr>
          <w:color w:val="auto"/>
          <w:highlight w:val="none"/>
        </w:rPr>
        <w:t xml:space="preserve"> </w:t>
      </w:r>
      <w:r/>
    </w:p>
    <w:p>
      <w:pPr>
        <w:pStyle w:val="715"/>
        <w:jc w:val="center"/>
        <w:spacing w:beforeAutospacing="0" w:afterAutospacing="0"/>
        <w:rPr>
          <w:color w:val="auto"/>
          <w:highlight w:val="none"/>
        </w:rPr>
      </w:pPr>
      <w:r>
        <w:rPr>
          <w:color w:val="auto"/>
          <w:highlight w:val="none"/>
        </w:rPr>
        <w:t xml:space="preserve"> </w:t>
      </w:r>
      <w:r/>
    </w:p>
    <w:p>
      <w:pPr>
        <w:pStyle w:val="715"/>
        <w:jc w:val="center"/>
        <w:spacing w:beforeAutospacing="0" w:afterAutospacing="0"/>
        <w:rPr>
          <w:color w:val="auto"/>
          <w:highlight w:val="none"/>
        </w:rPr>
      </w:pPr>
      <w:r>
        <w:rPr>
          <w:color w:val="auto"/>
          <w:highlight w:val="none"/>
        </w:rPr>
      </w:r>
      <w:r/>
    </w:p>
    <w:p>
      <w:pPr>
        <w:pStyle w:val="715"/>
        <w:jc w:val="center"/>
        <w:spacing w:beforeAutospacing="0" w:afterAutospacing="0"/>
        <w:rPr>
          <w:color w:val="auto"/>
          <w:highlight w:val="none"/>
        </w:rPr>
      </w:pPr>
      <w:r>
        <w:rPr>
          <w:color w:val="auto"/>
          <w:highlight w:val="none"/>
        </w:rPr>
      </w:r>
      <w:r/>
    </w:p>
    <w:p>
      <w:pPr>
        <w:pStyle w:val="715"/>
        <w:jc w:val="center"/>
        <w:spacing w:beforeAutospacing="0" w:afterAutospacing="0"/>
        <w:rPr>
          <w:color w:val="auto"/>
          <w:highlight w:val="none"/>
        </w:rPr>
      </w:pPr>
      <w:r>
        <w:rPr>
          <w:color w:val="auto"/>
          <w:highlight w:val="none"/>
        </w:rPr>
        <w:t xml:space="preserve"> </w:t>
      </w:r>
      <w:r/>
    </w:p>
    <w:p>
      <w:pPr>
        <w:pStyle w:val="715"/>
        <w:jc w:val="center"/>
        <w:spacing w:beforeAutospacing="0" w:afterAutospacing="0"/>
        <w:rPr>
          <w:rFonts w:hint="default" w:eastAsia="黑体"/>
          <w:color w:val="auto"/>
          <w:highlight w:val="none"/>
          <w:lang w:val="en-US" w:eastAsia="zh-CN"/>
        </w:rPr>
      </w:pPr>
      <w:r>
        <w:rPr>
          <w:rFonts w:hint="eastAsia" w:ascii="黑体" w:hAnsi="宋体" w:eastAsia="黑体" w:cs="黑体"/>
          <w:b/>
          <w:i/>
          <w:color w:val="auto"/>
          <w:sz w:val="32"/>
          <w:szCs w:val="32"/>
          <w:highlight w:val="none"/>
          <w:u w:val="single"/>
        </w:rPr>
        <w:t xml:space="preserve">十三、</w:t>
      </w:r>
      <w:r>
        <w:rPr>
          <w:rFonts w:hint="eastAsia" w:ascii="黑体" w:hAnsi="宋体" w:eastAsia="黑体" w:cs="黑体"/>
          <w:b/>
          <w:i/>
          <w:color w:val="auto"/>
          <w:sz w:val="32"/>
          <w:szCs w:val="32"/>
          <w:highlight w:val="none"/>
          <w:u w:val="single"/>
          <w:lang w:val="en-US" w:eastAsia="zh-CN"/>
        </w:rPr>
        <w:t xml:space="preserve">报价表</w:t>
      </w:r>
      <w:r/>
    </w:p>
    <w:p>
      <w:pPr>
        <w:pStyle w:val="715"/>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投标人全称（加盖CA电子签章）：</w:t>
      </w:r>
      <w:r/>
    </w:p>
    <w:p>
      <w:pPr>
        <w:pStyle w:val="715"/>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715"/>
        <w:jc w:val="both"/>
        <w:spacing w:beforeAutospacing="0" w:afterAutospacing="0" w:line="44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项目编号：</w:t>
      </w:r>
      <w:r>
        <w:rPr>
          <w:rFonts w:hint="eastAsia" w:ascii="宋体" w:hAnsi="宋体" w:eastAsia="宋体" w:cs="宋体"/>
          <w:color w:val="auto"/>
          <w:highlight w:val="none"/>
          <w:lang w:eastAsia="zh-CN"/>
        </w:rPr>
        <w:t xml:space="preserve">JSZC-320981-XHZB-G2024-0055</w:t>
      </w:r>
      <w:r/>
    </w:p>
    <w:tbl>
      <w:tblPr>
        <w:tblStyle w:val="692"/>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1559"/>
        <w:gridCol w:w="1616"/>
        <w:gridCol w:w="1117"/>
        <w:gridCol w:w="1634"/>
        <w:gridCol w:w="1243"/>
        <w:gridCol w:w="1244"/>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auto" w:sz="4" w:space="0"/>
            </w:tcBorders>
            <w:tcW w:w="1559" w:type="dxa"/>
            <w:vAlign w:val="center"/>
            <w:textDirection w:val="lrTb"/>
            <w:noWrap w:val="false"/>
          </w:tcPr>
          <w:p>
            <w:pPr>
              <w:pStyle w:val="715"/>
              <w:jc w:val="center"/>
              <w:spacing w:beforeAutospacing="0" w:afterAutospacing="0"/>
              <w:rPr>
                <w:rFonts w:hint="default" w:eastAsiaTheme="minorEastAsia"/>
                <w:color w:val="auto"/>
                <w:highlight w:val="none"/>
                <w:lang w:val="en-US" w:eastAsia="zh-CN"/>
              </w:rPr>
            </w:pPr>
            <w:r>
              <w:rPr>
                <w:rFonts w:hint="eastAsia"/>
                <w:color w:val="auto"/>
                <w:highlight w:val="none"/>
                <w:lang w:val="en-US" w:eastAsia="zh-CN"/>
              </w:rPr>
              <w:t xml:space="preserve">采购内容</w:t>
            </w:r>
            <w:r/>
          </w:p>
        </w:tc>
        <w:tc>
          <w:tcPr>
            <w:shd w:val="clear" w:color="auto" w:fill="auto"/>
            <w:tcBorders>
              <w:top w:val="single" w:color="000000" w:sz="4" w:space="0"/>
              <w:left w:val="single" w:color="auto" w:sz="4" w:space="0"/>
              <w:bottom w:val="single" w:color="000000" w:sz="4" w:space="0"/>
              <w:right w:val="single" w:color="auto" w:sz="4" w:space="0"/>
            </w:tcBorders>
            <w:tcW w:w="1616" w:type="dxa"/>
            <w:vAlign w:val="center"/>
            <w:textDirection w:val="lrTb"/>
            <w:noWrap w:val="false"/>
          </w:tcPr>
          <w:p>
            <w:pPr>
              <w:pStyle w:val="715"/>
              <w:jc w:val="center"/>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面积</w:t>
            </w:r>
            <w:r/>
          </w:p>
        </w:tc>
        <w:tc>
          <w:tcPr>
            <w:shd w:val="clear" w:color="auto" w:fill="auto"/>
            <w:tcBorders>
              <w:top w:val="single" w:color="000000" w:sz="4" w:space="0"/>
              <w:left w:val="single" w:color="auto" w:sz="4" w:space="0"/>
              <w:bottom w:val="single" w:color="000000" w:sz="4" w:space="0"/>
              <w:right w:val="single" w:color="auto" w:sz="4" w:space="0"/>
            </w:tcBorders>
            <w:tcW w:w="1117" w:type="dxa"/>
            <w:vAlign w:val="center"/>
            <w:textDirection w:val="lrTb"/>
            <w:noWrap w:val="false"/>
          </w:tcPr>
          <w:p>
            <w:pPr>
              <w:pStyle w:val="715"/>
              <w:jc w:val="center"/>
              <w:spacing w:beforeAutospacing="0" w:afterAutospacing="0"/>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数量</w:t>
            </w:r>
            <w:r/>
          </w:p>
        </w:tc>
        <w:tc>
          <w:tcPr>
            <w:shd w:val="clear" w:color="auto" w:fill="auto"/>
            <w:tcBorders>
              <w:top w:val="single" w:color="000000" w:sz="4" w:space="0"/>
              <w:left w:val="single" w:color="auto" w:sz="4" w:space="0"/>
              <w:bottom w:val="single" w:color="000000" w:sz="4" w:space="0"/>
              <w:right w:val="single" w:color="auto" w:sz="4" w:space="0"/>
            </w:tcBorders>
            <w:tcW w:w="1634" w:type="dxa"/>
            <w:vAlign w:val="center"/>
            <w:textDirection w:val="lrTb"/>
            <w:noWrap w:val="false"/>
          </w:tcPr>
          <w:p>
            <w:pPr>
              <w:pStyle w:val="715"/>
              <w:jc w:val="center"/>
              <w:spacing w:beforeAutospacing="0" w:afterAutospacing="0"/>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品牌</w:t>
            </w:r>
            <w:r/>
          </w:p>
        </w:tc>
        <w:tc>
          <w:tcPr>
            <w:shd w:val="clear" w:color="auto" w:fill="auto"/>
            <w:tcBorders>
              <w:top w:val="single" w:color="000000" w:sz="4" w:space="0"/>
              <w:left w:val="single" w:color="auto" w:sz="4" w:space="0"/>
              <w:bottom w:val="single" w:color="000000" w:sz="4" w:space="0"/>
              <w:right w:val="single" w:color="auto" w:sz="4" w:space="0"/>
            </w:tcBorders>
            <w:tcW w:w="1243" w:type="dxa"/>
            <w:vAlign w:val="center"/>
            <w:textDirection w:val="lrTb"/>
            <w:noWrap w:val="false"/>
          </w:tcPr>
          <w:p>
            <w:pPr>
              <w:pStyle w:val="715"/>
              <w:jc w:val="center"/>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单价（元）</w:t>
            </w:r>
            <w:r/>
          </w:p>
        </w:tc>
        <w:tc>
          <w:tcPr>
            <w:shd w:val="clear" w:color="auto" w:fill="auto"/>
            <w:tcBorders>
              <w:top w:val="single" w:color="000000" w:sz="4" w:space="0"/>
              <w:left w:val="single" w:color="auto" w:sz="4" w:space="0"/>
              <w:bottom w:val="single" w:color="000000" w:sz="4" w:space="0"/>
              <w:right w:val="single" w:color="000000" w:sz="4" w:space="0"/>
            </w:tcBorders>
            <w:tcW w:w="1244" w:type="dxa"/>
            <w:vAlign w:val="center"/>
            <w:textDirection w:val="lrTb"/>
            <w:noWrap w:val="false"/>
          </w:tcPr>
          <w:p>
            <w:pPr>
              <w:pStyle w:val="715"/>
              <w:jc w:val="center"/>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合价（元）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auto" w:sz="4" w:space="0"/>
            </w:tcBorders>
            <w:tcW w:w="1559" w:type="dxa"/>
            <w:vAlign w:val="center"/>
            <w:textDirection w:val="lrTb"/>
            <w:noWrap w:val="false"/>
          </w:tcPr>
          <w:p>
            <w:pPr>
              <w:pStyle w:val="715"/>
              <w:jc w:val="center"/>
              <w:spacing w:beforeAutospacing="0" w:afterAutospacing="0" w:line="0" w:lineRule="atLeast"/>
              <w:rPr>
                <w:color w:val="auto"/>
                <w:highlight w:val="none"/>
              </w:rPr>
            </w:pPr>
            <w:r>
              <w:rPr>
                <w:rFonts w:hint="eastAsia"/>
                <w:color w:val="auto"/>
                <w:highlight w:val="none"/>
              </w:rPr>
              <w:t xml:space="preserve">垃圾分类房</w:t>
            </w:r>
            <w:r/>
          </w:p>
        </w:tc>
        <w:tc>
          <w:tcPr>
            <w:shd w:val="clear" w:color="auto" w:fill="auto"/>
            <w:tcBorders>
              <w:top w:val="single" w:color="000000" w:sz="4" w:space="0"/>
              <w:left w:val="single" w:color="auto" w:sz="4" w:space="0"/>
              <w:bottom w:val="single" w:color="000000" w:sz="4" w:space="0"/>
              <w:right w:val="single" w:color="auto" w:sz="4" w:space="0"/>
            </w:tcBorders>
            <w:tcW w:w="1616" w:type="dxa"/>
            <w:vAlign w:val="center"/>
            <w:textDirection w:val="lrTb"/>
            <w:noWrap w:val="false"/>
          </w:tcPr>
          <w:p>
            <w:pPr>
              <w:pStyle w:val="715"/>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约3.2m</w:t>
            </w:r>
            <w:r>
              <w:rPr>
                <w:rFonts w:hint="eastAsia" w:ascii="宋体" w:hAnsi="宋体" w:eastAsia="宋体" w:cs="宋体"/>
                <w:color w:val="auto"/>
                <w:highlight w:val="none"/>
                <w:vertAlign w:val="superscript"/>
                <w:lang w:val="en-US" w:eastAsia="zh-CN"/>
              </w:rPr>
              <w:t xml:space="preserve">3</w:t>
            </w:r>
            <w:r/>
          </w:p>
        </w:tc>
        <w:tc>
          <w:tcPr>
            <w:shd w:val="clear" w:color="auto" w:fill="auto"/>
            <w:tcBorders>
              <w:top w:val="single" w:color="000000" w:sz="4" w:space="0"/>
              <w:left w:val="single" w:color="auto" w:sz="4" w:space="0"/>
              <w:bottom w:val="single" w:color="000000" w:sz="4" w:space="0"/>
              <w:right w:val="single" w:color="auto" w:sz="4" w:space="0"/>
            </w:tcBorders>
            <w:tcW w:w="1117" w:type="dxa"/>
            <w:vAlign w:val="center"/>
            <w:textDirection w:val="lrTb"/>
            <w:noWrap w:val="false"/>
          </w:tcPr>
          <w:p>
            <w:pPr>
              <w:pStyle w:val="715"/>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30座</w:t>
            </w:r>
            <w:r/>
          </w:p>
        </w:tc>
        <w:tc>
          <w:tcPr>
            <w:shd w:val="clear" w:color="auto" w:fill="auto"/>
            <w:tcBorders>
              <w:top w:val="single" w:color="000000" w:sz="4" w:space="0"/>
              <w:left w:val="single" w:color="auto" w:sz="4" w:space="0"/>
              <w:bottom w:val="single" w:color="000000" w:sz="4" w:space="0"/>
              <w:right w:val="single" w:color="auto" w:sz="4" w:space="0"/>
            </w:tcBorders>
            <w:tcW w:w="1634" w:type="dxa"/>
            <w:vAlign w:val="center"/>
            <w:textDirection w:val="lrTb"/>
            <w:noWrap w:val="false"/>
          </w:tcPr>
          <w:p>
            <w:pPr>
              <w:pStyle w:val="715"/>
              <w:jc w:val="center"/>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shd w:val="clear" w:color="auto" w:fill="auto"/>
            <w:tcBorders>
              <w:top w:val="single" w:color="000000" w:sz="4" w:space="0"/>
              <w:left w:val="single" w:color="auto" w:sz="4" w:space="0"/>
              <w:bottom w:val="single" w:color="000000" w:sz="4" w:space="0"/>
              <w:right w:val="single" w:color="auto" w:sz="4" w:space="0"/>
            </w:tcBorders>
            <w:tcW w:w="1243" w:type="dxa"/>
            <w:vAlign w:val="center"/>
            <w:textDirection w:val="lrTb"/>
            <w:noWrap w:val="false"/>
          </w:tcPr>
          <w:p>
            <w:pPr>
              <w:pStyle w:val="715"/>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1244" w:type="dxa"/>
            <w:vAlign w:val="center"/>
            <w:textDirection w:val="lrTb"/>
            <w:noWrap w:val="false"/>
          </w:tcPr>
          <w:p>
            <w:pPr>
              <w:pStyle w:val="715"/>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15"/>
              <w:jc w:val="center"/>
              <w:spacing w:beforeAutospacing="0" w:afterAutospacing="0" w:line="30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总价</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854" w:type="dxa"/>
            <w:vAlign w:val="center"/>
            <w:textDirection w:val="lrTb"/>
            <w:noWrap w:val="false"/>
          </w:tcPr>
          <w:p>
            <w:pPr>
              <w:pStyle w:val="715"/>
              <w:spacing w:beforeAutospacing="0" w:afterAutospacing="0" w:line="0" w:lineRule="atLeast"/>
              <w:rPr>
                <w:rFonts w:hint="default" w:eastAsiaTheme="minorEastAsia"/>
                <w:color w:val="auto"/>
                <w:highlight w:val="none"/>
                <w:u w:val="none"/>
                <w:lang w:val="en-US" w:eastAsia="zh-CN"/>
              </w:rPr>
            </w:pPr>
            <w:r>
              <w:rPr>
                <w:rFonts w:hint="eastAsia"/>
                <w:color w:val="auto"/>
                <w:highlight w:val="none"/>
                <w:lang w:val="en-US" w:eastAsia="zh-CN"/>
              </w:rPr>
              <w:t xml:space="preserve">大写：</w:t>
            </w:r>
            <w:r>
              <w:rPr>
                <w:rFonts w:hint="eastAsia"/>
                <w:color w:val="auto"/>
                <w:highlight w:val="none"/>
                <w:u w:val="single"/>
                <w:lang w:val="en-US" w:eastAsia="zh-CN"/>
              </w:rPr>
              <w:t xml:space="preserve">                            </w:t>
            </w:r>
            <w:r>
              <w:rPr>
                <w:rFonts w:hint="eastAsia"/>
                <w:color w:val="auto"/>
                <w:highlight w:val="none"/>
                <w:u w:val="none"/>
                <w:lang w:val="en-US" w:eastAsia="zh-CN"/>
              </w:rPr>
              <w:t xml:space="preserve"> 小写：</w:t>
            </w:r>
            <w:r>
              <w:rPr>
                <w:rFonts w:hint="eastAsia"/>
                <w:color w:val="auto"/>
                <w:highlight w:val="none"/>
                <w:u w:val="single"/>
                <w:lang w:val="en-US" w:eastAsia="zh-CN"/>
              </w:rPr>
              <w:t xml:space="preserve">           </w:t>
            </w:r>
            <w:r>
              <w:rPr>
                <w:rFonts w:hint="eastAsia"/>
                <w:color w:val="auto"/>
                <w:highlight w:val="none"/>
                <w:u w:val="none"/>
                <w:lang w:val="en-US" w:eastAsia="zh-CN"/>
              </w:rPr>
              <w:t xml:space="preserve">元</w:t>
            </w:r>
            <w:r/>
          </w:p>
        </w:tc>
      </w:tr>
    </w:tbl>
    <w:p>
      <w:pPr>
        <w:pStyle w:val="715"/>
        <w:jc w:val="both"/>
        <w:spacing w:beforeAutospacing="0" w:afterAutospacing="0"/>
        <w:rPr>
          <w:color w:val="auto"/>
          <w:highlight w:val="none"/>
        </w:rPr>
      </w:pPr>
      <w:r>
        <w:rPr>
          <w:color w:val="auto"/>
          <w:highlight w:val="none"/>
        </w:rPr>
        <w:t xml:space="preserve"> </w:t>
      </w:r>
      <w:r/>
    </w:p>
    <w:p>
      <w:pPr>
        <w:pStyle w:val="71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5"/>
        <w:ind w:firstLine="480"/>
        <w:jc w:val="both"/>
        <w:spacing w:beforeAutospacing="0" w:afterAutospacing="0"/>
        <w:rPr>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日</w:t>
      </w:r>
      <w:r>
        <w:rPr>
          <w:rFonts w:hint="eastAsia" w:ascii="宋体" w:hAnsi="宋体" w:eastAsia="宋体" w:cs="宋体"/>
          <w:color w:val="auto"/>
          <w:highlight w:val="none"/>
        </w:rPr>
        <w:t xml:space="preserve">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15"/>
        <w:jc w:val="both"/>
        <w:spacing w:beforeAutospacing="0" w:afterAutospacing="0"/>
        <w:rPr>
          <w:color w:val="auto"/>
          <w:highlight w:val="none"/>
        </w:rPr>
      </w:pPr>
      <w:r>
        <w:rPr>
          <w:color w:val="auto"/>
          <w:highlight w:val="none"/>
        </w:rPr>
        <w:t xml:space="preserve"> </w:t>
      </w:r>
      <w:r/>
    </w:p>
    <w:p>
      <w:pPr>
        <w:pStyle w:val="715"/>
        <w:ind w:firstLine="480"/>
        <w:jc w:val="both"/>
        <w:spacing w:beforeAutospacing="0" w:afterAutospacing="0"/>
        <w:rPr>
          <w:color w:val="auto"/>
          <w:highlight w:val="none"/>
        </w:rPr>
      </w:pPr>
      <w:r>
        <w:rPr>
          <w:color w:val="auto"/>
          <w:highlight w:val="none"/>
        </w:rPr>
        <w:t xml:space="preserve"> </w:t>
      </w:r>
      <w:r/>
    </w:p>
    <w:p>
      <w:pPr>
        <w:pStyle w:val="715"/>
        <w:ind w:firstLine="480"/>
        <w:jc w:val="both"/>
        <w:spacing w:beforeAutospacing="0" w:afterAutospacing="0"/>
        <w:rPr>
          <w:color w:val="auto"/>
          <w:highlight w:val="none"/>
        </w:rPr>
      </w:pPr>
      <w:r>
        <w:rPr>
          <w:color w:val="auto"/>
          <w:highlight w:val="none"/>
        </w:rPr>
        <w:t xml:space="preserve"> </w:t>
      </w:r>
      <w:r/>
    </w:p>
    <w:p>
      <w:pPr>
        <w:pStyle w:val="715"/>
        <w:ind w:firstLine="480"/>
        <w:jc w:val="both"/>
        <w:spacing w:beforeAutospacing="0" w:afterAutospacing="0"/>
        <w:rPr>
          <w:color w:val="auto"/>
          <w:highlight w:val="none"/>
        </w:rPr>
      </w:pPr>
      <w:r>
        <w:rPr>
          <w:color w:val="auto"/>
          <w:highlight w:val="none"/>
        </w:rPr>
      </w:r>
      <w:r/>
    </w:p>
    <w:p>
      <w:pPr>
        <w:pStyle w:val="715"/>
        <w:ind w:firstLine="480"/>
        <w:jc w:val="both"/>
        <w:spacing w:beforeAutospacing="0" w:afterAutospacing="0"/>
        <w:rPr>
          <w:color w:val="auto"/>
          <w:highlight w:val="none"/>
        </w:rPr>
      </w:pPr>
      <w:r>
        <w:rPr>
          <w:color w:val="auto"/>
          <w:highlight w:val="none"/>
        </w:rPr>
      </w:r>
      <w:r/>
    </w:p>
    <w:p>
      <w:pPr>
        <w:pStyle w:val="715"/>
        <w:ind w:firstLine="480"/>
        <w:jc w:val="both"/>
        <w:spacing w:beforeAutospacing="0" w:afterAutospacing="0"/>
        <w:rPr>
          <w:color w:val="auto"/>
          <w:highlight w:val="none"/>
        </w:rPr>
      </w:pPr>
      <w:r>
        <w:rPr>
          <w:color w:val="auto"/>
          <w:highlight w:val="none"/>
        </w:rPr>
      </w:r>
      <w:r/>
    </w:p>
    <w:p>
      <w:pPr>
        <w:pStyle w:val="715"/>
        <w:ind w:firstLine="480"/>
        <w:jc w:val="both"/>
        <w:spacing w:beforeAutospacing="0" w:afterAutospacing="0"/>
        <w:rPr>
          <w:color w:val="auto"/>
          <w:highlight w:val="none"/>
        </w:rPr>
      </w:pPr>
      <w:r>
        <w:rPr>
          <w:color w:val="auto"/>
          <w:highlight w:val="none"/>
        </w:rPr>
      </w:r>
      <w:r/>
    </w:p>
    <w:p>
      <w:pPr>
        <w:pStyle w:val="715"/>
        <w:ind w:firstLine="480"/>
        <w:jc w:val="both"/>
        <w:spacing w:beforeAutospacing="0" w:afterAutospacing="0"/>
        <w:rPr>
          <w:color w:val="auto"/>
          <w:highlight w:val="none"/>
        </w:rPr>
      </w:pPr>
      <w:r>
        <w:rPr>
          <w:color w:val="auto"/>
          <w:highlight w:val="none"/>
        </w:rPr>
      </w:r>
      <w:r/>
    </w:p>
    <w:p>
      <w:pPr>
        <w:pStyle w:val="715"/>
        <w:ind w:firstLine="480"/>
        <w:jc w:val="both"/>
        <w:spacing w:beforeAutospacing="0" w:afterAutospacing="0"/>
        <w:rPr>
          <w:color w:val="auto"/>
          <w:highlight w:val="none"/>
        </w:rPr>
      </w:pPr>
      <w:r>
        <w:rPr>
          <w:color w:val="auto"/>
          <w:highlight w:val="none"/>
        </w:rPr>
      </w:r>
      <w:r/>
    </w:p>
    <w:p>
      <w:pPr>
        <w:pStyle w:val="715"/>
        <w:jc w:val="center"/>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5"/>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1600"/>
        <w:spacing w:line="499" w:lineRule="atLeast"/>
        <w:widowControl/>
        <w:rPr>
          <w:color w:val="auto"/>
          <w:highlight w:val="none"/>
        </w:rPr>
      </w:pPr>
      <w:r>
        <w:rPr>
          <w:color w:val="auto"/>
          <w:highlight w:val="none"/>
        </w:rPr>
      </w:r>
      <w:r/>
    </w:p>
    <w:p>
      <w:pPr>
        <w:ind w:firstLine="1600"/>
        <w:spacing w:line="499" w:lineRule="atLeast"/>
        <w:widowControl/>
        <w:rPr>
          <w:color w:val="auto"/>
          <w:highlight w:val="none"/>
        </w:rPr>
      </w:pPr>
      <w:r>
        <w:rPr>
          <w:color w:val="auto"/>
          <w:highlight w:val="none"/>
        </w:rPr>
      </w:r>
      <w:r/>
    </w:p>
    <w:p>
      <w:pPr>
        <w:ind w:firstLine="1600"/>
        <w:spacing w:line="499" w:lineRule="atLeast"/>
        <w:widowControl/>
        <w:rPr>
          <w:color w:val="auto"/>
          <w:highlight w:val="none"/>
        </w:rPr>
      </w:pPr>
      <w:r>
        <w:rPr>
          <w:color w:val="auto"/>
          <w:highlight w:val="none"/>
        </w:rPr>
        <w:tab/>
      </w:r>
      <w:r/>
    </w:p>
    <w:p>
      <w:pPr>
        <w:ind w:firstLine="1600"/>
        <w:spacing w:line="499" w:lineRule="atLeast"/>
        <w:widowControl/>
        <w:rPr>
          <w:color w:val="auto"/>
          <w:highlight w:val="none"/>
        </w:rPr>
      </w:pPr>
      <w:r>
        <w:rPr>
          <w:color w:val="auto"/>
          <w:highlight w:val="none"/>
        </w:rPr>
      </w:r>
      <w:r/>
    </w:p>
    <w:p>
      <w:pPr>
        <w:ind w:firstLine="1600"/>
        <w:spacing w:line="499" w:lineRule="atLeast"/>
        <w:widowControl/>
        <w:rPr>
          <w:color w:val="auto"/>
          <w:highlight w:val="none"/>
        </w:rPr>
      </w:pPr>
      <w:r>
        <w:rPr>
          <w:color w:val="auto"/>
          <w:highlight w:val="none"/>
        </w:rPr>
      </w:r>
      <w:r/>
    </w:p>
    <w:p>
      <w:pPr>
        <w:ind w:firstLine="1600"/>
        <w:spacing w:line="499" w:lineRule="atLeast"/>
        <w:widowControl/>
        <w:rPr>
          <w:color w:val="auto"/>
          <w:highlight w:val="none"/>
        </w:rPr>
      </w:pPr>
      <w:r>
        <w:rPr>
          <w:color w:val="auto"/>
          <w:highlight w:val="none"/>
        </w:rPr>
      </w:r>
      <w:r/>
    </w:p>
    <w:p>
      <w:pPr>
        <w:ind w:firstLine="1600"/>
        <w:spacing w:line="499" w:lineRule="atLeast"/>
        <w:widowControl/>
        <w:rPr>
          <w:color w:val="auto"/>
          <w:highlight w:val="none"/>
        </w:rPr>
      </w:pPr>
      <w:r>
        <w:rPr>
          <w:color w:val="auto"/>
          <w:highlight w:val="none"/>
        </w:rPr>
      </w:r>
      <w:r/>
    </w:p>
    <w:p>
      <w:pPr>
        <w:ind w:firstLine="1600"/>
        <w:spacing w:line="499" w:lineRule="atLeast"/>
        <w:widowControl/>
        <w:rPr>
          <w:color w:val="auto"/>
          <w:highlight w:val="none"/>
        </w:rPr>
      </w:pPr>
      <w:r>
        <w:rPr>
          <w:color w:val="auto"/>
          <w:highlight w:val="none"/>
        </w:rPr>
      </w:r>
      <w:r/>
    </w:p>
    <w:p>
      <w:pPr>
        <w:ind w:firstLine="1600"/>
        <w:spacing w:line="499" w:lineRule="atLeast"/>
        <w:widowControl/>
        <w:rPr>
          <w:color w:val="auto"/>
          <w:highlight w:val="none"/>
        </w:rPr>
      </w:pPr>
      <w:r>
        <w:rPr>
          <w:color w:val="auto"/>
          <w:highlight w:val="none"/>
        </w:rPr>
      </w:r>
      <w:r/>
    </w:p>
    <w:p>
      <w:pPr>
        <w:ind w:firstLine="1600"/>
        <w:spacing w:line="499" w:lineRule="atLeast"/>
        <w:widowControl/>
        <w:rPr>
          <w:color w:val="auto"/>
          <w:highlight w:val="none"/>
        </w:rPr>
      </w:pPr>
      <w:r>
        <w:rPr>
          <w:color w:val="auto"/>
          <w:highlight w:val="none"/>
        </w:rPr>
      </w:r>
      <w:r/>
    </w:p>
    <w:p>
      <w:pPr>
        <w:ind w:firstLine="160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十四、盐城市政府采购事前信用承诺书</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w:t>
      </w:r>
      <w:r>
        <w:rPr>
          <w:rFonts w:hint="eastAsia" w:ascii="宋体" w:hAnsi="宋体" w:eastAsia="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、规章、规范性文件，参加政府采购投标活动；积极履行社会责任，促进廉政建设；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w:t>
      </w:r>
      <w:r>
        <w:rPr>
          <w:rFonts w:hint="eastAsia" w:ascii="宋体" w:hAnsi="宋体" w:eastAsia="宋体" w:cs="宋体"/>
          <w:color w:val="auto"/>
          <w:sz w:val="24"/>
          <w:highlight w:val="none"/>
          <w:lang w:eastAsia="zh-CN"/>
        </w:rPr>
        <w:t xml:space="preserve">做</w:t>
      </w:r>
      <w:r>
        <w:rPr>
          <w:rFonts w:hint="eastAsia" w:ascii="宋体" w:hAnsi="宋体" w:eastAsia="宋体" w:cs="宋体"/>
          <w:color w:val="auto"/>
          <w:sz w:val="24"/>
          <w:highlight w:val="none"/>
        </w:rPr>
        <w:t xml:space="preserve">了宣传教育。</w:t>
      </w:r>
      <w:r/>
    </w:p>
    <w:p>
      <w:pPr>
        <w:jc w:val="left"/>
        <w:spacing w:line="7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7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7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bookmarkEnd w:id="6"/>
      <w:r/>
      <w:bookmarkEnd w:id="48"/>
      <w:r/>
      <w:bookmarkEnd w:id="95"/>
      <w:r/>
      <w:bookmarkEnd w:id="96"/>
      <w:r/>
      <w:bookmarkEnd w:id="97"/>
      <w:r/>
      <w:bookmarkEnd w:id="98"/>
      <w:r/>
      <w:bookmarkEnd w:id="99"/>
      <w:r/>
      <w:bookmarkEnd w:id="100"/>
      <w:r/>
      <w:bookmarkEnd w:id="101"/>
      <w:r/>
      <w:bookmarkEnd w:id="102"/>
      <w:r/>
      <w:bookmarkEnd w:id="111"/>
      <w:r/>
      <w:bookmarkEnd w:id="112"/>
      <w:r/>
      <w:bookmarkEnd w:id="119"/>
      <w:r/>
      <w:bookmarkEnd w:id="174"/>
      <w:r/>
      <w:bookmarkEnd w:id="177"/>
      <w:r/>
      <w:bookmarkEnd w:id="180"/>
      <w:r/>
      <w:bookmarkEnd w:id="181"/>
      <w:r/>
      <w:bookmarkEnd w:id="182"/>
      <w:r/>
      <w:bookmarkEnd w:id="183"/>
      <w:r/>
      <w:bookmarkEnd w:id="184"/>
      <w:r/>
      <w:bookmarkEnd w:id="185"/>
      <w:r/>
      <w:bookmarkEnd w:id="186"/>
      <w:r/>
      <w:bookmarkEnd w:id="187"/>
      <w:r/>
      <w:bookmarkEnd w:id="196"/>
      <w:r/>
      <w:bookmarkEnd w:id="197"/>
      <w:r/>
      <w:bookmarkEnd w:id="198"/>
      <w:r/>
      <w:bookmarkEnd w:id="199"/>
      <w:r/>
      <w:bookmarkEnd w:id="200"/>
      <w:r/>
      <w:r/>
    </w:p>
    <w:p>
      <w:pPr>
        <w:pStyle w:val="715"/>
        <w:jc w:val="center"/>
        <w:spacing w:beforeAutospacing="0" w:afterAutospacing="0"/>
        <w:rPr>
          <w:color w:val="auto"/>
          <w:highlight w:val="none"/>
        </w:rPr>
      </w:pPr>
      <w:r>
        <w:rPr>
          <w:color w:val="auto"/>
          <w:highlight w:val="none"/>
        </w:rPr>
      </w:r>
      <w:r/>
    </w:p>
    <w:p>
      <w:pPr>
        <w:pStyle w:val="71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十五、与评审有关的其他资料</w:t>
      </w:r>
      <w:r/>
    </w:p>
    <w:p>
      <w:pPr>
        <w:pStyle w:val="71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5"/>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15"/>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15"/>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15"/>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15"/>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15"/>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15"/>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15"/>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15"/>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15"/>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15"/>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15"/>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15"/>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15"/>
        <w:jc w:val="both"/>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15"/>
        <w:jc w:val="both"/>
        <w:spacing w:before="290"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15"/>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5"/>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5"/>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5"/>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5"/>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15"/>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5"/>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5"/>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5"/>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15"/>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15"/>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15"/>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15"/>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5"/>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15"/>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15"/>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15"/>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15"/>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15"/>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15"/>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15"/>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715"/>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15"/>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1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715"/>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15"/>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15"/>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15"/>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15"/>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15"/>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15"/>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15"/>
        <w:spacing w:beforeAutospacing="0" w:afterAutospacing="0"/>
        <w:rPr>
          <w:color w:val="auto"/>
          <w:highlight w:val="none"/>
        </w:rPr>
      </w:pPr>
      <w:r>
        <w:rPr>
          <w:color w:val="auto"/>
          <w:highlight w:val="none"/>
        </w:rPr>
      </w:r>
      <w:r/>
    </w:p>
    <w:p>
      <w:pPr>
        <w:pStyle w:val="715"/>
        <w:spacing w:beforeAutospacing="0" w:afterAutospacing="0"/>
        <w:rPr>
          <w:color w:val="auto"/>
          <w:highlight w:val="none"/>
        </w:rPr>
      </w:pPr>
      <w:r>
        <w:rPr>
          <w:color w:val="auto"/>
          <w:highlight w:val="none"/>
        </w:rPr>
      </w:r>
      <w:r/>
    </w:p>
    <w:p>
      <w:pPr>
        <w:pStyle w:val="715"/>
        <w:spacing w:beforeAutospacing="0" w:afterAutospacing="0"/>
        <w:rPr>
          <w:color w:val="auto"/>
          <w:highlight w:val="none"/>
        </w:rPr>
      </w:pPr>
      <w:r>
        <w:rPr>
          <w:color w:val="auto"/>
          <w:highlight w:val="none"/>
        </w:rPr>
      </w:r>
      <w:r/>
    </w:p>
    <w:p>
      <w:pPr>
        <w:pStyle w:val="715"/>
        <w:spacing w:beforeAutospacing="0" w:afterAutospacing="0"/>
        <w:rPr>
          <w:color w:val="auto"/>
          <w:highlight w:val="none"/>
        </w:rPr>
      </w:pPr>
      <w:r>
        <w:rPr>
          <w:color w:val="auto"/>
          <w:highlight w:val="none"/>
        </w:rPr>
      </w:r>
      <w:r/>
    </w:p>
    <w:p>
      <w:pPr>
        <w:pStyle w:val="715"/>
        <w:spacing w:beforeAutospacing="0" w:afterAutospacing="0"/>
        <w:rPr>
          <w:color w:val="auto"/>
          <w:highlight w:val="none"/>
        </w:rPr>
      </w:pPr>
      <w:r>
        <w:rPr>
          <w:color w:val="auto"/>
          <w:highlight w:val="none"/>
        </w:rPr>
      </w:r>
      <w:r/>
    </w:p>
    <w:p>
      <w:pPr>
        <w:pStyle w:val="715"/>
        <w:spacing w:beforeAutospacing="0" w:afterAutospacing="0"/>
        <w:rPr>
          <w:color w:val="auto"/>
          <w:highlight w:val="none"/>
        </w:rPr>
      </w:pPr>
      <w:r>
        <w:rPr>
          <w:color w:val="auto"/>
          <w:highlight w:val="none"/>
        </w:rPr>
      </w:r>
      <w:r/>
    </w:p>
    <w:p>
      <w:pPr>
        <w:pStyle w:val="715"/>
        <w:spacing w:beforeAutospacing="0" w:afterAutospacing="0"/>
        <w:rPr>
          <w:color w:val="auto"/>
          <w:highlight w:val="none"/>
        </w:rPr>
      </w:pPr>
      <w:r>
        <w:rPr>
          <w:color w:val="auto"/>
          <w:highlight w:val="none"/>
        </w:rPr>
      </w:r>
      <w:r/>
    </w:p>
    <w:p>
      <w:pPr>
        <w:pStyle w:val="715"/>
        <w:spacing w:beforeAutospacing="0" w:afterAutospacing="0"/>
        <w:rPr>
          <w:color w:val="auto"/>
          <w:highlight w:val="none"/>
        </w:rPr>
      </w:pPr>
      <w:r>
        <w:rPr>
          <w:color w:val="auto"/>
          <w:highlight w:val="none"/>
        </w:rPr>
      </w:r>
      <w:r/>
    </w:p>
    <w:p>
      <w:pPr>
        <w:pStyle w:val="715"/>
        <w:spacing w:beforeAutospacing="0" w:afterAutospacing="0"/>
        <w:rPr>
          <w:color w:val="auto"/>
          <w:highlight w:val="none"/>
        </w:rPr>
      </w:pPr>
      <w:r>
        <w:rPr>
          <w:color w:val="auto"/>
          <w:highlight w:val="none"/>
        </w:rPr>
      </w:r>
      <w:r/>
    </w:p>
    <w:p>
      <w:pPr>
        <w:pStyle w:val="715"/>
        <w:spacing w:beforeAutospacing="0" w:afterAutospacing="0"/>
        <w:rPr>
          <w:color w:val="auto"/>
          <w:highlight w:val="none"/>
        </w:rPr>
      </w:pPr>
      <w:r>
        <w:rPr>
          <w:color w:val="auto"/>
          <w:highlight w:val="none"/>
        </w:rPr>
      </w:r>
      <w:r/>
    </w:p>
    <w:p>
      <w:pPr>
        <w:pStyle w:val="715"/>
        <w:spacing w:beforeAutospacing="0" w:afterAutospacing="0"/>
        <w:rPr>
          <w:color w:val="auto"/>
          <w:highlight w:val="none"/>
        </w:rPr>
      </w:pPr>
      <w:r>
        <w:rPr>
          <w:color w:val="auto"/>
          <w:highlight w:val="none"/>
        </w:rPr>
      </w:r>
      <w:r/>
    </w:p>
    <w:p>
      <w:pPr>
        <w:pStyle w:val="715"/>
        <w:spacing w:beforeAutospacing="0" w:afterAutospacing="0"/>
        <w:rPr>
          <w:color w:val="auto"/>
          <w:highlight w:val="none"/>
        </w:rPr>
      </w:pPr>
      <w:r>
        <w:rPr>
          <w:color w:val="auto"/>
          <w:highlight w:val="none"/>
        </w:rPr>
      </w:r>
      <w:r/>
    </w:p>
    <w:p>
      <w:pPr>
        <w:pStyle w:val="715"/>
        <w:spacing w:beforeAutospacing="0" w:afterAutospacing="0"/>
        <w:rPr>
          <w:color w:val="auto"/>
          <w:highlight w:val="none"/>
        </w:rPr>
      </w:pPr>
      <w:r>
        <w:rPr>
          <w:color w:val="auto"/>
          <w:highlight w:val="none"/>
        </w:rPr>
      </w:r>
      <w:r/>
    </w:p>
    <w:p>
      <w:pPr>
        <w:pStyle w:val="715"/>
        <w:spacing w:beforeAutospacing="0" w:afterAutospacing="0"/>
        <w:rPr>
          <w:color w:val="auto"/>
          <w:highlight w:val="none"/>
        </w:rPr>
      </w:pPr>
      <w:r>
        <w:rPr>
          <w:color w:val="auto"/>
          <w:highlight w:val="none"/>
        </w:rPr>
      </w:r>
      <w:r/>
    </w:p>
    <w:p>
      <w:pPr>
        <w:pStyle w:val="715"/>
        <w:spacing w:beforeAutospacing="0" w:afterAutospacing="0"/>
        <w:rPr>
          <w:color w:val="auto"/>
          <w:highlight w:val="none"/>
        </w:rPr>
      </w:pPr>
      <w:r>
        <w:rPr>
          <w:color w:val="auto"/>
          <w:highlight w:val="none"/>
        </w:rPr>
      </w:r>
      <w:r/>
    </w:p>
    <w:p>
      <w:pPr>
        <w:pStyle w:val="715"/>
        <w:spacing w:beforeAutospacing="0" w:afterAutospacing="0"/>
        <w:rPr>
          <w:color w:val="auto"/>
          <w:highlight w:val="none"/>
        </w:rPr>
      </w:pPr>
      <w:r>
        <w:rPr>
          <w:color w:val="auto"/>
          <w:highlight w:val="none"/>
        </w:rPr>
      </w:r>
      <w:r/>
    </w:p>
    <w:p>
      <w:pPr>
        <w:pStyle w:val="715"/>
        <w:spacing w:beforeAutospacing="0" w:afterAutospacing="0"/>
        <w:rPr>
          <w:color w:val="auto"/>
          <w:highlight w:val="none"/>
        </w:rPr>
      </w:pPr>
      <w:r>
        <w:rPr>
          <w:color w:val="auto"/>
          <w:highlight w:val="none"/>
        </w:rPr>
      </w:r>
      <w:r/>
    </w:p>
    <w:p>
      <w:pPr>
        <w:pStyle w:val="715"/>
        <w:spacing w:beforeAutospacing="0" w:afterAutospacing="0"/>
        <w:rPr>
          <w:color w:val="auto"/>
          <w:highlight w:val="none"/>
        </w:rPr>
      </w:pPr>
      <w:r>
        <w:rPr>
          <w:color w:val="auto"/>
          <w:highlight w:val="none"/>
        </w:rPr>
      </w:r>
      <w:r/>
    </w:p>
    <w:p>
      <w:pPr>
        <w:pStyle w:val="715"/>
        <w:spacing w:beforeAutospacing="0" w:afterAutospacing="0"/>
        <w:rPr>
          <w:color w:val="auto"/>
          <w:highlight w:val="none"/>
        </w:rPr>
      </w:pPr>
      <w:r>
        <w:rPr>
          <w:color w:val="auto"/>
          <w:highlight w:val="none"/>
        </w:rPr>
      </w:r>
      <w:r/>
    </w:p>
    <w:p>
      <w:pPr>
        <w:pStyle w:val="715"/>
        <w:spacing w:beforeAutospacing="0" w:afterAutospacing="0"/>
        <w:rPr>
          <w:color w:val="auto"/>
          <w:highlight w:val="none"/>
        </w:rPr>
      </w:pPr>
      <w:r>
        <w:rPr>
          <w:color w:val="auto"/>
          <w:highlight w:val="none"/>
        </w:rPr>
      </w:r>
      <w:r/>
    </w:p>
    <w:p>
      <w:pPr>
        <w:pStyle w:val="715"/>
        <w:spacing w:beforeAutospacing="0" w:afterAutospacing="0"/>
        <w:rPr>
          <w:color w:val="auto"/>
          <w:highlight w:val="none"/>
        </w:rPr>
      </w:pPr>
      <w:r>
        <w:rPr>
          <w:color w:val="auto"/>
          <w:highlight w:val="none"/>
        </w:rPr>
      </w:r>
      <w:r/>
    </w:p>
    <w:p>
      <w:pPr>
        <w:pStyle w:val="715"/>
        <w:spacing w:beforeAutospacing="0" w:afterAutospacing="0"/>
        <w:rPr>
          <w:color w:val="auto"/>
          <w:highlight w:val="none"/>
        </w:rPr>
      </w:pPr>
      <w:r>
        <w:rPr>
          <w:color w:val="auto"/>
          <w:highlight w:val="none"/>
        </w:rPr>
      </w:r>
      <w:r/>
    </w:p>
    <w:p>
      <w:pPr>
        <w:pStyle w:val="715"/>
        <w:spacing w:beforeAutospacing="0" w:afterAutospacing="0"/>
        <w:rPr>
          <w:color w:val="auto"/>
          <w:highlight w:val="none"/>
        </w:rPr>
      </w:pPr>
      <w:r>
        <w:rPr>
          <w:color w:val="auto"/>
          <w:highlight w:val="none"/>
        </w:rPr>
      </w:r>
      <w:r/>
    </w:p>
    <w:p>
      <w:pPr>
        <w:pStyle w:val="715"/>
        <w:spacing w:beforeAutospacing="0" w:afterAutospacing="0"/>
        <w:rPr>
          <w:color w:val="auto"/>
          <w:highlight w:val="none"/>
        </w:rPr>
      </w:pPr>
      <w:r>
        <w:rPr>
          <w:color w:val="auto"/>
          <w:highlight w:val="none"/>
        </w:rPr>
      </w:r>
      <w:r/>
    </w:p>
    <w:p>
      <w:pPr>
        <w:pStyle w:val="715"/>
        <w:spacing w:beforeAutospacing="0" w:afterAutospacing="0"/>
        <w:rPr>
          <w:color w:val="auto"/>
          <w:highlight w:val="none"/>
        </w:rPr>
      </w:pPr>
      <w:r>
        <w:rPr>
          <w:color w:val="auto"/>
          <w:highlight w:val="none"/>
        </w:rPr>
      </w:r>
      <w:r/>
    </w:p>
    <w:p>
      <w:pPr>
        <w:pStyle w:val="715"/>
        <w:spacing w:beforeAutospacing="0" w:afterAutospacing="0"/>
        <w:rPr>
          <w:color w:val="auto"/>
          <w:highlight w:val="none"/>
        </w:rPr>
      </w:pPr>
      <w:r>
        <w:rPr>
          <w:color w:val="auto"/>
          <w:highlight w:val="none"/>
        </w:rPr>
      </w:r>
      <w:r/>
    </w:p>
    <w:p>
      <w:pPr>
        <w:pStyle w:val="715"/>
        <w:spacing w:beforeAutospacing="0" w:afterAutospacing="0"/>
        <w:rPr>
          <w:color w:val="auto"/>
          <w:highlight w:val="none"/>
        </w:rPr>
      </w:pPr>
      <w:r>
        <w:rPr>
          <w:color w:val="auto"/>
          <w:highlight w:val="none"/>
        </w:rPr>
      </w:r>
      <w:r/>
    </w:p>
    <w:p>
      <w:pPr>
        <w:pStyle w:val="715"/>
        <w:spacing w:beforeAutospacing="0" w:afterAutospacing="0"/>
        <w:rPr>
          <w:color w:val="auto"/>
          <w:highlight w:val="none"/>
        </w:rPr>
      </w:pPr>
      <w:r>
        <w:rPr>
          <w:color w:val="auto"/>
          <w:highlight w:val="none"/>
        </w:rPr>
      </w:r>
      <w:r/>
    </w:p>
    <w:p>
      <w:pPr>
        <w:pStyle w:val="715"/>
        <w:spacing w:beforeAutospacing="0" w:afterAutospacing="0"/>
        <w:rPr>
          <w:color w:val="auto"/>
          <w:highlight w:val="none"/>
        </w:rPr>
      </w:pPr>
      <w:r>
        <w:rPr>
          <w:color w:val="auto"/>
          <w:highlight w:val="none"/>
        </w:rPr>
      </w:r>
      <w:r/>
    </w:p>
    <w:p>
      <w:pPr>
        <w:pStyle w:val="715"/>
        <w:spacing w:beforeAutospacing="0" w:afterAutospacing="0"/>
        <w:rPr>
          <w:color w:val="auto"/>
          <w:highlight w:val="none"/>
        </w:rPr>
      </w:pPr>
      <w:r>
        <w:rPr>
          <w:color w:val="auto"/>
          <w:highlight w:val="none"/>
        </w:rPr>
      </w:r>
      <w:r/>
    </w:p>
    <w:p>
      <w:pPr>
        <w:pStyle w:val="715"/>
        <w:spacing w:beforeAutospacing="0" w:afterAutospacing="0"/>
        <w:rPr>
          <w:color w:val="auto"/>
          <w:highlight w:val="none"/>
        </w:rPr>
      </w:pPr>
      <w:r>
        <w:rPr>
          <w:color w:val="auto"/>
          <w:highlight w:val="none"/>
        </w:rPr>
      </w:r>
      <w:r/>
    </w:p>
    <w:p>
      <w:pPr>
        <w:pStyle w:val="715"/>
        <w:spacing w:beforeAutospacing="0" w:afterAutospacing="0"/>
        <w:rPr>
          <w:color w:val="auto"/>
          <w:highlight w:val="none"/>
        </w:rPr>
      </w:pPr>
      <w:r>
        <w:rPr>
          <w:color w:val="auto"/>
          <w:highlight w:val="none"/>
        </w:rPr>
      </w:r>
      <w:r/>
    </w:p>
    <w:p>
      <w:pPr>
        <w:pStyle w:val="715"/>
        <w:spacing w:beforeAutospacing="0" w:afterAutospacing="0"/>
        <w:rPr>
          <w:color w:val="auto"/>
          <w:highlight w:val="none"/>
        </w:rPr>
      </w:pPr>
      <w:r>
        <w:rPr>
          <w:color w:val="auto"/>
          <w:highlight w:val="none"/>
        </w:rPr>
      </w:r>
      <w:r/>
    </w:p>
    <w:p>
      <w:pPr>
        <w:pStyle w:val="715"/>
        <w:spacing w:beforeAutospacing="0" w:afterAutospacing="0"/>
        <w:rPr>
          <w:color w:val="auto"/>
          <w:highlight w:val="none"/>
        </w:rPr>
      </w:pPr>
      <w:r>
        <w:rPr>
          <w:color w:val="auto"/>
          <w:highlight w:val="none"/>
        </w:rPr>
      </w:r>
      <w:r/>
    </w:p>
    <w:p>
      <w:pPr>
        <w:jc w:val="right"/>
        <w:spacing w:line="460" w:lineRule="exact"/>
        <w:rPr>
          <w:rFonts w:ascii="仿宋_GB2312" w:eastAsia="仿宋_GB2312"/>
          <w:color w:val="auto"/>
          <w:sz w:val="24"/>
          <w:highlight w:val="none"/>
        </w:rPr>
      </w:pPr>
      <w:r>
        <w:rPr>
          <w:rFonts w:ascii="仿宋_GB2312" w:eastAsia="仿宋_GB2312"/>
          <w:color w:val="auto"/>
          <w:sz w:val="24"/>
          <w:highlight w:val="none"/>
        </w:rPr>
      </w:r>
      <w:r/>
    </w:p>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黑体">
    <w:panose1 w:val="02010609060101010101"/>
  </w:font>
  <w:font w:name="仿宋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693"/>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default="1">
    <w:name w:val="Normal"/>
    <w:next w:val="693"/>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82">
    <w:name w:val="Heading 1"/>
    <w:basedOn w:val="681"/>
    <w:next w:val="681"/>
    <w:link w:val="758"/>
    <w:uiPriority w:val="9"/>
    <w:qFormat/>
    <w:pPr>
      <w:keepLines/>
      <w:keepNext/>
      <w:spacing w:before="480" w:after="200"/>
      <w:outlineLvl w:val="0"/>
    </w:pPr>
    <w:rPr>
      <w:rFonts w:ascii="Arial" w:hAnsi="Arial" w:eastAsia="Arial" w:cs="Arial"/>
      <w:sz w:val="40"/>
      <w:szCs w:val="40"/>
    </w:rPr>
  </w:style>
  <w:style w:type="paragraph" w:styleId="683">
    <w:name w:val="Heading 2"/>
    <w:basedOn w:val="681"/>
    <w:next w:val="681"/>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84">
    <w:name w:val="Heading 3"/>
    <w:basedOn w:val="681"/>
    <w:next w:val="681"/>
    <w:link w:val="760"/>
    <w:uiPriority w:val="9"/>
    <w:unhideWhenUsed/>
    <w:qFormat/>
    <w:pPr>
      <w:keepLines/>
      <w:keepNext/>
      <w:spacing w:before="320" w:after="200"/>
      <w:outlineLvl w:val="2"/>
    </w:pPr>
    <w:rPr>
      <w:rFonts w:ascii="Arial" w:hAnsi="Arial" w:eastAsia="Arial" w:cs="Arial"/>
      <w:sz w:val="30"/>
      <w:szCs w:val="30"/>
    </w:rPr>
  </w:style>
  <w:style w:type="paragraph" w:styleId="685">
    <w:name w:val="Heading 4"/>
    <w:basedOn w:val="681"/>
    <w:next w:val="681"/>
    <w:link w:val="761"/>
    <w:uiPriority w:val="9"/>
    <w:unhideWhenUsed/>
    <w:qFormat/>
    <w:pPr>
      <w:keepLines/>
      <w:keepNext/>
      <w:spacing w:before="320" w:after="200"/>
      <w:outlineLvl w:val="3"/>
    </w:pPr>
    <w:rPr>
      <w:rFonts w:ascii="Arial" w:hAnsi="Arial" w:eastAsia="Arial" w:cs="Arial"/>
      <w:b/>
      <w:bCs/>
      <w:sz w:val="26"/>
      <w:szCs w:val="26"/>
    </w:rPr>
  </w:style>
  <w:style w:type="paragraph" w:styleId="686">
    <w:name w:val="Heading 5"/>
    <w:basedOn w:val="681"/>
    <w:next w:val="681"/>
    <w:link w:val="762"/>
    <w:uiPriority w:val="9"/>
    <w:unhideWhenUsed/>
    <w:qFormat/>
    <w:pPr>
      <w:keepLines/>
      <w:keepNext/>
      <w:spacing w:before="320" w:after="200"/>
      <w:outlineLvl w:val="4"/>
    </w:pPr>
    <w:rPr>
      <w:rFonts w:ascii="Arial" w:hAnsi="Arial" w:eastAsia="Arial" w:cs="Arial"/>
      <w:b/>
      <w:bCs/>
      <w:sz w:val="24"/>
    </w:rPr>
  </w:style>
  <w:style w:type="paragraph" w:styleId="687">
    <w:name w:val="Heading 6"/>
    <w:basedOn w:val="681"/>
    <w:next w:val="681"/>
    <w:link w:val="763"/>
    <w:uiPriority w:val="9"/>
    <w:unhideWhenUsed/>
    <w:qFormat/>
    <w:pPr>
      <w:keepLines/>
      <w:keepNext/>
      <w:spacing w:before="320" w:after="200"/>
      <w:outlineLvl w:val="5"/>
    </w:pPr>
    <w:rPr>
      <w:rFonts w:ascii="Arial" w:hAnsi="Arial" w:eastAsia="Arial" w:cs="Arial"/>
      <w:b/>
      <w:bCs/>
      <w:sz w:val="22"/>
      <w:szCs w:val="22"/>
    </w:rPr>
  </w:style>
  <w:style w:type="paragraph" w:styleId="688">
    <w:name w:val="Heading 7"/>
    <w:basedOn w:val="681"/>
    <w:next w:val="681"/>
    <w:link w:val="764"/>
    <w:uiPriority w:val="9"/>
    <w:unhideWhenUsed/>
    <w:qFormat/>
    <w:pPr>
      <w:keepLines/>
      <w:keepNext/>
      <w:spacing w:before="320" w:after="200"/>
      <w:outlineLvl w:val="6"/>
    </w:pPr>
    <w:rPr>
      <w:rFonts w:ascii="Arial" w:hAnsi="Arial" w:eastAsia="Arial" w:cs="Arial"/>
      <w:b/>
      <w:bCs/>
      <w:i/>
      <w:iCs/>
      <w:sz w:val="22"/>
      <w:szCs w:val="22"/>
    </w:rPr>
  </w:style>
  <w:style w:type="paragraph" w:styleId="689">
    <w:name w:val="Heading 8"/>
    <w:basedOn w:val="681"/>
    <w:next w:val="681"/>
    <w:link w:val="765"/>
    <w:uiPriority w:val="9"/>
    <w:unhideWhenUsed/>
    <w:qFormat/>
    <w:pPr>
      <w:keepLines/>
      <w:keepNext/>
      <w:spacing w:before="320" w:after="200"/>
      <w:outlineLvl w:val="7"/>
    </w:pPr>
    <w:rPr>
      <w:rFonts w:ascii="Arial" w:hAnsi="Arial" w:eastAsia="Arial" w:cs="Arial"/>
      <w:i/>
      <w:iCs/>
      <w:sz w:val="22"/>
      <w:szCs w:val="22"/>
    </w:rPr>
  </w:style>
  <w:style w:type="paragraph" w:styleId="690">
    <w:name w:val="Heading 9"/>
    <w:basedOn w:val="681"/>
    <w:next w:val="681"/>
    <w:link w:val="766"/>
    <w:uiPriority w:val="9"/>
    <w:unhideWhenUsed/>
    <w:qFormat/>
    <w:pPr>
      <w:keepLines/>
      <w:keepNext/>
      <w:spacing w:before="320" w:after="200"/>
      <w:outlineLvl w:val="8"/>
    </w:pPr>
    <w:rPr>
      <w:rFonts w:ascii="Arial" w:hAnsi="Arial" w:eastAsia="Arial" w:cs="Arial"/>
      <w:i/>
      <w:iCs/>
      <w:szCs w:val="21"/>
    </w:rPr>
  </w:style>
  <w:style w:type="character" w:styleId="691" w:default="1">
    <w:name w:val="Default Paragraph Font"/>
    <w:uiPriority w:val="1"/>
    <w:semiHidden/>
    <w:unhideWhenUsed/>
    <w:qFormat/>
  </w:style>
  <w:style w:type="table" w:styleId="692" w:default="1">
    <w:name w:val="Normal Table"/>
    <w:uiPriority w:val="99"/>
    <w:semiHidden/>
    <w:unhideWhenUsed/>
    <w:qFormat/>
    <w:tblPr>
      <w:tblCellMar>
        <w:left w:w="108" w:type="dxa"/>
        <w:top w:w="0" w:type="dxa"/>
        <w:right w:w="108" w:type="dxa"/>
        <w:bottom w:w="0" w:type="dxa"/>
      </w:tblCellMar>
    </w:tblPr>
  </w:style>
  <w:style w:type="paragraph" w:styleId="693" w:customStyle="1">
    <w:name w:val="ListBullet21"/>
    <w:basedOn w:val="681"/>
    <w:uiPriority w:val="0"/>
    <w:qFormat/>
    <w:pPr>
      <w:numPr>
        <w:ilvl w:val="0"/>
        <w:numId w:val="1"/>
      </w:numPr>
    </w:pPr>
  </w:style>
  <w:style w:type="paragraph" w:styleId="694">
    <w:name w:val="toc 7"/>
    <w:basedOn w:val="681"/>
    <w:next w:val="681"/>
    <w:uiPriority w:val="39"/>
    <w:unhideWhenUsed/>
    <w:qFormat/>
    <w:pPr>
      <w:ind w:left="1701"/>
      <w:spacing w:after="57"/>
    </w:pPr>
  </w:style>
  <w:style w:type="paragraph" w:styleId="695">
    <w:name w:val="Caption"/>
    <w:basedOn w:val="681"/>
    <w:next w:val="68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6">
    <w:name w:val="Body Text"/>
    <w:basedOn w:val="681"/>
    <w:uiPriority w:val="0"/>
    <w:unhideWhenUsed/>
    <w:qFormat/>
    <w:pPr>
      <w:spacing w:after="120"/>
    </w:pPr>
    <w:rPr>
      <w:rFonts w:ascii="Calibri" w:hAnsi="Calibri"/>
      <w:szCs w:val="22"/>
    </w:rPr>
  </w:style>
  <w:style w:type="paragraph" w:styleId="697">
    <w:name w:val="Body Text Indent"/>
    <w:basedOn w:val="681"/>
    <w:uiPriority w:val="0"/>
    <w:qFormat/>
    <w:pPr>
      <w:ind w:left="420"/>
      <w:spacing w:after="120"/>
    </w:pPr>
  </w:style>
  <w:style w:type="paragraph" w:styleId="698">
    <w:name w:val="Block Text"/>
    <w:basedOn w:val="681"/>
    <w:uiPriority w:val="0"/>
    <w:unhideWhenUsed/>
    <w:qFormat/>
    <w:pPr>
      <w:ind w:firstLine="420"/>
      <w:spacing w:after="120"/>
    </w:pPr>
    <w:rPr>
      <w:rFonts w:ascii="Times New Roman" w:hAnsi="Times New Roman"/>
    </w:rPr>
  </w:style>
  <w:style w:type="paragraph" w:styleId="699">
    <w:name w:val="toc 5"/>
    <w:basedOn w:val="681"/>
    <w:next w:val="681"/>
    <w:uiPriority w:val="39"/>
    <w:unhideWhenUsed/>
    <w:qFormat/>
    <w:pPr>
      <w:ind w:left="1134"/>
      <w:spacing w:after="57"/>
    </w:pPr>
  </w:style>
  <w:style w:type="paragraph" w:styleId="700">
    <w:name w:val="toc 3"/>
    <w:basedOn w:val="681"/>
    <w:next w:val="681"/>
    <w:uiPriority w:val="39"/>
    <w:unhideWhenUsed/>
    <w:qFormat/>
    <w:pPr>
      <w:ind w:left="567"/>
      <w:spacing w:after="57"/>
    </w:pPr>
  </w:style>
  <w:style w:type="paragraph" w:styleId="701">
    <w:name w:val="Plain Text"/>
    <w:basedOn w:val="681"/>
    <w:uiPriority w:val="0"/>
    <w:qFormat/>
    <w:rPr>
      <w:rFonts w:ascii="宋体" w:hAnsi="Courier New" w:cs="Courier New"/>
      <w:szCs w:val="21"/>
    </w:rPr>
  </w:style>
  <w:style w:type="paragraph" w:styleId="702">
    <w:name w:val="toc 8"/>
    <w:basedOn w:val="681"/>
    <w:next w:val="681"/>
    <w:uiPriority w:val="39"/>
    <w:unhideWhenUsed/>
    <w:qFormat/>
    <w:pPr>
      <w:ind w:left="1984"/>
      <w:spacing w:after="57"/>
    </w:pPr>
  </w:style>
  <w:style w:type="paragraph" w:styleId="703">
    <w:name w:val="Body Text Indent 2"/>
    <w:basedOn w:val="681"/>
    <w:next w:val="681"/>
    <w:uiPriority w:val="0"/>
    <w:qFormat/>
    <w:pPr>
      <w:ind w:firstLine="480"/>
    </w:pPr>
    <w:rPr>
      <w:rFonts w:ascii="仿宋_GB2312" w:eastAsia="仿宋_GB2312"/>
      <w:sz w:val="24"/>
    </w:rPr>
  </w:style>
  <w:style w:type="paragraph" w:styleId="704">
    <w:name w:val="endnote text"/>
    <w:basedOn w:val="681"/>
    <w:link w:val="904"/>
    <w:uiPriority w:val="99"/>
    <w:semiHidden/>
    <w:unhideWhenUsed/>
    <w:qFormat/>
    <w:rPr>
      <w:sz w:val="20"/>
    </w:rPr>
  </w:style>
  <w:style w:type="paragraph" w:styleId="705">
    <w:name w:val="Footer"/>
    <w:basedOn w:val="681"/>
    <w:link w:val="907"/>
    <w:uiPriority w:val="0"/>
    <w:qFormat/>
    <w:pPr>
      <w:jc w:val="left"/>
      <w:tabs>
        <w:tab w:val="center" w:pos="4153" w:leader="none"/>
        <w:tab w:val="right" w:pos="8306" w:leader="none"/>
      </w:tabs>
    </w:pPr>
    <w:rPr>
      <w:sz w:val="18"/>
      <w:szCs w:val="18"/>
    </w:rPr>
  </w:style>
  <w:style w:type="paragraph" w:styleId="706">
    <w:name w:val="Header"/>
    <w:basedOn w:val="681"/>
    <w:link w:val="906"/>
    <w:uiPriority w:val="0"/>
    <w:qFormat/>
    <w:pPr>
      <w:jc w:val="center"/>
      <w:tabs>
        <w:tab w:val="center" w:pos="4153" w:leader="none"/>
        <w:tab w:val="right" w:pos="8306" w:leader="none"/>
      </w:tabs>
      <w:pBdr>
        <w:bottom w:val="single" w:color="auto" w:sz="6" w:space="1"/>
      </w:pBdr>
    </w:pPr>
    <w:rPr>
      <w:sz w:val="18"/>
      <w:szCs w:val="18"/>
    </w:rPr>
  </w:style>
  <w:style w:type="paragraph" w:styleId="707">
    <w:name w:val="toc 1"/>
    <w:basedOn w:val="681"/>
    <w:next w:val="681"/>
    <w:uiPriority w:val="39"/>
    <w:unhideWhenUsed/>
    <w:qFormat/>
    <w:pPr>
      <w:spacing w:after="57"/>
    </w:pPr>
  </w:style>
  <w:style w:type="paragraph" w:styleId="708">
    <w:name w:val="toc 4"/>
    <w:basedOn w:val="681"/>
    <w:next w:val="681"/>
    <w:uiPriority w:val="39"/>
    <w:unhideWhenUsed/>
    <w:qFormat/>
    <w:pPr>
      <w:ind w:left="850"/>
      <w:spacing w:after="57"/>
    </w:pPr>
  </w:style>
  <w:style w:type="paragraph" w:styleId="709">
    <w:name w:val="Subtitle"/>
    <w:basedOn w:val="681"/>
    <w:next w:val="681"/>
    <w:link w:val="770"/>
    <w:uiPriority w:val="11"/>
    <w:qFormat/>
    <w:pPr>
      <w:spacing w:before="200" w:after="200"/>
    </w:pPr>
    <w:rPr>
      <w:sz w:val="24"/>
    </w:rPr>
  </w:style>
  <w:style w:type="paragraph" w:styleId="710">
    <w:name w:val="footnote text"/>
    <w:basedOn w:val="681"/>
    <w:link w:val="903"/>
    <w:uiPriority w:val="99"/>
    <w:semiHidden/>
    <w:unhideWhenUsed/>
    <w:qFormat/>
    <w:pPr>
      <w:spacing w:after="40"/>
    </w:pPr>
    <w:rPr>
      <w:sz w:val="18"/>
    </w:rPr>
  </w:style>
  <w:style w:type="paragraph" w:styleId="711">
    <w:name w:val="toc 6"/>
    <w:basedOn w:val="681"/>
    <w:next w:val="681"/>
    <w:uiPriority w:val="39"/>
    <w:unhideWhenUsed/>
    <w:qFormat/>
    <w:pPr>
      <w:ind w:left="1417"/>
      <w:spacing w:after="57"/>
    </w:pPr>
  </w:style>
  <w:style w:type="paragraph" w:styleId="712">
    <w:name w:val="table of figures"/>
    <w:basedOn w:val="681"/>
    <w:next w:val="681"/>
    <w:uiPriority w:val="99"/>
    <w:unhideWhenUsed/>
    <w:qFormat/>
  </w:style>
  <w:style w:type="paragraph" w:styleId="713">
    <w:name w:val="toc 2"/>
    <w:basedOn w:val="681"/>
    <w:next w:val="681"/>
    <w:uiPriority w:val="39"/>
    <w:unhideWhenUsed/>
    <w:qFormat/>
    <w:pPr>
      <w:ind w:left="283"/>
      <w:spacing w:after="57"/>
    </w:pPr>
  </w:style>
  <w:style w:type="paragraph" w:styleId="714">
    <w:name w:val="toc 9"/>
    <w:basedOn w:val="681"/>
    <w:next w:val="681"/>
    <w:uiPriority w:val="39"/>
    <w:unhideWhenUsed/>
    <w:qFormat/>
    <w:pPr>
      <w:ind w:left="2268"/>
      <w:spacing w:after="57"/>
    </w:pPr>
  </w:style>
  <w:style w:type="paragraph" w:styleId="715">
    <w:name w:val="Normal (Web)"/>
    <w:basedOn w:val="681"/>
    <w:uiPriority w:val="0"/>
    <w:qFormat/>
    <w:pPr>
      <w:jc w:val="left"/>
      <w:spacing w:beforeAutospacing="1" w:afterAutospacing="1"/>
    </w:pPr>
    <w:rPr>
      <w:rFonts w:cs="Times New Roman"/>
      <w:sz w:val="24"/>
    </w:rPr>
  </w:style>
  <w:style w:type="paragraph" w:styleId="716">
    <w:name w:val="Title"/>
    <w:basedOn w:val="681"/>
    <w:next w:val="681"/>
    <w:link w:val="769"/>
    <w:uiPriority w:val="10"/>
    <w:qFormat/>
    <w:pPr>
      <w:contextualSpacing/>
      <w:spacing w:before="300" w:after="200"/>
    </w:pPr>
    <w:rPr>
      <w:sz w:val="48"/>
      <w:szCs w:val="48"/>
    </w:rPr>
  </w:style>
  <w:style w:type="paragraph" w:styleId="717">
    <w:name w:val="Body Text First Indent 2"/>
    <w:basedOn w:val="697"/>
    <w:uiPriority w:val="99"/>
    <w:semiHidden/>
    <w:unhideWhenUsed/>
    <w:qFormat/>
    <w:pPr>
      <w:ind w:firstLine="420"/>
    </w:pPr>
  </w:style>
  <w:style w:type="table" w:styleId="718">
    <w:name w:val="Table Grid"/>
    <w:basedOn w:val="69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9">
    <w:name w:val="endnote reference"/>
    <w:basedOn w:val="691"/>
    <w:uiPriority w:val="99"/>
    <w:semiHidden/>
    <w:unhideWhenUsed/>
    <w:qFormat/>
    <w:rPr>
      <w:vertAlign w:val="superscript"/>
    </w:rPr>
  </w:style>
  <w:style w:type="character" w:styleId="720">
    <w:name w:val="Hyperlink"/>
    <w:uiPriority w:val="99"/>
    <w:unhideWhenUsed/>
    <w:qFormat/>
    <w:rPr>
      <w:color w:val="0563c1" w:themeColor="hyperlink"/>
      <w:u w:val="single"/>
      <w14:textFill>
        <w14:solidFill>
          <w14:schemeClr w14:val="hlink"/>
        </w14:solidFill>
      </w14:textFill>
    </w:rPr>
  </w:style>
  <w:style w:type="character" w:styleId="721">
    <w:name w:val="footnote reference"/>
    <w:basedOn w:val="691"/>
    <w:uiPriority w:val="99"/>
    <w:unhideWhenUsed/>
    <w:qFormat/>
    <w:rPr>
      <w:vertAlign w:val="superscript"/>
    </w:rPr>
  </w:style>
  <w:style w:type="paragraph" w:styleId="722"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character" w:styleId="723" w:customStyle="1">
    <w:name w:val="Heading 1 Char"/>
    <w:basedOn w:val="691"/>
    <w:uiPriority w:val="9"/>
    <w:qFormat/>
    <w:rPr>
      <w:rFonts w:ascii="Arial" w:hAnsi="Arial" w:eastAsia="Arial" w:cs="Arial"/>
      <w:sz w:val="40"/>
      <w:szCs w:val="40"/>
    </w:rPr>
  </w:style>
  <w:style w:type="character" w:styleId="724" w:customStyle="1">
    <w:name w:val="Heading 3 Char"/>
    <w:basedOn w:val="691"/>
    <w:uiPriority w:val="9"/>
    <w:qFormat/>
    <w:rPr>
      <w:rFonts w:ascii="Arial" w:hAnsi="Arial" w:eastAsia="Arial" w:cs="Arial"/>
      <w:sz w:val="30"/>
      <w:szCs w:val="30"/>
    </w:rPr>
  </w:style>
  <w:style w:type="character" w:styleId="725" w:customStyle="1">
    <w:name w:val="Heading 4 Char"/>
    <w:basedOn w:val="691"/>
    <w:uiPriority w:val="9"/>
    <w:qFormat/>
    <w:rPr>
      <w:rFonts w:ascii="Arial" w:hAnsi="Arial" w:eastAsia="Arial" w:cs="Arial"/>
      <w:b/>
      <w:bCs/>
      <w:sz w:val="26"/>
      <w:szCs w:val="26"/>
    </w:rPr>
  </w:style>
  <w:style w:type="character" w:styleId="726" w:customStyle="1">
    <w:name w:val="Heading 5 Char"/>
    <w:basedOn w:val="691"/>
    <w:uiPriority w:val="9"/>
    <w:qFormat/>
    <w:rPr>
      <w:rFonts w:ascii="Arial" w:hAnsi="Arial" w:eastAsia="Arial" w:cs="Arial"/>
      <w:b/>
      <w:bCs/>
      <w:sz w:val="24"/>
      <w:szCs w:val="24"/>
    </w:rPr>
  </w:style>
  <w:style w:type="character" w:styleId="727" w:customStyle="1">
    <w:name w:val="Heading 6 Char"/>
    <w:basedOn w:val="691"/>
    <w:uiPriority w:val="9"/>
    <w:qFormat/>
    <w:rPr>
      <w:rFonts w:ascii="Arial" w:hAnsi="Arial" w:eastAsia="Arial" w:cs="Arial"/>
      <w:b/>
      <w:bCs/>
      <w:sz w:val="22"/>
      <w:szCs w:val="22"/>
    </w:rPr>
  </w:style>
  <w:style w:type="character" w:styleId="728" w:customStyle="1">
    <w:name w:val="Heading 7 Char"/>
    <w:basedOn w:val="691"/>
    <w:uiPriority w:val="9"/>
    <w:qFormat/>
    <w:rPr>
      <w:rFonts w:ascii="Arial" w:hAnsi="Arial" w:eastAsia="Arial" w:cs="Arial"/>
      <w:b/>
      <w:bCs/>
      <w:i/>
      <w:iCs/>
      <w:sz w:val="22"/>
      <w:szCs w:val="22"/>
    </w:rPr>
  </w:style>
  <w:style w:type="character" w:styleId="729" w:customStyle="1">
    <w:name w:val="Heading 8 Char"/>
    <w:basedOn w:val="691"/>
    <w:uiPriority w:val="9"/>
    <w:qFormat/>
    <w:rPr>
      <w:rFonts w:ascii="Arial" w:hAnsi="Arial" w:eastAsia="Arial" w:cs="Arial"/>
      <w:i/>
      <w:iCs/>
      <w:sz w:val="22"/>
      <w:szCs w:val="22"/>
    </w:rPr>
  </w:style>
  <w:style w:type="character" w:styleId="730" w:customStyle="1">
    <w:name w:val="Heading 9 Char"/>
    <w:basedOn w:val="691"/>
    <w:uiPriority w:val="9"/>
    <w:qFormat/>
    <w:rPr>
      <w:rFonts w:ascii="Arial" w:hAnsi="Arial" w:eastAsia="Arial" w:cs="Arial"/>
      <w:i/>
      <w:iCs/>
      <w:sz w:val="21"/>
      <w:szCs w:val="21"/>
    </w:rPr>
  </w:style>
  <w:style w:type="character" w:styleId="731" w:customStyle="1">
    <w:name w:val="Title Char"/>
    <w:basedOn w:val="691"/>
    <w:uiPriority w:val="10"/>
    <w:qFormat/>
    <w:rPr>
      <w:sz w:val="48"/>
      <w:szCs w:val="48"/>
    </w:rPr>
  </w:style>
  <w:style w:type="character" w:styleId="732" w:customStyle="1">
    <w:name w:val="Subtitle Char"/>
    <w:basedOn w:val="691"/>
    <w:uiPriority w:val="11"/>
    <w:qFormat/>
    <w:rPr>
      <w:sz w:val="24"/>
      <w:szCs w:val="24"/>
    </w:rPr>
  </w:style>
  <w:style w:type="character" w:styleId="733" w:customStyle="1">
    <w:name w:val="Quote Char"/>
    <w:uiPriority w:val="29"/>
    <w:qFormat/>
    <w:rPr>
      <w:i/>
    </w:rPr>
  </w:style>
  <w:style w:type="character" w:styleId="734" w:customStyle="1">
    <w:name w:val="Intense Quote Char"/>
    <w:uiPriority w:val="30"/>
    <w:qFormat/>
    <w:rPr>
      <w:i/>
    </w:rPr>
  </w:style>
  <w:style w:type="table" w:styleId="735" w:customStyle="1">
    <w:name w:val="Plain Table 1"/>
    <w:basedOn w:val="6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2"/>
    <w:basedOn w:val="69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3"/>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customStyle="1">
    <w:name w:val="Plain Table 4"/>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customStyle="1">
    <w:name w:val="Plain Table 5"/>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0" w:customStyle="1">
    <w:name w:val="Grid Table 1 Light"/>
    <w:basedOn w:val="69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1" w:customStyle="1">
    <w:name w:val="Grid Table 2"/>
    <w:basedOn w:val="6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2" w:customStyle="1">
    <w:name w:val="Grid Table 3"/>
    <w:basedOn w:val="6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4"/>
    <w:basedOn w:val="69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customStyle="1">
    <w:name w:val="Grid Table 5 Dark"/>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5" w:customStyle="1">
    <w:name w:val="Grid Table 6 Colorful"/>
    <w:basedOn w:val="69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6" w:customStyle="1">
    <w:name w:val="Grid Table 7 Colorful"/>
    <w:basedOn w:val="69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7" w:customStyle="1">
    <w:name w:val="List Table 1 Light"/>
    <w:basedOn w:val="69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customStyle="1">
    <w:name w:val="List Table 2"/>
    <w:basedOn w:val="69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9" w:customStyle="1">
    <w:name w:val="List Table 3"/>
    <w:basedOn w:val="6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0" w:customStyle="1">
    <w:name w:val="List Table 4"/>
    <w:basedOn w:val="6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1" w:customStyle="1">
    <w:name w:val="List Table 5 Dark"/>
    <w:basedOn w:val="69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2" w:customStyle="1">
    <w:name w:val="List Table 6 Colorful"/>
    <w:basedOn w:val="69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3" w:customStyle="1">
    <w:name w:val="List Table 7 Colorful"/>
    <w:basedOn w:val="69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4" w:customStyle="1">
    <w:name w:val="Footnote Text Char"/>
    <w:uiPriority w:val="99"/>
    <w:qFormat/>
    <w:rPr>
      <w:sz w:val="18"/>
    </w:rPr>
  </w:style>
  <w:style w:type="character" w:styleId="755" w:customStyle="1">
    <w:name w:val="Endnote Text Char"/>
    <w:uiPriority w:val="99"/>
    <w:rPr>
      <w:sz w:val="20"/>
    </w:rPr>
  </w:style>
  <w:style w:type="paragraph" w:styleId="756" w:customStyle="1">
    <w:name w:val="TOC Heading"/>
    <w:uiPriority w:val="39"/>
    <w:unhideWhenUsed/>
    <w:qFormat/>
    <w:rPr>
      <w:rFonts w:hint="default" w:ascii="Times New Roman" w:hAnsi="Times New Roman" w:eastAsia="宋体" w:cs="Times New Roman"/>
    </w:rPr>
  </w:style>
  <w:style w:type="paragraph" w:styleId="757" w:customStyle="1">
    <w:name w:val="正文段落"/>
    <w:basedOn w:val="681"/>
    <w:uiPriority w:val="0"/>
    <w:qFormat/>
    <w:pPr>
      <w:ind w:firstLine="200"/>
    </w:pPr>
  </w:style>
  <w:style w:type="character" w:styleId="758" w:customStyle="1">
    <w:name w:val="标题 1 字符"/>
    <w:basedOn w:val="691"/>
    <w:link w:val="682"/>
    <w:uiPriority w:val="9"/>
    <w:qFormat/>
    <w:rPr>
      <w:rFonts w:ascii="Arial" w:hAnsi="Arial" w:eastAsia="Arial" w:cs="Arial"/>
      <w:sz w:val="40"/>
      <w:szCs w:val="40"/>
    </w:rPr>
  </w:style>
  <w:style w:type="character" w:styleId="759" w:customStyle="1">
    <w:name w:val="Heading 2 Char"/>
    <w:basedOn w:val="691"/>
    <w:uiPriority w:val="9"/>
    <w:qFormat/>
    <w:rPr>
      <w:rFonts w:ascii="Arial" w:hAnsi="Arial" w:eastAsia="Arial" w:cs="Arial"/>
      <w:sz w:val="34"/>
    </w:rPr>
  </w:style>
  <w:style w:type="character" w:styleId="760" w:customStyle="1">
    <w:name w:val="标题 3 字符"/>
    <w:basedOn w:val="691"/>
    <w:link w:val="684"/>
    <w:uiPriority w:val="9"/>
    <w:qFormat/>
    <w:rPr>
      <w:rFonts w:ascii="Arial" w:hAnsi="Arial" w:eastAsia="Arial" w:cs="Arial"/>
      <w:sz w:val="30"/>
      <w:szCs w:val="30"/>
    </w:rPr>
  </w:style>
  <w:style w:type="character" w:styleId="761" w:customStyle="1">
    <w:name w:val="标题 4 字符"/>
    <w:basedOn w:val="691"/>
    <w:link w:val="685"/>
    <w:uiPriority w:val="9"/>
    <w:qFormat/>
    <w:rPr>
      <w:rFonts w:ascii="Arial" w:hAnsi="Arial" w:eastAsia="Arial" w:cs="Arial"/>
      <w:b/>
      <w:bCs/>
      <w:sz w:val="26"/>
      <w:szCs w:val="26"/>
    </w:rPr>
  </w:style>
  <w:style w:type="character" w:styleId="762" w:customStyle="1">
    <w:name w:val="标题 5 字符"/>
    <w:basedOn w:val="691"/>
    <w:link w:val="686"/>
    <w:uiPriority w:val="9"/>
    <w:qFormat/>
    <w:rPr>
      <w:rFonts w:ascii="Arial" w:hAnsi="Arial" w:eastAsia="Arial" w:cs="Arial"/>
      <w:b/>
      <w:bCs/>
      <w:sz w:val="24"/>
      <w:szCs w:val="24"/>
    </w:rPr>
  </w:style>
  <w:style w:type="character" w:styleId="763" w:customStyle="1">
    <w:name w:val="标题 6 字符"/>
    <w:basedOn w:val="691"/>
    <w:link w:val="687"/>
    <w:uiPriority w:val="9"/>
    <w:qFormat/>
    <w:rPr>
      <w:rFonts w:ascii="Arial" w:hAnsi="Arial" w:eastAsia="Arial" w:cs="Arial"/>
      <w:b/>
      <w:bCs/>
      <w:sz w:val="22"/>
      <w:szCs w:val="22"/>
    </w:rPr>
  </w:style>
  <w:style w:type="character" w:styleId="764" w:customStyle="1">
    <w:name w:val="标题 7 字符"/>
    <w:basedOn w:val="691"/>
    <w:link w:val="688"/>
    <w:uiPriority w:val="9"/>
    <w:qFormat/>
    <w:rPr>
      <w:rFonts w:ascii="Arial" w:hAnsi="Arial" w:eastAsia="Arial" w:cs="Arial"/>
      <w:b/>
      <w:bCs/>
      <w:i/>
      <w:iCs/>
      <w:sz w:val="22"/>
      <w:szCs w:val="22"/>
    </w:rPr>
  </w:style>
  <w:style w:type="character" w:styleId="765" w:customStyle="1">
    <w:name w:val="标题 8 字符"/>
    <w:basedOn w:val="691"/>
    <w:link w:val="689"/>
    <w:uiPriority w:val="9"/>
    <w:qFormat/>
    <w:rPr>
      <w:rFonts w:ascii="Arial" w:hAnsi="Arial" w:eastAsia="Arial" w:cs="Arial"/>
      <w:i/>
      <w:iCs/>
      <w:sz w:val="22"/>
      <w:szCs w:val="22"/>
    </w:rPr>
  </w:style>
  <w:style w:type="character" w:styleId="766" w:customStyle="1">
    <w:name w:val="标题 9 字符"/>
    <w:basedOn w:val="691"/>
    <w:link w:val="690"/>
    <w:uiPriority w:val="9"/>
    <w:qFormat/>
    <w:rPr>
      <w:rFonts w:ascii="Arial" w:hAnsi="Arial" w:eastAsia="Arial" w:cs="Arial"/>
      <w:i/>
      <w:iCs/>
      <w:sz w:val="21"/>
      <w:szCs w:val="21"/>
    </w:rPr>
  </w:style>
  <w:style w:type="paragraph" w:styleId="767">
    <w:name w:val="List Paragraph"/>
    <w:basedOn w:val="681"/>
    <w:uiPriority w:val="34"/>
    <w:qFormat/>
    <w:pPr>
      <w:contextualSpacing/>
      <w:ind w:left="720"/>
    </w:pPr>
  </w:style>
  <w:style w:type="paragraph" w:styleId="768">
    <w:name w:val="No Spacing"/>
    <w:uiPriority w:val="1"/>
    <w:qFormat/>
    <w:rPr>
      <w:rFonts w:hint="default" w:ascii="Times New Roman" w:hAnsi="Times New Roman" w:eastAsia="宋体" w:cs="Times New Roman"/>
      <w:lang w:val="en-US" w:eastAsia="zh-CN" w:bidi="ar-SA"/>
    </w:rPr>
  </w:style>
  <w:style w:type="character" w:styleId="769" w:customStyle="1">
    <w:name w:val="标题 字符"/>
    <w:basedOn w:val="691"/>
    <w:link w:val="716"/>
    <w:uiPriority w:val="10"/>
    <w:qFormat/>
    <w:rPr>
      <w:sz w:val="48"/>
      <w:szCs w:val="48"/>
    </w:rPr>
  </w:style>
  <w:style w:type="character" w:styleId="770" w:customStyle="1">
    <w:name w:val="副标题 字符"/>
    <w:basedOn w:val="691"/>
    <w:link w:val="709"/>
    <w:uiPriority w:val="11"/>
    <w:qFormat/>
    <w:rPr>
      <w:sz w:val="24"/>
      <w:szCs w:val="24"/>
    </w:rPr>
  </w:style>
  <w:style w:type="paragraph" w:styleId="771">
    <w:name w:val="Quote"/>
    <w:basedOn w:val="681"/>
    <w:next w:val="681"/>
    <w:link w:val="772"/>
    <w:uiPriority w:val="29"/>
    <w:qFormat/>
    <w:pPr>
      <w:ind w:left="720" w:right="720"/>
    </w:pPr>
    <w:rPr>
      <w:i/>
    </w:rPr>
  </w:style>
  <w:style w:type="character" w:styleId="772" w:customStyle="1">
    <w:name w:val="引用 字符"/>
    <w:link w:val="771"/>
    <w:uiPriority w:val="29"/>
    <w:qFormat/>
    <w:rPr>
      <w:i/>
    </w:rPr>
  </w:style>
  <w:style w:type="paragraph" w:styleId="773">
    <w:name w:val="Intense Quote"/>
    <w:basedOn w:val="681"/>
    <w:next w:val="681"/>
    <w:link w:val="7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customStyle="1">
    <w:name w:val="明显引用 字符"/>
    <w:link w:val="773"/>
    <w:uiPriority w:val="30"/>
    <w:qFormat/>
    <w:rPr>
      <w:i/>
    </w:rPr>
  </w:style>
  <w:style w:type="character" w:styleId="775" w:customStyle="1">
    <w:name w:val="Header Char"/>
    <w:basedOn w:val="691"/>
    <w:uiPriority w:val="99"/>
    <w:qFormat/>
  </w:style>
  <w:style w:type="character" w:styleId="776" w:customStyle="1">
    <w:name w:val="Footer Char"/>
    <w:basedOn w:val="691"/>
    <w:uiPriority w:val="99"/>
    <w:qFormat/>
  </w:style>
  <w:style w:type="character" w:styleId="777" w:customStyle="1">
    <w:name w:val="Caption Char"/>
    <w:uiPriority w:val="99"/>
    <w:qFormat/>
  </w:style>
  <w:style w:type="table" w:styleId="778" w:customStyle="1">
    <w:name w:val="Table Grid Light"/>
    <w:basedOn w:val="69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79" w:customStyle="1">
    <w:name w:val="无格式表格 11"/>
    <w:basedOn w:val="69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21"/>
    <w:basedOn w:val="69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31"/>
    <w:basedOn w:val="6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无格式表格 41"/>
    <w:basedOn w:val="6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无格式表格 51"/>
    <w:basedOn w:val="6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网格表 1 浅色1"/>
    <w:basedOn w:val="69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1"/>
    <w:basedOn w:val="69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2"/>
    <w:basedOn w:val="69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3"/>
    <w:basedOn w:val="69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4"/>
    <w:basedOn w:val="69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5"/>
    <w:basedOn w:val="69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6"/>
    <w:basedOn w:val="69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1" w:customStyle="1">
    <w:name w:val="网格表 21"/>
    <w:basedOn w:val="6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Grid Table 2 - Accent 1"/>
    <w:basedOn w:val="69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3" w:customStyle="1">
    <w:name w:val="Grid Table 2 - Accent 2"/>
    <w:basedOn w:val="69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4" w:customStyle="1">
    <w:name w:val="Grid Table 2 - Accent 3"/>
    <w:basedOn w:val="69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5" w:customStyle="1">
    <w:name w:val="Grid Table 2 - Accent 4"/>
    <w:basedOn w:val="69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6" w:customStyle="1">
    <w:name w:val="Grid Table 2 - Accent 5"/>
    <w:basedOn w:val="69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7" w:customStyle="1">
    <w:name w:val="Grid Table 2 - Accent 6"/>
    <w:basedOn w:val="69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8" w:customStyle="1">
    <w:name w:val="网格表 31"/>
    <w:basedOn w:val="6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1"/>
    <w:basedOn w:val="69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2"/>
    <w:basedOn w:val="69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3"/>
    <w:basedOn w:val="69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4"/>
    <w:basedOn w:val="69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5"/>
    <w:basedOn w:val="69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6"/>
    <w:basedOn w:val="69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网格表 41"/>
    <w:basedOn w:val="69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4 - Accent 1"/>
    <w:basedOn w:val="69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7" w:customStyle="1">
    <w:name w:val="Grid Table 4 - Accent 2"/>
    <w:basedOn w:val="69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8" w:customStyle="1">
    <w:name w:val="Grid Table 4 - Accent 3"/>
    <w:basedOn w:val="69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9" w:customStyle="1">
    <w:name w:val="Grid Table 4 - Accent 4"/>
    <w:basedOn w:val="69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0" w:customStyle="1">
    <w:name w:val="Grid Table 4 - Accent 5"/>
    <w:basedOn w:val="69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1" w:customStyle="1">
    <w:name w:val="Grid Table 4 - Accent 6"/>
    <w:basedOn w:val="69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2" w:customStyle="1">
    <w:name w:val="网格表 5 深色1"/>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5 Dark- Accent 1"/>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4" w:customStyle="1">
    <w:name w:val="Grid Table 5 Dark - Accent 2"/>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5" w:customStyle="1">
    <w:name w:val="Grid Table 5 Dark - Accent 3"/>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6" w:customStyle="1">
    <w:name w:val="Grid Table 5 Dark- Accent 4"/>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7" w:customStyle="1">
    <w:name w:val="Grid Table 5 Dark - Accent 5"/>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8" w:customStyle="1">
    <w:name w:val="Grid Table 5 Dark - Accent 6"/>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9" w:customStyle="1">
    <w:name w:val="网格表 6 彩色1"/>
    <w:basedOn w:val="69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0" w:customStyle="1">
    <w:name w:val="Grid Table 6 Colorful - Accent 1"/>
    <w:basedOn w:val="69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1" w:customStyle="1">
    <w:name w:val="Grid Table 6 Colorful - Accent 2"/>
    <w:basedOn w:val="69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2" w:customStyle="1">
    <w:name w:val="Grid Table 6 Colorful - Accent 3"/>
    <w:basedOn w:val="69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23" w:customStyle="1">
    <w:name w:val="Grid Table 6 Colorful - Accent 4"/>
    <w:basedOn w:val="69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4" w:customStyle="1">
    <w:name w:val="Grid Table 6 Colorful - Accent 5"/>
    <w:basedOn w:val="69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5" w:customStyle="1">
    <w:name w:val="Grid Table 6 Colorful - Accent 6"/>
    <w:basedOn w:val="69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6" w:customStyle="1">
    <w:name w:val="网格表 7 彩色1"/>
    <w:basedOn w:val="69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Grid Table 7 Colorful - Accent 1"/>
    <w:basedOn w:val="69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8" w:customStyle="1">
    <w:name w:val="Grid Table 7 Colorful - Accent 2"/>
    <w:basedOn w:val="69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9" w:customStyle="1">
    <w:name w:val="Grid Table 7 Colorful - Accent 3"/>
    <w:basedOn w:val="69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0" w:customStyle="1">
    <w:name w:val="Grid Table 7 Colorful - Accent 4"/>
    <w:basedOn w:val="69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1" w:customStyle="1">
    <w:name w:val="Grid Table 7 Colorful - Accent 5"/>
    <w:basedOn w:val="69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2" w:customStyle="1">
    <w:name w:val="Grid Table 7 Colorful - Accent 6"/>
    <w:basedOn w:val="69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3" w:customStyle="1">
    <w:name w:val="清单表 1 浅色1"/>
    <w:basedOn w:val="69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1 Light - Accent 1"/>
    <w:basedOn w:val="69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5" w:customStyle="1">
    <w:name w:val="List Table 1 Light - Accent 2"/>
    <w:basedOn w:val="69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6" w:customStyle="1">
    <w:name w:val="List Table 1 Light - Accent 3"/>
    <w:basedOn w:val="69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7" w:customStyle="1">
    <w:name w:val="List Table 1 Light - Accent 4"/>
    <w:basedOn w:val="69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8" w:customStyle="1">
    <w:name w:val="List Table 1 Light - Accent 5"/>
    <w:basedOn w:val="692"/>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9" w:customStyle="1">
    <w:name w:val="List Table 1 Light - Accent 6"/>
    <w:basedOn w:val="69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0" w:customStyle="1">
    <w:name w:val="清单表 21"/>
    <w:basedOn w:val="69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2 - Accent 1"/>
    <w:basedOn w:val="69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2" w:customStyle="1">
    <w:name w:val="List Table 2 - Accent 2"/>
    <w:basedOn w:val="69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3" w:customStyle="1">
    <w:name w:val="List Table 2 - Accent 3"/>
    <w:basedOn w:val="69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4" w:customStyle="1">
    <w:name w:val="List Table 2 - Accent 4"/>
    <w:basedOn w:val="69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5" w:customStyle="1">
    <w:name w:val="List Table 2 - Accent 5"/>
    <w:basedOn w:val="69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6" w:customStyle="1">
    <w:name w:val="List Table 2 - Accent 6"/>
    <w:basedOn w:val="69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7" w:customStyle="1">
    <w:name w:val="清单表 31"/>
    <w:basedOn w:val="6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3 - Accent 1"/>
    <w:basedOn w:val="69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9" w:customStyle="1">
    <w:name w:val="List Table 3 - Accent 2"/>
    <w:basedOn w:val="69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0" w:customStyle="1">
    <w:name w:val="List Table 3 - Accent 3"/>
    <w:basedOn w:val="69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1" w:customStyle="1">
    <w:name w:val="List Table 3 - Accent 4"/>
    <w:basedOn w:val="69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2" w:customStyle="1">
    <w:name w:val="List Table 3 - Accent 5"/>
    <w:basedOn w:val="69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3" w:customStyle="1">
    <w:name w:val="List Table 3 - Accent 6"/>
    <w:basedOn w:val="69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4" w:customStyle="1">
    <w:name w:val="清单表 41"/>
    <w:basedOn w:val="6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4 - Accent 1"/>
    <w:basedOn w:val="69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6" w:customStyle="1">
    <w:name w:val="List Table 4 - Accent 2"/>
    <w:basedOn w:val="69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7" w:customStyle="1">
    <w:name w:val="List Table 4 - Accent 3"/>
    <w:basedOn w:val="69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8" w:customStyle="1">
    <w:name w:val="List Table 4 - Accent 4"/>
    <w:basedOn w:val="69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9" w:customStyle="1">
    <w:name w:val="List Table 4 - Accent 5"/>
    <w:basedOn w:val="69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0" w:customStyle="1">
    <w:name w:val="List Table 4 - Accent 6"/>
    <w:basedOn w:val="69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1" w:customStyle="1">
    <w:name w:val="清单表 5 深色1"/>
    <w:basedOn w:val="69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1"/>
    <w:basedOn w:val="69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2"/>
    <w:basedOn w:val="69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3"/>
    <w:basedOn w:val="69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4"/>
    <w:basedOn w:val="69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5"/>
    <w:basedOn w:val="69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6"/>
    <w:basedOn w:val="69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清单表 6 彩色1"/>
    <w:basedOn w:val="69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9" w:customStyle="1">
    <w:name w:val="List Table 6 Colorful - Accent 1"/>
    <w:basedOn w:val="692"/>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0" w:customStyle="1">
    <w:name w:val="List Table 6 Colorful - Accent 2"/>
    <w:basedOn w:val="69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1" w:customStyle="1">
    <w:name w:val="List Table 6 Colorful - Accent 3"/>
    <w:basedOn w:val="69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2" w:customStyle="1">
    <w:name w:val="List Table 6 Colorful - Accent 4"/>
    <w:basedOn w:val="69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3" w:customStyle="1">
    <w:name w:val="List Table 6 Colorful - Accent 5"/>
    <w:basedOn w:val="692"/>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4" w:customStyle="1">
    <w:name w:val="List Table 6 Colorful - Accent 6"/>
    <w:basedOn w:val="69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5" w:customStyle="1">
    <w:name w:val="清单表 7 彩色1"/>
    <w:basedOn w:val="69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List Table 7 Colorful - Accent 1"/>
    <w:basedOn w:val="692"/>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7" w:customStyle="1">
    <w:name w:val="List Table 7 Colorful - Accent 2"/>
    <w:basedOn w:val="69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8" w:customStyle="1">
    <w:name w:val="List Table 7 Colorful - Accent 3"/>
    <w:basedOn w:val="69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9" w:customStyle="1">
    <w:name w:val="List Table 7 Colorful - Accent 4"/>
    <w:basedOn w:val="69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0" w:customStyle="1">
    <w:name w:val="List Table 7 Colorful - Accent 5"/>
    <w:basedOn w:val="692"/>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1" w:customStyle="1">
    <w:name w:val="List Table 7 Colorful - Accent 6"/>
    <w:basedOn w:val="69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2" w:customStyle="1">
    <w:name w:val="Lined - Accent"/>
    <w:basedOn w:val="6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Lined - Accent 1"/>
    <w:basedOn w:val="6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4" w:customStyle="1">
    <w:name w:val="Lined - Accent 2"/>
    <w:basedOn w:val="6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5" w:customStyle="1">
    <w:name w:val="Lined - Accent 3"/>
    <w:basedOn w:val="6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6" w:customStyle="1">
    <w:name w:val="Lined - Accent 4"/>
    <w:basedOn w:val="6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7" w:customStyle="1">
    <w:name w:val="Lined - Accent 5"/>
    <w:basedOn w:val="6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8" w:customStyle="1">
    <w:name w:val="Lined - Accent 6"/>
    <w:basedOn w:val="6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9" w:customStyle="1">
    <w:name w:val="Bordered &amp; Lined - Accent"/>
    <w:basedOn w:val="69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Bordered &amp; Lined - Accent 1"/>
    <w:basedOn w:val="69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1" w:customStyle="1">
    <w:name w:val="Bordered &amp; Lined - Accent 2"/>
    <w:basedOn w:val="69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2" w:customStyle="1">
    <w:name w:val="Bordered &amp; Lined - Accent 3"/>
    <w:basedOn w:val="69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3" w:customStyle="1">
    <w:name w:val="Bordered &amp; Lined - Accent 4"/>
    <w:basedOn w:val="69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4" w:customStyle="1">
    <w:name w:val="Bordered &amp; Lined - Accent 5"/>
    <w:basedOn w:val="69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5" w:customStyle="1">
    <w:name w:val="Bordered &amp; Lined - Accent 6"/>
    <w:basedOn w:val="69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6" w:customStyle="1">
    <w:name w:val="Bordered"/>
    <w:basedOn w:val="69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7" w:customStyle="1">
    <w:name w:val="Bordered - Accent 1"/>
    <w:basedOn w:val="69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8" w:customStyle="1">
    <w:name w:val="Bordered - Accent 2"/>
    <w:basedOn w:val="69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9" w:customStyle="1">
    <w:name w:val="Bordered - Accent 3"/>
    <w:basedOn w:val="69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0" w:customStyle="1">
    <w:name w:val="Bordered - Accent 4"/>
    <w:basedOn w:val="69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1" w:customStyle="1">
    <w:name w:val="Bordered - Accent 5"/>
    <w:basedOn w:val="69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2" w:customStyle="1">
    <w:name w:val="Bordered - Accent 6"/>
    <w:basedOn w:val="69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3" w:customStyle="1">
    <w:name w:val="脚注文本 字符"/>
    <w:link w:val="710"/>
    <w:uiPriority w:val="99"/>
    <w:qFormat/>
    <w:rPr>
      <w:sz w:val="18"/>
    </w:rPr>
  </w:style>
  <w:style w:type="character" w:styleId="904" w:customStyle="1">
    <w:name w:val="尾注文本 字符"/>
    <w:link w:val="704"/>
    <w:uiPriority w:val="99"/>
    <w:qFormat/>
    <w:rPr>
      <w:sz w:val="20"/>
    </w:rPr>
  </w:style>
  <w:style w:type="paragraph" w:styleId="905" w:customStyle="1">
    <w:name w:val="TOC 标题1"/>
    <w:uiPriority w:val="39"/>
    <w:unhideWhenUsed/>
    <w:qFormat/>
    <w:rPr>
      <w:rFonts w:hint="default" w:ascii="Times New Roman" w:hAnsi="Times New Roman" w:eastAsia="宋体" w:cs="Times New Roman"/>
      <w:lang w:val="en-US" w:eastAsia="zh-CN" w:bidi="ar-SA"/>
    </w:rPr>
  </w:style>
  <w:style w:type="character" w:styleId="906" w:customStyle="1">
    <w:name w:val="页眉 字符"/>
    <w:basedOn w:val="691"/>
    <w:link w:val="706"/>
    <w:uiPriority w:val="0"/>
    <w:qFormat/>
    <w:rPr>
      <w:rFonts w:asciiTheme="minorHAnsi" w:hAnsiTheme="minorHAnsi" w:eastAsiaTheme="minorEastAsia" w:cstheme="minorBidi"/>
      <w:sz w:val="18"/>
      <w:szCs w:val="18"/>
    </w:rPr>
  </w:style>
  <w:style w:type="character" w:styleId="907" w:customStyle="1">
    <w:name w:val="页脚 字符"/>
    <w:basedOn w:val="691"/>
    <w:link w:val="705"/>
    <w:uiPriority w:val="0"/>
    <w:qFormat/>
    <w:rPr>
      <w:rFonts w:asciiTheme="minorHAnsi" w:hAnsiTheme="minorHAnsi" w:eastAsiaTheme="minorEastAsia" w:cstheme="minorBidi"/>
      <w:sz w:val="18"/>
      <w:szCs w:val="18"/>
    </w:rPr>
  </w:style>
  <w:style w:type="paragraph" w:styleId="90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09" w:customStyle="1">
    <w:name w:val="列出段落1"/>
    <w:basedOn w:val="681"/>
    <w:uiPriority w:val="0"/>
    <w:qFormat/>
    <w:pPr>
      <w:ind w:firstLine="420"/>
    </w:pPr>
    <w:rPr>
      <w:szCs w:val="21"/>
    </w:rPr>
  </w:style>
  <w:style w:type="numbering" w:styleId="9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刘伟</cp:lastModifiedBy>
  <cp:revision>7</cp:revision>
  <dcterms:created xsi:type="dcterms:W3CDTF">2024-09-27T01:47:00Z</dcterms:created>
  <dcterms:modified xsi:type="dcterms:W3CDTF">2024-12-06T08:23:49Z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EAFE36AB012E4234B0FC829C69976D35_13</vt:lpwstr>
  </property>
</Properties>
</file>