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s="宋体"/>
          <w:color w:val="000000" w:themeColor="text1"/>
          <w:sz w:val="60"/>
          <w:szCs w:val="60"/>
        </w:rPr>
      </w:pPr>
      <w:r>
        <w:rPr>
          <w:rFonts w:hint="eastAsia" w:ascii="宋体" w:hAnsi="宋体" w:eastAsia="宋体" w:cs="宋体"/>
          <w:color w:val="000000" w:themeColor="text1"/>
          <w:sz w:val="60"/>
          <w:szCs w:val="60"/>
        </w:rPr>
      </w:r>
      <w:r/>
    </w:p>
    <w:p>
      <w:pPr>
        <w:ind w:left="570" w:hanging="570"/>
        <w:jc w:val="center"/>
        <w:spacing w:line="360" w:lineRule="auto"/>
        <w:rPr>
          <w:rFonts w:hint="eastAsia" w:ascii="宋体" w:hAnsi="宋体" w:eastAsia="宋体" w:cs="宋体"/>
          <w:color w:val="000000" w:themeColor="text1"/>
          <w:sz w:val="60"/>
          <w:szCs w:val="60"/>
        </w:rPr>
      </w:pPr>
      <w:r>
        <w:rPr>
          <w:rFonts w:hint="eastAsia" w:ascii="宋体" w:hAnsi="宋体" w:eastAsia="宋体" w:cs="宋体"/>
          <w:color w:val="000000" w:themeColor="text1"/>
          <w:sz w:val="60"/>
          <w:szCs w:val="60"/>
        </w:rPr>
      </w:r>
      <w:r/>
    </w:p>
    <w:p>
      <w:pPr>
        <w:ind w:left="570" w:hanging="570"/>
        <w:jc w:val="center"/>
        <w:spacing w:line="360" w:lineRule="auto"/>
        <w:rPr>
          <w:rFonts w:hint="eastAsia" w:ascii="宋体" w:hAnsi="宋体" w:eastAsia="宋体" w:cs="宋体"/>
          <w:color w:val="000000" w:themeColor="text1"/>
          <w:sz w:val="60"/>
          <w:szCs w:val="60"/>
        </w:rPr>
      </w:pPr>
      <w:r>
        <w:rPr>
          <w:rFonts w:hint="eastAsia" w:ascii="宋体" w:hAnsi="宋体" w:eastAsia="宋体" w:cs="宋体"/>
          <w:color w:val="000000" w:themeColor="text1"/>
          <w:sz w:val="60"/>
          <w:szCs w:val="60"/>
        </w:rPr>
      </w:r>
      <w:r/>
    </w:p>
    <w:p>
      <w:pPr>
        <w:jc w:val="center"/>
        <w:spacing w:after="312" w:line="720" w:lineRule="auto"/>
        <w:rPr>
          <w:rFonts w:hint="eastAsia" w:ascii="宋体" w:hAnsi="宋体" w:eastAsia="宋体" w:cs="宋体"/>
          <w:b/>
          <w:color w:val="000000" w:themeColor="text1"/>
          <w:sz w:val="60"/>
          <w:szCs w:val="60"/>
        </w:rPr>
      </w:pPr>
      <w:r>
        <w:rPr>
          <w:rFonts w:hint="eastAsia" w:ascii="宋体" w:hAnsi="宋体" w:eastAsia="宋体" w:cs="宋体"/>
          <w:b/>
          <w:color w:val="000000" w:themeColor="text1"/>
          <w:spacing w:val="112"/>
          <w:sz w:val="60"/>
          <w:szCs w:val="60"/>
        </w:rPr>
        <w:t xml:space="preserve">常州市政府采购项</w:t>
      </w:r>
      <w:r>
        <w:rPr>
          <w:rFonts w:hint="eastAsia" w:ascii="宋体" w:hAnsi="宋体" w:eastAsia="宋体" w:cs="宋体"/>
          <w:b/>
          <w:color w:val="000000" w:themeColor="text1"/>
          <w:spacing w:val="5"/>
          <w:sz w:val="60"/>
          <w:szCs w:val="60"/>
        </w:rPr>
        <w:t xml:space="preserve">目</w:t>
      </w:r>
      <w:r/>
    </w:p>
    <w:p>
      <w:pPr>
        <w:ind w:left="1028" w:hanging="1028"/>
        <w:jc w:val="center"/>
        <w:spacing w:after="312" w:line="720" w:lineRule="auto"/>
        <w:rPr>
          <w:rFonts w:hint="eastAsia" w:ascii="宋体" w:hAnsi="宋体" w:eastAsia="宋体" w:cs="宋体"/>
          <w:b/>
          <w:color w:val="000000" w:themeColor="text1"/>
          <w:sz w:val="60"/>
          <w:szCs w:val="60"/>
        </w:rPr>
      </w:pPr>
      <w:r>
        <w:rPr>
          <w:rFonts w:hint="eastAsia" w:ascii="宋体" w:hAnsi="宋体" w:eastAsia="宋体" w:cs="宋体"/>
          <w:b/>
          <w:color w:val="000000" w:themeColor="text1"/>
          <w:spacing w:val="240"/>
          <w:sz w:val="60"/>
          <w:szCs w:val="60"/>
        </w:rPr>
        <w:t xml:space="preserve">公开招标文</w:t>
      </w:r>
      <w:r>
        <w:rPr>
          <w:rFonts w:hint="eastAsia" w:ascii="宋体" w:hAnsi="宋体" w:eastAsia="宋体" w:cs="宋体"/>
          <w:b/>
          <w:color w:val="000000" w:themeColor="text1"/>
          <w:spacing w:val="3"/>
          <w:sz w:val="60"/>
          <w:szCs w:val="60"/>
        </w:rPr>
        <w:t xml:space="preserve">件</w:t>
      </w:r>
      <w:r/>
    </w:p>
    <w:p>
      <w:pPr>
        <w:ind w:left="570" w:hanging="570"/>
        <w:jc w:val="center"/>
        <w:spacing w:line="360" w:lineRule="auto"/>
        <w:rPr>
          <w:rFonts w:hint="eastAsia" w:ascii="宋体" w:hAnsi="宋体" w:eastAsia="宋体" w:cs="宋体"/>
          <w:color w:val="000000" w:themeColor="text1"/>
          <w:sz w:val="60"/>
          <w:szCs w:val="60"/>
        </w:rPr>
      </w:pPr>
      <w:r>
        <w:rPr>
          <w:rFonts w:hint="eastAsia" w:ascii="宋体" w:hAnsi="宋体" w:eastAsia="宋体" w:cs="宋体"/>
          <w:color w:val="000000" w:themeColor="text1"/>
          <w:sz w:val="60"/>
          <w:szCs w:val="60"/>
        </w:rPr>
      </w:r>
      <w:r/>
    </w:p>
    <w:p>
      <w:pPr>
        <w:spacing w:line="360" w:lineRule="auto"/>
        <w:rPr>
          <w:rFonts w:hint="eastAsia" w:ascii="宋体" w:hAnsi="宋体" w:eastAsia="宋体" w:cs="宋体"/>
          <w:color w:val="000000" w:themeColor="text1"/>
          <w:sz w:val="60"/>
          <w:szCs w:val="60"/>
        </w:rPr>
      </w:pPr>
      <w:r>
        <w:rPr>
          <w:rFonts w:hint="eastAsia" w:ascii="宋体" w:hAnsi="宋体" w:eastAsia="宋体" w:cs="宋体"/>
          <w:color w:val="000000" w:themeColor="text1"/>
          <w:sz w:val="60"/>
          <w:szCs w:val="60"/>
        </w:rPr>
      </w:r>
      <w:r/>
    </w:p>
    <w:p>
      <w:pPr>
        <w:ind w:left="285" w:hanging="285"/>
        <w:jc w:val="left"/>
        <w:spacing w:line="360" w:lineRule="auto"/>
        <w:tabs>
          <w:tab w:val="left" w:pos="5609" w:leader="none"/>
        </w:tabs>
        <w:rPr>
          <w:rFonts w:hint="eastAsia" w:ascii="宋体" w:hAnsi="宋体" w:eastAsia="宋体" w:cs="宋体"/>
          <w:bCs/>
          <w:color w:val="000000" w:themeColor="text1"/>
          <w:sz w:val="30"/>
          <w:szCs w:val="30"/>
        </w:rPr>
      </w:pPr>
      <w:r>
        <w:rPr>
          <w:rFonts w:hint="eastAsia" w:ascii="宋体" w:hAnsi="宋体" w:eastAsia="宋体" w:cs="宋体"/>
          <w:bCs/>
          <w:color w:val="000000" w:themeColor="text1"/>
          <w:sz w:val="30"/>
          <w:szCs w:val="30"/>
        </w:rPr>
        <w:t xml:space="preserve">项目名称</w:t>
      </w:r>
      <w:bookmarkStart w:id="0" w:name="OLE_LINK12"/>
      <w:r>
        <w:rPr>
          <w:rFonts w:hint="eastAsia" w:ascii="宋体" w:hAnsi="宋体" w:eastAsia="宋体" w:cs="宋体"/>
          <w:bCs/>
          <w:color w:val="000000" w:themeColor="text1"/>
          <w:sz w:val="30"/>
          <w:szCs w:val="30"/>
        </w:rPr>
        <w:t xml:space="preserve">：</w:t>
      </w:r>
      <w:r>
        <w:rPr>
          <w:rFonts w:hint="eastAsia" w:ascii="宋体" w:hAnsi="宋体" w:eastAsia="宋体" w:cs="宋体"/>
          <w:bCs/>
          <w:color w:val="000000" w:themeColor="text1"/>
          <w:sz w:val="30"/>
          <w:szCs w:val="30"/>
        </w:rPr>
        <w:t xml:space="preserve">新北区西夏墅镇天堂园焚烧炉采购项目</w:t>
      </w:r>
      <w:bookmarkEnd w:id="0"/>
      <w:r/>
      <w:r/>
    </w:p>
    <w:p>
      <w:pPr>
        <w:ind w:left="1500" w:hanging="1500"/>
        <w:jc w:val="left"/>
        <w:spacing w:line="360" w:lineRule="auto"/>
        <w:tabs>
          <w:tab w:val="left" w:pos="5609" w:leader="none"/>
        </w:tabs>
        <w:rPr>
          <w:rFonts w:hint="eastAsia" w:ascii="宋体" w:hAnsi="宋体" w:eastAsia="宋体" w:cs="宋体"/>
          <w:bCs/>
          <w:color w:val="000000" w:themeColor="text1"/>
        </w:rPr>
      </w:pPr>
      <w:r>
        <w:rPr>
          <w:rFonts w:hint="eastAsia" w:ascii="宋体" w:hAnsi="宋体" w:eastAsia="宋体" w:cs="宋体"/>
          <w:bCs/>
          <w:color w:val="000000" w:themeColor="text1"/>
          <w:sz w:val="30"/>
          <w:szCs w:val="30"/>
        </w:rPr>
        <w:t xml:space="preserve">项目编号：</w:t>
      </w:r>
      <w:r>
        <w:rPr>
          <w:rFonts w:hint="eastAsia" w:ascii="宋体" w:hAnsi="宋体" w:eastAsia="宋体" w:cs="宋体"/>
          <w:bCs/>
          <w:color w:val="000000" w:themeColor="text1"/>
          <w:sz w:val="30"/>
          <w:szCs w:val="30"/>
        </w:rPr>
        <w:t xml:space="preserve">JSZC-320411-CZJC-G2025-0105</w:t>
      </w:r>
      <w:r/>
    </w:p>
    <w:p>
      <w:pPr>
        <w:ind w:left="285" w:hanging="285"/>
        <w:jc w:val="left"/>
        <w:spacing w:line="360" w:lineRule="auto"/>
        <w:tabs>
          <w:tab w:val="left" w:pos="5609" w:leader="none"/>
        </w:tabs>
        <w:rPr>
          <w:rFonts w:hint="eastAsia" w:ascii="宋体" w:hAnsi="宋体" w:eastAsia="宋体" w:cs="宋体"/>
          <w:bCs/>
          <w:color w:val="000000" w:themeColor="text1"/>
          <w:sz w:val="30"/>
          <w:szCs w:val="30"/>
        </w:rPr>
      </w:pPr>
      <w:r>
        <w:rPr>
          <w:rFonts w:hint="eastAsia" w:ascii="宋体" w:hAnsi="宋体" w:eastAsia="宋体" w:cs="宋体"/>
          <w:bCs/>
          <w:color w:val="000000" w:themeColor="text1"/>
          <w:sz w:val="30"/>
          <w:szCs w:val="30"/>
        </w:rPr>
        <w:t xml:space="preserve">采 购 人：</w:t>
      </w:r>
      <w:r>
        <w:rPr>
          <w:rFonts w:hint="eastAsia" w:ascii="宋体" w:hAnsi="宋体" w:eastAsia="宋体" w:cs="宋体"/>
          <w:bCs/>
          <w:color w:val="000000" w:themeColor="text1"/>
          <w:sz w:val="30"/>
          <w:szCs w:val="30"/>
        </w:rPr>
        <w:t xml:space="preserve">常州市新北区西夏墅镇人民政府</w:t>
      </w:r>
      <w:r/>
    </w:p>
    <w:p>
      <w:pPr>
        <w:ind w:left="285" w:hanging="285"/>
        <w:jc w:val="left"/>
        <w:spacing w:line="360" w:lineRule="auto"/>
        <w:tabs>
          <w:tab w:val="left" w:pos="3240" w:leader="none"/>
          <w:tab w:val="left" w:pos="3420" w:leader="none"/>
        </w:tabs>
        <w:rPr>
          <w:rFonts w:hint="eastAsia" w:ascii="宋体" w:hAnsi="宋体" w:eastAsia="宋体" w:cs="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30"/>
          <w:szCs w:val="30"/>
        </w:rPr>
        <w:t xml:space="preserve">采购代理机构：</w:t>
      </w:r>
      <w:r>
        <w:rPr>
          <w:rStyle w:val="931"/>
          <w:rFonts w:hint="eastAsia" w:ascii="宋体" w:hAnsi="宋体" w:eastAsia="宋体" w:cs="宋体"/>
          <w:color w:val="000000" w:themeColor="text1"/>
          <w:sz w:val="30"/>
          <w:szCs w:val="30"/>
        </w:rPr>
        <w:t xml:space="preserve">常州金诚招投标有限公司</w:t>
      </w:r>
      <w:r/>
    </w:p>
    <w:p>
      <w:pPr>
        <w:ind w:left="343" w:hanging="343"/>
        <w:jc w:val="center"/>
        <w:widowControl/>
        <w:rPr>
          <w:rFonts w:hint="eastAsia" w:ascii="宋体" w:hAnsi="宋体" w:eastAsia="宋体" w:cs="宋体"/>
          <w:b/>
          <w:bCs/>
          <w:color w:val="000000" w:themeColor="text1"/>
          <w:sz w:val="36"/>
          <w:szCs w:val="36"/>
        </w:rPr>
      </w:pPr>
      <w:r>
        <w:rPr>
          <w:rFonts w:hint="eastAsia" w:ascii="宋体" w:hAnsi="宋体" w:eastAsia="宋体" w:cs="宋体"/>
          <w:b/>
          <w:bCs/>
          <w:color w:val="000000" w:themeColor="text1"/>
          <w:sz w:val="36"/>
          <w:szCs w:val="36"/>
        </w:rPr>
        <w:t xml:space="preserve">目录</w:t>
      </w:r>
      <w:r/>
    </w:p>
    <w:p>
      <w:pPr>
        <w:pStyle w:val="915"/>
        <w:tabs>
          <w:tab w:val="right" w:pos="8306" w:leader="dot"/>
        </w:tabs>
        <w:rPr>
          <w:rFonts w:hint="eastAsia"/>
          <w:color w:val="000000" w:themeColor="text1"/>
        </w:rPr>
      </w:pPr>
      <w:r>
        <w:rPr>
          <w:rFonts w:hint="eastAsia"/>
          <w:b w:val="0"/>
          <w:bCs/>
          <w:color w:val="000000" w:themeColor="text1"/>
          <w:sz w:val="36"/>
          <w:szCs w:val="36"/>
        </w:rPr>
        <w:fldChar w:fldCharType="begin"/>
      </w:r>
      <w:r>
        <w:rPr>
          <w:rFonts w:hint="eastAsia"/>
          <w:b w:val="0"/>
          <w:bCs/>
          <w:color w:val="000000" w:themeColor="text1"/>
          <w:sz w:val="36"/>
          <w:szCs w:val="36"/>
        </w:rPr>
        <w:instrText xml:space="preserve"> TOC \o "1-1" \h \z \u </w:instrText>
      </w:r>
      <w:r>
        <w:rPr>
          <w:rFonts w:hint="eastAsia"/>
          <w:b w:val="0"/>
          <w:bCs/>
          <w:color w:val="000000" w:themeColor="text1"/>
          <w:sz w:val="36"/>
          <w:szCs w:val="36"/>
        </w:rPr>
        <w:fldChar w:fldCharType="separate"/>
      </w:r>
      <w:hyperlink w:tooltip="#_Toc7041" w:anchor="_Toc7041" w:history="1">
        <w:r>
          <w:rPr>
            <w:rFonts w:hint="eastAsia"/>
            <w:color w:val="000000" w:themeColor="text1"/>
          </w:rPr>
          <w:t xml:space="preserve">第一章 投标邀请</w:t>
        </w:r>
        <w:r>
          <w:rPr>
            <w:color w:val="000000" w:themeColor="text1"/>
          </w:rPr>
          <w:tab/>
        </w:r>
        <w:r>
          <w:rPr>
            <w:color w:val="000000" w:themeColor="text1"/>
          </w:rPr>
          <w:fldChar w:fldCharType="begin"/>
        </w:r>
        <w:r>
          <w:rPr>
            <w:color w:val="000000" w:themeColor="text1"/>
          </w:rPr>
          <w:instrText xml:space="preserve"> PAGEREF _Toc7041 \h </w:instrText>
        </w:r>
        <w:r>
          <w:rPr>
            <w:color w:val="000000" w:themeColor="text1"/>
          </w:rPr>
        </w:r>
        <w:r>
          <w:rPr>
            <w:color w:val="000000" w:themeColor="text1"/>
          </w:rPr>
          <w:fldChar w:fldCharType="separate"/>
        </w:r>
        <w:r>
          <w:rPr>
            <w:color w:val="000000" w:themeColor="text1"/>
          </w:rPr>
          <w:t xml:space="preserve">1</w:t>
        </w:r>
        <w:r>
          <w:rPr>
            <w:color w:val="000000" w:themeColor="text1"/>
          </w:rPr>
          <w:fldChar w:fldCharType="end"/>
        </w:r>
      </w:hyperlink>
      <w:r/>
      <w:r/>
    </w:p>
    <w:p>
      <w:pPr>
        <w:pStyle w:val="915"/>
        <w:tabs>
          <w:tab w:val="right" w:pos="8306" w:leader="dot"/>
        </w:tabs>
        <w:rPr>
          <w:rFonts w:hint="eastAsia"/>
          <w:color w:val="000000" w:themeColor="text1"/>
        </w:rPr>
      </w:pPr>
      <w:r/>
      <w:hyperlink w:tooltip="#_Toc4508" w:anchor="_Toc4508" w:history="1">
        <w:r>
          <w:rPr>
            <w:rFonts w:hint="eastAsia"/>
            <w:color w:val="000000" w:themeColor="text1"/>
          </w:rPr>
          <w:t xml:space="preserve">第二章 投标人须知</w:t>
        </w:r>
        <w:r>
          <w:rPr>
            <w:color w:val="000000" w:themeColor="text1"/>
          </w:rPr>
          <w:tab/>
        </w:r>
        <w:r>
          <w:rPr>
            <w:color w:val="000000" w:themeColor="text1"/>
          </w:rPr>
          <w:fldChar w:fldCharType="begin"/>
        </w:r>
        <w:r>
          <w:rPr>
            <w:color w:val="000000" w:themeColor="text1"/>
          </w:rPr>
          <w:instrText xml:space="preserve"> PAGEREF _Toc4508 \h </w:instrText>
        </w:r>
        <w:r>
          <w:rPr>
            <w:color w:val="000000" w:themeColor="text1"/>
          </w:rPr>
        </w:r>
        <w:r>
          <w:rPr>
            <w:color w:val="000000" w:themeColor="text1"/>
          </w:rPr>
          <w:fldChar w:fldCharType="separate"/>
        </w:r>
        <w:r>
          <w:rPr>
            <w:color w:val="000000" w:themeColor="text1"/>
          </w:rPr>
          <w:t xml:space="preserve">4</w:t>
        </w:r>
        <w:r>
          <w:rPr>
            <w:color w:val="000000" w:themeColor="text1"/>
          </w:rPr>
          <w:fldChar w:fldCharType="end"/>
        </w:r>
      </w:hyperlink>
      <w:r/>
      <w:r/>
    </w:p>
    <w:p>
      <w:pPr>
        <w:pStyle w:val="915"/>
        <w:tabs>
          <w:tab w:val="right" w:pos="8306" w:leader="dot"/>
        </w:tabs>
        <w:rPr>
          <w:rFonts w:hint="eastAsia"/>
          <w:color w:val="000000" w:themeColor="text1"/>
        </w:rPr>
      </w:pPr>
      <w:r/>
      <w:hyperlink w:tooltip="#_Toc30410" w:anchor="_Toc30410" w:history="1">
        <w:r>
          <w:rPr>
            <w:rFonts w:hint="eastAsia"/>
            <w:color w:val="000000" w:themeColor="text1"/>
          </w:rPr>
          <w:t xml:space="preserve">第三章 资格审查</w:t>
        </w:r>
        <w:r>
          <w:rPr>
            <w:color w:val="000000" w:themeColor="text1"/>
          </w:rPr>
          <w:tab/>
        </w:r>
        <w:r>
          <w:rPr>
            <w:color w:val="000000" w:themeColor="text1"/>
          </w:rPr>
          <w:fldChar w:fldCharType="begin"/>
        </w:r>
        <w:r>
          <w:rPr>
            <w:color w:val="000000" w:themeColor="text1"/>
          </w:rPr>
          <w:instrText xml:space="preserve"> PAGEREF _Toc30410 \h </w:instrText>
        </w:r>
        <w:r>
          <w:rPr>
            <w:color w:val="000000" w:themeColor="text1"/>
          </w:rPr>
        </w:r>
        <w:r>
          <w:rPr>
            <w:color w:val="000000" w:themeColor="text1"/>
          </w:rPr>
          <w:fldChar w:fldCharType="separate"/>
        </w:r>
        <w:r>
          <w:rPr>
            <w:color w:val="000000" w:themeColor="text1"/>
          </w:rPr>
          <w:t xml:space="preserve">20</w:t>
        </w:r>
        <w:r>
          <w:rPr>
            <w:color w:val="000000" w:themeColor="text1"/>
          </w:rPr>
          <w:fldChar w:fldCharType="end"/>
        </w:r>
      </w:hyperlink>
      <w:r/>
      <w:r/>
    </w:p>
    <w:p>
      <w:pPr>
        <w:pStyle w:val="915"/>
        <w:tabs>
          <w:tab w:val="right" w:pos="8306" w:leader="dot"/>
        </w:tabs>
        <w:rPr>
          <w:rFonts w:hint="eastAsia"/>
          <w:color w:val="000000" w:themeColor="text1"/>
        </w:rPr>
      </w:pPr>
      <w:r/>
      <w:hyperlink w:tooltip="#_Toc14130" w:anchor="_Toc14130" w:history="1">
        <w:r>
          <w:rPr>
            <w:rFonts w:hint="eastAsia"/>
            <w:color w:val="000000" w:themeColor="text1"/>
          </w:rPr>
          <w:t xml:space="preserve">第四章 评标程序、评标方法和评标标准</w:t>
        </w:r>
        <w:r>
          <w:rPr>
            <w:color w:val="000000" w:themeColor="text1"/>
          </w:rPr>
          <w:tab/>
        </w:r>
        <w:r>
          <w:rPr>
            <w:color w:val="000000" w:themeColor="text1"/>
          </w:rPr>
          <w:fldChar w:fldCharType="begin"/>
        </w:r>
        <w:r>
          <w:rPr>
            <w:color w:val="000000" w:themeColor="text1"/>
          </w:rPr>
          <w:instrText xml:space="preserve"> PAGEREF _Toc14130 \h </w:instrText>
        </w:r>
        <w:r>
          <w:rPr>
            <w:color w:val="000000" w:themeColor="text1"/>
          </w:rPr>
        </w:r>
        <w:r>
          <w:rPr>
            <w:color w:val="000000" w:themeColor="text1"/>
          </w:rPr>
          <w:fldChar w:fldCharType="separate"/>
        </w:r>
        <w:r>
          <w:rPr>
            <w:color w:val="000000" w:themeColor="text1"/>
          </w:rPr>
          <w:t xml:space="preserve">21</w:t>
        </w:r>
        <w:r>
          <w:rPr>
            <w:color w:val="000000" w:themeColor="text1"/>
          </w:rPr>
          <w:fldChar w:fldCharType="end"/>
        </w:r>
      </w:hyperlink>
      <w:r/>
      <w:r/>
    </w:p>
    <w:p>
      <w:pPr>
        <w:pStyle w:val="915"/>
        <w:tabs>
          <w:tab w:val="right" w:pos="8306" w:leader="dot"/>
        </w:tabs>
        <w:rPr>
          <w:rFonts w:hint="eastAsia"/>
          <w:color w:val="000000" w:themeColor="text1"/>
        </w:rPr>
      </w:pPr>
      <w:r/>
      <w:hyperlink w:tooltip="#_Toc4817" w:anchor="_Toc4817" w:history="1">
        <w:r>
          <w:rPr>
            <w:rFonts w:hint="eastAsia"/>
            <w:color w:val="000000" w:themeColor="text1"/>
          </w:rPr>
          <w:t xml:space="preserve">第五章 采购需求</w:t>
        </w:r>
        <w:r>
          <w:rPr>
            <w:color w:val="000000" w:themeColor="text1"/>
          </w:rPr>
          <w:tab/>
        </w:r>
        <w:r>
          <w:rPr>
            <w:color w:val="000000" w:themeColor="text1"/>
          </w:rPr>
          <w:fldChar w:fldCharType="begin"/>
        </w:r>
        <w:r>
          <w:rPr>
            <w:color w:val="000000" w:themeColor="text1"/>
          </w:rPr>
          <w:instrText xml:space="preserve"> PAGEREF _Toc4817 \h </w:instrText>
        </w:r>
        <w:r>
          <w:rPr>
            <w:color w:val="000000" w:themeColor="text1"/>
          </w:rPr>
        </w:r>
        <w:r>
          <w:rPr>
            <w:color w:val="000000" w:themeColor="text1"/>
          </w:rPr>
          <w:fldChar w:fldCharType="separate"/>
        </w:r>
        <w:r>
          <w:rPr>
            <w:color w:val="000000" w:themeColor="text1"/>
          </w:rPr>
          <w:t xml:space="preserve">31</w:t>
        </w:r>
        <w:r>
          <w:rPr>
            <w:color w:val="000000" w:themeColor="text1"/>
          </w:rPr>
          <w:fldChar w:fldCharType="end"/>
        </w:r>
      </w:hyperlink>
      <w:r/>
      <w:r/>
    </w:p>
    <w:p>
      <w:pPr>
        <w:pStyle w:val="915"/>
        <w:tabs>
          <w:tab w:val="right" w:pos="8306" w:leader="dot"/>
        </w:tabs>
        <w:rPr>
          <w:rFonts w:hint="eastAsia"/>
          <w:color w:val="000000" w:themeColor="text1"/>
        </w:rPr>
      </w:pPr>
      <w:r/>
      <w:hyperlink w:tooltip="#_Toc9057" w:anchor="_Toc9057" w:history="1">
        <w:r>
          <w:rPr>
            <w:rFonts w:hint="eastAsia"/>
            <w:color w:val="000000" w:themeColor="text1"/>
          </w:rPr>
          <w:t xml:space="preserve">第六章 拟签订的合同文本</w:t>
        </w:r>
        <w:r>
          <w:rPr>
            <w:color w:val="000000" w:themeColor="text1"/>
          </w:rPr>
          <w:tab/>
        </w:r>
        <w:r>
          <w:rPr>
            <w:color w:val="000000" w:themeColor="text1"/>
          </w:rPr>
          <w:fldChar w:fldCharType="begin"/>
        </w:r>
        <w:r>
          <w:rPr>
            <w:color w:val="000000" w:themeColor="text1"/>
          </w:rPr>
          <w:instrText xml:space="preserve"> PAGEREF _Toc9057 \h </w:instrText>
        </w:r>
        <w:r>
          <w:rPr>
            <w:color w:val="000000" w:themeColor="text1"/>
          </w:rPr>
        </w:r>
        <w:r>
          <w:rPr>
            <w:color w:val="000000" w:themeColor="text1"/>
          </w:rPr>
          <w:fldChar w:fldCharType="separate"/>
        </w:r>
        <w:r>
          <w:rPr>
            <w:color w:val="000000" w:themeColor="text1"/>
          </w:rPr>
          <w:t xml:space="preserve">40</w:t>
        </w:r>
        <w:r>
          <w:rPr>
            <w:color w:val="000000" w:themeColor="text1"/>
          </w:rPr>
          <w:fldChar w:fldCharType="end"/>
        </w:r>
      </w:hyperlink>
      <w:r/>
      <w:r/>
    </w:p>
    <w:p>
      <w:pPr>
        <w:pStyle w:val="915"/>
        <w:tabs>
          <w:tab w:val="right" w:pos="8306" w:leader="dot"/>
        </w:tabs>
        <w:rPr>
          <w:rFonts w:hint="eastAsia"/>
          <w:color w:val="000000" w:themeColor="text1"/>
        </w:rPr>
      </w:pPr>
      <w:r/>
      <w:hyperlink w:tooltip="#_Toc22933" w:anchor="_Toc22933" w:history="1">
        <w:r>
          <w:rPr>
            <w:rFonts w:hint="eastAsia"/>
            <w:color w:val="000000" w:themeColor="text1"/>
          </w:rPr>
          <w:t xml:space="preserve">第七章 投标文件格式</w:t>
        </w:r>
        <w:r>
          <w:rPr>
            <w:color w:val="000000" w:themeColor="text1"/>
          </w:rPr>
          <w:tab/>
        </w:r>
        <w:r>
          <w:rPr>
            <w:color w:val="000000" w:themeColor="text1"/>
          </w:rPr>
          <w:fldChar w:fldCharType="begin"/>
        </w:r>
        <w:r>
          <w:rPr>
            <w:color w:val="000000" w:themeColor="text1"/>
          </w:rPr>
          <w:instrText xml:space="preserve"> PAGEREF _Toc22933 \h </w:instrText>
        </w:r>
        <w:r>
          <w:rPr>
            <w:color w:val="000000" w:themeColor="text1"/>
          </w:rPr>
        </w:r>
        <w:r>
          <w:rPr>
            <w:color w:val="000000" w:themeColor="text1"/>
          </w:rPr>
          <w:fldChar w:fldCharType="separate"/>
        </w:r>
        <w:r>
          <w:rPr>
            <w:color w:val="000000" w:themeColor="text1"/>
          </w:rPr>
          <w:t xml:space="preserve">43</w:t>
        </w:r>
        <w:r>
          <w:rPr>
            <w:color w:val="000000" w:themeColor="text1"/>
          </w:rPr>
          <w:fldChar w:fldCharType="end"/>
        </w:r>
      </w:hyperlink>
      <w:r/>
      <w:r/>
    </w:p>
    <w:p>
      <w:pPr>
        <w:ind w:left="199" w:hanging="199"/>
        <w:widowControl/>
        <w:rPr>
          <w:rFonts w:hint="eastAsia" w:ascii="宋体" w:hAnsi="宋体" w:eastAsia="宋体" w:cs="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Cs w:val="36"/>
        </w:rPr>
        <w:fldChar w:fldCharType="end"/>
      </w:r>
      <w:r/>
    </w:p>
    <w:p>
      <w:pPr>
        <w:pStyle w:val="898"/>
        <w:rPr>
          <w:color w:val="000000" w:themeColor="text1"/>
        </w:rPr>
      </w:pPr>
      <w:r/>
      <w:bookmarkStart w:id="1" w:name="_Toc7041"/>
      <w:r>
        <w:rPr>
          <w:rFonts w:hint="eastAsia"/>
          <w:color w:val="000000" w:themeColor="text1"/>
        </w:rPr>
        <w:t xml:space="preserve">第一章</w:t>
      </w:r>
      <w:r>
        <w:rPr>
          <w:rFonts w:hint="eastAsia"/>
          <w:color w:val="000000" w:themeColor="text1"/>
        </w:rPr>
        <w:t xml:space="preserve"> </w:t>
      </w:r>
      <w:r>
        <w:rPr>
          <w:rFonts w:hint="eastAsia"/>
          <w:color w:val="000000" w:themeColor="text1"/>
        </w:rPr>
        <w:t xml:space="preserve">投标邀请</w:t>
      </w:r>
      <w:bookmarkEnd w:id="1"/>
      <w:r/>
      <w:r/>
    </w:p>
    <w:tbl>
      <w:tblPr>
        <w:tblStyle w:val="920"/>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31"/>
                <w:rFonts w:hint="eastAsia" w:ascii="宋体" w:hAnsi="宋体" w:eastAsia="宋体" w:cs="宋体"/>
                <w:bCs/>
                <w:color w:val="000000" w:themeColor="text1"/>
                <w:spacing w:val="2"/>
                <w:sz w:val="24"/>
              </w:rPr>
            </w:pPr>
            <w:r>
              <w:rPr>
                <w:rStyle w:val="931"/>
                <w:rFonts w:hint="eastAsia" w:ascii="宋体" w:hAnsi="宋体" w:eastAsia="宋体" w:cs="宋体"/>
                <w:bCs/>
                <w:color w:val="000000" w:themeColor="text1"/>
                <w:spacing w:val="2"/>
                <w:sz w:val="24"/>
              </w:rPr>
              <w:t xml:space="preserve">项目概况</w:t>
            </w:r>
            <w:r/>
          </w:p>
          <w:p>
            <w:pPr>
              <w:ind w:firstLine="480"/>
              <w:spacing w:line="360" w:lineRule="auto"/>
              <w:rPr>
                <w:rStyle w:val="931"/>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新北区西夏墅镇天堂园焚烧炉采购项目的潜在投标人应在“苏采云”系统获取招标文件，并于2025年</w:t>
            </w:r>
            <w:r>
              <w:rPr>
                <w:rFonts w:hint="eastAsia"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t xml:space="preserve">日09点30分（北京时间）前提交投标文件。</w:t>
            </w:r>
            <w:r/>
          </w:p>
        </w:tc>
      </w:tr>
    </w:tbl>
    <w:p>
      <w:pPr>
        <w:ind w:left="229" w:hanging="229"/>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一、项目基本情况</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1.项目编号：</w:t>
      </w:r>
      <w:r>
        <w:rPr>
          <w:rFonts w:hint="eastAsia" w:ascii="宋体" w:hAnsi="宋体" w:eastAsia="宋体" w:cs="宋体"/>
          <w:color w:val="000000" w:themeColor="text1"/>
          <w:sz w:val="24"/>
          <w:szCs w:val="24"/>
        </w:rPr>
        <w:t xml:space="preserve">JSZC-320411-CZJC-G2025-0105</w:t>
      </w:r>
      <w:r/>
    </w:p>
    <w:p>
      <w:pPr>
        <w:ind w:firstLine="480"/>
        <w:spacing w:line="360" w:lineRule="auto"/>
        <w:rPr>
          <w:rStyle w:val="931"/>
          <w:rFonts w:hint="eastAsia" w:ascii="宋体" w:hAnsi="宋体" w:eastAsia="宋体" w:cs="宋体"/>
          <w:bCs/>
          <w:color w:val="000000" w:themeColor="text1"/>
          <w:sz w:val="24"/>
        </w:rPr>
      </w:pPr>
      <w:r>
        <w:rPr>
          <w:rFonts w:hint="eastAsia" w:ascii="宋体" w:hAnsi="宋体" w:eastAsia="宋体" w:cs="宋体"/>
          <w:color w:val="000000" w:themeColor="text1"/>
          <w:sz w:val="24"/>
          <w:szCs w:val="24"/>
        </w:rPr>
        <w:t xml:space="preserve">2.项目名称：</w:t>
      </w:r>
      <w:bookmarkStart w:id="2" w:name="OLE_LINK1"/>
      <w:r>
        <w:rPr>
          <w:rStyle w:val="931"/>
          <w:rFonts w:hint="eastAsia" w:ascii="宋体" w:hAnsi="宋体" w:eastAsia="宋体" w:cs="宋体"/>
          <w:bCs/>
          <w:color w:val="000000" w:themeColor="text1"/>
          <w:sz w:val="24"/>
        </w:rPr>
        <w:t xml:space="preserve">新北区西夏墅镇天堂园焚烧炉采购项目</w:t>
      </w:r>
      <w:bookmarkEnd w:id="2"/>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3.采购方式：公开招标</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4.预算金额：</w:t>
      </w:r>
      <w:r>
        <w:rPr>
          <w:rFonts w:hint="eastAsia" w:ascii="宋体" w:hAnsi="宋体" w:eastAsia="宋体" w:cs="宋体"/>
          <w:color w:val="000000" w:themeColor="text1"/>
          <w:sz w:val="24"/>
          <w:szCs w:val="24"/>
        </w:rPr>
        <w:t xml:space="preserve">78</w:t>
      </w:r>
      <w:r>
        <w:rPr>
          <w:rFonts w:hint="eastAsia" w:ascii="宋体" w:hAnsi="宋体" w:eastAsia="宋体" w:cs="宋体"/>
          <w:color w:val="000000" w:themeColor="text1"/>
          <w:sz w:val="24"/>
          <w:szCs w:val="24"/>
        </w:rPr>
        <w:t xml:space="preserve">万元</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5.最高限价（如有）：</w:t>
      </w:r>
      <w:r>
        <w:rPr>
          <w:rFonts w:hint="eastAsia" w:ascii="宋体" w:hAnsi="宋体" w:eastAsia="宋体" w:cs="宋体"/>
          <w:color w:val="000000" w:themeColor="text1"/>
          <w:sz w:val="24"/>
          <w:szCs w:val="24"/>
        </w:rPr>
        <w:t xml:space="preserve">78</w:t>
      </w:r>
      <w:r>
        <w:rPr>
          <w:rFonts w:hint="eastAsia" w:ascii="宋体" w:hAnsi="宋体" w:eastAsia="宋体" w:cs="宋体"/>
          <w:color w:val="000000" w:themeColor="text1"/>
          <w:sz w:val="24"/>
          <w:szCs w:val="24"/>
        </w:rPr>
        <w:t xml:space="preserve">万元</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6.采购需求：</w:t>
      </w:r>
      <w:bookmarkStart w:id="3" w:name="OLE_LINK7"/>
      <w:r/>
      <w:bookmarkStart w:id="4" w:name="OLE_LINK14"/>
      <w:r>
        <w:rPr>
          <w:rFonts w:hint="eastAsia" w:ascii="宋体" w:hAnsi="宋体" w:eastAsia="宋体" w:cs="宋体"/>
          <w:color w:val="000000" w:themeColor="text1"/>
          <w:sz w:val="24"/>
          <w:szCs w:val="24"/>
        </w:rPr>
        <w:t xml:space="preserve">本项目为</w:t>
      </w:r>
      <w:r>
        <w:rPr>
          <w:rStyle w:val="931"/>
          <w:rFonts w:hint="eastAsia" w:ascii="宋体" w:hAnsi="宋体" w:eastAsia="宋体" w:cs="宋体"/>
          <w:bCs/>
          <w:color w:val="000000" w:themeColor="text1"/>
          <w:sz w:val="24"/>
        </w:rPr>
        <w:t xml:space="preserve">新北区西夏墅镇天堂园焚烧炉采购项目</w:t>
      </w:r>
      <w:r>
        <w:rPr>
          <w:rStyle w:val="931"/>
          <w:rFonts w:hint="eastAsia" w:ascii="宋体" w:hAnsi="宋体" w:eastAsia="宋体" w:cs="宋体"/>
          <w:bCs/>
          <w:color w:val="000000" w:themeColor="text1"/>
          <w:sz w:val="24"/>
        </w:rPr>
        <w:t xml:space="preserve">，</w:t>
      </w:r>
      <w:r>
        <w:rPr>
          <w:rFonts w:hint="eastAsia" w:ascii="宋体" w:hAnsi="宋体" w:eastAsia="宋体" w:cs="宋体"/>
          <w:color w:val="000000" w:themeColor="text1"/>
          <w:sz w:val="24"/>
          <w:szCs w:val="24"/>
        </w:rPr>
        <w:t xml:space="preserve">因天堂园需要，采购两套焚烧炉，以及配套的烟雾净化器等设施设备,包括：设备的制造（采购）、运输、装卸、安装、调试、测试、售后服务、技术培训等，直至通过采购单位的验收以及质量保修、免费维保等全部工作</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具体详见招标文件。</w:t>
      </w:r>
      <w:bookmarkEnd w:id="3"/>
      <w:r/>
      <w:bookmarkEnd w:id="4"/>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7.合同履行期限：</w:t>
      </w:r>
      <w:r>
        <w:rPr>
          <w:rFonts w:hint="eastAsia" w:ascii="宋体" w:hAnsi="宋体" w:eastAsia="宋体" w:cs="宋体"/>
          <w:color w:val="000000" w:themeColor="text1"/>
          <w:sz w:val="24"/>
          <w:szCs w:val="24"/>
        </w:rPr>
        <w:t xml:space="preserve">合同签订之日起</w:t>
      </w:r>
      <w:r>
        <w:rPr>
          <w:rFonts w:hint="eastAsia" w:ascii="宋体" w:hAnsi="宋体" w:eastAsia="宋体" w:cs="宋体"/>
          <w:color w:val="000000" w:themeColor="text1"/>
          <w:sz w:val="24"/>
          <w:szCs w:val="24"/>
        </w:rPr>
        <w:t xml:space="preserve">25天</w:t>
      </w:r>
      <w:r>
        <w:rPr>
          <w:rFonts w:hint="eastAsia" w:ascii="宋体" w:hAnsi="宋体" w:eastAsia="宋体" w:cs="宋体"/>
          <w:color w:val="000000" w:themeColor="text1"/>
          <w:sz w:val="24"/>
          <w:szCs w:val="24"/>
        </w:rPr>
        <w:t xml:space="preserve">内完成所有货物的供货、安装，并通过采购人的验收。</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8.本项目是否接受联合体：□是  ■否。</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9.本项目是否接受进口产品响应：</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是  ■否。</w:t>
      </w:r>
      <w:r/>
    </w:p>
    <w:p>
      <w:pPr>
        <w:ind w:left="229" w:hanging="229"/>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二、申请人的资格要求（须同时满足）</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1.满足《中华人民共和国政府采购法》第二十二条规定以及下列情形：</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2.落实政府采购政策需满足的资格要求：</w:t>
      </w:r>
      <w:r/>
    </w:p>
    <w:p>
      <w:pPr>
        <w:ind w:firstLine="480"/>
        <w:spacing w:line="360" w:lineRule="auto"/>
        <w:rPr>
          <w:rFonts w:hint="eastAsia" w:ascii="宋体" w:hAnsi="宋体" w:eastAsia="宋体" w:cs="宋体"/>
          <w:color w:val="000000" w:themeColor="text1"/>
          <w:sz w:val="24"/>
          <w:szCs w:val="24"/>
        </w:rPr>
      </w:pPr>
      <w:r/>
      <w:bookmarkStart w:id="5" w:name="OLE_LINK18"/>
      <w:r>
        <w:rPr>
          <w:rFonts w:hint="eastAsia" w:ascii="宋体" w:hAnsi="宋体" w:eastAsia="宋体" w:cs="宋体"/>
          <w:color w:val="000000" w:themeColor="text1"/>
          <w:sz w:val="24"/>
          <w:szCs w:val="24"/>
        </w:rPr>
        <w:t xml:space="preserve">2.1 中小企业政策</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本项目不专门面向中小企业预留采购份额。</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本项目专门面向  </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themeColor="text1"/>
          <w:sz w:val="24"/>
          <w:szCs w:val="24"/>
          <w:u w:val="single"/>
        </w:rPr>
        <w:t xml:space="preserve">  /  </w:t>
      </w:r>
      <w:r>
        <w:rPr>
          <w:rFonts w:hint="eastAsia" w:ascii="宋体" w:hAnsi="宋体" w:eastAsia="宋体" w:cs="宋体"/>
          <w:color w:val="000000" w:themeColor="text1"/>
          <w:sz w:val="24"/>
          <w:szCs w:val="24"/>
        </w:rPr>
        <w:t xml:space="preserve">。</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 其它落实政府采购政策的资格要求（如有）：</w:t>
      </w:r>
      <w:r>
        <w:rPr>
          <w:rFonts w:hint="eastAsia" w:ascii="宋体" w:hAnsi="宋体" w:eastAsia="宋体" w:cs="宋体"/>
          <w:color w:val="000000" w:themeColor="text1"/>
          <w:sz w:val="24"/>
          <w:szCs w:val="24"/>
          <w:u w:val="single"/>
        </w:rPr>
        <w:t xml:space="preserve">  /  </w:t>
      </w:r>
      <w:r>
        <w:rPr>
          <w:rFonts w:hint="eastAsia" w:ascii="宋体" w:hAnsi="宋体" w:eastAsia="宋体" w:cs="宋体"/>
          <w:color w:val="000000" w:themeColor="text1"/>
          <w:sz w:val="24"/>
          <w:szCs w:val="24"/>
        </w:rPr>
        <w:t xml:space="preserve">。</w:t>
      </w:r>
      <w:bookmarkEnd w:id="5"/>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3.本项目的特定资格要求：</w:t>
      </w:r>
      <w:r/>
    </w:p>
    <w:p>
      <w:pPr>
        <w:ind w:firstLine="480"/>
        <w:spacing w:line="360" w:lineRule="auto"/>
        <w:rPr>
          <w:rFonts w:hint="eastAsia" w:ascii="宋体" w:hAnsi="宋体" w:eastAsia="宋体" w:cs="宋体"/>
          <w:color w:val="000000" w:themeColor="text1"/>
          <w:sz w:val="24"/>
          <w:szCs w:val="24"/>
        </w:rPr>
      </w:pPr>
      <w:r/>
      <w:bookmarkStart w:id="6" w:name="OLE_LINK19"/>
      <w:r>
        <w:rPr>
          <w:rFonts w:hint="eastAsia" w:ascii="宋体" w:hAnsi="宋体" w:eastAsia="宋体" w:cs="宋体"/>
          <w:color w:val="000000" w:themeColor="text1"/>
          <w:sz w:val="24"/>
          <w:szCs w:val="24"/>
        </w:rPr>
        <w:t xml:space="preserve">3.1本项目是否接受分支机构参与投标：□是   ■否；</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 本项目是否属于政府购买服务：</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■否</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3.3其他特定资格要求：</w:t>
      </w:r>
      <w:r>
        <w:rPr>
          <w:rFonts w:hint="eastAsia" w:ascii="宋体" w:hAnsi="宋体" w:eastAsia="宋体" w:cs="宋体"/>
          <w:color w:val="000000" w:themeColor="text1"/>
          <w:sz w:val="24"/>
          <w:szCs w:val="24"/>
          <w:u w:val="single"/>
        </w:rPr>
        <w:t xml:space="preserve">  /  </w:t>
      </w:r>
      <w:r>
        <w:rPr>
          <w:rFonts w:hint="eastAsia" w:ascii="宋体" w:hAnsi="宋体" w:eastAsia="宋体" w:cs="宋体"/>
          <w:color w:val="000000" w:themeColor="text1"/>
          <w:sz w:val="24"/>
          <w:szCs w:val="24"/>
        </w:rPr>
        <w:t xml:space="preserve">。</w:t>
      </w:r>
      <w:bookmarkEnd w:id="6"/>
      <w:r/>
      <w:r/>
    </w:p>
    <w:p>
      <w:pPr>
        <w:ind w:left="229" w:hanging="229"/>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三、获取招标文件</w:t>
      </w:r>
      <w:r/>
    </w:p>
    <w:p>
      <w:pPr>
        <w:pStyle w:val="907"/>
        <w:ind w:firstLine="480"/>
        <w:rPr>
          <w:rFonts w:hint="eastAsia" w:ascii="宋体" w:hAnsi="宋体" w:cs="宋体"/>
          <w:color w:val="000000" w:themeColor="text1"/>
          <w:sz w:val="24"/>
        </w:rPr>
      </w:pPr>
      <w:r>
        <w:rPr>
          <w:rFonts w:hint="eastAsia" w:ascii="宋体" w:hAnsi="宋体" w:cs="宋体"/>
          <w:color w:val="000000" w:themeColor="text1"/>
          <w:sz w:val="24"/>
        </w:rPr>
        <w:t xml:space="preserve">1.时间：自招标文件公告发布之日起5个工作日。</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2.地点：“苏采云”系统</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3.方式：供应商持CA数字认证证书登录“苏采云”系统获取电子版招标文件。</w:t>
      </w:r>
      <w:r/>
    </w:p>
    <w:p>
      <w:pPr>
        <w:ind w:firstLine="480"/>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4.售价：0元。</w:t>
      </w:r>
      <w:r/>
    </w:p>
    <w:p>
      <w:pPr>
        <w:ind w:left="229" w:hanging="229"/>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四、提交投标文件截止时间、开标时间和地点</w:t>
      </w:r>
      <w:r/>
    </w:p>
    <w:p>
      <w:pPr>
        <w:ind w:firstLine="480"/>
        <w:spacing w:line="360" w:lineRule="auto"/>
        <w:rPr>
          <w:rFonts w:hint="eastAsia" w:ascii="宋体" w:hAnsi="宋体" w:eastAsia="宋体" w:cs="宋体"/>
          <w:color w:val="000000" w:themeColor="text1"/>
          <w:sz w:val="24"/>
          <w:szCs w:val="24"/>
        </w:rPr>
      </w:pPr>
      <w:r/>
      <w:bookmarkStart w:id="7" w:name="OLE_LINK4"/>
      <w:r>
        <w:rPr>
          <w:rFonts w:hint="eastAsia" w:ascii="宋体" w:hAnsi="宋体" w:eastAsia="宋体" w:cs="宋体"/>
          <w:color w:val="000000" w:themeColor="text1"/>
          <w:sz w:val="24"/>
        </w:rPr>
        <w:t xml:space="preserve">投标截止时间、开标时间：</w:t>
      </w:r>
      <w:r>
        <w:rPr>
          <w:rFonts w:hint="eastAsia" w:ascii="宋体" w:hAnsi="宋体" w:eastAsia="宋体" w:cs="宋体"/>
          <w:color w:val="000000" w:themeColor="text1"/>
          <w:sz w:val="24"/>
          <w:szCs w:val="24"/>
        </w:rPr>
        <w:t xml:space="preserve">2025年</w:t>
      </w:r>
      <w:r>
        <w:rPr>
          <w:rFonts w:hint="eastAsia"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t xml:space="preserve">月</w:t>
      </w:r>
      <w:r>
        <w:rPr>
          <w:rFonts w:hint="eastAsia"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t xml:space="preserve">日</w:t>
      </w:r>
      <w:r>
        <w:rPr>
          <w:rFonts w:hint="eastAsia" w:ascii="宋体" w:hAnsi="宋体" w:eastAsia="宋体" w:cs="宋体"/>
          <w:color w:val="000000" w:themeColor="text1"/>
          <w:sz w:val="24"/>
          <w:szCs w:val="24"/>
        </w:rPr>
        <w:t xml:space="preserve">09</w:t>
      </w:r>
      <w:r>
        <w:rPr>
          <w:rFonts w:hint="eastAsia" w:ascii="宋体" w:hAnsi="宋体" w:eastAsia="宋体" w:cs="宋体"/>
          <w:color w:val="000000" w:themeColor="text1"/>
          <w:sz w:val="24"/>
          <w:szCs w:val="24"/>
        </w:rPr>
        <w:t xml:space="preserve">点</w:t>
      </w:r>
      <w:r>
        <w:rPr>
          <w:rFonts w:hint="eastAsia" w:ascii="宋体" w:hAnsi="宋体" w:eastAsia="宋体" w:cs="宋体"/>
          <w:color w:val="000000" w:themeColor="text1"/>
          <w:sz w:val="24"/>
          <w:szCs w:val="24"/>
        </w:rPr>
        <w:t xml:space="preserve">30</w:t>
      </w:r>
      <w:r>
        <w:rPr>
          <w:rFonts w:hint="eastAsia" w:ascii="宋体" w:hAnsi="宋体" w:eastAsia="宋体" w:cs="宋体"/>
          <w:color w:val="000000" w:themeColor="text1"/>
          <w:sz w:val="24"/>
          <w:szCs w:val="24"/>
        </w:rPr>
        <w:t xml:space="preserve">分（北京时间）。</w:t>
      </w:r>
      <w:bookmarkEnd w:id="7"/>
      <w:r/>
      <w:r/>
    </w:p>
    <w:p>
      <w:pPr>
        <w:ind w:firstLine="480"/>
        <w:spacing w:line="360" w:lineRule="auto"/>
        <w:rPr>
          <w:rFonts w:hint="eastAsia" w:ascii="宋体" w:hAnsi="宋体" w:eastAsia="宋体" w:cs="宋体"/>
          <w:color w:val="000000" w:themeColor="text1"/>
          <w:sz w:val="24"/>
        </w:rPr>
      </w:pPr>
      <w:r/>
      <w:bookmarkStart w:id="8" w:name="_Toc28359084"/>
      <w:r/>
      <w:bookmarkStart w:id="9" w:name="_Toc35393794"/>
      <w:r/>
      <w:bookmarkStart w:id="10" w:name="_Toc28359007"/>
      <w:r/>
      <w:bookmarkStart w:id="11" w:name="_Toc35393625"/>
      <w:r>
        <w:rPr>
          <w:rFonts w:hint="eastAsia" w:ascii="宋体" w:hAnsi="宋体" w:eastAsia="宋体" w:cs="宋体"/>
          <w:color w:val="000000" w:themeColor="text1"/>
          <w:sz w:val="24"/>
        </w:rPr>
        <w:t xml:space="preserve">地点：“苏采云”系统“开标大厅”。</w:t>
      </w:r>
      <w:r/>
    </w:p>
    <w:p>
      <w:pPr>
        <w:ind w:left="229" w:hanging="229"/>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五、公告期限</w:t>
      </w:r>
      <w:bookmarkEnd w:id="8"/>
      <w:r/>
      <w:bookmarkEnd w:id="9"/>
      <w:r/>
      <w:bookmarkEnd w:id="10"/>
      <w:r/>
      <w:bookmarkEnd w:id="11"/>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自本公告发布之日起5个工作日。</w:t>
      </w:r>
      <w:r/>
    </w:p>
    <w:p>
      <w:pPr>
        <w:numPr>
          <w:ilvl w:val="0"/>
          <w:numId w:val="1"/>
        </w:numPr>
        <w:ind w:left="229" w:hanging="229"/>
        <w:spacing w:line="360" w:lineRule="auto"/>
        <w:rPr>
          <w:rFonts w:hint="eastAsia" w:ascii="宋体" w:hAnsi="宋体" w:eastAsia="宋体" w:cs="宋体"/>
          <w:b/>
          <w:color w:val="000000" w:themeColor="text1"/>
          <w:sz w:val="24"/>
          <w:szCs w:val="24"/>
        </w:rPr>
      </w:pPr>
      <w:r/>
      <w:bookmarkStart w:id="12" w:name="_Toc35393626"/>
      <w:r/>
      <w:bookmarkStart w:id="13" w:name="_Toc35393795"/>
      <w:r>
        <w:rPr>
          <w:rFonts w:hint="eastAsia" w:ascii="宋体" w:hAnsi="宋体" w:eastAsia="宋体" w:cs="宋体"/>
          <w:b/>
          <w:color w:val="000000" w:themeColor="text1"/>
          <w:sz w:val="24"/>
          <w:szCs w:val="24"/>
        </w:rPr>
        <w:t xml:space="preserve">其他补充事宜</w:t>
      </w:r>
      <w:bookmarkEnd w:id="12"/>
      <w:r/>
      <w:bookmarkEnd w:id="13"/>
      <w:r/>
      <w:r/>
    </w:p>
    <w:p>
      <w:pPr>
        <w:ind w:firstLine="480"/>
        <w:jc w:val="left"/>
        <w:spacing w:line="360" w:lineRule="auto"/>
        <w:rPr>
          <w:rFonts w:hint="eastAsia" w:ascii="宋体" w:hAnsi="宋体" w:eastAsia="宋体" w:cs="宋体"/>
          <w:b/>
          <w:color w:val="000000" w:themeColor="text1"/>
          <w:sz w:val="24"/>
          <w:szCs w:val="24"/>
        </w:rPr>
      </w:pPr>
      <w:r/>
      <w:bookmarkStart w:id="14" w:name="OLE_LINK16"/>
      <w:r>
        <w:rPr>
          <w:rFonts w:hint="eastAsia" w:ascii="宋体" w:hAnsi="宋体" w:eastAsia="宋体" w:cs="宋体"/>
          <w:color w:val="000000" w:themeColor="text1"/>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 根据省财政厅《关于更换全省政府采购交易系统C A数字证书和电子签</w:t>
      </w:r>
      <w:r>
        <w:rPr>
          <w:rFonts w:hint="eastAsia" w:ascii="宋体" w:hAnsi="宋体" w:eastAsia="宋体" w:cs="宋体"/>
          <w:color w:val="000000" w:themeColor="text1"/>
          <w:sz w:val="24"/>
          <w:szCs w:val="24"/>
        </w:rPr>
        <w:t xml:space="preserve">章的通知》（苏财购〔2023〕101号），“苏采云”政府采购交易系统（以下简称苏采云系统）的CA数字证书、电子签章已更换为江苏省电子政务证书认证中心C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4.关于常州市中小企业政府采购信用融资：</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End w:id="14"/>
      <w:r/>
      <w:r/>
    </w:p>
    <w:p>
      <w:pPr>
        <w:ind w:left="229" w:hanging="229"/>
        <w:spacing w:line="360" w:lineRule="auto"/>
        <w:rPr>
          <w:rFonts w:hint="eastAsia" w:ascii="宋体" w:hAnsi="宋体" w:eastAsia="宋体" w:cs="宋体"/>
          <w:b/>
          <w:color w:val="000000" w:themeColor="text1"/>
          <w:sz w:val="24"/>
          <w:szCs w:val="24"/>
        </w:rPr>
      </w:pPr>
      <w:r/>
      <w:bookmarkStart w:id="15" w:name="_Toc35393627"/>
      <w:r/>
      <w:bookmarkStart w:id="16" w:name="_Toc28359008"/>
      <w:r/>
      <w:bookmarkStart w:id="17" w:name="_Toc28359085"/>
      <w:r/>
      <w:bookmarkStart w:id="18" w:name="_Toc35393796"/>
      <w:r>
        <w:rPr>
          <w:rFonts w:hint="eastAsia" w:ascii="宋体" w:hAnsi="宋体" w:eastAsia="宋体" w:cs="宋体"/>
          <w:b/>
          <w:color w:val="000000" w:themeColor="text1"/>
          <w:sz w:val="24"/>
          <w:szCs w:val="24"/>
        </w:rPr>
        <w:t xml:space="preserve">七、对本项目提出询问，请按以下方式联系。</w:t>
      </w:r>
      <w:bookmarkEnd w:id="15"/>
      <w:r/>
      <w:bookmarkEnd w:id="16"/>
      <w:r/>
      <w:bookmarkEnd w:id="17"/>
      <w:r/>
      <w:bookmarkEnd w:id="18"/>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w:t>
      </w:r>
      <w:r/>
    </w:p>
    <w:p>
      <w:pPr>
        <w:ind w:firstLine="480"/>
        <w:spacing w:line="360" w:lineRule="auto"/>
        <w:rPr>
          <w:rFonts w:hint="eastAsia" w:ascii="宋体" w:hAnsi="宋体" w:eastAsia="宋体" w:cs="宋体"/>
          <w:color w:val="000000" w:themeColor="text1"/>
          <w:sz w:val="24"/>
          <w:szCs w:val="24"/>
        </w:rPr>
      </w:pPr>
      <w:r/>
      <w:bookmarkStart w:id="19" w:name="_Toc28359086"/>
      <w:r/>
      <w:bookmarkStart w:id="20" w:name="_Toc28359009"/>
      <w:r>
        <w:rPr>
          <w:rFonts w:hint="eastAsia" w:ascii="宋体" w:hAnsi="宋体" w:eastAsia="宋体" w:cs="宋体"/>
          <w:color w:val="000000" w:themeColor="text1"/>
          <w:sz w:val="24"/>
          <w:szCs w:val="24"/>
        </w:rPr>
        <w:t xml:space="preserve">单位名称：</w:t>
      </w:r>
      <w:r>
        <w:rPr>
          <w:rFonts w:hint="eastAsia" w:ascii="宋体" w:hAnsi="宋体" w:eastAsia="宋体" w:cs="宋体"/>
          <w:color w:val="000000" w:themeColor="text1"/>
          <w:sz w:val="24"/>
          <w:szCs w:val="24"/>
        </w:rPr>
        <w:t xml:space="preserve">常州市新北区西夏墅镇人民政府</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单位地址：</w:t>
      </w:r>
      <w:r>
        <w:rPr>
          <w:rFonts w:hint="eastAsia" w:ascii="宋体" w:hAnsi="宋体" w:eastAsia="宋体" w:cs="宋体"/>
          <w:color w:val="000000" w:themeColor="text1"/>
          <w:sz w:val="24"/>
          <w:szCs w:val="24"/>
        </w:rPr>
        <w:t xml:space="preserve">常州市新北区西夏墅镇阳澄湖路231号</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联系人：</w:t>
      </w:r>
      <w:r>
        <w:rPr>
          <w:rFonts w:hint="eastAsia" w:ascii="宋体" w:hAnsi="宋体" w:eastAsia="宋体" w:cs="宋体"/>
          <w:color w:val="000000" w:themeColor="text1"/>
          <w:sz w:val="24"/>
          <w:szCs w:val="24"/>
        </w:rPr>
        <w:t xml:space="preserve">刘女士</w:t>
      </w:r>
      <w:r/>
    </w:p>
    <w:p>
      <w:pPr>
        <w:ind w:firstLine="480"/>
        <w:spacing w:line="360" w:lineRule="auto"/>
        <w:rPr>
          <w:color w:val="000000" w:themeColor="text1"/>
        </w:rPr>
      </w:pPr>
      <w:r>
        <w:rPr>
          <w:rFonts w:hint="eastAsia" w:ascii="宋体" w:hAnsi="宋体" w:eastAsia="宋体" w:cs="宋体"/>
          <w:color w:val="000000" w:themeColor="text1"/>
          <w:sz w:val="24"/>
          <w:szCs w:val="24"/>
        </w:rPr>
        <w:t xml:space="preserve">联系电话：0519-</w:t>
      </w:r>
      <w:r>
        <w:rPr>
          <w:rFonts w:hint="eastAsia" w:ascii="宋体" w:hAnsi="宋体" w:eastAsia="宋体" w:cs="宋体"/>
          <w:color w:val="000000" w:themeColor="text1"/>
          <w:sz w:val="24"/>
          <w:szCs w:val="24"/>
        </w:rPr>
        <w:t xml:space="preserve">83438125</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2.采购代理机构信息</w:t>
      </w:r>
      <w:bookmarkEnd w:id="19"/>
      <w:r/>
      <w:bookmarkEnd w:id="20"/>
      <w:r/>
      <w:r/>
    </w:p>
    <w:p>
      <w:pPr>
        <w:ind w:firstLine="480"/>
        <w:spacing w:line="360" w:lineRule="auto"/>
        <w:rPr>
          <w:rFonts w:hint="eastAsia" w:ascii="宋体" w:hAnsi="宋体" w:eastAsia="宋体" w:cs="宋体"/>
          <w:color w:val="000000" w:themeColor="text1"/>
          <w:sz w:val="24"/>
          <w:szCs w:val="24"/>
        </w:rPr>
      </w:pPr>
      <w:r/>
      <w:bookmarkStart w:id="21" w:name="_Toc28359010"/>
      <w:r/>
      <w:bookmarkStart w:id="22" w:name="_Toc28359087"/>
      <w:r>
        <w:rPr>
          <w:rFonts w:hint="eastAsia" w:ascii="宋体" w:hAnsi="宋体" w:eastAsia="宋体" w:cs="宋体"/>
          <w:color w:val="000000" w:themeColor="text1"/>
          <w:sz w:val="24"/>
          <w:szCs w:val="24"/>
        </w:rPr>
        <w:t xml:space="preserve">单位名称：常州金诚招投标有限公司</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单位地址：常州市新北区汉江路368号金城大厦1910室</w:t>
      </w:r>
      <w:r/>
    </w:p>
    <w:p>
      <w:pPr>
        <w:ind w:firstLine="480"/>
        <w:spacing w:line="360" w:lineRule="auto"/>
        <w:rPr>
          <w:rFonts w:eastAsia="宋体"/>
          <w:color w:val="000000" w:themeColor="text1"/>
        </w:rPr>
      </w:pPr>
      <w:r>
        <w:rPr>
          <w:rFonts w:hint="eastAsia" w:ascii="宋体" w:hAnsi="宋体" w:eastAsia="宋体" w:cs="宋体"/>
          <w:color w:val="000000" w:themeColor="text1"/>
          <w:sz w:val="24"/>
          <w:szCs w:val="24"/>
        </w:rPr>
        <w:t xml:space="preserve">联系人:</w:t>
      </w:r>
      <w:r>
        <w:rPr>
          <w:rFonts w:hint="eastAsia" w:ascii="宋体" w:hAnsi="宋体" w:eastAsia="宋体" w:cs="宋体"/>
          <w:color w:val="000000" w:themeColor="text1"/>
          <w:sz w:val="24"/>
          <w:szCs w:val="24"/>
        </w:rPr>
        <w:t xml:space="preserve">刘女士</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联系方式：0519-85183350</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3.项目联系方式</w:t>
      </w:r>
      <w:bookmarkEnd w:id="21"/>
      <w:r/>
      <w:bookmarkEnd w:id="22"/>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w:t>
      </w:r>
      <w:r>
        <w:rPr>
          <w:rFonts w:hint="eastAsia" w:ascii="宋体" w:hAnsi="宋体" w:eastAsia="宋体" w:cs="宋体"/>
          <w:color w:val="000000" w:themeColor="text1"/>
          <w:sz w:val="24"/>
          <w:szCs w:val="24"/>
        </w:rPr>
        <w:t xml:space="preserve">刘女士</w:t>
      </w:r>
      <w:r/>
    </w:p>
    <w:p>
      <w:pPr>
        <w:ind w:firstLine="480"/>
        <w:spacing w:line="360" w:lineRule="auto"/>
        <w:rPr>
          <w:rFonts w:hint="eastAsia" w:ascii="宋体" w:hAnsi="宋体" w:eastAsia="宋体" w:cs="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000000" w:themeColor="text1"/>
          <w:sz w:val="24"/>
          <w:szCs w:val="24"/>
        </w:rPr>
        <w:t xml:space="preserve">电      话：0519-85183350</w:t>
      </w:r>
      <w:r/>
    </w:p>
    <w:p>
      <w:pPr>
        <w:pStyle w:val="898"/>
        <w:ind w:left="343" w:hanging="343"/>
        <w:rPr>
          <w:rFonts w:hint="eastAsia" w:ascii="宋体" w:hAnsi="宋体" w:eastAsia="宋体" w:cs="宋体"/>
          <w:color w:val="000000" w:themeColor="text1"/>
        </w:rPr>
      </w:pPr>
      <w:r/>
      <w:bookmarkStart w:id="23" w:name="_Toc4508"/>
      <w:r>
        <w:rPr>
          <w:rFonts w:hint="eastAsia" w:ascii="宋体" w:hAnsi="宋体" w:eastAsia="宋体" w:cs="宋体"/>
          <w:color w:val="000000" w:themeColor="text1"/>
        </w:rPr>
        <w:t xml:space="preserve">第二章 投标人须知</w:t>
      </w:r>
      <w:bookmarkEnd w:id="23"/>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投标人须知资料表</w:t>
      </w:r>
      <w:r/>
    </w:p>
    <w:p>
      <w:pPr>
        <w:ind w:left="228" w:hanging="228"/>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本表是对投标人须知的具体补充和修改，如有矛盾，均以本资料表为准。</w:t>
      </w:r>
      <w:r/>
    </w:p>
    <w:p>
      <w:pPr>
        <w:ind w:left="228" w:hanging="228"/>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标记“</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”的选项意为适用于本项目，标记“</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”的选项意为不适用于本项目</w:t>
      </w:r>
      <w:r>
        <w:rPr>
          <w:rFonts w:hint="eastAsia" w:ascii="宋体" w:hAnsi="宋体" w:eastAsia="宋体" w:cs="宋体"/>
          <w:color w:val="000000" w:themeColor="text1"/>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项目属性：</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□服务</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是否属于科研仪器设备采购项目：</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□是</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■否</w:t>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□关于核心产品本项目不适用。</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■本项目为单一产品采购项目。</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□本项目为非单一产品采购项目，核心产品为：</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■不组织</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□组织，考察时间：__年_月_日_点_分</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■不召开</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□召开，召开时间：__年_月_日_点_分</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投标样品递交：</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■不需要</w:t>
            </w:r>
            <w:r/>
          </w:p>
          <w:p>
            <w:pPr>
              <w:ind w:left="228" w:hanging="228"/>
              <w:jc w:val="left"/>
              <w:spacing w:line="276" w:lineRule="auto"/>
              <w:rPr>
                <w:rFonts w:hint="eastAsia" w:ascii="宋体" w:hAnsi="宋体" w:eastAsia="宋体" w:cs="宋体"/>
                <w:color w:val="000000" w:themeColor="text1"/>
                <w:sz w:val="24"/>
                <w:szCs w:val="24"/>
              </w:rPr>
            </w:pPr>
            <w:r>
              <w:rPr>
                <w:rFonts w:ascii="Wingdings 2" w:hAnsi="Wingdings 2" w:eastAsia="Wingdings 2" w:cs="Wingdings 2"/>
                <w:color w:val="000000" w:themeColor="text1"/>
                <w:sz w:val="24"/>
                <w:szCs w:val="24"/>
              </w:rPr>
              <w:t xml:space="preserve">£</w:t>
            </w:r>
            <w:r>
              <w:rPr>
                <w:rFonts w:hint="eastAsia" w:ascii="宋体" w:hAnsi="宋体" w:eastAsia="宋体" w:cs="宋体"/>
                <w:color w:val="000000" w:themeColor="text1"/>
                <w:sz w:val="24"/>
                <w:szCs w:val="24"/>
              </w:rPr>
              <w:t xml:space="preserve">需要，具体要求如下：</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（1）样品制作的标准和要求：详见采购需求</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（2）是否需要随样品提交相关检测报告：不需要</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（3）样品递交要求：详见采购需求</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（4）未中标人样品退还：详见采购需求</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（5）中标人样品保管、封存及退还：详见采购需求</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本项目采购标的对应的中小企业划分标准所属行业：</w:t>
            </w:r>
            <w:r>
              <w:rPr>
                <w:rFonts w:hint="eastAsia" w:ascii="宋体" w:hAnsi="宋体" w:eastAsia="宋体" w:cs="宋体"/>
                <w:color w:val="000000" w:themeColor="text1"/>
                <w:sz w:val="24"/>
                <w:szCs w:val="24"/>
              </w:rPr>
              <w:t xml:space="preserve">工业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投标报价的特殊规定：</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■无</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本项目的非主体、非关键性工作是否允许分包：</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■不允许</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□允许，具体要求：</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（1）可以分包履行的具体内容：_____；</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（2）允许分包的金额或者比例：_____；</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接收询问和质疑的联系方式</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联系部门：常州金诚招投标有限公司；</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联系电话：0519-85183350；</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通讯地址：常州市新北区汉江路368号金城大厦1910室常州金诚招投标有限公司（综合办公室）。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收费对象：</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■中标人</w:t>
            </w:r>
            <w:r/>
          </w:p>
          <w:p>
            <w:pPr>
              <w:ind w:left="228" w:hanging="228"/>
              <w:jc w:val="left"/>
              <w:spacing w:line="276" w:lineRule="auto"/>
              <w:rPr>
                <w:rFonts w:hint="eastAsia" w:ascii="宋体" w:hAnsi="宋体" w:eastAsia="宋体" w:cs="宋体"/>
                <w:color w:val="000000" w:themeColor="text1"/>
                <w:sz w:val="24"/>
                <w:lang w:val="zh-TW"/>
              </w:rPr>
            </w:pPr>
            <w:r>
              <w:rPr>
                <w:rFonts w:hint="eastAsia" w:ascii="宋体" w:hAnsi="宋体" w:eastAsia="宋体" w:cs="宋体"/>
                <w:color w:val="000000" w:themeColor="text1"/>
                <w:sz w:val="24"/>
                <w:lang w:val="zh-TW"/>
              </w:rPr>
              <w:t xml:space="preserve">收费标准：以</w:t>
            </w:r>
            <w:r>
              <w:rPr>
                <w:rFonts w:hint="eastAsia" w:ascii="宋体" w:hAnsi="宋体" w:eastAsia="宋体" w:cs="宋体"/>
                <w:color w:val="000000" w:themeColor="text1"/>
                <w:sz w:val="24"/>
              </w:rPr>
              <w:t xml:space="preserve">中标</w:t>
            </w:r>
            <w:r>
              <w:rPr>
                <w:rFonts w:hint="eastAsia" w:ascii="宋体" w:hAnsi="宋体" w:eastAsia="宋体" w:cs="宋体"/>
                <w:color w:val="000000" w:themeColor="text1"/>
                <w:sz w:val="24"/>
                <w:lang w:val="zh-TW"/>
              </w:rPr>
              <w:t xml:space="preserve">金额为基数，100万以下*1.5%</w:t>
            </w:r>
            <w:r>
              <w:rPr>
                <w:rFonts w:hint="eastAsia" w:ascii="宋体" w:hAnsi="宋体" w:eastAsia="宋体" w:cs="宋体"/>
                <w:color w:val="000000" w:themeColor="text1"/>
                <w:sz w:val="24"/>
              </w:rPr>
              <w:t xml:space="preserve">（不满3000元按3000元计取）</w:t>
            </w:r>
            <w:r>
              <w:rPr>
                <w:rFonts w:hint="eastAsia" w:ascii="宋体" w:hAnsi="宋体" w:eastAsia="宋体" w:cs="宋体"/>
                <w:color w:val="000000" w:themeColor="text1"/>
                <w:sz w:val="24"/>
                <w:lang w:val="zh-TW"/>
              </w:rPr>
              <w:t xml:space="preserve">。代理服务费按上述标准计算并一次性缴纳。</w:t>
            </w:r>
            <w:r/>
          </w:p>
          <w:p>
            <w:pPr>
              <w:ind w:left="228" w:hanging="228"/>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■免收</w:t>
            </w:r>
            <w:r/>
          </w:p>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中标人在签订合同前向代理机构提供正本1套纸质投标文件。</w:t>
            </w:r>
            <w:r/>
          </w:p>
        </w:tc>
      </w:tr>
    </w:tbl>
    <w:p>
      <w:pPr>
        <w:ind w:left="228" w:hanging="228"/>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br w:type="page" w:clear="all"/>
      </w:r>
      <w:r/>
    </w:p>
    <w:p>
      <w:pPr>
        <w:ind w:left="228" w:hanging="228"/>
        <w:jc w:val="left"/>
        <w:widowControl/>
        <w:rPr>
          <w:rFonts w:hint="eastAsia" w:ascii="宋体" w:hAnsi="宋体" w:eastAsia="宋体" w:cs="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rPr>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投标人须知</w:t>
      </w:r>
      <w:r/>
    </w:p>
    <w:p>
      <w:pPr>
        <w:ind w:left="267" w:hanging="267"/>
        <w:jc w:val="center"/>
        <w:spacing w:line="360" w:lineRule="auto"/>
        <w:rPr>
          <w:rFonts w:hint="eastAsia" w:ascii="宋体" w:hAnsi="宋体" w:eastAsia="宋体" w:cs="宋体"/>
          <w:b/>
          <w:color w:val="000000" w:themeColor="text1"/>
          <w:sz w:val="28"/>
          <w:szCs w:val="28"/>
        </w:rPr>
      </w:pPr>
      <w:r/>
      <w:bookmarkStart w:id="24" w:name="_Toc150774723"/>
      <w:r/>
      <w:bookmarkStart w:id="25" w:name="_Toc142311020"/>
      <w:r/>
      <w:bookmarkStart w:id="26" w:name="_Toc226965708"/>
      <w:r/>
      <w:bookmarkStart w:id="27" w:name="_Toc305158860"/>
      <w:r/>
      <w:bookmarkStart w:id="28" w:name="_Toc151193906"/>
      <w:r/>
      <w:bookmarkStart w:id="29" w:name="_Toc226337214"/>
      <w:r/>
      <w:bookmarkStart w:id="30" w:name="_Toc151193688"/>
      <w:r/>
      <w:bookmarkStart w:id="31" w:name="_Toc150509269"/>
      <w:r/>
      <w:bookmarkStart w:id="32" w:name="_Toc150480756"/>
      <w:r/>
      <w:bookmarkStart w:id="33" w:name="_Toc226965791"/>
      <w:r/>
      <w:bookmarkStart w:id="34" w:name="_Toc151193616"/>
      <w:r/>
      <w:bookmarkStart w:id="35" w:name="_Toc150774618"/>
      <w:r/>
      <w:bookmarkStart w:id="36" w:name="_Toc151193832"/>
      <w:r/>
      <w:bookmarkStart w:id="37" w:name="_Toc226309762"/>
      <w:r/>
      <w:bookmarkStart w:id="38" w:name="_Toc195842883"/>
      <w:r/>
      <w:bookmarkStart w:id="39" w:name="_Toc151190145"/>
      <w:r/>
      <w:bookmarkStart w:id="40" w:name="_Toc151193760"/>
      <w:r/>
      <w:bookmarkStart w:id="41" w:name="_Toc264969208"/>
      <w:r/>
      <w:bookmarkStart w:id="42" w:name="_Toc305158786"/>
      <w:r/>
      <w:bookmarkStart w:id="43" w:name="_Toc265228356"/>
      <w:r>
        <w:rPr>
          <w:rFonts w:hint="eastAsia" w:ascii="宋体" w:hAnsi="宋体" w:eastAsia="宋体" w:cs="宋体"/>
          <w:b/>
          <w:color w:val="000000" w:themeColor="text1"/>
          <w:sz w:val="28"/>
          <w:szCs w:val="28"/>
        </w:rPr>
        <w:t xml:space="preserve">一、说  明</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pStyle w:val="935"/>
        <w:numPr>
          <w:ilvl w:val="0"/>
          <w:numId w:val="2"/>
        </w:numPr>
        <w:jc w:val="left"/>
        <w:spacing w:line="360" w:lineRule="auto"/>
        <w:rPr>
          <w:rFonts w:hint="eastAsia" w:ascii="宋体" w:hAnsi="宋体" w:eastAsia="宋体" w:cs="宋体"/>
          <w:color w:val="000000" w:themeColor="text1"/>
          <w:sz w:val="24"/>
          <w:szCs w:val="24"/>
        </w:rPr>
      </w:pPr>
      <w:r/>
      <w:bookmarkStart w:id="44" w:name="_Toc305158787"/>
      <w:r/>
      <w:bookmarkStart w:id="45" w:name="_Toc265228357"/>
      <w:r/>
      <w:bookmarkStart w:id="46" w:name="_Toc305158861"/>
      <w:r/>
      <w:bookmarkStart w:id="47" w:name="_Toc264969209"/>
      <w:r/>
      <w:bookmarkStart w:id="48" w:name="_Toc305158864"/>
      <w:r/>
      <w:bookmarkStart w:id="49" w:name="_Toc150509273"/>
      <w:r/>
      <w:bookmarkStart w:id="50" w:name="_Toc150774622"/>
      <w:r/>
      <w:bookmarkStart w:id="51" w:name="_Toc195842887"/>
      <w:r/>
      <w:bookmarkStart w:id="52" w:name="_Toc142311024"/>
      <w:r/>
      <w:bookmarkStart w:id="53" w:name="_Toc151193910"/>
      <w:r/>
      <w:bookmarkStart w:id="54" w:name="_Toc520356146"/>
      <w:r/>
      <w:bookmarkStart w:id="55" w:name="_Toc151193764"/>
      <w:r/>
      <w:bookmarkStart w:id="56" w:name="_Toc151193620"/>
      <w:r/>
      <w:bookmarkStart w:id="57" w:name="_Toc226965795"/>
      <w:r/>
      <w:bookmarkStart w:id="58" w:name="_Toc150774727"/>
      <w:r/>
      <w:bookmarkStart w:id="59" w:name="_Toc151193692"/>
      <w:r/>
      <w:bookmarkStart w:id="60" w:name="_Toc226965712"/>
      <w:r/>
      <w:bookmarkStart w:id="61" w:name="_Toc264969212"/>
      <w:r/>
      <w:bookmarkStart w:id="62" w:name="_Toc151190149"/>
      <w:r/>
      <w:bookmarkStart w:id="63" w:name="_Toc265228360"/>
      <w:r/>
      <w:bookmarkStart w:id="64" w:name="_Toc151193836"/>
      <w:r/>
      <w:bookmarkStart w:id="65" w:name="_Toc226309766"/>
      <w:r/>
      <w:bookmarkStart w:id="66" w:name="_Toc226337218"/>
      <w:r/>
      <w:bookmarkStart w:id="67" w:name="_Toc305158790"/>
      <w:r/>
      <w:bookmarkStart w:id="68" w:name="_Toc127151522"/>
      <w:r/>
      <w:bookmarkStart w:id="69" w:name="_Toc150480760"/>
      <w:r>
        <w:rPr>
          <w:rFonts w:hint="eastAsia" w:ascii="宋体" w:hAnsi="宋体" w:eastAsia="宋体" w:cs="宋体"/>
          <w:color w:val="000000" w:themeColor="text1"/>
          <w:sz w:val="24"/>
        </w:rPr>
        <w:t xml:space="preserve">采购人、采购代理机构、投标人</w:t>
      </w:r>
      <w:bookmarkEnd w:id="44"/>
      <w:r/>
      <w:bookmarkEnd w:id="45"/>
      <w:r/>
      <w:bookmarkEnd w:id="46"/>
      <w:r/>
      <w:bookmarkEnd w:id="47"/>
      <w:r>
        <w:rPr>
          <w:rFonts w:hint="eastAsia" w:ascii="宋体" w:hAnsi="宋体" w:eastAsia="宋体" w:cs="宋体"/>
          <w:color w:val="000000" w:themeColor="text1"/>
          <w:sz w:val="24"/>
        </w:rPr>
        <w:t xml:space="preserve">、联合体</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themeColor="text1"/>
          <w:sz w:val="24"/>
          <w:szCs w:val="24"/>
        </w:rPr>
        <w:t xml:space="preserve">。</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投标人（也称“供应商”、“申请人”）：指向采购人提供货物、工程或者服务的法人、其他组织或者自然人</w:t>
      </w:r>
      <w:r>
        <w:rPr>
          <w:rFonts w:hint="eastAsia" w:ascii="宋体" w:hAnsi="宋体" w:eastAsia="宋体" w:cs="宋体"/>
          <w:color w:val="000000" w:themeColor="text1"/>
          <w:sz w:val="24"/>
          <w:szCs w:val="24"/>
        </w:rPr>
        <w:t xml:space="preserve">。</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s="宋体"/>
          <w:color w:val="000000" w:themeColor="text1"/>
          <w:sz w:val="24"/>
          <w:szCs w:val="24"/>
        </w:rPr>
        <w:t xml:space="preserve">。</w:t>
      </w:r>
      <w:r/>
    </w:p>
    <w:p>
      <w:pPr>
        <w:pStyle w:val="935"/>
        <w:numPr>
          <w:ilvl w:val="0"/>
          <w:numId w:val="3"/>
        </w:numPr>
        <w:jc w:val="left"/>
        <w:spacing w:line="360" w:lineRule="auto"/>
        <w:rPr>
          <w:rFonts w:hint="eastAsia" w:ascii="宋体" w:hAnsi="宋体" w:eastAsia="宋体" w:cs="宋体"/>
          <w:color w:val="000000" w:themeColor="text1"/>
          <w:sz w:val="24"/>
          <w:szCs w:val="24"/>
        </w:rPr>
      </w:pPr>
      <w:r/>
      <w:bookmarkStart w:id="70" w:name="_Toc151190147"/>
      <w:r/>
      <w:bookmarkStart w:id="71" w:name="_Toc164608789"/>
      <w:r/>
      <w:bookmarkStart w:id="72" w:name="_Toc151193834"/>
      <w:r/>
      <w:bookmarkStart w:id="73" w:name="_Toc264969210"/>
      <w:r/>
      <w:bookmarkStart w:id="74" w:name="_Toc305158862"/>
      <w:r/>
      <w:bookmarkStart w:id="75" w:name="_Toc164229215"/>
      <w:r/>
      <w:bookmarkStart w:id="76" w:name="_Toc150774725"/>
      <w:r/>
      <w:bookmarkStart w:id="77" w:name="_Toc305158788"/>
      <w:r/>
      <w:bookmarkStart w:id="78" w:name="_Toc265228358"/>
      <w:r/>
      <w:bookmarkStart w:id="79" w:name="_Toc150774620"/>
      <w:r/>
      <w:bookmarkStart w:id="80" w:name="_Toc226309764"/>
      <w:r/>
      <w:bookmarkStart w:id="81" w:name="_Toc150480758"/>
      <w:r/>
      <w:bookmarkStart w:id="82" w:name="_Toc127161434"/>
      <w:r/>
      <w:bookmarkStart w:id="83" w:name="_Toc226965793"/>
      <w:r/>
      <w:bookmarkStart w:id="84" w:name="_Toc151193908"/>
      <w:r/>
      <w:bookmarkStart w:id="85" w:name="_Toc151193762"/>
      <w:r/>
      <w:bookmarkStart w:id="86" w:name="_Toc164351614"/>
      <w:r/>
      <w:bookmarkStart w:id="87" w:name="_Toc226337216"/>
      <w:r/>
      <w:bookmarkStart w:id="88" w:name="_Toc164229361"/>
      <w:r/>
      <w:bookmarkStart w:id="89" w:name="_Toc226965710"/>
      <w:r/>
      <w:bookmarkStart w:id="90" w:name="_Toc149720813"/>
      <w:r/>
      <w:bookmarkStart w:id="91" w:name="_Toc151193618"/>
      <w:r/>
      <w:bookmarkStart w:id="92" w:name="_Toc142311022"/>
      <w:r/>
      <w:bookmarkStart w:id="93" w:name="_Toc195842885"/>
      <w:r/>
      <w:bookmarkStart w:id="94" w:name="_Toc127151721"/>
      <w:r/>
      <w:bookmarkStart w:id="95" w:name="_Toc164608634"/>
      <w:r/>
      <w:bookmarkStart w:id="96" w:name="_Toc150509271"/>
      <w:r/>
      <w:bookmarkStart w:id="97" w:name="_Toc127151520"/>
      <w:r/>
      <w:bookmarkStart w:id="98" w:name="_Toc151193690"/>
      <w:r>
        <w:rPr>
          <w:rFonts w:hint="eastAsia" w:ascii="宋体" w:hAnsi="宋体" w:eastAsia="宋体" w:cs="宋体"/>
          <w:color w:val="000000" w:themeColor="text1"/>
          <w:sz w:val="24"/>
        </w:rPr>
        <w:t xml:space="preserve">资金来源</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宋体" w:hAnsi="宋体" w:eastAsia="宋体" w:cs="宋体"/>
          <w:color w:val="000000" w:themeColor="text1"/>
          <w:sz w:val="24"/>
        </w:rPr>
        <w:t xml:space="preserve">、项目属性、科研仪器设备采购、核心产品</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资金来源为财政性资金和/或本项目采购中无法与财政性资金分割的非财政性资金</w:t>
      </w:r>
      <w:r>
        <w:rPr>
          <w:rFonts w:hint="eastAsia" w:ascii="宋体" w:hAnsi="宋体" w:eastAsia="宋体" w:cs="宋体"/>
          <w:color w:val="000000" w:themeColor="text1"/>
          <w:sz w:val="24"/>
          <w:szCs w:val="24"/>
        </w:rPr>
        <w:t xml:space="preserve">。</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项目属性见《投标人须知资料表》</w:t>
      </w:r>
      <w:r>
        <w:rPr>
          <w:rFonts w:hint="eastAsia" w:ascii="宋体" w:hAnsi="宋体" w:eastAsia="宋体" w:cs="宋体"/>
          <w:color w:val="000000" w:themeColor="text1"/>
          <w:sz w:val="24"/>
          <w:szCs w:val="24"/>
        </w:rPr>
        <w:t xml:space="preserve">。</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是否属于科研仪器设备采购见《投标人须知资料表》</w:t>
      </w:r>
      <w:r>
        <w:rPr>
          <w:rFonts w:hint="eastAsia" w:ascii="宋体" w:hAnsi="宋体" w:eastAsia="宋体" w:cs="宋体"/>
          <w:color w:val="000000" w:themeColor="text1"/>
          <w:sz w:val="24"/>
          <w:szCs w:val="24"/>
        </w:rPr>
        <w:t xml:space="preserve">。</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核心产品见《投标人须知资料表》。</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现场考察、开标前答疑会</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若《投标人须知资料表》中规定了组织现场考察、召开开标前答疑会，则投标人应按要求在规定的时间和地点参加</w:t>
      </w:r>
      <w:r>
        <w:rPr>
          <w:rFonts w:hint="eastAsia" w:ascii="宋体" w:hAnsi="宋体" w:eastAsia="宋体" w:cs="宋体"/>
          <w:color w:val="000000" w:themeColor="text1"/>
          <w:sz w:val="24"/>
          <w:szCs w:val="24"/>
        </w:rPr>
        <w:t xml:space="preserve">。</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935"/>
        <w:numPr>
          <w:ilvl w:val="0"/>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样品</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本项目是否要求投标人提供样品，以及样品制作的标准和要求、是否需要随样品提交相关检测报告、样品的递交与退还等要求见《投标人须知资料表》。</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样品的评审方法以及评审标准等内容见第四章《评标方法和评标标准》。</w:t>
      </w:r>
      <w:r/>
    </w:p>
    <w:p>
      <w:pPr>
        <w:pStyle w:val="935"/>
        <w:numPr>
          <w:ilvl w:val="0"/>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政府采购政策（包括但不限于下列具体政策要求）</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进口产品</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中小企业、监狱企业及残疾人福利性单位</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中小企业定义</w:t>
      </w:r>
      <w:r/>
    </w:p>
    <w:p>
      <w:pPr>
        <w:pStyle w:val="935"/>
        <w:numPr>
          <w:ilvl w:val="3"/>
          <w:numId w:val="3"/>
        </w:numPr>
        <w:ind w:left="1701"/>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中小企业是</w:t>
      </w:r>
      <w:r>
        <w:rPr>
          <w:rFonts w:hint="eastAsia" w:ascii="宋体" w:hAnsi="宋体" w:eastAsia="宋体" w:cs="宋体"/>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35"/>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935"/>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在货物采购项目中，供应商提供的货物既有中小企业制造货物，也有大型企业制造货物的，不享受中小企业扶持政策。</w:t>
      </w:r>
      <w:r/>
    </w:p>
    <w:p>
      <w:pPr>
        <w:pStyle w:val="935"/>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以联合体形式参加政府采购活动，联合体各方均为中小企业</w:t>
      </w:r>
      <w:r>
        <w:rPr>
          <w:rFonts w:hint="eastAsia" w:ascii="宋体" w:hAnsi="宋体" w:eastAsia="宋体" w:cs="宋体"/>
          <w:color w:val="000000" w:themeColor="text1"/>
          <w:sz w:val="24"/>
        </w:rPr>
        <w:t xml:space="preserve">的，联合体视同中小企业。其中，联合体各方均为小微企业的，联合体视同小微企业。</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残疾人福利单位定义：享受政府采购支持政策的残疾人福利性单位应当同时满足以下条件：</w:t>
      </w:r>
      <w:r/>
    </w:p>
    <w:p>
      <w:pPr>
        <w:pStyle w:val="935"/>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安置的残疾人占本单位在职职工人数的比例不低于25%（含25%），并且安置的残疾人人数不少于10 人（含10 人）；</w:t>
      </w:r>
      <w:r/>
    </w:p>
    <w:p>
      <w:pPr>
        <w:pStyle w:val="935"/>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依法与安置的每位残疾人签订了一年以上（含一年）的劳动合同或服务协议；</w:t>
      </w:r>
      <w:r/>
    </w:p>
    <w:p>
      <w:pPr>
        <w:pStyle w:val="935"/>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为安置的每位残疾人按月足额缴纳了基本养老保险、基本医疗保险、失业保险、工伤保险和生育保险等社会保险费；</w:t>
      </w:r>
      <w:r/>
    </w:p>
    <w:p>
      <w:pPr>
        <w:pStyle w:val="935"/>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通过银行等金融机构向安置的每位残疾人，按月支付了不低于单位所在区县适用的经省级人民政府批准的月最低工资标准的工资</w:t>
      </w:r>
      <w:r/>
    </w:p>
    <w:p>
      <w:pPr>
        <w:pStyle w:val="935"/>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p>
    <w:p>
      <w:pPr>
        <w:pStyle w:val="935"/>
        <w:numPr>
          <w:ilvl w:val="3"/>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本项目是否专门面向中小企业预留采购份额见第一章《投标邀请》。</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采购标的对应的中小企业划分标准所属行业见《投标人须知资料</w:t>
      </w:r>
      <w:r>
        <w:rPr>
          <w:rFonts w:hint="eastAsia" w:ascii="宋体" w:hAnsi="宋体" w:eastAsia="宋体" w:cs="宋体"/>
          <w:color w:val="000000" w:themeColor="text1"/>
          <w:sz w:val="24"/>
        </w:rPr>
        <w:t xml:space="preserve">表》。</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小微企业价格评审优惠的政策调整：见第三章《评标方法和评标标准》。</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政府采购节能产品、环境标志产品</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themeColor="text1"/>
          <w:sz w:val="24"/>
        </w:rPr>
        <w:t xml:space="preserve">否则</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非政府强制采购的节能产品或环境标志产品，依据品目清单和认证证书实施政府优先采购。优先采购的具体规定见第三章《评标方法和评标标准》（如涉及）。</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支持乡村产业振兴管理</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正版软件</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themeColor="text1"/>
          <w:sz w:val="24"/>
        </w:rPr>
        <w:t xml:space="preserve">否则</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政府采购创新产品政策</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采购人要将创新要求嵌入采购项目需求，可在采购文件中设定评审规则，优先采购各级政府部门公开发布的有效期内的创新产</w:t>
      </w:r>
      <w:r>
        <w:rPr>
          <w:rFonts w:hint="eastAsia" w:ascii="宋体" w:hAnsi="宋体" w:eastAsia="宋体" w:cs="宋体"/>
          <w:color w:val="000000" w:themeColor="text1"/>
          <w:sz w:val="24"/>
        </w:rPr>
        <w:t xml:space="preserve">品、创新服务、首台套、首购首用等《目录》的创新产品，上述《目录》内创新产品，自认定之日起2年内视同已具备相应销售业绩，参加政府采购活动时业绩分值为满分。</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绿色采购政策</w:t>
      </w:r>
      <w:r/>
    </w:p>
    <w:p>
      <w:pPr>
        <w:pStyle w:val="935"/>
        <w:numPr>
          <w:ilvl w:val="2"/>
          <w:numId w:val="3"/>
        </w:numPr>
        <w:jc w:val="left"/>
        <w:spacing w:line="360" w:lineRule="auto"/>
        <w:rPr>
          <w:rFonts w:hint="eastAsia" w:ascii="宋体" w:hAnsi="宋体" w:eastAsia="宋体" w:cs="宋体"/>
          <w:color w:val="000000" w:themeColor="text1"/>
        </w:rPr>
      </w:pPr>
      <w:r>
        <w:rPr>
          <w:rFonts w:hint="eastAsia" w:ascii="宋体" w:hAnsi="宋体" w:eastAsia="宋体" w:cs="宋体"/>
          <w:b/>
          <w:bCs/>
          <w:color w:val="000000" w:themeColor="text1"/>
          <w:sz w:val="24"/>
        </w:rPr>
        <w:t xml:space="preserve">绿色包装：</w:t>
      </w:r>
      <w:r>
        <w:rPr>
          <w:rFonts w:hint="eastAsia" w:ascii="宋体" w:hAnsi="宋体" w:eastAsia="宋体" w:cs="宋体"/>
          <w:color w:val="000000" w:themeColor="text1"/>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绿色数据中心政策：依据《绿色数据中心政府采购需求标准（试行）》（财办库〔2023〕7号）文件精神，采购</w:t>
      </w:r>
      <w:r>
        <w:rPr>
          <w:rFonts w:hint="eastAsia" w:ascii="宋体" w:hAnsi="宋体" w:eastAsia="宋体" w:cs="宋体"/>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35"/>
        <w:numPr>
          <w:ilvl w:val="2"/>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35"/>
        <w:numPr>
          <w:ilvl w:val="0"/>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投标费用</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8"/>
          <w:szCs w:val="28"/>
        </w:rPr>
        <w:t xml:space="preserve">二、招标文件</w:t>
      </w:r>
      <w:r/>
    </w:p>
    <w:p>
      <w:pPr>
        <w:pStyle w:val="935"/>
        <w:numPr>
          <w:ilvl w:val="0"/>
          <w:numId w:val="3"/>
        </w:numPr>
        <w:jc w:val="left"/>
        <w:spacing w:line="360" w:lineRule="auto"/>
        <w:rPr>
          <w:rFonts w:hint="eastAsia" w:ascii="宋体" w:hAnsi="宋体" w:eastAsia="宋体" w:cs="宋体"/>
          <w:color w:val="000000" w:themeColor="text1"/>
          <w:sz w:val="24"/>
          <w:szCs w:val="24"/>
        </w:rPr>
      </w:pPr>
      <w:r/>
      <w:bookmarkStart w:id="99" w:name="_Toc150509274"/>
      <w:r/>
      <w:bookmarkStart w:id="100" w:name="_Toc149720816"/>
      <w:r/>
      <w:bookmarkStart w:id="101" w:name="_Toc195842888"/>
      <w:r/>
      <w:bookmarkStart w:id="102" w:name="_Toc151193693"/>
      <w:r/>
      <w:bookmarkStart w:id="103" w:name="_Toc520356147"/>
      <w:r/>
      <w:bookmarkStart w:id="104" w:name="_Toc265228361"/>
      <w:r/>
      <w:bookmarkStart w:id="105" w:name="_Toc164351617"/>
      <w:r/>
      <w:bookmarkStart w:id="106" w:name="_Toc150774623"/>
      <w:r/>
      <w:bookmarkStart w:id="107" w:name="_Toc151193765"/>
      <w:r/>
      <w:bookmarkStart w:id="108" w:name="_Toc164608637"/>
      <w:r/>
      <w:bookmarkStart w:id="109" w:name="_Toc264969213"/>
      <w:r/>
      <w:bookmarkStart w:id="110" w:name="_Toc150480761"/>
      <w:r/>
      <w:bookmarkStart w:id="111" w:name="_Toc142311025"/>
      <w:r/>
      <w:bookmarkStart w:id="112" w:name="_Toc226965796"/>
      <w:r/>
      <w:bookmarkStart w:id="113" w:name="_Toc127161437"/>
      <w:r/>
      <w:bookmarkStart w:id="114" w:name="_Toc151193911"/>
      <w:r/>
      <w:bookmarkStart w:id="115" w:name="_Toc127151724"/>
      <w:r/>
      <w:bookmarkStart w:id="116" w:name="_Toc150774728"/>
      <w:r/>
      <w:bookmarkStart w:id="117" w:name="_Toc127151523"/>
      <w:r/>
      <w:bookmarkStart w:id="118" w:name="_Toc305158791"/>
      <w:r/>
      <w:bookmarkStart w:id="119" w:name="_Toc164229218"/>
      <w:r/>
      <w:bookmarkStart w:id="120" w:name="_Toc164229364"/>
      <w:r/>
      <w:bookmarkStart w:id="121" w:name="_Toc305158865"/>
      <w:r/>
      <w:bookmarkStart w:id="122" w:name="_Toc226337219"/>
      <w:r/>
      <w:bookmarkStart w:id="123" w:name="_Toc151190150"/>
      <w:r/>
      <w:bookmarkStart w:id="124" w:name="_Toc151193837"/>
      <w:r/>
      <w:bookmarkStart w:id="125" w:name="_Toc226965713"/>
      <w:r/>
      <w:bookmarkStart w:id="126" w:name="_Toc164608792"/>
      <w:r/>
      <w:bookmarkStart w:id="127" w:name="_Toc151193621"/>
      <w:r/>
      <w:bookmarkStart w:id="128" w:name="_Toc226309767"/>
      <w:r>
        <w:rPr>
          <w:rFonts w:hint="eastAsia" w:ascii="宋体" w:hAnsi="宋体" w:eastAsia="宋体" w:cs="宋体"/>
          <w:color w:val="000000" w:themeColor="text1"/>
          <w:sz w:val="24"/>
        </w:rPr>
        <w:t xml:space="preserve">招标文件构</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color w:val="000000" w:themeColor="text1"/>
          <w:sz w:val="24"/>
        </w:rPr>
        <w:t xml:space="preserve">成</w:t>
      </w:r>
      <w:r/>
    </w:p>
    <w:p>
      <w:pPr>
        <w:pStyle w:val="935"/>
        <w:numPr>
          <w:ilvl w:val="1"/>
          <w:numId w:val="3"/>
        </w:num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招标文件包括以下部分：</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第一章  投标邀请</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第二章  投标人须知</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第三章  资格审查</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第四章评标程序、评标方法和评标标准</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第五章采购需求</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第六章  拟签订的合同文本</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第七章  投标文件格式</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themeColor="text1"/>
          <w:sz w:val="24"/>
        </w:rPr>
        <w:t xml:space="preserve">投标无效。</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对招标文件的澄清或修改</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采购人或采购代理机构对已发出的招标文件进行必要澄清或者修改的，将在原公告发布媒体上以发布更正公告的形式通知所有获取招标文件的潜在投标人。</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澄清或者修改的内容为招标文件的组成部分，并对所有获取招标文件的潜在投标人具有约束力。澄清或者修改的内容可能影响投标文件编制</w:t>
      </w:r>
      <w:r>
        <w:rPr>
          <w:rFonts w:hint="eastAsia" w:ascii="宋体" w:hAnsi="宋体" w:eastAsia="宋体" w:cs="宋体"/>
          <w:color w:val="000000" w:themeColor="text1"/>
          <w:sz w:val="24"/>
        </w:rPr>
        <w:t xml:space="preserve">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8"/>
          <w:szCs w:val="28"/>
        </w:rPr>
        <w:t xml:space="preserve">三、投标文件的编制</w:t>
      </w:r>
      <w:r/>
    </w:p>
    <w:p>
      <w:pPr>
        <w:pStyle w:val="935"/>
        <w:numPr>
          <w:ilvl w:val="0"/>
          <w:numId w:val="3"/>
        </w:numPr>
        <w:jc w:val="left"/>
        <w:spacing w:line="360" w:lineRule="auto"/>
        <w:rPr>
          <w:rFonts w:hint="eastAsia" w:ascii="宋体" w:hAnsi="宋体" w:eastAsia="宋体" w:cs="宋体"/>
          <w:color w:val="000000" w:themeColor="text1"/>
          <w:sz w:val="24"/>
        </w:rPr>
      </w:pPr>
      <w:r/>
      <w:bookmarkStart w:id="129" w:name="_Toc151193915"/>
      <w:r/>
      <w:bookmarkStart w:id="130" w:name="_Toc226337223"/>
      <w:r/>
      <w:bookmarkStart w:id="131" w:name="_Toc149720820"/>
      <w:r/>
      <w:bookmarkStart w:id="132" w:name="_Toc164229368"/>
      <w:r/>
      <w:bookmarkStart w:id="133" w:name="_Toc520356151"/>
      <w:r/>
      <w:bookmarkStart w:id="134" w:name="_Toc226965800"/>
      <w:r/>
      <w:bookmarkStart w:id="135" w:name="_Toc305158795"/>
      <w:r/>
      <w:bookmarkStart w:id="136" w:name="_Toc151193841"/>
      <w:r/>
      <w:bookmarkStart w:id="137" w:name="_Toc151193697"/>
      <w:r/>
      <w:bookmarkStart w:id="138" w:name="_Toc226309771"/>
      <w:r/>
      <w:bookmarkStart w:id="139" w:name="_Toc150480765"/>
      <w:r/>
      <w:bookmarkStart w:id="140" w:name="_Toc164608796"/>
      <w:r/>
      <w:bookmarkStart w:id="141" w:name="_Toc150774732"/>
      <w:r/>
      <w:bookmarkStart w:id="142" w:name="_Toc151190154"/>
      <w:r/>
      <w:bookmarkStart w:id="143" w:name="_Toc127161441"/>
      <w:r/>
      <w:bookmarkStart w:id="144" w:name="_Toc226965717"/>
      <w:r/>
      <w:bookmarkStart w:id="145" w:name="_Toc150509278"/>
      <w:r/>
      <w:bookmarkStart w:id="146" w:name="_Toc151193625"/>
      <w:r/>
      <w:bookmarkStart w:id="147" w:name="_Toc305158869"/>
      <w:r/>
      <w:bookmarkStart w:id="148" w:name="_Toc516367021"/>
      <w:r/>
      <w:bookmarkStart w:id="149" w:name="_Toc164608641"/>
      <w:r/>
      <w:bookmarkStart w:id="150" w:name="_Toc127151527"/>
      <w:r/>
      <w:bookmarkStart w:id="151" w:name="_Toc151193769"/>
      <w:r/>
      <w:bookmarkStart w:id="152" w:name="_Toc265228365"/>
      <w:r/>
      <w:bookmarkStart w:id="153" w:name="_Toc195842892"/>
      <w:r/>
      <w:bookmarkStart w:id="154" w:name="_Toc164229222"/>
      <w:r/>
      <w:bookmarkStart w:id="155" w:name="_Toc150774627"/>
      <w:r/>
      <w:bookmarkStart w:id="156" w:name="_Toc142311029"/>
      <w:r/>
      <w:bookmarkStart w:id="157" w:name="_Toc264969217"/>
      <w:r/>
      <w:bookmarkStart w:id="158" w:name="_Toc164351621"/>
      <w:r/>
      <w:bookmarkStart w:id="159" w:name="_Toc127151728"/>
      <w:r>
        <w:rPr>
          <w:rFonts w:hint="eastAsia" w:ascii="宋体" w:hAnsi="宋体" w:eastAsia="宋体" w:cs="宋体"/>
          <w:color w:val="000000" w:themeColor="text1"/>
          <w:sz w:val="24"/>
        </w:rPr>
        <w:t xml:space="preserve">投标范围、投标文件中计量单位的使用</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eastAsia="宋体" w:cs="宋体"/>
          <w:color w:val="000000" w:themeColor="text1"/>
          <w:sz w:val="24"/>
        </w:rPr>
        <w:t xml:space="preserve">及投标语言</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themeColor="text1"/>
          <w:sz w:val="24"/>
        </w:rPr>
        <w:t xml:space="preserve">无效投标。</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除招标文件有特殊要求外，本项目投标所使用的计量单位，应采用中华人民共和国法定计量单位。</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935"/>
        <w:numPr>
          <w:ilvl w:val="0"/>
          <w:numId w:val="3"/>
        </w:numPr>
        <w:jc w:val="left"/>
        <w:spacing w:line="360" w:lineRule="auto"/>
        <w:rPr>
          <w:rFonts w:hint="eastAsia" w:ascii="宋体" w:hAnsi="宋体" w:eastAsia="宋体" w:cs="宋体"/>
          <w:color w:val="000000" w:themeColor="text1"/>
          <w:sz w:val="24"/>
        </w:rPr>
      </w:pPr>
      <w:r/>
      <w:bookmarkStart w:id="160" w:name="_Toc516367022"/>
      <w:r/>
      <w:bookmarkStart w:id="161" w:name="_Ref467306676"/>
      <w:r/>
      <w:bookmarkStart w:id="162" w:name="_Ref467306195"/>
      <w:r/>
      <w:bookmarkStart w:id="163" w:name="_Toc149720821"/>
      <w:r/>
      <w:bookmarkStart w:id="164" w:name="_Toc151193842"/>
      <w:r/>
      <w:bookmarkStart w:id="165" w:name="_Toc150774628"/>
      <w:r/>
      <w:bookmarkStart w:id="166" w:name="_Toc151193698"/>
      <w:r/>
      <w:bookmarkStart w:id="167" w:name="_Toc305158796"/>
      <w:r/>
      <w:bookmarkStart w:id="168" w:name="_Toc164351622"/>
      <w:r/>
      <w:bookmarkStart w:id="169" w:name="_Toc142311030"/>
      <w:r/>
      <w:bookmarkStart w:id="170" w:name="_Toc164608642"/>
      <w:r/>
      <w:bookmarkStart w:id="171" w:name="_Toc151190155"/>
      <w:r/>
      <w:bookmarkStart w:id="172" w:name="_Toc226965801"/>
      <w:r/>
      <w:bookmarkStart w:id="173" w:name="_Toc150480766"/>
      <w:r/>
      <w:bookmarkStart w:id="174" w:name="_Toc226309772"/>
      <w:r/>
      <w:bookmarkStart w:id="175" w:name="_Toc127151729"/>
      <w:r/>
      <w:bookmarkStart w:id="176" w:name="_Toc150774733"/>
      <w:r/>
      <w:bookmarkStart w:id="177" w:name="_Toc264969218"/>
      <w:r/>
      <w:bookmarkStart w:id="178" w:name="_Toc151193626"/>
      <w:r/>
      <w:bookmarkStart w:id="179" w:name="_Toc150509279"/>
      <w:r/>
      <w:bookmarkStart w:id="180" w:name="_Toc127151528"/>
      <w:r/>
      <w:bookmarkStart w:id="181" w:name="_Toc226965718"/>
      <w:r/>
      <w:bookmarkStart w:id="182" w:name="_Toc151193770"/>
      <w:r/>
      <w:bookmarkStart w:id="183" w:name="_Toc164229369"/>
      <w:r/>
      <w:bookmarkStart w:id="184" w:name="_Toc151193916"/>
      <w:r/>
      <w:bookmarkStart w:id="185" w:name="_Toc226337224"/>
      <w:r/>
      <w:bookmarkStart w:id="186" w:name="_Toc164229223"/>
      <w:r/>
      <w:bookmarkStart w:id="187" w:name="_Toc127161442"/>
      <w:r/>
      <w:bookmarkStart w:id="188" w:name="_Toc265228366"/>
      <w:r/>
      <w:bookmarkStart w:id="189" w:name="_Toc195842893"/>
      <w:r/>
      <w:bookmarkStart w:id="190" w:name="_Toc164608797"/>
      <w:r/>
      <w:bookmarkStart w:id="191" w:name="_Toc305158870"/>
      <w:r/>
      <w:bookmarkStart w:id="192" w:name="_Toc520356152"/>
      <w:r>
        <w:rPr>
          <w:rFonts w:hint="eastAsia" w:ascii="宋体" w:hAnsi="宋体" w:eastAsia="宋体" w:cs="宋体"/>
          <w:color w:val="000000" w:themeColor="text1"/>
          <w:sz w:val="24"/>
        </w:rPr>
        <w:t xml:space="preserve">投标文件</w:t>
      </w:r>
      <w:bookmarkEnd w:id="160"/>
      <w:r/>
      <w:bookmarkEnd w:id="161"/>
      <w:r/>
      <w:bookmarkEnd w:id="162"/>
      <w:r>
        <w:rPr>
          <w:rFonts w:hint="eastAsia" w:ascii="宋体" w:hAnsi="宋体" w:eastAsia="宋体" w:cs="宋体"/>
          <w:color w:val="000000" w:themeColor="text1"/>
          <w:sz w:val="24"/>
        </w:rPr>
        <w:t xml:space="preserve">构成</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对于招标文件中标记了“实质性格式”文件的，</w:t>
      </w:r>
      <w:r>
        <w:rPr>
          <w:rFonts w:hint="eastAsia" w:ascii="宋体" w:hAnsi="宋体" w:eastAsia="宋体" w:cs="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themeColor="text1"/>
          <w:sz w:val="24"/>
        </w:rPr>
        <w:t xml:space="preserve">否则</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。未标记“实质性格式”的文件和招标文件未提供格式的内容，可由投标人自行编写。</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第四章《评标程序、评标方法和评标标准》中涉及的证明文件。</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对照第五章《采购需求》，说明所提供货物和服务已对第五章《采购需求》做出了响应，或申明与第五章《采购需求》的偏差和例外。如第五</w:t>
      </w:r>
      <w:r>
        <w:rPr>
          <w:rFonts w:hint="eastAsia" w:ascii="宋体" w:hAnsi="宋体" w:eastAsia="宋体" w:cs="宋体"/>
          <w:color w:val="000000" w:themeColor="text1"/>
          <w:sz w:val="24"/>
        </w:rPr>
        <w:t xml:space="preserve">章《采购需求》中要求提供证明文件的，投标人应当按具体要求提供证明文件。</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投标人认为应附的其他材料。</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、“常州市政府采购网”</w:t>
      </w:r>
      <w:r>
        <w:rPr>
          <w:rFonts w:hint="eastAsia" w:ascii="宋体" w:hAnsi="宋体" w:eastAsia="宋体" w:cs="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、“常州市政府采购网”</w:t>
      </w:r>
      <w:r>
        <w:rPr>
          <w:rFonts w:hint="eastAsia" w:ascii="宋体" w:hAnsi="宋体" w:eastAsia="宋体" w:cs="宋体"/>
          <w:color w:val="000000" w:themeColor="text1"/>
          <w:sz w:val="24"/>
        </w:rPr>
        <w:t xml:space="preserve">发布的招标文件为准。</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投标报价</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所有投标均以人民币报价。</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按照招标文件要求完成本项目的全部相关服务费用。</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采购人不得向供应商索要或者接受其给予的赠品、回扣或者与采购无关的其他商品、服务。</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投标人不能提供任何有选择性或可调整的报价，否则其</w:t>
      </w:r>
      <w:r>
        <w:rPr>
          <w:rFonts w:hint="eastAsia" w:ascii="宋体" w:hAnsi="宋体" w:eastAsia="宋体" w:cs="宋体"/>
          <w:b/>
          <w:color w:val="000000" w:themeColor="text1"/>
          <w:sz w:val="24"/>
        </w:rPr>
        <w:t xml:space="preserve">投标无效。</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投标保证金：根据江苏省和常州市的相关文件规定，免收保证金</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投标有效期</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themeColor="text1"/>
          <w:sz w:val="24"/>
        </w:rPr>
        <w:t xml:space="preserve">投标无效。</w:t>
      </w:r>
      <w:r/>
    </w:p>
    <w:p>
      <w:pPr>
        <w:pStyle w:val="935"/>
        <w:numPr>
          <w:ilvl w:val="0"/>
          <w:numId w:val="3"/>
        </w:numPr>
        <w:jc w:val="left"/>
        <w:spacing w:line="360" w:lineRule="auto"/>
        <w:rPr>
          <w:rFonts w:hint="eastAsia" w:ascii="宋体" w:hAnsi="宋体" w:eastAsia="宋体" w:cs="宋体"/>
          <w:color w:val="000000" w:themeColor="text1"/>
          <w:sz w:val="24"/>
        </w:rPr>
      </w:pPr>
      <w:r/>
      <w:bookmarkStart w:id="193" w:name="_Toc164229374"/>
      <w:r/>
      <w:bookmarkStart w:id="194" w:name="_Toc151193921"/>
      <w:r/>
      <w:bookmarkStart w:id="195" w:name="_Toc164608802"/>
      <w:r/>
      <w:bookmarkStart w:id="196" w:name="_Toc520356158"/>
      <w:r/>
      <w:bookmarkStart w:id="197" w:name="_Toc305158875"/>
      <w:r/>
      <w:bookmarkStart w:id="198" w:name="_Toc226309777"/>
      <w:r/>
      <w:bookmarkStart w:id="199" w:name="_Toc151193703"/>
      <w:r/>
      <w:bookmarkStart w:id="200" w:name="_Toc195842898"/>
      <w:r/>
      <w:bookmarkStart w:id="201" w:name="_Toc164229228"/>
      <w:r/>
      <w:bookmarkStart w:id="202" w:name="_Toc226965723"/>
      <w:r/>
      <w:bookmarkStart w:id="203" w:name="_Toc164608647"/>
      <w:r/>
      <w:bookmarkStart w:id="204" w:name="_Toc151193847"/>
      <w:r/>
      <w:bookmarkStart w:id="205" w:name="_Toc127151533"/>
      <w:r/>
      <w:bookmarkStart w:id="206" w:name="_Toc150774633"/>
      <w:r/>
      <w:bookmarkStart w:id="207" w:name="_Toc127151734"/>
      <w:r/>
      <w:bookmarkStart w:id="208" w:name="_Toc127161447"/>
      <w:r/>
      <w:bookmarkStart w:id="209" w:name="_Toc151193631"/>
      <w:r/>
      <w:bookmarkStart w:id="210" w:name="_Toc265228371"/>
      <w:r/>
      <w:bookmarkStart w:id="211" w:name="_Toc150509284"/>
      <w:r/>
      <w:bookmarkStart w:id="212" w:name="_Toc149720826"/>
      <w:r/>
      <w:bookmarkStart w:id="213" w:name="_Toc164351627"/>
      <w:r/>
      <w:bookmarkStart w:id="214" w:name="_Toc151190160"/>
      <w:r/>
      <w:bookmarkStart w:id="215" w:name="_Toc142311035"/>
      <w:r/>
      <w:bookmarkStart w:id="216" w:name="_Toc264969223"/>
      <w:r/>
      <w:bookmarkStart w:id="217" w:name="_Toc150480771"/>
      <w:r/>
      <w:bookmarkStart w:id="218" w:name="_Toc226337229"/>
      <w:r/>
      <w:bookmarkStart w:id="219" w:name="_Toc226965806"/>
      <w:r/>
      <w:bookmarkStart w:id="220" w:name="_Toc150774738"/>
      <w:r/>
      <w:bookmarkStart w:id="221" w:name="_Toc305158801"/>
      <w:r/>
      <w:bookmarkStart w:id="222" w:name="_Toc151193775"/>
      <w:r>
        <w:rPr>
          <w:rFonts w:hint="eastAsia" w:ascii="宋体" w:hAnsi="宋体" w:eastAsia="宋体" w:cs="宋体"/>
          <w:color w:val="000000" w:themeColor="text1"/>
          <w:sz w:val="24"/>
        </w:rPr>
        <w:t xml:space="preserve">投标文件的</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eastAsia="宋体" w:cs="宋体"/>
          <w:color w:val="000000" w:themeColor="text1"/>
          <w:sz w:val="24"/>
        </w:rPr>
        <w:t xml:space="preserve">制作、密封与盖章</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招标文件要求签字的内容，可以使用电子签章或使用原件的电子件（电</w:t>
      </w:r>
      <w:r>
        <w:rPr>
          <w:rFonts w:hint="eastAsia" w:ascii="宋体" w:hAnsi="宋体" w:eastAsia="宋体" w:cs="宋体"/>
          <w:color w:val="000000" w:themeColor="text1"/>
          <w:sz w:val="24"/>
        </w:rPr>
        <w:t xml:space="preserve">子件指扫描件、照片等形式电子文件）；要求第三方出具的加盖公章原件（如联合协议、分包意向协议、制造商授权书等），投标文件中应使用原件的电子件。</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招标文件要求加盖公章的内容，一般通过投标文件编制工具加盖电子签章。</w:t>
      </w:r>
      <w:r/>
    </w:p>
    <w:p>
      <w:pPr>
        <w:ind w:left="267" w:hanging="267"/>
        <w:jc w:val="center"/>
        <w:spacing w:line="360" w:lineRule="auto"/>
        <w:rPr>
          <w:rFonts w:hint="eastAsia" w:ascii="宋体" w:hAnsi="宋体" w:eastAsia="宋体" w:cs="宋体"/>
          <w:color w:val="000000" w:themeColor="text1"/>
          <w:sz w:val="24"/>
        </w:rPr>
      </w:pPr>
      <w:r/>
      <w:bookmarkStart w:id="223" w:name="_Toc151190161"/>
      <w:r/>
      <w:bookmarkStart w:id="224" w:name="_Toc226309778"/>
      <w:r/>
      <w:bookmarkStart w:id="225" w:name="_Toc226337230"/>
      <w:r/>
      <w:bookmarkStart w:id="226" w:name="_Toc151193848"/>
      <w:r/>
      <w:bookmarkStart w:id="227" w:name="_Toc142311036"/>
      <w:r/>
      <w:bookmarkStart w:id="228" w:name="_Toc150480772"/>
      <w:r/>
      <w:bookmarkStart w:id="229" w:name="_Toc265228372"/>
      <w:r/>
      <w:bookmarkStart w:id="230" w:name="_Toc520356159"/>
      <w:r/>
      <w:bookmarkStart w:id="231" w:name="_Toc305158802"/>
      <w:r/>
      <w:bookmarkStart w:id="232" w:name="_Toc150774739"/>
      <w:r/>
      <w:bookmarkStart w:id="233" w:name="_Toc150509285"/>
      <w:r/>
      <w:bookmarkStart w:id="234" w:name="_Toc127151534"/>
      <w:r/>
      <w:bookmarkStart w:id="235" w:name="_Toc150774634"/>
      <w:r/>
      <w:bookmarkStart w:id="236" w:name="_Toc151193922"/>
      <w:r/>
      <w:bookmarkStart w:id="237" w:name="_Toc305158876"/>
      <w:r/>
      <w:bookmarkStart w:id="238" w:name="_Toc151193632"/>
      <w:r/>
      <w:bookmarkStart w:id="239" w:name="_Toc151193776"/>
      <w:r/>
      <w:bookmarkStart w:id="240" w:name="_Toc264969224"/>
      <w:r/>
      <w:bookmarkStart w:id="241" w:name="_Toc151193704"/>
      <w:r/>
      <w:bookmarkStart w:id="242" w:name="_Toc226965807"/>
      <w:r/>
      <w:bookmarkStart w:id="243" w:name="_Toc226965724"/>
      <w:r/>
      <w:bookmarkStart w:id="244" w:name="_Toc195842899"/>
      <w:r>
        <w:rPr>
          <w:rFonts w:hint="eastAsia" w:ascii="宋体" w:hAnsi="宋体" w:eastAsia="宋体" w:cs="宋体"/>
          <w:b/>
          <w:color w:val="000000" w:themeColor="text1"/>
          <w:sz w:val="28"/>
          <w:szCs w:val="28"/>
        </w:rPr>
        <w:t xml:space="preserve">四、投标文件的提交</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r/>
    </w:p>
    <w:p>
      <w:pPr>
        <w:pStyle w:val="935"/>
        <w:numPr>
          <w:ilvl w:val="0"/>
          <w:numId w:val="3"/>
        </w:numPr>
        <w:jc w:val="left"/>
        <w:spacing w:line="360" w:lineRule="auto"/>
        <w:rPr>
          <w:rFonts w:hint="eastAsia" w:ascii="宋体" w:hAnsi="宋体" w:eastAsia="宋体" w:cs="宋体"/>
          <w:color w:val="000000" w:themeColor="text1"/>
          <w:sz w:val="24"/>
        </w:rPr>
      </w:pPr>
      <w:r/>
      <w:bookmarkStart w:id="245" w:name="_Toc226965808"/>
      <w:r/>
      <w:bookmarkStart w:id="246" w:name="_Toc164351629"/>
      <w:r/>
      <w:bookmarkStart w:id="247" w:name="_Toc150509286"/>
      <w:r/>
      <w:bookmarkStart w:id="248" w:name="_Toc151190162"/>
      <w:r/>
      <w:bookmarkStart w:id="249" w:name="_Toc305158803"/>
      <w:r/>
      <w:bookmarkStart w:id="250" w:name="_Toc151193633"/>
      <w:r/>
      <w:bookmarkStart w:id="251" w:name="_Toc264969225"/>
      <w:r/>
      <w:bookmarkStart w:id="252" w:name="_Toc265228373"/>
      <w:r/>
      <w:bookmarkStart w:id="253" w:name="_Toc150480773"/>
      <w:r/>
      <w:bookmarkStart w:id="254" w:name="_Toc195842900"/>
      <w:r/>
      <w:bookmarkStart w:id="255" w:name="_Toc164229376"/>
      <w:r/>
      <w:bookmarkStart w:id="256" w:name="_Toc151193705"/>
      <w:r/>
      <w:bookmarkStart w:id="257" w:name="_Toc150774740"/>
      <w:r/>
      <w:bookmarkStart w:id="258" w:name="_Toc164608804"/>
      <w:r/>
      <w:bookmarkStart w:id="259" w:name="_Toc164229230"/>
      <w:r/>
      <w:bookmarkStart w:id="260" w:name="_Toc164608649"/>
      <w:r/>
      <w:bookmarkStart w:id="261" w:name="_Toc150774635"/>
      <w:r/>
      <w:bookmarkStart w:id="262" w:name="_Toc142311037"/>
      <w:r/>
      <w:bookmarkStart w:id="263" w:name="_Toc149720828"/>
      <w:r/>
      <w:bookmarkStart w:id="264" w:name="_Toc127151736"/>
      <w:r/>
      <w:bookmarkStart w:id="265" w:name="_Toc226309779"/>
      <w:r/>
      <w:bookmarkStart w:id="266" w:name="_Toc226337231"/>
      <w:r/>
      <w:bookmarkStart w:id="267" w:name="_Toc127151535"/>
      <w:r/>
      <w:bookmarkStart w:id="268" w:name="_Toc520356160"/>
      <w:r/>
      <w:bookmarkStart w:id="269" w:name="_Toc151193849"/>
      <w:r/>
      <w:bookmarkStart w:id="270" w:name="_Toc226965725"/>
      <w:r/>
      <w:bookmarkStart w:id="271" w:name="_Toc151193923"/>
      <w:r/>
      <w:bookmarkStart w:id="272" w:name="_Toc151193777"/>
      <w:r/>
      <w:bookmarkStart w:id="273" w:name="_Toc305158877"/>
      <w:r/>
      <w:bookmarkStart w:id="274" w:name="_Toc127161449"/>
      <w:r>
        <w:rPr>
          <w:rFonts w:hint="eastAsia" w:ascii="宋体" w:hAnsi="宋体" w:eastAsia="宋体" w:cs="宋体"/>
          <w:color w:val="000000" w:themeColor="text1"/>
          <w:sz w:val="24"/>
        </w:rPr>
        <w:t xml:space="preserve">投标文件的</w:t>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eastAsia="宋体" w:cs="宋体"/>
          <w:color w:val="000000" w:themeColor="text1"/>
          <w:sz w:val="24"/>
        </w:rPr>
        <w:t xml:space="preserve">提交</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本项目使用“苏采云”系统。投标人根据招标文件及“苏采云”系统供应商操作手册要求编制、生成并提交电子投标文件。</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采购人及采购代理机构拒绝接受通过“苏采云”系统以外任何形式提交的投标文件。</w:t>
      </w:r>
      <w:r/>
    </w:p>
    <w:p>
      <w:pPr>
        <w:pStyle w:val="935"/>
        <w:numPr>
          <w:ilvl w:val="0"/>
          <w:numId w:val="3"/>
        </w:numPr>
        <w:jc w:val="left"/>
        <w:spacing w:line="360" w:lineRule="auto"/>
        <w:rPr>
          <w:rFonts w:hint="eastAsia" w:ascii="宋体" w:hAnsi="宋体" w:eastAsia="宋体" w:cs="宋体"/>
          <w:color w:val="000000" w:themeColor="text1"/>
          <w:sz w:val="24"/>
        </w:rPr>
      </w:pPr>
      <w:r/>
      <w:bookmarkStart w:id="275" w:name="_Toc264969226"/>
      <w:r/>
      <w:bookmarkStart w:id="276" w:name="_Toc127151737"/>
      <w:r/>
      <w:bookmarkStart w:id="277" w:name="_Toc149720829"/>
      <w:r/>
      <w:bookmarkStart w:id="278" w:name="_Toc226965809"/>
      <w:r/>
      <w:bookmarkStart w:id="279" w:name="_Toc150774741"/>
      <w:r/>
      <w:bookmarkStart w:id="280" w:name="_Toc305158878"/>
      <w:r/>
      <w:bookmarkStart w:id="281" w:name="_Toc127151536"/>
      <w:r/>
      <w:bookmarkStart w:id="282" w:name="_Toc151193706"/>
      <w:r/>
      <w:bookmarkStart w:id="283" w:name="_Toc226965726"/>
      <w:r/>
      <w:bookmarkStart w:id="284" w:name="_Toc150774636"/>
      <w:r/>
      <w:bookmarkStart w:id="285" w:name="_Toc127161450"/>
      <w:r/>
      <w:bookmarkStart w:id="286" w:name="_Toc150480774"/>
      <w:r/>
      <w:bookmarkStart w:id="287" w:name="_Toc226309780"/>
      <w:r/>
      <w:bookmarkStart w:id="288" w:name="_Toc265228374"/>
      <w:r/>
      <w:bookmarkStart w:id="289" w:name="_Toc164608805"/>
      <w:r/>
      <w:bookmarkStart w:id="290" w:name="_Toc520356161"/>
      <w:r/>
      <w:bookmarkStart w:id="291" w:name="_Toc164229231"/>
      <w:r/>
      <w:bookmarkStart w:id="292" w:name="_Toc151190163"/>
      <w:r/>
      <w:bookmarkStart w:id="293" w:name="_Toc150509287"/>
      <w:r/>
      <w:bookmarkStart w:id="294" w:name="_Toc226337232"/>
      <w:r/>
      <w:bookmarkStart w:id="295" w:name="_Toc164351630"/>
      <w:r/>
      <w:bookmarkStart w:id="296" w:name="_Toc164608650"/>
      <w:r/>
      <w:bookmarkStart w:id="297" w:name="_Toc151193850"/>
      <w:r/>
      <w:bookmarkStart w:id="298" w:name="_Toc151193634"/>
      <w:r/>
      <w:bookmarkStart w:id="299" w:name="_Toc164229377"/>
      <w:r/>
      <w:bookmarkStart w:id="300" w:name="_Toc195842901"/>
      <w:r/>
      <w:bookmarkStart w:id="301" w:name="_Toc305158804"/>
      <w:r/>
      <w:bookmarkStart w:id="302" w:name="_Toc151193924"/>
      <w:r/>
      <w:bookmarkStart w:id="303" w:name="_Toc142311038"/>
      <w:r/>
      <w:bookmarkStart w:id="304" w:name="_Toc151193778"/>
      <w:r>
        <w:rPr>
          <w:rFonts w:hint="eastAsia" w:ascii="宋体" w:hAnsi="宋体" w:eastAsia="宋体" w:cs="宋体"/>
          <w:color w:val="000000" w:themeColor="text1"/>
          <w:sz w:val="24"/>
        </w:rPr>
        <w:t xml:space="preserve">投标截止</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eastAsia="宋体" w:cs="宋体"/>
          <w:color w:val="000000" w:themeColor="text1"/>
          <w:sz w:val="24"/>
        </w:rPr>
        <w:t xml:space="preserve">时间</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投标人应在招标文件要求提交投标文件截止时间前，将电子投标文件提交至“苏采云”系统。</w:t>
      </w:r>
      <w:r/>
    </w:p>
    <w:p>
      <w:pPr>
        <w:pStyle w:val="935"/>
        <w:numPr>
          <w:ilvl w:val="0"/>
          <w:numId w:val="3"/>
        </w:numPr>
        <w:jc w:val="left"/>
        <w:spacing w:line="360" w:lineRule="auto"/>
        <w:rPr>
          <w:rFonts w:hint="eastAsia" w:ascii="宋体" w:hAnsi="宋体" w:eastAsia="宋体" w:cs="宋体"/>
          <w:color w:val="000000" w:themeColor="text1"/>
          <w:sz w:val="24"/>
        </w:rPr>
      </w:pPr>
      <w:r/>
      <w:bookmarkStart w:id="305" w:name="_Toc226337233"/>
      <w:r/>
      <w:bookmarkStart w:id="306" w:name="_Toc520356162"/>
      <w:r/>
      <w:bookmarkStart w:id="307" w:name="_Toc151193925"/>
      <w:r/>
      <w:bookmarkStart w:id="308" w:name="_Toc150774637"/>
      <w:r/>
      <w:bookmarkStart w:id="309" w:name="_Toc164351631"/>
      <w:r/>
      <w:bookmarkStart w:id="310" w:name="_Toc151193707"/>
      <w:r/>
      <w:bookmarkStart w:id="311" w:name="_Toc151193779"/>
      <w:r/>
      <w:bookmarkStart w:id="312" w:name="_Toc151193851"/>
      <w:r/>
      <w:bookmarkStart w:id="313" w:name="_Toc127151537"/>
      <w:r/>
      <w:bookmarkStart w:id="314" w:name="_Toc226965810"/>
      <w:r/>
      <w:bookmarkStart w:id="315" w:name="_Toc150480775"/>
      <w:r/>
      <w:bookmarkStart w:id="316" w:name="_Toc127161451"/>
      <w:r/>
      <w:bookmarkStart w:id="317" w:name="_Toc264969227"/>
      <w:r/>
      <w:bookmarkStart w:id="318" w:name="_Toc149720830"/>
      <w:r/>
      <w:bookmarkStart w:id="319" w:name="_Toc164608806"/>
      <w:r/>
      <w:bookmarkStart w:id="320" w:name="_Toc195842902"/>
      <w:r/>
      <w:bookmarkStart w:id="321" w:name="_Toc164608651"/>
      <w:r/>
      <w:bookmarkStart w:id="322" w:name="_Toc151190164"/>
      <w:r/>
      <w:bookmarkStart w:id="323" w:name="_Toc164229232"/>
      <w:r/>
      <w:bookmarkStart w:id="324" w:name="_Toc226309781"/>
      <w:r/>
      <w:bookmarkStart w:id="325" w:name="_Toc305158879"/>
      <w:r/>
      <w:bookmarkStart w:id="326" w:name="_Toc226965727"/>
      <w:r/>
      <w:bookmarkStart w:id="327" w:name="_Toc265228375"/>
      <w:r/>
      <w:bookmarkStart w:id="328" w:name="_Toc150509288"/>
      <w:r/>
      <w:bookmarkStart w:id="329" w:name="_Toc151193635"/>
      <w:r/>
      <w:bookmarkStart w:id="330" w:name="_Toc305158805"/>
      <w:r/>
      <w:bookmarkStart w:id="331" w:name="_Toc150774742"/>
      <w:r/>
      <w:bookmarkStart w:id="332" w:name="_Toc164229378"/>
      <w:r/>
      <w:bookmarkStart w:id="333" w:name="_Toc127151738"/>
      <w:r/>
      <w:bookmarkStart w:id="334" w:name="_Toc142311039"/>
      <w:r>
        <w:rPr>
          <w:rFonts w:hint="eastAsia" w:ascii="宋体" w:hAnsi="宋体" w:eastAsia="宋体" w:cs="宋体"/>
          <w:color w:val="000000" w:themeColor="text1"/>
          <w:sz w:val="24"/>
        </w:rPr>
        <w:t xml:space="preserve">投标文件的修改与撤回</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投标截止时间前，投标人可以通过“苏采云”系统对所提交的投标文件进行补充、修改或者撤回。具体操作方法见《操作手册》。</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s="宋体"/>
          <w:color w:val="000000" w:themeColor="text1"/>
          <w:sz w:val="24"/>
        </w:rPr>
        <w:t xml:space="preserve">。</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eastAsia="宋体" w:cs="宋体"/>
          <w:b/>
          <w:color w:val="000000" w:themeColor="text1"/>
          <w:sz w:val="28"/>
          <w:szCs w:val="28"/>
        </w:rPr>
      </w:pPr>
      <w:r/>
      <w:bookmarkStart w:id="335" w:name="_Toc264969228"/>
      <w:r/>
      <w:bookmarkStart w:id="336" w:name="_Toc520356163"/>
      <w:r/>
      <w:bookmarkStart w:id="337" w:name="_Toc226337234"/>
      <w:r/>
      <w:bookmarkStart w:id="338" w:name="_Toc226965728"/>
      <w:r/>
      <w:bookmarkStart w:id="339" w:name="_Toc142311040"/>
      <w:r/>
      <w:bookmarkStart w:id="340" w:name="_Toc305158880"/>
      <w:r/>
      <w:bookmarkStart w:id="341" w:name="_Toc151193926"/>
      <w:r/>
      <w:bookmarkStart w:id="342" w:name="_Toc151190165"/>
      <w:r/>
      <w:bookmarkStart w:id="343" w:name="_Toc150774743"/>
      <w:r/>
      <w:bookmarkStart w:id="344" w:name="_Toc226965811"/>
      <w:r/>
      <w:bookmarkStart w:id="345" w:name="_Toc305158806"/>
      <w:r/>
      <w:bookmarkStart w:id="346" w:name="_Toc150509289"/>
      <w:r/>
      <w:bookmarkStart w:id="347" w:name="_Toc127151538"/>
      <w:r/>
      <w:bookmarkStart w:id="348" w:name="_Toc265228376"/>
      <w:r/>
      <w:bookmarkStart w:id="349" w:name="_Toc195842903"/>
      <w:r/>
      <w:bookmarkStart w:id="350" w:name="_Toc150480776"/>
      <w:r/>
      <w:bookmarkStart w:id="351" w:name="_Toc151193636"/>
      <w:r/>
      <w:bookmarkStart w:id="352" w:name="_Toc151193708"/>
      <w:r/>
      <w:bookmarkStart w:id="353" w:name="_Toc150774638"/>
      <w:r/>
      <w:bookmarkStart w:id="354" w:name="_Toc151193780"/>
      <w:r/>
      <w:bookmarkStart w:id="355" w:name="_Toc151193852"/>
      <w:r/>
      <w:bookmarkStart w:id="356" w:name="_Toc226309782"/>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rPr>
          <w:rFonts w:hint="eastAsia" w:ascii="宋体" w:hAnsi="宋体" w:eastAsia="宋体" w:cs="宋体"/>
          <w:b/>
          <w:color w:val="000000" w:themeColor="text1"/>
          <w:sz w:val="28"/>
          <w:szCs w:val="28"/>
        </w:rPr>
        <w:t xml:space="preserve">五</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eastAsia="宋体" w:cs="宋体"/>
          <w:b/>
          <w:color w:val="000000" w:themeColor="text1"/>
          <w:sz w:val="28"/>
          <w:szCs w:val="28"/>
        </w:rPr>
        <w:t xml:space="preserve">、开标、资格审查及评标</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开标</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采购人或采购代理机构将按招标文件的规定，在投标截止时间的同一时间和招标文件预先确定的地点组织开标。</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开标过程将使用“苏采云”系统公布投标人名称、投标价格和招标文件</w:t>
      </w:r>
      <w:r>
        <w:rPr>
          <w:rFonts w:hint="eastAsia" w:ascii="宋体" w:hAnsi="宋体" w:eastAsia="宋体" w:cs="宋体"/>
          <w:color w:val="000000" w:themeColor="text1"/>
          <w:sz w:val="24"/>
        </w:rPr>
        <w:t xml:space="preserve">规定的需要宣布的其他内容并进行记录，并由参加开标的各投标人代表在规定时间内确认。投标人超过规定时间未确认但是未提出疑义的，系统将视同已确认。</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投标人如果对开标过程和开标记录有疑义，应当根据《操作手册》规定提出，如“苏采云”系统中《开标记录表》宣布后5分钟内未提出的，视同认可开标结果。</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本项目（每标段）投标人不足3家的，不予开标。</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如果在采购活动过程中出现以下情形，导致““苏采云”系统”系统无法正常运行，或者无法保证本项目采购活动的公平、公正和</w:t>
      </w:r>
      <w:r>
        <w:rPr>
          <w:rFonts w:hint="eastAsia" w:ascii="宋体" w:hAnsi="宋体" w:eastAsia="宋体" w:cs="宋体"/>
          <w:color w:val="000000" w:themeColor="text1"/>
          <w:sz w:val="24"/>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资格审查</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见第三章《资格审查》</w:t>
      </w:r>
      <w:r/>
    </w:p>
    <w:p>
      <w:pPr>
        <w:pStyle w:val="935"/>
        <w:numPr>
          <w:ilvl w:val="0"/>
          <w:numId w:val="3"/>
        </w:numPr>
        <w:jc w:val="left"/>
        <w:spacing w:line="360" w:lineRule="auto"/>
        <w:rPr>
          <w:rFonts w:hint="eastAsia" w:ascii="宋体" w:hAnsi="宋体" w:eastAsia="宋体" w:cs="宋体"/>
          <w:color w:val="000000" w:themeColor="text1"/>
          <w:sz w:val="24"/>
        </w:rPr>
      </w:pPr>
      <w:r/>
      <w:bookmarkStart w:id="357" w:name="_Toc150480778"/>
      <w:r/>
      <w:bookmarkStart w:id="358" w:name="_Toc305158808"/>
      <w:r/>
      <w:bookmarkStart w:id="359" w:name="_Toc151190167"/>
      <w:r/>
      <w:bookmarkStart w:id="360" w:name="_Toc151193638"/>
      <w:r/>
      <w:bookmarkStart w:id="361" w:name="_Toc226337236"/>
      <w:r/>
      <w:bookmarkStart w:id="362" w:name="_Toc150509291"/>
      <w:r/>
      <w:bookmarkStart w:id="363" w:name="_Toc226309784"/>
      <w:r/>
      <w:bookmarkStart w:id="364" w:name="_Toc164351634"/>
      <w:r/>
      <w:bookmarkStart w:id="365" w:name="_Toc164229235"/>
      <w:r/>
      <w:bookmarkStart w:id="366" w:name="_Toc151193854"/>
      <w:r/>
      <w:bookmarkStart w:id="367" w:name="_Toc150774640"/>
      <w:r/>
      <w:bookmarkStart w:id="368" w:name="_Toc127151741"/>
      <w:r/>
      <w:bookmarkStart w:id="369" w:name="_Toc127161454"/>
      <w:r/>
      <w:bookmarkStart w:id="370" w:name="_Toc164608654"/>
      <w:r/>
      <w:bookmarkStart w:id="371" w:name="_Toc151193928"/>
      <w:r/>
      <w:bookmarkStart w:id="372" w:name="_Toc149720833"/>
      <w:r/>
      <w:bookmarkStart w:id="373" w:name="_Toc264969230"/>
      <w:r/>
      <w:bookmarkStart w:id="374" w:name="_Toc195842905"/>
      <w:r/>
      <w:bookmarkStart w:id="375" w:name="_Toc164229381"/>
      <w:r/>
      <w:bookmarkStart w:id="376" w:name="_Toc151193710"/>
      <w:r/>
      <w:bookmarkStart w:id="377" w:name="_Toc150774745"/>
      <w:r/>
      <w:bookmarkStart w:id="378" w:name="_Toc142311042"/>
      <w:r/>
      <w:bookmarkStart w:id="379" w:name="_Toc151193782"/>
      <w:r/>
      <w:bookmarkStart w:id="380" w:name="_Toc305158882"/>
      <w:r/>
      <w:bookmarkStart w:id="381" w:name="_Toc226965813"/>
      <w:r/>
      <w:bookmarkStart w:id="382" w:name="_Toc265228378"/>
      <w:r/>
      <w:bookmarkStart w:id="383" w:name="_Toc226965730"/>
      <w:r/>
      <w:bookmarkStart w:id="384" w:name="_Toc164608809"/>
      <w:r/>
      <w:bookmarkStart w:id="385" w:name="_Toc127151540"/>
      <w:r>
        <w:rPr>
          <w:rFonts w:hint="eastAsia" w:ascii="宋体" w:hAnsi="宋体" w:eastAsia="宋体" w:cs="宋体"/>
          <w:color w:val="000000" w:themeColor="text1"/>
          <w:sz w:val="24"/>
        </w:rPr>
        <w:t xml:space="preserve">评标委员会</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评标委员会根据政府采购有关规定和本次招标采购项目的特点进行组建，并负责具体评标事务，独立履行职责。</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评标程序、评标方法和评标标准</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见第四章《评标程序、评标方法和评标标准》。</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评审内容的保密</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在评审过程中，投标人不得以任何行为影响评审过程，否则其投标文件将被作为无效投标文件。</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cs="宋体"/>
          <w:b/>
          <w:color w:val="000000" w:themeColor="text1"/>
          <w:sz w:val="28"/>
          <w:szCs w:val="28"/>
        </w:rPr>
      </w:pPr>
      <w:r/>
      <w:bookmarkStart w:id="386" w:name="_Toc520356169"/>
      <w:r/>
      <w:bookmarkStart w:id="387" w:name="_Toc264969235"/>
      <w:r/>
      <w:bookmarkStart w:id="388" w:name="_Toc226309789"/>
      <w:r/>
      <w:bookmarkStart w:id="389" w:name="_Toc150480783"/>
      <w:r/>
      <w:bookmarkStart w:id="390" w:name="_Toc151193859"/>
      <w:r/>
      <w:bookmarkStart w:id="391" w:name="_Toc151193787"/>
      <w:r/>
      <w:bookmarkStart w:id="392" w:name="_Toc226965818"/>
      <w:r/>
      <w:bookmarkStart w:id="393" w:name="_Toc151193933"/>
      <w:r/>
      <w:bookmarkStart w:id="394" w:name="_Toc127151545"/>
      <w:r/>
      <w:bookmarkStart w:id="395" w:name="_Toc150509296"/>
      <w:r/>
      <w:bookmarkStart w:id="396" w:name="_Toc226965735"/>
      <w:r/>
      <w:bookmarkStart w:id="397" w:name="_Toc195842910"/>
      <w:r/>
      <w:bookmarkStart w:id="398" w:name="_Toc305158887"/>
      <w:r/>
      <w:bookmarkStart w:id="399" w:name="_Toc305158813"/>
      <w:r/>
      <w:bookmarkStart w:id="400" w:name="_Toc265228383"/>
      <w:r/>
      <w:bookmarkStart w:id="401" w:name="_Toc151193715"/>
      <w:r/>
      <w:bookmarkStart w:id="402" w:name="_Toc150774750"/>
      <w:r/>
      <w:bookmarkStart w:id="403" w:name="_Toc151193643"/>
      <w:r/>
      <w:bookmarkStart w:id="404" w:name="_Toc142311047"/>
      <w:r/>
      <w:bookmarkStart w:id="405" w:name="_Toc226337241"/>
      <w:r/>
      <w:bookmarkStart w:id="406" w:name="_Toc151190172"/>
      <w:r/>
      <w:bookmarkStart w:id="407" w:name="_Toc150774645"/>
      <w:r>
        <w:rPr>
          <w:rFonts w:hint="eastAsia" w:ascii="宋体" w:hAnsi="宋体" w:eastAsia="宋体" w:cs="宋体"/>
          <w:b/>
          <w:color w:val="000000" w:themeColor="text1"/>
          <w:sz w:val="28"/>
          <w:szCs w:val="28"/>
        </w:rPr>
        <w:t xml:space="preserve">六</w:t>
      </w:r>
      <w:bookmarkEnd w:id="386"/>
      <w:r>
        <w:rPr>
          <w:rFonts w:hint="eastAsia" w:ascii="宋体" w:hAnsi="宋体" w:eastAsia="宋体" w:cs="宋体"/>
          <w:b/>
          <w:color w:val="000000" w:themeColor="text1"/>
          <w:sz w:val="28"/>
          <w:szCs w:val="28"/>
        </w:rPr>
        <w:t xml:space="preserve">、确定</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宋体"/>
          <w:b/>
          <w:color w:val="000000" w:themeColor="text1"/>
          <w:sz w:val="28"/>
          <w:szCs w:val="28"/>
        </w:rPr>
        <w:t xml:space="preserve">中标</w:t>
      </w:r>
      <w:r/>
    </w:p>
    <w:p>
      <w:pPr>
        <w:pStyle w:val="935"/>
        <w:numPr>
          <w:ilvl w:val="0"/>
          <w:numId w:val="3"/>
        </w:numPr>
        <w:jc w:val="left"/>
        <w:spacing w:line="360" w:lineRule="auto"/>
        <w:rPr>
          <w:rFonts w:hint="eastAsia" w:ascii="宋体" w:hAnsi="宋体" w:eastAsia="宋体" w:cs="宋体"/>
          <w:color w:val="000000" w:themeColor="text1"/>
          <w:sz w:val="24"/>
        </w:rPr>
      </w:pPr>
      <w:r/>
      <w:bookmarkStart w:id="408" w:name="_Toc164229388"/>
      <w:r/>
      <w:bookmarkStart w:id="409" w:name="_Toc151193717"/>
      <w:r/>
      <w:bookmarkStart w:id="410" w:name="_Toc127161461"/>
      <w:r/>
      <w:bookmarkStart w:id="411" w:name="_Toc164608816"/>
      <w:r/>
      <w:bookmarkStart w:id="412" w:name="_Toc127151748"/>
      <w:r/>
      <w:bookmarkStart w:id="413" w:name="_Toc150480785"/>
      <w:r/>
      <w:bookmarkStart w:id="414" w:name="_Toc151193935"/>
      <w:r/>
      <w:bookmarkStart w:id="415" w:name="_Toc265228385"/>
      <w:r/>
      <w:bookmarkStart w:id="416" w:name="_Toc142311049"/>
      <w:r/>
      <w:bookmarkStart w:id="417" w:name="_Toc226309791"/>
      <w:r/>
      <w:bookmarkStart w:id="418" w:name="_Toc226337243"/>
      <w:r/>
      <w:bookmarkStart w:id="419" w:name="_Toc164608661"/>
      <w:r/>
      <w:bookmarkStart w:id="420" w:name="_Toc164351641"/>
      <w:r/>
      <w:bookmarkStart w:id="421" w:name="_Toc164229242"/>
      <w:r/>
      <w:bookmarkStart w:id="422" w:name="_Toc151193861"/>
      <w:r/>
      <w:bookmarkStart w:id="423" w:name="_Toc150774752"/>
      <w:r/>
      <w:bookmarkStart w:id="424" w:name="_Toc151193645"/>
      <w:r/>
      <w:bookmarkStart w:id="425" w:name="_Toc226965737"/>
      <w:r/>
      <w:bookmarkStart w:id="426" w:name="_Toc151190174"/>
      <w:r/>
      <w:bookmarkStart w:id="427" w:name="_Toc150774647"/>
      <w:r/>
      <w:bookmarkStart w:id="428" w:name="_Toc150509298"/>
      <w:r/>
      <w:bookmarkStart w:id="429" w:name="_Toc127151547"/>
      <w:r/>
      <w:bookmarkStart w:id="430" w:name="_Toc151193789"/>
      <w:r/>
      <w:bookmarkStart w:id="431" w:name="_Toc149720840"/>
      <w:r/>
      <w:bookmarkStart w:id="432" w:name="_Toc305158815"/>
      <w:r/>
      <w:bookmarkStart w:id="433" w:name="_Toc305158889"/>
      <w:r/>
      <w:bookmarkStart w:id="434" w:name="_Toc264969237"/>
      <w:r/>
      <w:bookmarkStart w:id="435" w:name="_Toc195842912"/>
      <w:r/>
      <w:bookmarkStart w:id="436" w:name="_Toc226965820"/>
      <w:r>
        <w:rPr>
          <w:rFonts w:hint="eastAsia" w:ascii="宋体" w:hAnsi="宋体" w:eastAsia="宋体" w:cs="宋体"/>
          <w:color w:val="000000" w:themeColor="text1"/>
          <w:sz w:val="24"/>
        </w:rPr>
        <w:t xml:space="preserve">确定</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宋体" w:hAnsi="宋体" w:eastAsia="宋体" w:cs="宋体"/>
          <w:color w:val="000000" w:themeColor="text1"/>
          <w:sz w:val="24"/>
        </w:rPr>
        <w:t xml:space="preserve">中标人</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采购人将在评标报告确定的中标候选人名单中按顺序确定中标人，中标候选人并列的，由采购人依法确定。</w:t>
      </w:r>
      <w:r/>
    </w:p>
    <w:p>
      <w:pPr>
        <w:pStyle w:val="935"/>
        <w:numPr>
          <w:ilvl w:val="0"/>
          <w:numId w:val="3"/>
        </w:numPr>
        <w:jc w:val="left"/>
        <w:spacing w:line="360" w:lineRule="auto"/>
        <w:rPr>
          <w:rFonts w:hint="eastAsia" w:ascii="宋体" w:hAnsi="宋体" w:eastAsia="宋体" w:cs="宋体"/>
          <w:color w:val="000000" w:themeColor="text1"/>
          <w:sz w:val="24"/>
        </w:rPr>
      </w:pPr>
      <w:r/>
      <w:bookmarkStart w:id="437" w:name="_Toc305158817"/>
      <w:r/>
      <w:bookmarkStart w:id="438" w:name="_Toc305158891"/>
      <w:r>
        <w:rPr>
          <w:rFonts w:hint="eastAsia" w:ascii="宋体" w:hAnsi="宋体" w:eastAsia="宋体" w:cs="宋体"/>
          <w:color w:val="000000" w:themeColor="text1"/>
          <w:sz w:val="24"/>
        </w:rPr>
        <w:t xml:space="preserve">中标公告与中标通知书</w:t>
      </w:r>
      <w:bookmarkEnd w:id="437"/>
      <w:r/>
      <w:bookmarkEnd w:id="438"/>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采购人或采购代理机构自中标人确定之日起2个工作日内，</w:t>
      </w:r>
      <w:r>
        <w:rPr>
          <w:rFonts w:hint="eastAsia" w:ascii="宋体" w:hAnsi="宋体" w:eastAsia="宋体" w:cs="宋体"/>
          <w:color w:val="000000" w:themeColor="text1"/>
          <w:sz w:val="24"/>
        </w:rPr>
        <w:t xml:space="preserve">在常州市政府采购网、</w:t>
      </w:r>
      <w:r>
        <w:rPr>
          <w:rFonts w:hint="eastAsia" w:ascii="宋体" w:hAnsi="宋体" w:eastAsia="宋体" w:cs="宋体"/>
          <w:color w:val="000000" w:themeColor="text1"/>
          <w:sz w:val="24"/>
          <w:szCs w:val="24"/>
        </w:rPr>
        <w:t xml:space="preserve">常州金诚招投标有限公司网</w:t>
      </w:r>
      <w:r>
        <w:rPr>
          <w:rFonts w:hint="eastAsia" w:ascii="宋体" w:hAnsi="宋体" w:eastAsia="宋体" w:cs="宋体"/>
          <w:color w:val="000000" w:themeColor="text1"/>
          <w:sz w:val="24"/>
        </w:rPr>
        <w:t xml:space="preserve">公告中标结果</w:t>
      </w:r>
      <w:r>
        <w:rPr>
          <w:rFonts w:hint="eastAsia" w:ascii="宋体" w:hAnsi="宋体" w:eastAsia="宋体" w:cs="宋体"/>
          <w:color w:val="000000" w:themeColor="text1"/>
          <w:sz w:val="24"/>
        </w:rPr>
        <w:t xml:space="preserve">，同时向中标人发出中标通知书，中标公告期限为1个工作日。</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中标通知书对采购人和中标供应商均具有法律效力。中标通知书发出后，采购人改变中标结果的，或者中标供应商放弃中标项目的，应当依法承担法律责任。</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废标</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在招标采购中，出现下列情形之一的，应予废标：</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符合专业条件的投标人或者对招标文件作实质响应的投标人不足</w:t>
      </w:r>
      <w:r>
        <w:rPr>
          <w:rFonts w:hint="eastAsia" w:ascii="宋体" w:hAnsi="宋体" w:eastAsia="宋体" w:cs="宋体"/>
          <w:color w:val="000000" w:themeColor="text1"/>
          <w:sz w:val="24"/>
        </w:rPr>
        <w:t xml:space="preserve">三家的；</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出现影响采购公正的违法、违规行为的；</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投标人的报价均超过了采购预算，采购人不能支付的</w:t>
      </w:r>
      <w:r>
        <w:rPr>
          <w:rFonts w:hint="eastAsia" w:ascii="宋体" w:hAnsi="宋体" w:eastAsia="宋体" w:cs="宋体"/>
          <w:color w:val="000000" w:themeColor="text1"/>
          <w:sz w:val="24"/>
          <w:szCs w:val="20"/>
        </w:rPr>
        <w:t xml:space="preserve">；</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因重大变故，采购任务取消的；</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平台系统出现序号18.8的所述情形，情况严重且影响采购活动公平、公正性的。</w:t>
      </w:r>
      <w:r/>
    </w:p>
    <w:p>
      <w:pPr>
        <w:pStyle w:val="935"/>
        <w:numPr>
          <w:ilvl w:val="0"/>
          <w:numId w:val="3"/>
        </w:numPr>
        <w:jc w:val="left"/>
        <w:spacing w:line="360" w:lineRule="auto"/>
        <w:rPr>
          <w:rFonts w:hint="eastAsia" w:ascii="宋体" w:hAnsi="宋体" w:eastAsia="宋体" w:cs="宋体"/>
          <w:color w:val="000000" w:themeColor="text1"/>
          <w:sz w:val="24"/>
        </w:rPr>
      </w:pPr>
      <w:r/>
      <w:bookmarkStart w:id="439" w:name="_Toc164229245"/>
      <w:r/>
      <w:bookmarkStart w:id="440" w:name="_Toc127161464"/>
      <w:r/>
      <w:bookmarkStart w:id="441" w:name="_Toc264969240"/>
      <w:r/>
      <w:bookmarkStart w:id="442" w:name="_Toc305158818"/>
      <w:r/>
      <w:bookmarkStart w:id="443" w:name="_Toc151190177"/>
      <w:r/>
      <w:bookmarkStart w:id="444" w:name="_Toc150774650"/>
      <w:r/>
      <w:bookmarkStart w:id="445" w:name="_Toc127151550"/>
      <w:r/>
      <w:bookmarkStart w:id="446" w:name="_Ref467306978"/>
      <w:r/>
      <w:bookmarkStart w:id="447" w:name="_Toc151193648"/>
      <w:r/>
      <w:bookmarkStart w:id="448" w:name="_Toc305158892"/>
      <w:r/>
      <w:bookmarkStart w:id="449" w:name="_Toc226965740"/>
      <w:r/>
      <w:bookmarkStart w:id="450" w:name="_Toc151193792"/>
      <w:r/>
      <w:bookmarkStart w:id="451" w:name="_Toc151193720"/>
      <w:r/>
      <w:bookmarkStart w:id="452" w:name="_Toc151193938"/>
      <w:r/>
      <w:bookmarkStart w:id="453" w:name="_Ref467307204"/>
      <w:r/>
      <w:bookmarkStart w:id="454" w:name="_Toc195842915"/>
      <w:r/>
      <w:bookmarkStart w:id="455" w:name="_Toc151193864"/>
      <w:r/>
      <w:bookmarkStart w:id="456" w:name="_Toc164351644"/>
      <w:r/>
      <w:bookmarkStart w:id="457" w:name="_Toc150509301"/>
      <w:r/>
      <w:bookmarkStart w:id="458" w:name="_Toc265228388"/>
      <w:r/>
      <w:bookmarkStart w:id="459" w:name="_Toc226337246"/>
      <w:r/>
      <w:bookmarkStart w:id="460" w:name="_Toc150774755"/>
      <w:r/>
      <w:bookmarkStart w:id="461" w:name="_Toc142311052"/>
      <w:r/>
      <w:bookmarkStart w:id="462" w:name="_Toc164229391"/>
      <w:r/>
      <w:bookmarkStart w:id="463" w:name="_Toc226309794"/>
      <w:r/>
      <w:bookmarkStart w:id="464" w:name="_Toc164608819"/>
      <w:r/>
      <w:bookmarkStart w:id="465" w:name="_Toc226965823"/>
      <w:r/>
      <w:bookmarkStart w:id="466" w:name="_Toc164608664"/>
      <w:r/>
      <w:bookmarkStart w:id="467" w:name="_Ref467306377"/>
      <w:r/>
      <w:bookmarkStart w:id="468" w:name="_Toc520356175"/>
      <w:r/>
      <w:bookmarkStart w:id="469" w:name="_Ref467307062"/>
      <w:r/>
      <w:bookmarkStart w:id="470" w:name="_Toc127151751"/>
      <w:r/>
      <w:bookmarkStart w:id="471" w:name="_Toc150480788"/>
      <w:r/>
      <w:bookmarkStart w:id="472" w:name="_Toc149720843"/>
      <w:r>
        <w:rPr>
          <w:rFonts w:hint="eastAsia" w:ascii="宋体" w:hAnsi="宋体" w:eastAsia="宋体" w:cs="宋体"/>
          <w:color w:val="000000" w:themeColor="text1"/>
          <w:sz w:val="24"/>
        </w:rPr>
        <w:t xml:space="preserve">签订合同</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中标人拒绝与采购人签订合同的，采购人可以按照评标报告推荐的中标候选人名单排序，确定下一候选人为中标人，也可以重新开展政府采购活动。</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联合体中标的，联合体各方应当共同与采购人签订合同，就中标项目向采购人承担连带责任。</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政府采购合同不能转包。</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themeColor="text1"/>
          <w:sz w:val="24"/>
        </w:rPr>
        <w:t xml:space="preserve">，</w:t>
      </w:r>
      <w:r>
        <w:rPr>
          <w:rFonts w:hint="eastAsia" w:ascii="宋体" w:hAnsi="宋体" w:eastAsia="宋体" w:cs="宋体"/>
          <w:color w:val="000000" w:themeColor="text1"/>
          <w:sz w:val="24"/>
        </w:rPr>
        <w:t xml:space="preserve">否则</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。中标人就采购项目和分包项目向采购人负责，分包供应商就分包项目承担责任。</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询问与质疑</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询问</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投标人对政府采购活动事项有疑问的，可依法提出询问，并按《投标人须知资料表》载明的形式送达采购人或采购代理机构。</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采购人或采购代理机构对供应商依法提出的询问，在3个工作日内作出答复，但答复的内容不得涉及商业秘密。</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质疑</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质疑函须使用财政部制定的范本文件。（下载网址：</w:t>
      </w:r>
      <w:hyperlink r:id="rId14" w:tooltip="http://gks.mof.gov.cn/ztztz/zhengfucaigouguanli/201802/t20180201_2804589.htm" w:history="1">
        <w:r>
          <w:rPr>
            <w:rFonts w:hint="eastAsia" w:ascii="宋体" w:hAnsi="宋体" w:eastAsia="宋体" w:cs="宋体"/>
            <w:color w:val="000000" w:themeColor="text1"/>
            <w:sz w:val="24"/>
          </w:rPr>
          <w:t xml:space="preserve">http://gk</w:t>
        </w:r>
        <w:bookmarkStart w:id="473" w:name="_Hlt100654014"/>
        <w:r>
          <w:rPr>
            <w:rFonts w:hint="eastAsia" w:ascii="宋体" w:hAnsi="宋体" w:eastAsia="宋体" w:cs="宋体"/>
            <w:color w:val="000000" w:themeColor="text1"/>
            <w:sz w:val="24"/>
          </w:rPr>
          <w:t xml:space="preserve">s</w:t>
        </w:r>
        <w:bookmarkEnd w:id="473"/>
        <w:r>
          <w:rPr>
            <w:rFonts w:hint="eastAsia" w:ascii="宋体" w:hAnsi="宋体" w:eastAsia="宋体" w:cs="宋体"/>
            <w:color w:val="000000" w:themeColor="text1"/>
            <w:sz w:val="24"/>
          </w:rPr>
          <w:t xml:space="preserve">.m</w:t>
        </w:r>
        <w:bookmarkStart w:id="474" w:name="_Hlt100653993"/>
        <w:bookmarkStart w:id="475" w:name="_Hlt100653994"/>
        <w:r>
          <w:rPr>
            <w:rFonts w:hint="eastAsia" w:ascii="宋体" w:hAnsi="宋体" w:eastAsia="宋体" w:cs="宋体"/>
            <w:color w:val="000000" w:themeColor="text1"/>
            <w:sz w:val="24"/>
          </w:rPr>
          <w:t xml:space="preserve">o</w:t>
        </w:r>
        <w:bookmarkStart w:id="476" w:name="_Hlt101169156"/>
        <w:bookmarkEnd w:id="474"/>
        <w:bookmarkEnd w:id="475"/>
        <w:r>
          <w:rPr>
            <w:rFonts w:hint="eastAsia" w:ascii="宋体" w:hAnsi="宋体" w:eastAsia="宋体" w:cs="宋体"/>
            <w:color w:val="000000" w:themeColor="text1"/>
            <w:sz w:val="24"/>
          </w:rPr>
          <w:t xml:space="preserve">f</w:t>
        </w:r>
        <w:bookmarkEnd w:id="476"/>
        <w:r>
          <w:rPr>
            <w:rFonts w:hint="eastAsia" w:ascii="宋体" w:hAnsi="宋体" w:eastAsia="宋体" w:cs="宋体"/>
            <w:color w:val="000000" w:themeColor="text1"/>
            <w:sz w:val="24"/>
          </w:rPr>
          <w:t xml:space="preserve">.gov.cn/ztztz/zhengfucaigouguanli/201802/t20180201_2804589.htm</w:t>
        </w:r>
      </w:hyperlink>
      <w:r>
        <w:rPr>
          <w:rFonts w:hint="eastAsia" w:ascii="宋体" w:hAnsi="宋体" w:eastAsia="宋体" w:cs="宋体"/>
          <w:color w:val="000000" w:themeColor="text1"/>
          <w:sz w:val="24"/>
        </w:rPr>
        <w:t xml:space="preserve">）。</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投标人为自然人的，应当由本人签字；投标人为法人或者其他组织的，应当由法定代表人、主要负责人，或者其授权代表签字或者加盖公章，并加盖公章。</w:t>
      </w:r>
      <w:r/>
    </w:p>
    <w:p>
      <w:pPr>
        <w:pStyle w:val="935"/>
        <w:numPr>
          <w:ilvl w:val="2"/>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接收询问和质疑的联系部门、联系电话和通讯地址见《投标人须知资料表》。</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代理费</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收费对象、收费标准及缴纳时间见《投标人须知资料表》。由中标人支付的，中标人须一次性向采购代理机构缴纳代理费，投标报价应包含代理费用。</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履约保证金</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本项目免收履约保证金。</w:t>
      </w:r>
      <w:r/>
    </w:p>
    <w:p>
      <w:pPr>
        <w:pStyle w:val="935"/>
        <w:numPr>
          <w:ilvl w:val="0"/>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纸质投标文件</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中标人在签订合同前向代理机构提供</w:t>
      </w:r>
      <w:r>
        <w:rPr>
          <w:rFonts w:hint="eastAsia" w:ascii="宋体" w:hAnsi="宋体" w:eastAsia="宋体" w:cs="宋体"/>
          <w:b/>
          <w:bCs/>
          <w:color w:val="000000" w:themeColor="text1"/>
          <w:sz w:val="24"/>
        </w:rPr>
        <w:t xml:space="preserve">正本1套纸质投标文件</w:t>
      </w:r>
      <w:r>
        <w:rPr>
          <w:rFonts w:hint="eastAsia" w:ascii="宋体" w:hAnsi="宋体" w:eastAsia="宋体" w:cs="宋体"/>
          <w:color w:val="000000" w:themeColor="text1"/>
          <w:sz w:val="24"/>
        </w:rPr>
        <w:t xml:space="preserve">。</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纸质投标文件需与政府采购系统的投标文件一致，中标人应按照要求签字、盖章。</w:t>
      </w:r>
      <w:r/>
    </w:p>
    <w:p>
      <w:pPr>
        <w:pStyle w:val="935"/>
        <w:numPr>
          <w:ilvl w:val="1"/>
          <w:numId w:val="3"/>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cs="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rPr>
      </w:r>
      <w:r/>
    </w:p>
    <w:p>
      <w:pPr>
        <w:pStyle w:val="898"/>
        <w:ind w:left="343" w:hanging="343"/>
        <w:rPr>
          <w:rFonts w:hint="eastAsia" w:ascii="宋体" w:hAnsi="宋体" w:eastAsia="宋体" w:cs="宋体"/>
          <w:color w:val="000000" w:themeColor="text1"/>
        </w:rPr>
      </w:pPr>
      <w:r/>
      <w:bookmarkStart w:id="477" w:name="_Toc30410"/>
      <w:r/>
      <w:bookmarkStart w:id="478" w:name="_Toc104818927"/>
      <w:r>
        <w:rPr>
          <w:rFonts w:hint="eastAsia" w:ascii="宋体" w:hAnsi="宋体" w:eastAsia="宋体" w:cs="宋体"/>
          <w:color w:val="000000" w:themeColor="text1"/>
        </w:rPr>
        <w:t xml:space="preserve">第三章 资格审查</w:t>
      </w:r>
      <w:bookmarkEnd w:id="477"/>
      <w:r/>
      <w:r/>
    </w:p>
    <w:p>
      <w:pPr>
        <w:ind w:left="229" w:hanging="229"/>
        <w:jc w:val="center"/>
        <w:spacing w:line="360" w:lineRule="auto"/>
        <w:rPr>
          <w:rFonts w:hint="eastAsia" w:ascii="宋体" w:hAnsi="宋体" w:eastAsia="宋体" w:cs="宋体"/>
          <w:b/>
          <w:color w:val="000000" w:themeColor="text1"/>
          <w:sz w:val="24"/>
          <w:szCs w:val="24"/>
        </w:rPr>
      </w:pPr>
      <w:r/>
      <w:bookmarkStart w:id="479" w:name="_Toc99301422"/>
      <w:r>
        <w:rPr>
          <w:rFonts w:hint="eastAsia" w:ascii="宋体" w:hAnsi="宋体" w:eastAsia="宋体" w:cs="宋体"/>
          <w:b/>
          <w:color w:val="000000" w:themeColor="text1"/>
          <w:sz w:val="24"/>
          <w:szCs w:val="24"/>
        </w:rPr>
        <w:t xml:space="preserve">一、资格审查程序</w:t>
      </w:r>
      <w:bookmarkEnd w:id="479"/>
      <w:r/>
      <w:r/>
    </w:p>
    <w:p>
      <w:pPr>
        <w:pStyle w:val="935"/>
        <w:numPr>
          <w:ilvl w:val="0"/>
          <w:numId w:val="4"/>
        </w:num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开标结束后，采购人将根据《资格审查要求》中的规定，对投标人进行资格审查，并形成资格审查结果</w:t>
      </w:r>
      <w:r>
        <w:rPr>
          <w:rFonts w:hint="eastAsia" w:ascii="宋体" w:hAnsi="宋体" w:eastAsia="宋体" w:cs="宋体"/>
          <w:color w:val="000000" w:themeColor="text1"/>
          <w:sz w:val="24"/>
          <w:szCs w:val="24"/>
        </w:rPr>
        <w:t xml:space="preserve">。</w:t>
      </w:r>
      <w:r/>
    </w:p>
    <w:p>
      <w:pPr>
        <w:pStyle w:val="935"/>
        <w:numPr>
          <w:ilvl w:val="0"/>
          <w:numId w:val="4"/>
        </w:num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rPr>
        <w:t xml:space="preserve">《资格审查要求》中对格式有要求的，除招标文件另有规定外，均为“实质性格式”文件</w:t>
      </w:r>
      <w:r>
        <w:rPr>
          <w:rFonts w:hint="eastAsia" w:ascii="宋体" w:hAnsi="宋体" w:eastAsia="宋体" w:cs="宋体"/>
          <w:color w:val="000000" w:themeColor="text1"/>
          <w:sz w:val="24"/>
          <w:szCs w:val="24"/>
        </w:rPr>
        <w:t xml:space="preserve">。</w:t>
      </w:r>
      <w:r/>
    </w:p>
    <w:p>
      <w:pPr>
        <w:pStyle w:val="935"/>
        <w:numPr>
          <w:ilvl w:val="0"/>
          <w:numId w:val="4"/>
        </w:num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投标人《资格证明文件》有任何一项不符合《资格审查要求》的，资格审查不合格，其投标无效。</w:t>
      </w:r>
      <w:r/>
    </w:p>
    <w:p>
      <w:pPr>
        <w:pStyle w:val="935"/>
        <w:numPr>
          <w:ilvl w:val="0"/>
          <w:numId w:val="4"/>
        </w:numP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资格审查合格的投标人不足3家的，不进行评标。</w:t>
      </w:r>
      <w:r/>
    </w:p>
    <w:p>
      <w:pPr>
        <w:ind w:left="229" w:hanging="229"/>
        <w:jc w:val="center"/>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序号</w:t>
            </w:r>
            <w:r/>
          </w:p>
        </w:tc>
        <w:tc>
          <w:tcPr>
            <w:tcW w:w="1190"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审查因素</w:t>
            </w:r>
            <w:r/>
          </w:p>
        </w:tc>
        <w:tc>
          <w:tcPr>
            <w:tcW w:w="2330"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审查内容</w:t>
            </w:r>
            <w:r/>
          </w:p>
        </w:tc>
        <w:tc>
          <w:tcPr>
            <w:tcW w:w="1026"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w:t>
            </w:r>
            <w:r/>
          </w:p>
        </w:tc>
        <w:tc>
          <w:tcPr>
            <w:tcW w:w="1190"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满足《中华人民共和国政府采购法》第二十二条规定及法律法规的其他规定</w:t>
            </w:r>
            <w:r/>
          </w:p>
        </w:tc>
        <w:tc>
          <w:tcPr>
            <w:tcW w:w="2330"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具体规定见第一章《投标邀请》</w:t>
            </w:r>
            <w:r/>
          </w:p>
        </w:tc>
        <w:tc>
          <w:tcPr>
            <w:tcW w:w="1026"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1-1</w:t>
            </w:r>
            <w:r/>
          </w:p>
        </w:tc>
        <w:tc>
          <w:tcPr>
            <w:tcW w:w="1190"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投标人资格声明函</w:t>
            </w:r>
            <w:r/>
          </w:p>
        </w:tc>
        <w:tc>
          <w:tcPr>
            <w:tcW w:w="2330"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提供了符合招标文件要求的《投标人资格声明函》</w:t>
            </w:r>
            <w:r/>
          </w:p>
        </w:tc>
        <w:tc>
          <w:tcPr>
            <w:tcW w:w="1026"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格式见《投标文件格式》</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1-2</w:t>
            </w:r>
            <w:r/>
          </w:p>
        </w:tc>
        <w:tc>
          <w:tcPr>
            <w:tcW w:w="1190"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投标人营业执照</w:t>
            </w:r>
            <w:r/>
          </w:p>
        </w:tc>
        <w:tc>
          <w:tcPr>
            <w:tcW w:w="2330"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法人或者其他组织提供营业执照等证明文件，自然人提供营业执照（如有）及身份证明（双面）</w:t>
            </w:r>
            <w:r/>
          </w:p>
        </w:tc>
        <w:tc>
          <w:tcPr>
            <w:tcW w:w="1026"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1-3</w:t>
            </w:r>
            <w:r/>
          </w:p>
        </w:tc>
        <w:tc>
          <w:tcPr>
            <w:tcW w:w="1190"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投标人信用记录</w:t>
            </w:r>
            <w:r/>
          </w:p>
        </w:tc>
        <w:tc>
          <w:tcPr>
            <w:tcW w:w="2330" w:type="pct"/>
            <w:vAlign w:val="center"/>
            <w:textDirection w:val="lrTb"/>
            <w:noWrap w:val="false"/>
          </w:tcPr>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信用信息查询记录和证据留存具体方式：查询结果网页打印页作为查询记录和证据，与其他采购文件一并保存；</w:t>
            </w:r>
            <w:r/>
          </w:p>
          <w:p>
            <w:pPr>
              <w:ind w:left="199" w:hanging="199"/>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6"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无须投标人提供，由采购代理机构查询。</w:t>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w:t>
            </w:r>
            <w:r/>
          </w:p>
        </w:tc>
        <w:tc>
          <w:tcPr>
            <w:tcW w:w="1190" w:type="pct"/>
            <w:vAlign w:val="center"/>
            <w:textDirection w:val="lrTb"/>
            <w:noWrap w:val="false"/>
          </w:tcPr>
          <w:p>
            <w:pPr>
              <w:ind w:left="199" w:hanging="199"/>
              <w:rPr>
                <w:rFonts w:hint="eastAsia" w:ascii="宋体" w:hAnsi="宋体" w:eastAsia="宋体" w:cs="宋体"/>
                <w:color w:val="000000" w:themeColor="text1"/>
                <w:szCs w:val="21"/>
              </w:rPr>
            </w:pPr>
            <w:r>
              <w:rPr>
                <w:szCs w:val="21"/>
              </w:rPr>
              <w:t xml:space="preserve">落实政府采购政策</w:t>
            </w:r>
            <w:r>
              <w:rPr>
                <w:szCs w:val="21"/>
              </w:rPr>
              <w:t xml:space="preserve">需满足的资格要求</w:t>
            </w:r>
            <w:r/>
          </w:p>
        </w:tc>
        <w:tc>
          <w:tcPr>
            <w:tcW w:w="2330" w:type="pct"/>
            <w:vAlign w:val="center"/>
            <w:textDirection w:val="lrTb"/>
            <w:noWrap w:val="false"/>
          </w:tcPr>
          <w:p>
            <w:pPr>
              <w:ind w:left="199" w:hanging="199"/>
              <w:rPr>
                <w:rFonts w:hint="eastAsia" w:ascii="宋体" w:hAnsi="宋体" w:eastAsia="宋体" w:cs="宋体"/>
                <w:color w:val="000000" w:themeColor="text1"/>
                <w:szCs w:val="21"/>
              </w:rPr>
            </w:pPr>
            <w:r>
              <w:rPr>
                <w:szCs w:val="21"/>
              </w:rPr>
              <w:t xml:space="preserve">具体要求见第一章《采购邀请》</w:t>
            </w:r>
            <w:r/>
          </w:p>
        </w:tc>
        <w:tc>
          <w:tcPr>
            <w:tcW w:w="1026"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2-1</w:t>
            </w:r>
            <w:r/>
          </w:p>
        </w:tc>
        <w:tc>
          <w:tcPr>
            <w:tcW w:w="1190" w:type="pct"/>
            <w:vAlign w:val="center"/>
            <w:textDirection w:val="lrTb"/>
            <w:noWrap w:val="false"/>
          </w:tcPr>
          <w:p>
            <w:pPr>
              <w:ind w:left="199" w:hanging="199"/>
              <w:rPr>
                <w:rFonts w:hint="eastAsia" w:ascii="宋体" w:hAnsi="宋体" w:eastAsia="宋体" w:cs="宋体"/>
                <w:color w:val="000000" w:themeColor="text1"/>
                <w:szCs w:val="21"/>
              </w:rPr>
            </w:pPr>
            <w:r>
              <w:rPr>
                <w:szCs w:val="21"/>
              </w:rPr>
              <w:t xml:space="preserve">中小企业声明函</w:t>
            </w:r>
            <w:r/>
          </w:p>
        </w:tc>
        <w:tc>
          <w:tcPr>
            <w:tcW w:w="2330" w:type="pct"/>
            <w:vAlign w:val="center"/>
            <w:textDirection w:val="lrTb"/>
            <w:noWrap w:val="false"/>
          </w:tcPr>
          <w:p>
            <w:pPr>
              <w:jc w:val="left"/>
              <w:tabs>
                <w:tab w:val="left" w:pos="900" w:leader="none"/>
                <w:tab w:val="left" w:pos="1980" w:leader="none"/>
              </w:tabs>
              <w:rPr>
                <w:szCs w:val="21"/>
              </w:rPr>
            </w:pPr>
            <w:r>
              <w:rPr>
                <w:szCs w:val="21"/>
              </w:rPr>
              <w:t xml:space="preserve">当本项目（包）涉及预留份额专门面向中小企业采购</w:t>
            </w:r>
            <w:r>
              <w:rPr>
                <w:rFonts w:hint="eastAsia"/>
                <w:szCs w:val="21"/>
              </w:rPr>
              <w:t xml:space="preserve">，</w:t>
            </w:r>
            <w:r>
              <w:rPr>
                <w:szCs w:val="21"/>
              </w:rPr>
              <w:t xml:space="preserve">此时建议在《资格证明文件》中提供。</w:t>
            </w:r>
            <w:r>
              <w:rPr>
                <w:rFonts w:hint="eastAsia"/>
                <w:szCs w:val="21"/>
              </w:rPr>
              <w:t xml:space="preserve">不属于该情况的，本项可删除，防止误导供应商</w:t>
            </w:r>
            <w:r>
              <w:rPr>
                <w:rFonts w:hint="eastAsia"/>
                <w:szCs w:val="21"/>
              </w:rPr>
              <w:t xml:space="preserve">)</w:t>
            </w:r>
            <w:r/>
          </w:p>
          <w:p>
            <w:pPr>
              <w:jc w:val="left"/>
              <w:tabs>
                <w:tab w:val="left" w:pos="900" w:leader="none"/>
                <w:tab w:val="left" w:pos="1980" w:leader="none"/>
              </w:tabs>
              <w:rPr>
                <w:szCs w:val="21"/>
              </w:rPr>
            </w:pPr>
            <w:r>
              <w:rPr>
                <w:szCs w:val="21"/>
              </w:rPr>
            </w:r>
            <w:r/>
          </w:p>
          <w:p>
            <w:pPr>
              <w:jc w:val="left"/>
              <w:tabs>
                <w:tab w:val="left" w:pos="900" w:leader="none"/>
                <w:tab w:val="left" w:pos="1980" w:leader="none"/>
              </w:tabs>
              <w:rPr>
                <w:szCs w:val="21"/>
              </w:rPr>
            </w:pPr>
            <w:r>
              <w:rPr>
                <w:rFonts w:hint="eastAsia"/>
                <w:szCs w:val="21"/>
              </w:rPr>
              <w:t xml:space="preserve">1</w:t>
            </w:r>
            <w:r>
              <w:rPr>
                <w:rFonts w:hint="eastAsia"/>
                <w:szCs w:val="21"/>
              </w:rPr>
              <w:t xml:space="preserve">、供应商单独参与投标的，应提供中小企业声明函；如为监狱企业或残疾人福利性单位，不必提供中小企业声明函，但须按注</w:t>
            </w:r>
            <w:r>
              <w:rPr>
                <w:rFonts w:hint="eastAsia"/>
                <w:szCs w:val="21"/>
              </w:rPr>
              <w:t xml:space="preserve">1</w:t>
            </w:r>
            <w:r>
              <w:rPr>
                <w:rFonts w:hint="eastAsia"/>
                <w:szCs w:val="21"/>
              </w:rPr>
              <w:t xml:space="preserve">或注</w:t>
            </w:r>
            <w:r>
              <w:rPr>
                <w:rFonts w:hint="eastAsia"/>
                <w:szCs w:val="21"/>
              </w:rPr>
              <w:t xml:space="preserve">2</w:t>
            </w:r>
            <w:r>
              <w:rPr>
                <w:rFonts w:hint="eastAsia"/>
                <w:szCs w:val="21"/>
              </w:rPr>
              <w:t xml:space="preserve">要求提供证明材料。</w:t>
            </w:r>
            <w:r/>
          </w:p>
          <w:p>
            <w:pPr>
              <w:jc w:val="left"/>
              <w:tabs>
                <w:tab w:val="left" w:pos="900" w:leader="none"/>
                <w:tab w:val="left" w:pos="1980" w:leader="none"/>
              </w:tabs>
              <w:rPr>
                <w:szCs w:val="21"/>
              </w:rPr>
            </w:pPr>
            <w:r>
              <w:rPr>
                <w:rFonts w:hint="eastAsia"/>
                <w:szCs w:val="21"/>
              </w:rPr>
              <w:t xml:space="preserve">2</w:t>
            </w:r>
            <w:r>
              <w:rPr>
                <w:rFonts w:hint="eastAsia"/>
                <w:szCs w:val="21"/>
              </w:rPr>
              <w:t xml:space="preserve">、如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hint="eastAsia"/>
                <w:szCs w:val="21"/>
              </w:rPr>
              <w:t xml:space="preserve">1</w:t>
            </w:r>
            <w:r>
              <w:rPr>
                <w:rFonts w:hint="eastAsia"/>
                <w:szCs w:val="21"/>
              </w:rPr>
              <w:t xml:space="preserve">或注</w:t>
            </w:r>
            <w:r>
              <w:rPr>
                <w:rFonts w:hint="eastAsia"/>
                <w:szCs w:val="21"/>
              </w:rPr>
              <w:t xml:space="preserve">2</w:t>
            </w:r>
            <w:r>
              <w:rPr>
                <w:rFonts w:hint="eastAsia"/>
                <w:szCs w:val="21"/>
              </w:rPr>
              <w:t xml:space="preserve">要求提供证明材料。</w:t>
            </w:r>
            <w:r/>
          </w:p>
          <w:p>
            <w:pPr>
              <w:jc w:val="left"/>
              <w:tabs>
                <w:tab w:val="left" w:pos="900" w:leader="none"/>
                <w:tab w:val="left" w:pos="1980" w:leader="none"/>
              </w:tabs>
              <w:rPr>
                <w:szCs w:val="21"/>
              </w:rPr>
            </w:pPr>
            <w:r>
              <w:rPr>
                <w:rFonts w:hint="eastAsia"/>
                <w:szCs w:val="21"/>
              </w:rPr>
              <w:t xml:space="preserve">注</w:t>
            </w:r>
            <w:r>
              <w:rPr>
                <w:rFonts w:hint="eastAsia"/>
                <w:szCs w:val="21"/>
              </w:rPr>
              <w:t xml:space="preserve">1</w:t>
            </w:r>
            <w:r>
              <w:rPr>
                <w:rFonts w:hint="eastAsia"/>
                <w:szCs w:val="21"/>
              </w:rPr>
              <w:t xml:space="preserve">：监狱企业须提供由省级以上监狱管理局（常州市含教育矫治局）、戒毒管理局（含新疆生产建设兵团）出具的属于监狱企业的证明文件。</w:t>
            </w:r>
            <w:r/>
          </w:p>
          <w:p>
            <w:pPr>
              <w:ind w:left="199" w:hanging="199"/>
              <w:rPr>
                <w:rFonts w:hint="eastAsia" w:ascii="宋体" w:hAnsi="宋体" w:eastAsia="宋体" w:cs="宋体"/>
                <w:color w:val="000000" w:themeColor="text1"/>
                <w:szCs w:val="21"/>
              </w:rPr>
            </w:pPr>
            <w:r>
              <w:rPr>
                <w:rFonts w:hint="eastAsia"/>
                <w:szCs w:val="21"/>
              </w:rPr>
              <w:t xml:space="preserve">注</w:t>
            </w:r>
            <w:r>
              <w:rPr>
                <w:rFonts w:hint="eastAsia"/>
                <w:szCs w:val="21"/>
              </w:rPr>
              <w:t xml:space="preserve">2</w:t>
            </w:r>
            <w:r>
              <w:rPr>
                <w:rFonts w:hint="eastAsia"/>
                <w:szCs w:val="21"/>
              </w:rPr>
              <w:t xml:space="preserve">：残疾人福利性单位须按采购文件要求提供《残疾人福利性单位声明函》。</w:t>
            </w:r>
            <w:r/>
          </w:p>
        </w:tc>
        <w:tc>
          <w:tcPr>
            <w:tcW w:w="1026" w:type="pct"/>
            <w:vAlign w:val="center"/>
            <w:textDirection w:val="lrTb"/>
            <w:noWrap w:val="false"/>
          </w:tcPr>
          <w:p>
            <w:pPr>
              <w:ind w:left="199" w:hanging="199"/>
              <w:jc w:val="center"/>
              <w:rPr>
                <w:rFonts w:hint="eastAsia" w:ascii="宋体" w:hAnsi="宋体" w:eastAsia="宋体" w:cs="宋体"/>
                <w:color w:val="000000" w:themeColor="text1"/>
                <w:szCs w:val="21"/>
              </w:rPr>
            </w:pPr>
            <w:r>
              <w:rPr>
                <w:szCs w:val="21"/>
              </w:rPr>
              <w:t xml:space="preserve">格式见《响应文件格式》</w:t>
            </w:r>
            <w:r/>
          </w:p>
        </w:tc>
      </w:tr>
    </w:tbl>
    <w:p>
      <w:pPr>
        <w:ind w:left="228" w:hanging="228"/>
        <w:rPr>
          <w:rFonts w:hint="eastAsia" w:ascii="宋体" w:hAnsi="宋体" w:eastAsia="宋体" w:cs="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rPr>
        <w:br w:type="page" w:clear="all"/>
      </w:r>
      <w:r/>
    </w:p>
    <w:p>
      <w:pPr>
        <w:pStyle w:val="898"/>
        <w:ind w:left="343" w:hanging="343"/>
        <w:rPr>
          <w:rFonts w:hint="eastAsia" w:ascii="宋体" w:hAnsi="宋体" w:eastAsia="宋体" w:cs="宋体"/>
          <w:color w:val="000000" w:themeColor="text1"/>
        </w:rPr>
      </w:pPr>
      <w:r/>
      <w:bookmarkStart w:id="480" w:name="_Toc14130"/>
      <w:r>
        <w:rPr>
          <w:rFonts w:hint="eastAsia" w:ascii="宋体" w:hAnsi="宋体" w:eastAsia="宋体" w:cs="宋体"/>
          <w:color w:val="000000" w:themeColor="text1"/>
        </w:rPr>
        <w:t xml:space="preserve">第四章 评标程序、评标方法和评标标准</w:t>
      </w:r>
      <w:bookmarkEnd w:id="478"/>
      <w:r/>
      <w:bookmarkEnd w:id="480"/>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一、评标程序</w:t>
      </w:r>
      <w:r/>
    </w:p>
    <w:p>
      <w:pPr>
        <w:pStyle w:val="935"/>
        <w:numPr>
          <w:ilvl w:val="0"/>
          <w:numId w:val="5"/>
        </w:numPr>
        <w:jc w:val="left"/>
        <w:spacing w:line="360" w:lineRule="auto"/>
        <w:rPr>
          <w:rFonts w:hint="eastAsia" w:ascii="宋体" w:hAnsi="宋体" w:eastAsia="宋体" w:cs="宋体"/>
          <w:color w:val="000000" w:themeColor="text1"/>
          <w:sz w:val="24"/>
        </w:rPr>
      </w:pPr>
      <w:r/>
      <w:bookmarkStart w:id="481" w:name="_Toc305158883"/>
      <w:r/>
      <w:bookmarkStart w:id="482" w:name="_Toc127161455"/>
      <w:r/>
      <w:bookmarkStart w:id="483" w:name="_Toc164229382"/>
      <w:r/>
      <w:bookmarkStart w:id="484" w:name="_Toc164608810"/>
      <w:r/>
      <w:bookmarkStart w:id="485" w:name="_Toc226965731"/>
      <w:r/>
      <w:bookmarkStart w:id="486" w:name="_Toc127151541"/>
      <w:r/>
      <w:bookmarkStart w:id="487" w:name="_Toc151193855"/>
      <w:r/>
      <w:bookmarkStart w:id="488" w:name="_Toc150509292"/>
      <w:r/>
      <w:bookmarkStart w:id="489" w:name="_Toc164351635"/>
      <w:r/>
      <w:bookmarkStart w:id="490" w:name="_Toc164608655"/>
      <w:r/>
      <w:bookmarkStart w:id="491" w:name="_Toc226309785"/>
      <w:r/>
      <w:bookmarkStart w:id="492" w:name="_Toc195842906"/>
      <w:r/>
      <w:bookmarkStart w:id="493" w:name="_Toc151193711"/>
      <w:r/>
      <w:bookmarkStart w:id="494" w:name="_Toc226337237"/>
      <w:r/>
      <w:bookmarkStart w:id="495" w:name="_Toc151193929"/>
      <w:r/>
      <w:bookmarkStart w:id="496" w:name="_Toc264969231"/>
      <w:r/>
      <w:bookmarkStart w:id="497" w:name="_Toc127151742"/>
      <w:r/>
      <w:bookmarkStart w:id="498" w:name="_Toc142311043"/>
      <w:r/>
      <w:bookmarkStart w:id="499" w:name="_Toc226965814"/>
      <w:r/>
      <w:bookmarkStart w:id="500" w:name="_Toc265228379"/>
      <w:r/>
      <w:bookmarkStart w:id="501" w:name="_Toc150774641"/>
      <w:r/>
      <w:bookmarkStart w:id="502" w:name="_Toc151193639"/>
      <w:r/>
      <w:bookmarkStart w:id="503" w:name="_Toc150480779"/>
      <w:r/>
      <w:bookmarkStart w:id="504" w:name="_Toc305158809"/>
      <w:r/>
      <w:bookmarkStart w:id="505" w:name="_Toc149720834"/>
      <w:r/>
      <w:bookmarkStart w:id="506" w:name="_Toc151190168"/>
      <w:r/>
      <w:bookmarkStart w:id="507" w:name="_Toc164229236"/>
      <w:r/>
      <w:bookmarkStart w:id="508" w:name="_Toc150774746"/>
      <w:r/>
      <w:bookmarkStart w:id="509" w:name="_Toc151193783"/>
      <w:r>
        <w:rPr>
          <w:rFonts w:hint="eastAsia" w:ascii="宋体" w:hAnsi="宋体" w:eastAsia="宋体" w:cs="宋体"/>
          <w:color w:val="000000" w:themeColor="text1"/>
          <w:sz w:val="24"/>
        </w:rPr>
        <w:t xml:space="preserve">投标文件的符合性审查</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评标委员会对资格审查合格的投标人的投标文件进行符合性审查，以确定其是否满足招标文件的实质性要求。</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w:t>
      </w:r>
      <w:r/>
    </w:p>
    <w:p>
      <w:pPr>
        <w:ind w:left="200" w:hanging="200"/>
        <w:jc w:val="center"/>
        <w:spacing w:line="360" w:lineRule="auto"/>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投标函、</w:t>
            </w:r>
            <w:r>
              <w:rPr>
                <w:rFonts w:hint="eastAsia" w:ascii="宋体" w:hAnsi="宋体" w:eastAsia="宋体" w:cs="宋体"/>
                <w:color w:val="000000" w:themeColor="text1"/>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按招标文件要求提供投标函、法定代表人资格证明书</w:t>
            </w:r>
            <w:r>
              <w:rPr>
                <w:rFonts w:hint="eastAsia" w:ascii="宋体" w:hAnsi="宋体" w:eastAsia="宋体" w:cs="宋体"/>
                <w:b/>
                <w:bCs/>
                <w:color w:val="000000" w:themeColor="text1"/>
                <w:szCs w:val="21"/>
              </w:rPr>
              <w:t xml:space="preserve">、</w:t>
            </w:r>
            <w:r>
              <w:rPr>
                <w:rFonts w:hint="eastAsia" w:ascii="宋体" w:hAnsi="宋体" w:eastAsia="宋体" w:cs="宋体"/>
                <w:color w:val="000000" w:themeColor="text1"/>
                <w:szCs w:val="21"/>
              </w:rPr>
              <w:t xml:space="preserve">政府采购供应商信用承</w:t>
            </w:r>
            <w:r>
              <w:rPr>
                <w:rFonts w:hint="eastAsia" w:ascii="宋体" w:hAnsi="宋体" w:eastAsia="宋体" w:cs="宋体"/>
                <w:color w:val="000000" w:themeColor="text1"/>
                <w:szCs w:val="21"/>
              </w:rPr>
              <w:t xml:space="preserve">诺书</w:t>
            </w:r>
            <w:r>
              <w:rPr>
                <w:rFonts w:hint="eastAsia" w:ascii="宋体" w:hAnsi="宋体" w:eastAsia="宋体" w:cs="宋体"/>
                <w:color w:val="000000" w:themeColor="text1"/>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投标报价未</w:t>
            </w:r>
            <w:r>
              <w:rPr>
                <w:rFonts w:hint="eastAsia" w:ascii="宋体" w:hAnsi="宋体" w:eastAsia="宋体" w:cs="宋体"/>
                <w:color w:val="000000" w:themeColor="text1"/>
                <w:szCs w:val="21"/>
              </w:rPr>
              <w:t xml:space="preserve">超过招标文件中规定的项目/采购包预算金额或者项目/采购包最高限价</w:t>
            </w:r>
            <w:r>
              <w:rPr>
                <w:rFonts w:hint="eastAsia"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投标文件未</w:t>
            </w:r>
            <w:r>
              <w:rPr>
                <w:rFonts w:hint="eastAsia" w:ascii="宋体" w:hAnsi="宋体" w:eastAsia="宋体" w:cs="宋体"/>
                <w:color w:val="000000" w:themeColor="text1"/>
                <w:szCs w:val="21"/>
              </w:rPr>
              <w:t xml:space="preserve">出现可选择性或可调整的报价（招标文件另有规定的除外）</w:t>
            </w:r>
            <w:r>
              <w:rPr>
                <w:rFonts w:hint="eastAsia" w:ascii="宋体" w:hAnsi="宋体" w:eastAsia="宋体" w:cs="宋体"/>
                <w:color w:val="000000" w:themeColor="text1"/>
                <w:szCs w:val="21"/>
              </w:rPr>
              <w:t xml:space="preserve">；</w:t>
            </w:r>
            <w:r>
              <w:rPr>
                <w:rFonts w:hint="eastAsia" w:ascii="宋体" w:hAnsi="宋体" w:eastAsia="宋体" w:cs="宋体"/>
                <w:b/>
                <w:color w:val="000000" w:themeColor="text1"/>
                <w:szCs w:val="21"/>
              </w:rPr>
              <w:t xml:space="preserve">提供《开标一览表》</w:t>
            </w:r>
            <w:r>
              <w:rPr>
                <w:rFonts w:hint="eastAsia" w:ascii="宋体" w:hAnsi="宋体" w:eastAsia="宋体" w:cs="宋体"/>
                <w:color w:val="000000" w:themeColor="text1"/>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按照招标文件要求签署、加盖公章的；（由评委审查，无需供应商提供材料）</w:t>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7</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标记为“实质性格式”的文件均按招标文件要求提供；除前面已提供的实质性格式文件以外，</w:t>
            </w:r>
            <w:r>
              <w:rPr>
                <w:rFonts w:hint="eastAsia" w:ascii="宋体" w:hAnsi="宋体" w:eastAsia="宋体" w:cs="宋体"/>
                <w:b/>
                <w:color w:val="000000" w:themeColor="text1"/>
                <w:szCs w:val="21"/>
              </w:rPr>
              <w:t xml:space="preserve">还需提供：分项报价表、合同条款偏离表，采购需求偏离表</w:t>
            </w:r>
            <w:r>
              <w:rPr>
                <w:rFonts w:hint="eastAsia" w:ascii="宋体" w:hAnsi="宋体" w:eastAsia="宋体" w:cs="宋体"/>
                <w:color w:val="000000" w:themeColor="text1"/>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b/>
                <w:bCs/>
                <w:color w:val="000000" w:themeColor="text1"/>
                <w:szCs w:val="21"/>
              </w:rPr>
              <w:t xml:space="preserve">★</w:t>
            </w:r>
            <w:r>
              <w:rPr>
                <w:rFonts w:hint="eastAsia" w:ascii="宋体" w:hAnsi="宋体" w:eastAsia="宋体" w:cs="宋体"/>
                <w:color w:val="000000" w:themeColor="text1"/>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投标文件满足招标文件</w:t>
            </w:r>
            <w:r>
              <w:rPr>
                <w:rFonts w:hint="eastAsia" w:ascii="宋体" w:hAnsi="宋体" w:eastAsia="宋体" w:cs="宋体"/>
                <w:color w:val="000000" w:themeColor="text1"/>
                <w:szCs w:val="21"/>
              </w:rPr>
              <w:t xml:space="preserve">第五章《采购需求》</w:t>
            </w:r>
            <w:r>
              <w:rPr>
                <w:rFonts w:hint="eastAsia" w:ascii="宋体" w:hAnsi="宋体" w:eastAsia="宋体" w:cs="宋体"/>
                <w:color w:val="000000" w:themeColor="text1"/>
                <w:szCs w:val="21"/>
              </w:rPr>
              <w:t xml:space="preserve">中★号条款要求的。</w:t>
            </w:r>
            <w:r>
              <w:rPr>
                <w:rFonts w:hint="eastAsia" w:ascii="宋体" w:hAnsi="宋体" w:eastAsia="宋体" w:cs="宋体"/>
                <w:b/>
                <w:bCs/>
                <w:color w:val="000000" w:themeColor="text1"/>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9</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10</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分包意向协议</w:t>
            </w:r>
            <w:r/>
          </w:p>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按招标文件规定签订并提供分包意向协议原件；</w:t>
            </w:r>
            <w:r>
              <w:rPr>
                <w:rFonts w:hint="eastAsia" w:ascii="宋体" w:hAnsi="宋体" w:eastAsia="宋体" w:cs="宋体"/>
                <w:color w:val="000000" w:themeColor="text1"/>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11</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12</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报价合理，或</w:t>
            </w:r>
            <w:r>
              <w:rPr>
                <w:rFonts w:hint="eastAsia" w:ascii="宋体" w:hAnsi="宋体" w:eastAsia="宋体" w:cs="宋体"/>
                <w:color w:val="000000" w:themeColor="text1"/>
                <w:szCs w:val="21"/>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13</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进口产品</w:t>
            </w:r>
            <w:r/>
          </w:p>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招标文件不接受进口产品投标的内容时，投标人所投产品非进口产品的；</w:t>
            </w:r>
            <w:r>
              <w:rPr>
                <w:rFonts w:hint="eastAsia" w:ascii="宋体" w:hAnsi="宋体" w:eastAsia="宋体" w:cs="宋体"/>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14</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国家有关部门对投标人的投标产品有强制性规定或要求的（如相应技术、安全、节能和环保等），投标人的投标产品应符合相应规定或要求，并提供证明文件：</w:t>
            </w:r>
            <w:r/>
          </w:p>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15</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themeColor="text1"/>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16</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17</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18</w:t>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投标人、投标文件不存在不符合法律、法规和招标文件规定的其他无效情形。</w:t>
            </w:r>
            <w:r>
              <w:rPr>
                <w:rFonts w:hint="eastAsia" w:ascii="宋体" w:hAnsi="宋体" w:eastAsia="宋体" w:cs="宋体"/>
                <w:color w:val="000000" w:themeColor="text1"/>
                <w:szCs w:val="21"/>
              </w:rPr>
              <w:t xml:space="preserve">（由评委审查，无需供应商提供材料）</w:t>
            </w:r>
            <w:r/>
          </w:p>
        </w:tc>
      </w:tr>
    </w:tbl>
    <w:p>
      <w:pPr>
        <w:pStyle w:val="935"/>
        <w:numPr>
          <w:ilvl w:val="0"/>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投标文件有关事项的澄清或者说明</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过程中，评标委员会将通过“苏采云”系统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themeColor="text1"/>
          <w:sz w:val="24"/>
          <w:szCs w:val="24"/>
        </w:rPr>
        <w:t xml:space="preserve">接到评标委员会澄清、说明和补正要求的投标人如未按规定做出澄清、说明和补正，其风险由投标人自行承担。</w:t>
      </w:r>
      <w:r/>
    </w:p>
    <w:p>
      <w:pPr>
        <w:pStyle w:val="935"/>
        <w:numPr>
          <w:ilvl w:val="1"/>
          <w:numId w:val="5"/>
        </w:numPr>
        <w:jc w:val="left"/>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评审过程中出现下列情形之一的，</w:t>
      </w:r>
      <w:r>
        <w:rPr>
          <w:rFonts w:hint="eastAsia" w:ascii="宋体" w:hAnsi="宋体" w:eastAsia="宋体" w:cs="宋体"/>
          <w:color w:val="000000" w:themeColor="text1"/>
          <w:sz w:val="24"/>
        </w:rPr>
        <w:t xml:space="preserve">评标委员会</w:t>
      </w:r>
      <w:r>
        <w:rPr>
          <w:rFonts w:ascii="宋体" w:hAnsi="宋体" w:eastAsia="宋体" w:cs="宋体"/>
          <w:color w:val="000000" w:themeColor="text1"/>
          <w:sz w:val="24"/>
        </w:rPr>
        <w:t xml:space="preserve">应当启动异常低价投标审查</w:t>
      </w:r>
      <w:r>
        <w:rPr>
          <w:rFonts w:hint="eastAsia" w:ascii="宋体" w:hAnsi="宋体" w:eastAsia="宋体" w:cs="宋体"/>
          <w:color w:val="000000" w:themeColor="text1"/>
          <w:sz w:val="24"/>
        </w:rPr>
        <w:t xml:space="preserve">程序：</w:t>
      </w:r>
      <w:r/>
    </w:p>
    <w:p>
      <w:pPr>
        <w:pStyle w:val="935"/>
        <w:numPr>
          <w:ilvl w:val="2"/>
          <w:numId w:val="5"/>
        </w:numPr>
        <w:jc w:val="left"/>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投标报价低于采购项目预算50%的，即投标报价&lt;采购项目预算×50%；</w:t>
      </w:r>
      <w:r/>
    </w:p>
    <w:p>
      <w:pPr>
        <w:pStyle w:val="935"/>
        <w:numPr>
          <w:ilvl w:val="2"/>
          <w:numId w:val="5"/>
        </w:numPr>
        <w:jc w:val="left"/>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投标报价低于采购项目最高限价45%的，即投标报价&lt;采购项目最高限价×45%；</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w:t>
      </w:r>
      <w:r>
        <w:rPr>
          <w:rFonts w:ascii="宋体" w:hAnsi="宋体" w:eastAsia="宋体" w:cs="宋体"/>
          <w:color w:val="000000" w:themeColor="text1"/>
          <w:sz w:val="24"/>
        </w:rPr>
        <w:t xml:space="preserve">认定的供应商报价过低、有可能影响产品质量或者不能诚信履约的其他情形。</w:t>
      </w:r>
      <w:r/>
    </w:p>
    <w:p>
      <w:pPr>
        <w:pStyle w:val="935"/>
        <w:ind w:left="284" w:firstLine="480"/>
        <w:jc w:val="left"/>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启动异常低价投标审查后，</w:t>
      </w:r>
      <w:r>
        <w:rPr>
          <w:rFonts w:hint="eastAsia" w:ascii="宋体" w:hAnsi="宋体" w:eastAsia="宋体" w:cs="宋体"/>
          <w:color w:val="000000" w:themeColor="text1"/>
          <w:sz w:val="24"/>
        </w:rPr>
        <w:t xml:space="preserve">评标委员会</w:t>
      </w:r>
      <w:r>
        <w:rPr>
          <w:rFonts w:ascii="宋体" w:hAnsi="宋体" w:eastAsia="宋体" w:cs="宋体"/>
          <w:color w:val="000000" w:themeColor="text1"/>
          <w:sz w:val="24"/>
        </w:rPr>
        <w:t xml:space="preserve">应当要求相关供应商在评标现场合理的时间内，提供项目具体成本测算等与报价合理性相关的书面说明及相关证明材料，对投标价格作出解释，由</w:t>
      </w:r>
      <w:r>
        <w:rPr>
          <w:rFonts w:hint="eastAsia" w:ascii="宋体" w:hAnsi="宋体" w:eastAsia="宋体" w:cs="宋体"/>
          <w:color w:val="000000" w:themeColor="text1"/>
          <w:sz w:val="24"/>
        </w:rPr>
        <w:t xml:space="preserve">评标委员会</w:t>
      </w:r>
      <w:r>
        <w:rPr>
          <w:rFonts w:ascii="宋体" w:hAnsi="宋体" w:eastAsia="宋体" w:cs="宋体"/>
          <w:color w:val="000000" w:themeColor="text1"/>
          <w:sz w:val="24"/>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eastAsia="宋体" w:cs="宋体"/>
          <w:color w:val="000000" w:themeColor="text1"/>
          <w:sz w:val="24"/>
        </w:rPr>
        <w:t xml:space="preserve">评标委员会</w:t>
      </w:r>
      <w:r>
        <w:rPr>
          <w:rFonts w:ascii="宋体" w:hAnsi="宋体" w:eastAsia="宋体" w:cs="宋体"/>
          <w:color w:val="000000" w:themeColor="text1"/>
          <w:sz w:val="24"/>
        </w:rPr>
        <w:t xml:space="preserve">应当将其作为</w:t>
      </w:r>
      <w:r>
        <w:rPr>
          <w:rFonts w:ascii="宋体" w:hAnsi="宋体" w:eastAsia="宋体" w:cs="宋体"/>
          <w:b/>
          <w:bCs/>
          <w:color w:val="000000" w:themeColor="text1"/>
          <w:sz w:val="24"/>
        </w:rPr>
        <w:t xml:space="preserve">无效投标处理</w:t>
      </w:r>
      <w:r>
        <w:rPr>
          <w:rFonts w:ascii="宋体" w:hAnsi="宋体" w:eastAsia="宋体" w:cs="宋体"/>
          <w:color w:val="000000" w:themeColor="text1"/>
          <w:sz w:val="24"/>
        </w:rPr>
        <w:t xml:space="preserve">。审查相关情况应当在评审报告中进行记录。</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themeColor="text1"/>
          <w:sz w:val="24"/>
        </w:rPr>
        <w:t xml:space="preserve">投标无效</w:t>
      </w:r>
      <w:r>
        <w:rPr>
          <w:rFonts w:hint="eastAsia" w:ascii="宋体" w:hAnsi="宋体" w:eastAsia="宋体" w:cs="宋体"/>
          <w:color w:val="000000" w:themeColor="text1"/>
          <w:sz w:val="24"/>
        </w:rPr>
        <w:t xml:space="preserve">。</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投标文件报价出现前后不一致的，按照下列规定修正</w:t>
      </w:r>
      <w:r>
        <w:rPr>
          <w:rFonts w:hint="eastAsia" w:ascii="宋体" w:hAnsi="宋体" w:eastAsia="宋体" w:cs="宋体"/>
          <w:color w:val="000000" w:themeColor="text1"/>
          <w:sz w:val="24"/>
        </w:rPr>
        <w:t xml:space="preserve">。</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招标文件对于报价修正是否另有规定：</w:t>
      </w:r>
      <w:r/>
    </w:p>
    <w:p>
      <w:pPr>
        <w:ind w:firstLine="96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□有，具体规定为：</w:t>
      </w:r>
      <w:r/>
    </w:p>
    <w:p>
      <w:pPr>
        <w:ind w:firstLine="96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■无，按下述2.4.2—2.4.7项规定修正</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单独递交的开标一览表（报价表）与投标文件中开标一览表（报价表）内容不一致的，以单独递交的开标一览表（报价表）为准；</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投标文件中开标一览表（报价表）内容与投标文件中相应内容不一致的，以开标一览表（报价表）为准；</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大写金额和小写金额不一致的，以大写金额为准；</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单价金额小数点或者百分比有明显错位的，以开标一览表的总价为准，并修改单价；</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总价金额与按单价汇总金额不一致的，以单价金额计算结果为准；</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同时出现两种以上不一致的，按照前款规定的顺序修正。评标委员会</w:t>
      </w:r>
      <w:r>
        <w:rPr>
          <w:rFonts w:hint="eastAsia" w:ascii="宋体" w:hAnsi="宋体" w:eastAsia="宋体" w:cs="宋体"/>
          <w:bCs/>
          <w:color w:val="000000" w:themeColor="text1"/>
          <w:sz w:val="24"/>
        </w:rPr>
        <w:t xml:space="preserve">将按上述修正错误的方法调整投标文件中的投标报价，并通过“</w:t>
      </w:r>
      <w:r>
        <w:rPr>
          <w:rFonts w:hint="eastAsia" w:ascii="宋体" w:hAnsi="宋体" w:eastAsia="宋体" w:cs="宋体"/>
          <w:color w:val="000000" w:themeColor="text1"/>
          <w:sz w:val="24"/>
          <w:szCs w:val="24"/>
        </w:rPr>
        <w:t xml:space="preserve">苏采云”系统</w:t>
      </w:r>
      <w:r>
        <w:rPr>
          <w:rFonts w:hint="eastAsia" w:ascii="宋体" w:hAnsi="宋体" w:eastAsia="宋体" w:cs="宋体"/>
          <w:bCs/>
          <w:color w:val="000000" w:themeColor="text1"/>
          <w:sz w:val="24"/>
        </w:rPr>
        <w:t xml:space="preserve">告知投标人，</w:t>
      </w:r>
      <w:r>
        <w:rPr>
          <w:rFonts w:hint="eastAsia" w:ascii="宋体" w:hAnsi="宋体" w:eastAsia="宋体" w:cs="宋体"/>
          <w:color w:val="000000" w:themeColor="text1"/>
          <w:sz w:val="24"/>
        </w:rPr>
        <w:t xml:space="preserve">修正后的报价经投标人书面确认后产生约束力，投标人不确认的，其</w:t>
      </w:r>
      <w:r>
        <w:rPr>
          <w:rFonts w:hint="eastAsia" w:ascii="宋体" w:hAnsi="宋体" w:eastAsia="宋体" w:cs="宋体"/>
          <w:b/>
          <w:color w:val="000000" w:themeColor="text1"/>
          <w:sz w:val="24"/>
        </w:rPr>
        <w:t xml:space="preserve">投标无效；</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落实政府采购政策的价格调整：只有符合第二章《投标人须知》5.2条规定情形的，可以享受中小企业扶持政策，用扣除后的价格参加评审；否则，评标时价格不予扣除。</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对于未预留份额专门面向中小企业采购的采购项目，以及预留份额项目中的非预留部分采购包，对小微企业报价给予20%（工程项目为5%）的扣除，用扣除后的价格参加评审。</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themeColor="text1"/>
          <w:sz w:val="24"/>
        </w:rPr>
        <w:t xml:space="preserve">小微企业</w:t>
      </w:r>
      <w:r>
        <w:rPr>
          <w:rFonts w:hint="eastAsia" w:ascii="宋体" w:hAnsi="宋体" w:eastAsia="宋体" w:cs="宋体"/>
          <w:color w:val="000000" w:themeColor="text1"/>
          <w:sz w:val="24"/>
        </w:rPr>
        <w:t xml:space="preserve">组成联合体或者允许大中型企业向一家或者多家</w:t>
      </w:r>
      <w:r>
        <w:rPr>
          <w:rFonts w:hint="eastAsia" w:ascii="宋体" w:hAnsi="宋体" w:eastAsia="宋体" w:cs="宋体"/>
          <w:b/>
          <w:color w:val="000000" w:themeColor="text1"/>
          <w:sz w:val="24"/>
        </w:rPr>
        <w:t xml:space="preserve">小微企业</w:t>
      </w:r>
      <w:r>
        <w:rPr>
          <w:rFonts w:hint="eastAsia" w:ascii="宋体" w:hAnsi="宋体" w:eastAsia="宋体" w:cs="宋体"/>
          <w:color w:val="000000" w:themeColor="text1"/>
          <w:sz w:val="24"/>
        </w:rPr>
        <w:t xml:space="preserve">分包的采购项目，对于联合协议或者分包意向协议约定</w:t>
      </w:r>
      <w:r>
        <w:rPr>
          <w:rFonts w:hint="eastAsia" w:ascii="宋体" w:hAnsi="宋体" w:eastAsia="宋体" w:cs="宋体"/>
          <w:b/>
          <w:color w:val="000000" w:themeColor="text1"/>
          <w:sz w:val="24"/>
        </w:rPr>
        <w:t xml:space="preserve">小微企业</w:t>
      </w:r>
      <w:r>
        <w:rPr>
          <w:rFonts w:hint="eastAsia" w:ascii="宋体" w:hAnsi="宋体" w:eastAsia="宋体" w:cs="宋体"/>
          <w:color w:val="000000" w:themeColor="text1"/>
          <w:sz w:val="24"/>
        </w:rPr>
        <w:t xml:space="preserve">的合同份额占到合同总金额 30%以上的联合体或者大中型企业的报价给予</w:t>
      </w:r>
      <w:r>
        <w:rPr>
          <w:rFonts w:hint="eastAsia" w:ascii="宋体" w:hAnsi="宋体" w:eastAsia="宋体" w:cs="宋体"/>
          <w:color w:val="000000" w:themeColor="text1"/>
          <w:sz w:val="24"/>
          <w:u w:val="single"/>
        </w:rPr>
        <w:t xml:space="preserve">3</w:t>
      </w:r>
      <w:r>
        <w:rPr>
          <w:rFonts w:hint="eastAsia" w:ascii="宋体" w:hAnsi="宋体" w:eastAsia="宋体" w:cs="宋体"/>
          <w:color w:val="000000" w:themeColor="text1"/>
          <w:sz w:val="24"/>
        </w:rPr>
        <w:t xml:space="preserve">%的扣除，用扣除后的价格参加评审。</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组成联合体或者接受分包的小微企业与联合体内其他企业、分包企业之间存在直接控股、管理关系的，不享受价格扣除优惠政策。</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价格扣除比例对小型企业和微型企业同等对待，不作区分。</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中小企业参加政府采购活动，应当按照招标文件给定的格式出具《中小企业声明函》，否则不得享受相关中小企业扶持政策。</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监狱企业提供了由省级以上监狱管理局（常州市含教育矫治局）、戒毒管理局（含新疆生产建设兵团）出具的属于监狱企业的证明文件的，视同小微企业。</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残疾人福利性单位按招标文件要求提供了《残疾人福利性单位声明函》（见附件）的，视同小微企业。</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若投标人同时属于小型或微型企业、监狱企业、残疾人福利性单位中的两种及以上，将不重复享受小微企业价格扣减的优惠政策。</w:t>
      </w:r>
      <w:r/>
    </w:p>
    <w:p>
      <w:pPr>
        <w:pStyle w:val="935"/>
        <w:numPr>
          <w:ilvl w:val="0"/>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投标文件的比较和评价</w:t>
      </w:r>
      <w:r>
        <w:rPr>
          <w:rFonts w:hint="eastAsia" w:ascii="宋体" w:hAnsi="宋体" w:eastAsia="宋体" w:cs="宋体"/>
          <w:b/>
          <w:color w:val="000000" w:themeColor="text1"/>
          <w:sz w:val="24"/>
        </w:rPr>
        <w:t xml:space="preserve">：</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评标方法和评标标准；</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本项目采用的评标方法为：</w:t>
      </w:r>
      <w:r/>
    </w:p>
    <w:p>
      <w:pPr>
        <w:ind w:left="1134" w:firstLine="24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最低评标价法，指投标文件满足招标文件全部实质性要求，且投标报价最低的投标人为中标候选人的评标方法。</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ascii="宋体" w:hAnsi="宋体" w:eastAsia="宋体" w:cs="宋体"/>
          <w:color w:val="000000" w:themeColor="text1"/>
          <w:sz w:val="24"/>
        </w:rPr>
        <w:t xml:space="preserve">采购人或者采购人委托评标委员会按照下述方法确定一个参加评标的投标人，其他</w:t>
      </w:r>
      <w:r>
        <w:rPr>
          <w:rFonts w:hint="eastAsia" w:ascii="宋体" w:hAnsi="宋体" w:eastAsia="宋体" w:cs="宋体"/>
          <w:b/>
          <w:color w:val="000000" w:themeColor="text1"/>
          <w:sz w:val="24"/>
        </w:rPr>
        <w:t xml:space="preserve">投标无效。</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themeColor="text1"/>
          <w:sz w:val="24"/>
          <w:u w:val="single"/>
        </w:rPr>
        <w:t xml:space="preserve">  /  </w:t>
      </w:r>
      <w:r>
        <w:rPr>
          <w:rFonts w:hint="eastAsia" w:ascii="宋体" w:hAnsi="宋体" w:eastAsia="宋体" w:cs="宋体"/>
          <w:color w:val="000000" w:themeColor="text1"/>
          <w:sz w:val="24"/>
        </w:rPr>
        <w:t xml:space="preserve">。</w:t>
      </w:r>
      <w:r/>
    </w:p>
    <w:p>
      <w:pPr>
        <w:pStyle w:val="935"/>
        <w:numPr>
          <w:ilvl w:val="2"/>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关于无线局域网认证产品政府采购清单中的产品，优先采购的具体规定（如涉及）</w:t>
      </w:r>
      <w:r>
        <w:rPr>
          <w:rFonts w:hint="eastAsia" w:ascii="宋体" w:hAnsi="宋体" w:eastAsia="宋体" w:cs="宋体"/>
          <w:color w:val="000000" w:themeColor="text1"/>
          <w:sz w:val="24"/>
          <w:u w:val="single"/>
        </w:rPr>
        <w:t xml:space="preserve">  /  </w:t>
      </w:r>
      <w:r>
        <w:rPr>
          <w:rFonts w:hint="eastAsia" w:ascii="宋体" w:hAnsi="宋体" w:eastAsia="宋体" w:cs="宋体"/>
          <w:color w:val="000000" w:themeColor="text1"/>
          <w:sz w:val="24"/>
        </w:rPr>
        <w:t xml:space="preserve">。</w:t>
      </w:r>
      <w:r/>
    </w:p>
    <w:p>
      <w:pPr>
        <w:pStyle w:val="935"/>
        <w:numPr>
          <w:ilvl w:val="0"/>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确定中标候选人名单</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随机抽取</w:t>
      </w:r>
      <w:r/>
    </w:p>
    <w:p>
      <w:pPr>
        <w:ind w:left="1134" w:firstLine="240"/>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rPr>
        <w:t xml:space="preserve">其他方式，具体要求：_____</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评标委员会要对评分汇总情况进行复核，特别是对排名第一的、报价最低的、投标或投标文件被认定为无效的情形进行重点复核。</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评标委员会将根据各投标人的评标排序，依次推荐本项目（各采购包）的中标候选人，起草并签署评标报告。</w:t>
      </w:r>
      <w:r/>
    </w:p>
    <w:p>
      <w:pPr>
        <w:pStyle w:val="935"/>
        <w:numPr>
          <w:ilvl w:val="0"/>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报告违法行为</w:t>
      </w:r>
      <w:r/>
    </w:p>
    <w:p>
      <w:pPr>
        <w:pStyle w:val="935"/>
        <w:numPr>
          <w:ilvl w:val="1"/>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评标委员会在评标过程中发现投标人有行贿、提供虚假材料或者串通等</w:t>
      </w:r>
      <w:r>
        <w:rPr>
          <w:rFonts w:hint="eastAsia" w:ascii="宋体" w:hAnsi="宋体" w:eastAsia="宋体" w:cs="宋体"/>
          <w:color w:val="000000" w:themeColor="text1"/>
          <w:sz w:val="24"/>
        </w:rPr>
        <w:t xml:space="preserve">违法行为时，有向采购人、采购代理机构或者有关部门报告的职责。</w:t>
      </w:r>
      <w:r/>
    </w:p>
    <w:p>
      <w:pPr>
        <w:pStyle w:val="935"/>
        <w:numPr>
          <w:ilvl w:val="0"/>
          <w:numId w:val="5"/>
        </w:numPr>
        <w:jc w:val="left"/>
        <w:spacing w:line="360" w:lineRule="auto"/>
        <w:rPr>
          <w:rFonts w:hint="eastAsia" w:ascii="宋体" w:hAnsi="宋体" w:eastAsia="宋体" w:cs="宋体"/>
          <w:color w:val="000000" w:themeColor="text1"/>
          <w:sz w:val="24"/>
        </w:rPr>
      </w:pPr>
      <w:r>
        <w:rPr>
          <w:rFonts w:hint="eastAsia" w:ascii="宋体" w:hAnsi="宋体" w:eastAsia="宋体" w:cs="宋体"/>
          <w:bCs/>
          <w:color w:val="000000" w:themeColor="text1"/>
          <w:sz w:val="24"/>
        </w:rPr>
        <w:t xml:space="preserve">未通过资格审查或符合性审查的投标人，评标委员会将在“</w:t>
      </w:r>
      <w:r>
        <w:rPr>
          <w:rFonts w:hint="eastAsia" w:ascii="宋体" w:hAnsi="宋体" w:eastAsia="宋体" w:cs="宋体"/>
          <w:color w:val="000000" w:themeColor="text1"/>
          <w:sz w:val="24"/>
          <w:szCs w:val="24"/>
        </w:rPr>
        <w:t xml:space="preserve">苏采云”系统</w:t>
      </w:r>
      <w:r>
        <w:rPr>
          <w:rFonts w:hint="eastAsia" w:ascii="宋体" w:hAnsi="宋体" w:eastAsia="宋体" w:cs="宋体"/>
          <w:bCs/>
          <w:color w:val="000000" w:themeColor="text1"/>
          <w:sz w:val="24"/>
        </w:rPr>
        <w:t xml:space="preserve">中告知未通过资格审查或符合性审查的原因，评标结束后，代理机构将不再告知未通过资格审查和符合性审查的原因。</w:t>
      </w:r>
      <w:r/>
    </w:p>
    <w:p>
      <w:pPr>
        <w:pStyle w:val="935"/>
        <w:numPr>
          <w:ilvl w:val="0"/>
          <w:numId w:val="5"/>
        </w:numPr>
        <w:jc w:val="left"/>
        <w:spacing w:line="360" w:lineRule="auto"/>
        <w:rPr>
          <w:rFonts w:hint="eastAsia" w:ascii="宋体" w:hAnsi="宋体" w:eastAsia="宋体" w:cs="宋体"/>
          <w:color w:val="000000" w:themeColor="text1"/>
          <w:sz w:val="24"/>
        </w:rPr>
      </w:pPr>
      <w:r/>
      <w:bookmarkStart w:id="510" w:name="_Hlk159067375"/>
      <w:r>
        <w:rPr>
          <w:rFonts w:hint="eastAsia" w:ascii="宋体" w:hAnsi="宋体" w:eastAsia="宋体" w:cs="宋体"/>
          <w:color w:val="000000" w:themeColor="text1"/>
          <w:sz w:val="24"/>
          <w:szCs w:val="24"/>
        </w:rPr>
        <w:t xml:space="preserve">采用综合评分法的项目，未中标的投标人可于中标结果公告期限届满之日起通过“苏采云”系统查看自己的评审得分及排序情况。</w:t>
      </w:r>
      <w:bookmarkEnd w:id="510"/>
      <w:r/>
      <w:r/>
    </w:p>
    <w:p>
      <w:pPr>
        <w:pStyle w:val="935"/>
        <w:numPr>
          <w:ilvl w:val="0"/>
          <w:numId w:val="5"/>
        </w:numPr>
        <w:jc w:val="left"/>
        <w:spacing w:line="360" w:lineRule="auto"/>
        <w:rPr>
          <w:rFonts w:hint="eastAsia" w:ascii="宋体" w:hAnsi="宋体" w:eastAsia="宋体" w:cs="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rPr>
      </w:r>
      <w:r/>
    </w:p>
    <w:p>
      <w:pPr>
        <w:pStyle w:val="935"/>
        <w:numPr>
          <w:ilvl w:val="0"/>
          <w:numId w:val="6"/>
        </w:numPr>
        <w:ind w:firstLine="0"/>
        <w:jc w:val="left"/>
        <w:spacing w:line="360" w:lineRule="auto"/>
        <w:rPr>
          <w:rFonts w:hint="eastAsia" w:ascii="宋体" w:hAnsi="宋体" w:eastAsia="宋体" w:cs="宋体"/>
          <w:b/>
          <w:color w:val="000000" w:themeColor="text1"/>
          <w:sz w:val="28"/>
          <w:szCs w:val="28"/>
        </w:rPr>
      </w:pPr>
      <w:r/>
      <w:bookmarkStart w:id="511" w:name="_Toc104818929"/>
      <w:r>
        <w:rPr>
          <w:rFonts w:hint="eastAsia" w:ascii="宋体" w:hAnsi="宋体" w:eastAsia="宋体" w:cs="宋体"/>
          <w:b/>
          <w:color w:val="000000" w:themeColor="text1"/>
          <w:sz w:val="28"/>
          <w:szCs w:val="28"/>
        </w:rPr>
        <w:t xml:space="preserve">评标标准</w:t>
      </w:r>
      <w:r/>
    </w:p>
    <w:tbl>
      <w:tblPr>
        <w:tblW w:w="9498"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134"/>
        <w:gridCol w:w="708"/>
        <w:gridCol w:w="4395"/>
        <w:gridCol w:w="2551"/>
      </w:tblGrid>
      <w:tr>
        <w:trPr/>
        <w:tc>
          <w:tcPr>
            <w:tcW w:w="710" w:type="dxa"/>
            <w:vAlign w:val="center"/>
            <w:textDirection w:val="lrTb"/>
            <w:noWrap w:val="false"/>
          </w:tcPr>
          <w:p>
            <w:pPr>
              <w:ind w:firstLine="28"/>
              <w:jc w:val="center"/>
              <w:spacing w:line="276" w:lineRule="auto"/>
              <w:rPr>
                <w:rFonts w:hint="eastAsia" w:ascii="宋体" w:hAnsi="宋体" w:eastAsia="宋体"/>
                <w:b/>
                <w:color w:val="000000" w:themeColor="text1"/>
                <w:szCs w:val="21"/>
              </w:rPr>
            </w:pPr>
            <w:r>
              <w:rPr>
                <w:rFonts w:ascii="宋体" w:hAnsi="宋体" w:eastAsia="宋体"/>
                <w:b/>
                <w:color w:val="000000" w:themeColor="text1"/>
                <w:szCs w:val="21"/>
              </w:rPr>
              <w:t xml:space="preserve">序号</w:t>
            </w:r>
            <w:r/>
          </w:p>
        </w:tc>
        <w:tc>
          <w:tcPr>
            <w:tcW w:w="1134" w:type="dxa"/>
            <w:vAlign w:val="center"/>
            <w:textDirection w:val="lrTb"/>
            <w:noWrap w:val="false"/>
          </w:tcPr>
          <w:p>
            <w:pPr>
              <w:ind w:firstLine="28"/>
              <w:jc w:val="center"/>
              <w:spacing w:line="276" w:lineRule="auto"/>
              <w:rPr>
                <w:rFonts w:hint="eastAsia" w:ascii="宋体" w:hAnsi="宋体" w:eastAsia="宋体"/>
                <w:b/>
                <w:color w:val="000000" w:themeColor="text1"/>
                <w:szCs w:val="21"/>
              </w:rPr>
            </w:pPr>
            <w:r>
              <w:rPr>
                <w:rFonts w:ascii="宋体" w:hAnsi="宋体" w:eastAsia="宋体"/>
                <w:b/>
                <w:color w:val="000000" w:themeColor="text1"/>
                <w:szCs w:val="21"/>
              </w:rPr>
              <w:t xml:space="preserve">评分因素</w:t>
            </w:r>
            <w:r/>
          </w:p>
        </w:tc>
        <w:tc>
          <w:tcPr>
            <w:tcW w:w="708" w:type="dxa"/>
            <w:vAlign w:val="center"/>
            <w:textDirection w:val="lrTb"/>
            <w:noWrap w:val="false"/>
          </w:tcPr>
          <w:p>
            <w:pPr>
              <w:ind w:firstLine="28"/>
              <w:jc w:val="center"/>
              <w:spacing w:line="276" w:lineRule="auto"/>
              <w:rPr>
                <w:rFonts w:hint="eastAsia" w:ascii="宋体" w:hAnsi="宋体" w:eastAsia="宋体"/>
                <w:b/>
                <w:color w:val="000000" w:themeColor="text1"/>
                <w:szCs w:val="21"/>
              </w:rPr>
            </w:pPr>
            <w:r>
              <w:rPr>
                <w:rFonts w:ascii="宋体" w:hAnsi="宋体" w:eastAsia="宋体"/>
                <w:b/>
                <w:color w:val="000000" w:themeColor="text1"/>
                <w:szCs w:val="21"/>
              </w:rPr>
              <w:t xml:space="preserve">分值</w:t>
            </w:r>
            <w:r/>
          </w:p>
        </w:tc>
        <w:tc>
          <w:tcPr>
            <w:tcW w:w="4395" w:type="dxa"/>
            <w:vAlign w:val="center"/>
            <w:textDirection w:val="lrTb"/>
            <w:noWrap w:val="false"/>
          </w:tcPr>
          <w:p>
            <w:pPr>
              <w:ind w:firstLine="28"/>
              <w:jc w:val="center"/>
              <w:spacing w:line="276" w:lineRule="auto"/>
              <w:rPr>
                <w:rFonts w:hint="eastAsia" w:ascii="宋体" w:hAnsi="宋体" w:eastAsia="宋体"/>
                <w:b/>
                <w:color w:val="000000" w:themeColor="text1"/>
                <w:szCs w:val="21"/>
              </w:rPr>
            </w:pPr>
            <w:r>
              <w:rPr>
                <w:rFonts w:ascii="宋体" w:hAnsi="宋体" w:eastAsia="宋体"/>
                <w:b/>
                <w:color w:val="000000" w:themeColor="text1"/>
                <w:szCs w:val="21"/>
              </w:rPr>
              <w:t xml:space="preserve">评分标准</w:t>
            </w:r>
            <w:r/>
          </w:p>
        </w:tc>
        <w:tc>
          <w:tcPr>
            <w:tcW w:w="2551" w:type="dxa"/>
            <w:vAlign w:val="center"/>
            <w:textDirection w:val="lrTb"/>
            <w:noWrap w:val="false"/>
          </w:tcPr>
          <w:p>
            <w:pPr>
              <w:pStyle w:val="939"/>
              <w:spacing w:before="0" w:after="0" w:line="276" w:lineRule="auto"/>
              <w:rPr>
                <w:rFonts w:hint="eastAsia" w:ascii="宋体" w:hAnsi="宋体" w:eastAsia="宋体"/>
                <w:color w:val="000000" w:themeColor="text1"/>
                <w:sz w:val="21"/>
                <w:szCs w:val="21"/>
              </w:rPr>
            </w:pPr>
            <w:r>
              <w:rPr>
                <w:rFonts w:ascii="宋体" w:hAnsi="宋体" w:eastAsia="宋体"/>
                <w:color w:val="000000" w:themeColor="text1"/>
                <w:sz w:val="21"/>
                <w:szCs w:val="21"/>
              </w:rPr>
              <w:t xml:space="preserve">说明</w:t>
            </w:r>
            <w:r/>
          </w:p>
        </w:tc>
      </w:tr>
      <w:tr>
        <w:trPr>
          <w:trHeight w:val="631"/>
        </w:trPr>
        <w:tc>
          <w:tcPr>
            <w:tcW w:w="710" w:type="dxa"/>
            <w:vAlign w:val="center"/>
            <w:textDirection w:val="lrTb"/>
            <w:noWrap w:val="false"/>
          </w:tcPr>
          <w:p>
            <w:pPr>
              <w:ind w:firstLine="28"/>
              <w:jc w:val="center"/>
              <w:spacing w:line="276" w:lineRule="auto"/>
              <w:rPr>
                <w:rFonts w:hint="eastAsia" w:ascii="宋体" w:hAnsi="宋体" w:eastAsia="宋体"/>
                <w:bCs/>
                <w:color w:val="000000" w:themeColor="text1"/>
                <w:szCs w:val="21"/>
              </w:rPr>
            </w:pPr>
            <w:r>
              <w:rPr>
                <w:rFonts w:hint="eastAsia" w:ascii="宋体" w:hAnsi="宋体" w:eastAsia="宋体"/>
                <w:bCs/>
                <w:color w:val="000000" w:themeColor="text1"/>
                <w:szCs w:val="21"/>
              </w:rPr>
              <w:t xml:space="preserve">1</w:t>
            </w:r>
            <w:r/>
          </w:p>
        </w:tc>
        <w:tc>
          <w:tcPr>
            <w:tcW w:w="1134" w:type="dxa"/>
            <w:vAlign w:val="center"/>
            <w:textDirection w:val="lrTb"/>
            <w:noWrap w:val="false"/>
          </w:tcPr>
          <w:p>
            <w:pPr>
              <w:ind w:firstLine="28"/>
              <w:jc w:val="cente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价格分</w:t>
            </w:r>
            <w:r/>
          </w:p>
        </w:tc>
        <w:tc>
          <w:tcPr>
            <w:tcW w:w="708" w:type="dxa"/>
            <w:vAlign w:val="center"/>
            <w:textDirection w:val="lrTb"/>
            <w:noWrap w:val="false"/>
          </w:tcPr>
          <w:p>
            <w:pPr>
              <w:ind w:firstLine="28"/>
              <w:jc w:val="cente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w:t>
            </w:r>
            <w:r>
              <w:rPr>
                <w:rFonts w:ascii="宋体" w:hAnsi="宋体" w:eastAsia="宋体"/>
                <w:color w:val="000000" w:themeColor="text1"/>
                <w:szCs w:val="21"/>
              </w:rPr>
              <w:t xml:space="preserve">0</w:t>
            </w:r>
            <w:r/>
          </w:p>
        </w:tc>
        <w:tc>
          <w:tcPr>
            <w:tcW w:w="4395" w:type="dxa"/>
            <w:vAlign w:val="center"/>
            <w:textDirection w:val="lrTb"/>
            <w:noWrap w:val="false"/>
          </w:tcPr>
          <w:p>
            <w:pPr>
              <w:numPr>
                <w:ilvl w:val="0"/>
                <w:numId w:val="19"/>
              </w:numPr>
              <w:jc w:val="left"/>
              <w:spacing w:line="276" w:lineRule="auto"/>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最终报价在采购最高限价以下且不属于异常低价投标的报价为有效报价，超出此范围的报价为无效报价。无效报价的投标文件不进行评审，也不成交。</w:t>
            </w:r>
            <w:r/>
          </w:p>
          <w:p>
            <w:pPr>
              <w:spacing w:line="276" w:lineRule="auto"/>
              <w:widowControl/>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（2）满足招标文件要求且投标价格最低的投标报价为评标基准价，其价格分为满分。其他投标人的价格分统一按照下列公式计算：投标报价得分＝（评标基准价/投标报价）×分值。</w:t>
            </w:r>
            <w:r/>
          </w:p>
        </w:tc>
        <w:tc>
          <w:tcPr>
            <w:tcW w:w="2551" w:type="dxa"/>
            <w:vAlign w:val="center"/>
            <w:textDirection w:val="lrTb"/>
            <w:noWrap w:val="false"/>
          </w:tcPr>
          <w:p>
            <w:pPr>
              <w:spacing w:line="276" w:lineRule="auto"/>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r>
            <w:r/>
          </w:p>
          <w:p>
            <w:pPr>
              <w:spacing w:line="276" w:lineRule="auto"/>
              <w:rPr>
                <w:rFonts w:hint="eastAsia" w:ascii="宋体" w:hAnsi="宋体" w:eastAsia="宋体"/>
                <w:color w:val="000000" w:themeColor="text1"/>
                <w:szCs w:val="21"/>
              </w:rPr>
            </w:pPr>
            <w:r>
              <w:rPr>
                <w:rFonts w:hint="eastAsia" w:ascii="宋体" w:hAnsi="宋体" w:eastAsia="宋体" w:cs="宋体"/>
                <w:b/>
                <w:bCs/>
                <w:color w:val="000000" w:themeColor="text1"/>
                <w:szCs w:val="21"/>
              </w:rPr>
              <w:t xml:space="preserve">此处最终报价指经过报价修正，及因落实政府采购政策进行价格调整后的最终报价。</w:t>
            </w:r>
            <w:r/>
          </w:p>
        </w:tc>
      </w:tr>
      <w:tr>
        <w:trPr/>
        <w:tc>
          <w:tcPr>
            <w:tcW w:w="710" w:type="dxa"/>
            <w:vAlign w:val="center"/>
            <w:textDirection w:val="lrTb"/>
            <w:noWrap w:val="false"/>
          </w:tcPr>
          <w:p>
            <w:pPr>
              <w:ind w:firstLine="28"/>
              <w:jc w:val="center"/>
              <w:spacing w:line="276" w:lineRule="auto"/>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2</w:t>
            </w:r>
            <w:r/>
          </w:p>
        </w:tc>
        <w:tc>
          <w:tcPr>
            <w:tcW w:w="1134" w:type="dxa"/>
            <w:vAlign w:val="center"/>
            <w:textDirection w:val="lrTb"/>
            <w:noWrap w:val="false"/>
          </w:tcPr>
          <w:p>
            <w:pPr>
              <w:ind w:firstLine="28"/>
              <w:jc w:val="center"/>
              <w:spacing w:line="276" w:lineRule="auto"/>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技术分</w:t>
            </w:r>
            <w:r/>
          </w:p>
        </w:tc>
        <w:tc>
          <w:tcPr>
            <w:tcW w:w="708" w:type="dxa"/>
            <w:vAlign w:val="center"/>
            <w:textDirection w:val="lrTb"/>
            <w:noWrap w:val="false"/>
          </w:tcPr>
          <w:p>
            <w:pPr>
              <w:ind w:firstLine="28"/>
              <w:jc w:val="cente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36</w:t>
            </w:r>
            <w:r/>
          </w:p>
        </w:tc>
        <w:tc>
          <w:tcPr>
            <w:tcW w:w="4395" w:type="dxa"/>
            <w:vAlign w:val="center"/>
            <w:textDirection w:val="lrTb"/>
            <w:noWrap w:val="false"/>
          </w:tcPr>
          <w:p>
            <w:pP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r>
            <w:r/>
          </w:p>
        </w:tc>
        <w:tc>
          <w:tcPr>
            <w:tcW w:w="2551" w:type="dxa"/>
            <w:vAlign w:val="center"/>
            <w:textDirection w:val="lrTb"/>
            <w:noWrap w:val="false"/>
          </w:tcPr>
          <w:p>
            <w:pPr>
              <w:ind w:left="-38"/>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tc>
          <w:tcPr>
            <w:tcW w:w="710" w:type="dxa"/>
            <w:vAlign w:val="center"/>
            <w:textDirection w:val="lrTb"/>
            <w:noWrap w:val="false"/>
          </w:tcPr>
          <w:p>
            <w:pPr>
              <w:jc w:val="center"/>
              <w:spacing w:line="276"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2.1</w:t>
            </w:r>
            <w:r/>
          </w:p>
        </w:tc>
        <w:tc>
          <w:tcPr>
            <w:tcW w:w="1134"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技术方案总体质量保证措施</w:t>
            </w:r>
            <w:r/>
          </w:p>
        </w:tc>
        <w:tc>
          <w:tcPr>
            <w:tcW w:w="708"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10</w:t>
            </w:r>
            <w:r/>
          </w:p>
        </w:tc>
        <w:tc>
          <w:tcPr>
            <w:tcW w:w="4395" w:type="dxa"/>
            <w:vAlign w:val="center"/>
            <w:textDirection w:val="lrTb"/>
            <w:noWrap w:val="false"/>
          </w:tcPr>
          <w:p>
            <w:pP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根据投标人提供的针对本项目的技术方案总体质量保证措施进行综合打分： </w:t>
            </w:r>
            <w:r/>
          </w:p>
          <w:p>
            <w:pPr>
              <w:spacing w:line="276" w:lineRule="auto"/>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技术方案总体</w:t>
            </w:r>
            <w:r>
              <w:rPr>
                <w:rFonts w:hint="eastAsia" w:ascii="宋体" w:hAnsi="宋体" w:eastAsia="宋体" w:cs="宋体"/>
                <w:color w:val="000000" w:themeColor="text1"/>
                <w:szCs w:val="21"/>
                <w:lang w:bidi="ar"/>
              </w:rPr>
              <w:t xml:space="preserve">质量保证措施内容齐全、思路清晰详细，且</w:t>
            </w:r>
            <w:r>
              <w:rPr>
                <w:rFonts w:hint="eastAsia" w:ascii="宋体" w:hAnsi="宋体" w:eastAsia="宋体" w:cs="宋体"/>
                <w:color w:val="000000" w:themeColor="text1"/>
                <w:szCs w:val="21"/>
              </w:rPr>
              <w:t xml:space="preserve">方案的合理性、可行性及操作性强的得10分；</w:t>
            </w:r>
            <w:r/>
          </w:p>
          <w:p>
            <w:pPr>
              <w:spacing w:line="276" w:lineRule="auto"/>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技术方案总体</w:t>
            </w:r>
            <w:r>
              <w:rPr>
                <w:rFonts w:hint="eastAsia" w:ascii="宋体" w:hAnsi="宋体" w:eastAsia="宋体" w:cs="宋体"/>
                <w:color w:val="000000" w:themeColor="text1"/>
                <w:szCs w:val="21"/>
                <w:lang w:bidi="ar"/>
              </w:rPr>
              <w:t xml:space="preserve">质量保证措施内容较为齐全、较详细，且</w:t>
            </w:r>
            <w:r>
              <w:rPr>
                <w:rFonts w:hint="eastAsia" w:ascii="宋体" w:hAnsi="宋体" w:eastAsia="宋体" w:cs="宋体"/>
                <w:color w:val="000000" w:themeColor="text1"/>
                <w:szCs w:val="21"/>
              </w:rPr>
              <w:t xml:space="preserve">方案的合理性、可行性及可操作性较强的得7分；</w:t>
            </w:r>
            <w:r/>
          </w:p>
          <w:p>
            <w:pPr>
              <w:spacing w:line="276" w:lineRule="auto"/>
              <w:widowControl/>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技术方案总体</w:t>
            </w:r>
            <w:r>
              <w:rPr>
                <w:rFonts w:hint="eastAsia" w:ascii="宋体" w:hAnsi="宋体" w:eastAsia="宋体" w:cs="宋体"/>
                <w:color w:val="000000" w:themeColor="text1"/>
                <w:szCs w:val="21"/>
                <w:lang w:bidi="ar"/>
              </w:rPr>
              <w:t xml:space="preserve">质量保证措施内容不完善、</w:t>
            </w:r>
            <w:r>
              <w:rPr>
                <w:rFonts w:hint="eastAsia" w:ascii="宋体" w:hAnsi="宋体" w:eastAsia="宋体" w:cs="宋体"/>
                <w:color w:val="000000" w:themeColor="text1"/>
                <w:szCs w:val="21"/>
              </w:rPr>
              <w:t xml:space="preserve">方案全面性一般，且合理性、可行性及可操作性一般的得4分；</w:t>
            </w:r>
            <w:r/>
          </w:p>
          <w:p>
            <w:pP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技术方案总体</w:t>
            </w:r>
            <w:r>
              <w:rPr>
                <w:rFonts w:hint="eastAsia" w:ascii="宋体" w:hAnsi="宋体" w:eastAsia="宋体" w:cs="宋体"/>
                <w:color w:val="000000" w:themeColor="text1"/>
                <w:szCs w:val="21"/>
                <w:lang w:bidi="ar"/>
              </w:rPr>
              <w:t xml:space="preserve">质量保证措施内容简单，</w:t>
            </w:r>
            <w:r>
              <w:rPr>
                <w:rFonts w:hint="eastAsia" w:ascii="宋体" w:hAnsi="宋体" w:eastAsia="宋体" w:cs="宋体"/>
                <w:color w:val="000000" w:themeColor="text1"/>
                <w:szCs w:val="21"/>
              </w:rPr>
              <w:t xml:space="preserve">可行性较差的得2分；</w:t>
            </w:r>
            <w:r/>
          </w:p>
          <w:p>
            <w:pP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未提供不得分。</w:t>
            </w:r>
            <w:r/>
          </w:p>
        </w:tc>
        <w:tc>
          <w:tcPr>
            <w:tcW w:w="2551" w:type="dxa"/>
            <w:vAlign w:val="center"/>
            <w:textDirection w:val="lrTb"/>
            <w:noWrap w:val="false"/>
          </w:tcPr>
          <w:p>
            <w:pPr>
              <w:spacing w:line="276" w:lineRule="auto"/>
              <w:rPr>
                <w:rFonts w:hint="eastAsia" w:ascii="宋体" w:hAnsi="宋体" w:eastAsia="宋体"/>
                <w:color w:val="000000" w:themeColor="text1"/>
                <w:szCs w:val="21"/>
              </w:rPr>
            </w:pPr>
            <w:r>
              <w:rPr>
                <w:rFonts w:hint="eastAsia" w:ascii="宋体" w:hAnsi="宋体" w:eastAsia="宋体" w:cs="宋体"/>
                <w:b/>
                <w:bCs/>
                <w:color w:val="000000" w:themeColor="text1"/>
                <w:szCs w:val="21"/>
              </w:rPr>
              <w:t xml:space="preserve">根据投标文件进行评审。</w:t>
            </w:r>
            <w:r/>
          </w:p>
        </w:tc>
      </w:tr>
      <w:tr>
        <w:trPr/>
        <w:tc>
          <w:tcPr>
            <w:tcW w:w="710" w:type="dxa"/>
            <w:vAlign w:val="center"/>
            <w:textDirection w:val="lrTb"/>
            <w:noWrap w:val="false"/>
          </w:tcPr>
          <w:p>
            <w:pPr>
              <w:jc w:val="center"/>
              <w:spacing w:line="276"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2.2</w:t>
            </w:r>
            <w:r/>
          </w:p>
        </w:tc>
        <w:tc>
          <w:tcPr>
            <w:tcW w:w="1134"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安装、调试方案</w:t>
            </w:r>
            <w:r/>
          </w:p>
        </w:tc>
        <w:tc>
          <w:tcPr>
            <w:tcW w:w="708"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w:t>
            </w:r>
            <w:r/>
          </w:p>
        </w:tc>
        <w:tc>
          <w:tcPr>
            <w:tcW w:w="4395" w:type="dxa"/>
            <w:vAlign w:val="center"/>
            <w:textDirection w:val="lrTb"/>
            <w:noWrap w:val="false"/>
          </w:tcPr>
          <w:p>
            <w:pP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根据投标人提供的针对本项目关键技术问题的安装调试方案（包括但不限于针对本项目安装环境需要采取的安装技术、组织措施情况、安装进度计划等）进行综合打分：</w:t>
            </w:r>
            <w:r/>
          </w:p>
          <w:p>
            <w:pP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安装、调试方案具备全面性、措施到位，针对性强，完全满足本项目安装需要的得8分；</w:t>
            </w:r>
            <w:r/>
          </w:p>
          <w:p>
            <w:pP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方案基本科学、合理，基本考虑周全，措施基本到位，针对性较强，基本满足本项目安装需要的得6分；</w:t>
            </w:r>
            <w:r/>
          </w:p>
          <w:p>
            <w:pP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方案全面性、可行性、合理性一般的得4分；</w:t>
            </w:r>
            <w:r/>
          </w:p>
          <w:p>
            <w:pP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方案简单、措施欠缺的得2分；</w:t>
            </w:r>
            <w:r/>
          </w:p>
          <w:p>
            <w:pP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提供不得分。</w:t>
            </w:r>
            <w:r/>
          </w:p>
        </w:tc>
        <w:tc>
          <w:tcPr>
            <w:tcW w:w="2551" w:type="dxa"/>
            <w:vAlign w:val="center"/>
            <w:textDirection w:val="lrTb"/>
            <w:noWrap w:val="false"/>
          </w:tcPr>
          <w:p>
            <w:pPr>
              <w:spacing w:line="276" w:lineRule="auto"/>
              <w:rPr>
                <w:rFonts w:hint="eastAsia" w:ascii="宋体" w:hAnsi="宋体" w:eastAsia="宋体"/>
                <w:color w:val="000000" w:themeColor="text1"/>
                <w:szCs w:val="21"/>
              </w:rPr>
            </w:pPr>
            <w:r>
              <w:rPr>
                <w:rFonts w:hint="eastAsia" w:ascii="宋体" w:hAnsi="宋体" w:eastAsia="宋体" w:cs="宋体"/>
                <w:b/>
                <w:bCs/>
                <w:color w:val="000000" w:themeColor="text1"/>
                <w:szCs w:val="21"/>
              </w:rPr>
              <w:t xml:space="preserve">根据投标文件进行评审。</w:t>
            </w:r>
            <w:r/>
          </w:p>
        </w:tc>
      </w:tr>
      <w:tr>
        <w:trPr/>
        <w:tc>
          <w:tcPr>
            <w:tcW w:w="710" w:type="dxa"/>
            <w:vAlign w:val="center"/>
            <w:textDirection w:val="lrTb"/>
            <w:noWrap w:val="false"/>
          </w:tcPr>
          <w:p>
            <w:pPr>
              <w:jc w:val="center"/>
              <w:spacing w:line="276"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2.3</w:t>
            </w:r>
            <w:r/>
          </w:p>
        </w:tc>
        <w:tc>
          <w:tcPr>
            <w:tcW w:w="1134"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售后服务方案</w:t>
            </w:r>
            <w:r/>
          </w:p>
        </w:tc>
        <w:tc>
          <w:tcPr>
            <w:tcW w:w="708"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w:t>
            </w:r>
            <w:r/>
          </w:p>
        </w:tc>
        <w:tc>
          <w:tcPr>
            <w:tcW w:w="4395" w:type="dxa"/>
            <w:vAlign w:val="center"/>
            <w:textDirection w:val="lrTb"/>
            <w:noWrap w:val="false"/>
          </w:tcPr>
          <w:p>
            <w:pPr>
              <w:pStyle w:val="918"/>
              <w:spacing w:before="0" w:beforeAutospacing="0" w:after="0" w:afterAutospacing="0" w:line="276" w:lineRule="auto"/>
              <w:widowControl w:val="off"/>
              <w:rPr>
                <w:rFonts w:hint="eastAsia" w:ascii="宋体" w:hAnsi="宋体" w:eastAsia="宋体" w:cs="宋体"/>
                <w:color w:val="000000" w:themeColor="text1"/>
                <w:sz w:val="21"/>
                <w:szCs w:val="21"/>
                <w:lang w:bidi="ar"/>
              </w:rPr>
            </w:pPr>
            <w:r>
              <w:rPr>
                <w:rFonts w:hint="eastAsia" w:ascii="宋体" w:hAnsi="宋体" w:eastAsia="宋体" w:cs="Times New Roman"/>
                <w:color w:val="000000" w:themeColor="text1"/>
                <w:sz w:val="21"/>
                <w:szCs w:val="21"/>
              </w:rPr>
              <w:t xml:space="preserve">根据投标人提供的针对本项目制定的售后服务方案（</w:t>
            </w:r>
            <w:r>
              <w:rPr>
                <w:rFonts w:hint="eastAsia" w:ascii="宋体" w:hAnsi="宋体" w:eastAsia="宋体" w:cs="宋体"/>
                <w:color w:val="000000" w:themeColor="text1"/>
                <w:sz w:val="21"/>
                <w:szCs w:val="21"/>
                <w:lang w:bidi="ar"/>
              </w:rPr>
              <w:t xml:space="preserve">包括售后服务人员、服务机制、响应时间、故障解决等）内容的合理性和可行性进行综合打分：</w:t>
            </w:r>
            <w:r/>
          </w:p>
          <w:p>
            <w:pPr>
              <w:pStyle w:val="918"/>
              <w:spacing w:before="0" w:beforeAutospacing="0" w:after="0" w:afterAutospacing="0" w:line="276" w:lineRule="auto"/>
              <w:widowControl w:val="off"/>
              <w:rPr>
                <w:rFonts w:hint="eastAsia" w:ascii="宋体" w:hAnsi="宋体" w:eastAsia="宋体" w:cs="宋体"/>
                <w:color w:val="000000" w:themeColor="text1"/>
                <w:sz w:val="21"/>
                <w:szCs w:val="21"/>
                <w:lang w:bidi="ar"/>
              </w:rPr>
            </w:pPr>
            <w:r>
              <w:rPr>
                <w:rFonts w:hint="eastAsia" w:ascii="宋体" w:hAnsi="宋体" w:eastAsia="宋体" w:cs="宋体"/>
                <w:color w:val="000000" w:themeColor="text1"/>
                <w:sz w:val="21"/>
                <w:szCs w:val="21"/>
                <w:lang w:bidi="ar"/>
              </w:rPr>
              <w:t xml:space="preserve">售后服务管理体系方案完整，针对性强，能完全满足项目实施要求的得8分；</w:t>
            </w:r>
            <w:r/>
          </w:p>
          <w:p>
            <w:pPr>
              <w:pStyle w:val="918"/>
              <w:spacing w:before="0" w:beforeAutospacing="0" w:after="0" w:afterAutospacing="0" w:line="276" w:lineRule="auto"/>
              <w:widowControl w:val="off"/>
              <w:rPr>
                <w:rFonts w:hint="eastAsia" w:ascii="宋体" w:hAnsi="宋体" w:eastAsia="宋体" w:cs="宋体"/>
                <w:color w:val="000000" w:themeColor="text1"/>
                <w:sz w:val="21"/>
                <w:szCs w:val="21"/>
                <w:lang w:bidi="ar"/>
              </w:rPr>
            </w:pPr>
            <w:r>
              <w:rPr>
                <w:rFonts w:hint="eastAsia" w:ascii="宋体" w:hAnsi="宋体" w:eastAsia="宋体" w:cs="宋体"/>
                <w:color w:val="000000" w:themeColor="text1"/>
                <w:sz w:val="21"/>
                <w:szCs w:val="21"/>
                <w:lang w:bidi="ar"/>
              </w:rPr>
              <w:t xml:space="preserve">售后服务管理体系方案较具体，针对性较强，能基本满足项目实施要求的得6分；</w:t>
            </w:r>
            <w:r/>
          </w:p>
          <w:p>
            <w:pPr>
              <w:pStyle w:val="918"/>
              <w:spacing w:before="0" w:beforeAutospacing="0" w:after="0" w:afterAutospacing="0" w:line="276" w:lineRule="auto"/>
              <w:widowControl w:val="off"/>
              <w:rPr>
                <w:rFonts w:hint="eastAsia" w:ascii="宋体" w:hAnsi="宋体" w:eastAsia="宋体" w:cs="宋体"/>
                <w:color w:val="000000" w:themeColor="text1"/>
                <w:sz w:val="21"/>
                <w:szCs w:val="21"/>
                <w:lang w:bidi="ar"/>
              </w:rPr>
            </w:pPr>
            <w:r>
              <w:rPr>
                <w:rFonts w:hint="eastAsia" w:ascii="宋体" w:hAnsi="宋体" w:eastAsia="宋体" w:cs="宋体"/>
                <w:color w:val="000000" w:themeColor="text1"/>
                <w:sz w:val="21"/>
                <w:szCs w:val="21"/>
                <w:lang w:bidi="ar"/>
              </w:rPr>
              <w:t xml:space="preserve">售后服务管理体系方案较简单，针对性不强，对项目实施要求响应一般的得4分；</w:t>
            </w:r>
            <w:r/>
          </w:p>
          <w:p>
            <w:pPr>
              <w:pStyle w:val="918"/>
              <w:spacing w:before="0" w:beforeAutospacing="0" w:after="0" w:afterAutospacing="0" w:line="276" w:lineRule="auto"/>
              <w:widowControl w:val="off"/>
              <w:rPr>
                <w:rFonts w:hint="eastAsia" w:ascii="宋体" w:hAnsi="宋体" w:eastAsia="宋体" w:cs="宋体"/>
                <w:color w:val="000000" w:themeColor="text1"/>
                <w:sz w:val="21"/>
                <w:szCs w:val="21"/>
                <w:lang w:bidi="ar"/>
              </w:rPr>
            </w:pPr>
            <w:r>
              <w:rPr>
                <w:rFonts w:hint="eastAsia" w:ascii="宋体" w:hAnsi="宋体" w:eastAsia="宋体" w:cs="宋体"/>
                <w:color w:val="000000" w:themeColor="text1"/>
                <w:sz w:val="21"/>
                <w:szCs w:val="21"/>
                <w:lang w:bidi="ar"/>
              </w:rPr>
              <w:t xml:space="preserve">售后服务管理体系方案简单、不够完善，没有针对性的得2分；</w:t>
            </w:r>
            <w:r/>
          </w:p>
          <w:p>
            <w:pP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lang w:bidi="ar"/>
              </w:rPr>
              <w:t xml:space="preserve">未提供不得分。</w:t>
            </w:r>
            <w:r/>
          </w:p>
        </w:tc>
        <w:tc>
          <w:tcPr>
            <w:tcW w:w="2551" w:type="dxa"/>
            <w:vAlign w:val="center"/>
            <w:textDirection w:val="lrTb"/>
            <w:noWrap w:val="false"/>
          </w:tcPr>
          <w:p>
            <w:pPr>
              <w:spacing w:line="276" w:lineRule="auto"/>
              <w:rPr>
                <w:rFonts w:hint="eastAsia" w:ascii="宋体" w:hAnsi="宋体" w:eastAsia="宋体" w:cs="宋体"/>
                <w:color w:val="000000" w:themeColor="text1"/>
                <w:szCs w:val="21"/>
              </w:rPr>
            </w:pPr>
            <w:r>
              <w:rPr>
                <w:rFonts w:hint="eastAsia" w:ascii="宋体" w:hAnsi="宋体" w:eastAsia="宋体" w:cs="宋体"/>
                <w:b/>
                <w:bCs/>
                <w:color w:val="000000" w:themeColor="text1"/>
                <w:szCs w:val="21"/>
              </w:rPr>
              <w:t xml:space="preserve">根据投标文件进行评审。</w:t>
            </w:r>
            <w:r/>
          </w:p>
        </w:tc>
      </w:tr>
      <w:tr>
        <w:trPr/>
        <w:tc>
          <w:tcPr>
            <w:tcW w:w="710"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olor w:val="000000" w:themeColor="text1"/>
                <w:szCs w:val="21"/>
              </w:rPr>
              <w:t xml:space="preserve">2.4</w:t>
            </w:r>
            <w:r/>
          </w:p>
        </w:tc>
        <w:tc>
          <w:tcPr>
            <w:tcW w:w="1134" w:type="dxa"/>
            <w:vAlign w:val="center"/>
            <w:textDirection w:val="lrTb"/>
            <w:noWrap w:val="false"/>
          </w:tcPr>
          <w:p>
            <w:pPr>
              <w:ind w:firstLine="28"/>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lang w:bidi="ar"/>
              </w:rPr>
              <w:t xml:space="preserve">质保期满后维保收费及内容</w:t>
            </w:r>
            <w:r/>
          </w:p>
        </w:tc>
        <w:tc>
          <w:tcPr>
            <w:tcW w:w="708" w:type="dxa"/>
            <w:vAlign w:val="center"/>
            <w:textDirection w:val="lrTb"/>
            <w:noWrap w:val="false"/>
          </w:tcPr>
          <w:p>
            <w:pPr>
              <w:ind w:firstLine="28"/>
              <w:jc w:val="center"/>
              <w:spacing w:line="276" w:lineRule="auto"/>
              <w:rPr>
                <w:rFonts w:hint="eastAsia" w:ascii="宋体" w:hAnsi="宋体" w:eastAsia="宋体" w:cs="宋体"/>
                <w:color w:val="000000" w:themeColor="text1"/>
                <w:szCs w:val="21"/>
              </w:rPr>
            </w:pPr>
            <w:r>
              <w:rPr>
                <w:rFonts w:hint="eastAsia" w:ascii="宋体" w:hAnsi="宋体" w:eastAsia="宋体"/>
                <w:bCs/>
                <w:color w:val="000000" w:themeColor="text1"/>
                <w:szCs w:val="21"/>
              </w:rPr>
              <w:t xml:space="preserve">5</w:t>
            </w:r>
            <w:r/>
          </w:p>
        </w:tc>
        <w:tc>
          <w:tcPr>
            <w:tcW w:w="4395" w:type="dxa"/>
            <w:vAlign w:val="center"/>
            <w:textDirection w:val="lrTb"/>
            <w:noWrap w:val="false"/>
          </w:tcPr>
          <w:p>
            <w:pPr>
              <w:pStyle w:val="918"/>
              <w:spacing w:before="0" w:beforeAutospacing="0" w:after="0" w:afterAutospacing="0" w:line="276" w:lineRule="auto"/>
              <w:widowControl w:val="off"/>
              <w:rPr>
                <w:rFonts w:hint="eastAsia" w:ascii="宋体" w:hAnsi="宋体" w:eastAsia="宋体"/>
                <w:color w:val="000000" w:themeColor="text1"/>
                <w:sz w:val="21"/>
                <w:szCs w:val="21"/>
              </w:rPr>
            </w:pPr>
            <w:r>
              <w:rPr>
                <w:rFonts w:hint="eastAsia" w:ascii="宋体" w:hAnsi="宋体" w:eastAsia="宋体" w:cs="宋体"/>
                <w:color w:val="000000" w:themeColor="text1"/>
                <w:sz w:val="21"/>
                <w:szCs w:val="21"/>
              </w:rPr>
              <w:t xml:space="preserve">根据投标人提供的针对本项目制定的</w:t>
            </w:r>
            <w:r>
              <w:rPr>
                <w:rFonts w:hint="eastAsia" w:ascii="宋体" w:hAnsi="宋体" w:eastAsia="宋体"/>
                <w:color w:val="000000" w:themeColor="text1"/>
                <w:sz w:val="21"/>
                <w:szCs w:val="21"/>
                <w:lang w:bidi="ar"/>
              </w:rPr>
              <w:t xml:space="preserve">质保期满后维保收费及内容进行综合打分：</w:t>
            </w:r>
            <w:r/>
          </w:p>
          <w:p>
            <w:pPr>
              <w:pStyle w:val="918"/>
              <w:spacing w:before="0" w:beforeAutospacing="0" w:after="0" w:afterAutospacing="0" w:line="276" w:lineRule="auto"/>
              <w:widowControl w:val="off"/>
              <w:rPr>
                <w:rFonts w:hint="eastAsia" w:ascii="宋体" w:hAnsi="宋体" w:eastAsia="宋体"/>
                <w:color w:val="000000" w:themeColor="text1"/>
                <w:sz w:val="21"/>
                <w:szCs w:val="21"/>
              </w:rPr>
            </w:pPr>
            <w:r>
              <w:rPr>
                <w:rFonts w:hint="eastAsia" w:ascii="宋体" w:hAnsi="宋体" w:eastAsia="宋体"/>
                <w:color w:val="000000" w:themeColor="text1"/>
                <w:sz w:val="21"/>
                <w:szCs w:val="21"/>
                <w:lang w:bidi="ar"/>
              </w:rPr>
              <w:t xml:space="preserve">提供零配件和维修备品备件的供应保障和维保期满后维保收费及维保方案内容完整清晰，优于项目需求的得5分；</w:t>
            </w:r>
            <w:r/>
          </w:p>
          <w:p>
            <w:pPr>
              <w:pStyle w:val="918"/>
              <w:spacing w:before="0" w:beforeAutospacing="0" w:after="0" w:afterAutospacing="0" w:line="276" w:lineRule="auto"/>
              <w:widowControl w:val="off"/>
              <w:rPr>
                <w:rFonts w:hint="eastAsia" w:ascii="宋体" w:hAnsi="宋体" w:eastAsia="宋体"/>
                <w:color w:val="000000" w:themeColor="text1"/>
                <w:sz w:val="21"/>
                <w:szCs w:val="21"/>
              </w:rPr>
            </w:pPr>
            <w:r>
              <w:rPr>
                <w:rFonts w:hint="eastAsia" w:ascii="宋体" w:hAnsi="宋体" w:eastAsia="宋体"/>
                <w:color w:val="000000" w:themeColor="text1"/>
                <w:sz w:val="21"/>
                <w:szCs w:val="21"/>
                <w:lang w:bidi="ar"/>
              </w:rPr>
              <w:t xml:space="preserve">零配件和维修备品备件的供应保障和维保期满后维保收费及维保方案内容较完整，满足项目需求的得3分；</w:t>
            </w:r>
            <w:r/>
          </w:p>
          <w:p>
            <w:pPr>
              <w:pStyle w:val="918"/>
              <w:spacing w:before="0" w:beforeAutospacing="0" w:after="0" w:afterAutospacing="0" w:line="276" w:lineRule="auto"/>
              <w:widowControl w:val="off"/>
              <w:rPr>
                <w:rFonts w:hint="eastAsia" w:ascii="宋体" w:hAnsi="宋体" w:eastAsia="宋体"/>
                <w:color w:val="000000" w:themeColor="text1"/>
                <w:sz w:val="21"/>
                <w:szCs w:val="21"/>
              </w:rPr>
            </w:pPr>
            <w:r>
              <w:rPr>
                <w:rFonts w:hint="eastAsia" w:ascii="宋体" w:hAnsi="宋体" w:eastAsia="宋体"/>
                <w:color w:val="000000" w:themeColor="text1"/>
                <w:sz w:val="21"/>
                <w:szCs w:val="21"/>
                <w:lang w:bidi="ar"/>
              </w:rPr>
              <w:t xml:space="preserve">零配件和维修备品备件的供应保障和维保期满后维保收费及维保方案内容介绍简单的得1分；</w:t>
            </w:r>
            <w:r/>
          </w:p>
          <w:p>
            <w:pPr>
              <w:spacing w:line="276" w:lineRule="auto"/>
              <w:rPr>
                <w:rFonts w:hint="eastAsia" w:ascii="宋体" w:hAnsi="宋体" w:eastAsia="宋体" w:cs="宋体"/>
                <w:color w:val="000000" w:themeColor="text1"/>
                <w:szCs w:val="21"/>
              </w:rPr>
            </w:pPr>
            <w:r>
              <w:rPr>
                <w:rFonts w:hint="eastAsia" w:ascii="宋体" w:hAnsi="宋体" w:eastAsia="宋体"/>
                <w:color w:val="000000" w:themeColor="text1"/>
                <w:szCs w:val="21"/>
                <w:lang w:bidi="ar"/>
              </w:rPr>
              <w:t xml:space="preserve">不提供不得分。</w:t>
            </w:r>
            <w:r/>
          </w:p>
        </w:tc>
        <w:tc>
          <w:tcPr>
            <w:tcW w:w="2551" w:type="dxa"/>
            <w:vAlign w:val="center"/>
            <w:textDirection w:val="lrTb"/>
            <w:noWrap w:val="false"/>
          </w:tcPr>
          <w:p>
            <w:pPr>
              <w:spacing w:line="276" w:lineRule="auto"/>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根据投标文件进行评审。</w:t>
            </w:r>
            <w:r/>
          </w:p>
        </w:tc>
      </w:tr>
      <w:tr>
        <w:trPr>
          <w:trHeight w:val="90"/>
        </w:trPr>
        <w:tc>
          <w:tcPr>
            <w:tcW w:w="710" w:type="dxa"/>
            <w:vAlign w:val="center"/>
            <w:textDirection w:val="lrTb"/>
            <w:noWrap w:val="false"/>
          </w:tcPr>
          <w:p>
            <w:pPr>
              <w:jc w:val="cente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2.5</w:t>
            </w:r>
            <w:r/>
          </w:p>
        </w:tc>
        <w:tc>
          <w:tcPr>
            <w:tcW w:w="1134" w:type="dxa"/>
            <w:vAlign w:val="center"/>
            <w:textDirection w:val="lrTb"/>
            <w:noWrap w:val="false"/>
          </w:tcPr>
          <w:p>
            <w:pPr>
              <w:ind w:firstLine="28"/>
              <w:jc w:val="center"/>
              <w:spacing w:line="276"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培训方案</w:t>
            </w:r>
            <w:r/>
          </w:p>
        </w:tc>
        <w:tc>
          <w:tcPr>
            <w:tcW w:w="708" w:type="dxa"/>
            <w:vAlign w:val="center"/>
            <w:textDirection w:val="lrTb"/>
            <w:noWrap w:val="false"/>
          </w:tcPr>
          <w:p>
            <w:pPr>
              <w:ind w:right="26"/>
              <w:jc w:val="center"/>
              <w:spacing w:before="29"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w:t>
            </w:r>
            <w:r/>
          </w:p>
        </w:tc>
        <w:tc>
          <w:tcPr>
            <w:tcW w:w="4395" w:type="dxa"/>
            <w:textDirection w:val="lrTb"/>
            <w:noWrap w:val="false"/>
          </w:tcPr>
          <w:p>
            <w:pPr>
              <w:ind w:right="26"/>
              <w:spacing w:before="29"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根据投标人针对项目产品的培训方案进行综合打分：</w:t>
            </w:r>
            <w:r/>
          </w:p>
          <w:p>
            <w:pPr>
              <w:ind w:right="26"/>
              <w:spacing w:before="29"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培训计划细致、时间地点人员等要素齐全，具有连续性和针对性得5分；</w:t>
            </w:r>
            <w:r/>
          </w:p>
          <w:p>
            <w:pPr>
              <w:ind w:right="26"/>
              <w:spacing w:before="29"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培训方案较具体，针对性较强，能基本满足项目实施要求的得3分；</w:t>
            </w:r>
            <w:r/>
          </w:p>
          <w:p>
            <w:pPr>
              <w:ind w:right="26"/>
              <w:spacing w:before="29"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培训方案较简单，针对性不强，对项目实施要求响应一般的得1分；</w:t>
            </w:r>
            <w:r/>
          </w:p>
          <w:p>
            <w:pPr>
              <w:ind w:right="26"/>
              <w:spacing w:before="29"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不提供不得分。</w:t>
            </w:r>
            <w:r/>
          </w:p>
        </w:tc>
        <w:tc>
          <w:tcPr>
            <w:tcW w:w="2551" w:type="dxa"/>
            <w:vAlign w:val="center"/>
            <w:textDirection w:val="lrTb"/>
            <w:noWrap w:val="false"/>
          </w:tcPr>
          <w:p>
            <w:pPr>
              <w:spacing w:line="276" w:lineRule="auto"/>
              <w:rPr>
                <w:rFonts w:hint="eastAsia" w:ascii="宋体" w:hAnsi="宋体" w:eastAsia="宋体"/>
                <w:color w:val="000000" w:themeColor="text1"/>
                <w:szCs w:val="21"/>
              </w:rPr>
            </w:pPr>
            <w:r>
              <w:rPr>
                <w:rFonts w:hint="eastAsia" w:ascii="宋体" w:hAnsi="宋体" w:eastAsia="宋体" w:cs="宋体"/>
                <w:b/>
                <w:bCs/>
                <w:color w:val="000000" w:themeColor="text1"/>
                <w:szCs w:val="21"/>
              </w:rPr>
              <w:t xml:space="preserve">根据投标文件进行评审。</w:t>
            </w:r>
            <w:r/>
          </w:p>
        </w:tc>
      </w:tr>
      <w:tr>
        <w:trPr>
          <w:trHeight w:val="279"/>
        </w:trPr>
        <w:tc>
          <w:tcPr>
            <w:tcW w:w="710" w:type="dxa"/>
            <w:vAlign w:val="center"/>
            <w:textDirection w:val="lrTb"/>
            <w:noWrap w:val="false"/>
          </w:tcPr>
          <w:p>
            <w:pPr>
              <w:ind w:firstLine="28"/>
              <w:jc w:val="center"/>
              <w:spacing w:line="276" w:lineRule="auto"/>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3</w:t>
            </w:r>
            <w:r/>
          </w:p>
        </w:tc>
        <w:tc>
          <w:tcPr>
            <w:tcW w:w="1134" w:type="dxa"/>
            <w:vAlign w:val="center"/>
            <w:textDirection w:val="lrTb"/>
            <w:noWrap w:val="false"/>
          </w:tcPr>
          <w:p>
            <w:pPr>
              <w:ind w:firstLine="28"/>
              <w:jc w:val="center"/>
              <w:spacing w:line="276" w:lineRule="auto"/>
              <w:rPr>
                <w:rFonts w:hint="eastAsia" w:ascii="宋体" w:hAnsi="宋体" w:eastAsia="宋体"/>
                <w:b/>
                <w:bCs/>
                <w:color w:val="000000" w:themeColor="text1"/>
                <w:szCs w:val="21"/>
              </w:rPr>
            </w:pPr>
            <w:r>
              <w:rPr>
                <w:rFonts w:hint="eastAsia" w:ascii="宋体" w:hAnsi="宋体" w:eastAsia="宋体"/>
                <w:b/>
                <w:bCs/>
                <w:color w:val="000000" w:themeColor="text1"/>
                <w:szCs w:val="21"/>
              </w:rPr>
              <w:t xml:space="preserve">商务分</w:t>
            </w:r>
            <w:r/>
          </w:p>
        </w:tc>
        <w:tc>
          <w:tcPr>
            <w:tcW w:w="708" w:type="dxa"/>
            <w:vAlign w:val="center"/>
            <w:textDirection w:val="lrTb"/>
            <w:noWrap w:val="false"/>
          </w:tcPr>
          <w:p>
            <w:pPr>
              <w:ind w:firstLine="28"/>
              <w:jc w:val="cente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34</w:t>
            </w:r>
            <w:r/>
          </w:p>
        </w:tc>
        <w:tc>
          <w:tcPr>
            <w:tcW w:w="4395" w:type="dxa"/>
            <w:vAlign w:val="center"/>
            <w:textDirection w:val="lrTb"/>
            <w:noWrap w:val="false"/>
          </w:tcPr>
          <w:p>
            <w:pP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r>
            <w:r/>
          </w:p>
        </w:tc>
        <w:tc>
          <w:tcPr>
            <w:tcW w:w="2551" w:type="dxa"/>
            <w:vAlign w:val="center"/>
            <w:textDirection w:val="lrTb"/>
            <w:noWrap w:val="false"/>
          </w:tcPr>
          <w:p>
            <w:pPr>
              <w:ind w:left="-38"/>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r>
            <w:r/>
          </w:p>
        </w:tc>
      </w:tr>
      <w:tr>
        <w:trPr/>
        <w:tc>
          <w:tcPr>
            <w:tcW w:w="710" w:type="dxa"/>
            <w:vAlign w:val="center"/>
            <w:textDirection w:val="lrTb"/>
            <w:noWrap w:val="false"/>
          </w:tcPr>
          <w:p>
            <w:pPr>
              <w:ind w:firstLine="28"/>
              <w:jc w:val="center"/>
              <w:spacing w:line="276" w:lineRule="auto"/>
              <w:rPr>
                <w:rFonts w:hint="eastAsia" w:ascii="宋体" w:hAnsi="宋体" w:eastAsia="宋体"/>
                <w:b/>
                <w:bCs/>
                <w:color w:val="000000" w:themeColor="text1"/>
                <w:szCs w:val="21"/>
              </w:rPr>
            </w:pPr>
            <w:r>
              <w:rPr>
                <w:rFonts w:hint="eastAsia" w:ascii="宋体" w:hAnsi="宋体" w:eastAsia="宋体"/>
                <w:color w:val="000000" w:themeColor="text1"/>
                <w:szCs w:val="21"/>
              </w:rPr>
              <w:t xml:space="preserve">3</w:t>
            </w:r>
            <w:r>
              <w:rPr>
                <w:rFonts w:ascii="宋体" w:hAnsi="宋体" w:eastAsia="宋体"/>
                <w:color w:val="000000" w:themeColor="text1"/>
                <w:szCs w:val="21"/>
              </w:rPr>
              <w:t xml:space="preserve">.1</w:t>
            </w:r>
            <w:r/>
          </w:p>
        </w:tc>
        <w:tc>
          <w:tcPr>
            <w:tcW w:w="1134" w:type="dxa"/>
            <w:vAlign w:val="center"/>
            <w:textDirection w:val="lrTb"/>
            <w:noWrap w:val="false"/>
          </w:tcPr>
          <w:p>
            <w:pPr>
              <w:ind w:firstLine="28"/>
              <w:jc w:val="cente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技术参数</w:t>
            </w:r>
            <w:r/>
          </w:p>
        </w:tc>
        <w:tc>
          <w:tcPr>
            <w:tcW w:w="708" w:type="dxa"/>
            <w:vAlign w:val="center"/>
            <w:textDirection w:val="lrTb"/>
            <w:noWrap w:val="false"/>
          </w:tcPr>
          <w:p>
            <w:pPr>
              <w:ind w:firstLine="28"/>
              <w:jc w:val="cente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6</w:t>
            </w:r>
            <w:r/>
          </w:p>
        </w:tc>
        <w:tc>
          <w:tcPr>
            <w:tcW w:w="4395" w:type="dxa"/>
            <w:vAlign w:val="center"/>
            <w:textDirection w:val="lrTb"/>
            <w:noWrap w:val="false"/>
          </w:tcPr>
          <w:p>
            <w:pP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投标文件设备配置和技术参数完全符合招标文件要求得6分。“▲”条款为重要参数，出现负偏离一项扣1分；其它常规技术参数出现</w:t>
            </w:r>
            <w:r>
              <w:rPr>
                <w:rFonts w:hint="eastAsia" w:ascii="宋体" w:hAnsi="宋体" w:eastAsia="宋体" w:cs="宋体"/>
                <w:color w:val="000000" w:themeColor="text1"/>
                <w:szCs w:val="21"/>
              </w:rPr>
              <w:t xml:space="preserve">负偏离一项扣0.5分，扣完为止。</w:t>
            </w:r>
            <w:r/>
          </w:p>
          <w:p>
            <w:pP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r>
            <w:r/>
          </w:p>
        </w:tc>
        <w:tc>
          <w:tcPr>
            <w:tcW w:w="2551" w:type="dxa"/>
            <w:vAlign w:val="center"/>
            <w:textDirection w:val="lrTb"/>
            <w:noWrap w:val="false"/>
          </w:tcPr>
          <w:p>
            <w:pPr>
              <w:numPr>
                <w:ilvl w:val="0"/>
                <w:numId w:val="20"/>
              </w:numPr>
              <w:ind w:left="-38"/>
              <w:spacing w:line="276"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w:t>
            </w:r>
            <w:r>
              <w:rPr>
                <w:rFonts w:hint="eastAsia" w:ascii="宋体" w:hAnsi="宋体" w:eastAsia="宋体"/>
                <w:color w:val="000000" w:themeColor="text1"/>
                <w:szCs w:val="21"/>
              </w:rPr>
              <w:t xml:space="preserve">▲”条款需在投标文件中提供盖有设备生产（制造）商公章的参数证</w:t>
            </w:r>
            <w:r>
              <w:rPr>
                <w:rFonts w:hint="eastAsia" w:ascii="宋体" w:hAnsi="宋体" w:eastAsia="宋体"/>
                <w:color w:val="000000" w:themeColor="text1"/>
                <w:szCs w:val="21"/>
              </w:rPr>
              <w:t xml:space="preserve">明材料（如：能够明确说明该技术内容的公开发行的产品彩页、产品说明书（使用手册）、第三方检测机构的检测报告）、软件功能截图、产品官网链接及技术参数中明确要求的证明材料。供评委评判，否则评委可视为负偏离处理。）</w:t>
            </w:r>
            <w:r/>
          </w:p>
          <w:p>
            <w:pPr>
              <w:numPr>
                <w:ilvl w:val="0"/>
                <w:numId w:val="20"/>
              </w:numPr>
              <w:ind w:left="-38"/>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常规技术参数以投标文件中提供的偏离表为评审依据。</w:t>
            </w:r>
            <w:r/>
          </w:p>
          <w:p>
            <w:pPr>
              <w:numPr>
                <w:ilvl w:val="0"/>
                <w:numId w:val="20"/>
              </w:numPr>
              <w:ind w:left="-38"/>
              <w:spacing w:line="276"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验收时逐条验证技术指标，如发现供投标人虚假响应，采购人将无条件退货并上报相关政府采购监管部门处理）。 </w:t>
            </w:r>
            <w:r/>
          </w:p>
        </w:tc>
      </w:tr>
      <w:tr>
        <w:trPr/>
        <w:tc>
          <w:tcPr>
            <w:tcW w:w="710" w:type="dxa"/>
            <w:vAlign w:val="center"/>
            <w:textDirection w:val="lrTb"/>
            <w:noWrap w:val="false"/>
          </w:tcPr>
          <w:p>
            <w:pPr>
              <w:jc w:val="cente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3.2</w:t>
            </w:r>
            <w:r/>
          </w:p>
        </w:tc>
        <w:tc>
          <w:tcPr>
            <w:tcW w:w="1134" w:type="dxa"/>
            <w:vAlign w:val="center"/>
            <w:textDirection w:val="lrTb"/>
            <w:noWrap w:val="false"/>
          </w:tcPr>
          <w:p>
            <w:pPr>
              <w:jc w:val="cente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企业实力</w:t>
            </w:r>
            <w:r/>
          </w:p>
        </w:tc>
        <w:tc>
          <w:tcPr>
            <w:tcW w:w="708" w:type="dxa"/>
            <w:vAlign w:val="center"/>
            <w:textDirection w:val="lrTb"/>
            <w:noWrap w:val="false"/>
          </w:tcPr>
          <w:p>
            <w:pPr>
              <w:jc w:val="center"/>
              <w:spacing w:line="276" w:lineRule="auto"/>
              <w:tabs>
                <w:tab w:val="left" w:pos="426" w:leader="none"/>
              </w:tabs>
              <w:rPr>
                <w:rFonts w:hint="eastAsia" w:ascii="宋体" w:hAnsi="宋体" w:eastAsia="宋体"/>
                <w:color w:val="000000" w:themeColor="text1"/>
                <w:szCs w:val="21"/>
              </w:rPr>
            </w:pPr>
            <w:r>
              <w:rPr>
                <w:rFonts w:hint="eastAsia" w:ascii="宋体" w:hAnsi="宋体" w:eastAsia="宋体"/>
                <w:color w:val="000000" w:themeColor="text1"/>
                <w:szCs w:val="21"/>
              </w:rPr>
              <w:t xml:space="preserve">6</w:t>
            </w:r>
            <w:r/>
          </w:p>
        </w:tc>
        <w:tc>
          <w:tcPr>
            <w:tcW w:w="4395" w:type="dxa"/>
            <w:vAlign w:val="center"/>
            <w:textDirection w:val="lrTb"/>
            <w:noWrap w:val="false"/>
          </w:tcPr>
          <w:p>
            <w:pPr>
              <w:spacing w:line="276"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投标人或</w:t>
            </w:r>
            <w:r>
              <w:rPr>
                <w:rFonts w:ascii="宋体" w:hAnsi="宋体" w:eastAsia="宋体" w:cs="宋体"/>
                <w:color w:val="000000" w:themeColor="text1"/>
                <w:szCs w:val="21"/>
              </w:rPr>
              <w:t xml:space="preserve">所投产品制造商</w:t>
            </w:r>
            <w:r>
              <w:rPr>
                <w:rFonts w:hint="eastAsia" w:ascii="宋体" w:hAnsi="宋体" w:eastAsia="宋体" w:cs="宋体"/>
                <w:color w:val="000000" w:themeColor="text1"/>
                <w:szCs w:val="21"/>
              </w:rPr>
              <w:t xml:space="preserve">具有质量管理体系认证证书、环境管理体系认证证书、职业健康安全管理体系认证证书的，有一个得2分，本项最高得6分。</w:t>
            </w:r>
            <w:r/>
          </w:p>
        </w:tc>
        <w:tc>
          <w:tcPr>
            <w:tcW w:w="2551" w:type="dxa"/>
            <w:vAlign w:val="center"/>
            <w:textDirection w:val="lrTb"/>
            <w:noWrap w:val="false"/>
          </w:tcPr>
          <w:p>
            <w:pPr>
              <w:spacing w:line="276"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提供有效证书扫描件并加盖投标人公章。</w:t>
            </w:r>
            <w:r/>
          </w:p>
        </w:tc>
      </w:tr>
      <w:tr>
        <w:trPr>
          <w:trHeight w:val="2551"/>
        </w:trPr>
        <w:tc>
          <w:tcPr>
            <w:tcW w:w="710" w:type="dxa"/>
            <w:vAlign w:val="center"/>
            <w:textDirection w:val="lrTb"/>
            <w:noWrap w:val="false"/>
          </w:tcPr>
          <w:p>
            <w:pPr>
              <w:jc w:val="center"/>
              <w:spacing w:line="276"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3.3</w:t>
            </w:r>
            <w:r/>
          </w:p>
        </w:tc>
        <w:tc>
          <w:tcPr>
            <w:tcW w:w="1134" w:type="dxa"/>
            <w:vAlign w:val="center"/>
            <w:textDirection w:val="lrTb"/>
            <w:noWrap w:val="false"/>
          </w:tcPr>
          <w:p>
            <w:pP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类似业绩</w:t>
            </w:r>
            <w:r/>
          </w:p>
        </w:tc>
        <w:tc>
          <w:tcPr>
            <w:tcW w:w="708"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8</w:t>
            </w:r>
            <w:r/>
          </w:p>
        </w:tc>
        <w:tc>
          <w:tcPr>
            <w:tcW w:w="4395" w:type="dxa"/>
            <w:vAlign w:val="center"/>
            <w:textDirection w:val="lrTb"/>
            <w:noWrap w:val="false"/>
          </w:tcPr>
          <w:p>
            <w:pP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提供所投产品自2023年1月1日以来(以合同签订日期为准）同类产品的销售合同，每提供一个份得1分，最高得4分。</w:t>
            </w:r>
            <w:r/>
          </w:p>
          <w:p>
            <w:pP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上述业绩提供使用单位满意度反馈表，有一个得1分，最高4分。</w:t>
            </w:r>
            <w:r/>
          </w:p>
        </w:tc>
        <w:tc>
          <w:tcPr>
            <w:tcW w:w="2551" w:type="dxa"/>
            <w:vAlign w:val="center"/>
            <w:textDirection w:val="lrTb"/>
            <w:noWrap w:val="false"/>
          </w:tcPr>
          <w:p>
            <w:pP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合同需提供完整扫描件加盖投标人公章。</w:t>
            </w:r>
            <w:r/>
          </w:p>
          <w:p>
            <w:pPr>
              <w:spacing w:line="276" w:lineRule="auto"/>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满意度反馈表格式自拟，需有使用单位公章；提供扫描件加盖工作</w:t>
            </w:r>
            <w:r/>
          </w:p>
        </w:tc>
      </w:tr>
      <w:tr>
        <w:trPr>
          <w:trHeight w:val="609"/>
        </w:trPr>
        <w:tc>
          <w:tcPr>
            <w:tcW w:w="710"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3.4</w:t>
            </w:r>
            <w:r/>
          </w:p>
        </w:tc>
        <w:tc>
          <w:tcPr>
            <w:tcW w:w="1134"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产品实力1</w:t>
            </w:r>
            <w:r/>
          </w:p>
        </w:tc>
        <w:tc>
          <w:tcPr>
            <w:tcW w:w="708"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5</w:t>
            </w:r>
            <w:r/>
          </w:p>
        </w:tc>
        <w:tc>
          <w:tcPr>
            <w:tcW w:w="4395" w:type="dxa"/>
            <w:vAlign w:val="center"/>
            <w:textDirection w:val="lrTb"/>
            <w:noWrap w:val="false"/>
          </w:tcPr>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提供完整的产品检测报告。主要检测指标达到国标GB13801-2015标准：烟气颗粒物（烟尘）排放值＜80mg/m³，得2分；烟气黑度(林格曼，黑度)I级，得2分。</w:t>
            </w:r>
            <w:r/>
          </w:p>
          <w:p>
            <w:pPr>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提供完整的检测报告：噪音&lt;70dB，得1分。</w:t>
            </w:r>
            <w:r/>
          </w:p>
        </w:tc>
        <w:tc>
          <w:tcPr>
            <w:tcW w:w="2551" w:type="dxa"/>
            <w:vAlign w:val="center"/>
            <w:textDirection w:val="lrTb"/>
            <w:noWrap w:val="false"/>
          </w:tcPr>
          <w:p>
            <w:pP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提供检测报告扫描件加盖公章。</w:t>
            </w:r>
            <w:r/>
          </w:p>
        </w:tc>
      </w:tr>
      <w:tr>
        <w:trPr>
          <w:trHeight w:val="609"/>
        </w:trPr>
        <w:tc>
          <w:tcPr>
            <w:tcW w:w="710"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3.5</w:t>
            </w:r>
            <w:r/>
          </w:p>
        </w:tc>
        <w:tc>
          <w:tcPr>
            <w:tcW w:w="1134"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产品实力2</w:t>
            </w:r>
            <w:r/>
          </w:p>
        </w:tc>
        <w:tc>
          <w:tcPr>
            <w:tcW w:w="708"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6</w:t>
            </w:r>
            <w:r/>
          </w:p>
        </w:tc>
        <w:tc>
          <w:tcPr>
            <w:tcW w:w="4395" w:type="dxa"/>
            <w:vAlign w:val="center"/>
            <w:textDirection w:val="lrTb"/>
            <w:noWrap w:val="false"/>
          </w:tcPr>
          <w:p>
            <w:pPr>
              <w:rPr>
                <w:rFonts w:hint="eastAsia" w:ascii="宋体" w:hAnsi="宋体" w:eastAsia="宋体"/>
                <w:color w:val="000000" w:themeColor="text1"/>
                <w:szCs w:val="21"/>
              </w:rPr>
            </w:pPr>
            <w:r>
              <w:rPr>
                <w:rFonts w:hint="eastAsia" w:ascii="宋体" w:hAnsi="宋体" w:eastAsia="宋体"/>
                <w:color w:val="000000" w:themeColor="text1"/>
                <w:szCs w:val="21"/>
              </w:rPr>
              <w:t xml:space="preserve">所投产品（焚烧炉及烟尘净化技术）具有自主知识产权，获得国家知识产权局授权专利证书。提供发明专利的，每有一项得2分；仅提供实用新型专利的，每有一项得1分。限评3项，本项最高得6分。</w:t>
            </w:r>
            <w:r/>
          </w:p>
        </w:tc>
        <w:tc>
          <w:tcPr>
            <w:tcW w:w="2551" w:type="dxa"/>
            <w:vAlign w:val="center"/>
            <w:textDirection w:val="lrTb"/>
            <w:noWrap w:val="false"/>
          </w:tcPr>
          <w:p>
            <w:pP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提供相关证书扫描件或第三方授权使用证明扫描件加盖公章（需提供专利在有效期内的证明），否则不得分。</w:t>
            </w:r>
            <w:r/>
          </w:p>
        </w:tc>
      </w:tr>
      <w:tr>
        <w:trPr>
          <w:trHeight w:val="609"/>
        </w:trPr>
        <w:tc>
          <w:tcPr>
            <w:tcW w:w="710"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3.6</w:t>
            </w:r>
            <w:r/>
          </w:p>
        </w:tc>
        <w:tc>
          <w:tcPr>
            <w:tcW w:w="1134" w:type="dxa"/>
            <w:vAlign w:val="center"/>
            <w:textDirection w:val="lrTb"/>
            <w:noWrap w:val="false"/>
          </w:tcPr>
          <w:p>
            <w:pPr>
              <w:jc w:val="cente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项目组人员</w:t>
            </w:r>
            <w:r/>
          </w:p>
        </w:tc>
        <w:tc>
          <w:tcPr>
            <w:tcW w:w="708" w:type="dxa"/>
            <w:vAlign w:val="center"/>
            <w:textDirection w:val="lrTb"/>
            <w:noWrap w:val="false"/>
          </w:tcPr>
          <w:p>
            <w:pPr>
              <w:jc w:val="cente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w:t>
            </w:r>
            <w:r/>
          </w:p>
        </w:tc>
        <w:tc>
          <w:tcPr>
            <w:tcW w:w="4395" w:type="dxa"/>
            <w:vAlign w:val="center"/>
            <w:textDirection w:val="lrTb"/>
            <w:noWrap w:val="false"/>
          </w:tcPr>
          <w:p>
            <w:pPr>
              <w:rPr>
                <w:rFonts w:hint="eastAsia" w:ascii="宋体" w:hAnsi="宋体" w:eastAsia="宋体"/>
                <w:color w:val="000000" w:themeColor="text1"/>
                <w:szCs w:val="21"/>
              </w:rPr>
            </w:pPr>
            <w:r>
              <w:rPr>
                <w:rFonts w:hint="eastAsia" w:ascii="宋体" w:hAnsi="宋体" w:eastAsia="宋体"/>
                <w:color w:val="000000" w:themeColor="text1"/>
                <w:szCs w:val="21"/>
              </w:rPr>
              <w:t xml:space="preserve">项目负责人具有人社部门评定的高级职称的得3分，中级职称得1分。本项最高3分。</w:t>
            </w:r>
            <w:r/>
          </w:p>
        </w:tc>
        <w:tc>
          <w:tcPr>
            <w:tcW w:w="2551" w:type="dxa"/>
            <w:vAlign w:val="center"/>
            <w:textDirection w:val="lrTb"/>
            <w:noWrap w:val="false"/>
          </w:tcPr>
          <w:p>
            <w:pPr>
              <w:spacing w:line="276"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投标文件中提供证书扫描件加盖投标人公章，并提供近三个月其中任一个月投标人为其缴纳的社保缴纳记录扫描件，未提供的不得分。</w:t>
            </w:r>
            <w:r/>
          </w:p>
        </w:tc>
      </w:tr>
      <w:tr>
        <w:trPr/>
        <w:tc>
          <w:tcPr>
            <w:gridSpan w:val="2"/>
            <w:tcW w:w="1844" w:type="dxa"/>
            <w:vAlign w:val="center"/>
            <w:textDirection w:val="lrTb"/>
            <w:noWrap w:val="false"/>
          </w:tcPr>
          <w:p>
            <w:pPr>
              <w:ind w:firstLine="28"/>
              <w:jc w:val="center"/>
              <w:spacing w:line="276" w:lineRule="auto"/>
              <w:rPr>
                <w:rFonts w:hint="eastAsia" w:ascii="宋体" w:hAnsi="宋体" w:eastAsia="宋体"/>
                <w:color w:val="000000" w:themeColor="text1"/>
                <w:szCs w:val="21"/>
              </w:rPr>
            </w:pPr>
            <w:r>
              <w:rPr>
                <w:rFonts w:ascii="宋体" w:hAnsi="宋体" w:eastAsia="宋体"/>
                <w:color w:val="000000" w:themeColor="text1"/>
                <w:szCs w:val="21"/>
              </w:rPr>
              <w:t xml:space="preserve">合计</w:t>
            </w:r>
            <w:r/>
          </w:p>
        </w:tc>
        <w:tc>
          <w:tcPr>
            <w:tcW w:w="708" w:type="dxa"/>
            <w:vAlign w:val="center"/>
            <w:textDirection w:val="lrTb"/>
            <w:noWrap w:val="false"/>
          </w:tcPr>
          <w:p>
            <w:pPr>
              <w:ind w:firstLine="28"/>
              <w:jc w:val="center"/>
              <w:spacing w:line="276" w:lineRule="auto"/>
              <w:rPr>
                <w:rFonts w:hint="eastAsia" w:ascii="宋体" w:hAnsi="宋体" w:eastAsia="宋体"/>
                <w:color w:val="000000" w:themeColor="text1"/>
                <w:szCs w:val="21"/>
              </w:rPr>
            </w:pPr>
            <w:r>
              <w:rPr>
                <w:rFonts w:ascii="宋体" w:hAnsi="宋体" w:eastAsia="宋体"/>
                <w:color w:val="000000" w:themeColor="text1"/>
                <w:szCs w:val="21"/>
              </w:rPr>
              <w:t xml:space="preserve">100</w:t>
            </w:r>
            <w:r/>
          </w:p>
        </w:tc>
        <w:tc>
          <w:tcPr>
            <w:gridSpan w:val="2"/>
            <w:tcW w:w="6946" w:type="dxa"/>
            <w:vAlign w:val="center"/>
            <w:textDirection w:val="lrTb"/>
            <w:noWrap w:val="false"/>
          </w:tcPr>
          <w:p>
            <w:pPr>
              <w:spacing w:line="276" w:lineRule="auto"/>
              <w:rPr>
                <w:rFonts w:hint="eastAsia" w:ascii="宋体" w:hAnsi="宋体" w:eastAsia="宋体"/>
                <w:color w:val="000000" w:themeColor="text1"/>
                <w:szCs w:val="21"/>
              </w:rPr>
            </w:pPr>
            <w:r>
              <w:rPr>
                <w:rFonts w:hint="eastAsia" w:ascii="宋体" w:hAnsi="宋体" w:eastAsia="宋体"/>
                <w:color w:val="000000" w:themeColor="text1"/>
                <w:szCs w:val="21"/>
              </w:rPr>
            </w:r>
            <w:r/>
          </w:p>
        </w:tc>
      </w:tr>
    </w:tbl>
    <w:p>
      <w:pPr>
        <w:jc w:val="left"/>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jc w:val="left"/>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jc w:val="left"/>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r>
      <w:r/>
    </w:p>
    <w:p>
      <w:pPr>
        <w:pStyle w:val="898"/>
        <w:rPr>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rPr>
      </w:r>
      <w:r/>
    </w:p>
    <w:p>
      <w:pPr>
        <w:pStyle w:val="898"/>
        <w:numPr>
          <w:ilvl w:val="0"/>
          <w:numId w:val="10"/>
        </w:numPr>
        <w:rPr>
          <w:color w:val="000000" w:themeColor="text1"/>
        </w:rPr>
      </w:pPr>
      <w:r/>
      <w:bookmarkStart w:id="512" w:name="_Toc4817"/>
      <w:r/>
      <w:bookmarkStart w:id="513" w:name="OLE_LINK6"/>
      <w:r>
        <w:rPr>
          <w:rFonts w:hint="eastAsia"/>
          <w:color w:val="000000" w:themeColor="text1"/>
        </w:rPr>
        <w:t xml:space="preserve">采购需求</w:t>
      </w:r>
      <w:bookmarkEnd w:id="512"/>
      <w:r/>
      <w:r/>
    </w:p>
    <w:p>
      <w:pPr>
        <w:numPr>
          <w:ilvl w:val="0"/>
          <w:numId w:val="11"/>
        </w:numPr>
        <w:ind w:firstLine="482"/>
        <w:spacing w:line="360" w:lineRule="auto"/>
        <w:rPr>
          <w:b/>
          <w:bCs/>
          <w:color w:val="000000" w:themeColor="text1"/>
          <w:sz w:val="24"/>
          <w:szCs w:val="24"/>
        </w:rPr>
      </w:pPr>
      <w:r>
        <w:rPr>
          <w:rFonts w:hint="eastAsia"/>
          <w:b/>
          <w:bCs/>
          <w:color w:val="000000" w:themeColor="text1"/>
          <w:sz w:val="24"/>
          <w:szCs w:val="24"/>
        </w:rPr>
        <w:t xml:space="preserve">项目概况</w:t>
      </w:r>
      <w:r/>
    </w:p>
    <w:p>
      <w:pPr>
        <w:ind w:firstLine="480"/>
        <w:spacing w:line="360"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本项目拟采购</w:t>
      </w:r>
      <w:r>
        <w:rPr>
          <w:rFonts w:hint="eastAsia" w:ascii="宋体" w:hAnsi="宋体" w:cs="宋体"/>
          <w:color w:val="000000" w:themeColor="text1"/>
          <w:sz w:val="24"/>
          <w:szCs w:val="24"/>
        </w:rPr>
        <w:t xml:space="preserve">12门焚烧炉两套以及配套的烟雾净化器等设施设备</w:t>
      </w:r>
      <w:r>
        <w:rPr>
          <w:rFonts w:ascii="宋体" w:hAnsi="宋体" w:cs="宋体"/>
          <w:color w:val="000000" w:themeColor="text1"/>
          <w:sz w:val="24"/>
          <w:szCs w:val="24"/>
        </w:rPr>
        <w:t xml:space="preserve">。 </w:t>
      </w:r>
      <w:r/>
    </w:p>
    <w:p>
      <w:pPr>
        <w:ind w:firstLine="480"/>
        <w:spacing w:line="360" w:lineRule="auto"/>
        <w:rPr>
          <w:rFonts w:hint="eastAsia" w:ascii="宋体" w:hAnsi="宋体" w:cs="宋体"/>
          <w:color w:val="000000" w:themeColor="text1"/>
          <w:sz w:val="24"/>
          <w:szCs w:val="24"/>
        </w:rPr>
      </w:pPr>
      <w:r>
        <w:rPr>
          <w:rFonts w:ascii="宋体" w:hAnsi="宋体" w:cs="宋体"/>
          <w:color w:val="000000" w:themeColor="text1"/>
          <w:sz w:val="24"/>
          <w:szCs w:val="24"/>
        </w:rPr>
        <w:t xml:space="preserve">采购包括相应产品供货前的准备（包括现场踏勘、技术核对等）、产品（包括备品备件、专用工具）、设计、制造、加工、检验、包装、发货、保险、税金、技术资料、运输、装卸、安装调试、技术服务、直至通过验收及培训、售后服务、质保期及维保服务等全部工作。</w:t>
      </w:r>
      <w:r/>
    </w:p>
    <w:p>
      <w:pPr>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二、商务要求</w:t>
      </w:r>
      <w:r/>
    </w:p>
    <w:p>
      <w:pPr>
        <w:ind w:firstLine="480"/>
        <w:spacing w:line="360" w:lineRule="auto"/>
        <w:rPr>
          <w:rFonts w:hint="eastAsia" w:ascii="宋体" w:hAnsi="宋体" w:cs="宋体"/>
          <w:b/>
          <w:bCs/>
          <w:color w:val="000000" w:themeColor="text1"/>
          <w:sz w:val="24"/>
          <w:szCs w:val="24"/>
        </w:rPr>
      </w:pPr>
      <w:r>
        <w:rPr>
          <w:rFonts w:hint="eastAsia" w:ascii="宋体" w:hAnsi="宋体" w:cs="宋体"/>
          <w:color w:val="000000" w:themeColor="text1"/>
          <w:sz w:val="24"/>
          <w:szCs w:val="24"/>
        </w:rPr>
        <w:t xml:space="preserve">★1、交货时间：签订合同之后，按采购人通知25天内完成供货及安装调试。免费质保期及运维期5年。</w:t>
      </w:r>
      <w:r>
        <w:rPr>
          <w:rFonts w:hint="eastAsia" w:ascii="宋体" w:hAnsi="宋体" w:cs="宋体"/>
          <w:b/>
          <w:bCs/>
          <w:color w:val="000000" w:themeColor="text1"/>
          <w:sz w:val="24"/>
          <w:szCs w:val="24"/>
        </w:rPr>
        <w:t xml:space="preserve">提供承诺函，格式自拟，未提供视为无效响应。</w:t>
      </w:r>
      <w:r/>
    </w:p>
    <w:p>
      <w:pPr>
        <w:ind w:firstLine="482"/>
        <w:spacing w:line="360" w:lineRule="auto"/>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2、交货地点：</w:t>
      </w:r>
      <w:r>
        <w:rPr>
          <w:rFonts w:hint="eastAsia" w:ascii="宋体" w:hAnsi="宋体" w:cs="宋体"/>
          <w:color w:val="000000" w:themeColor="text1"/>
          <w:sz w:val="24"/>
          <w:szCs w:val="24"/>
        </w:rPr>
        <w:t xml:space="preserve">采购人指定地点。</w:t>
      </w:r>
      <w:r/>
    </w:p>
    <w:p>
      <w:pPr>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3、项目预算：78万</w:t>
      </w:r>
      <w:r/>
    </w:p>
    <w:p>
      <w:pPr>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4、供货要求</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4.1 采购人有权根据实际使用需求，对设备清单中品种或数量进行调整，在整个执行过程中，将予以配合，保证按采购人要求及时提供所需设备。</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4.2 中标单位所供设备应根据相关标准和规范进行设计和制造，并遵循采购文件的要求，设备的质量性能、技术指标和使用功能应达到或优于采购要求，是技术成熟的、性能优良，整体设计和软硬件配备全新的原厂正品，并提供详细的产品说明、质量标准和服务方案。如其中某些条款不能完全满足时，应在投标文件中逐条列出，未列出的视同响应。</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4.3中标单位在交付设备的同时向采购人提供设备全套随机资料一套 (不限于合格证书、使用维护说明书、验收报告书、原厂保修单等) 。根据采购人要求免费提供并安装设备操作及应用软件。</w:t>
      </w:r>
      <w:r/>
    </w:p>
    <w:p>
      <w:pPr>
        <w:ind w:firstLine="482"/>
        <w:spacing w:line="360" w:lineRule="auto"/>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5、安装</w:t>
      </w:r>
      <w:r>
        <w:rPr>
          <w:rFonts w:ascii="宋体" w:hAnsi="宋体" w:cs="宋体"/>
          <w:b/>
          <w:bCs/>
          <w:color w:val="000000" w:themeColor="text1"/>
          <w:sz w:val="24"/>
          <w:szCs w:val="24"/>
        </w:rPr>
        <w:t xml:space="preserve">及服务</w:t>
      </w:r>
      <w:r>
        <w:rPr>
          <w:rFonts w:hint="eastAsia" w:ascii="宋体" w:hAnsi="宋体" w:cs="宋体"/>
          <w:b/>
          <w:bCs/>
          <w:color w:val="000000" w:themeColor="text1"/>
          <w:sz w:val="24"/>
          <w:szCs w:val="24"/>
        </w:rPr>
        <w:t xml:space="preserve">要求</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5.1 设备保修期：全部零配件及材料均为全新未曾使用过。设备免费保修期安装调试合格后</w:t>
      </w:r>
      <w:r>
        <w:rPr>
          <w:rFonts w:hint="eastAsia" w:ascii="宋体" w:hAnsi="宋体" w:cs="宋体"/>
          <w:color w:val="000000" w:themeColor="text1"/>
          <w:sz w:val="24"/>
          <w:szCs w:val="24"/>
          <w:u w:val="single"/>
        </w:rPr>
        <w:t xml:space="preserve">5年</w:t>
      </w:r>
      <w:r>
        <w:rPr>
          <w:rFonts w:hint="eastAsia" w:ascii="宋体" w:hAnsi="宋体" w:cs="宋体"/>
          <w:color w:val="000000" w:themeColor="text1"/>
          <w:sz w:val="24"/>
          <w:szCs w:val="24"/>
        </w:rPr>
        <w:t xml:space="preserve">。在此期间，若生产中存在设备问题，供应商及时到达采购人现场解决问题。</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5.2 采购人可到供应商工厂预验收，合格后收到发货款发货，供应商负责设备在采购人指定位置，进行安装、调试，能稳定工作。</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5.3 到货后1周内由供货方的技术人员到现场免费进行安装、调试。安装、调试及试运行后应达到承诺的技术指标。供货方需自备辅助设施,做好设备安装的前期准备工作，备齐所需的所有材料。</w:t>
      </w:r>
      <w:r/>
    </w:p>
    <w:p>
      <w:pPr>
        <w:ind w:firstLine="480"/>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5.4 供应商安装、调试时，采购人应给与必要的配合，保证相应的水、电、气等方面的供应。</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rFonts w:ascii="宋体" w:hAnsi="宋体" w:cs="宋体"/>
          <w:color w:val="000000" w:themeColor="text1"/>
          <w:sz w:val="24"/>
          <w:szCs w:val="24"/>
        </w:rPr>
        <w:t xml:space="preserve">.5</w:t>
      </w:r>
      <w:r>
        <w:rPr>
          <w:rFonts w:hint="eastAsia" w:ascii="宋体" w:hAnsi="宋体" w:cs="宋体"/>
          <w:color w:val="000000" w:themeColor="text1"/>
          <w:sz w:val="24"/>
          <w:szCs w:val="24"/>
        </w:rPr>
        <w:t xml:space="preserve"> </w:t>
      </w:r>
      <w:r>
        <w:rPr>
          <w:rFonts w:ascii="宋体" w:hAnsi="宋体" w:cs="宋体"/>
          <w:color w:val="000000" w:themeColor="text1"/>
          <w:sz w:val="24"/>
          <w:szCs w:val="24"/>
        </w:rPr>
        <w:t xml:space="preserve">质保期内免费更换零配件（人为损坏除外），质保期满后实行终身有偿维修保养。</w:t>
      </w:r>
      <w:r>
        <w:rPr>
          <w:rFonts w:hint="eastAsia" w:ascii="宋体" w:hAnsi="宋体" w:cs="宋体"/>
          <w:color w:val="000000" w:themeColor="text1"/>
          <w:sz w:val="24"/>
          <w:szCs w:val="24"/>
        </w:rPr>
        <w:t xml:space="preserve">供应商</w:t>
      </w:r>
      <w:r>
        <w:rPr>
          <w:rFonts w:ascii="宋体" w:hAnsi="宋体" w:cs="宋体"/>
          <w:color w:val="000000" w:themeColor="text1"/>
          <w:sz w:val="24"/>
          <w:szCs w:val="24"/>
        </w:rPr>
        <w:t xml:space="preserve">接到保修请求，维修应在2小时内响应，24小时内维修人员到达现场，排除故障；48小时内解决故障问题，恢复设备正常使用。必要时应向采购人提供应急备用设备。质保期后，</w:t>
      </w:r>
      <w:r>
        <w:rPr>
          <w:rFonts w:hint="eastAsia" w:ascii="宋体" w:hAnsi="宋体" w:cs="宋体"/>
          <w:color w:val="000000" w:themeColor="text1"/>
          <w:sz w:val="24"/>
          <w:szCs w:val="24"/>
        </w:rPr>
        <w:t xml:space="preserve">供应商</w:t>
      </w:r>
      <w:r>
        <w:rPr>
          <w:rFonts w:ascii="宋体" w:hAnsi="宋体" w:cs="宋体"/>
          <w:color w:val="000000" w:themeColor="text1"/>
          <w:sz w:val="24"/>
          <w:szCs w:val="24"/>
        </w:rPr>
        <w:t xml:space="preserve">提供终生服务，保证零配件的供给。</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rFonts w:ascii="宋体" w:hAnsi="宋体" w:cs="宋体"/>
          <w:color w:val="000000" w:themeColor="text1"/>
          <w:sz w:val="24"/>
          <w:szCs w:val="24"/>
        </w:rPr>
        <w:t xml:space="preserve">.6 因</w:t>
      </w:r>
      <w:r>
        <w:rPr>
          <w:rFonts w:hint="eastAsia" w:ascii="宋体" w:hAnsi="宋体" w:cs="宋体"/>
          <w:color w:val="000000" w:themeColor="text1"/>
          <w:sz w:val="24"/>
          <w:szCs w:val="24"/>
        </w:rPr>
        <w:t xml:space="preserve">供应商</w:t>
      </w:r>
      <w:r>
        <w:rPr>
          <w:rFonts w:ascii="宋体" w:hAnsi="宋体" w:cs="宋体"/>
          <w:color w:val="000000" w:themeColor="text1"/>
          <w:sz w:val="24"/>
          <w:szCs w:val="24"/>
        </w:rPr>
        <w:t xml:space="preserve">所提供的产品，造成采购人设备损坏或其他损失，以及其他第三方损失的，一经核实，</w:t>
      </w:r>
      <w:r>
        <w:rPr>
          <w:rFonts w:hint="eastAsia" w:ascii="宋体" w:hAnsi="宋体" w:cs="宋体"/>
          <w:color w:val="000000" w:themeColor="text1"/>
          <w:sz w:val="24"/>
          <w:szCs w:val="24"/>
        </w:rPr>
        <w:t xml:space="preserve">供应商</w:t>
      </w:r>
      <w:r>
        <w:rPr>
          <w:rFonts w:ascii="宋体" w:hAnsi="宋体" w:cs="宋体"/>
          <w:color w:val="000000" w:themeColor="text1"/>
          <w:sz w:val="24"/>
          <w:szCs w:val="24"/>
        </w:rPr>
        <w:t xml:space="preserve">必须赔偿采购人或第三方因此造成的所有损失。</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w:t>
      </w:r>
      <w:r>
        <w:rPr>
          <w:rFonts w:ascii="宋体" w:hAnsi="宋体" w:cs="宋体"/>
          <w:color w:val="000000" w:themeColor="text1"/>
          <w:sz w:val="24"/>
          <w:szCs w:val="24"/>
        </w:rPr>
        <w:t xml:space="preserve">.7.质保期过后，对于货物维修只收取基本材料备件费，不收取工时费。</w:t>
      </w:r>
      <w:r>
        <w:rPr>
          <w:rFonts w:hint="eastAsia" w:ascii="宋体" w:hAnsi="宋体" w:cs="宋体"/>
          <w:color w:val="000000" w:themeColor="text1"/>
          <w:sz w:val="24"/>
          <w:szCs w:val="24"/>
        </w:rPr>
        <w:t xml:space="preserve">提供设备关键配件清单（包括但不限于名称、型号、参考价格等）</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5.8</w:t>
      </w:r>
      <w:r>
        <w:rPr>
          <w:rFonts w:ascii="宋体" w:hAnsi="宋体" w:cs="宋体"/>
          <w:color w:val="000000" w:themeColor="text1"/>
          <w:sz w:val="24"/>
          <w:szCs w:val="24"/>
        </w:rPr>
        <w:t xml:space="preserve">.备件要求：</w:t>
      </w:r>
      <w:r/>
    </w:p>
    <w:p>
      <w:pPr>
        <w:ind w:firstLine="480"/>
        <w:spacing w:line="440" w:lineRule="exact"/>
        <w:rPr>
          <w:rFonts w:hint="eastAsia" w:ascii="宋体" w:hAnsi="宋体" w:cs="宋体"/>
          <w:color w:val="000000" w:themeColor="text1"/>
          <w:sz w:val="24"/>
          <w:szCs w:val="24"/>
        </w:rPr>
      </w:pP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供应商</w:t>
      </w:r>
      <w:r>
        <w:rPr>
          <w:rFonts w:ascii="宋体" w:hAnsi="宋体" w:cs="宋体"/>
          <w:color w:val="000000" w:themeColor="text1"/>
          <w:sz w:val="24"/>
          <w:szCs w:val="24"/>
        </w:rPr>
        <w:t xml:space="preserve">应设置备件库，存入所有必须的备件，保证必要时可以及时供应技术及维修服务。</w:t>
      </w:r>
      <w:r/>
    </w:p>
    <w:p>
      <w:pPr>
        <w:ind w:firstLine="480"/>
        <w:spacing w:line="440" w:lineRule="exact"/>
        <w:rPr>
          <w:rFonts w:hint="eastAsia" w:ascii="宋体" w:hAnsi="宋体" w:cs="宋体"/>
          <w:color w:val="000000" w:themeColor="text1"/>
          <w:sz w:val="24"/>
          <w:szCs w:val="24"/>
        </w:rPr>
      </w:pPr>
      <w:r>
        <w:rPr>
          <w:rFonts w:ascii="宋体" w:hAnsi="宋体" w:cs="宋体"/>
          <w:color w:val="000000" w:themeColor="text1"/>
          <w:sz w:val="24"/>
          <w:szCs w:val="24"/>
        </w:rPr>
        <w:t xml:space="preserve">（2）</w:t>
      </w:r>
      <w:r>
        <w:rPr>
          <w:rFonts w:hint="eastAsia" w:ascii="宋体" w:hAnsi="宋体" w:cs="宋体"/>
          <w:color w:val="000000" w:themeColor="text1"/>
          <w:sz w:val="24"/>
          <w:szCs w:val="24"/>
        </w:rPr>
        <w:t xml:space="preserve">供应商</w:t>
      </w:r>
      <w:r>
        <w:rPr>
          <w:rFonts w:ascii="宋体" w:hAnsi="宋体" w:cs="宋体"/>
          <w:color w:val="000000" w:themeColor="text1"/>
          <w:sz w:val="24"/>
          <w:szCs w:val="24"/>
        </w:rPr>
        <w:t xml:space="preserve">应配置工程技术人员，随时提供开箱验货、安装、调试或维修等服务。</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5.9培训要求：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在安装过程中或安装结束后，中标单位有义务对采购人提供正规培训（提供设备运行、调试、维护过程中必要的专用工具，以及对相关人员进行工艺设置、设备运行、调试和维护过程中相关的专用工具及软件使用的培训），直至操作人员掌握完成日常工作所需的基本操作方法及基本的维护保养操作技术为止。</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（2）对采购人员工进行设备安全培训。</w:t>
      </w:r>
      <w:r/>
    </w:p>
    <w:p>
      <w:pPr>
        <w:ind w:firstLine="480"/>
        <w:spacing w:line="360" w:lineRule="auto"/>
        <w:rPr>
          <w:rFonts w:hint="eastAsia" w:ascii="宋体" w:hAnsi="宋体" w:cs="宋体"/>
          <w:color w:val="000000" w:themeColor="text1"/>
          <w:sz w:val="24"/>
          <w:szCs w:val="24"/>
        </w:rPr>
      </w:pPr>
      <w:r>
        <w:rPr>
          <w:rFonts w:hint="eastAsia" w:ascii="宋体" w:hAnsi="宋体"/>
          <w:color w:val="000000" w:themeColor="text1"/>
          <w:sz w:val="24"/>
        </w:rPr>
        <w:t xml:space="preserve">（3）中标单位应免费提供一定数量的培训资料（用户手册、维护手册）。</w:t>
      </w:r>
      <w:r/>
    </w:p>
    <w:p>
      <w:pPr>
        <w:ind w:firstLine="482"/>
        <w:spacing w:line="440" w:lineRule="exact"/>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6、验收要求</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6.1 整机包装完整，配件数量齐全。                             </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6.2 通电开机运行检查系统性能 (功能正常，符合技术参数指标) 。</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6.3 设备安装后，采购人按相关标准及厂方标准进行质量验收。中标单位应</w:t>
      </w:r>
      <w:r>
        <w:rPr>
          <w:rFonts w:hint="eastAsia" w:ascii="宋体" w:hAnsi="宋体" w:cs="宋体"/>
          <w:color w:val="000000" w:themeColor="text1"/>
          <w:sz w:val="24"/>
          <w:szCs w:val="24"/>
        </w:rPr>
        <w:t xml:space="preserve">向采购人提供详细的验收标准、验收手册。只有在设备完全正常运转和采购人确认后，设备的安装工作才能认为已全部完成。</w:t>
      </w:r>
      <w:r>
        <w:rPr>
          <w:rFonts w:ascii="宋体" w:hAnsi="宋体" w:cs="宋体"/>
          <w:color w:val="000000" w:themeColor="text1"/>
          <w:sz w:val="24"/>
          <w:szCs w:val="24"/>
        </w:rPr>
        <w:t xml:space="preserve">由采购人组织联合验收小组验收。验收合格后，双方在《验收报告》上签字确认。</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6.4 验收过程中确认设备有质量问题或达不到采购文件技术要求的，由中标单位负责免费维修或更换，如维修或更换后仍无法达到采购文件及响应文件承诺的技术参数，采购人有权拒收并</w:t>
      </w:r>
      <w:r>
        <w:rPr>
          <w:rFonts w:ascii="宋体" w:hAnsi="宋体" w:cs="宋体"/>
          <w:color w:val="000000" w:themeColor="text1"/>
          <w:sz w:val="24"/>
          <w:szCs w:val="24"/>
        </w:rPr>
        <w:t xml:space="preserve">解除合同</w:t>
      </w:r>
      <w:r>
        <w:rPr>
          <w:rFonts w:hint="eastAsia" w:ascii="宋体" w:hAnsi="宋体" w:cs="宋体"/>
          <w:color w:val="000000" w:themeColor="text1"/>
          <w:sz w:val="24"/>
          <w:szCs w:val="24"/>
        </w:rPr>
        <w:t xml:space="preserve">，所有费用均由中标单位承担。</w:t>
      </w:r>
      <w:r/>
    </w:p>
    <w:p>
      <w:pPr>
        <w:pStyle w:val="908"/>
        <w:ind w:firstLine="482"/>
        <w:rPr>
          <w:rFonts w:hint="eastAsia" w:cs="宋体"/>
          <w:b/>
          <w:bCs/>
          <w:color w:val="000000" w:themeColor="text1"/>
        </w:rPr>
      </w:pPr>
      <w:r>
        <w:rPr>
          <w:rFonts w:hint="eastAsia" w:cs="宋体"/>
          <w:b/>
          <w:bCs/>
          <w:color w:val="000000" w:themeColor="text1"/>
        </w:rPr>
        <w:t xml:space="preserve">7、其他要求</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7.1  投标单位须保证所提供设备是全新的、未使用过的原厂正品，并完全符合招标文件规定的质量、规格和性能的要求。投标单位的投标文件必须对招标文件中所列明的各条技术要求做出明确响应，同时必须明确所投设备的品牌、型号、规格和外形、尺寸、重量及一些必须说明的技术参数。</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7.2 投标文件中列明的设备及元器件品牌、生产地、制造厂商、质量保证等必须符合相关标准和规范。</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7.3 本项目涉及的硬件设备及系统由中标单位负责测试、安装、调试等工作，投标文件中提供详细的测试、安装、调试方案。</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7.4 投标单位应保证本项目设备涉及到的知识产权和软件、技术资料是合法取得，并享有完整的知识产权或合法使用权，不会因为采购人的使用而被责令停止使用、追偿或要求赔偿损失，如出现此情况，一切经济和法律责任均由投标单位承担。</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7.5 投标单位应自行到现场了解项目情况，满足采购人指定应用范围内的所有要求，与设备有关的所有配套软件、辅材和安装内容全部包含在内，除采购人明确提出需要的变更外，不再增加任何费用。投标单位不得以本清单有缺陷为由漏项，导致整个系统或某项功能不能满足要求。</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7.6 投标单位所供产品在质量、性能、技术指标、技术参数等方面均应不低于招标文件的规定，并同时提交该材料 (设备) 在质量、性能、技术指标、技术参数等方面不低于招标文件要求的相关证明材料。若所投产品未达到招标文件要求，中标人必须无偿更换设备，直至达到项目要求，采购人不再承担任何费用与设备支持。</w:t>
      </w:r>
      <w:r/>
    </w:p>
    <w:p>
      <w:pPr>
        <w:ind w:firstLine="482"/>
        <w:spacing w:line="440" w:lineRule="exact"/>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8、安全要求</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8.1 中标单位应保证所供设备及系统不存在危及人身及财产安全的产品缺陷，否则应承担全部法律责任。</w:t>
      </w:r>
      <w:r/>
    </w:p>
    <w:p>
      <w:pPr>
        <w:ind w:firstLine="482"/>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8.2 在货物安装、运输过程中等产品交付前产生的一切安全责任事故由成交中标人承担，采购人不承担由此带来的一切经济、法律责任。</w:t>
      </w:r>
      <w:r/>
    </w:p>
    <w:p>
      <w:pPr>
        <w:ind w:firstLine="482"/>
        <w:spacing w:line="440" w:lineRule="exact"/>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9、报价要求</w:t>
      </w:r>
      <w:r/>
    </w:p>
    <w:p>
      <w:pPr>
        <w:ind w:firstLine="480"/>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本项目为</w:t>
      </w:r>
      <w:r>
        <w:rPr>
          <w:rFonts w:hint="eastAsia" w:ascii="宋体" w:hAnsi="宋体" w:cs="宋体"/>
          <w:color w:val="000000" w:themeColor="text1"/>
          <w:sz w:val="24"/>
          <w:szCs w:val="24"/>
          <w:u w:val="single"/>
        </w:rPr>
        <w:t xml:space="preserve">固定总价</w:t>
      </w:r>
      <w:r>
        <w:rPr>
          <w:rFonts w:hint="eastAsia" w:ascii="宋体" w:hAnsi="宋体" w:cs="宋体"/>
          <w:color w:val="000000" w:themeColor="text1"/>
          <w:sz w:val="24"/>
          <w:szCs w:val="24"/>
        </w:rPr>
        <w:t xml:space="preserve">，报价表上的价格为含税报价</w:t>
      </w:r>
      <w:r>
        <w:rPr>
          <w:rFonts w:hint="eastAsia" w:ascii="宋体" w:hAnsi="宋体" w:cs="宋体"/>
          <w:b/>
          <w:bCs/>
          <w:color w:val="000000" w:themeColor="text1"/>
          <w:sz w:val="24"/>
          <w:szCs w:val="24"/>
        </w:rPr>
        <w:t xml:space="preserve">。</w:t>
      </w:r>
      <w:r>
        <w:rPr>
          <w:rFonts w:hint="eastAsia" w:ascii="宋体" w:hAnsi="宋体" w:cs="宋体"/>
          <w:color w:val="000000" w:themeColor="text1"/>
          <w:sz w:val="24"/>
          <w:szCs w:val="24"/>
        </w:rPr>
        <w:t xml:space="preserve">响应报价应包括但不限于采购文件及其基本技术要求范围内相应产品供货前的准备（包括现场踏勘、技术核对等）、货物设计、制造、加工、全部设备、材料、附件、紧固件、随设备提供的备品备件、专用工具的价格(包括增值税、检验检测费) 、包装费、运杂费 (运抵采购人项目现场)、运输保险费、安装费、调试费、操作维护、人员培训费以及中标人认为需要的其他费用等。采购人不再支付其他任何费用。同时，除非合同条款中另有规定，否则，中标人所报价格在合同投标、实施期间不因市场变化因素而变动。</w:t>
      </w:r>
      <w:r/>
    </w:p>
    <w:p>
      <w:pPr>
        <w:ind w:firstLine="482"/>
        <w:spacing w:line="360" w:lineRule="auto"/>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10、付款方式：</w:t>
      </w:r>
      <w:r>
        <w:rPr>
          <w:rFonts w:hint="eastAsia" w:ascii="宋体" w:hAnsi="宋体" w:cs="宋体"/>
          <w:color w:val="000000" w:themeColor="text1"/>
          <w:sz w:val="24"/>
          <w:szCs w:val="24"/>
        </w:rPr>
        <w:t xml:space="preserve">安装调试结束后付合同款的20%，经采购方试用一年无质量问题后付至合同款的50%；剩余4年运维期，每年运维结束后支付合同金额的12.5%，四年付清所有运维款项。</w:t>
      </w:r>
      <w:r/>
    </w:p>
    <w:p>
      <w:pPr>
        <w:rPr>
          <w:rFonts w:hint="eastAsia" w:ascii="宋体" w:hAnsi="宋体"/>
          <w:b/>
          <w:bCs/>
          <w:color w:val="000000" w:themeColor="text1"/>
          <w:szCs w:val="21"/>
        </w:rPr>
      </w:pPr>
      <w:r>
        <w:rPr>
          <w:rFonts w:hint="eastAsia" w:ascii="宋体" w:hAnsi="宋体" w:cs="宋体"/>
          <w:b/>
          <w:bCs/>
          <w:color w:val="000000" w:themeColor="text1"/>
          <w:sz w:val="24"/>
          <w:szCs w:val="24"/>
        </w:rPr>
        <w:t xml:space="preserve">三、技术要求</w:t>
      </w:r>
      <w:r/>
    </w:p>
    <w:tbl>
      <w:tblPr>
        <w:tblW w:w="8662" w:type="dxa"/>
        <w:tblInd w:w="93" w:type="dxa"/>
        <w:tblLook w:val="04A0" w:firstRow="1" w:lastRow="0" w:firstColumn="1" w:lastColumn="0" w:noHBand="0" w:noVBand="1"/>
      </w:tblPr>
      <w:tblGrid>
        <w:gridCol w:w="437"/>
        <w:gridCol w:w="1096"/>
        <w:gridCol w:w="1096"/>
        <w:gridCol w:w="3925"/>
        <w:gridCol w:w="2108"/>
      </w:tblGrid>
      <w:tr>
        <w:trPr>
          <w:trHeight w:val="1104"/>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lang w:bidi="ar"/>
              </w:rPr>
              <w:t xml:space="preserve">子项目</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lang w:bidi="ar"/>
              </w:rPr>
              <w:t xml:space="preserve">主要技术参数及说明</w:t>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lang w:bidi="ar"/>
              </w:rPr>
              <w:t xml:space="preserve">备注</w:t>
            </w:r>
            <w:r/>
          </w:p>
        </w:tc>
      </w:tr>
      <w:tr>
        <w:trPr>
          <w:trHeight w:val="1274"/>
        </w:trPr>
        <w:tc>
          <w:tcPr>
            <w:tcBorders>
              <w:top w:val="single" w:color="000000" w:sz="4" w:space="0"/>
              <w:left w:val="single" w:color="000000" w:sz="4" w:space="0"/>
              <w:bottom w:val="single" w:color="000000" w:sz="4" w:space="0"/>
              <w:right w:val="single" w:color="000000" w:sz="4" w:space="0"/>
            </w:tcBorders>
            <w:tcW w:w="437"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焚烧炉炉体</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整体外形</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eastAsia="宋体" w:cs="宋体"/>
                <w:color w:val="000000" w:themeColor="text1"/>
                <w:sz w:val="22"/>
                <w:lang w:bidi="ar"/>
              </w:rPr>
              <w:t xml:space="preserve">▲</w:t>
            </w:r>
            <w:r>
              <w:rPr>
                <w:rFonts w:hint="eastAsia" w:ascii="宋体" w:hAnsi="宋体" w:cs="宋体"/>
                <w:color w:val="000000" w:themeColor="text1"/>
                <w:sz w:val="22"/>
                <w:lang w:bidi="ar"/>
              </w:rPr>
              <w:t xml:space="preserve">两台12门焚烧炉一字排列，中间设置一套共用设备房，两台焚烧炉对应的两套净化设备在中间对称布置，整体为长方体，总体长宽高尺寸：19m*4m*3.3m（局部设备房高3.8m）</w:t>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每侧炉门口上方防雨抛檐延展80cm；设备房抛檐每侧延展20cm.</w:t>
            </w:r>
            <w:r/>
          </w:p>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尺寸允许误差：±5%</w:t>
            </w:r>
            <w:r/>
          </w:p>
        </w:tc>
      </w:tr>
      <w:tr>
        <w:trPr>
          <w:trHeight w:val="2539"/>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相关尺寸</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1.每台12门焚烧炉炉体尺寸：长6.0m* 宽2.4m* 高3.3m；防雨抛檐高度2.6m,延展80cm。</w:t>
            </w:r>
            <w:r>
              <w:rPr>
                <w:rFonts w:hint="eastAsia" w:ascii="宋体" w:hAnsi="宋体" w:cs="宋体"/>
                <w:color w:val="000000" w:themeColor="text1"/>
                <w:sz w:val="22"/>
                <w:lang w:bidi="ar"/>
              </w:rPr>
              <w:br/>
              <w:t xml:space="preserve">2.单个拱形炉门大小：宽350mm*高400mm（拱顶高450-500mm），</w:t>
            </w:r>
            <w:r>
              <w:rPr>
                <w:rFonts w:hint="eastAsia" w:ascii="宋体" w:hAnsi="宋体" w:cs="宋体"/>
                <w:b/>
                <w:bCs/>
                <w:color w:val="000000" w:themeColor="text1"/>
                <w:sz w:val="22"/>
                <w:lang w:bidi="ar"/>
              </w:rPr>
              <w:t xml:space="preserve">一体浇筑成型并经淬火处理，无毛刺空洞</w:t>
            </w:r>
            <w:r>
              <w:rPr>
                <w:rFonts w:hint="eastAsia" w:ascii="宋体" w:hAnsi="宋体" w:cs="宋体"/>
                <w:color w:val="000000" w:themeColor="text1"/>
                <w:sz w:val="22"/>
                <w:lang w:bidi="ar"/>
              </w:rPr>
              <w:t xml:space="preserve">。</w:t>
            </w:r>
            <w:r>
              <w:rPr>
                <w:rFonts w:hint="eastAsia" w:ascii="宋体" w:hAnsi="宋体" w:cs="宋体"/>
                <w:color w:val="000000" w:themeColor="text1"/>
                <w:sz w:val="22"/>
                <w:lang w:bidi="ar"/>
              </w:rPr>
              <w:br/>
              <w:t xml:space="preserve">3.每个炉门配套防护门尺寸：宽450mm*高580mm，每扇防护门设置一个Ø100mm观火孔和防烫手柄。</w:t>
            </w:r>
            <w:r>
              <w:rPr>
                <w:rFonts w:hint="eastAsia" w:ascii="宋体" w:hAnsi="宋体" w:cs="宋体"/>
                <w:color w:val="000000" w:themeColor="text1"/>
                <w:sz w:val="22"/>
                <w:lang w:bidi="ar"/>
              </w:rPr>
              <w:br/>
              <w:t xml:space="preserve">4.</w:t>
            </w:r>
            <w:r>
              <w:rPr>
                <w:rFonts w:hint="eastAsia" w:ascii="宋体" w:hAnsi="宋体" w:cs="宋体"/>
                <w:b/>
                <w:bCs/>
                <w:color w:val="000000" w:themeColor="text1"/>
                <w:sz w:val="22"/>
                <w:lang w:bidi="ar"/>
              </w:rPr>
              <w:t xml:space="preserve">铸铁炉排</w:t>
            </w:r>
            <w:r>
              <w:rPr>
                <w:rFonts w:hint="eastAsia" w:ascii="宋体" w:hAnsi="宋体" w:cs="宋体"/>
                <w:color w:val="000000" w:themeColor="text1"/>
                <w:sz w:val="22"/>
                <w:lang w:bidi="ar"/>
              </w:rPr>
              <w:t xml:space="preserve">尺寸：长790mm*宽395mm*厚30mm。</w:t>
            </w:r>
            <w:r/>
          </w:p>
          <w:p>
            <w:pPr>
              <w:widowControl/>
              <w:rPr>
                <w:rFonts w:hint="eastAsia" w:ascii="宋体" w:hAnsi="宋体" w:cs="宋体"/>
                <w:color w:val="000000" w:themeColor="text1"/>
                <w:sz w:val="22"/>
              </w:rPr>
            </w:pPr>
            <w:r>
              <w:rPr>
                <w:rFonts w:hint="eastAsia" w:ascii="宋体" w:hAnsi="宋体" w:cs="宋体"/>
                <w:color w:val="000000" w:themeColor="text1"/>
                <w:sz w:val="22"/>
              </w:rPr>
              <w:t xml:space="preserve">5.</w:t>
            </w:r>
            <w:r>
              <w:rPr>
                <w:rFonts w:hint="eastAsia"/>
                <w:color w:val="000000" w:themeColor="text1"/>
              </w:rPr>
              <w:t xml:space="preserve"> </w:t>
            </w:r>
            <w:r>
              <w:rPr>
                <w:rFonts w:hint="eastAsia" w:ascii="宋体" w:hAnsi="宋体" w:cs="宋体"/>
                <w:color w:val="000000" w:themeColor="text1"/>
                <w:sz w:val="22"/>
              </w:rPr>
              <w:t xml:space="preserve">翻盖防护门的工作方式示意图如下（防烫手）</w:t>
            </w:r>
            <w:r>
              <w:rPr>
                <w:rFonts w:hint="eastAsia" w:ascii="宋体" w:hAnsi="宋体" w:cs="宋体"/>
                <w:color w:val="000000" w:themeColor="text1"/>
                <w:sz w:val="22"/>
              </w:rPr>
              <w:t xml:space="preserve">：</w:t>
            </w:r>
            <w:r/>
          </w:p>
          <w:p>
            <w:pPr>
              <w:widowControl/>
              <w:rPr>
                <w:color w:val="000000" w:themeColor="text1"/>
              </w:rPr>
            </w:pPr>
            <w:r>
              <w:rPr>
                <w:color w:val="000000" w:themeColor="text1"/>
              </w:rPr>
            </w:r>
            <w:r/>
          </w:p>
          <w:p>
            <w:pPr>
              <w:widowControl/>
              <w:rPr>
                <w:rFonts w:hint="eastAsia" w:ascii="宋体" w:hAnsi="宋体" w:cs="宋体"/>
                <w:color w:val="000000" w:themeColor="text1"/>
                <w:sz w:val="22"/>
              </w:rPr>
            </w:pPr>
            <w:r>
              <w:rPr>
                <w:color w:val="000000" w:themeColor="text1"/>
              </w:rPr>
              <mc:AlternateContent>
                <mc:Choice Requires="wpg">
                  <w:drawing>
                    <wp:inline xmlns:wp="http://schemas.openxmlformats.org/drawingml/2006/wordprocessingDrawing" distT="0" distB="0" distL="0" distR="0">
                      <wp:extent cx="1517650" cy="13716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52020" name=""/>
                              <pic:cNvPicPr>
                                <a:picLocks noChangeAspect="1"/>
                              </pic:cNvPicPr>
                              <pic:nvPr/>
                            </pic:nvPicPr>
                            <pic:blipFill>
                              <a:blip r:embed="rId15"/>
                              <a:srcRect l="18988" t="31645" r="5379" b="0"/>
                              <a:stretch/>
                            </pic:blipFill>
                            <pic:spPr bwMode="auto">
                              <a:xfrm>
                                <a:off x="0" y="0"/>
                                <a:ext cx="1517701" cy="13716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5pt;height:108.0pt;mso-wrap-distance-left:0.0pt;mso-wrap-distance-top:0.0pt;mso-wrap-distance-right:0.0pt;mso-wrap-distance-bottom:0.0pt;" stroked="f">
                      <v:path textboxrect="0,0,0,0"/>
                      <v:imagedata r:id="rId15" o:title=""/>
                    </v:shape>
                  </w:pict>
                </mc:Fallback>
              </mc:AlternateContent>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尺寸允许误差：±5%</w:t>
            </w:r>
            <w:r/>
          </w:p>
        </w:tc>
      </w:tr>
      <w:tr>
        <w:trPr>
          <w:trHeight w:val="958"/>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外表装饰</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eastAsia="宋体" w:cs="宋体"/>
                <w:color w:val="000000" w:themeColor="text1"/>
                <w:sz w:val="22"/>
                <w:lang w:bidi="ar"/>
              </w:rPr>
              <w:t xml:space="preserve">▲炉体表面装饰封板采用橘黄色和深灰色搭配的哑光效果彩色不锈钢装饰板材</w:t>
            </w:r>
            <w:r>
              <w:rPr>
                <w:rFonts w:hint="eastAsia" w:ascii="宋体" w:hAnsi="宋体" w:cs="宋体"/>
                <w:color w:val="000000" w:themeColor="text1"/>
                <w:sz w:val="22"/>
                <w:lang w:bidi="ar"/>
              </w:rPr>
              <w:t xml:space="preserve">，厚度≥1.2mm（提供生产厂家产品质量证明书）</w:t>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widowControl/>
              <w:rPr>
                <w:rFonts w:hint="eastAsia" w:ascii="宋体" w:hAnsi="宋体" w:cs="宋体"/>
                <w:b/>
                <w:bCs/>
                <w:color w:val="000000" w:themeColor="text1"/>
                <w:sz w:val="22"/>
              </w:rPr>
            </w:pPr>
            <w:r>
              <w:rPr>
                <w:rFonts w:hint="eastAsia" w:ascii="宋体" w:hAnsi="宋体" w:cs="宋体"/>
                <w:b/>
                <w:bCs/>
                <w:color w:val="000000" w:themeColor="text1"/>
                <w:sz w:val="22"/>
                <w:lang w:bidi="ar"/>
              </w:rPr>
              <w:t xml:space="preserve">炉体表面不能产生镜面反射及凹凸不平的漫射光感。</w:t>
            </w:r>
            <w:r/>
          </w:p>
        </w:tc>
      </w:tr>
      <w:tr>
        <w:trPr>
          <w:trHeight w:val="642"/>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烟囱</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采用耐高温优质碳钢板，厚度不小于3mm，离地高度不低于6.5m。</w:t>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预留尾气检测孔</w:t>
            </w:r>
            <w:r/>
          </w:p>
        </w:tc>
      </w:tr>
      <w:tr>
        <w:trPr>
          <w:trHeight w:val="642"/>
        </w:trPr>
        <w:tc>
          <w:tcPr>
            <w:tcBorders>
              <w:top w:val="single" w:color="000000" w:sz="4" w:space="0"/>
              <w:left w:val="single" w:color="000000" w:sz="4" w:space="0"/>
              <w:bottom w:val="single" w:color="000000" w:sz="4" w:space="0"/>
              <w:right w:val="single" w:color="000000" w:sz="4" w:space="0"/>
            </w:tcBorders>
            <w:tcW w:w="437"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设备房</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尺寸大小</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共用设备房尺寸：长7.0m* 宽3.6m* 高3.8m；两侧防雨抛檐延展20cm。</w:t>
            </w:r>
            <w:r/>
          </w:p>
        </w:tc>
        <w:tc>
          <w:tcPr>
            <w:tcBorders>
              <w:top w:val="single" w:color="000000" w:sz="4" w:space="0"/>
              <w:left w:val="single" w:color="000000" w:sz="4" w:space="0"/>
              <w:bottom w:val="single" w:color="000000" w:sz="4" w:space="0"/>
              <w:right w:val="single" w:color="000000" w:sz="4" w:space="0"/>
            </w:tcBorders>
            <w:tcW w:w="2108" w:type="dxa"/>
            <w:vAlign w:val="center"/>
            <w:vMerge w:val="restart"/>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设备房主体由钢架结构搭建，确保稳健牢固，采用彩钢板围挡封闭，局部采用铝合金百叶窗或透气格栅组成。尺寸允许误差：±5%</w:t>
            </w:r>
            <w:r/>
          </w:p>
        </w:tc>
      </w:tr>
      <w:tr>
        <w:trPr>
          <w:trHeight w:val="958"/>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散热通风系统</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设备房侧面两堵裙墙对称各安装一对换气排风扇（φ600mm），前后侧面对称一共配置四台轴流风机换气扇。</w:t>
            </w:r>
            <w:r/>
          </w:p>
        </w:tc>
        <w:tc>
          <w:tcPr>
            <w:tcBorders>
              <w:top w:val="single" w:color="000000" w:sz="4" w:space="0"/>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color w:val="000000" w:themeColor="text1"/>
                <w:sz w:val="22"/>
              </w:rPr>
            </w:pPr>
            <w:r>
              <w:rPr>
                <w:rFonts w:hint="eastAsia" w:ascii="宋体" w:hAnsi="宋体" w:cs="宋体"/>
                <w:color w:val="000000" w:themeColor="text1"/>
                <w:sz w:val="22"/>
              </w:rPr>
            </w:r>
            <w:r/>
          </w:p>
        </w:tc>
      </w:tr>
      <w:tr>
        <w:trPr>
          <w:trHeight w:val="642"/>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屋面雨水收集系统</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屋面采用小坡度不锈钢瓦楞板，确保经久不会生锈，内置雨水收集天沟和落水管路。</w:t>
            </w:r>
            <w:r/>
          </w:p>
        </w:tc>
        <w:tc>
          <w:tcPr>
            <w:tcBorders>
              <w:top w:val="single" w:color="000000" w:sz="4" w:space="0"/>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color w:val="000000" w:themeColor="text1"/>
                <w:sz w:val="22"/>
              </w:rPr>
            </w:pPr>
            <w:r>
              <w:rPr>
                <w:rFonts w:hint="eastAsia" w:ascii="宋体" w:hAnsi="宋体" w:cs="宋体"/>
                <w:color w:val="000000" w:themeColor="text1"/>
                <w:sz w:val="22"/>
              </w:rPr>
            </w:r>
            <w:r/>
          </w:p>
        </w:tc>
      </w:tr>
      <w:tr>
        <w:trPr>
          <w:trHeight w:val="642"/>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门锁</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设备房前后侧面对称配置2扇锁控门，尺寸：高1800mm*宽1000mm。</w:t>
            </w:r>
            <w:r/>
          </w:p>
        </w:tc>
        <w:tc>
          <w:tcPr>
            <w:tcBorders>
              <w:top w:val="single" w:color="000000" w:sz="4" w:space="0"/>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color w:val="000000" w:themeColor="text1"/>
                <w:sz w:val="22"/>
              </w:rPr>
            </w:pPr>
            <w:r>
              <w:rPr>
                <w:rFonts w:hint="eastAsia" w:ascii="宋体" w:hAnsi="宋体" w:cs="宋体"/>
                <w:color w:val="000000" w:themeColor="text1"/>
                <w:sz w:val="22"/>
              </w:rPr>
            </w:r>
            <w:r/>
          </w:p>
        </w:tc>
      </w:tr>
      <w:tr>
        <w:trPr>
          <w:trHeight w:val="326"/>
        </w:trPr>
        <w:tc>
          <w:tcPr>
            <w:tcBorders>
              <w:top w:val="single" w:color="000000" w:sz="4" w:space="0"/>
              <w:left w:val="single" w:color="000000" w:sz="4" w:space="0"/>
              <w:bottom w:val="single" w:color="000000" w:sz="4" w:space="0"/>
              <w:right w:val="single" w:color="000000" w:sz="4" w:space="0"/>
            </w:tcBorders>
            <w:tcW w:w="437"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附属配置</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洗手池</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2套不锈钢洗手池</w:t>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炉体两端对称分布</w:t>
            </w:r>
            <w:r/>
          </w:p>
        </w:tc>
      </w:tr>
      <w:tr>
        <w:trPr>
          <w:trHeight w:val="326"/>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避雷装置</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b/>
                <w:bCs/>
                <w:color w:val="000000" w:themeColor="text1"/>
                <w:sz w:val="22"/>
              </w:rPr>
            </w:pPr>
            <w:r>
              <w:rPr>
                <w:rFonts w:hint="eastAsia" w:ascii="宋体" w:hAnsi="宋体" w:cs="宋体"/>
                <w:b/>
                <w:bCs/>
                <w:color w:val="000000" w:themeColor="text1"/>
                <w:sz w:val="22"/>
                <w:lang w:bidi="ar"/>
              </w:rPr>
              <w:t xml:space="preserve">避雷装置采用1.5m深埋镀锌角铁</w:t>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安全接地零线</w:t>
            </w:r>
            <w:r/>
          </w:p>
        </w:tc>
      </w:tr>
      <w:tr>
        <w:trPr>
          <w:trHeight w:val="642"/>
        </w:trPr>
        <w:tc>
          <w:tcPr>
            <w:tcBorders>
              <w:top w:val="single" w:color="000000" w:sz="4" w:space="0"/>
              <w:left w:val="single" w:color="000000" w:sz="4" w:space="0"/>
              <w:bottom w:val="single" w:color="000000" w:sz="4" w:space="0"/>
              <w:right w:val="single" w:color="000000" w:sz="4" w:space="0"/>
            </w:tcBorders>
            <w:tcW w:w="437"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val="false"/>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lang w:bidi="ar"/>
              </w:rPr>
              <w:t xml:space="preserve">前置补风调温装置</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lang w:bidi="ar"/>
              </w:rPr>
              <w:t xml:space="preserve">温度感应器</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耐温阈值1200℃；风量阈值＜8000m³/h.</w:t>
            </w:r>
            <w:r/>
          </w:p>
        </w:tc>
        <w:tc>
          <w:tcPr>
            <w:tcBorders>
              <w:top w:val="single" w:color="000000" w:sz="4" w:space="0"/>
              <w:left w:val="single" w:color="000000" w:sz="4" w:space="0"/>
              <w:bottom w:val="single" w:color="000000" w:sz="4" w:space="0"/>
              <w:right w:val="single" w:color="000000" w:sz="4" w:space="0"/>
            </w:tcBorders>
            <w:tcW w:w="2108" w:type="dxa"/>
            <w:vAlign w:val="center"/>
            <w:vMerge w:val="restart"/>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耦合时间＜0.1s</w:t>
            </w:r>
            <w:r/>
          </w:p>
        </w:tc>
      </w:tr>
      <w:tr>
        <w:trPr>
          <w:trHeight w:val="326"/>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cs="宋体"/>
                <w:b/>
                <w:bCs/>
                <w:color w:val="000000" w:themeColor="text1"/>
                <w:sz w:val="22"/>
              </w:rPr>
            </w:pPr>
            <w:r>
              <w:rPr>
                <w:rFonts w:hint="eastAsia" w:ascii="宋体" w:hAnsi="宋体" w:cs="宋体"/>
                <w:b/>
                <w:bCs/>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电动阀门</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开度：0-90°</w:t>
            </w:r>
            <w:r/>
          </w:p>
        </w:tc>
        <w:tc>
          <w:tcPr>
            <w:tcBorders>
              <w:top w:val="single" w:color="000000" w:sz="4" w:space="0"/>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color w:val="000000" w:themeColor="text1"/>
                <w:sz w:val="22"/>
              </w:rPr>
            </w:pPr>
            <w:r>
              <w:rPr>
                <w:rFonts w:hint="eastAsia" w:ascii="宋体" w:hAnsi="宋体" w:cs="宋体"/>
                <w:color w:val="000000" w:themeColor="text1"/>
                <w:sz w:val="22"/>
              </w:rPr>
            </w:r>
            <w:r/>
          </w:p>
        </w:tc>
      </w:tr>
      <w:tr>
        <w:trPr>
          <w:trHeight w:val="326"/>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cs="宋体"/>
                <w:b/>
                <w:bCs/>
                <w:color w:val="000000" w:themeColor="text1"/>
                <w:sz w:val="22"/>
              </w:rPr>
            </w:pPr>
            <w:r>
              <w:rPr>
                <w:rFonts w:hint="eastAsia" w:ascii="宋体" w:hAnsi="宋体" w:cs="宋体"/>
                <w:b/>
                <w:bCs/>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控制器</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b/>
                <w:bCs/>
                <w:color w:val="000000" w:themeColor="text1"/>
                <w:sz w:val="22"/>
              </w:rPr>
            </w:pPr>
            <w:r>
              <w:rPr>
                <w:rFonts w:hint="eastAsia" w:ascii="宋体" w:hAnsi="宋体" w:cs="宋体"/>
                <w:b/>
                <w:bCs/>
                <w:color w:val="000000" w:themeColor="text1"/>
                <w:sz w:val="22"/>
                <w:lang w:bidi="ar"/>
              </w:rPr>
              <w:t xml:space="preserve">联动风机变频控制,变频器型号25kw.</w:t>
            </w:r>
            <w:r/>
          </w:p>
        </w:tc>
        <w:tc>
          <w:tcPr>
            <w:tcBorders>
              <w:top w:val="single" w:color="000000" w:sz="4" w:space="0"/>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color w:val="000000" w:themeColor="text1"/>
                <w:sz w:val="22"/>
              </w:rPr>
            </w:pPr>
            <w:r>
              <w:rPr>
                <w:rFonts w:hint="eastAsia" w:ascii="宋体" w:hAnsi="宋体" w:cs="宋体"/>
                <w:color w:val="000000" w:themeColor="text1"/>
                <w:sz w:val="22"/>
              </w:rPr>
            </w:r>
            <w:r/>
          </w:p>
        </w:tc>
      </w:tr>
      <w:tr>
        <w:trPr>
          <w:trHeight w:val="1906"/>
        </w:trPr>
        <w:tc>
          <w:tcPr>
            <w:tcBorders>
              <w:top w:val="single" w:color="000000" w:sz="4" w:space="0"/>
              <w:left w:val="single" w:color="000000" w:sz="4" w:space="0"/>
              <w:bottom w:val="none" w:color="000000" w:sz="4" w:space="0"/>
              <w:right w:val="single" w:color="000000" w:sz="4" w:space="0"/>
            </w:tcBorders>
            <w:tcW w:w="437"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5</w:t>
            </w:r>
            <w:r/>
          </w:p>
        </w:tc>
        <w:tc>
          <w:tcPr>
            <w:tcBorders>
              <w:top w:val="single" w:color="000000" w:sz="4" w:space="0"/>
              <w:left w:val="single" w:color="000000" w:sz="4" w:space="0"/>
              <w:bottom w:val="none" w:color="000000" w:sz="4" w:space="0"/>
              <w:right w:val="single" w:color="000000" w:sz="4" w:space="0"/>
            </w:tcBorders>
            <w:tcW w:w="1096"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组合式烟尘净化器</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多管除尘器</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1.尺寸：长1220mm*宽1220mm*高3200mm；</w:t>
            </w:r>
            <w:r>
              <w:rPr>
                <w:rFonts w:hint="eastAsia" w:ascii="宋体" w:hAnsi="宋体" w:cs="宋体"/>
                <w:color w:val="000000" w:themeColor="text1"/>
                <w:sz w:val="22"/>
                <w:lang w:bidi="ar"/>
              </w:rPr>
              <w:br/>
              <w:t xml:space="preserve">2.陶瓷内芯，耐高温浇注料填充固定；</w:t>
            </w:r>
            <w:r>
              <w:rPr>
                <w:rFonts w:hint="eastAsia" w:ascii="宋体" w:hAnsi="宋体" w:cs="宋体"/>
                <w:color w:val="000000" w:themeColor="text1"/>
                <w:sz w:val="22"/>
                <w:lang w:bidi="ar"/>
              </w:rPr>
              <w:br/>
              <w:t xml:space="preserve">3.合金钢板壳体，厚度＞3mm；</w:t>
            </w:r>
            <w:r>
              <w:rPr>
                <w:rFonts w:hint="eastAsia" w:ascii="宋体" w:hAnsi="宋体" w:cs="宋体"/>
                <w:color w:val="000000" w:themeColor="text1"/>
                <w:sz w:val="22"/>
                <w:lang w:bidi="ar"/>
              </w:rPr>
              <w:br/>
              <w:t xml:space="preserve">4.进出风口连接尺寸：1000mm*300mm；</w:t>
            </w:r>
            <w:r>
              <w:rPr>
                <w:rFonts w:hint="eastAsia" w:ascii="宋体" w:hAnsi="宋体" w:cs="宋体"/>
                <w:color w:val="000000" w:themeColor="text1"/>
                <w:sz w:val="22"/>
                <w:lang w:bidi="ar"/>
              </w:rPr>
              <w:br/>
              <w:t xml:space="preserve">5.处理风量＞12000m³/h；</w:t>
            </w:r>
            <w:r>
              <w:rPr>
                <w:rFonts w:hint="eastAsia" w:ascii="宋体" w:hAnsi="宋体" w:cs="宋体"/>
                <w:color w:val="000000" w:themeColor="text1"/>
                <w:sz w:val="22"/>
                <w:lang w:bidi="ar"/>
              </w:rPr>
              <w:br/>
              <w:t xml:space="preserve">6.风阻＜1000Pa..漏风率＜3%.</w:t>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8管阵列</w:t>
            </w:r>
            <w:r/>
          </w:p>
        </w:tc>
      </w:tr>
      <w:tr>
        <w:trPr/>
        <w:tc>
          <w:tcPr>
            <w:tcBorders>
              <w:top w:val="single" w:color="000000" w:sz="4" w:space="0"/>
              <w:left w:val="single" w:color="000000" w:sz="4" w:space="0"/>
              <w:bottom w:val="non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none" w:color="000000" w:sz="4" w:space="0"/>
              <w:right w:val="single" w:color="000000" w:sz="4" w:space="0"/>
            </w:tcBorders>
            <w:tcW w:w="1096"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旋风除尘器</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1.尺寸：φ1150mm*高3400mm；</w:t>
            </w:r>
            <w:r>
              <w:rPr>
                <w:rFonts w:hint="eastAsia" w:ascii="宋体" w:hAnsi="宋体" w:cs="宋体"/>
                <w:color w:val="000000" w:themeColor="text1"/>
                <w:sz w:val="22"/>
                <w:lang w:bidi="ar"/>
              </w:rPr>
              <w:br/>
              <w:t xml:space="preserve">2.合金钢板壳体，厚度＞3mm；</w:t>
            </w:r>
            <w:r>
              <w:rPr>
                <w:rFonts w:hint="eastAsia" w:ascii="宋体" w:hAnsi="宋体" w:cs="宋体"/>
                <w:color w:val="000000" w:themeColor="text1"/>
                <w:sz w:val="22"/>
                <w:lang w:bidi="ar"/>
              </w:rPr>
              <w:br/>
              <w:t xml:space="preserve">3.进风口尺寸：500mm*550mm出风口尺寸：300mm*900mm；</w:t>
            </w:r>
            <w:r>
              <w:rPr>
                <w:rFonts w:hint="eastAsia" w:ascii="宋体" w:hAnsi="宋体" w:cs="宋体"/>
                <w:color w:val="000000" w:themeColor="text1"/>
                <w:sz w:val="22"/>
                <w:lang w:bidi="ar"/>
              </w:rPr>
              <w:br/>
              <w:t xml:space="preserve">4.处理风量＞15000m³/h；</w:t>
            </w:r>
            <w:r>
              <w:rPr>
                <w:rFonts w:hint="eastAsia" w:ascii="宋体" w:hAnsi="宋体" w:cs="宋体"/>
                <w:color w:val="000000" w:themeColor="text1"/>
                <w:sz w:val="22"/>
                <w:lang w:bidi="ar"/>
              </w:rPr>
              <w:br/>
              <w:t xml:space="preserve">5.风阻＜300Pa.漏风率＜3%.</w:t>
            </w:r>
            <w:r>
              <w:rPr>
                <w:rFonts w:hint="eastAsia" w:ascii="宋体" w:hAnsi="宋体" w:cs="宋体"/>
                <w:color w:val="000000" w:themeColor="text1"/>
                <w:sz w:val="22"/>
                <w:lang w:bidi="ar"/>
              </w:rPr>
              <w:br/>
            </w:r>
            <w:r>
              <w:rPr>
                <w:rFonts w:hint="eastAsia" w:ascii="宋体" w:hAnsi="宋体" w:cs="宋体"/>
                <w:color w:val="000000" w:themeColor="text1"/>
                <w:sz w:val="22"/>
                <w:lang w:bidi="ar"/>
              </w:rPr>
              <w:t xml:space="preserve">6.进出口流速：10-16m/s；</w:t>
            </w:r>
            <w:r>
              <w:rPr>
                <w:rFonts w:hint="eastAsia" w:ascii="宋体" w:hAnsi="宋体" w:cs="宋体"/>
                <w:color w:val="000000" w:themeColor="text1"/>
                <w:sz w:val="22"/>
                <w:lang w:bidi="ar"/>
              </w:rPr>
              <w:br/>
              <w:t xml:space="preserve">7.除尘效率＞90%.</w:t>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内柱体φ600mm</w:t>
            </w:r>
            <w:r/>
          </w:p>
        </w:tc>
      </w:tr>
      <w:tr>
        <w:trPr>
          <w:trHeight w:val="1925"/>
        </w:trPr>
        <w:tc>
          <w:tcPr>
            <w:tcBorders>
              <w:top w:val="single" w:color="000000" w:sz="4" w:space="0"/>
              <w:left w:val="single" w:color="000000" w:sz="4" w:space="0"/>
              <w:bottom w:val="non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none" w:color="000000" w:sz="4" w:space="0"/>
              <w:right w:val="single" w:color="000000" w:sz="4" w:space="0"/>
            </w:tcBorders>
            <w:tcW w:w="1096"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non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火花拦截器</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1.尺寸：长1000mm*宽1000*高3000mm；</w:t>
            </w:r>
            <w:r>
              <w:rPr>
                <w:rFonts w:hint="eastAsia" w:ascii="宋体" w:hAnsi="宋体" w:cs="宋体"/>
                <w:color w:val="000000" w:themeColor="text1"/>
                <w:sz w:val="22"/>
                <w:lang w:bidi="ar"/>
              </w:rPr>
              <w:br/>
              <w:t xml:space="preserve">2.合金钢板壳体，厚度＞3mm；</w:t>
            </w:r>
            <w:r>
              <w:rPr>
                <w:rFonts w:hint="eastAsia" w:ascii="宋体" w:hAnsi="宋体" w:cs="宋体"/>
                <w:color w:val="000000" w:themeColor="text1"/>
                <w:sz w:val="22"/>
                <w:lang w:bidi="ar"/>
              </w:rPr>
              <w:br/>
              <w:t xml:space="preserve">3.进风口尺寸：300mm*900mm；出风口尺寸：φ500mm；</w:t>
            </w:r>
            <w:r>
              <w:rPr>
                <w:rFonts w:hint="eastAsia" w:ascii="宋体" w:hAnsi="宋体" w:cs="宋体"/>
                <w:color w:val="000000" w:themeColor="text1"/>
                <w:sz w:val="22"/>
                <w:lang w:bidi="ar"/>
              </w:rPr>
              <w:br/>
              <w:t xml:space="preserve">4.处理风量＞15000m³/h；</w:t>
            </w:r>
            <w:r>
              <w:rPr>
                <w:rFonts w:hint="eastAsia" w:ascii="宋体" w:hAnsi="宋体" w:cs="宋体"/>
                <w:color w:val="000000" w:themeColor="text1"/>
                <w:sz w:val="22"/>
                <w:lang w:bidi="ar"/>
              </w:rPr>
              <w:br/>
              <w:t xml:space="preserve">5.风阻＜500Pa.漏风率＜2%.</w:t>
            </w:r>
            <w:r>
              <w:rPr>
                <w:rFonts w:hint="eastAsia" w:ascii="宋体" w:hAnsi="宋体" w:cs="宋体"/>
                <w:color w:val="000000" w:themeColor="text1"/>
                <w:sz w:val="22"/>
                <w:lang w:bidi="ar"/>
              </w:rPr>
              <w:br/>
              <w:t xml:space="preserve">6.拦截效率＞95%.</w:t>
            </w:r>
            <w:r/>
          </w:p>
        </w:tc>
        <w:tc>
          <w:tcPr>
            <w:tcBorders>
              <w:top w:val="single" w:color="000000" w:sz="4" w:space="0"/>
              <w:left w:val="single" w:color="000000" w:sz="4" w:space="0"/>
              <w:bottom w:val="none" w:color="000000" w:sz="4" w:space="0"/>
              <w:right w:val="single" w:color="000000" w:sz="4" w:space="0"/>
            </w:tcBorders>
            <w:tcW w:w="2108"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上圆下方造型；插板式高温合金滤网；配置清灰装置</w:t>
            </w:r>
            <w:r/>
          </w:p>
        </w:tc>
      </w:tr>
      <w:tr>
        <w:trPr>
          <w:trHeight w:val="3109"/>
        </w:trPr>
        <w:tc>
          <w:tcPr>
            <w:tcBorders>
              <w:top w:val="single" w:color="000000" w:sz="4" w:space="0"/>
              <w:left w:val="single" w:color="000000" w:sz="4" w:space="0"/>
              <w:bottom w:val="single" w:color="000000" w:sz="4" w:space="0"/>
              <w:right w:val="single" w:color="000000" w:sz="4" w:space="0"/>
            </w:tcBorders>
            <w:tcW w:w="437"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引射排放系统</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专用耐高温离心风机</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15kw；处理风量10000-12000m³/h</w:t>
            </w:r>
            <w:r/>
          </w:p>
        </w:tc>
        <w:tc>
          <w:tcPr>
            <w:tcBorders>
              <w:top w:val="single" w:color="000000" w:sz="4" w:space="0"/>
              <w:left w:val="single" w:color="000000" w:sz="4" w:space="0"/>
              <w:right w:val="single" w:color="000000" w:sz="4" w:space="0"/>
            </w:tcBorders>
            <w:tcW w:w="2108" w:type="dxa"/>
            <w:vAlign w:val="center"/>
            <w:vMerge w:val="restart"/>
            <w:textDirection w:val="lrTb"/>
            <w:noWrap w:val="false"/>
          </w:tcPr>
          <w:p>
            <w:pPr>
              <w:widowControl/>
              <w:rPr>
                <w:rFonts w:hint="eastAsia" w:ascii="宋体" w:hAnsi="宋体" w:cs="宋体"/>
                <w:b/>
                <w:bCs/>
                <w:color w:val="000000" w:themeColor="text1"/>
                <w:sz w:val="22"/>
              </w:rPr>
            </w:pPr>
            <w:r>
              <w:rPr>
                <w:rFonts w:hint="eastAsia" w:ascii="宋体" w:hAnsi="宋体" w:cs="宋体"/>
                <w:b/>
                <w:bCs/>
                <w:color w:val="000000" w:themeColor="text1"/>
                <w:sz w:val="22"/>
                <w:lang w:bidi="ar"/>
              </w:rPr>
              <w:t xml:space="preserve">①耐高温防烫设计：采用双层隔热材料制作，有效阻止热传导，确保风机外壳不烫手；</w:t>
            </w:r>
            <w:r>
              <w:rPr>
                <w:rFonts w:hint="eastAsia" w:ascii="宋体" w:hAnsi="宋体" w:cs="宋体"/>
                <w:b/>
                <w:bCs/>
                <w:color w:val="000000" w:themeColor="text1"/>
                <w:sz w:val="22"/>
                <w:lang w:bidi="ar"/>
              </w:rPr>
              <w:br/>
              <w:t xml:space="preserve">②叶轮采用耐高温不锈钢制作，经久耐用；</w:t>
            </w:r>
            <w:r>
              <w:rPr>
                <w:rFonts w:hint="eastAsia" w:ascii="宋体" w:hAnsi="宋体" w:cs="宋体"/>
                <w:b/>
                <w:bCs/>
                <w:color w:val="000000" w:themeColor="text1"/>
                <w:sz w:val="22"/>
                <w:lang w:bidi="ar"/>
              </w:rPr>
              <w:br/>
              <w:t xml:space="preserve">③风机转速：1450r/min，相较普通风机2900r/min转速，增大扭矩，更加平稳，有效降低噪音。</w:t>
            </w:r>
            <w:r>
              <w:rPr>
                <w:rFonts w:hint="eastAsia" w:ascii="宋体" w:hAnsi="宋体" w:cs="宋体"/>
                <w:b/>
                <w:bCs/>
                <w:color w:val="000000" w:themeColor="text1"/>
                <w:sz w:val="22"/>
                <w:lang w:bidi="ar"/>
              </w:rPr>
              <w:br/>
              <w:t xml:space="preserve">④风机转速与炉膛温度随时匹配，高温高速，低温低速。</w:t>
            </w:r>
            <w:r/>
          </w:p>
        </w:tc>
      </w:tr>
      <w:tr>
        <w:trPr>
          <w:trHeight w:val="642"/>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变频控制器</w:t>
            </w:r>
            <w:r/>
          </w:p>
        </w:tc>
        <w:tc>
          <w:tcPr>
            <w:tcBorders>
              <w:top w:val="single" w:color="000000" w:sz="4" w:space="0"/>
              <w:left w:val="single" w:color="000000" w:sz="4" w:space="0"/>
              <w:bottom w:val="single" w:color="000000" w:sz="4" w:space="0"/>
              <w:right w:val="non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确保炉膛区间负压：-10pa至-150pa之间。</w:t>
            </w:r>
            <w:r/>
          </w:p>
        </w:tc>
        <w:tc>
          <w:tcPr>
            <w:tcBorders>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b/>
                <w:bCs/>
                <w:color w:val="000000" w:themeColor="text1"/>
                <w:sz w:val="22"/>
              </w:rPr>
            </w:pPr>
            <w:r>
              <w:rPr>
                <w:rFonts w:hint="eastAsia" w:ascii="宋体" w:hAnsi="宋体" w:cs="宋体"/>
                <w:b/>
                <w:bCs/>
                <w:color w:val="000000" w:themeColor="text1"/>
                <w:sz w:val="22"/>
              </w:rPr>
            </w:r>
            <w:r/>
          </w:p>
        </w:tc>
      </w:tr>
      <w:tr>
        <w:trPr>
          <w:trHeight w:val="958"/>
        </w:trPr>
        <w:tc>
          <w:tcPr>
            <w:tcBorders>
              <w:top w:val="single" w:color="000000" w:sz="4" w:space="0"/>
              <w:left w:val="single" w:color="000000" w:sz="4" w:space="0"/>
              <w:bottom w:val="single" w:color="000000" w:sz="4" w:space="0"/>
              <w:right w:val="single" w:color="000000" w:sz="4" w:space="0"/>
            </w:tcBorders>
            <w:tcW w:w="437"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电控系统</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电控柜</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1.PLC可编程控制系统；</w:t>
            </w:r>
            <w:r>
              <w:rPr>
                <w:rFonts w:hint="eastAsia" w:ascii="宋体" w:hAnsi="宋体" w:cs="宋体"/>
                <w:color w:val="000000" w:themeColor="text1"/>
                <w:sz w:val="22"/>
                <w:lang w:bidi="ar"/>
              </w:rPr>
              <w:br/>
              <w:t xml:space="preserve">2.彩显液晶触摸屏（10寸）；</w:t>
            </w:r>
            <w:r>
              <w:rPr>
                <w:rFonts w:hint="eastAsia" w:ascii="宋体" w:hAnsi="宋体" w:cs="宋体"/>
                <w:color w:val="000000" w:themeColor="text1"/>
                <w:sz w:val="22"/>
                <w:lang w:bidi="ar"/>
              </w:rPr>
              <w:br/>
              <w:t xml:space="preserve">3.多功能集成。</w:t>
            </w:r>
            <w:r/>
          </w:p>
        </w:tc>
        <w:tc>
          <w:tcPr>
            <w:tcBorders>
              <w:top w:val="none" w:color="000000" w:sz="4" w:space="0"/>
              <w:left w:val="single" w:color="000000" w:sz="4" w:space="0"/>
              <w:bottom w:val="single" w:color="000000" w:sz="4" w:space="0"/>
              <w:right w:val="single" w:color="000000" w:sz="4" w:space="0"/>
            </w:tcBorders>
            <w:tcW w:w="2108" w:type="dxa"/>
            <w:vAlign w:val="center"/>
            <w:vMerge w:val="restart"/>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自动和人工控制切换模式。</w:t>
            </w:r>
            <w:r/>
          </w:p>
        </w:tc>
      </w:tr>
      <w:tr>
        <w:trPr>
          <w:trHeight w:val="958"/>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按钮开关</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1.双按钮防水开关；</w:t>
            </w:r>
            <w:r>
              <w:rPr>
                <w:rFonts w:hint="eastAsia" w:ascii="宋体" w:hAnsi="宋体" w:cs="宋体"/>
                <w:color w:val="000000" w:themeColor="text1"/>
                <w:sz w:val="22"/>
                <w:lang w:bidi="ar"/>
              </w:rPr>
              <w:br/>
              <w:t xml:space="preserve">2.联锁PLC电控总柜；</w:t>
            </w:r>
            <w:r>
              <w:rPr>
                <w:rFonts w:hint="eastAsia" w:ascii="宋体" w:hAnsi="宋体" w:cs="宋体"/>
                <w:color w:val="000000" w:themeColor="text1"/>
                <w:sz w:val="22"/>
                <w:lang w:bidi="ar"/>
              </w:rPr>
              <w:br/>
              <w:t xml:space="preserve">3.急停防护保护。</w:t>
            </w:r>
            <w:r/>
          </w:p>
        </w:tc>
        <w:tc>
          <w:tcPr>
            <w:tcBorders>
              <w:top w:val="none" w:color="000000" w:sz="4" w:space="0"/>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color w:val="000000" w:themeColor="text1"/>
                <w:sz w:val="22"/>
              </w:rPr>
            </w:pPr>
            <w:r>
              <w:rPr>
                <w:rFonts w:hint="eastAsia" w:ascii="宋体" w:hAnsi="宋体" w:cs="宋体"/>
                <w:color w:val="000000" w:themeColor="text1"/>
                <w:sz w:val="22"/>
              </w:rPr>
            </w:r>
            <w:r/>
          </w:p>
        </w:tc>
      </w:tr>
      <w:tr>
        <w:trPr>
          <w:trHeight w:val="642"/>
        </w:trPr>
        <w:tc>
          <w:tcPr>
            <w:tcBorders>
              <w:top w:val="single" w:color="000000" w:sz="4" w:space="0"/>
              <w:left w:val="single" w:color="000000" w:sz="4" w:space="0"/>
              <w:bottom w:val="single" w:color="000000" w:sz="4" w:space="0"/>
              <w:right w:val="single" w:color="000000" w:sz="4" w:space="0"/>
            </w:tcBorders>
            <w:tcW w:w="437"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延时关机装置</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可调延时区间：0-24h。</w:t>
            </w:r>
            <w:r/>
          </w:p>
        </w:tc>
        <w:tc>
          <w:tcPr>
            <w:tcBorders>
              <w:top w:val="none" w:color="000000" w:sz="4" w:space="0"/>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color w:val="000000" w:themeColor="text1"/>
                <w:sz w:val="22"/>
              </w:rPr>
            </w:pPr>
            <w:r>
              <w:rPr>
                <w:rFonts w:hint="eastAsia" w:ascii="宋体" w:hAnsi="宋体" w:cs="宋体"/>
                <w:color w:val="000000" w:themeColor="text1"/>
                <w:sz w:val="22"/>
              </w:rPr>
            </w:r>
            <w:r/>
          </w:p>
        </w:tc>
      </w:tr>
      <w:tr>
        <w:trPr>
          <w:trHeight w:val="326"/>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功能指标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处理能力</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≮250Kg/h但≯500Kg/h。</w:t>
            </w:r>
            <w:r/>
          </w:p>
        </w:tc>
        <w:tc>
          <w:tcPr>
            <w:tcBorders>
              <w:top w:val="single" w:color="000000" w:sz="4" w:space="0"/>
              <w:left w:val="single" w:color="000000" w:sz="4" w:space="0"/>
              <w:bottom w:val="single" w:color="000000" w:sz="4" w:space="0"/>
              <w:right w:val="single" w:color="000000" w:sz="4" w:space="0"/>
            </w:tcBorders>
            <w:tcW w:w="2108" w:type="dxa"/>
            <w:vAlign w:val="center"/>
            <w:vMerge w:val="restart"/>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实际效果满足国标GB13801-2015验收标准</w:t>
            </w:r>
            <w:r/>
          </w:p>
        </w:tc>
      </w:tr>
      <w:tr>
        <w:trPr>
          <w:trHeight w:val="32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处理效率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除渣率达95%以上，残渣冗余量≤5%</w:t>
            </w:r>
            <w:r/>
          </w:p>
        </w:tc>
        <w:tc>
          <w:tcPr>
            <w:tcBorders>
              <w:top w:val="single" w:color="000000" w:sz="4" w:space="0"/>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color w:val="000000" w:themeColor="text1"/>
                <w:sz w:val="22"/>
              </w:rPr>
            </w:pPr>
            <w:r>
              <w:rPr>
                <w:rFonts w:hint="eastAsia" w:ascii="宋体" w:hAnsi="宋体" w:cs="宋体"/>
                <w:color w:val="000000" w:themeColor="text1"/>
                <w:sz w:val="22"/>
              </w:rPr>
            </w:r>
            <w:r/>
          </w:p>
        </w:tc>
      </w:tr>
      <w:tr>
        <w:trPr>
          <w:trHeight w:val="64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质保期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质保期5年。</w:t>
            </w:r>
            <w:r/>
          </w:p>
        </w:tc>
        <w:tc>
          <w:tcPr>
            <w:tcBorders>
              <w:top w:val="single" w:color="000000" w:sz="4" w:space="0"/>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color w:val="000000" w:themeColor="text1"/>
                <w:sz w:val="22"/>
              </w:rPr>
            </w:pPr>
            <w:r>
              <w:rPr>
                <w:rFonts w:hint="eastAsia" w:ascii="宋体" w:hAnsi="宋体" w:cs="宋体"/>
                <w:color w:val="000000" w:themeColor="text1"/>
                <w:sz w:val="22"/>
              </w:rPr>
            </w:r>
            <w:r/>
          </w:p>
        </w:tc>
      </w:tr>
      <w:tr>
        <w:trPr>
          <w:trHeight w:val="32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噪音控制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整机不大于70分贝。</w:t>
            </w:r>
            <w:r/>
          </w:p>
        </w:tc>
        <w:tc>
          <w:tcPr>
            <w:tcBorders>
              <w:top w:val="single" w:color="000000" w:sz="4" w:space="0"/>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color w:val="000000" w:themeColor="text1"/>
                <w:sz w:val="22"/>
              </w:rPr>
            </w:pPr>
            <w:r>
              <w:rPr>
                <w:rFonts w:hint="eastAsia" w:ascii="宋体" w:hAnsi="宋体" w:cs="宋体"/>
                <w:color w:val="000000" w:themeColor="text1"/>
                <w:sz w:val="22"/>
              </w:rPr>
            </w:r>
            <w:r/>
          </w:p>
        </w:tc>
      </w:tr>
      <w:tr>
        <w:trPr>
          <w:trHeight w:val="32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功耗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总功率≯30Kw。</w:t>
            </w:r>
            <w:r/>
          </w:p>
        </w:tc>
        <w:tc>
          <w:tcPr>
            <w:tcBorders>
              <w:top w:val="single" w:color="000000" w:sz="4" w:space="0"/>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color w:val="000000" w:themeColor="text1"/>
                <w:sz w:val="22"/>
              </w:rPr>
            </w:pPr>
            <w:r>
              <w:rPr>
                <w:rFonts w:hint="eastAsia" w:ascii="宋体" w:hAnsi="宋体" w:cs="宋体"/>
                <w:color w:val="000000" w:themeColor="text1"/>
                <w:sz w:val="22"/>
              </w:rPr>
            </w:r>
            <w:r/>
          </w:p>
        </w:tc>
      </w:tr>
      <w:tr>
        <w:trPr>
          <w:trHeight w:val="64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排放达标</w:t>
            </w:r>
            <w:r/>
          </w:p>
        </w:tc>
        <w:tc>
          <w:tcPr>
            <w:tcBorders>
              <w:top w:val="single" w:color="000000" w:sz="4" w:space="0"/>
              <w:left w:val="single" w:color="000000" w:sz="4" w:space="0"/>
              <w:bottom w:val="single" w:color="000000" w:sz="4" w:space="0"/>
              <w:right w:val="single" w:color="000000" w:sz="4" w:space="0"/>
            </w:tcBorders>
            <w:tcW w:w="3925" w:type="dxa"/>
            <w:vAlign w:val="center"/>
            <w:textDirection w:val="lrTb"/>
            <w:noWrap w:val="false"/>
          </w:tcPr>
          <w:p>
            <w:pP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①烟尘颗粒物排放浓度≤80mg/m³；</w:t>
            </w:r>
            <w:r>
              <w:rPr>
                <w:rFonts w:hint="eastAsia" w:ascii="宋体" w:hAnsi="宋体" w:cs="宋体"/>
                <w:color w:val="000000" w:themeColor="text1"/>
                <w:sz w:val="22"/>
                <w:lang w:bidi="ar"/>
              </w:rPr>
              <w:br/>
              <w:t xml:space="preserve">②烟气黑度：林格曼级黑度1级。</w:t>
            </w:r>
            <w:r/>
          </w:p>
        </w:tc>
        <w:tc>
          <w:tcPr>
            <w:tcBorders>
              <w:top w:val="single" w:color="000000" w:sz="4" w:space="0"/>
              <w:left w:val="single" w:color="000000" w:sz="4" w:space="0"/>
              <w:bottom w:val="single" w:color="000000" w:sz="4" w:space="0"/>
              <w:right w:val="single" w:color="000000" w:sz="4" w:space="0"/>
            </w:tcBorders>
            <w:tcW w:w="2108" w:type="dxa"/>
            <w:vAlign w:val="center"/>
            <w:vMerge w:val="continue"/>
            <w:textDirection w:val="lrTb"/>
            <w:noWrap w:val="false"/>
          </w:tcPr>
          <w:p>
            <w:pPr>
              <w:rPr>
                <w:rFonts w:hint="eastAsia" w:ascii="宋体" w:hAnsi="宋体" w:cs="宋体"/>
                <w:color w:val="000000" w:themeColor="text1"/>
                <w:sz w:val="22"/>
              </w:rPr>
            </w:pPr>
            <w:r>
              <w:rPr>
                <w:rFonts w:hint="eastAsia" w:ascii="宋体" w:hAnsi="宋体" w:cs="宋体"/>
                <w:color w:val="000000" w:themeColor="text1"/>
                <w:sz w:val="22"/>
              </w:rPr>
            </w:r>
            <w:r/>
          </w:p>
        </w:tc>
      </w:tr>
    </w:tbl>
    <w:p>
      <w:pPr>
        <w:rPr>
          <w:b/>
          <w:bCs/>
          <w:color w:val="000000" w:themeColor="text1"/>
          <w:sz w:val="24"/>
          <w:szCs w:val="24"/>
        </w:rPr>
      </w:pPr>
      <w:r/>
      <w:bookmarkStart w:id="514" w:name="_Toc9057"/>
      <w:r/>
      <w:bookmarkEnd w:id="513"/>
      <w:r>
        <w:rPr>
          <w:rFonts w:hint="eastAsia"/>
          <w:b/>
          <w:bCs/>
          <w:color w:val="000000" w:themeColor="text1"/>
          <w:sz w:val="24"/>
          <w:szCs w:val="24"/>
        </w:rPr>
        <w:br w:type="page" w:clear="all"/>
      </w:r>
      <w:r/>
    </w:p>
    <w:p>
      <w:pPr>
        <w:pStyle w:val="898"/>
        <w:rPr>
          <w:rFonts w:hint="eastAsia" w:ascii="宋体" w:hAnsi="宋体" w:eastAsia="宋体" w:cs="宋体"/>
          <w:color w:val="000000" w:themeColor="text1"/>
        </w:rPr>
      </w:pPr>
      <w:r>
        <w:rPr>
          <w:rFonts w:hint="eastAsia" w:ascii="宋体" w:hAnsi="宋体" w:eastAsia="宋体" w:cs="宋体"/>
          <w:color w:val="000000" w:themeColor="text1"/>
        </w:rPr>
        <w:t xml:space="preserve">第六章 拟签订的合同文本</w:t>
      </w:r>
      <w:bookmarkEnd w:id="511"/>
      <w:r/>
      <w:bookmarkEnd w:id="514"/>
      <w:r/>
      <w:r/>
    </w:p>
    <w:p>
      <w:pPr>
        <w:rPr>
          <w:rFonts w:hint="eastAsia" w:ascii="宋体" w:hAnsi="宋体" w:eastAsia="宋体"/>
          <w:color w:val="000000" w:themeColor="text1"/>
          <w:sz w:val="24"/>
          <w:szCs w:val="24"/>
        </w:rPr>
      </w:pPr>
      <w:r/>
      <w:bookmarkStart w:id="515" w:name="_Hlk123829673"/>
      <w:r>
        <w:rPr>
          <w:rFonts w:ascii="宋体" w:hAnsi="宋体" w:eastAsia="宋体"/>
          <w:color w:val="000000" w:themeColor="text1"/>
          <w:sz w:val="24"/>
          <w:szCs w:val="24"/>
        </w:rPr>
        <w:t xml:space="preserve">项目名称：                                       项目编号：</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甲方：（买方）_________</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乙方：（卖方）_________</w:t>
      </w:r>
      <w:r/>
    </w:p>
    <w:p>
      <w:pPr>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   </w:t>
      </w:r>
      <w:r>
        <w:rPr>
          <w:rFonts w:ascii="宋体" w:hAnsi="宋体" w:eastAsia="宋体"/>
          <w:color w:val="000000" w:themeColor="text1"/>
          <w:sz w:val="24"/>
          <w:szCs w:val="24"/>
        </w:rPr>
        <w:t xml:space="preserve">甲、乙双方根据</w:t>
      </w:r>
      <w:r>
        <w:rPr>
          <w:rFonts w:hint="eastAsia" w:ascii="宋体" w:hAnsi="宋体" w:eastAsia="宋体"/>
          <w:color w:val="000000" w:themeColor="text1"/>
          <w:sz w:val="24"/>
          <w:szCs w:val="24"/>
        </w:rPr>
        <w:t xml:space="preserve">常州金诚招投标有限公司</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项目公开招标的结果，签署本合同。</w:t>
      </w:r>
      <w:r/>
    </w:p>
    <w:p>
      <w:pPr>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合同</w:t>
      </w:r>
      <w:r>
        <w:rPr>
          <w:rFonts w:ascii="宋体" w:hAnsi="宋体" w:eastAsia="宋体"/>
          <w:b/>
          <w:color w:val="000000" w:themeColor="text1"/>
          <w:sz w:val="24"/>
          <w:szCs w:val="24"/>
        </w:rPr>
        <w:t xml:space="preserve">内容</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 </w:t>
      </w:r>
      <w:r>
        <w:rPr>
          <w:rFonts w:hint="eastAsia" w:ascii="宋体" w:hAnsi="宋体" w:eastAsia="宋体"/>
          <w:color w:val="000000" w:themeColor="text1"/>
          <w:sz w:val="24"/>
          <w:szCs w:val="24"/>
        </w:rPr>
        <w:t xml:space="preserve">标的</w:t>
      </w:r>
      <w:r>
        <w:rPr>
          <w:rFonts w:ascii="宋体" w:hAnsi="宋体" w:eastAsia="宋体"/>
          <w:color w:val="000000" w:themeColor="text1"/>
          <w:sz w:val="24"/>
          <w:szCs w:val="24"/>
        </w:rPr>
        <w:t xml:space="preserve">名称：</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w:t>
      </w:r>
      <w:r>
        <w:rPr>
          <w:rFonts w:hint="eastAsia" w:ascii="宋体" w:hAnsi="宋体" w:eastAsia="宋体"/>
          <w:color w:val="000000" w:themeColor="text1"/>
          <w:sz w:val="24"/>
          <w:szCs w:val="24"/>
        </w:rPr>
        <w:t xml:space="preserve"> 标的质量：</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1.3 标的数量（规模）：</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1.4 履行时间（期限）：</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1.5 履行地点：</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6 履行方式：</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1.7 包装方式：</w:t>
      </w:r>
      <w:r/>
    </w:p>
    <w:p>
      <w:pPr>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二、合同金额</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本合同金额为（大写）：_______</w:t>
      </w:r>
      <w:r>
        <w:rPr>
          <w:rFonts w:hint="eastAsia" w:ascii="宋体" w:hAnsi="宋体" w:eastAsia="宋体"/>
          <w:color w:val="000000" w:themeColor="text1"/>
          <w:sz w:val="24"/>
          <w:szCs w:val="24"/>
        </w:rPr>
        <w:t xml:space="preserve">圆</w:t>
      </w:r>
      <w:r>
        <w:rPr>
          <w:rFonts w:ascii="宋体" w:hAnsi="宋体" w:eastAsia="宋体"/>
          <w:color w:val="000000" w:themeColor="text1"/>
          <w:sz w:val="24"/>
          <w:szCs w:val="24"/>
        </w:rPr>
        <w:t xml:space="preserve">（___元）人民币</w:t>
      </w:r>
      <w:r>
        <w:rPr>
          <w:rFonts w:hint="eastAsia" w:ascii="宋体" w:hAnsi="宋体" w:eastAsia="宋体"/>
          <w:color w:val="000000" w:themeColor="text1"/>
          <w:sz w:val="24"/>
          <w:szCs w:val="24"/>
        </w:rPr>
        <w:t xml:space="preserve">或其他币种</w:t>
      </w:r>
      <w:r>
        <w:rPr>
          <w:rFonts w:ascii="宋体" w:hAnsi="宋体" w:eastAsia="宋体"/>
          <w:color w:val="000000" w:themeColor="text1"/>
          <w:sz w:val="24"/>
          <w:szCs w:val="24"/>
        </w:rPr>
        <w:t xml:space="preserve">。</w:t>
      </w:r>
      <w:r/>
    </w:p>
    <w:p>
      <w:pPr>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三、技术资料</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3.1乙方应按招标文件规定的时间向甲方提供使用货物</w:t>
      </w:r>
      <w:r>
        <w:rPr>
          <w:rFonts w:hint="eastAsia" w:ascii="宋体" w:hAnsi="宋体" w:eastAsia="宋体"/>
          <w:color w:val="000000" w:themeColor="text1"/>
          <w:sz w:val="24"/>
          <w:szCs w:val="24"/>
        </w:rPr>
        <w:t xml:space="preserve">(包含与货物相关的服务)</w:t>
      </w:r>
      <w:r>
        <w:rPr>
          <w:rFonts w:ascii="宋体" w:hAnsi="宋体" w:eastAsia="宋体"/>
          <w:color w:val="000000" w:themeColor="text1"/>
          <w:sz w:val="24"/>
          <w:szCs w:val="24"/>
        </w:rPr>
        <w:t xml:space="preserve">的有关技术资料。</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四、知识产权</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4.1乙</w:t>
      </w:r>
      <w:r>
        <w:rPr>
          <w:rFonts w:hint="eastAsia" w:ascii="宋体" w:hAnsi="宋体" w:eastAsia="宋体"/>
          <w:color w:val="000000" w:themeColor="text1"/>
          <w:sz w:val="24"/>
          <w:szCs w:val="24"/>
        </w:rPr>
        <w:t xml:space="preserve">方应保证甲方在使用、接受本合同货物（包含与货物相关的服务）或其任何一部分时不受第三方提出侵犯其专利权、版权、商标权和工业设计权等知识产权的起诉。一旦出现侵权，由乙方负全部责任。</w:t>
      </w:r>
      <w:r/>
    </w:p>
    <w:p>
      <w:pPr>
        <w:rPr>
          <w:rFonts w:hint="eastAsia" w:ascii="宋体" w:hAnsi="宋体" w:eastAsia="宋体"/>
          <w:color w:val="000000" w:themeColor="text1"/>
          <w:sz w:val="24"/>
          <w:szCs w:val="24"/>
          <w:u w:val="single"/>
        </w:rPr>
      </w:pPr>
      <w:r>
        <w:rPr>
          <w:rFonts w:ascii="宋体" w:hAnsi="宋体" w:eastAsia="宋体"/>
          <w:b/>
          <w:color w:val="000000" w:themeColor="text1"/>
          <w:sz w:val="24"/>
          <w:szCs w:val="24"/>
        </w:rPr>
        <w:t xml:space="preserve">五、产权担保</w:t>
      </w:r>
      <w:r/>
    </w:p>
    <w:p>
      <w:pPr>
        <w:rPr>
          <w:rFonts w:hint="eastAsia" w:ascii="宋体" w:hAnsi="宋体" w:eastAsia="宋体"/>
          <w:color w:val="000000" w:themeColor="text1"/>
          <w:sz w:val="24"/>
          <w:szCs w:val="24"/>
          <w:u w:val="single"/>
        </w:rPr>
      </w:pPr>
      <w:r>
        <w:rPr>
          <w:rFonts w:ascii="宋体" w:hAnsi="宋体" w:eastAsia="宋体"/>
          <w:color w:val="000000" w:themeColor="text1"/>
          <w:sz w:val="24"/>
          <w:szCs w:val="24"/>
        </w:rPr>
        <w:t xml:space="preserve">5.1 乙方保证所交付的货物</w:t>
      </w:r>
      <w:r>
        <w:rPr>
          <w:rFonts w:hint="eastAsia" w:ascii="宋体" w:hAnsi="宋体" w:eastAsia="宋体"/>
          <w:color w:val="000000" w:themeColor="text1"/>
          <w:sz w:val="24"/>
          <w:szCs w:val="24"/>
        </w:rPr>
        <w:t xml:space="preserve">（包含与货物相关的服务）</w:t>
      </w:r>
      <w:r>
        <w:rPr>
          <w:rFonts w:ascii="宋体" w:hAnsi="宋体" w:eastAsia="宋体"/>
          <w:color w:val="000000" w:themeColor="text1"/>
          <w:sz w:val="24"/>
          <w:szCs w:val="24"/>
        </w:rPr>
        <w:t xml:space="preserve">的所有权完全属于乙方且无任何抵押、查封等产权瑕疵。</w:t>
      </w:r>
      <w:r/>
    </w:p>
    <w:p>
      <w:pPr>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六、履约保证金</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6.1 本项目不要求缴纳履约保证金。</w:t>
      </w:r>
      <w:r/>
    </w:p>
    <w:p>
      <w:pPr>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七、合同转包或分包</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7.1乙方不得将合同标的转包给他人履行。</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7.2乙方不得将合同标的分包给他人履行。</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7.3</w:t>
      </w:r>
      <w:r>
        <w:rPr>
          <w:rFonts w:hint="eastAsia" w:ascii="宋体" w:hAnsi="宋体" w:eastAsia="宋体"/>
          <w:color w:val="000000" w:themeColor="text1"/>
          <w:sz w:val="24"/>
          <w:szCs w:val="24"/>
        </w:rPr>
        <w:t xml:space="preserve">乙方如有转包或未经甲方同意的分包行为，甲方有权给予终止合同。</w:t>
      </w:r>
      <w:r/>
    </w:p>
    <w:p>
      <w:pPr>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八</w:t>
      </w:r>
      <w:r>
        <w:rPr>
          <w:rFonts w:ascii="宋体" w:hAnsi="宋体" w:eastAsia="宋体"/>
          <w:b/>
          <w:color w:val="000000" w:themeColor="text1"/>
          <w:sz w:val="24"/>
          <w:szCs w:val="24"/>
        </w:rPr>
        <w:t xml:space="preserve">、</w:t>
      </w:r>
      <w:r>
        <w:rPr>
          <w:rFonts w:hint="eastAsia" w:ascii="宋体" w:hAnsi="宋体" w:eastAsia="宋体"/>
          <w:b/>
          <w:color w:val="000000" w:themeColor="text1"/>
          <w:sz w:val="24"/>
          <w:szCs w:val="24"/>
        </w:rPr>
        <w:t xml:space="preserve">合同款项</w:t>
      </w:r>
      <w:r>
        <w:rPr>
          <w:rFonts w:ascii="宋体" w:hAnsi="宋体" w:eastAsia="宋体"/>
          <w:b/>
          <w:color w:val="000000" w:themeColor="text1"/>
          <w:sz w:val="24"/>
          <w:szCs w:val="24"/>
        </w:rPr>
        <w:t xml:space="preserve">支付</w:t>
      </w:r>
      <w:r/>
    </w:p>
    <w:p>
      <w:pPr>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8</w:t>
      </w:r>
      <w:r>
        <w:rPr>
          <w:rFonts w:ascii="宋体" w:hAnsi="宋体" w:eastAsia="宋体"/>
          <w:bCs/>
          <w:color w:val="000000" w:themeColor="text1"/>
          <w:sz w:val="24"/>
          <w:szCs w:val="24"/>
        </w:rPr>
        <w:t xml:space="preserve">.1</w:t>
      </w:r>
      <w:r>
        <w:rPr>
          <w:rFonts w:hint="eastAsia" w:ascii="宋体" w:hAnsi="宋体" w:eastAsia="宋体"/>
          <w:bCs/>
          <w:color w:val="000000" w:themeColor="text1"/>
          <w:sz w:val="24"/>
          <w:szCs w:val="24"/>
        </w:rPr>
        <w:t xml:space="preserve">合同款项的支付方式及进度安排</w:t>
      </w:r>
      <w:r/>
    </w:p>
    <w:p>
      <w:pPr>
        <w:rPr>
          <w:rFonts w:hint="eastAsia" w:ascii="宋体" w:hAnsi="宋体" w:eastAsia="宋体"/>
          <w:color w:val="000000" w:themeColor="text1"/>
          <w:sz w:val="24"/>
          <w:szCs w:val="24"/>
          <w:u w:val="single"/>
        </w:rPr>
      </w:pPr>
      <w:r>
        <w:rPr>
          <w:rFonts w:hint="eastAsia" w:ascii="宋体" w:hAnsi="宋体" w:eastAsia="宋体"/>
          <w:color w:val="000000" w:themeColor="text1"/>
          <w:sz w:val="24"/>
          <w:szCs w:val="24"/>
          <w:u w:val="single"/>
        </w:rPr>
        <w:t xml:space="preserve">8.1.1 预付款支付时间：</w:t>
      </w:r>
      <w:r>
        <w:rPr>
          <w:rFonts w:ascii="宋体" w:hAnsi="宋体" w:eastAsia="宋体"/>
          <w:color w:val="000000" w:themeColor="text1"/>
          <w:sz w:val="24"/>
          <w:szCs w:val="24"/>
          <w:u w:val="single"/>
        </w:rPr>
        <w:t xml:space="preserve"> </w:t>
      </w:r>
      <w:r/>
    </w:p>
    <w:p>
      <w:pPr>
        <w:rPr>
          <w:rFonts w:hint="eastAsia" w:ascii="宋体" w:hAnsi="宋体" w:eastAsia="宋体"/>
          <w:color w:val="000000" w:themeColor="text1"/>
          <w:sz w:val="24"/>
          <w:szCs w:val="24"/>
          <w:u w:val="single"/>
        </w:rPr>
      </w:pPr>
      <w:r>
        <w:rPr>
          <w:rFonts w:hint="eastAsia" w:ascii="宋体" w:hAnsi="宋体" w:eastAsia="宋体"/>
          <w:color w:val="000000" w:themeColor="text1"/>
          <w:sz w:val="24"/>
          <w:szCs w:val="24"/>
          <w:u w:val="single"/>
        </w:rPr>
        <w:t xml:space="preserve">8.1.2 尾款支付时间：</w:t>
      </w:r>
      <w:r>
        <w:rPr>
          <w:rFonts w:ascii="宋体" w:hAnsi="宋体" w:eastAsia="宋体"/>
          <w:color w:val="000000" w:themeColor="text1"/>
          <w:sz w:val="24"/>
          <w:szCs w:val="24"/>
          <w:u w:val="single"/>
        </w:rPr>
        <w:t xml:space="preserve"> </w:t>
      </w:r>
      <w:r/>
    </w:p>
    <w:p>
      <w:pPr>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8</w:t>
      </w:r>
      <w:r>
        <w:rPr>
          <w:rFonts w:ascii="宋体" w:hAnsi="宋体" w:eastAsia="宋体"/>
          <w:bCs/>
          <w:color w:val="000000" w:themeColor="text1"/>
          <w:sz w:val="24"/>
          <w:szCs w:val="24"/>
        </w:rPr>
        <w:t xml:space="preserve">.2</w:t>
      </w:r>
      <w:r>
        <w:rPr>
          <w:rFonts w:ascii="宋体" w:hAnsi="宋体" w:eastAsia="宋体"/>
          <w:color w:val="000000" w:themeColor="text1"/>
          <w:sz w:val="24"/>
          <w:szCs w:val="24"/>
        </w:rPr>
        <w:t xml:space="preserve">当采购数量与实际使用数量不一致时，</w:t>
      </w:r>
      <w:r>
        <w:rPr>
          <w:rFonts w:hint="eastAsia" w:ascii="宋体" w:hAnsi="宋体" w:eastAsia="宋体"/>
          <w:color w:val="000000" w:themeColor="text1"/>
          <w:sz w:val="24"/>
          <w:szCs w:val="24"/>
        </w:rPr>
        <w:t xml:space="preserve">乙方</w:t>
      </w:r>
      <w:r>
        <w:rPr>
          <w:rFonts w:ascii="宋体" w:hAnsi="宋体" w:eastAsia="宋体"/>
          <w:color w:val="000000" w:themeColor="text1"/>
          <w:sz w:val="24"/>
          <w:szCs w:val="24"/>
        </w:rPr>
        <w:t xml:space="preserve">应根据实际使用量供货，合同的最终结算金额按实际使用量乘以成交单价进行计算。</w:t>
      </w:r>
      <w:r/>
    </w:p>
    <w:p>
      <w:pPr>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九、税费</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本合同执行中相关的一切税费均由乙方负担。</w:t>
      </w:r>
      <w:r/>
    </w:p>
    <w:p>
      <w:pPr>
        <w:rPr>
          <w:rFonts w:hint="eastAsia" w:ascii="宋体" w:hAnsi="宋体" w:eastAsia="宋体"/>
          <w:color w:val="000000" w:themeColor="text1"/>
          <w:sz w:val="24"/>
          <w:szCs w:val="24"/>
        </w:rPr>
      </w:pPr>
      <w:r>
        <w:rPr>
          <w:rFonts w:ascii="宋体" w:hAnsi="宋体" w:eastAsia="宋体"/>
          <w:b/>
          <w:color w:val="000000" w:themeColor="text1"/>
          <w:sz w:val="24"/>
          <w:szCs w:val="24"/>
        </w:rPr>
        <w:t xml:space="preserve">十、质量</w:t>
      </w:r>
      <w:r>
        <w:rPr>
          <w:rFonts w:hint="eastAsia" w:ascii="宋体" w:hAnsi="宋体" w:eastAsia="宋体"/>
          <w:b/>
          <w:color w:val="000000" w:themeColor="text1"/>
          <w:sz w:val="24"/>
          <w:szCs w:val="24"/>
        </w:rPr>
        <w:t xml:space="preserve">保修范围和保修期</w:t>
      </w:r>
      <w:r>
        <w:rPr>
          <w:rFonts w:ascii="宋体" w:hAnsi="宋体" w:eastAsia="宋体"/>
          <w:b/>
          <w:color w:val="000000" w:themeColor="text1"/>
          <w:sz w:val="24"/>
          <w:szCs w:val="24"/>
        </w:rPr>
        <w:t xml:space="preserve">及售后服务</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0</w:t>
      </w:r>
      <w:r>
        <w:rPr>
          <w:rFonts w:ascii="宋体" w:hAnsi="宋体" w:eastAsia="宋体"/>
          <w:color w:val="000000" w:themeColor="text1"/>
          <w:sz w:val="24"/>
          <w:szCs w:val="24"/>
        </w:rPr>
        <w:t xml:space="preserve">.1 乙方应按招标文件规定的货物性能、技术要求、质量标准向甲方提供未经使用的全新产品。</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0</w:t>
      </w:r>
      <w:r>
        <w:rPr>
          <w:rFonts w:ascii="宋体" w:hAnsi="宋体" w:eastAsia="宋体"/>
          <w:color w:val="000000" w:themeColor="text1"/>
          <w:sz w:val="24"/>
          <w:szCs w:val="24"/>
        </w:rPr>
        <w:t xml:space="preserve">.2 乙方提供的货物在质量期内因货物本身的质量问题发生故障，乙方应负责免费更换。对达不到技术要求者，根据实际情况，经双方协商，可按以下办法处理：</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⑴更换：由乙方承担所发生的全部费用。</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⑵贬值处理：由甲乙双方合议定价。</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⑶退货处理：乙方应退还甲方支付的合同款，同时应承担该货物的直接费用（运输、保险、检验、货款利息及银行手续费等）。</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0</w:t>
      </w:r>
      <w:r>
        <w:rPr>
          <w:rFonts w:ascii="宋体" w:hAnsi="宋体" w:eastAsia="宋体"/>
          <w:color w:val="000000" w:themeColor="text1"/>
          <w:sz w:val="24"/>
          <w:szCs w:val="24"/>
        </w:rPr>
        <w:t xml:space="preserve">.3 如在使用过程中发生质量问题，乙方在接到甲方通知后在_________小时内到达甲方现场。</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0</w:t>
      </w:r>
      <w:r>
        <w:rPr>
          <w:rFonts w:ascii="宋体" w:hAnsi="宋体" w:eastAsia="宋体"/>
          <w:color w:val="000000" w:themeColor="text1"/>
          <w:sz w:val="24"/>
          <w:szCs w:val="24"/>
        </w:rPr>
        <w:t xml:space="preserve">.4 在质保期内，乙方应对货物出现的质量及安全问题负责处理解决并承担一切费用。</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0</w:t>
      </w:r>
      <w:r>
        <w:rPr>
          <w:rFonts w:ascii="宋体" w:hAnsi="宋体" w:eastAsia="宋体"/>
          <w:color w:val="000000" w:themeColor="text1"/>
          <w:sz w:val="24"/>
          <w:szCs w:val="24"/>
        </w:rPr>
        <w:t xml:space="preserve">.5上述的货物免费保修期为</w:t>
      </w:r>
      <w:r>
        <w:rPr>
          <w:rFonts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年（自交货验收合格之日起计），因人为因素出现的故障不在免费保修范围内。超过保修期的机器设备，终生维修，维修时只收部件成本费。</w:t>
      </w:r>
      <w:r/>
    </w:p>
    <w:p>
      <w:pPr>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十</w:t>
      </w:r>
      <w:r>
        <w:rPr>
          <w:rFonts w:hint="eastAsia" w:ascii="宋体" w:hAnsi="宋体" w:eastAsia="宋体"/>
          <w:b/>
          <w:color w:val="000000" w:themeColor="text1"/>
          <w:sz w:val="24"/>
          <w:szCs w:val="24"/>
        </w:rPr>
        <w:t xml:space="preserve">一</w:t>
      </w:r>
      <w:r>
        <w:rPr>
          <w:rFonts w:ascii="宋体" w:hAnsi="宋体" w:eastAsia="宋体"/>
          <w:b/>
          <w:color w:val="000000" w:themeColor="text1"/>
          <w:sz w:val="24"/>
          <w:szCs w:val="24"/>
        </w:rPr>
        <w:t xml:space="preserve">、</w:t>
      </w:r>
      <w:r>
        <w:rPr>
          <w:rFonts w:hint="eastAsia" w:ascii="宋体" w:hAnsi="宋体" w:eastAsia="宋体"/>
          <w:b/>
          <w:color w:val="000000" w:themeColor="text1"/>
          <w:sz w:val="24"/>
          <w:szCs w:val="24"/>
        </w:rPr>
        <w:t xml:space="preserve">项目</w:t>
      </w:r>
      <w:r>
        <w:rPr>
          <w:rFonts w:ascii="宋体" w:hAnsi="宋体" w:eastAsia="宋体"/>
          <w:b/>
          <w:color w:val="000000" w:themeColor="text1"/>
          <w:sz w:val="24"/>
          <w:szCs w:val="24"/>
        </w:rPr>
        <w:t xml:space="preserve">验收</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11.1 甲方依法组织履约验收工作。</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11.3 对于实际使用人和甲方分离的项目，甲方邀请实际使用人参与验收。</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11.4 如有必要，甲方邀请参加本项目的其他供应商或第三方专业机构及专家参与验收，相关意见将作为验收书的参考资料。</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十</w:t>
      </w:r>
      <w:r>
        <w:rPr>
          <w:rFonts w:hint="eastAsia" w:ascii="宋体" w:hAnsi="宋体" w:eastAsia="宋体"/>
          <w:b/>
          <w:color w:val="000000" w:themeColor="text1"/>
          <w:sz w:val="24"/>
          <w:szCs w:val="24"/>
        </w:rPr>
        <w:t xml:space="preserve">二</w:t>
      </w:r>
      <w:r>
        <w:rPr>
          <w:rFonts w:ascii="宋体" w:hAnsi="宋体" w:eastAsia="宋体"/>
          <w:b/>
          <w:color w:val="000000" w:themeColor="text1"/>
          <w:sz w:val="24"/>
          <w:szCs w:val="24"/>
        </w:rPr>
        <w:t xml:space="preserve">、货物</w:t>
      </w:r>
      <w:r>
        <w:rPr>
          <w:rFonts w:hint="eastAsia" w:ascii="宋体" w:hAnsi="宋体" w:eastAsia="宋体"/>
          <w:b/>
          <w:color w:val="000000" w:themeColor="text1"/>
          <w:sz w:val="24"/>
          <w:szCs w:val="24"/>
        </w:rPr>
        <w:t xml:space="preserve">的</w:t>
      </w:r>
      <w:r>
        <w:rPr>
          <w:rFonts w:ascii="宋体" w:hAnsi="宋体" w:eastAsia="宋体"/>
          <w:b/>
          <w:color w:val="000000" w:themeColor="text1"/>
          <w:sz w:val="24"/>
          <w:szCs w:val="24"/>
        </w:rPr>
        <w:t xml:space="preserve">包装、发运及运输</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.1 乙方应在货物发运前对其进行满足运输距离、防潮、防震、防锈和防破损装卸等要求包装，以保证货物安全运达甲方指定地点。</w:t>
      </w:r>
      <w:r>
        <w:rPr>
          <w:rFonts w:hint="eastAsia" w:ascii="宋体" w:hAnsi="宋体" w:eastAsia="宋体"/>
          <w:color w:val="000000" w:themeColor="text1"/>
          <w:sz w:val="24"/>
          <w:szCs w:val="24"/>
        </w:rPr>
        <w:t xml:space="preserve">乙方对货物的包装应符合《商品包装政府采购需求标准（试行）》、《快递包装政府采购需求标准（试行）》的规定。</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.2 使用说明书、质量检验证明书、随配附件和工具以及清单一并附于货物内。</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.3 乙方在货物发运手续办理完毕后24小时内或货到甲方48小时前通知甲方，以准备接货。</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.4 货物在交付甲方前发生的风险均由乙方负责。</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.5 货物在规定的交付期限内由乙方送达甲方指定的地点视为交付，乙方同时需通知甲方货物已送达。</w:t>
      </w:r>
      <w:r/>
    </w:p>
    <w:p>
      <w:pPr>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十</w:t>
      </w:r>
      <w:r>
        <w:rPr>
          <w:rFonts w:hint="eastAsia" w:ascii="宋体" w:hAnsi="宋体" w:eastAsia="宋体"/>
          <w:b/>
          <w:color w:val="000000" w:themeColor="text1"/>
          <w:sz w:val="24"/>
          <w:szCs w:val="24"/>
        </w:rPr>
        <w:t xml:space="preserve">三</w:t>
      </w:r>
      <w:r>
        <w:rPr>
          <w:rFonts w:ascii="宋体" w:hAnsi="宋体" w:eastAsia="宋体"/>
          <w:b/>
          <w:color w:val="000000" w:themeColor="text1"/>
          <w:sz w:val="24"/>
          <w:szCs w:val="24"/>
        </w:rPr>
        <w:t xml:space="preserve">、违约责任</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.1 甲方无正当理由拒收货物的，甲方向乙方偿付拒收货款总值</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的违约金。</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.2 甲方无故逾期验收和办理货款支付手续的,甲方应按逾期付款总额每日</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向乙方支付违约金。</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的违约金，如造成甲方损失超过违约金的，超出部分由乙方继续承担赔偿责任。 </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十</w:t>
      </w: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、不可抗力事件处理</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.1 在合同有效期内，任何一方因不可抗力事件导致不能履行合同，则合同履行期可延长，其延长期与不可抗力影响期相同。</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.2 不可抗力事件发生后，应立即通知对方，并寄送有关权威机构出具的证明。</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.3 不可抗力事件延续120天以上，双方应通过友好协商，确定是否继续履行合同。</w:t>
      </w:r>
      <w:r/>
    </w:p>
    <w:p>
      <w:pPr>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十</w:t>
      </w: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w:t>
      </w:r>
      <w:r>
        <w:rPr>
          <w:rFonts w:hint="eastAsia" w:ascii="宋体" w:hAnsi="宋体" w:eastAsia="宋体"/>
          <w:b/>
          <w:color w:val="000000" w:themeColor="text1"/>
          <w:sz w:val="24"/>
          <w:szCs w:val="24"/>
        </w:rPr>
        <w:t xml:space="preserve">解决争议的方法</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甲乙</w:t>
      </w:r>
      <w:r>
        <w:rPr>
          <w:rFonts w:ascii="宋体" w:hAnsi="宋体" w:eastAsia="宋体"/>
          <w:color w:val="000000" w:themeColor="text1"/>
          <w:sz w:val="24"/>
          <w:szCs w:val="24"/>
        </w:rPr>
        <w:t xml:space="preserve">双方</w:t>
      </w:r>
      <w:r>
        <w:rPr>
          <w:rFonts w:hint="eastAsia" w:ascii="宋体" w:hAnsi="宋体" w:eastAsia="宋体"/>
          <w:color w:val="000000" w:themeColor="text1"/>
          <w:sz w:val="24"/>
          <w:szCs w:val="24"/>
        </w:rPr>
        <w:t xml:space="preserve">因</w:t>
      </w:r>
      <w:r>
        <w:rPr>
          <w:rFonts w:ascii="宋体" w:hAnsi="宋体" w:eastAsia="宋体"/>
          <w:color w:val="000000" w:themeColor="text1"/>
          <w:sz w:val="24"/>
          <w:szCs w:val="24"/>
        </w:rPr>
        <w:t xml:space="preserve">合同</w:t>
      </w:r>
      <w:r>
        <w:rPr>
          <w:rFonts w:hint="eastAsia" w:ascii="宋体" w:hAnsi="宋体" w:eastAsia="宋体"/>
          <w:color w:val="000000" w:themeColor="text1"/>
          <w:sz w:val="24"/>
          <w:szCs w:val="24"/>
        </w:rPr>
        <w:t xml:space="preserve">签订、履行而</w:t>
      </w:r>
      <w:r>
        <w:rPr>
          <w:rFonts w:ascii="宋体" w:hAnsi="宋体" w:eastAsia="宋体"/>
          <w:color w:val="000000" w:themeColor="text1"/>
          <w:sz w:val="24"/>
          <w:szCs w:val="24"/>
        </w:rPr>
        <w:t xml:space="preserve">发生的一切争议，应通过</w:t>
      </w:r>
      <w:r>
        <w:rPr>
          <w:rFonts w:hint="eastAsia" w:ascii="宋体" w:hAnsi="宋体" w:eastAsia="宋体"/>
          <w:color w:val="000000" w:themeColor="text1"/>
          <w:sz w:val="24"/>
          <w:szCs w:val="24"/>
        </w:rPr>
        <w:t xml:space="preserve">友好</w:t>
      </w:r>
      <w:r>
        <w:rPr>
          <w:rFonts w:ascii="宋体" w:hAnsi="宋体" w:eastAsia="宋体"/>
          <w:color w:val="000000" w:themeColor="text1"/>
          <w:sz w:val="24"/>
          <w:szCs w:val="24"/>
        </w:rPr>
        <w:t xml:space="preserve">协商解决。如协商不成</w:t>
      </w:r>
      <w:r>
        <w:rPr>
          <w:rFonts w:hint="eastAsia" w:ascii="宋体" w:hAnsi="宋体" w:eastAsia="宋体"/>
          <w:color w:val="000000" w:themeColor="text1"/>
          <w:sz w:val="24"/>
          <w:szCs w:val="24"/>
        </w:rPr>
        <w:t xml:space="preserve">由甲方住所地人民</w:t>
      </w:r>
      <w:r>
        <w:rPr>
          <w:rFonts w:ascii="宋体" w:hAnsi="宋体" w:eastAsia="宋体"/>
          <w:color w:val="000000" w:themeColor="text1"/>
          <w:sz w:val="24"/>
          <w:szCs w:val="24"/>
        </w:rPr>
        <w:t xml:space="preserve">法院</w:t>
      </w:r>
      <w:r>
        <w:rPr>
          <w:rFonts w:hint="eastAsia" w:ascii="宋体" w:hAnsi="宋体" w:eastAsia="宋体"/>
          <w:color w:val="000000" w:themeColor="text1"/>
          <w:sz w:val="24"/>
          <w:szCs w:val="24"/>
        </w:rPr>
        <w:t xml:space="preserve">管辖。</w:t>
      </w:r>
      <w:r/>
    </w:p>
    <w:p>
      <w:pPr>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十</w:t>
      </w:r>
      <w:r>
        <w:rPr>
          <w:rFonts w:hint="eastAsia" w:ascii="宋体" w:hAnsi="宋体" w:eastAsia="宋体"/>
          <w:b/>
          <w:color w:val="000000" w:themeColor="text1"/>
          <w:sz w:val="24"/>
          <w:szCs w:val="24"/>
        </w:rPr>
        <w:t xml:space="preserve">六</w:t>
      </w:r>
      <w:r>
        <w:rPr>
          <w:rFonts w:ascii="宋体" w:hAnsi="宋体" w:eastAsia="宋体"/>
          <w:b/>
          <w:color w:val="000000" w:themeColor="text1"/>
          <w:sz w:val="24"/>
          <w:szCs w:val="24"/>
        </w:rPr>
        <w:t xml:space="preserve">、合同生效及其它</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.1 合同经双方法定代表人或授权委托代</w:t>
      </w:r>
      <w:r>
        <w:rPr>
          <w:rFonts w:hint="eastAsia" w:ascii="宋体" w:hAnsi="宋体" w:eastAsia="宋体"/>
          <w:color w:val="000000" w:themeColor="text1"/>
          <w:sz w:val="24"/>
          <w:szCs w:val="24"/>
        </w:rPr>
        <w:t xml:space="preserve">表</w:t>
      </w:r>
      <w:r>
        <w:rPr>
          <w:rFonts w:ascii="宋体" w:hAnsi="宋体" w:eastAsia="宋体"/>
          <w:color w:val="000000" w:themeColor="text1"/>
          <w:sz w:val="24"/>
          <w:szCs w:val="24"/>
        </w:rPr>
        <w:t xml:space="preserve">人签字并加盖单位公章后生效。</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.2本合同未尽事宜，遵照</w:t>
      </w:r>
      <w:r>
        <w:rPr>
          <w:rFonts w:hint="eastAsia" w:ascii="宋体" w:hAnsi="宋体" w:eastAsia="宋体"/>
          <w:color w:val="000000" w:themeColor="text1"/>
          <w:sz w:val="24"/>
          <w:szCs w:val="24"/>
        </w:rPr>
        <w:t xml:space="preserve">《民法典》、《政府采购法》</w:t>
      </w:r>
      <w:r>
        <w:rPr>
          <w:rFonts w:ascii="宋体" w:hAnsi="宋体" w:eastAsia="宋体"/>
          <w:color w:val="000000" w:themeColor="text1"/>
          <w:sz w:val="24"/>
          <w:szCs w:val="24"/>
        </w:rPr>
        <w:t xml:space="preserve">有关条文执行。</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3</w:t>
      </w:r>
      <w:r>
        <w:rPr>
          <w:rFonts w:ascii="宋体" w:hAnsi="宋体" w:eastAsia="宋体"/>
          <w:color w:val="000000" w:themeColor="text1"/>
          <w:sz w:val="24"/>
          <w:szCs w:val="24"/>
        </w:rPr>
        <w:t xml:space="preserve"> 本合同正本一式</w:t>
      </w:r>
      <w:r>
        <w:rPr>
          <w:rFonts w:hint="eastAsia" w:ascii="宋体" w:hAnsi="宋体" w:eastAsia="宋体"/>
          <w:color w:val="000000" w:themeColor="text1"/>
          <w:sz w:val="24"/>
          <w:szCs w:val="24"/>
        </w:rPr>
        <w:t xml:space="preserve">两</w:t>
      </w:r>
      <w:r>
        <w:rPr>
          <w:rFonts w:ascii="宋体" w:hAnsi="宋体" w:eastAsia="宋体"/>
          <w:color w:val="000000" w:themeColor="text1"/>
          <w:sz w:val="24"/>
          <w:szCs w:val="24"/>
        </w:rPr>
        <w:t xml:space="preserve">份，具有同等法律效力，甲</w:t>
      </w:r>
      <w:r>
        <w:rPr>
          <w:rFonts w:hint="eastAsia" w:ascii="宋体" w:hAnsi="宋体" w:eastAsia="宋体"/>
          <w:color w:val="000000" w:themeColor="text1"/>
          <w:sz w:val="24"/>
          <w:szCs w:val="24"/>
        </w:rPr>
        <w:t xml:space="preserve">方、</w:t>
      </w:r>
      <w:r>
        <w:rPr>
          <w:rFonts w:ascii="宋体" w:hAnsi="宋体" w:eastAsia="宋体"/>
          <w:color w:val="000000" w:themeColor="text1"/>
          <w:sz w:val="24"/>
          <w:szCs w:val="24"/>
        </w:rPr>
        <w:t xml:space="preserve">乙方各执一份。</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  甲方：                        乙方： </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  地址：                       </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地址： </w:t>
      </w:r>
      <w:r/>
    </w:p>
    <w:p>
      <w:pPr>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  法定代表人</w:t>
      </w:r>
      <w:r>
        <w:rPr>
          <w:rFonts w:hint="eastAsia" w:ascii="宋体" w:hAnsi="宋体" w:eastAsia="宋体"/>
          <w:color w:val="000000" w:themeColor="text1"/>
          <w:sz w:val="24"/>
          <w:szCs w:val="24"/>
        </w:rPr>
        <w:t xml:space="preserve">或授权代表</w:t>
      </w:r>
      <w:r>
        <w:rPr>
          <w:rFonts w:ascii="宋体" w:hAnsi="宋体" w:eastAsia="宋体"/>
          <w:color w:val="000000" w:themeColor="text1"/>
          <w:sz w:val="24"/>
          <w:szCs w:val="24"/>
        </w:rPr>
        <w:t xml:space="preserve">：        法定代表人</w:t>
      </w:r>
      <w:r>
        <w:rPr>
          <w:rFonts w:hint="eastAsia" w:ascii="宋体" w:hAnsi="宋体" w:eastAsia="宋体"/>
          <w:color w:val="000000" w:themeColor="text1"/>
          <w:sz w:val="24"/>
          <w:szCs w:val="24"/>
        </w:rPr>
        <w:t xml:space="preserve">或授权代表</w:t>
      </w:r>
      <w:r>
        <w:rPr>
          <w:rFonts w:ascii="宋体" w:hAnsi="宋体" w:eastAsia="宋体"/>
          <w:color w:val="000000" w:themeColor="text1"/>
          <w:sz w:val="24"/>
          <w:szCs w:val="24"/>
        </w:rPr>
        <w:t xml:space="preserve">：</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联系电话：                    联系电话：          </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                    </w:t>
      </w:r>
      <w:r/>
    </w:p>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r>
      <w:r/>
    </w:p>
    <w:p>
      <w:pPr>
        <w:pStyle w:val="911"/>
        <w:ind w:left="228" w:hanging="228"/>
        <w:spacing w:line="360" w:lineRule="auto"/>
        <w:rPr>
          <w:rFonts w:hAnsi="宋体" w:cs="宋体"/>
          <w:color w:val="000000" w:themeColor="text1"/>
          <w:sz w:val="24"/>
          <w:szCs w:val="24"/>
        </w:rPr>
      </w:pPr>
      <w:r>
        <w:rPr>
          <w:rFonts w:hAnsi="宋体"/>
          <w:color w:val="000000" w:themeColor="text1"/>
          <w:sz w:val="24"/>
          <w:szCs w:val="24"/>
        </w:rPr>
        <w:t xml:space="preserve">                    签订日期：      年    月   日</w:t>
      </w:r>
      <w:bookmarkEnd w:id="515"/>
      <w:r/>
      <w:r/>
    </w:p>
    <w:p>
      <w:pPr>
        <w:pStyle w:val="947"/>
        <w:ind w:firstLine="480"/>
        <w:spacing w:line="360" w:lineRule="auto"/>
        <w:rPr>
          <w:rFonts w:hint="eastAsia" w:eastAsia="宋体" w:cs="宋体"/>
          <w:color w:val="000000" w:themeColor="text1"/>
          <w:sz w:val="24"/>
          <w:szCs w:val="24"/>
        </w:rPr>
      </w:pPr>
      <w:r>
        <w:rPr>
          <w:rFonts w:hint="eastAsia" w:eastAsia="宋体" w:cs="宋体"/>
          <w:color w:val="000000" w:themeColor="text1"/>
          <w:sz w:val="24"/>
          <w:szCs w:val="24"/>
        </w:rPr>
      </w:r>
      <w:r/>
    </w:p>
    <w:p>
      <w:pPr>
        <w:pStyle w:val="947"/>
        <w:ind w:firstLine="480"/>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代理机构（见证方）（章）：常州金诚招投标有限公司</w:t>
      </w:r>
      <w:r/>
    </w:p>
    <w:p>
      <w:pPr>
        <w:pStyle w:val="947"/>
        <w:ind w:firstLine="480"/>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单位地址：常州市新北区汉江路368号金城大厦1908室</w:t>
      </w:r>
      <w:r/>
    </w:p>
    <w:p>
      <w:pPr>
        <w:ind w:left="228" w:hanging="22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法定代表人或委托代理人：</w:t>
      </w:r>
      <w:r/>
    </w:p>
    <w:p>
      <w:pPr>
        <w:ind w:left="228" w:hanging="228"/>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以上格式仅供参考</w:t>
      </w:r>
      <w:r/>
    </w:p>
    <w:p>
      <w:pPr>
        <w:ind w:left="199" w:hanging="199"/>
        <w:rPr>
          <w:rFonts w:hint="eastAsia" w:ascii="宋体" w:hAnsi="宋体" w:eastAsia="宋体" w:cs="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rPr>
      </w:r>
      <w:r/>
    </w:p>
    <w:p>
      <w:pPr>
        <w:pStyle w:val="898"/>
        <w:ind w:left="343" w:hanging="343"/>
        <w:rPr>
          <w:rFonts w:hint="eastAsia" w:ascii="宋体" w:hAnsi="宋体" w:eastAsia="宋体" w:cs="宋体"/>
          <w:color w:val="000000" w:themeColor="text1"/>
        </w:rPr>
      </w:pPr>
      <w:r/>
      <w:bookmarkStart w:id="516" w:name="_Toc22933"/>
      <w:r/>
      <w:bookmarkStart w:id="517" w:name="_Toc104818930"/>
      <w:r>
        <w:rPr>
          <w:rFonts w:hint="eastAsia" w:ascii="宋体" w:hAnsi="宋体" w:eastAsia="宋体" w:cs="宋体"/>
          <w:color w:val="000000" w:themeColor="text1"/>
        </w:rPr>
        <w:t xml:space="preserve">第七章 投标文件格式</w:t>
      </w:r>
      <w:bookmarkEnd w:id="516"/>
      <w:r/>
      <w:bookmarkEnd w:id="517"/>
      <w:r/>
      <w:r/>
    </w:p>
    <w:p>
      <w:pPr>
        <w:pStyle w:val="947"/>
        <w:ind w:firstLine="482"/>
        <w:spacing w:line="360" w:lineRule="auto"/>
        <w:rPr>
          <w:rFonts w:hint="eastAsia" w:eastAsia="宋体" w:cs="宋体"/>
          <w:b/>
          <w:color w:val="000000" w:themeColor="text1"/>
          <w:sz w:val="24"/>
          <w:szCs w:val="24"/>
        </w:rPr>
      </w:pPr>
      <w:r>
        <w:rPr>
          <w:rFonts w:hint="eastAsia" w:eastAsia="宋体" w:cs="宋体"/>
          <w:b/>
          <w:color w:val="000000" w:themeColor="text1"/>
          <w:sz w:val="24"/>
          <w:szCs w:val="24"/>
        </w:rPr>
        <w:t xml:space="preserve">投标人编制文件须知</w:t>
      </w:r>
      <w:r/>
    </w:p>
    <w:p>
      <w:pPr>
        <w:pStyle w:val="947"/>
        <w:ind w:firstLine="480"/>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947"/>
        <w:ind w:firstLine="480"/>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947"/>
        <w:ind w:firstLine="480"/>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3、全部声明和问题的回答及所附材料必须是真实的、准确的和完整的。</w:t>
      </w:r>
      <w:r/>
    </w:p>
    <w:p>
      <w:pPr>
        <w:pStyle w:val="947"/>
        <w:ind w:firstLine="480"/>
        <w:spacing w:line="360" w:lineRule="auto"/>
        <w:rPr>
          <w:rFonts w:hint="eastAsia" w:eastAsia="宋体" w:cs="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color w:val="000000" w:themeColor="text1"/>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eastAsia="宋体" w:cs="宋体"/>
          <w:b/>
          <w:color w:val="000000" w:themeColor="text1"/>
          <w:sz w:val="24"/>
        </w:rPr>
      </w:pPr>
      <w:r>
        <w:rPr>
          <w:rFonts w:hint="eastAsia" w:ascii="宋体" w:hAnsi="宋体" w:eastAsia="宋体" w:cs="宋体"/>
          <w:b/>
          <w:color w:val="000000" w:themeColor="text1"/>
          <w:spacing w:val="20"/>
          <w:sz w:val="24"/>
        </w:rPr>
        <w:t xml:space="preserve">投标文件</w:t>
      </w:r>
      <w:r>
        <w:rPr>
          <w:rFonts w:hint="eastAsia" w:ascii="宋体" w:hAnsi="宋体" w:eastAsia="宋体" w:cs="宋体"/>
          <w:b/>
          <w:color w:val="000000" w:themeColor="text1"/>
          <w:sz w:val="24"/>
        </w:rPr>
        <w:t xml:space="preserve">封面（非实质性格式）</w:t>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t xml:space="preserve">投 标 文件</w:t>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r>
      <w:r/>
    </w:p>
    <w:p>
      <w:pPr>
        <w:ind w:left="915" w:hanging="915"/>
        <w:jc w:val="center"/>
        <w:spacing w:line="360" w:lineRule="auto"/>
        <w:rPr>
          <w:rFonts w:hint="eastAsia" w:ascii="宋体" w:hAnsi="宋体" w:eastAsia="宋体" w:cs="宋体"/>
          <w:b/>
          <w:color w:val="000000" w:themeColor="text1"/>
          <w:spacing w:val="60"/>
          <w:sz w:val="84"/>
          <w:szCs w:val="84"/>
        </w:rPr>
      </w:pPr>
      <w:r>
        <w:rPr>
          <w:rFonts w:hint="eastAsia" w:ascii="宋体" w:hAnsi="宋体" w:eastAsia="宋体" w:cs="宋体"/>
          <w:b/>
          <w:color w:val="000000" w:themeColor="text1"/>
          <w:spacing w:val="60"/>
          <w:sz w:val="84"/>
          <w:szCs w:val="84"/>
        </w:rPr>
      </w:r>
      <w:r/>
    </w:p>
    <w:p>
      <w:pPr>
        <w:ind w:firstLine="1084"/>
        <w:rPr>
          <w:rFonts w:hint="eastAsia" w:ascii="宋体" w:hAnsi="宋体" w:eastAsia="宋体" w:cs="宋体"/>
          <w:b/>
          <w:color w:val="000000" w:themeColor="text1"/>
          <w:sz w:val="36"/>
        </w:rPr>
      </w:pPr>
      <w:r>
        <w:rPr>
          <w:rFonts w:hint="eastAsia" w:ascii="宋体" w:hAnsi="宋体" w:eastAsia="宋体" w:cs="宋体"/>
          <w:b/>
          <w:color w:val="000000" w:themeColor="text1"/>
          <w:sz w:val="36"/>
        </w:rPr>
        <w:t xml:space="preserve">项 目 名 称：</w:t>
      </w:r>
      <w:r/>
    </w:p>
    <w:p>
      <w:pPr>
        <w:ind w:firstLine="1084"/>
        <w:rPr>
          <w:rFonts w:hint="eastAsia" w:ascii="宋体" w:hAnsi="宋体" w:eastAsia="宋体" w:cs="宋体"/>
          <w:b/>
          <w:color w:val="000000" w:themeColor="text1"/>
          <w:sz w:val="36"/>
          <w:u w:val="single"/>
        </w:rPr>
      </w:pPr>
      <w:r>
        <w:rPr>
          <w:rFonts w:hint="eastAsia" w:ascii="宋体" w:hAnsi="宋体" w:eastAsia="宋体" w:cs="宋体"/>
          <w:b/>
          <w:color w:val="000000" w:themeColor="text1"/>
          <w:sz w:val="36"/>
        </w:rPr>
        <w:t xml:space="preserve">项 目 编 号：</w:t>
      </w:r>
      <w:r/>
    </w:p>
    <w:p>
      <w:pPr>
        <w:ind w:firstLine="1084"/>
        <w:rPr>
          <w:rFonts w:hint="eastAsia" w:ascii="宋体" w:hAnsi="宋体" w:eastAsia="宋体" w:cs="宋体"/>
          <w:b/>
          <w:color w:val="000000" w:themeColor="text1"/>
          <w:sz w:val="36"/>
        </w:rPr>
      </w:pPr>
      <w:r>
        <w:rPr>
          <w:rFonts w:hint="eastAsia" w:ascii="宋体" w:hAnsi="宋体" w:eastAsia="宋体" w:cs="宋体"/>
          <w:b/>
          <w:color w:val="000000" w:themeColor="text1"/>
          <w:sz w:val="36"/>
        </w:rPr>
        <w:t xml:space="preserve">投标人名称 ：</w:t>
      </w:r>
      <w:r/>
    </w:p>
    <w:p>
      <w:pPr>
        <w:ind w:firstLine="1084"/>
        <w:rPr>
          <w:rFonts w:hint="eastAsia" w:ascii="宋体" w:hAnsi="宋体" w:eastAsia="宋体" w:cs="宋体"/>
          <w:b/>
          <w:color w:val="000000" w:themeColor="text1"/>
          <w:sz w:val="36"/>
          <w:u w:val="single"/>
        </w:rPr>
      </w:pPr>
      <w:r>
        <w:rPr>
          <w:rFonts w:hint="eastAsia" w:ascii="宋体" w:hAnsi="宋体" w:eastAsia="宋体" w:cs="宋体"/>
          <w:b/>
          <w:color w:val="000000" w:themeColor="text1"/>
          <w:sz w:val="36"/>
        </w:rPr>
        <w:t xml:space="preserve">日      期 ：</w:t>
      </w:r>
      <w:r/>
    </w:p>
    <w:p>
      <w:pPr>
        <w:ind w:left="343" w:hanging="343"/>
        <w:rPr>
          <w:rFonts w:hint="eastAsia" w:ascii="宋体" w:hAnsi="宋体" w:eastAsia="宋体" w:cs="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36"/>
        </w:rPr>
      </w:r>
      <w:r/>
    </w:p>
    <w:p>
      <w:pPr>
        <w:ind w:left="267" w:hanging="267"/>
        <w:spacing w:line="360" w:lineRule="auto"/>
        <w:rPr>
          <w:rFonts w:hint="eastAsia" w:ascii="宋体" w:hAnsi="宋体" w:eastAsia="宋体" w:cs="宋体"/>
          <w:color w:val="000000" w:themeColor="text1"/>
          <w:sz w:val="28"/>
          <w:szCs w:val="28"/>
        </w:rPr>
        <w:outlineLvl w:val="2"/>
      </w:pPr>
      <w:r>
        <w:rPr>
          <w:rFonts w:hint="eastAsia" w:ascii="宋体" w:hAnsi="宋体" w:eastAsia="宋体" w:cs="宋体"/>
          <w:b/>
          <w:color w:val="000000" w:themeColor="text1"/>
          <w:sz w:val="28"/>
          <w:szCs w:val="28"/>
        </w:rPr>
        <w:t xml:space="preserve">一、资格证明文件</w:t>
      </w:r>
      <w:r/>
    </w:p>
    <w:p>
      <w:pPr>
        <w:ind w:left="228" w:hanging="228"/>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szCs w:val="20"/>
        </w:rPr>
        <w:t xml:space="preserve">1 </w:t>
      </w:r>
      <w:r>
        <w:rPr>
          <w:rFonts w:hint="eastAsia" w:ascii="宋体" w:hAnsi="宋体" w:eastAsia="宋体" w:cs="宋体"/>
          <w:color w:val="000000" w:themeColor="text1"/>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1-1投标人资格声明函（实质性格式）</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投标人资格声明函</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致：常州金诚招投标有限公司</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（采购人名称）</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一、我单位是按照中华人民共和国法律规定登记注册的，注册地点为</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，全称为</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，统一社会信用代码为</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，法定代表人（单位负责人）为</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，具有独立承担民事责任的能力</w:t>
      </w:r>
      <w:r>
        <w:rPr>
          <w:rFonts w:hint="eastAsia" w:ascii="宋体" w:hAnsi="宋体" w:eastAsia="宋体" w:cs="宋体"/>
          <w:b/>
          <w:color w:val="000000" w:themeColor="text1"/>
          <w:sz w:val="24"/>
        </w:rPr>
        <w:t xml:space="preserve">（如属于分公司经总公司授权参与项目，由总公司承担民事责任的，需提供总公司项目授权书）</w:t>
      </w:r>
      <w:r>
        <w:rPr>
          <w:rFonts w:hint="eastAsia" w:ascii="宋体" w:hAnsi="宋体" w:eastAsia="宋体" w:cs="宋体"/>
          <w:bCs/>
          <w:color w:val="000000" w:themeColor="text1"/>
          <w:sz w:val="24"/>
        </w:rPr>
        <w:t xml:space="preserve">。</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三、我单位依法进行纳税和社会保险申报并实际履行了义务。</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主要设备有：</w:t>
      </w:r>
      <w:r>
        <w:rPr>
          <w:rFonts w:hint="eastAsia" w:ascii="宋体" w:hAnsi="宋体" w:eastAsia="宋体" w:cs="宋体"/>
          <w:bCs/>
          <w:color w:val="000000" w:themeColor="text1"/>
          <w:sz w:val="24"/>
          <w:u w:val="single"/>
        </w:rPr>
        <w:t xml:space="preserve">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主要专业技术能力有：</w:t>
      </w:r>
      <w:r>
        <w:rPr>
          <w:rFonts w:hint="eastAsia" w:ascii="宋体" w:hAnsi="宋体" w:eastAsia="宋体" w:cs="宋体"/>
          <w:bCs/>
          <w:color w:val="000000" w:themeColor="text1"/>
          <w:sz w:val="24"/>
          <w:u w:val="single"/>
        </w:rPr>
        <w:t xml:space="preserve">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六、我单位具备法律、行政法规规定的其他条件。</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cs="宋体"/>
          <w:bCs/>
          <w:color w:val="000000" w:themeColor="text1"/>
          <w:sz w:val="24"/>
          <w:u w:val="single"/>
        </w:rPr>
      </w:pPr>
      <w:r>
        <w:rPr>
          <w:rFonts w:hint="eastAsia" w:ascii="宋体" w:hAnsi="宋体" w:eastAsia="宋体" w:cs="宋体"/>
          <w:bCs/>
          <w:color w:val="000000" w:themeColor="text1"/>
          <w:sz w:val="24"/>
        </w:rPr>
        <w:t xml:space="preserve">1、与我单位的法定代表人（单位负责人）为同一人的其他单位如下：</w:t>
      </w:r>
      <w:r>
        <w:rPr>
          <w:rFonts w:hint="eastAsia" w:ascii="宋体" w:hAnsi="宋体" w:eastAsia="宋体" w:cs="宋体"/>
          <w:bCs/>
          <w:color w:val="000000" w:themeColor="text1"/>
          <w:sz w:val="24"/>
          <w:u w:val="single"/>
        </w:rPr>
        <w:t xml:space="preserve">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2、我单位直接控股的其他单位如下：</w:t>
      </w:r>
      <w:r>
        <w:rPr>
          <w:rFonts w:hint="eastAsia" w:ascii="宋体" w:hAnsi="宋体" w:eastAsia="宋体" w:cs="宋体"/>
          <w:bCs/>
          <w:color w:val="000000" w:themeColor="text1"/>
          <w:sz w:val="24"/>
          <w:u w:val="single"/>
        </w:rPr>
        <w:t xml:space="preserve">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3、与我单位存在管理关系的其他单位如下：</w:t>
      </w:r>
      <w:r>
        <w:rPr>
          <w:rFonts w:hint="eastAsia" w:ascii="宋体" w:hAnsi="宋体" w:eastAsia="宋体" w:cs="宋体"/>
          <w:bCs/>
          <w:color w:val="000000" w:themeColor="text1"/>
          <w:sz w:val="24"/>
          <w:u w:val="single"/>
        </w:rPr>
        <w:t xml:space="preserve">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九、我单位无以下不良信用记录情形：</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1、在“信用中国”网站被列入失信被执行人和重大税收违法案件当事人名单；</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2、在“中国政府采购网”网站被列入政府采购严重违法失信行为记录名单；</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3、不符合《政府采购法》第二十二条规定的条件。</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投标人：（加盖公章）</w:t>
      </w:r>
      <w:r/>
    </w:p>
    <w:p>
      <w:pPr>
        <w:contextualSpacing/>
        <w:ind w:firstLine="480"/>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法定代表人（或单位负责人）签字或盖章：</w:t>
      </w:r>
      <w:r/>
    </w:p>
    <w:p>
      <w:pPr>
        <w:contextualSpacing/>
        <w:ind w:firstLine="480"/>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日期：    年    月    日</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1-2 营业执照（实质性格式）</w:t>
      </w:r>
      <w:r/>
    </w:p>
    <w:p>
      <w:pPr>
        <w:contextualSpacing/>
        <w:ind w:firstLine="480"/>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cs="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cs="宋体"/>
          <w:bCs/>
          <w:color w:val="000000" w:themeColor="text1"/>
          <w:sz w:val="24"/>
        </w:rPr>
        <w:t xml:space="preserve">加盖公章（双面）。</w:t>
      </w:r>
      <w:r/>
    </w:p>
    <w:p>
      <w:pPr>
        <w:contextualSpacing/>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spacing w:line="360" w:lineRule="auto"/>
        <w:rPr>
          <w:rFonts w:ascii="Calibri" w:hAnsi="Calibri" w:eastAsia="宋体" w:cs="Times New Roman"/>
          <w:sz w:val="24"/>
          <w:szCs w:val="20"/>
        </w:rPr>
        <w:outlineLvl w:val="2"/>
      </w:pPr>
      <w:r>
        <w:rPr>
          <w:rFonts w:ascii="Calibri" w:hAnsi="Calibri" w:eastAsia="宋体" w:cs="Times New Roman"/>
          <w:sz w:val="24"/>
          <w:szCs w:val="20"/>
        </w:rPr>
        <w:t xml:space="preserve">2 </w:t>
      </w:r>
      <w:r>
        <w:rPr>
          <w:rFonts w:ascii="Calibri" w:hAnsi="Calibri" w:eastAsia="宋体" w:cs="Times New Roman"/>
          <w:sz w:val="24"/>
          <w:szCs w:val="20"/>
        </w:rPr>
        <w:t xml:space="preserve">落实政府采购政策需满足的资格要求</w:t>
      </w:r>
      <w:r/>
    </w:p>
    <w:p>
      <w:pPr>
        <w:spacing w:line="360" w:lineRule="auto"/>
        <w:rPr>
          <w:rFonts w:ascii="Calibri" w:hAnsi="Calibri" w:eastAsia="宋体" w:cs="Times New Roman"/>
          <w:sz w:val="24"/>
        </w:rPr>
        <w:outlineLvl w:val="2"/>
      </w:pPr>
      <w:r>
        <w:rPr>
          <w:rFonts w:ascii="Calibri" w:hAnsi="Calibri" w:eastAsia="宋体" w:cs="Times New Roman"/>
          <w:sz w:val="24"/>
          <w:szCs w:val="20"/>
        </w:rPr>
        <w:t xml:space="preserve">2-1</w:t>
      </w:r>
      <w:r>
        <w:rPr>
          <w:rFonts w:ascii="Calibri" w:hAnsi="Calibri" w:eastAsia="宋体" w:cs="Times New Roman"/>
          <w:sz w:val="24"/>
          <w:szCs w:val="20"/>
        </w:rPr>
        <w:t xml:space="preserve">中小企业声明函</w:t>
      </w:r>
      <w:r/>
    </w:p>
    <w:p>
      <w:pPr>
        <w:spacing w:line="360" w:lineRule="auto"/>
        <w:tabs>
          <w:tab w:val="left" w:pos="5580" w:leader="none"/>
        </w:tabs>
        <w:rPr>
          <w:rFonts w:ascii="Calibri" w:hAnsi="Calibri" w:eastAsia="宋体" w:cs="Times New Roman"/>
          <w:sz w:val="24"/>
        </w:rPr>
      </w:pPr>
      <w:r>
        <w:rPr>
          <w:rFonts w:ascii="Calibri" w:hAnsi="Calibri" w:eastAsia="宋体" w:cs="Times New Roman"/>
          <w:sz w:val="24"/>
        </w:rPr>
        <w:t xml:space="preserve">说明：</w:t>
      </w:r>
      <w:r/>
    </w:p>
    <w:p>
      <w:pPr>
        <w:spacing w:line="360" w:lineRule="auto"/>
        <w:tabs>
          <w:tab w:val="left" w:pos="5580" w:leader="none"/>
        </w:tabs>
        <w:rPr>
          <w:rFonts w:ascii="Calibri" w:hAnsi="Calibri" w:eastAsia="宋体" w:cs="Times New Roman"/>
          <w:sz w:val="24"/>
        </w:rPr>
      </w:pPr>
      <w:r>
        <w:rPr>
          <w:rFonts w:ascii="Calibri" w:hAnsi="Calibri" w:eastAsia="宋体" w:cs="Times New Roman"/>
          <w:sz w:val="24"/>
        </w:rPr>
        <w:t xml:space="preserve">（</w:t>
      </w:r>
      <w:r>
        <w:rPr>
          <w:rFonts w:ascii="Calibri" w:hAnsi="Calibri" w:eastAsia="宋体" w:cs="Times New Roman"/>
          <w:sz w:val="24"/>
        </w:rPr>
        <w:t xml:space="preserve">1</w:t>
      </w:r>
      <w:r>
        <w:rPr>
          <w:rFonts w:ascii="Calibri" w:hAnsi="Calibri" w:eastAsia="宋体" w:cs="Times New Roman"/>
          <w:sz w:val="24"/>
        </w:rPr>
        <w:t xml:space="preserve">）如本项目（包）不专门面向中小企业预留采购份额，</w:t>
      </w:r>
      <w:r>
        <w:rPr>
          <w:rFonts w:hint="eastAsia" w:ascii="Calibri" w:hAnsi="Calibri" w:eastAsia="宋体" w:cs="Times New Roman"/>
          <w:sz w:val="24"/>
        </w:rPr>
        <w:t xml:space="preserve">资格证明文件部分</w:t>
      </w:r>
      <w:r>
        <w:rPr>
          <w:rFonts w:ascii="Calibri" w:hAnsi="Calibri" w:eastAsia="宋体" w:cs="Times New Roman"/>
          <w:sz w:val="24"/>
        </w:rPr>
        <w:t xml:space="preserve">无需提供《中小企业声明函》。</w:t>
      </w:r>
      <w:r/>
    </w:p>
    <w:p>
      <w:pPr>
        <w:spacing w:line="360" w:lineRule="auto"/>
        <w:tabs>
          <w:tab w:val="left" w:pos="5580" w:leader="none"/>
        </w:tabs>
        <w:rPr>
          <w:rFonts w:ascii="Calibri" w:hAnsi="Calibri" w:eastAsia="宋体" w:cs="Times New Roman"/>
          <w:sz w:val="24"/>
        </w:rPr>
      </w:pPr>
      <w:r>
        <w:rPr>
          <w:rFonts w:ascii="Calibri" w:hAnsi="Calibri" w:eastAsia="宋体" w:cs="Times New Roman"/>
          <w:sz w:val="24"/>
        </w:rPr>
        <w:t xml:space="preserve">（</w:t>
      </w:r>
      <w:r>
        <w:rPr>
          <w:rFonts w:ascii="Calibri" w:hAnsi="Calibri" w:eastAsia="宋体" w:cs="Times New Roman"/>
          <w:sz w:val="24"/>
        </w:rPr>
        <w:t xml:space="preserve">2</w:t>
      </w:r>
      <w:r>
        <w:rPr>
          <w:rFonts w:ascii="Calibri" w:hAnsi="Calibri" w:eastAsia="宋体" w:cs="Times New Roman"/>
          <w:sz w:val="24"/>
        </w:rPr>
        <w:t xml:space="preserve">）如本项目（包）专门面向中小</w:t>
      </w:r>
      <w:r>
        <w:rPr>
          <w:rFonts w:ascii="Calibri" w:hAnsi="Calibri" w:eastAsia="宋体" w:cs="Times New Roman"/>
          <w:sz w:val="24"/>
        </w:rPr>
        <w:t xml:space="preserve">/</w:t>
      </w:r>
      <w:r>
        <w:rPr>
          <w:rFonts w:ascii="Calibri" w:hAnsi="Calibri" w:eastAsia="宋体" w:cs="Times New Roman"/>
          <w:sz w:val="24"/>
        </w:rPr>
        <w:t xml:space="preserve">小微企业采购，须提供《中小企业声明函》</w:t>
      </w:r>
      <w:r>
        <w:rPr>
          <w:rFonts w:ascii="Calibri" w:hAnsi="Calibri" w:eastAsia="宋体" w:cs="Times New Roman"/>
          <w:sz w:val="24"/>
          <w:szCs w:val="20"/>
        </w:rPr>
        <w:t xml:space="preserve">（实质性格式）</w:t>
      </w:r>
      <w:r>
        <w:rPr>
          <w:rFonts w:ascii="Calibri" w:hAnsi="Calibri" w:eastAsia="宋体" w:cs="Times New Roman"/>
          <w:sz w:val="24"/>
        </w:rPr>
        <w:t xml:space="preserve">。</w:t>
      </w:r>
      <w:r/>
    </w:p>
    <w:p>
      <w:pPr>
        <w:spacing w:line="360" w:lineRule="auto"/>
        <w:tabs>
          <w:tab w:val="left" w:pos="5580" w:leader="none"/>
        </w:tabs>
        <w:rPr>
          <w:rFonts w:ascii="Calibri" w:hAnsi="Calibri" w:eastAsia="宋体" w:cs="Times New Roman"/>
          <w:sz w:val="24"/>
        </w:rPr>
      </w:pPr>
      <w:r>
        <w:rPr>
          <w:rFonts w:ascii="Calibri" w:hAnsi="Calibri" w:eastAsia="宋体" w:cs="Times New Roman"/>
          <w:sz w:val="24"/>
        </w:rPr>
        <w:t xml:space="preserve">（</w:t>
      </w:r>
      <w:r>
        <w:rPr>
          <w:rFonts w:ascii="Calibri" w:hAnsi="Calibri" w:eastAsia="宋体" w:cs="Times New Roman"/>
          <w:sz w:val="24"/>
        </w:rPr>
        <w:t xml:space="preserve">3</w:t>
      </w:r>
      <w:r>
        <w:rPr>
          <w:rFonts w:ascii="Calibri" w:hAnsi="Calibri" w:eastAsia="宋体" w:cs="Times New Roman"/>
          <w:sz w:val="24"/>
        </w:rPr>
        <w:t xml:space="preserve">）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）其他</w:t>
      </w:r>
      <w:r/>
    </w:p>
    <w:p>
      <w:pPr>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1</w:t>
      </w:r>
      <w:r>
        <w:rPr>
          <w:rFonts w:hint="eastAsia" w:ascii="Calibri" w:hAnsi="Calibri" w:eastAsia="宋体" w:cs="Times New Roman"/>
          <w:sz w:val="24"/>
        </w:rPr>
        <w:t xml:space="preserve">）中小企业参加政府采购活动，应当出具此格式文件。《中小企业声明函》由参加政府采购活动的投标人出具。联合体投标的，《中小企业声明函》由牵头人出具。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2</w:t>
      </w:r>
      <w:r>
        <w:rPr>
          <w:rFonts w:hint="eastAsia" w:ascii="Calibri" w:hAnsi="Calibri" w:eastAsia="宋体" w:cs="Times New Roman"/>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3</w:t>
      </w:r>
      <w:r>
        <w:rPr>
          <w:rFonts w:hint="eastAsia" w:ascii="Calibri" w:hAnsi="Calibri" w:eastAsia="宋体" w:cs="Times New Roman"/>
          <w:sz w:val="24"/>
        </w:rPr>
        <w:t xml:space="preserve">）对于多标的的采购项目，投标人应充分、准确地了解所投产品制造企业信息。对相关情况了解不清楚的，不建议填报本声明函。</w:t>
      </w:r>
      <w:r/>
    </w:p>
    <w:p>
      <w:pPr>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5</w:t>
      </w:r>
      <w:r>
        <w:rPr>
          <w:rFonts w:hint="eastAsia" w:ascii="Calibri" w:hAnsi="Calibri" w:eastAsia="宋体" w:cs="Times New Roman"/>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ascii="Calibri" w:hAnsi="Calibri" w:eastAsia="宋体" w:cs="Times New Roman"/>
          <w:sz w:val="24"/>
        </w:rPr>
      </w:pPr>
      <w:r>
        <w:rPr>
          <w:rFonts w:ascii="Calibri" w:hAnsi="Calibri" w:eastAsia="宋体" w:cs="Times New Roman"/>
          <w:sz w:val="24"/>
        </w:rPr>
      </w:r>
      <w:r/>
    </w:p>
    <w:p>
      <w:pPr>
        <w:jc w:val="left"/>
        <w:widowControl/>
        <w:rPr>
          <w:rFonts w:ascii="Calibri" w:hAnsi="Calibri" w:eastAsia="宋体" w:cs="Times New Roman"/>
          <w:sz w:val="24"/>
        </w:rPr>
      </w:pPr>
      <w:r>
        <w:rPr>
          <w:rFonts w:ascii="Calibri" w:hAnsi="Calibri" w:eastAsia="宋体" w:cs="Times New Roman"/>
          <w:sz w:val="24"/>
        </w:rPr>
        <w:br w:type="page" w:clear="all"/>
      </w:r>
      <w:r/>
    </w:p>
    <w:p>
      <w:pPr>
        <w:jc w:val="center"/>
        <w:spacing w:before="312" w:after="312" w:line="360" w:lineRule="auto"/>
        <w:rPr>
          <w:rFonts w:ascii="Calibri" w:hAnsi="Calibri" w:eastAsia="宋体" w:cs="Times New Roman"/>
          <w:b/>
          <w:sz w:val="36"/>
          <w:szCs w:val="36"/>
        </w:rPr>
      </w:pPr>
      <w:r>
        <w:rPr>
          <w:rFonts w:hint="eastAsia" w:ascii="Calibri" w:hAnsi="Calibri" w:eastAsia="宋体" w:cs="Times New Roman"/>
          <w:b/>
          <w:bCs/>
          <w:sz w:val="36"/>
          <w:szCs w:val="36"/>
        </w:rPr>
        <w:t xml:space="preserve">中小企业声明函（货物）格式</w:t>
      </w:r>
      <w:r/>
    </w:p>
    <w:p>
      <w:pPr>
        <w:ind w:firstLine="504"/>
        <w:spacing w:line="360" w:lineRule="auto"/>
        <w:rPr>
          <w:rFonts w:ascii="Calibri" w:hAnsi="Calibri" w:eastAsia="宋体" w:cs="Times New Roman"/>
          <w:spacing w:val="6"/>
          <w:sz w:val="24"/>
        </w:rPr>
      </w:pPr>
      <w:r>
        <w:rPr>
          <w:rFonts w:ascii="Calibri" w:hAnsi="Calibri" w:eastAsia="宋体" w:cs="Times New Roman"/>
          <w:spacing w:val="6"/>
          <w:sz w:val="24"/>
        </w:rPr>
        <w:t xml:space="preserve">本公司（联合体）郑重声明，根据《政府采购促进中小企业发展管理办法》（财库﹝</w:t>
      </w:r>
      <w:r>
        <w:rPr>
          <w:rFonts w:ascii="Calibri" w:hAnsi="Calibri" w:eastAsia="宋体" w:cs="Times New Roman"/>
          <w:spacing w:val="6"/>
          <w:sz w:val="24"/>
        </w:rPr>
        <w:t xml:space="preserve">2020</w:t>
      </w:r>
      <w:r>
        <w:rPr>
          <w:rFonts w:ascii="Calibri" w:hAnsi="Calibri" w:eastAsia="宋体" w:cs="Times New Roman"/>
          <w:spacing w:val="6"/>
          <w:sz w:val="24"/>
        </w:rPr>
        <w:t xml:space="preserve">﹞</w:t>
      </w:r>
      <w:r>
        <w:rPr>
          <w:rFonts w:ascii="Calibri" w:hAnsi="Calibri" w:eastAsia="宋体" w:cs="Times New Roman"/>
          <w:spacing w:val="6"/>
          <w:sz w:val="24"/>
        </w:rPr>
        <w:t xml:space="preserve">46 </w:t>
      </w:r>
      <w:r>
        <w:rPr>
          <w:rFonts w:ascii="Calibri" w:hAnsi="Calibri" w:eastAsia="宋体" w:cs="Times New Roman"/>
          <w:spacing w:val="6"/>
          <w:sz w:val="24"/>
        </w:rPr>
        <w:t xml:space="preserve">号）的规定，本公司（联合体）参加（单位名称）的（项目名称）采购活动，提供的货物全部由符合政策要求的中小企业制造。相关企业（含联合体中的中小企业、签订分包意向协议的中小企业）的具体情况如下：</w:t>
      </w:r>
      <w:r/>
    </w:p>
    <w:p>
      <w:pPr>
        <w:ind w:firstLine="504"/>
        <w:spacing w:line="360" w:lineRule="auto"/>
        <w:rPr>
          <w:rFonts w:ascii="Calibri" w:hAnsi="Calibri" w:eastAsia="宋体" w:cs="Times New Roman"/>
          <w:spacing w:val="6"/>
          <w:sz w:val="24"/>
        </w:rPr>
      </w:pPr>
      <w:r>
        <w:rPr>
          <w:rFonts w:ascii="Calibri" w:hAnsi="Calibri" w:eastAsia="宋体" w:cs="Times New Roman"/>
          <w:spacing w:val="6"/>
          <w:sz w:val="24"/>
        </w:rPr>
        <w:t xml:space="preserve">1.</w:t>
      </w:r>
      <w:r>
        <w:rPr>
          <w:rFonts w:ascii="Calibri" w:hAnsi="Calibri" w:eastAsia="宋体" w:cs="Times New Roman"/>
          <w:spacing w:val="6"/>
          <w:sz w:val="24"/>
          <w:u w:val="single"/>
        </w:rPr>
        <w:t xml:space="preserve">（标的名称）</w:t>
      </w:r>
      <w:r>
        <w:rPr>
          <w:rFonts w:ascii="Calibri" w:hAnsi="Calibri" w:eastAsia="宋体" w:cs="Times New Roman"/>
          <w:spacing w:val="6"/>
          <w:sz w:val="24"/>
        </w:rPr>
        <w:t xml:space="preserve">，属于</w:t>
      </w:r>
      <w:r>
        <w:rPr>
          <w:rFonts w:ascii="Calibri" w:hAnsi="Calibri" w:eastAsia="宋体" w:cs="Times New Roman"/>
          <w:spacing w:val="6"/>
          <w:sz w:val="24"/>
          <w:u w:val="single"/>
        </w:rPr>
        <w:t xml:space="preserve">（采购文件中明确的所属行业）</w:t>
      </w:r>
      <w:r>
        <w:rPr>
          <w:rFonts w:ascii="Calibri" w:hAnsi="Calibri" w:eastAsia="宋体" w:cs="Times New Roman"/>
          <w:spacing w:val="6"/>
          <w:sz w:val="24"/>
        </w:rPr>
        <w:t xml:space="preserve">行业；制造商为</w:t>
      </w:r>
      <w:r>
        <w:rPr>
          <w:rFonts w:ascii="Calibri" w:hAnsi="Calibri" w:eastAsia="宋体" w:cs="Times New Roman"/>
          <w:spacing w:val="6"/>
          <w:sz w:val="24"/>
          <w:u w:val="single"/>
        </w:rPr>
        <w:t xml:space="preserve">（企业名称）</w:t>
      </w:r>
      <w:r>
        <w:rPr>
          <w:rFonts w:ascii="Calibri" w:hAnsi="Calibri" w:eastAsia="宋体" w:cs="Times New Roman"/>
          <w:spacing w:val="6"/>
          <w:sz w:val="24"/>
        </w:rPr>
        <w:t xml:space="preserve">，从业人员</w:t>
      </w:r>
      <w:r>
        <w:rPr>
          <w:rFonts w:ascii="Calibri" w:hAnsi="Calibri" w:eastAsia="宋体" w:cs="Times New Roman"/>
          <w:spacing w:val="6"/>
          <w:sz w:val="24"/>
        </w:rPr>
        <w:t xml:space="preserve">______</w:t>
      </w:r>
      <w:r>
        <w:rPr>
          <w:rFonts w:ascii="Calibri" w:hAnsi="Calibri" w:eastAsia="宋体" w:cs="Times New Roman"/>
          <w:spacing w:val="6"/>
          <w:sz w:val="24"/>
        </w:rPr>
        <w:t xml:space="preserve">人，营业收入为</w:t>
      </w:r>
      <w:r>
        <w:rPr>
          <w:rFonts w:ascii="Calibri" w:hAnsi="Calibri" w:eastAsia="宋体" w:cs="Times New Roman"/>
          <w:spacing w:val="6"/>
          <w:sz w:val="24"/>
        </w:rPr>
        <w:t xml:space="preserve">______</w:t>
      </w:r>
      <w:r>
        <w:rPr>
          <w:rFonts w:ascii="Calibri" w:hAnsi="Calibri" w:eastAsia="宋体" w:cs="Times New Roman"/>
          <w:spacing w:val="6"/>
          <w:sz w:val="24"/>
        </w:rPr>
        <w:t xml:space="preserve">万元，资产总额为</w:t>
      </w:r>
      <w:r>
        <w:rPr>
          <w:rFonts w:ascii="Calibri" w:hAnsi="Calibri" w:eastAsia="宋体" w:cs="Times New Roman"/>
          <w:spacing w:val="6"/>
          <w:sz w:val="24"/>
        </w:rPr>
        <w:t xml:space="preserve">______</w:t>
      </w:r>
      <w:r>
        <w:rPr>
          <w:rFonts w:ascii="Calibri" w:hAnsi="Calibri" w:eastAsia="宋体" w:cs="Times New Roman"/>
          <w:spacing w:val="6"/>
          <w:sz w:val="24"/>
        </w:rPr>
        <w:t xml:space="preserve">万元</w:t>
      </w:r>
      <w:r>
        <w:rPr>
          <w:rFonts w:ascii="Calibri" w:hAnsi="Calibri" w:eastAsia="宋体" w:cs="Times New Roman"/>
          <w:spacing w:val="6"/>
          <w:sz w:val="24"/>
          <w:vertAlign w:val="superscript"/>
        </w:rPr>
        <w:t xml:space="preserve">1</w:t>
      </w:r>
      <w:r>
        <w:rPr>
          <w:rFonts w:ascii="Calibri" w:hAnsi="Calibri" w:eastAsia="宋体" w:cs="Times New Roman"/>
          <w:spacing w:val="6"/>
          <w:sz w:val="24"/>
        </w:rPr>
        <w:t xml:space="preserve">，属于（中型企业、小型企业、微型企业）；</w:t>
      </w:r>
      <w:r/>
    </w:p>
    <w:p>
      <w:pPr>
        <w:ind w:firstLine="504"/>
        <w:spacing w:line="360" w:lineRule="auto"/>
        <w:rPr>
          <w:rFonts w:ascii="Calibri" w:hAnsi="Calibri" w:eastAsia="宋体" w:cs="Times New Roman"/>
          <w:spacing w:val="6"/>
          <w:sz w:val="24"/>
        </w:rPr>
      </w:pPr>
      <w:r>
        <w:rPr>
          <w:rFonts w:ascii="Calibri" w:hAnsi="Calibri" w:eastAsia="宋体" w:cs="Times New Roman"/>
          <w:spacing w:val="6"/>
          <w:sz w:val="24"/>
        </w:rPr>
        <w:t xml:space="preserve">2.</w:t>
      </w:r>
      <w:r>
        <w:rPr>
          <w:rFonts w:ascii="Calibri" w:hAnsi="Calibri" w:eastAsia="宋体" w:cs="Times New Roman"/>
          <w:spacing w:val="6"/>
          <w:sz w:val="24"/>
          <w:u w:val="single"/>
        </w:rPr>
        <w:t xml:space="preserve">（标的名称）</w:t>
      </w:r>
      <w:r>
        <w:rPr>
          <w:rFonts w:ascii="Calibri" w:hAnsi="Calibri" w:eastAsia="宋体" w:cs="Times New Roman"/>
          <w:spacing w:val="6"/>
          <w:sz w:val="24"/>
        </w:rPr>
        <w:t xml:space="preserve">，属于</w:t>
      </w:r>
      <w:r>
        <w:rPr>
          <w:rFonts w:ascii="Calibri" w:hAnsi="Calibri" w:eastAsia="宋体" w:cs="Times New Roman"/>
          <w:spacing w:val="6"/>
          <w:sz w:val="24"/>
          <w:u w:val="single"/>
        </w:rPr>
        <w:t xml:space="preserve">（采购文件中明确的所属行业）</w:t>
      </w:r>
      <w:r>
        <w:rPr>
          <w:rFonts w:ascii="Calibri" w:hAnsi="Calibri" w:eastAsia="宋体" w:cs="Times New Roman"/>
          <w:spacing w:val="6"/>
          <w:sz w:val="24"/>
        </w:rPr>
        <w:t xml:space="preserve">行业；制造商为</w:t>
      </w:r>
      <w:r>
        <w:rPr>
          <w:rFonts w:ascii="Calibri" w:hAnsi="Calibri" w:eastAsia="宋体" w:cs="Times New Roman"/>
          <w:spacing w:val="6"/>
          <w:sz w:val="24"/>
          <w:u w:val="single"/>
        </w:rPr>
        <w:t xml:space="preserve">（企业名称）</w:t>
      </w:r>
      <w:r>
        <w:rPr>
          <w:rFonts w:ascii="Calibri" w:hAnsi="Calibri" w:eastAsia="宋体" w:cs="Times New Roman"/>
          <w:spacing w:val="6"/>
          <w:sz w:val="24"/>
        </w:rPr>
        <w:t xml:space="preserve">，从业人员</w:t>
      </w:r>
      <w:r>
        <w:rPr>
          <w:rFonts w:ascii="Calibri" w:hAnsi="Calibri" w:eastAsia="宋体" w:cs="Times New Roman"/>
          <w:spacing w:val="6"/>
          <w:sz w:val="24"/>
        </w:rPr>
        <w:t xml:space="preserve">______</w:t>
      </w:r>
      <w:r>
        <w:rPr>
          <w:rFonts w:ascii="Calibri" w:hAnsi="Calibri" w:eastAsia="宋体" w:cs="Times New Roman"/>
          <w:spacing w:val="6"/>
          <w:sz w:val="24"/>
        </w:rPr>
        <w:t xml:space="preserve">人，营业收入为</w:t>
      </w:r>
      <w:r>
        <w:rPr>
          <w:rFonts w:ascii="Calibri" w:hAnsi="Calibri" w:eastAsia="宋体" w:cs="Times New Roman"/>
          <w:spacing w:val="6"/>
          <w:sz w:val="24"/>
        </w:rPr>
        <w:t xml:space="preserve">______</w:t>
      </w:r>
      <w:r>
        <w:rPr>
          <w:rFonts w:ascii="Calibri" w:hAnsi="Calibri" w:eastAsia="宋体" w:cs="Times New Roman"/>
          <w:spacing w:val="6"/>
          <w:sz w:val="24"/>
        </w:rPr>
        <w:t xml:space="preserve">万元，资产总额为</w:t>
      </w:r>
      <w:r>
        <w:rPr>
          <w:rFonts w:ascii="Calibri" w:hAnsi="Calibri" w:eastAsia="宋体" w:cs="Times New Roman"/>
          <w:spacing w:val="6"/>
          <w:sz w:val="24"/>
        </w:rPr>
        <w:t xml:space="preserve">______</w:t>
      </w:r>
      <w:r>
        <w:rPr>
          <w:rFonts w:ascii="Calibri" w:hAnsi="Calibri" w:eastAsia="宋体" w:cs="Times New Roman"/>
          <w:spacing w:val="6"/>
          <w:sz w:val="24"/>
        </w:rPr>
        <w:t xml:space="preserve">万元，属于</w:t>
      </w:r>
      <w:r>
        <w:rPr>
          <w:rFonts w:ascii="Calibri" w:hAnsi="Calibri" w:eastAsia="宋体" w:cs="Times New Roman"/>
          <w:spacing w:val="6"/>
          <w:sz w:val="24"/>
          <w:u w:val="single"/>
        </w:rPr>
        <w:t xml:space="preserve">（中型企业、小型企业、微型企业）</w:t>
      </w:r>
      <w:r>
        <w:rPr>
          <w:rFonts w:ascii="Calibri" w:hAnsi="Calibri" w:eastAsia="宋体" w:cs="Times New Roman"/>
          <w:spacing w:val="6"/>
          <w:sz w:val="24"/>
        </w:rPr>
        <w:t xml:space="preserve">；</w:t>
      </w:r>
      <w:r/>
    </w:p>
    <w:p>
      <w:pPr>
        <w:ind w:firstLine="504"/>
        <w:spacing w:line="360" w:lineRule="auto"/>
        <w:rPr>
          <w:rFonts w:ascii="Calibri" w:hAnsi="Calibri" w:eastAsia="宋体" w:cs="Times New Roman"/>
          <w:spacing w:val="6"/>
          <w:sz w:val="24"/>
        </w:rPr>
      </w:pPr>
      <w:r>
        <w:rPr>
          <w:rFonts w:ascii="Calibri" w:hAnsi="Calibri" w:eastAsia="宋体" w:cs="Times New Roman"/>
          <w:spacing w:val="6"/>
          <w:sz w:val="24"/>
        </w:rPr>
        <w:t xml:space="preserve">……</w:t>
      </w:r>
      <w:r/>
    </w:p>
    <w:p>
      <w:pPr>
        <w:ind w:firstLine="504"/>
        <w:spacing w:line="360" w:lineRule="auto"/>
        <w:rPr>
          <w:rFonts w:ascii="Calibri" w:hAnsi="Calibri" w:eastAsia="宋体" w:cs="Times New Roman"/>
          <w:spacing w:val="6"/>
          <w:sz w:val="24"/>
        </w:rPr>
      </w:pPr>
      <w:r>
        <w:rPr>
          <w:rFonts w:ascii="Calibri" w:hAnsi="Calibri" w:eastAsia="宋体" w:cs="Times New Roman"/>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ascii="Calibri" w:hAnsi="Calibri" w:eastAsia="宋体" w:cs="Times New Roman"/>
          <w:spacing w:val="6"/>
          <w:sz w:val="24"/>
        </w:rPr>
      </w:pPr>
      <w:r>
        <w:rPr>
          <w:rFonts w:ascii="Calibri" w:hAnsi="Calibri" w:eastAsia="宋体" w:cs="Times New Roman"/>
          <w:spacing w:val="6"/>
          <w:sz w:val="24"/>
        </w:rPr>
        <w:t xml:space="preserve">本企业对上述声明内容的真实性负责。如有虚假，将依法承担相应责任。</w:t>
      </w:r>
      <w:r/>
    </w:p>
    <w:p>
      <w:pPr>
        <w:ind w:firstLine="504"/>
        <w:spacing w:line="360" w:lineRule="auto"/>
        <w:rPr>
          <w:rFonts w:ascii="Calibri" w:hAnsi="Calibri" w:eastAsia="宋体" w:cs="Times New Roman"/>
          <w:spacing w:val="6"/>
          <w:sz w:val="24"/>
        </w:rPr>
      </w:pPr>
      <w:r>
        <w:rPr>
          <w:rFonts w:ascii="Calibri" w:hAnsi="Calibri" w:eastAsia="宋体" w:cs="Times New Roman"/>
          <w:spacing w:val="6"/>
          <w:sz w:val="24"/>
        </w:rPr>
      </w:r>
      <w:r/>
    </w:p>
    <w:p>
      <w:pPr>
        <w:ind w:right="360" w:firstLine="480"/>
        <w:jc w:val="right"/>
        <w:spacing w:line="360" w:lineRule="auto"/>
        <w:rPr>
          <w:rFonts w:ascii="Calibri" w:hAnsi="Calibri" w:eastAsia="宋体" w:cs="Times New Roman"/>
          <w:sz w:val="24"/>
        </w:rPr>
      </w:pPr>
      <w:r>
        <w:rPr>
          <w:rFonts w:ascii="Calibri" w:hAnsi="Calibri" w:eastAsia="宋体" w:cs="Times New Roman"/>
          <w:sz w:val="24"/>
        </w:rPr>
        <w:t xml:space="preserve">企业名称（加盖公章）：</w:t>
      </w:r>
      <w:r>
        <w:rPr>
          <w:rFonts w:ascii="Calibri" w:hAnsi="Calibri" w:eastAsia="宋体" w:cs="Times New Roman"/>
          <w:sz w:val="24"/>
        </w:rPr>
        <w:t xml:space="preserve">________</w:t>
      </w:r>
      <w:r/>
    </w:p>
    <w:p>
      <w:pPr>
        <w:ind w:right="360" w:firstLine="480"/>
        <w:jc w:val="right"/>
        <w:spacing w:line="360" w:lineRule="auto"/>
        <w:rPr>
          <w:rFonts w:ascii="Calibri" w:hAnsi="Calibri" w:eastAsia="宋体" w:cs="Times New Roman"/>
          <w:sz w:val="24"/>
        </w:rPr>
      </w:pPr>
      <w:r>
        <w:rPr>
          <w:rFonts w:ascii="Calibri" w:hAnsi="Calibri" w:eastAsia="宋体" w:cs="Times New Roman"/>
          <w:sz w:val="24"/>
        </w:rPr>
        <w:t xml:space="preserve">日</w:t>
      </w:r>
      <w:r>
        <w:rPr>
          <w:rFonts w:ascii="Calibri" w:hAnsi="Calibri" w:eastAsia="宋体" w:cs="Times New Roman"/>
          <w:sz w:val="24"/>
        </w:rPr>
        <w:t xml:space="preserve"> </w:t>
      </w:r>
      <w:r>
        <w:rPr>
          <w:rFonts w:ascii="Calibri" w:hAnsi="Calibri" w:eastAsia="宋体" w:cs="Times New Roman"/>
          <w:sz w:val="24"/>
        </w:rPr>
        <w:t xml:space="preserve">期：</w:t>
      </w:r>
      <w:r>
        <w:rPr>
          <w:rFonts w:ascii="Calibri" w:hAnsi="Calibri" w:eastAsia="宋体" w:cs="Times New Roman"/>
          <w:sz w:val="24"/>
        </w:rPr>
        <w:t xml:space="preserve">________</w:t>
      </w:r>
      <w:r/>
    </w:p>
    <w:p>
      <w:pPr>
        <w:ind w:right="360" w:firstLine="480"/>
        <w:jc w:val="right"/>
        <w:spacing w:line="360" w:lineRule="auto"/>
        <w:rPr>
          <w:rFonts w:ascii="Calibri" w:hAnsi="Calibri" w:eastAsia="宋体" w:cs="Times New Roman"/>
          <w:sz w:val="24"/>
        </w:rPr>
      </w:pPr>
      <w:r>
        <w:rPr>
          <w:rFonts w:ascii="Calibri" w:hAnsi="Calibri" w:eastAsia="宋体" w:cs="Times New Roman"/>
          <w:sz w:val="24"/>
        </w:rPr>
      </w:r>
      <w:r/>
    </w:p>
    <w:p>
      <w:pPr>
        <w:ind w:right="360" w:firstLine="480"/>
        <w:jc w:val="right"/>
        <w:spacing w:line="360" w:lineRule="auto"/>
        <w:rPr>
          <w:rFonts w:ascii="Calibri" w:hAnsi="Calibri" w:eastAsia="宋体" w:cs="Times New Roman"/>
          <w:sz w:val="24"/>
        </w:rPr>
      </w:pPr>
      <w:r>
        <w:rPr>
          <w:rFonts w:ascii="Calibri" w:hAnsi="Calibri" w:eastAsia="宋体" w:cs="Times New Roman"/>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jc w:val="left"/>
              <w:rPr>
                <w:rFonts w:ascii="Calibri" w:hAnsi="Calibri" w:eastAsia="宋体" w:cs="Times New Roman"/>
                <w:szCs w:val="21"/>
              </w:rPr>
            </w:pPr>
            <w:r>
              <w:rPr>
                <w:rFonts w:ascii="Calibri" w:hAnsi="Calibri" w:eastAsia="宋体" w:cs="Times New Roman"/>
                <w:szCs w:val="21"/>
                <w:vertAlign w:val="superscript"/>
              </w:rPr>
              <w:t xml:space="preserve">1</w:t>
            </w:r>
            <w:r>
              <w:rPr>
                <w:rFonts w:ascii="Calibri" w:hAnsi="Calibri" w:eastAsia="宋体" w:cs="Times New Roman"/>
                <w:szCs w:val="21"/>
              </w:rPr>
              <w:t xml:space="preserve">从业人员、营业收入、资产总额填报上一年度数据，无上一年度数据的新成立企业可不填报。</w:t>
            </w:r>
            <w:r/>
          </w:p>
        </w:tc>
      </w:tr>
    </w:tbl>
    <w:p>
      <w:pPr>
        <w:ind w:firstLine="420"/>
        <w:jc w:val="left"/>
        <w:rPr>
          <w:rFonts w:ascii="Calibri" w:hAnsi="Calibri" w:eastAsia="宋体" w:cs="Times New Roman"/>
          <w:sz w:val="24"/>
        </w:rPr>
      </w:pPr>
      <w:r>
        <w:rPr>
          <w:rFonts w:ascii="Calibri" w:hAnsi="Calibri" w:eastAsia="宋体" w:cs="Times New Roman"/>
          <w:sz w:val="24"/>
        </w:rPr>
      </w:r>
      <w:r/>
    </w:p>
    <w:p>
      <w:pPr>
        <w:spacing w:line="276" w:lineRule="auto"/>
        <w:rPr>
          <w:rFonts w:hint="eastAsia" w:ascii="宋体" w:hAnsi="宋体" w:eastAsia="宋体" w:cs="黑体"/>
          <w:b/>
          <w:bCs/>
          <w:szCs w:val="21"/>
        </w:rPr>
      </w:pPr>
      <w:r>
        <w:rPr>
          <w:rFonts w:hint="eastAsia" w:ascii="宋体" w:hAnsi="宋体" w:eastAsia="宋体" w:cs="黑体"/>
          <w:b/>
          <w:bCs/>
          <w:szCs w:val="21"/>
        </w:rPr>
        <w:t xml:space="preserve">填写说明：</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1.（采购单位名称①）：填写本项目采购人单位名称，如常州市XXX局。</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2.</w:t>
      </w:r>
      <w:r>
        <w:rPr>
          <w:rFonts w:hint="eastAsia" w:ascii="宋体" w:hAnsi="宋体" w:eastAsia="宋体" w:cs="黑体"/>
          <w:szCs w:val="21"/>
        </w:rPr>
        <w:t xml:space="preserve">采购编号为②：填写本项目编号，如JSZC-3204XX-JZCG-G20XX-XX。</w:t>
      </w:r>
      <w:r/>
    </w:p>
    <w:p>
      <w:pPr>
        <w:ind w:firstLine="420"/>
        <w:spacing w:line="276" w:lineRule="auto"/>
        <w:rPr>
          <w:rFonts w:hint="eastAsia" w:ascii="宋体" w:hAnsi="宋体" w:eastAsia="宋体" w:cs="黑体"/>
          <w:szCs w:val="21"/>
        </w:rPr>
      </w:pPr>
      <w:r>
        <w:rPr>
          <w:rFonts w:hint="eastAsia" w:ascii="宋体" w:hAnsi="宋体" w:eastAsia="宋体" w:cs="黑体"/>
          <w:szCs w:val="21"/>
        </w:rPr>
        <w:t xml:space="preserve">3.（项目名称③）：填写本项目名称，如常州市XXX项目。</w:t>
      </w:r>
      <w:r/>
    </w:p>
    <w:p>
      <w:pPr>
        <w:ind w:firstLine="420"/>
        <w:spacing w:line="276" w:lineRule="auto"/>
        <w:rPr>
          <w:rFonts w:hint="eastAsia" w:ascii="宋体" w:hAnsi="宋体" w:eastAsia="宋体" w:cs="黑体"/>
          <w:szCs w:val="21"/>
        </w:rPr>
      </w:pPr>
      <w:r>
        <w:rPr>
          <w:rFonts w:hint="eastAsia" w:ascii="宋体" w:hAnsi="宋体" w:eastAsia="宋体" w:cs="黑体"/>
          <w:szCs w:val="21"/>
        </w:rPr>
        <w:t xml:space="preserve">4.（分包号：</w:t>
      </w:r>
      <w:r>
        <w:rPr>
          <w:rFonts w:hint="eastAsia" w:ascii="宋体" w:hAnsi="宋体" w:eastAsia="宋体" w:cs="Times New Roman"/>
          <w:szCs w:val="21"/>
        </w:rPr>
        <w:t xml:space="preserve">④</w:t>
      </w:r>
      <w:r>
        <w:rPr>
          <w:rFonts w:hint="eastAsia" w:ascii="宋体" w:hAnsi="宋体" w:eastAsia="宋体" w:cs="黑体"/>
          <w:szCs w:val="21"/>
        </w:rPr>
        <w:t xml:space="preserve">）：填写分包编号，如有分包的，分别填写分包号，没有的填“无”。</w:t>
      </w:r>
      <w:r/>
    </w:p>
    <w:p>
      <w:pPr>
        <w:ind w:firstLine="420"/>
        <w:spacing w:line="276" w:lineRule="auto"/>
        <w:rPr>
          <w:rFonts w:hint="eastAsia" w:ascii="宋体" w:hAnsi="宋体" w:eastAsia="宋体" w:cs="方正仿宋_GB18030"/>
          <w:szCs w:val="21"/>
        </w:rPr>
      </w:pPr>
      <w:r>
        <w:rPr>
          <w:rFonts w:hint="eastAsia" w:ascii="宋体" w:hAnsi="宋体" w:eastAsia="宋体" w:cs="黑体"/>
          <w:szCs w:val="21"/>
        </w:rPr>
        <w:t xml:space="preserve">5.（标的名称</w:t>
      </w:r>
      <w:r>
        <w:rPr>
          <w:rFonts w:hint="eastAsia" w:ascii="宋体" w:hAnsi="宋体" w:eastAsia="宋体" w:cs="Times New Roman"/>
          <w:szCs w:val="21"/>
        </w:rPr>
        <w:t xml:space="preserve">⑤</w:t>
      </w:r>
      <w:r>
        <w:rPr>
          <w:rFonts w:hint="eastAsia" w:ascii="宋体" w:hAnsi="宋体" w:eastAsia="宋体" w:cs="黑体"/>
          <w:szCs w:val="21"/>
        </w:rPr>
        <w:t xml:space="preserve">）：填写本项目标的名称，如有产品清单的请根据采购文件“第X章 采购需求”-“2.</w:t>
      </w:r>
      <w:r>
        <w:rPr>
          <w:rFonts w:hint="eastAsia" w:ascii="宋体" w:hAnsi="宋体" w:eastAsia="宋体" w:cs="Times New Roman"/>
          <w:szCs w:val="21"/>
        </w:rPr>
        <w:t xml:space="preserve"> 服务内容及要求/货物技术要求</w:t>
      </w:r>
      <w:r>
        <w:rPr>
          <w:rFonts w:hint="eastAsia" w:ascii="宋体" w:hAnsi="宋体" w:eastAsia="宋体" w:cs="黑体"/>
          <w:szCs w:val="21"/>
        </w:rPr>
        <w:t xml:space="preserve">”-“</w:t>
      </w:r>
      <w:r>
        <w:rPr>
          <w:rFonts w:hint="eastAsia" w:ascii="宋体" w:hAnsi="宋体" w:eastAsia="宋体" w:cs="Times New Roman"/>
          <w:szCs w:val="21"/>
        </w:rPr>
        <w:t xml:space="preserve">2.2产品清单</w:t>
      </w:r>
      <w:r>
        <w:rPr>
          <w:rFonts w:hint="eastAsia" w:ascii="宋体" w:hAnsi="宋体" w:eastAsia="宋体" w:cs="黑体"/>
          <w:szCs w:val="21"/>
        </w:rPr>
        <w:t xml:space="preserve">”中列出的名称进行填写，如：教室讲台、学生桌、台式计算机等；如没有产品清单的可以填项目名称。如货物涉及不同制造商的，须分别一一列出全部货物所对应的制造商及相关信息。建议格式为：标的名称</w:t>
      </w:r>
      <w:r>
        <w:rPr>
          <w:rFonts w:hint="eastAsia" w:ascii="宋体" w:hAnsi="宋体" w:eastAsia="宋体" w:cs="黑体"/>
          <w:szCs w:val="21"/>
        </w:rPr>
        <w:t xml:space="preserve">+（**货物1），属于（采购文件中明确的</w:t>
      </w:r>
      <w:r>
        <w:rPr>
          <w:rFonts w:hint="eastAsia" w:ascii="宋体" w:hAnsi="宋体" w:eastAsia="宋体" w:cs="方正仿宋_GB18030"/>
          <w:szCs w:val="21"/>
        </w:rPr>
        <w:t xml:space="preserve">所属行业）；制造商为**企业1。标的名称+（**货物2），属于（采购文件中明确的所属行业）；制造商为**企业2……。</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6.（采购文件中明确的所属行业</w:t>
      </w:r>
      <w:r>
        <w:rPr>
          <w:rFonts w:hint="eastAsia" w:ascii="宋体" w:hAnsi="宋体" w:eastAsia="宋体" w:cs="Times New Roman"/>
          <w:szCs w:val="21"/>
        </w:rPr>
        <w:t xml:space="preserve">⑥</w:t>
      </w:r>
      <w:r>
        <w:rPr>
          <w:rFonts w:hint="eastAsia" w:ascii="宋体" w:hAnsi="宋体" w:eastAsia="宋体" w:cs="方正仿宋_GB18030"/>
          <w:szCs w:val="21"/>
        </w:rPr>
        <w:t xml:space="preserve">）：填写本项目采购标的所属行业。须根据采购文件“第四章采购需求”表格中列明的所属行业进行填写。如：工业等。</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7.（企业名称</w:t>
      </w:r>
      <w:r>
        <w:rPr>
          <w:rFonts w:hint="eastAsia" w:ascii="宋体" w:hAnsi="宋体" w:eastAsia="宋体" w:cs="Times New Roman"/>
          <w:szCs w:val="21"/>
        </w:rPr>
        <w:t xml:space="preserve">⑦</w:t>
      </w:r>
      <w:r>
        <w:rPr>
          <w:rFonts w:hint="eastAsia" w:ascii="宋体" w:hAnsi="宋体" w:eastAsia="宋体" w:cs="方正仿宋_GB18030"/>
          <w:szCs w:val="21"/>
        </w:rPr>
        <w:t xml:space="preserve">）：填写</w:t>
      </w:r>
      <w:r>
        <w:rPr>
          <w:rFonts w:hint="eastAsia" w:ascii="宋体" w:hAnsi="宋体" w:eastAsia="宋体" w:cs="方正仿宋_GB18030"/>
          <w:b/>
          <w:bCs/>
          <w:szCs w:val="21"/>
        </w:rPr>
        <w:t xml:space="preserve">货物制造商的名称</w:t>
      </w:r>
      <w:r>
        <w:rPr>
          <w:rFonts w:hint="eastAsia" w:ascii="宋体" w:hAnsi="宋体" w:eastAsia="宋体" w:cs="方正仿宋_GB18030"/>
          <w:szCs w:val="21"/>
        </w:rPr>
        <w:t xml:space="preserve">，如XXX企业。</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8.从业人员</w:t>
      </w:r>
      <w:r>
        <w:rPr>
          <w:rFonts w:hint="eastAsia" w:ascii="宋体" w:hAnsi="宋体" w:eastAsia="宋体" w:cs="Times New Roman"/>
          <w:szCs w:val="21"/>
        </w:rPr>
        <w:t xml:space="preserve">⑧</w:t>
      </w:r>
      <w:r>
        <w:rPr>
          <w:rFonts w:hint="eastAsia" w:ascii="宋体" w:hAnsi="宋体" w:eastAsia="宋体" w:cs="方正仿宋_GB18030"/>
          <w:szCs w:val="21"/>
        </w:rPr>
        <w:t xml:space="preserve">人，营业收入为⑨万元，资产总额为⑩万元：填报</w:t>
      </w:r>
      <w:r>
        <w:rPr>
          <w:rFonts w:hint="eastAsia" w:ascii="宋体" w:hAnsi="宋体" w:eastAsia="宋体" w:cs="方正仿宋_GB18030"/>
          <w:b/>
          <w:szCs w:val="21"/>
        </w:rPr>
        <w:t xml:space="preserve">货物制造商</w:t>
      </w:r>
      <w:r>
        <w:rPr>
          <w:rFonts w:hint="eastAsia" w:ascii="宋体" w:hAnsi="宋体" w:eastAsia="宋体" w:cs="方正仿宋_GB18030"/>
          <w:szCs w:val="21"/>
        </w:rPr>
        <w:t xml:space="preserve">的从业人员、营业收入、资产总额上一年度数据，无上一年度数据的新成立企业可不填报。</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9.（中型企业、小型企业、微型企业</w:t>
      </w:r>
      <w:r>
        <w:rPr>
          <w:rFonts w:ascii="Cambria Math" w:hAnsi="Cambria Math" w:eastAsia="宋体" w:cs="Cambria Math"/>
          <w:szCs w:val="21"/>
          <w:u w:val="single"/>
        </w:rPr>
        <w:t xml:space="preserve">⑪</w:t>
      </w:r>
      <w:r>
        <w:rPr>
          <w:rFonts w:hint="eastAsia" w:ascii="宋体" w:hAnsi="宋体" w:eastAsia="宋体" w:cs="方正仿宋_GB18030"/>
          <w:szCs w:val="21"/>
        </w:rPr>
        <w:t xml:space="preserve">）：须根据</w:t>
      </w:r>
      <w:r>
        <w:rPr>
          <w:rFonts w:hint="eastAsia" w:ascii="宋体" w:hAnsi="宋体" w:eastAsia="宋体" w:cs="方正仿宋_GB18030"/>
          <w:b/>
          <w:bCs/>
          <w:szCs w:val="21"/>
        </w:rPr>
        <w:t xml:space="preserve">货物制造商</w:t>
      </w:r>
      <w:r>
        <w:rPr>
          <w:rFonts w:hint="eastAsia" w:ascii="宋体" w:hAnsi="宋体" w:eastAsia="宋体" w:cs="方正仿宋_GB18030"/>
          <w:szCs w:val="21"/>
        </w:rPr>
        <w:t xml:space="preserve">的企业规模情况填写中型企业、小型企业或微型企业</w:t>
      </w:r>
      <w:r>
        <w:rPr>
          <w:rFonts w:hint="eastAsia" w:ascii="宋体" w:hAnsi="宋体" w:eastAsia="宋体" w:cs="方正仿宋_GB18030"/>
          <w:b/>
          <w:bCs/>
          <w:szCs w:val="21"/>
        </w:rPr>
        <w:t xml:space="preserve">（只能填写三种其中的一种）</w:t>
      </w:r>
      <w:r>
        <w:rPr>
          <w:rFonts w:hint="eastAsia" w:ascii="宋体" w:hAnsi="宋体" w:eastAsia="宋体" w:cs="方正仿宋_GB18030"/>
          <w:szCs w:val="21"/>
        </w:rPr>
        <w:t xml:space="preserve">。中小企业划分见《关于印发中小企业划型标准规定的通知》（工信部联企业〔2011〕300号) 。</w:t>
      </w:r>
      <w:r/>
    </w:p>
    <w:p>
      <w:pPr>
        <w:ind w:firstLine="420"/>
        <w:spacing w:line="276" w:lineRule="auto"/>
        <w:rPr>
          <w:rFonts w:hint="eastAsia" w:ascii="宋体" w:hAnsi="宋体" w:eastAsia="宋体" w:cs="方正仿宋_GB18030"/>
          <w:szCs w:val="21"/>
        </w:rPr>
      </w:pPr>
      <w:r>
        <w:rPr>
          <w:rFonts w:hint="eastAsia" w:ascii="宋体" w:hAnsi="宋体" w:eastAsia="宋体" w:cs="方正仿宋_GB18030"/>
          <w:szCs w:val="21"/>
        </w:rPr>
        <w:t xml:space="preserve">10.企业名称（盖章）</w:t>
      </w:r>
      <w:r>
        <w:rPr>
          <w:rFonts w:ascii="Cambria Math" w:hAnsi="Cambria Math" w:eastAsia="宋体" w:cs="Cambria Math"/>
          <w:szCs w:val="21"/>
        </w:rPr>
        <w:t xml:space="preserve">⑫</w:t>
      </w:r>
      <w:r>
        <w:rPr>
          <w:rFonts w:hint="eastAsia" w:ascii="宋体" w:hAnsi="宋体" w:eastAsia="宋体" w:cs="方正仿宋_GB18030"/>
          <w:szCs w:val="21"/>
        </w:rPr>
        <w:t xml:space="preserve">：</w:t>
      </w:r>
      <w:r>
        <w:rPr>
          <w:rFonts w:hint="eastAsia" w:ascii="宋体" w:hAnsi="宋体" w:eastAsia="宋体" w:cs="Times New Roman"/>
          <w:szCs w:val="21"/>
        </w:rPr>
        <w:t xml:space="preserve">加盖</w:t>
      </w:r>
      <w:r>
        <w:rPr>
          <w:rFonts w:hint="eastAsia" w:ascii="宋体" w:hAnsi="宋体" w:eastAsia="宋体" w:cs="方正仿宋_GB18030"/>
          <w:b/>
          <w:bCs/>
          <w:szCs w:val="21"/>
        </w:rPr>
        <w:t xml:space="preserve">投标人或供应商</w:t>
      </w:r>
      <w:r>
        <w:rPr>
          <w:rFonts w:hint="eastAsia" w:ascii="宋体" w:hAnsi="宋体" w:eastAsia="宋体" w:cs="Times New Roman"/>
          <w:szCs w:val="21"/>
        </w:rPr>
        <w:t xml:space="preserve">CA电子公章</w:t>
      </w:r>
      <w:r>
        <w:rPr>
          <w:rFonts w:hint="eastAsia" w:ascii="宋体" w:hAnsi="宋体" w:eastAsia="宋体" w:cs="方正仿宋_GB18030"/>
          <w:szCs w:val="21"/>
        </w:rPr>
        <w:t xml:space="preserve">。</w:t>
      </w:r>
      <w:r/>
    </w:p>
    <w:p>
      <w:pPr>
        <w:ind w:firstLine="420"/>
        <w:spacing w:line="276" w:lineRule="auto"/>
        <w:rPr>
          <w:rFonts w:hint="eastAsia" w:ascii="宋体" w:hAnsi="宋体" w:eastAsia="宋体" w:cs="黑体"/>
          <w:szCs w:val="21"/>
        </w:rPr>
      </w:pPr>
      <w:r>
        <w:rPr>
          <w:rFonts w:hint="eastAsia" w:ascii="宋体" w:hAnsi="宋体" w:eastAsia="宋体" w:cs="黑体"/>
          <w:szCs w:val="21"/>
        </w:rPr>
        <w:t xml:space="preserve">11.如是</w:t>
      </w:r>
      <w:r>
        <w:rPr>
          <w:rFonts w:hint="eastAsia" w:ascii="宋体" w:hAnsi="宋体" w:eastAsia="宋体" w:cs="黑体"/>
          <w:b/>
          <w:szCs w:val="21"/>
        </w:rPr>
        <w:t xml:space="preserve">专门面向中小企业预留份额</w:t>
      </w:r>
      <w:r>
        <w:rPr>
          <w:rFonts w:hint="eastAsia" w:ascii="宋体" w:hAnsi="宋体" w:eastAsia="宋体" w:cs="黑体"/>
          <w:szCs w:val="21"/>
        </w:rPr>
        <w:t xml:space="preserve">的采购项目，供应商未提供此声明函的，资格审查不予通过，作为</w:t>
      </w:r>
      <w:r>
        <w:rPr>
          <w:rFonts w:hint="eastAsia" w:ascii="宋体" w:hAnsi="宋体" w:eastAsia="宋体" w:cs="黑体"/>
          <w:b/>
          <w:szCs w:val="21"/>
        </w:rPr>
        <w:t xml:space="preserve">无效投标（响应）</w:t>
      </w:r>
      <w:r>
        <w:rPr>
          <w:rFonts w:hint="eastAsia" w:ascii="宋体" w:hAnsi="宋体" w:eastAsia="宋体" w:cs="黑体"/>
          <w:szCs w:val="21"/>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方正仿宋_GB18030"/>
          <w:b/>
          <w:bCs/>
          <w:szCs w:val="21"/>
        </w:rPr>
        <w:t xml:space="preserve">货物制造商</w:t>
      </w:r>
      <w:r>
        <w:rPr>
          <w:rFonts w:hint="eastAsia" w:ascii="宋体" w:hAnsi="宋体" w:eastAsia="宋体" w:cs="黑体"/>
          <w:szCs w:val="21"/>
        </w:rPr>
        <w:t xml:space="preserve">是否属于中小微企业，并认真填写声明函，若有虚假将追究其责任。</w:t>
      </w:r>
      <w:r/>
    </w:p>
    <w:p>
      <w:pPr>
        <w:ind w:firstLine="480"/>
        <w:jc w:val="left"/>
        <w:spacing w:line="276" w:lineRule="auto"/>
        <w:widowControl/>
        <w:rPr>
          <w:rFonts w:ascii="宋体" w:hAnsi="宋体" w:eastAsia="宋体" w:cs="黑体"/>
          <w:szCs w:val="21"/>
        </w:rPr>
      </w:pPr>
      <w:r>
        <w:rPr>
          <w:rFonts w:ascii="宋体" w:hAnsi="宋体" w:eastAsia="宋体" w:cs="黑体"/>
          <w:szCs w:val="21"/>
        </w:rPr>
        <w:t xml:space="preserve">12.温馨提示</w:t>
      </w:r>
      <w:r/>
    </w:p>
    <w:p>
      <w:pPr>
        <w:ind w:firstLine="480"/>
        <w:jc w:val="left"/>
        <w:spacing w:line="276" w:lineRule="auto"/>
        <w:widowControl/>
        <w:rPr>
          <w:rFonts w:ascii="宋体" w:hAnsi="宋体" w:eastAsia="宋体" w:cs="黑体"/>
          <w:szCs w:val="21"/>
        </w:rPr>
      </w:pPr>
      <w:r>
        <w:rPr>
          <w:rFonts w:ascii="宋体" w:hAnsi="宋体" w:eastAsia="宋体" w:cs="黑体"/>
          <w:szCs w:val="21"/>
        </w:rPr>
        <w:t xml:space="preserve">（1）对于已纳入统计部门统计范围的企业，所属行业、从业人员、营业收入、资产总额、规模类型应与统计部门报表保持一致。</w:t>
      </w:r>
      <w:r/>
    </w:p>
    <w:p>
      <w:pPr>
        <w:ind w:firstLine="480"/>
        <w:jc w:val="left"/>
        <w:spacing w:line="276" w:lineRule="auto"/>
        <w:widowControl/>
        <w:rPr>
          <w:rFonts w:ascii="宋体" w:hAnsi="宋体" w:eastAsia="宋体" w:cs="黑体"/>
          <w:szCs w:val="21"/>
        </w:rPr>
      </w:pPr>
      <w:r>
        <w:rPr>
          <w:rFonts w:ascii="宋体" w:hAnsi="宋体" w:eastAsia="宋体" w:cs="黑体"/>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ind w:firstLine="480"/>
        <w:jc w:val="left"/>
        <w:spacing w:line="276" w:lineRule="auto"/>
        <w:widowControl/>
        <w:rPr>
          <w:rFonts w:ascii="宋体" w:hAnsi="宋体" w:eastAsia="宋体" w:cs="黑体"/>
          <w:szCs w:val="21"/>
        </w:rPr>
      </w:pPr>
      <w:r>
        <w:rPr>
          <w:rFonts w:ascii="宋体" w:hAnsi="宋体" w:eastAsia="宋体" w:cs="黑体"/>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ind w:firstLine="480"/>
        <w:jc w:val="left"/>
        <w:spacing w:line="276" w:lineRule="auto"/>
        <w:widowControl/>
        <w:rPr>
          <w:rFonts w:ascii="宋体" w:hAnsi="宋体" w:eastAsia="宋体" w:cs="黑体"/>
          <w:szCs w:val="21"/>
        </w:rPr>
      </w:pPr>
      <w:r>
        <w:rPr>
          <w:rFonts w:ascii="宋体" w:hAnsi="宋体" w:eastAsia="宋体" w:cs="黑体"/>
          <w:szCs w:val="21"/>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ind w:firstLine="480"/>
        <w:jc w:val="left"/>
        <w:spacing w:line="276" w:lineRule="auto"/>
        <w:widowControl/>
        <w:rPr>
          <w:rFonts w:ascii="宋体" w:hAnsi="宋体" w:eastAsia="宋体" w:cs="黑体"/>
          <w:szCs w:val="21"/>
        </w:rPr>
      </w:pPr>
      <w:r>
        <w:rPr>
          <w:rFonts w:ascii="宋体" w:hAnsi="宋体" w:eastAsia="宋体" w:cs="黑体"/>
          <w:szCs w:val="21"/>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ascii="宋体" w:hAnsi="宋体" w:eastAsia="宋体" w:cs="黑体"/>
          <w:b/>
          <w:szCs w:val="21"/>
        </w:rPr>
        <w:t xml:space="preserve">货物制造商</w:t>
      </w:r>
      <w:r>
        <w:rPr>
          <w:rFonts w:ascii="宋体" w:hAnsi="宋体" w:eastAsia="宋体" w:cs="黑体"/>
          <w:szCs w:val="21"/>
        </w:rPr>
        <w:t xml:space="preserve">的信息。</w:t>
      </w:r>
      <w:r/>
    </w:p>
    <w:p>
      <w:pPr>
        <w:ind w:firstLine="480"/>
        <w:jc w:val="left"/>
        <w:spacing w:line="276" w:lineRule="auto"/>
        <w:widowControl/>
        <w:rPr>
          <w:rFonts w:ascii="宋体" w:hAnsi="宋体" w:eastAsia="宋体" w:cs="黑体"/>
          <w:szCs w:val="21"/>
        </w:rPr>
      </w:pPr>
      <w:r>
        <w:rPr>
          <w:rFonts w:ascii="宋体" w:hAnsi="宋体" w:eastAsia="宋体" w:cs="黑体"/>
          <w:szCs w:val="21"/>
        </w:rPr>
        <w:t xml:space="preserve">（6）经调查发现供应商提供《中小企业声明函》内容与实际不符的，政府采购监管部门有权根据《中小企业声明函》与实际情况的差异视情形认定其是否属于虚假材料谋取中标。</w:t>
      </w:r>
      <w:r/>
    </w:p>
    <w:p>
      <w:pPr>
        <w:rPr>
          <w:rFonts w:hint="eastAsia" w:cs="Times New Roman"/>
        </w:rPr>
      </w:pPr>
      <w:r>
        <w:t xml:space="preserve">（</w:t>
      </w:r>
      <w:r>
        <w:t xml:space="preserve">7</w:t>
      </w:r>
      <w:r>
        <w:t xml:space="preserve">）根据《财政部关于规范政府采购行政处罚有关问题的通知》（财库〔</w:t>
      </w:r>
      <w:r>
        <w:t xml:space="preserve">2015</w:t>
      </w:r>
      <w:r>
        <w:t xml:space="preserve">〕</w:t>
      </w:r>
      <w:r>
        <w:t xml:space="preserve">150 </w:t>
      </w:r>
      <w:r>
        <w:t xml:space="preserve">号）规定，各级人民政府财政部门依法对供应商作出的禁止参加政府采购活动的行政处罚决定在全国范围内生效。</w:t>
      </w:r>
      <w:r/>
    </w:p>
    <w:p>
      <w:r>
        <w:br w:type="page" w:clear="all"/>
      </w:r>
      <w:r/>
    </w:p>
    <w:p>
      <w:pPr>
        <w:jc w:val="center"/>
        <w:spacing w:before="312" w:after="312" w:line="360" w:lineRule="auto"/>
        <w:rPr>
          <w:rFonts w:ascii="Calibri" w:hAnsi="Calibri" w:eastAsia="宋体" w:cs="Times New Roman"/>
          <w:b/>
          <w:sz w:val="36"/>
          <w:szCs w:val="36"/>
        </w:rPr>
      </w:pPr>
      <w:r>
        <w:rPr>
          <w:rFonts w:hint="eastAsia" w:ascii="Calibri" w:hAnsi="Calibri" w:eastAsia="宋体" w:cs="Times New Roman"/>
          <w:b/>
          <w:bCs/>
          <w:sz w:val="36"/>
          <w:szCs w:val="36"/>
        </w:rPr>
        <w:t xml:space="preserve">残疾人福利性单位声明函格式</w:t>
      </w:r>
      <w:r>
        <w:rPr>
          <w:rFonts w:ascii="Calibri" w:hAnsi="Calibri" w:eastAsia="宋体" w:cs="Times New Roman"/>
          <w:b/>
          <w:sz w:val="36"/>
          <w:szCs w:val="36"/>
        </w:rPr>
        <w:t xml:space="preserve">       </w:t>
      </w:r>
      <w:r/>
    </w:p>
    <w:p>
      <w:pPr>
        <w:ind w:firstLine="504"/>
        <w:spacing w:line="588" w:lineRule="exact"/>
        <w:rPr>
          <w:rFonts w:ascii="Calibri" w:hAnsi="Calibri" w:eastAsia="宋体" w:cs="Times New Roman"/>
          <w:spacing w:val="6"/>
          <w:sz w:val="24"/>
        </w:rPr>
      </w:pPr>
      <w:r>
        <w:rPr>
          <w:rFonts w:ascii="Calibri" w:hAnsi="Calibri" w:eastAsia="宋体" w:cs="Times New Roman"/>
          <w:spacing w:val="6"/>
          <w:sz w:val="24"/>
        </w:rPr>
        <w:t xml:space="preserve">本单位郑重声明，根据《财政部</w:t>
      </w:r>
      <w:r>
        <w:rPr>
          <w:rFonts w:ascii="Calibri" w:hAnsi="Calibri" w:eastAsia="宋体" w:cs="Times New Roman"/>
          <w:spacing w:val="6"/>
          <w:sz w:val="24"/>
        </w:rPr>
        <w:t xml:space="preserve"> </w:t>
      </w:r>
      <w:r>
        <w:rPr>
          <w:rFonts w:ascii="Calibri" w:hAnsi="Calibri" w:eastAsia="宋体" w:cs="Times New Roman"/>
          <w:spacing w:val="6"/>
          <w:sz w:val="24"/>
        </w:rPr>
        <w:t xml:space="preserve">民政部</w:t>
      </w:r>
      <w:r>
        <w:rPr>
          <w:rFonts w:ascii="Calibri" w:hAnsi="Calibri" w:eastAsia="宋体" w:cs="Times New Roman"/>
          <w:spacing w:val="6"/>
          <w:sz w:val="24"/>
        </w:rPr>
        <w:t xml:space="preserve"> </w:t>
      </w:r>
      <w:r>
        <w:rPr>
          <w:rFonts w:ascii="Calibri" w:hAnsi="Calibri" w:eastAsia="宋体" w:cs="Times New Roman"/>
          <w:spacing w:val="6"/>
          <w:sz w:val="24"/>
        </w:rPr>
        <w:t xml:space="preserve">中国残疾人联合会关于促进残疾人就业政府采购政策的通知》（财库</w:t>
      </w:r>
      <w:r>
        <w:rPr>
          <w:rFonts w:ascii="Calibri" w:hAnsi="Calibri" w:eastAsia="宋体" w:cs="Times New Roman"/>
          <w:sz w:val="24"/>
        </w:rPr>
        <w:t xml:space="preserve">〔</w:t>
      </w:r>
      <w:r>
        <w:rPr>
          <w:rFonts w:ascii="Calibri" w:hAnsi="Calibri" w:eastAsia="宋体" w:cs="Times New Roman"/>
          <w:sz w:val="24"/>
        </w:rPr>
        <w:t xml:space="preserve">2017</w:t>
      </w:r>
      <w:r>
        <w:rPr>
          <w:rFonts w:ascii="Calibri" w:hAnsi="Calibri" w:eastAsia="宋体" w:cs="Times New Roman"/>
          <w:sz w:val="24"/>
        </w:rPr>
        <w:t xml:space="preserve">〕</w:t>
      </w:r>
      <w:r>
        <w:rPr>
          <w:rFonts w:ascii="Calibri" w:hAnsi="Calibri" w:eastAsia="宋体" w:cs="Times New Roman"/>
          <w:sz w:val="24"/>
        </w:rPr>
        <w:t xml:space="preserve"> 141</w:t>
      </w:r>
      <w:r>
        <w:rPr>
          <w:rFonts w:ascii="Calibri" w:hAnsi="Calibri" w:eastAsia="宋体" w:cs="Times New Roman"/>
          <w:spacing w:val="6"/>
          <w:sz w:val="24"/>
        </w:rPr>
        <w:t xml:space="preserve">号）的规定，本单位</w:t>
      </w:r>
      <w:r>
        <w:rPr>
          <w:rFonts w:ascii="Calibri" w:hAnsi="Calibri" w:eastAsia="宋体" w:cs="Times New Roman"/>
          <w:b/>
          <w:sz w:val="24"/>
        </w:rPr>
        <w:t xml:space="preserve">（请进行勾选）</w:t>
      </w:r>
      <w:r>
        <w:rPr>
          <w:rFonts w:ascii="Calibri" w:hAnsi="Calibri" w:eastAsia="宋体" w:cs="Times New Roman"/>
          <w:spacing w:val="6"/>
          <w:sz w:val="24"/>
        </w:rPr>
        <w:t xml:space="preserve">：</w:t>
      </w:r>
      <w:r/>
    </w:p>
    <w:p>
      <w:pPr>
        <w:ind w:firstLine="482"/>
        <w:spacing w:line="588" w:lineRule="exact"/>
        <w:rPr>
          <w:rFonts w:ascii="Calibri" w:hAnsi="Calibri" w:eastAsia="宋体" w:cs="Times New Roman"/>
          <w:b/>
          <w:spacing w:val="6"/>
          <w:sz w:val="24"/>
        </w:rPr>
      </w:pPr>
      <w:r>
        <w:rPr>
          <w:rFonts w:ascii="Calibri" w:hAnsi="Calibri" w:eastAsia="宋体" w:cs="Times New Roman"/>
          <w:b/>
          <w:sz w:val="24"/>
        </w:rPr>
        <w:t xml:space="preserve">□</w:t>
      </w:r>
      <w:r>
        <w:rPr>
          <w:rFonts w:ascii="Calibri" w:hAnsi="Calibri" w:eastAsia="宋体" w:cs="Times New Roman"/>
          <w:b/>
          <w:spacing w:val="6"/>
          <w:sz w:val="24"/>
        </w:rPr>
        <w:t xml:space="preserve">不属于符合条件的残疾人福利性单位。</w:t>
      </w:r>
      <w:r/>
    </w:p>
    <w:p>
      <w:pPr>
        <w:ind w:firstLine="482"/>
        <w:spacing w:line="588" w:lineRule="exact"/>
        <w:rPr>
          <w:rFonts w:ascii="Calibri" w:hAnsi="Calibri" w:eastAsia="宋体" w:cs="Times New Roman"/>
          <w:spacing w:val="6"/>
          <w:sz w:val="24"/>
        </w:rPr>
      </w:pPr>
      <w:r>
        <w:rPr>
          <w:rFonts w:ascii="Calibri" w:hAnsi="Calibri" w:eastAsia="宋体" w:cs="Times New Roman"/>
          <w:b/>
          <w:sz w:val="24"/>
        </w:rPr>
        <w:t xml:space="preserve">□</w:t>
      </w:r>
      <w:r>
        <w:rPr>
          <w:rFonts w:ascii="Calibri" w:hAnsi="Calibri" w:eastAsia="宋体" w:cs="Times New Roman"/>
          <w:b/>
          <w:spacing w:val="6"/>
          <w:sz w:val="24"/>
        </w:rPr>
        <w:t xml:space="preserve">属于符合条件的残疾人福利性单位，</w:t>
      </w:r>
      <w:r>
        <w:rPr>
          <w:rFonts w:ascii="Calibri" w:hAnsi="Calibri" w:eastAsia="宋体" w:cs="Times New Roman"/>
          <w:spacing w:val="6"/>
          <w:sz w:val="24"/>
        </w:rPr>
        <w:t xml:space="preserve">且本单位参加</w:t>
      </w:r>
      <w:r>
        <w:rPr>
          <w:rFonts w:ascii="Calibri" w:hAnsi="Calibri" w:eastAsia="宋体" w:cs="Times New Roman"/>
          <w:spacing w:val="6"/>
          <w:sz w:val="24"/>
        </w:rPr>
        <w:t xml:space="preserve">______</w:t>
      </w:r>
      <w:r>
        <w:rPr>
          <w:rFonts w:ascii="Calibri" w:hAnsi="Calibri" w:eastAsia="宋体" w:cs="Times New Roman"/>
          <w:spacing w:val="6"/>
          <w:sz w:val="24"/>
        </w:rPr>
        <w:t xml:space="preserve">单位的</w:t>
      </w:r>
      <w:r>
        <w:rPr>
          <w:rFonts w:ascii="Calibri" w:hAnsi="Calibri" w:eastAsia="宋体" w:cs="Times New Roman"/>
          <w:spacing w:val="6"/>
          <w:sz w:val="24"/>
        </w:rPr>
        <w:t xml:space="preserve">______</w:t>
      </w:r>
      <w:r>
        <w:rPr>
          <w:rFonts w:ascii="Calibri" w:hAnsi="Calibri" w:eastAsia="宋体" w:cs="Times New Roman"/>
          <w:spacing w:val="6"/>
          <w:sz w:val="24"/>
        </w:rPr>
        <w:t xml:space="preserve">项目采购活动提供本单位制造的货物（由本单位承担工程</w:t>
      </w:r>
      <w:r>
        <w:rPr>
          <w:rFonts w:ascii="Calibri" w:hAnsi="Calibri" w:eastAsia="宋体" w:cs="Times New Roman"/>
          <w:spacing w:val="6"/>
          <w:sz w:val="24"/>
        </w:rPr>
        <w:t xml:space="preserve">/</w:t>
      </w:r>
      <w:r>
        <w:rPr>
          <w:rFonts w:ascii="Calibri" w:hAnsi="Calibri" w:eastAsia="宋体" w:cs="Times New Roman"/>
          <w:spacing w:val="6"/>
          <w:sz w:val="24"/>
        </w:rPr>
        <w:t xml:space="preserve">提供服务），或者提供其他残疾人福利性单位制造的货物（不包括使用非残疾人福利性单位注册商标的货物）。</w:t>
      </w:r>
      <w:r/>
    </w:p>
    <w:p>
      <w:pPr>
        <w:ind w:firstLine="506"/>
        <w:spacing w:line="588" w:lineRule="exact"/>
        <w:rPr>
          <w:rFonts w:ascii="Calibri" w:hAnsi="Calibri" w:eastAsia="宋体" w:cs="Times New Roman"/>
          <w:spacing w:val="6"/>
          <w:sz w:val="24"/>
        </w:rPr>
      </w:pPr>
      <w:r>
        <w:rPr>
          <w:rFonts w:ascii="Calibri" w:hAnsi="Calibri" w:eastAsia="宋体" w:cs="Times New Roman"/>
          <w:b/>
          <w:spacing w:val="6"/>
          <w:sz w:val="24"/>
        </w:rPr>
        <w:t xml:space="preserve">本单位对上述声明的真实性负责。如有虚假，将依法承担相应责任。</w:t>
      </w:r>
      <w:r/>
    </w:p>
    <w:p>
      <w:pPr>
        <w:ind w:firstLine="504"/>
        <w:spacing w:line="588" w:lineRule="exact"/>
        <w:rPr>
          <w:rFonts w:ascii="Calibri" w:hAnsi="Calibri" w:eastAsia="宋体" w:cs="Times New Roman"/>
          <w:spacing w:val="6"/>
          <w:sz w:val="24"/>
        </w:rPr>
      </w:pPr>
      <w:r>
        <w:rPr>
          <w:rFonts w:ascii="Calibri" w:hAnsi="Calibri" w:eastAsia="宋体" w:cs="Times New Roman"/>
          <w:spacing w:val="6"/>
          <w:sz w:val="24"/>
        </w:rPr>
      </w:r>
      <w:r/>
    </w:p>
    <w:p>
      <w:pPr>
        <w:ind w:firstLine="504"/>
        <w:spacing w:line="588" w:lineRule="exact"/>
        <w:rPr>
          <w:rFonts w:ascii="Calibri" w:hAnsi="Calibri" w:eastAsia="宋体" w:cs="Times New Roman"/>
          <w:spacing w:val="6"/>
          <w:sz w:val="24"/>
        </w:rPr>
      </w:pPr>
      <w:r>
        <w:rPr>
          <w:rFonts w:ascii="Calibri" w:hAnsi="Calibri" w:eastAsia="宋体" w:cs="Times New Roman"/>
          <w:spacing w:val="6"/>
          <w:sz w:val="24"/>
        </w:rPr>
      </w:r>
      <w:r/>
    </w:p>
    <w:p>
      <w:pPr>
        <w:ind w:right="1560" w:firstLine="504"/>
        <w:jc w:val="center"/>
        <w:spacing w:line="588" w:lineRule="exact"/>
        <w:tabs>
          <w:tab w:val="left" w:pos="4860" w:leader="none"/>
        </w:tabs>
        <w:rPr>
          <w:rFonts w:ascii="Calibri" w:hAnsi="Calibri" w:eastAsia="宋体" w:cs="Times New Roman"/>
          <w:spacing w:val="6"/>
          <w:sz w:val="24"/>
        </w:rPr>
      </w:pPr>
      <w:r>
        <w:rPr>
          <w:rFonts w:ascii="Calibri" w:hAnsi="Calibri" w:eastAsia="宋体" w:cs="Times New Roman"/>
          <w:spacing w:val="6"/>
          <w:sz w:val="24"/>
        </w:rPr>
        <w:t xml:space="preserve">               </w:t>
      </w:r>
      <w:r>
        <w:rPr>
          <w:rFonts w:ascii="Calibri" w:hAnsi="Calibri" w:eastAsia="宋体" w:cs="Times New Roman"/>
          <w:spacing w:val="6"/>
          <w:sz w:val="24"/>
        </w:rPr>
        <w:t xml:space="preserve">单位名称（加盖公章）：</w:t>
      </w:r>
      <w:r/>
    </w:p>
    <w:p>
      <w:pPr>
        <w:rPr>
          <w:rFonts w:hint="eastAsia" w:ascii="宋体" w:hAnsi="宋体" w:eastAsia="宋体" w:cs="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eastAsia="宋体" w:cs="Times New Roman"/>
          <w:spacing w:val="6"/>
          <w:sz w:val="24"/>
        </w:rPr>
        <w:t xml:space="preserve">      </w:t>
      </w:r>
      <w:r>
        <w:rPr>
          <w:rFonts w:hint="eastAsia" w:ascii="Calibri" w:hAnsi="Calibri" w:eastAsia="宋体" w:cs="Times New Roman"/>
          <w:spacing w:val="6"/>
          <w:sz w:val="24"/>
        </w:rPr>
        <w:t xml:space="preserve">                  </w:t>
      </w:r>
      <w:r>
        <w:rPr>
          <w:rFonts w:ascii="Calibri" w:hAnsi="Calibri" w:eastAsia="宋体" w:cs="Times New Roman"/>
          <w:spacing w:val="6"/>
          <w:sz w:val="24"/>
        </w:rPr>
        <w:t xml:space="preserve"> </w:t>
      </w:r>
      <w:r>
        <w:rPr>
          <w:rFonts w:ascii="Calibri" w:hAnsi="Calibri" w:eastAsia="宋体" w:cs="Times New Roman"/>
          <w:spacing w:val="6"/>
          <w:sz w:val="24"/>
        </w:rPr>
        <w:t xml:space="preserve">日</w:t>
      </w:r>
      <w:r>
        <w:rPr>
          <w:rFonts w:ascii="Calibri" w:hAnsi="Calibri" w:eastAsia="宋体" w:cs="Times New Roman"/>
          <w:spacing w:val="6"/>
          <w:sz w:val="24"/>
        </w:rPr>
        <w:t xml:space="preserve">  </w:t>
      </w:r>
      <w:r>
        <w:rPr>
          <w:rFonts w:ascii="Calibri" w:hAnsi="Calibri" w:eastAsia="宋体" w:cs="Times New Roman"/>
          <w:spacing w:val="6"/>
          <w:sz w:val="24"/>
        </w:rPr>
        <w:t xml:space="preserve">期：</w:t>
      </w:r>
      <w:r/>
    </w:p>
    <w:p>
      <w:pPr>
        <w:spacing w:line="360" w:lineRule="auto"/>
        <w:rPr>
          <w:rFonts w:hint="eastAsia" w:ascii="宋体" w:hAnsi="宋体" w:eastAsia="宋体" w:cs="宋体"/>
          <w:color w:val="000000" w:themeColor="text1"/>
          <w:sz w:val="28"/>
          <w:szCs w:val="28"/>
        </w:rPr>
        <w:outlineLvl w:val="2"/>
      </w:pPr>
      <w:r>
        <w:rPr>
          <w:rFonts w:hint="eastAsia" w:ascii="宋体" w:hAnsi="宋体" w:eastAsia="宋体" w:cs="宋体"/>
          <w:b/>
          <w:color w:val="000000" w:themeColor="text1"/>
          <w:sz w:val="28"/>
          <w:szCs w:val="28"/>
        </w:rPr>
        <w:t xml:space="preserve">二、商务技术文件格式</w:t>
      </w:r>
      <w:r/>
    </w:p>
    <w:p>
      <w:pPr>
        <w:ind w:left="228" w:hanging="228"/>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rPr>
        <w:t xml:space="preserve">1 投标函</w:t>
      </w:r>
      <w:r>
        <w:rPr>
          <w:rFonts w:hint="eastAsia" w:ascii="宋体" w:hAnsi="宋体" w:eastAsia="宋体" w:cs="宋体"/>
          <w:color w:val="000000" w:themeColor="text1"/>
          <w:sz w:val="24"/>
          <w:szCs w:val="20"/>
        </w:rPr>
        <w:t xml:space="preserve">（实质性格式）</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投标函</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致：常州金诚招投标有限公司</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（采购人名称）</w:t>
      </w:r>
      <w:r/>
    </w:p>
    <w:p>
      <w:pPr>
        <w:ind w:left="228" w:hanging="228"/>
        <w:spacing w:line="360" w:lineRule="auto"/>
        <w:tabs>
          <w:tab w:val="left" w:pos="5580" w:leader="none"/>
        </w:tabs>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1. 我方</w:t>
      </w:r>
      <w:r>
        <w:rPr>
          <w:rFonts w:hint="eastAsia" w:ascii="宋体" w:hAnsi="宋体" w:eastAsia="宋体" w:cs="宋体"/>
          <w:color w:val="000000" w:themeColor="text1"/>
          <w:sz w:val="24"/>
        </w:rPr>
        <w:t xml:space="preserve">已详细审查全部招标文件</w:t>
      </w:r>
      <w:r>
        <w:rPr>
          <w:rFonts w:hint="eastAsia" w:ascii="宋体" w:hAnsi="宋体" w:eastAsia="宋体" w:cs="宋体"/>
          <w:color w:val="000000" w:themeColor="text1"/>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（1）本投标有效期为自提交投标文件的截止之日起</w:t>
      </w:r>
      <w:r>
        <w:rPr>
          <w:rFonts w:hint="eastAsia" w:ascii="宋体" w:hAnsi="宋体" w:eastAsia="宋体" w:cs="宋体"/>
          <w:color w:val="000000" w:themeColor="text1"/>
          <w:sz w:val="24"/>
        </w:rPr>
        <w:t xml:space="preserve">60</w:t>
      </w:r>
      <w:r>
        <w:rPr>
          <w:rFonts w:hint="eastAsia" w:ascii="宋体" w:hAnsi="宋体" w:eastAsia="宋体" w:cs="宋体"/>
          <w:color w:val="000000" w:themeColor="text1"/>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 其他补充条款（如有）：</w:t>
      </w:r>
      <w:r>
        <w:rPr>
          <w:rFonts w:hint="eastAsia" w:ascii="宋体" w:hAnsi="宋体" w:eastAsia="宋体" w:cs="宋体"/>
          <w:color w:val="000000" w:themeColor="text1"/>
          <w:sz w:val="24"/>
          <w:szCs w:val="20"/>
        </w:rPr>
        <w:t xml:space="preserve">___________</w:t>
      </w:r>
      <w:r>
        <w:rPr>
          <w:rFonts w:hint="eastAsia" w:ascii="宋体" w:hAnsi="宋体" w:eastAsia="宋体" w:cs="宋体"/>
          <w:color w:val="000000" w:themeColor="text1"/>
          <w:sz w:val="24"/>
        </w:rPr>
        <w:t xml:space="preserve">。</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color w:val="000000" w:themeColor="text1"/>
          <w:sz w:val="24"/>
        </w:rPr>
        <w:t xml:space="preserve">与本投标有关的一切正式往来信函请寄：</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地址_________________________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传真_________________________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电话_________________________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电子函件_____________________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投标名称（加盖公章） 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日期：_____年______月______日    </w:t>
      </w:r>
      <w:r/>
    </w:p>
    <w:p>
      <w:pPr>
        <w:contextualSpacing/>
        <w:ind w:left="228" w:hanging="228"/>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r>
      <w:r/>
    </w:p>
    <w:p>
      <w:pPr>
        <w:ind w:left="228" w:hanging="228"/>
        <w:spacing w:line="360" w:lineRule="auto"/>
        <w:rPr>
          <w:rFonts w:hint="eastAsia" w:ascii="宋体" w:hAnsi="宋体" w:eastAsia="宋体" w:cs="宋体"/>
          <w:color w:val="000000" w:themeColor="text1"/>
          <w:sz w:val="24"/>
        </w:rPr>
        <w:outlineLvl w:val="2"/>
      </w:pPr>
      <w:r>
        <w:rPr>
          <w:rFonts w:hint="eastAsia" w:ascii="宋体" w:hAnsi="宋体" w:eastAsia="宋体" w:cs="宋体"/>
          <w:color w:val="000000" w:themeColor="text1"/>
          <w:sz w:val="24"/>
        </w:rPr>
        <w:t xml:space="preserve">2 法定代表人资格证明书（实质性格式）</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法定代表人资格证明书</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单位名称:</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地址:</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姓名:     性别:       年龄:      职务:</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系</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（投标单位名称）的法定代表人。为参与</w:t>
      </w:r>
      <w:r>
        <w:rPr>
          <w:rFonts w:hint="eastAsia" w:ascii="宋体" w:hAnsi="宋体" w:eastAsia="宋体" w:cs="宋体"/>
          <w:bCs/>
          <w:color w:val="000000" w:themeColor="text1"/>
          <w:sz w:val="24"/>
          <w:u w:val="single"/>
        </w:rPr>
        <w:t xml:space="preserve">      </w:t>
      </w:r>
      <w:r>
        <w:rPr>
          <w:rFonts w:hint="eastAsia" w:ascii="宋体" w:hAnsi="宋体" w:eastAsia="宋体" w:cs="宋体"/>
          <w:bCs/>
          <w:color w:val="000000" w:themeColor="text1"/>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特此证明。</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附：法定代表人（单位负责人）有效期内的身份证正反面</w:t>
      </w:r>
      <w:r>
        <w:rPr>
          <w:rFonts w:hint="eastAsia" w:ascii="宋体" w:hAnsi="宋体" w:eastAsia="宋体" w:cs="宋体"/>
          <w:color w:val="000000" w:themeColor="text1"/>
          <w:sz w:val="24"/>
        </w:rPr>
        <w:t xml:space="preserve">扫描件</w:t>
      </w:r>
      <w:r>
        <w:rPr>
          <w:rFonts w:hint="eastAsia" w:ascii="宋体" w:hAnsi="宋体" w:eastAsia="宋体" w:cs="宋体"/>
          <w:bCs/>
          <w:color w:val="000000" w:themeColor="text1"/>
          <w:sz w:val="24"/>
        </w:rPr>
        <w:t xml:space="preserve">。</w:t>
      </w:r>
      <w:r/>
    </w:p>
    <w:tbl>
      <w:tblPr>
        <w:tblW w:w="8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20"/>
        <w:gridCol w:w="3999"/>
      </w:tblGrid>
      <w:tr>
        <w:trPr>
          <w:trHeight w:val="1924"/>
        </w:trPr>
        <w:tc>
          <w:tcPr>
            <w:tcW w:w="4120" w:type="dxa"/>
            <w:textDirection w:val="lrTb"/>
            <w:noWrap w:val="false"/>
          </w:tcPr>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3999" w:type="dxa"/>
            <w:textDirection w:val="lrTb"/>
            <w:noWrap w:val="false"/>
          </w:tcPr>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bl>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投标人：（加盖公章）</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法定代表人签字或盖章：</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日期：    年    月    日</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说明：</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2.投标人为自然人的情形，可不提供本《法定代表人资格证明书》。。</w:t>
      </w:r>
      <w:r/>
    </w:p>
    <w:p>
      <w:pPr>
        <w:contextualSpacing/>
        <w:ind w:firstLine="480"/>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r>
      <w:r/>
    </w:p>
    <w:p>
      <w:pPr>
        <w:ind w:left="228" w:hanging="228"/>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szCs w:val="20"/>
        </w:rPr>
        <w:t xml:space="preserve">3 政府采购供应商信用承诺书（实质性格式）</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政府采购供应商信用承诺书</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九、根据政府采购相关法律法规的规定需要作出的其他承诺。 </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投标人名称（加盖公章）：____________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日期：_____年______月______日   </w:t>
      </w:r>
      <w:r/>
    </w:p>
    <w:p>
      <w:pPr>
        <w:ind w:left="228" w:hanging="228"/>
        <w:spacing w:line="360" w:lineRule="auto"/>
        <w:rPr>
          <w:rFonts w:hint="eastAsia" w:ascii="宋体" w:hAnsi="宋体" w:eastAsia="宋体" w:cs="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color w:val="000000" w:themeColor="text1"/>
          <w:sz w:val="24"/>
          <w:szCs w:val="20"/>
        </w:rPr>
      </w:r>
      <w:r/>
    </w:p>
    <w:p>
      <w:pPr>
        <w:ind w:left="228" w:hanging="228"/>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szCs w:val="20"/>
        </w:rPr>
        <w:t xml:space="preserve">4 开标一览表（实质性格式）</w:t>
      </w:r>
      <w:r/>
    </w:p>
    <w:p>
      <w:pPr>
        <w:ind w:left="343" w:hanging="343"/>
        <w:jc w:val="center"/>
        <w:spacing w:line="360" w:lineRule="exact"/>
        <w:rPr>
          <w:rFonts w:hint="eastAsia" w:ascii="宋体" w:hAnsi="宋体" w:eastAsia="宋体" w:cs="宋体"/>
          <w:b/>
          <w:color w:val="000000" w:themeColor="text1"/>
          <w:sz w:val="36"/>
          <w:szCs w:val="36"/>
        </w:rPr>
      </w:pPr>
      <w:r/>
      <w:bookmarkStart w:id="518" w:name="_Toc305158900"/>
      <w:r/>
      <w:bookmarkStart w:id="519" w:name="_Toc164608827"/>
      <w:r/>
      <w:bookmarkStart w:id="520" w:name="_Toc265228396"/>
      <w:r/>
      <w:bookmarkStart w:id="521" w:name="_Toc226337254"/>
      <w:r/>
      <w:bookmarkStart w:id="522" w:name="_Toc164608672"/>
      <w:r/>
      <w:bookmarkStart w:id="523" w:name="_Toc226965831"/>
      <w:r/>
      <w:bookmarkStart w:id="524" w:name="_Toc195842923"/>
      <w:r/>
      <w:bookmarkStart w:id="525" w:name="_Toc264969248"/>
      <w:r/>
      <w:bookmarkStart w:id="526" w:name="_Toc226965748"/>
      <w:r/>
      <w:bookmarkStart w:id="527" w:name="_Toc226309802"/>
      <w:r/>
      <w:bookmarkStart w:id="528" w:name="_Toc305158826"/>
      <w:r>
        <w:rPr>
          <w:rFonts w:hint="eastAsia" w:ascii="宋体" w:hAnsi="宋体" w:eastAsia="宋体" w:cs="宋体"/>
          <w:b/>
          <w:color w:val="000000" w:themeColor="text1"/>
          <w:sz w:val="36"/>
          <w:szCs w:val="36"/>
        </w:rPr>
        <w:t xml:space="preserve">开标一览表</w:t>
      </w:r>
      <w:bookmarkEnd w:id="518"/>
      <w:r/>
      <w:bookmarkEnd w:id="519"/>
      <w:r/>
      <w:bookmarkEnd w:id="520"/>
      <w:r/>
      <w:bookmarkEnd w:id="521"/>
      <w:r/>
      <w:bookmarkEnd w:id="522"/>
      <w:r/>
      <w:bookmarkEnd w:id="523"/>
      <w:r/>
      <w:bookmarkEnd w:id="524"/>
      <w:r/>
      <w:bookmarkEnd w:id="525"/>
      <w:r/>
      <w:bookmarkEnd w:id="526"/>
      <w:r/>
      <w:bookmarkEnd w:id="527"/>
      <w:r/>
      <w:bookmarkEnd w:id="528"/>
      <w:r/>
      <w:r/>
    </w:p>
    <w:p>
      <w:pPr>
        <w:ind w:left="228" w:hanging="228"/>
        <w:jc w:val="left"/>
        <w:spacing w:line="360" w:lineRule="auto"/>
        <w:tabs>
          <w:tab w:val="left" w:pos="1800" w:leader="none"/>
          <w:tab w:val="left" w:pos="5580" w:leader="none"/>
        </w:tabs>
        <w:rPr>
          <w:rFonts w:hint="eastAsia" w:ascii="宋体" w:hAnsi="宋体" w:eastAsia="宋体" w:cs="宋体"/>
          <w:i/>
          <w:color w:val="000000" w:themeColor="text1"/>
          <w:sz w:val="24"/>
        </w:rPr>
      </w:pPr>
      <w:r>
        <w:rPr>
          <w:rFonts w:hint="eastAsia" w:ascii="宋体" w:hAnsi="宋体" w:eastAsia="宋体" w:cs="宋体"/>
          <w:i/>
          <w:color w:val="000000" w:themeColor="text1"/>
          <w:sz w:val="24"/>
        </w:rPr>
      </w:r>
      <w:r/>
    </w:p>
    <w:p>
      <w:pPr>
        <w:ind w:firstLine="240"/>
        <w:jc w:val="left"/>
        <w:spacing w:line="360" w:lineRule="auto"/>
        <w:tabs>
          <w:tab w:val="left" w:pos="1800" w:leader="none"/>
          <w:tab w:val="left" w:pos="5580" w:leader="none"/>
        </w:tabs>
        <w:rPr>
          <w:rFonts w:hint="eastAsia" w:ascii="宋体" w:hAnsi="宋体" w:eastAsia="宋体" w:cs="宋体"/>
          <w:color w:val="000000" w:themeColor="text1"/>
          <w:sz w:val="24"/>
          <w:u w:val="single"/>
        </w:rPr>
      </w:pPr>
      <w:r>
        <w:rPr>
          <w:rFonts w:hint="eastAsia" w:ascii="宋体" w:hAnsi="宋体" w:eastAsia="宋体" w:cs="宋体"/>
          <w:color w:val="000000" w:themeColor="text1"/>
          <w:sz w:val="24"/>
        </w:rPr>
        <w:t xml:space="preserve">项目编号/包号：_____________________     项目名称：____________</w:t>
      </w:r>
      <w:r/>
    </w:p>
    <w:tbl>
      <w:tblPr>
        <w:tblW w:w="46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32"/>
        <w:gridCol w:w="3392"/>
        <w:gridCol w:w="1818"/>
        <w:gridCol w:w="1814"/>
      </w:tblGrid>
      <w:tr>
        <w:trPr>
          <w:jc w:val="center"/>
          <w:trHeight w:val="531"/>
        </w:trPr>
        <w:tc>
          <w:tcPr>
            <w:tcW w:w="412" w:type="pct"/>
            <w:vAlign w:val="center"/>
            <w:vMerge w:val="restart"/>
            <w:textDirection w:val="lrTb"/>
            <w:noWrap w:val="false"/>
          </w:tcPr>
          <w:p>
            <w:pPr>
              <w:ind w:left="229" w:hanging="229"/>
              <w:jc w:val="center"/>
              <w:tabs>
                <w:tab w:val="left" w:pos="5580" w:leader="none"/>
              </w:tabs>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序号</w:t>
            </w:r>
            <w:r/>
          </w:p>
        </w:tc>
        <w:tc>
          <w:tcPr>
            <w:tcW w:w="2214" w:type="pct"/>
            <w:vAlign w:val="center"/>
            <w:vMerge w:val="restart"/>
            <w:textDirection w:val="lrTb"/>
            <w:noWrap w:val="false"/>
          </w:tcPr>
          <w:p>
            <w:pPr>
              <w:ind w:left="229" w:hanging="229"/>
              <w:jc w:val="center"/>
              <w:tabs>
                <w:tab w:val="left" w:pos="5580" w:leader="none"/>
              </w:tabs>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投标人名称</w:t>
            </w:r>
            <w:r/>
          </w:p>
        </w:tc>
        <w:tc>
          <w:tcPr>
            <w:gridSpan w:val="2"/>
            <w:tcW w:w="2372" w:type="pct"/>
            <w:vAlign w:val="center"/>
            <w:textDirection w:val="lrTb"/>
            <w:noWrap w:val="false"/>
          </w:tcPr>
          <w:p>
            <w:pPr>
              <w:ind w:left="229" w:hanging="229"/>
              <w:jc w:val="center"/>
              <w:tabs>
                <w:tab w:val="left" w:pos="5580" w:leader="none"/>
              </w:tabs>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投标报价（元）</w:t>
            </w:r>
            <w:r/>
          </w:p>
        </w:tc>
      </w:tr>
      <w:tr>
        <w:trPr>
          <w:jc w:val="center"/>
          <w:trHeight w:val="405"/>
        </w:trPr>
        <w:tc>
          <w:tcPr>
            <w:tcW w:w="412" w:type="pct"/>
            <w:vAlign w:val="center"/>
            <w:vMerge w:val="continue"/>
            <w:textDirection w:val="lrTb"/>
            <w:noWrap w:val="false"/>
          </w:tcPr>
          <w:p>
            <w:pPr>
              <w:ind w:left="228" w:hanging="228"/>
              <w:jc w:val="center"/>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c>
          <w:tcPr>
            <w:tcW w:w="2214" w:type="pct"/>
            <w:vAlign w:val="center"/>
            <w:vMerge w:val="continue"/>
            <w:textDirection w:val="lrTb"/>
            <w:noWrap w:val="false"/>
          </w:tcPr>
          <w:p>
            <w:pPr>
              <w:ind w:left="228" w:hanging="228"/>
              <w:jc w:val="center"/>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c>
          <w:tcPr>
            <w:tcW w:w="1187" w:type="pct"/>
            <w:vAlign w:val="center"/>
            <w:textDirection w:val="lrTb"/>
            <w:noWrap w:val="false"/>
          </w:tcPr>
          <w:p>
            <w:pPr>
              <w:ind w:left="229" w:hanging="229"/>
              <w:jc w:val="center"/>
              <w:tabs>
                <w:tab w:val="left" w:pos="5580" w:leader="none"/>
              </w:tabs>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大写</w:t>
            </w:r>
            <w:r/>
          </w:p>
          <w:p>
            <w:pPr>
              <w:ind w:left="229" w:hanging="229"/>
              <w:jc w:val="center"/>
              <w:tabs>
                <w:tab w:val="left" w:pos="5580" w:leader="none"/>
              </w:tabs>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p>
        </w:tc>
        <w:tc>
          <w:tcPr>
            <w:tcW w:w="1185" w:type="pct"/>
            <w:vAlign w:val="center"/>
            <w:textDirection w:val="lrTb"/>
            <w:noWrap w:val="false"/>
          </w:tcPr>
          <w:p>
            <w:pPr>
              <w:ind w:left="229" w:hanging="229"/>
              <w:jc w:val="center"/>
              <w:tabs>
                <w:tab w:val="left" w:pos="5580" w:leader="none"/>
              </w:tabs>
              <w:rPr>
                <w:rFonts w:hint="eastAsia" w:ascii="宋体" w:hAnsi="宋体" w:eastAsia="宋体" w:cs="宋体"/>
                <w:b/>
                <w:color w:val="000000" w:themeColor="text1"/>
                <w:sz w:val="24"/>
              </w:rPr>
            </w:pPr>
            <w:r>
              <w:rPr>
                <w:rFonts w:hint="eastAsia" w:ascii="宋体" w:hAnsi="宋体" w:eastAsia="宋体" w:cs="宋体"/>
                <w:b/>
                <w:color w:val="000000" w:themeColor="text1"/>
                <w:sz w:val="24"/>
              </w:rPr>
              <w:t xml:space="preserve">小写</w:t>
            </w:r>
            <w:r/>
          </w:p>
          <w:p>
            <w:pPr>
              <w:tabs>
                <w:tab w:val="left" w:pos="5580" w:leader="none"/>
              </w:tabs>
              <w:rPr>
                <w:rFonts w:hint="eastAsia" w:ascii="宋体" w:hAnsi="宋体" w:eastAsia="宋体" w:cs="宋体"/>
                <w:b/>
                <w:color w:val="000000" w:themeColor="text1"/>
                <w:sz w:val="24"/>
              </w:rPr>
            </w:pPr>
            <w:r>
              <w:rPr>
                <w:rFonts w:hint="eastAsia" w:ascii="宋体" w:hAnsi="宋体" w:eastAsia="宋体" w:cs="宋体"/>
                <w:b/>
                <w:color w:val="000000" w:themeColor="text1"/>
                <w:sz w:val="24"/>
              </w:rPr>
            </w:r>
            <w:r/>
          </w:p>
        </w:tc>
      </w:tr>
      <w:tr>
        <w:trPr>
          <w:jc w:val="center"/>
          <w:trHeight w:val="976"/>
        </w:trPr>
        <w:tc>
          <w:tcPr>
            <w:tcW w:w="412" w:type="pct"/>
            <w:vAlign w:val="center"/>
            <w:textDirection w:val="lrTb"/>
            <w:noWrap w:val="false"/>
          </w:tcPr>
          <w:p>
            <w:pPr>
              <w:ind w:left="228" w:hanging="228"/>
              <w:jc w:val="center"/>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c>
          <w:tcPr>
            <w:tcW w:w="2214" w:type="pct"/>
            <w:vAlign w:val="center"/>
            <w:textDirection w:val="lrTb"/>
            <w:noWrap w:val="false"/>
          </w:tcPr>
          <w:p>
            <w:pPr>
              <w:ind w:left="228" w:hanging="228"/>
              <w:jc w:val="center"/>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c>
          <w:tcPr>
            <w:tcW w:w="1187" w:type="pct"/>
            <w:vAlign w:val="center"/>
            <w:textDirection w:val="lrTb"/>
            <w:noWrap w:val="false"/>
          </w:tcPr>
          <w:p>
            <w:pPr>
              <w:ind w:left="228" w:hanging="228"/>
              <w:jc w:val="center"/>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c>
          <w:tcPr>
            <w:tcW w:w="1185" w:type="pct"/>
            <w:vAlign w:val="center"/>
            <w:textDirection w:val="lrTb"/>
            <w:noWrap w:val="false"/>
          </w:tcPr>
          <w:p>
            <w:pPr>
              <w:ind w:left="228" w:hanging="228"/>
              <w:jc w:val="center"/>
              <w:tabs>
                <w:tab w:val="left" w:pos="558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bl>
    <w:p>
      <w:pPr>
        <w:ind w:left="228" w:hanging="228"/>
        <w:jc w:val="lef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228" w:hanging="228"/>
        <w:jc w:val="left"/>
        <w:rPr>
          <w:rFonts w:hint="eastAsia" w:ascii="宋体" w:hAnsi="宋体" w:eastAsia="宋体" w:cs="宋体"/>
          <w:color w:val="000000" w:themeColor="text1"/>
          <w:sz w:val="24"/>
          <w:szCs w:val="20"/>
        </w:rPr>
      </w:pPr>
      <w:r>
        <w:rPr>
          <w:rFonts w:hint="eastAsia" w:ascii="宋体" w:hAnsi="宋体" w:eastAsia="宋体" w:cs="宋体"/>
          <w:color w:val="000000" w:themeColor="text1"/>
          <w:sz w:val="24"/>
        </w:rPr>
        <w:t xml:space="preserve">注：1</w:t>
      </w:r>
      <w:r>
        <w:rPr>
          <w:rFonts w:hint="eastAsia" w:ascii="宋体" w:hAnsi="宋体" w:eastAsia="宋体" w:cs="宋体"/>
          <w:color w:val="000000" w:themeColor="text1"/>
          <w:sz w:val="24"/>
          <w:szCs w:val="20"/>
        </w:rPr>
        <w:t xml:space="preserve">.此表中，报价不得超过最高限价，否则视为无效投标。</w:t>
      </w:r>
      <w:r/>
    </w:p>
    <w:p>
      <w:pPr>
        <w:ind w:firstLine="480"/>
        <w:tabs>
          <w:tab w:val="left" w:pos="5580" w:leader="none"/>
        </w:tabs>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rPr>
        <w:t xml:space="preserve">2.本表必须按包分别填写。</w:t>
      </w:r>
      <w:r/>
    </w:p>
    <w:p>
      <w:pPr>
        <w:ind w:left="228" w:hanging="228"/>
        <w:spacing w:before="312" w:after="312" w:line="360" w:lineRule="auto"/>
        <w:rPr>
          <w:rFonts w:hint="eastAsia" w:ascii="宋体" w:hAnsi="宋体" w:eastAsia="宋体" w:cs="宋体"/>
          <w:color w:val="000000" w:themeColor="text1"/>
          <w:sz w:val="24"/>
          <w:lang w:val="zh-CN"/>
        </w:rPr>
      </w:pPr>
      <w:r>
        <w:rPr>
          <w:rFonts w:hint="eastAsia" w:ascii="宋体" w:hAnsi="宋体" w:eastAsia="宋体" w:cs="宋体"/>
          <w:color w:val="000000" w:themeColor="text1"/>
          <w:sz w:val="24"/>
          <w:lang w:val="zh-CN"/>
        </w:rPr>
      </w:r>
      <w:r/>
    </w:p>
    <w:p>
      <w:pPr>
        <w:ind w:left="228" w:hanging="228"/>
        <w:spacing w:before="312" w:after="312" w:line="360" w:lineRule="auto"/>
        <w:rPr>
          <w:rFonts w:hint="eastAsia" w:ascii="宋体" w:hAnsi="宋体" w:eastAsia="宋体" w:cs="宋体"/>
          <w:color w:val="000000" w:themeColor="text1"/>
          <w:sz w:val="24"/>
          <w:lang w:val="zh-CN"/>
        </w:rPr>
      </w:pPr>
      <w:r>
        <w:rPr>
          <w:rFonts w:hint="eastAsia" w:ascii="宋体" w:hAnsi="宋体" w:eastAsia="宋体" w:cs="宋体"/>
          <w:color w:val="000000" w:themeColor="text1"/>
          <w:sz w:val="24"/>
          <w:lang w:val="zh-CN"/>
        </w:rPr>
        <w:t xml:space="preserve">                         </w:t>
      </w:r>
      <w:r/>
    </w:p>
    <w:p>
      <w:pPr>
        <w:ind w:left="228" w:hanging="228"/>
        <w:spacing w:before="312" w:after="312" w:line="360" w:lineRule="auto"/>
        <w:rPr>
          <w:rFonts w:hint="eastAsia" w:ascii="宋体" w:hAnsi="宋体" w:eastAsia="宋体" w:cs="宋体"/>
          <w:color w:val="000000" w:themeColor="text1"/>
          <w:sz w:val="24"/>
          <w:lang w:val="zh-CN"/>
        </w:rPr>
      </w:pPr>
      <w:r>
        <w:rPr>
          <w:rFonts w:hint="eastAsia" w:ascii="宋体" w:hAnsi="宋体" w:eastAsia="宋体" w:cs="宋体"/>
          <w:color w:val="000000" w:themeColor="text1"/>
          <w:sz w:val="24"/>
        </w:rPr>
        <w:t xml:space="preserve">投标人名称（加盖公章）</w:t>
      </w:r>
      <w:r>
        <w:rPr>
          <w:rFonts w:hint="eastAsia" w:ascii="宋体" w:hAnsi="宋体" w:eastAsia="宋体" w:cs="宋体"/>
          <w:color w:val="000000" w:themeColor="text1"/>
          <w:sz w:val="24"/>
          <w:lang w:val="zh-CN"/>
        </w:rPr>
        <w:t xml:space="preserve">：____________</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color w:val="000000" w:themeColor="text1"/>
          <w:sz w:val="24"/>
          <w:szCs w:val="20"/>
        </w:rPr>
        <w:t xml:space="preserve">日期：_____年______月______日  </w:t>
      </w:r>
      <w:r/>
    </w:p>
    <w:p>
      <w:pPr>
        <w:contextualSpacing/>
        <w:ind w:left="228" w:hanging="228"/>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r>
      <w:r/>
    </w:p>
    <w:p>
      <w:pPr>
        <w:ind w:left="228" w:hanging="228"/>
        <w:spacing w:line="360" w:lineRule="auto"/>
        <w:rPr>
          <w:rFonts w:hint="eastAsia" w:ascii="宋体" w:hAnsi="宋体" w:cs="宋体"/>
          <w:color w:val="000000" w:themeColor="text1"/>
          <w:sz w:val="24"/>
          <w:szCs w:val="20"/>
        </w:rPr>
        <w:outlineLvl w:val="2"/>
      </w:pPr>
      <w:r>
        <w:rPr>
          <w:rFonts w:hint="eastAsia" w:ascii="宋体" w:hAnsi="宋体" w:eastAsia="宋体" w:cs="宋体"/>
          <w:color w:val="000000" w:themeColor="text1"/>
          <w:sz w:val="24"/>
          <w:szCs w:val="20"/>
        </w:rPr>
        <w:t xml:space="preserve">5 </w:t>
      </w:r>
      <w:r>
        <w:rPr>
          <w:rFonts w:hint="eastAsia" w:ascii="宋体" w:hAnsi="宋体" w:cs="宋体"/>
          <w:color w:val="000000" w:themeColor="text1"/>
          <w:sz w:val="24"/>
          <w:szCs w:val="20"/>
        </w:rPr>
        <w:t xml:space="preserve">分项报价表</w:t>
      </w:r>
      <w:r/>
    </w:p>
    <w:p>
      <w:pPr>
        <w:ind w:left="267" w:hanging="267"/>
        <w:jc w:val="center"/>
        <w:spacing w:line="360" w:lineRule="auto"/>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分项报价表</w:t>
      </w:r>
      <w:r/>
    </w:p>
    <w:p>
      <w:pPr>
        <w:ind w:left="228" w:hanging="228"/>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项目编号/包号：___________ 项目名称：__________报价单位：人民币元</w:t>
      </w:r>
      <w:r/>
    </w:p>
    <w:p>
      <w:pPr>
        <w:ind w:left="228" w:hanging="228"/>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bl>
      <w:tblPr>
        <w:tblW w:w="8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716"/>
        <w:gridCol w:w="727"/>
        <w:gridCol w:w="1246"/>
        <w:gridCol w:w="1677"/>
        <w:gridCol w:w="571"/>
        <w:gridCol w:w="576"/>
        <w:gridCol w:w="856"/>
        <w:gridCol w:w="1000"/>
      </w:tblGrid>
      <w:tr>
        <w:trPr>
          <w:cantSplit/>
          <w:jc w:val="center"/>
          <w:trHeight w:val="553"/>
        </w:trPr>
        <w:tc>
          <w:tcPr>
            <w:tcBorders>
              <w:top w:val="single" w:color="auto" w:sz="4" w:space="0"/>
              <w:left w:val="single" w:color="auto" w:sz="4" w:space="0"/>
              <w:bottom w:val="single" w:color="auto" w:sz="4" w:space="0"/>
              <w:right w:val="single" w:color="auto" w:sz="4" w:space="0"/>
            </w:tcBorders>
            <w:tcW w:w="729"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716"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分项</w:t>
            </w:r>
            <w:r/>
          </w:p>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名称</w:t>
            </w:r>
            <w:r/>
          </w:p>
        </w:tc>
        <w:tc>
          <w:tcPr>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品牌商标</w:t>
            </w:r>
            <w:r/>
          </w:p>
        </w:tc>
        <w:tc>
          <w:tcPr>
            <w:tcBorders>
              <w:top w:val="single" w:color="auto" w:sz="4" w:space="0"/>
              <w:left w:val="single" w:color="auto" w:sz="4" w:space="0"/>
              <w:bottom w:val="single" w:color="auto" w:sz="4" w:space="0"/>
              <w:right w:val="single" w:color="auto" w:sz="4" w:space="0"/>
            </w:tcBorders>
            <w:tcW w:w="1246"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规格型号</w:t>
            </w:r>
            <w:r/>
          </w:p>
        </w:tc>
        <w:tc>
          <w:tcPr>
            <w:tcBorders>
              <w:top w:val="single" w:color="auto" w:sz="4" w:space="0"/>
              <w:left w:val="single" w:color="auto" w:sz="4" w:space="0"/>
              <w:bottom w:val="single" w:color="auto" w:sz="4" w:space="0"/>
              <w:right w:val="single" w:color="auto" w:sz="4" w:space="0"/>
            </w:tcBorders>
            <w:tcW w:w="1677"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技术参数</w:t>
            </w:r>
            <w:r/>
          </w:p>
        </w:tc>
        <w:tc>
          <w:tcPr>
            <w:tcBorders>
              <w:top w:val="single" w:color="auto" w:sz="4" w:space="0"/>
              <w:left w:val="single" w:color="auto" w:sz="4" w:space="0"/>
              <w:bottom w:val="single" w:color="auto" w:sz="4" w:space="0"/>
              <w:right w:val="single" w:color="auto" w:sz="4" w:space="0"/>
            </w:tcBorders>
            <w:tcW w:w="571"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数量</w:t>
            </w:r>
            <w:r/>
          </w:p>
        </w:tc>
        <w:tc>
          <w:tcPr>
            <w:tcBorders>
              <w:top w:val="single" w:color="auto" w:sz="4" w:space="0"/>
              <w:left w:val="single" w:color="auto" w:sz="4" w:space="0"/>
              <w:bottom w:val="single" w:color="auto" w:sz="4" w:space="0"/>
              <w:right w:val="single" w:color="auto" w:sz="4" w:space="0"/>
            </w:tcBorders>
            <w:tcW w:w="576" w:type="dxa"/>
            <w:vAlign w:val="center"/>
            <w:vMerge w:val="restart"/>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85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投标价格</w:t>
            </w:r>
            <w:r/>
          </w:p>
        </w:tc>
      </w:tr>
      <w:tr>
        <w:trPr>
          <w:cantSplit/>
          <w:jc w:val="center"/>
          <w:trHeight w:val="553"/>
        </w:trPr>
        <w:tc>
          <w:tcPr>
            <w:tcBorders>
              <w:top w:val="single" w:color="auto" w:sz="4" w:space="0"/>
              <w:left w:val="single" w:color="auto" w:sz="4" w:space="0"/>
              <w:bottom w:val="single" w:color="auto" w:sz="4" w:space="0"/>
              <w:right w:val="single" w:color="auto" w:sz="4" w:space="0"/>
            </w:tcBorders>
            <w:tcW w:w="729"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16"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46"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677"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1"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6" w:type="dxa"/>
            <w:vAlign w:val="center"/>
            <w:vMerge w:val="continue"/>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单价</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合价</w:t>
            </w:r>
            <w:r/>
          </w:p>
        </w:tc>
      </w:tr>
      <w:tr>
        <w:trPr>
          <w:jc w:val="center"/>
          <w:trHeight w:val="567"/>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1"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57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Height w:val="579"/>
        </w:trPr>
        <w:tc>
          <w:tcPr>
            <w:gridSpan w:val="7"/>
            <w:tcBorders>
              <w:top w:val="single" w:color="auto" w:sz="4" w:space="0"/>
              <w:left w:val="single" w:color="auto" w:sz="4" w:space="0"/>
              <w:bottom w:val="single" w:color="auto" w:sz="4" w:space="0"/>
              <w:right w:val="single" w:color="auto" w:sz="4" w:space="0"/>
            </w:tcBorders>
            <w:tcW w:w="6242"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合     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228" w:hanging="228"/>
        <w:spacing w:line="360" w:lineRule="auto"/>
        <w:tabs>
          <w:tab w:val="left" w:pos="1800" w:leader="none"/>
          <w:tab w:val="left" w:pos="5580" w:leader="none"/>
        </w:tabs>
        <w:rPr>
          <w:rFonts w:hint="eastAsia" w:ascii="宋体" w:hAnsi="宋体" w:cs="宋体"/>
          <w:color w:val="000000" w:themeColor="text1"/>
          <w:sz w:val="24"/>
        </w:rPr>
      </w:pPr>
      <w:r>
        <w:rPr>
          <w:rFonts w:hint="eastAsia" w:ascii="宋体" w:hAnsi="宋体" w:cs="宋体"/>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color w:val="000000" w:themeColor="text1"/>
          <w:sz w:val="24"/>
        </w:rPr>
        <w:t xml:space="preserve">注：</w:t>
      </w:r>
      <w:r>
        <w:rPr>
          <w:color w:val="000000" w:themeColor="text1"/>
          <w:sz w:val="24"/>
        </w:rPr>
        <w:t xml:space="preserve">1.</w:t>
      </w:r>
      <w:r>
        <w:rPr>
          <w:color w:val="000000" w:themeColor="text1"/>
          <w:sz w:val="24"/>
        </w:rPr>
        <w:t xml:space="preserve">本表应按包分别填写。</w:t>
      </w:r>
      <w:r/>
    </w:p>
    <w:p>
      <w:pPr>
        <w:ind w:firstLine="480"/>
        <w:jc w:val="left"/>
        <w:tabs>
          <w:tab w:val="left" w:pos="1800" w:leader="none"/>
          <w:tab w:val="left" w:pos="5580" w:leader="none"/>
        </w:tabs>
        <w:rPr>
          <w:color w:val="000000" w:themeColor="text1"/>
          <w:sz w:val="24"/>
        </w:rPr>
      </w:pPr>
      <w:r>
        <w:rPr>
          <w:color w:val="000000" w:themeColor="text1"/>
          <w:sz w:val="24"/>
        </w:rPr>
        <w:t xml:space="preserve">2.</w:t>
      </w:r>
      <w:r>
        <w:rPr>
          <w:color w:val="000000" w:themeColor="text1"/>
          <w:sz w:val="24"/>
        </w:rPr>
        <w:t xml:space="preserve">如果不提供分项报价将视为没有实质性响应招标文件。</w:t>
      </w:r>
      <w:r/>
    </w:p>
    <w:p>
      <w:pPr>
        <w:ind w:firstLine="480"/>
        <w:jc w:val="left"/>
        <w:tabs>
          <w:tab w:val="left" w:pos="1800" w:leader="none"/>
          <w:tab w:val="left" w:pos="5580" w:leader="none"/>
        </w:tabs>
        <w:rPr>
          <w:color w:val="000000" w:themeColor="text1"/>
          <w:sz w:val="24"/>
        </w:rPr>
      </w:pPr>
      <w:r>
        <w:rPr>
          <w:color w:val="000000" w:themeColor="text1"/>
          <w:sz w:val="24"/>
        </w:rPr>
        <w:t xml:space="preserve">3.</w:t>
      </w:r>
      <w:r>
        <w:rPr>
          <w:rFonts w:hint="eastAsia"/>
          <w:color w:val="000000" w:themeColor="text1"/>
          <w:sz w:val="24"/>
        </w:rPr>
        <w:t xml:space="preserve">本表行数可以按照项目分项情况增加，但不能对已有内容进行更改。</w:t>
      </w:r>
      <w:r/>
    </w:p>
    <w:p>
      <w:pPr>
        <w:ind w:firstLine="480"/>
        <w:jc w:val="left"/>
        <w:tabs>
          <w:tab w:val="left" w:pos="1800" w:leader="none"/>
          <w:tab w:val="left" w:pos="5580" w:leader="none"/>
        </w:tabs>
        <w:rPr>
          <w:color w:val="000000" w:themeColor="text1"/>
          <w:sz w:val="24"/>
        </w:rPr>
      </w:pPr>
      <w:r>
        <w:rPr>
          <w:rFonts w:hint="eastAsia"/>
          <w:color w:val="000000" w:themeColor="text1"/>
          <w:sz w:val="24"/>
        </w:rPr>
        <w:t xml:space="preserve">4.</w:t>
      </w:r>
      <w:r>
        <w:rPr>
          <w:color w:val="000000" w:themeColor="text1"/>
          <w:sz w:val="24"/>
        </w:rPr>
        <w:t xml:space="preserve">上述各项的</w:t>
      </w:r>
      <w:r>
        <w:rPr>
          <w:rFonts w:hint="eastAsia"/>
          <w:color w:val="000000" w:themeColor="text1"/>
          <w:sz w:val="24"/>
        </w:rPr>
        <w:t xml:space="preserve">服务内容如表格中填写不下的</w:t>
      </w:r>
      <w:r>
        <w:rPr>
          <w:color w:val="000000" w:themeColor="text1"/>
          <w:sz w:val="24"/>
        </w:rPr>
        <w:t xml:space="preserve">，可</w:t>
      </w:r>
      <w:r>
        <w:rPr>
          <w:rFonts w:hint="eastAsia"/>
          <w:color w:val="000000" w:themeColor="text1"/>
          <w:sz w:val="24"/>
        </w:rPr>
        <w:t xml:space="preserve">以逐项</w:t>
      </w:r>
      <w:r>
        <w:rPr>
          <w:color w:val="000000" w:themeColor="text1"/>
          <w:sz w:val="24"/>
        </w:rPr>
        <w:t xml:space="preserve">另页描述。</w:t>
      </w:r>
      <w:r/>
    </w:p>
    <w:p>
      <w:pPr>
        <w:pStyle w:val="908"/>
        <w:rPr>
          <w:rFonts w:hint="eastAsia"/>
          <w:color w:val="000000" w:themeColor="text1"/>
        </w:rPr>
      </w:pPr>
      <w:r>
        <w:rPr>
          <w:rFonts w:hint="eastAsia"/>
          <w:color w:val="000000" w:themeColor="text1"/>
        </w:rPr>
      </w:r>
      <w:r/>
    </w:p>
    <w:p>
      <w:pPr>
        <w:jc w:val="left"/>
        <w:rPr>
          <w:rFonts w:hint="eastAsia" w:ascii="宋体" w:hAnsi="宋体" w:cs="宋体"/>
          <w:color w:val="000000" w:themeColor="text1"/>
          <w:sz w:val="24"/>
          <w:szCs w:val="20"/>
        </w:rPr>
      </w:pPr>
      <w:r>
        <w:rPr>
          <w:rFonts w:hint="eastAsia" w:ascii="宋体" w:hAnsi="宋体" w:cs="宋体"/>
          <w:color w:val="000000" w:themeColor="text1"/>
          <w:sz w:val="24"/>
          <w:szCs w:val="20"/>
        </w:rPr>
      </w:r>
      <w:r/>
    </w:p>
    <w:p>
      <w:pPr>
        <w:spacing w:before="312" w:after="312" w:line="360" w:lineRule="auto"/>
        <w:rPr>
          <w:rFonts w:hint="eastAsia" w:ascii="宋体" w:hAnsi="宋体" w:cs="宋体"/>
          <w:color w:val="000000" w:themeColor="text1"/>
          <w:sz w:val="24"/>
          <w:lang w:val="zh-CN"/>
        </w:rPr>
      </w:pPr>
      <w:r>
        <w:rPr>
          <w:rFonts w:hint="eastAsia" w:ascii="宋体" w:hAnsi="宋体" w:cs="宋体"/>
          <w:color w:val="000000" w:themeColor="text1"/>
          <w:sz w:val="24"/>
        </w:rPr>
        <w:t xml:space="preserve">投标人名称（加盖公章）</w:t>
      </w:r>
      <w:r>
        <w:rPr>
          <w:rFonts w:hint="eastAsia" w:ascii="宋体" w:hAnsi="宋体" w:cs="宋体"/>
          <w:color w:val="000000" w:themeColor="text1"/>
          <w:sz w:val="24"/>
          <w:lang w:val="zh-CN"/>
        </w:rPr>
        <w:t xml:space="preserve">：____________</w:t>
      </w:r>
      <w:r/>
    </w:p>
    <w:p>
      <w:pPr>
        <w:pStyle w:val="908"/>
        <w:ind w:left="228" w:hanging="228"/>
        <w:spacing w:before="312" w:line="360" w:lineRule="auto"/>
        <w:rPr>
          <w:rFonts w:hint="eastAsia" w:cs="宋体"/>
          <w:color w:val="000000" w:themeColor="text1"/>
        </w:rPr>
      </w:pPr>
      <w:r>
        <w:rPr>
          <w:rFonts w:hint="eastAsia" w:cs="宋体"/>
          <w:color w:val="000000" w:themeColor="text1"/>
          <w:szCs w:val="20"/>
        </w:rPr>
        <w:t xml:space="preserve">日期：_____年______月______日</w:t>
      </w:r>
      <w:r/>
    </w:p>
    <w:p>
      <w:pPr>
        <w:ind w:left="228" w:hanging="228"/>
        <w:jc w:val="left"/>
        <w:widowControl/>
        <w:rPr>
          <w:rFonts w:hint="eastAsia" w:ascii="宋体" w:hAnsi="宋体" w:cs="宋体"/>
          <w:color w:val="000000" w:themeColor="text1"/>
          <w:sz w:val="24"/>
          <w:szCs w:val="20"/>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 w:val="24"/>
          <w:szCs w:val="20"/>
        </w:rPr>
      </w:r>
      <w:r/>
    </w:p>
    <w:p>
      <w:pPr>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szCs w:val="20"/>
        </w:rPr>
        <w:t xml:space="preserve">6合同条款偏离表</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合同条款偏离表</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项目编号/包号：</w:t>
      </w:r>
      <w:r>
        <w:rPr>
          <w:rFonts w:hint="eastAsia" w:ascii="宋体" w:hAnsi="宋体" w:eastAsia="宋体" w:cs="宋体"/>
          <w:bCs/>
          <w:color w:val="000000" w:themeColor="text1"/>
          <w:sz w:val="24"/>
          <w:u w:val="single"/>
        </w:rPr>
        <w:t xml:space="preserve">_______________  </w:t>
      </w:r>
      <w:r>
        <w:rPr>
          <w:rFonts w:hint="eastAsia" w:ascii="宋体" w:hAnsi="宋体" w:eastAsia="宋体" w:cs="宋体"/>
          <w:bCs/>
          <w:color w:val="000000" w:themeColor="text1"/>
          <w:sz w:val="24"/>
        </w:rPr>
        <w:t xml:space="preserve">   项目名称：</w:t>
      </w:r>
      <w:r>
        <w:rPr>
          <w:rFonts w:hint="eastAsia" w:ascii="宋体" w:hAnsi="宋体" w:eastAsia="宋体" w:cs="宋体"/>
          <w:bCs/>
          <w:color w:val="000000" w:themeColor="text1"/>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对本项目合同条款的偏离情况（请进行勾选）：</w:t>
            </w:r>
            <w:r/>
          </w:p>
          <w:p>
            <w:pPr>
              <w:contextualSpacing/>
              <w:ind w:left="228" w:hanging="228"/>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□无偏离（如无偏离，仅勾选无偏离即可）</w:t>
            </w:r>
            <w:r/>
          </w:p>
          <w:p>
            <w:pPr>
              <w:contextualSpacing/>
              <w:ind w:left="228" w:hanging="228"/>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□有偏离（如有负偏离，则须在本表中对负偏离项逐一列明）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bl>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注：</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1. 对合同条款中的所有要求，除本表所列明的所有偏离外，均视作投标人已对之理解和响应。</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 “偏离情况”列应据实填写“正偏离”或“负偏离”。</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投标人名称（加盖公章）：    ____________</w:t>
      </w:r>
      <w:r/>
    </w:p>
    <w:p>
      <w:pPr>
        <w:contextualSpacing/>
        <w:ind w:firstLine="480"/>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t xml:space="preserve">日期：_____年______月______日</w:t>
      </w:r>
      <w:r/>
    </w:p>
    <w:p>
      <w:pPr>
        <w:ind w:left="228" w:hanging="228"/>
        <w:spacing w:line="360" w:lineRule="auto"/>
        <w:rPr>
          <w:rFonts w:hint="eastAsia" w:ascii="宋体" w:hAnsi="宋体" w:eastAsia="宋体" w:cs="宋体"/>
          <w:color w:val="000000" w:themeColor="text1"/>
          <w:sz w:val="24"/>
          <w:szCs w:val="20"/>
        </w:rPr>
        <w:outlineLvl w:val="2"/>
      </w:pPr>
      <w:r>
        <w:rPr>
          <w:rFonts w:hint="eastAsia" w:ascii="宋体" w:hAnsi="宋体" w:eastAsia="宋体" w:cs="宋体"/>
          <w:color w:val="000000" w:themeColor="text1"/>
          <w:sz w:val="24"/>
          <w:szCs w:val="20"/>
        </w:rPr>
        <w:t xml:space="preserve">7采购需求偏离表</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采购需求偏离表</w:t>
      </w:r>
      <w:r/>
    </w:p>
    <w:p>
      <w:pPr>
        <w:contextualSpacing/>
        <w:ind w:left="228" w:hanging="228"/>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项目编号/包号：_____________________项目名称_______________________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对本项目采购需求的偏离情况（请进行勾选）：</w:t>
            </w:r>
            <w:r/>
          </w:p>
          <w:p>
            <w:pPr>
              <w:contextualSpacing/>
              <w:ind w:left="228" w:hanging="228"/>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□无偏离（如无偏离，仅勾选无偏离即可）</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招标文件条目号（页码）</w:t>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招标文件要求</w:t>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投标文件内容</w:t>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偏离情况</w:t>
            </w:r>
            <w:r/>
          </w:p>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Height w:val="918"/>
        </w:trPr>
        <w:tc>
          <w:tcPr>
            <w:tcW w:w="81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bl>
    <w:p>
      <w:pPr>
        <w:contextualSpacing/>
        <w:ind w:firstLine="480"/>
        <w:spacing w:line="360" w:lineRule="auto"/>
        <w:rPr>
          <w:rFonts w:hint="eastAsia" w:asciiTheme="minorEastAsia" w:hAnsiTheme="minorEastAsia"/>
          <w:bCs/>
          <w:color w:val="000000" w:themeColor="text1"/>
          <w:sz w:val="24"/>
        </w:rPr>
      </w:pPr>
      <w:r>
        <w:rPr>
          <w:rFonts w:asciiTheme="minorEastAsia" w:hAnsiTheme="minorEastAsia"/>
          <w:bCs/>
          <w:color w:val="000000" w:themeColor="text1"/>
          <w:sz w:val="24"/>
        </w:rPr>
        <w:t xml:space="preserve">注：</w:t>
      </w:r>
      <w:r/>
    </w:p>
    <w:p>
      <w:pPr>
        <w:numPr>
          <w:ilvl w:val="0"/>
          <w:numId w:val="18"/>
        </w:num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对招标文件中的所有商务、技术要求，除本表所列明的所有偏离外，均视作投标人已对之理解和响应。</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2.“偏离情况”列应据实填写“正偏离”或“负偏离”。</w:t>
      </w:r>
      <w:r/>
    </w:p>
    <w:p>
      <w:pPr>
        <w:contextualSpacing/>
        <w:ind w:left="228" w:hanging="228"/>
        <w:jc w:val="left"/>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投标人名称（加盖公章）：    ____________</w:t>
      </w:r>
      <w:r/>
    </w:p>
    <w:p>
      <w:pPr>
        <w:contextualSpacing/>
        <w:ind w:firstLine="480"/>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t xml:space="preserve">日期：_____年______月______日</w:t>
      </w:r>
      <w:r/>
    </w:p>
    <w:p>
      <w:pPr>
        <w:spacing w:line="360" w:lineRule="auto"/>
        <w:rPr>
          <w:rFonts w:hint="eastAsia" w:ascii="宋体" w:hAnsi="宋体" w:eastAsia="宋体" w:cs="宋体"/>
          <w:color w:val="000000" w:themeColor="text1"/>
          <w:sz w:val="24"/>
        </w:rPr>
        <w:outlineLvl w:val="2"/>
      </w:pPr>
      <w:r>
        <w:rPr>
          <w:rFonts w:hint="eastAsia" w:ascii="宋体" w:hAnsi="宋体" w:eastAsia="宋体" w:cs="宋体"/>
          <w:color w:val="000000" w:themeColor="text1"/>
          <w:sz w:val="24"/>
        </w:rPr>
        <w:t xml:space="preserve">8</w:t>
      </w:r>
      <w:r>
        <w:rPr>
          <w:rFonts w:hint="eastAsia" w:ascii="宋体" w:hAnsi="宋体" w:eastAsia="宋体" w:cs="宋体"/>
          <w:color w:val="000000" w:themeColor="text1"/>
          <w:sz w:val="24"/>
        </w:rPr>
        <w:t xml:space="preserve"> 项目实施方案等，包括但不限于如下主题：</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1）项目组织实施方案；</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2）项目管理方案；</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3）拟达到的标准，配备的人员、设备配置等；</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4）培训方案、技术支持等方案；</w:t>
      </w:r>
      <w:r/>
    </w:p>
    <w:p>
      <w:pPr>
        <w:contextualSpacing/>
        <w:ind w:firstLine="480"/>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5）优惠条款或承诺；</w:t>
      </w:r>
      <w:r/>
    </w:p>
    <w:p>
      <w:pPr>
        <w:contextualSpacing/>
        <w:ind w:firstLine="480"/>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t xml:space="preserve">6）其他。</w:t>
      </w:r>
      <w:r/>
    </w:p>
    <w:p>
      <w:pPr>
        <w:ind w:left="228" w:hanging="228"/>
        <w:spacing w:line="360" w:lineRule="auto"/>
        <w:rPr>
          <w:rFonts w:hint="eastAsia" w:ascii="宋体" w:hAnsi="宋体" w:eastAsia="宋体" w:cs="宋体"/>
          <w:color w:val="000000" w:themeColor="text1"/>
          <w:sz w:val="24"/>
        </w:rPr>
        <w:outlineLvl w:val="2"/>
      </w:pPr>
      <w:r>
        <w:rPr>
          <w:rFonts w:hint="eastAsia" w:ascii="宋体" w:hAnsi="宋体" w:eastAsia="宋体" w:cs="宋体"/>
          <w:color w:val="000000" w:themeColor="text1"/>
          <w:sz w:val="24"/>
        </w:rPr>
        <w:t xml:space="preserve">9</w:t>
      </w:r>
      <w:r>
        <w:rPr>
          <w:rFonts w:hint="eastAsia" w:ascii="宋体" w:hAnsi="宋体" w:eastAsia="宋体" w:cs="宋体"/>
          <w:color w:val="000000" w:themeColor="text1"/>
          <w:sz w:val="24"/>
        </w:rPr>
        <w:t xml:space="preserve"> 参加本项目人员一览表</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参加本项目人员一览表</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责任</w:t>
            </w:r>
            <w:r/>
          </w:p>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项目经历或主要工作</w:t>
            </w:r>
            <w:r/>
          </w:p>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bl>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注：参加本项目人员须是投标人正式职工。</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投标人名称（加盖公章）：    ____________</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日期：_____年______月______日   </w:t>
      </w:r>
      <w:bookmarkStart w:id="529" w:name="_Toc288738839"/>
      <w:r/>
      <w:bookmarkStart w:id="530" w:name="_Toc288738397"/>
      <w:r/>
      <w:r/>
    </w:p>
    <w:p>
      <w:pPr>
        <w:ind w:left="228" w:hanging="228"/>
        <w:spacing w:line="360" w:lineRule="auto"/>
        <w:rPr>
          <w:rFonts w:hint="eastAsia" w:ascii="宋体" w:hAnsi="宋体" w:eastAsia="宋体" w:cs="宋体"/>
          <w:color w:val="000000" w:themeColor="text1"/>
          <w:sz w:val="24"/>
        </w:rPr>
        <w:outlineLvl w:val="2"/>
      </w:pPr>
      <w:r>
        <w:rPr>
          <w:rFonts w:hint="eastAsia" w:ascii="宋体" w:hAnsi="宋体" w:eastAsia="宋体" w:cs="宋体"/>
          <w:color w:val="000000" w:themeColor="text1"/>
          <w:sz w:val="24"/>
        </w:rPr>
        <w:br w:type="page" w:clear="all"/>
      </w: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0</w:t>
      </w:r>
      <w:r>
        <w:rPr>
          <w:rFonts w:hint="eastAsia" w:ascii="宋体" w:hAnsi="宋体" w:eastAsia="宋体" w:cs="宋体"/>
          <w:color w:val="000000" w:themeColor="text1"/>
          <w:sz w:val="24"/>
        </w:rPr>
        <w:t xml:space="preserve">相关业绩案例一览表</w:t>
      </w:r>
      <w:r/>
    </w:p>
    <w:p>
      <w:pPr>
        <w:ind w:left="267" w:hanging="267"/>
        <w:jc w:val="center"/>
        <w:spacing w:line="360" w:lineRule="auto"/>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相关业绩案例一览表</w:t>
      </w:r>
      <w:bookmarkEnd w:id="529"/>
      <w:r/>
      <w:bookmarkEnd w:id="530"/>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tc>
      </w:tr>
    </w:tbl>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投标人名称（加盖公章）：    ____________</w:t>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t xml:space="preserve">日期：_____年______月______日   </w:t>
      </w:r>
      <w:r/>
    </w:p>
    <w:p>
      <w:pPr>
        <w:contextualSpacing/>
        <w:ind w:left="228" w:hanging="228"/>
        <w:spacing w:line="360" w:lineRule="auto"/>
        <w:rPr>
          <w:rFonts w:hint="eastAsia" w:ascii="宋体" w:hAnsi="宋体" w:eastAsia="宋体" w:cs="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rPr>
      </w:r>
      <w:r/>
    </w:p>
    <w:p>
      <w:pPr>
        <w:ind w:left="228" w:hanging="228"/>
        <w:spacing w:line="360" w:lineRule="auto"/>
        <w:rPr>
          <w:rFonts w:hint="eastAsia" w:ascii="宋体" w:hAnsi="宋体" w:eastAsia="宋体" w:cs="宋体"/>
          <w:color w:val="000000" w:themeColor="text1"/>
          <w:sz w:val="24"/>
        </w:rPr>
        <w:outlineLvl w:val="2"/>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rPr>
        <w:t xml:space="preserve">招标文件要求提供或</w:t>
      </w:r>
      <w:bookmarkStart w:id="531" w:name="OLE_LINK3"/>
      <w:r>
        <w:rPr>
          <w:rFonts w:hint="eastAsia" w:ascii="宋体" w:hAnsi="宋体" w:eastAsia="宋体" w:cs="宋体"/>
          <w:color w:val="000000" w:themeColor="text1"/>
          <w:sz w:val="24"/>
        </w:rPr>
        <w:t xml:space="preserve">投标人认为应附的其他材料</w:t>
      </w:r>
      <w:bookmarkEnd w:id="531"/>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contextualSpacing/>
        <w:ind w:left="228" w:hanging="228"/>
        <w:spacing w:line="360" w:lineRule="auto"/>
        <w:rPr>
          <w:rFonts w:hint="eastAsia" w:ascii="宋体" w:hAnsi="宋体" w:eastAsia="宋体" w:cs="宋体"/>
          <w:bCs/>
          <w:color w:val="000000" w:themeColor="text1"/>
          <w:sz w:val="24"/>
        </w:rPr>
      </w:pPr>
      <w:r>
        <w:rPr>
          <w:rFonts w:hint="eastAsia" w:ascii="宋体" w:hAnsi="宋体" w:eastAsia="宋体" w:cs="宋体"/>
          <w:bCs/>
          <w:color w:val="000000" w:themeColor="text1"/>
          <w:sz w:val="24"/>
        </w:rPr>
      </w:r>
      <w:r/>
    </w:p>
    <w:p>
      <w:pPr>
        <w:ind w:left="228" w:hanging="228"/>
        <w:jc w:val="center"/>
        <w:spacing w:line="360" w:lineRule="auto"/>
        <w:rPr>
          <w:rFonts w:hint="eastAsia" w:ascii="宋体" w:hAnsi="宋体" w:eastAsia="宋体" w:cs="宋体"/>
          <w:color w:val="000000" w:themeColor="text1"/>
          <w:sz w:val="24"/>
        </w:rPr>
        <w:outlineLvl w:val="2"/>
      </w:pPr>
      <w:r>
        <w:rPr>
          <w:rFonts w:hint="eastAsia" w:ascii="宋体" w:hAnsi="宋体" w:eastAsia="宋体" w:cs="宋体"/>
          <w:color w:val="000000" w:themeColor="text1"/>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方正仿宋_GB18030">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913"/>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913"/>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0"/>
  </w:num>
  <w:num w:numId="2">
    <w:abstractNumId w:val="14"/>
  </w:num>
  <w:num w:numId="3">
    <w:abstractNumId w:val="20"/>
  </w:num>
  <w:num w:numId="4">
    <w:abstractNumId w:val="13"/>
  </w:num>
  <w:num w:numId="5">
    <w:abstractNumId w:val="9"/>
  </w:num>
  <w:num w:numId="6">
    <w:abstractNumId w:val="8"/>
  </w:num>
  <w:num w:numId="7">
    <w:abstractNumId w:val="3"/>
  </w:num>
  <w:num w:numId="8">
    <w:abstractNumId w:val="1"/>
  </w:num>
  <w:num w:numId="9">
    <w:abstractNumId w:val="17"/>
  </w:num>
  <w:num w:numId="10">
    <w:abstractNumId w:val="15"/>
  </w:num>
  <w:num w:numId="11">
    <w:abstractNumId w:val="6"/>
  </w:num>
  <w:num w:numId="12">
    <w:abstractNumId w:val="2"/>
  </w:num>
  <w:num w:numId="13">
    <w:abstractNumId w:val="0"/>
  </w:num>
  <w:num w:numId="14">
    <w:abstractNumId w:val="5"/>
  </w:num>
  <w:num w:numId="15">
    <w:abstractNumId w:val="19"/>
  </w:num>
  <w:num w:numId="16">
    <w:abstractNumId w:val="7"/>
  </w:num>
  <w:num w:numId="17">
    <w:abstractNumId w:val="4"/>
  </w:num>
  <w:num w:numId="18">
    <w:abstractNumId w:val="12"/>
  </w:num>
  <w:num w:numId="19">
    <w:abstractNumId w:val="16"/>
  </w:num>
  <w:num w:numId="20">
    <w:abstractNumId w:val="1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902"/>
    <w:link w:val="898"/>
    <w:uiPriority w:val="9"/>
    <w:rPr>
      <w:rFonts w:ascii="Arial" w:hAnsi="Arial" w:eastAsia="Arial" w:cs="Arial"/>
      <w:sz w:val="40"/>
      <w:szCs w:val="40"/>
    </w:rPr>
  </w:style>
  <w:style w:type="character" w:styleId="733">
    <w:name w:val="Heading 2 Char"/>
    <w:basedOn w:val="902"/>
    <w:link w:val="899"/>
    <w:uiPriority w:val="9"/>
    <w:rPr>
      <w:rFonts w:ascii="Arial" w:hAnsi="Arial" w:eastAsia="Arial" w:cs="Arial"/>
      <w:sz w:val="34"/>
    </w:rPr>
  </w:style>
  <w:style w:type="paragraph" w:styleId="734">
    <w:name w:val="Heading 4"/>
    <w:basedOn w:val="897"/>
    <w:next w:val="897"/>
    <w:link w:val="735"/>
    <w:uiPriority w:val="9"/>
    <w:unhideWhenUsed/>
    <w:qFormat/>
    <w:pPr>
      <w:keepLines/>
      <w:keepNext/>
      <w:spacing w:before="320" w:after="200"/>
      <w:outlineLvl w:val="3"/>
    </w:pPr>
    <w:rPr>
      <w:rFonts w:ascii="Arial" w:hAnsi="Arial" w:eastAsia="Arial" w:cs="Arial"/>
      <w:b/>
      <w:bCs/>
      <w:sz w:val="26"/>
      <w:szCs w:val="26"/>
    </w:rPr>
  </w:style>
  <w:style w:type="character" w:styleId="735">
    <w:name w:val="Heading 4 Char"/>
    <w:basedOn w:val="902"/>
    <w:link w:val="734"/>
    <w:uiPriority w:val="9"/>
    <w:rPr>
      <w:rFonts w:ascii="Arial" w:hAnsi="Arial" w:eastAsia="Arial" w:cs="Arial"/>
      <w:b/>
      <w:bCs/>
      <w:sz w:val="26"/>
      <w:szCs w:val="26"/>
    </w:rPr>
  </w:style>
  <w:style w:type="paragraph" w:styleId="736">
    <w:name w:val="Heading 5"/>
    <w:basedOn w:val="897"/>
    <w:next w:val="897"/>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basedOn w:val="902"/>
    <w:link w:val="736"/>
    <w:uiPriority w:val="9"/>
    <w:rPr>
      <w:rFonts w:ascii="Arial" w:hAnsi="Arial" w:eastAsia="Arial" w:cs="Arial"/>
      <w:b/>
      <w:bCs/>
      <w:sz w:val="24"/>
      <w:szCs w:val="24"/>
    </w:rPr>
  </w:style>
  <w:style w:type="paragraph" w:styleId="738">
    <w:name w:val="Heading 6"/>
    <w:basedOn w:val="897"/>
    <w:next w:val="897"/>
    <w:link w:val="739"/>
    <w:uiPriority w:val="9"/>
    <w:unhideWhenUsed/>
    <w:qFormat/>
    <w:pPr>
      <w:keepLines/>
      <w:keepNext/>
      <w:spacing w:before="320" w:after="200"/>
      <w:outlineLvl w:val="5"/>
    </w:pPr>
    <w:rPr>
      <w:rFonts w:ascii="Arial" w:hAnsi="Arial" w:eastAsia="Arial" w:cs="Arial"/>
      <w:b/>
      <w:bCs/>
      <w:sz w:val="22"/>
      <w:szCs w:val="22"/>
    </w:rPr>
  </w:style>
  <w:style w:type="character" w:styleId="739">
    <w:name w:val="Heading 6 Char"/>
    <w:basedOn w:val="902"/>
    <w:link w:val="738"/>
    <w:uiPriority w:val="9"/>
    <w:rPr>
      <w:rFonts w:ascii="Arial" w:hAnsi="Arial" w:eastAsia="Arial" w:cs="Arial"/>
      <w:b/>
      <w:bCs/>
      <w:sz w:val="22"/>
      <w:szCs w:val="22"/>
    </w:rPr>
  </w:style>
  <w:style w:type="character" w:styleId="740">
    <w:name w:val="Heading 7 Char"/>
    <w:basedOn w:val="902"/>
    <w:link w:val="901"/>
    <w:uiPriority w:val="9"/>
    <w:rPr>
      <w:rFonts w:ascii="Arial" w:hAnsi="Arial" w:eastAsia="Arial" w:cs="Arial"/>
      <w:b/>
      <w:bCs/>
      <w:i/>
      <w:iCs/>
      <w:sz w:val="22"/>
      <w:szCs w:val="22"/>
    </w:rPr>
  </w:style>
  <w:style w:type="paragraph" w:styleId="741">
    <w:name w:val="Heading 8"/>
    <w:basedOn w:val="897"/>
    <w:next w:val="897"/>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basedOn w:val="902"/>
    <w:link w:val="741"/>
    <w:uiPriority w:val="9"/>
    <w:rPr>
      <w:rFonts w:ascii="Arial" w:hAnsi="Arial" w:eastAsia="Arial" w:cs="Arial"/>
      <w:i/>
      <w:iCs/>
      <w:sz w:val="22"/>
      <w:szCs w:val="22"/>
    </w:rPr>
  </w:style>
  <w:style w:type="paragraph" w:styleId="743">
    <w:name w:val="Heading 9"/>
    <w:basedOn w:val="897"/>
    <w:next w:val="897"/>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basedOn w:val="902"/>
    <w:link w:val="743"/>
    <w:uiPriority w:val="9"/>
    <w:rPr>
      <w:rFonts w:ascii="Arial" w:hAnsi="Arial" w:eastAsia="Arial" w:cs="Arial"/>
      <w:i/>
      <w:iCs/>
      <w:sz w:val="21"/>
      <w:szCs w:val="21"/>
    </w:rPr>
  </w:style>
  <w:style w:type="paragraph" w:styleId="745">
    <w:name w:val="No Spacing"/>
    <w:uiPriority w:val="1"/>
    <w:qFormat/>
    <w:pPr>
      <w:spacing w:before="0" w:after="0" w:line="240" w:lineRule="auto"/>
    </w:pPr>
  </w:style>
  <w:style w:type="paragraph" w:styleId="746">
    <w:name w:val="Title"/>
    <w:basedOn w:val="897"/>
    <w:next w:val="897"/>
    <w:link w:val="747"/>
    <w:uiPriority w:val="10"/>
    <w:qFormat/>
    <w:pPr>
      <w:contextualSpacing/>
      <w:spacing w:before="300" w:after="200"/>
    </w:pPr>
    <w:rPr>
      <w:sz w:val="48"/>
      <w:szCs w:val="48"/>
    </w:rPr>
  </w:style>
  <w:style w:type="character" w:styleId="747">
    <w:name w:val="Title Char"/>
    <w:basedOn w:val="902"/>
    <w:link w:val="746"/>
    <w:uiPriority w:val="10"/>
    <w:rPr>
      <w:sz w:val="48"/>
      <w:szCs w:val="48"/>
    </w:rPr>
  </w:style>
  <w:style w:type="paragraph" w:styleId="748">
    <w:name w:val="Subtitle"/>
    <w:basedOn w:val="897"/>
    <w:next w:val="897"/>
    <w:link w:val="749"/>
    <w:uiPriority w:val="11"/>
    <w:qFormat/>
    <w:pPr>
      <w:spacing w:before="200" w:after="200"/>
    </w:pPr>
    <w:rPr>
      <w:sz w:val="24"/>
      <w:szCs w:val="24"/>
    </w:rPr>
  </w:style>
  <w:style w:type="character" w:styleId="749">
    <w:name w:val="Subtitle Char"/>
    <w:basedOn w:val="902"/>
    <w:link w:val="748"/>
    <w:uiPriority w:val="11"/>
    <w:rPr>
      <w:sz w:val="24"/>
      <w:szCs w:val="24"/>
    </w:rPr>
  </w:style>
  <w:style w:type="paragraph" w:styleId="750">
    <w:name w:val="Quote"/>
    <w:basedOn w:val="897"/>
    <w:next w:val="897"/>
    <w:link w:val="751"/>
    <w:uiPriority w:val="29"/>
    <w:qFormat/>
    <w:pPr>
      <w:ind w:left="720" w:right="720"/>
    </w:pPr>
    <w:rPr>
      <w:i/>
    </w:rPr>
  </w:style>
  <w:style w:type="character" w:styleId="751">
    <w:name w:val="Quote Char"/>
    <w:link w:val="750"/>
    <w:uiPriority w:val="29"/>
    <w:rPr>
      <w:i/>
    </w:rPr>
  </w:style>
  <w:style w:type="paragraph" w:styleId="752">
    <w:name w:val="Intense Quote"/>
    <w:basedOn w:val="897"/>
    <w:next w:val="897"/>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link w:val="752"/>
    <w:uiPriority w:val="30"/>
    <w:rPr>
      <w:i/>
    </w:rPr>
  </w:style>
  <w:style w:type="character" w:styleId="754">
    <w:name w:val="Header Char"/>
    <w:basedOn w:val="902"/>
    <w:link w:val="914"/>
    <w:uiPriority w:val="99"/>
  </w:style>
  <w:style w:type="character" w:styleId="755">
    <w:name w:val="Footer Char"/>
    <w:basedOn w:val="902"/>
    <w:link w:val="913"/>
    <w:uiPriority w:val="99"/>
  </w:style>
  <w:style w:type="paragraph" w:styleId="756">
    <w:name w:val="Caption"/>
    <w:basedOn w:val="897"/>
    <w:next w:val="897"/>
    <w:uiPriority w:val="35"/>
    <w:semiHidden/>
    <w:unhideWhenUsed/>
    <w:qFormat/>
    <w:pPr>
      <w:spacing w:line="276" w:lineRule="auto"/>
    </w:pPr>
    <w:rPr>
      <w:b/>
      <w:bCs/>
      <w:color w:val="4f81bd" w:themeColor="accent1"/>
      <w:sz w:val="18"/>
      <w:szCs w:val="18"/>
    </w:rPr>
  </w:style>
  <w:style w:type="character" w:styleId="757">
    <w:name w:val="Caption Char"/>
    <w:basedOn w:val="756"/>
    <w:link w:val="913"/>
    <w:uiPriority w:val="99"/>
  </w:style>
  <w:style w:type="table" w:styleId="758">
    <w:name w:val="Table Grid Light"/>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basedOn w:val="9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basedOn w:val="9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basedOn w:val="9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basedOn w:val="9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basedOn w:val="9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basedOn w:val="9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basedOn w:val="9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basedOn w:val="9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basedOn w:val="9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basedOn w:val="9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basedOn w:val="9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basedOn w:val="9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basedOn w:val="9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basedOn w:val="9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basedOn w:val="9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basedOn w:val="9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basedOn w:val="9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basedOn w:val="9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basedOn w:val="9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basedOn w:val="9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basedOn w:val="9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basedOn w:val="9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basedOn w:val="9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basedOn w:val="9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basedOn w:val="9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basedOn w:val="9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basedOn w:val="9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basedOn w:val="9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basedOn w:val="9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basedOn w:val="9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basedOn w:val="9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basedOn w:val="9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basedOn w:val="9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basedOn w:val="9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basedOn w:val="9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basedOn w:val="9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basedOn w:val="9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basedOn w:val="9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basedOn w:val="9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basedOn w:val="9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basedOn w:val="9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basedOn w:val="9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basedOn w:val="9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basedOn w:val="9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basedOn w:val="9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basedOn w:val="9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basedOn w:val="9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basedOn w:val="9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basedOn w:val="9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basedOn w:val="9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basedOn w:val="9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basedOn w:val="9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basedOn w:val="9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basedOn w:val="9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basedOn w:val="9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basedOn w:val="9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basedOn w:val="9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basedOn w:val="9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basedOn w:val="9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basedOn w:val="9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basedOn w:val="9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basedOn w:val="9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basedOn w:val="9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basedOn w:val="9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basedOn w:val="90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basedOn w:val="90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basedOn w:val="90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basedOn w:val="90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basedOn w:val="90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basedOn w:val="90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basedOn w:val="90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basedOn w:val="90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basedOn w:val="90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basedOn w:val="9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basedOn w:val="9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basedOn w:val="9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basedOn w:val="9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basedOn w:val="9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basedOn w:val="9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3">
    <w:name w:val="footnote text"/>
    <w:basedOn w:val="897"/>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basedOn w:val="902"/>
    <w:uiPriority w:val="99"/>
    <w:unhideWhenUsed/>
    <w:rPr>
      <w:vertAlign w:val="superscript"/>
    </w:rPr>
  </w:style>
  <w:style w:type="paragraph" w:styleId="886">
    <w:name w:val="endnote text"/>
    <w:basedOn w:val="897"/>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2"/>
    <w:uiPriority w:val="99"/>
    <w:semiHidden/>
    <w:unhideWhenUsed/>
    <w:rPr>
      <w:vertAlign w:val="superscript"/>
    </w:rPr>
  </w:style>
  <w:style w:type="paragraph" w:styleId="889">
    <w:name w:val="toc 3"/>
    <w:basedOn w:val="897"/>
    <w:next w:val="897"/>
    <w:uiPriority w:val="39"/>
    <w:unhideWhenUsed/>
    <w:pPr>
      <w:ind w:left="567"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qFormat/>
    <w:pPr>
      <w:jc w:val="both"/>
      <w:widowControl w:val="off"/>
    </w:pPr>
    <w:rPr>
      <w:rFonts w:asciiTheme="minorHAnsi" w:hAnsiTheme="minorHAnsi" w:eastAsiaTheme="minorEastAsia" w:cstheme="minorBidi"/>
      <w:sz w:val="21"/>
      <w:szCs w:val="22"/>
    </w:rPr>
  </w:style>
  <w:style w:type="paragraph" w:styleId="898">
    <w:name w:val="Heading 1"/>
    <w:basedOn w:val="897"/>
    <w:next w:val="897"/>
    <w:link w:val="930"/>
    <w:uiPriority w:val="9"/>
    <w:qFormat/>
    <w:pPr>
      <w:jc w:val="center"/>
      <w:spacing w:line="360" w:lineRule="auto"/>
      <w:outlineLvl w:val="0"/>
    </w:pPr>
    <w:rPr>
      <w:b/>
      <w:sz w:val="36"/>
      <w:szCs w:val="36"/>
    </w:rPr>
  </w:style>
  <w:style w:type="paragraph" w:styleId="899">
    <w:name w:val="Heading 2"/>
    <w:basedOn w:val="897"/>
    <w:next w:val="897"/>
    <w:link w:val="933"/>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00">
    <w:name w:val="Heading 3"/>
    <w:basedOn w:val="897"/>
    <w:next w:val="897"/>
    <w:link w:val="941"/>
    <w:uiPriority w:val="9"/>
    <w:semiHidden/>
    <w:unhideWhenUsed/>
    <w:qFormat/>
    <w:pPr>
      <w:keepLines/>
      <w:keepNext/>
      <w:spacing w:before="260" w:after="260" w:line="416" w:lineRule="auto"/>
      <w:outlineLvl w:val="2"/>
    </w:pPr>
    <w:rPr>
      <w:b/>
      <w:bCs/>
      <w:sz w:val="32"/>
      <w:szCs w:val="32"/>
    </w:rPr>
  </w:style>
  <w:style w:type="paragraph" w:styleId="901">
    <w:name w:val="Heading 7"/>
    <w:basedOn w:val="897"/>
    <w:next w:val="897"/>
    <w:link w:val="975"/>
    <w:uiPriority w:val="9"/>
    <w:semiHidden/>
    <w:unhideWhenUsed/>
    <w:qFormat/>
    <w:pPr>
      <w:keepLines/>
      <w:keepNext/>
      <w:spacing w:before="240" w:after="64" w:line="320" w:lineRule="auto"/>
      <w:outlineLvl w:val="6"/>
    </w:pPr>
    <w:rPr>
      <w:b/>
      <w:bCs/>
      <w:sz w:val="24"/>
      <w:szCs w:val="24"/>
    </w:rPr>
  </w:style>
  <w:style w:type="character" w:styleId="902" w:default="1">
    <w:name w:val="Default Paragraph Font"/>
    <w:uiPriority w:val="1"/>
    <w:semiHidden/>
    <w:unhideWhenUsed/>
  </w:style>
  <w:style w:type="table" w:styleId="903" w:default="1">
    <w:name w:val="Normal Table"/>
    <w:uiPriority w:val="99"/>
    <w:semiHidden/>
    <w:unhideWhenUsed/>
    <w:tblPr>
      <w:tblInd w:w="0" w:type="dxa"/>
      <w:tblCellMar>
        <w:left w:w="108" w:type="dxa"/>
        <w:top w:w="0" w:type="dxa"/>
        <w:right w:w="108" w:type="dxa"/>
        <w:bottom w:w="0" w:type="dxa"/>
      </w:tblCellMar>
    </w:tblPr>
  </w:style>
  <w:style w:type="numbering" w:styleId="904" w:default="1">
    <w:name w:val="No List"/>
    <w:uiPriority w:val="99"/>
    <w:semiHidden/>
    <w:unhideWhenUsed/>
  </w:style>
  <w:style w:type="paragraph" w:styleId="905">
    <w:name w:val="Normal Indent"/>
    <w:basedOn w:val="897"/>
    <w:next w:val="897"/>
    <w:link w:val="942"/>
    <w:uiPriority w:val="99"/>
    <w:qFormat/>
    <w:pPr>
      <w:ind w:firstLine="420"/>
      <w:jc w:val="left"/>
    </w:pPr>
    <w:rPr>
      <w:rFonts w:ascii="宋体" w:hAnsi="Times New Roman" w:eastAsia="宋体" w:cs="Times New Roman"/>
      <w:sz w:val="24"/>
      <w:szCs w:val="24"/>
    </w:rPr>
  </w:style>
  <w:style w:type="paragraph" w:styleId="906">
    <w:name w:val="Document Map"/>
    <w:basedOn w:val="897"/>
    <w:link w:val="949"/>
    <w:uiPriority w:val="99"/>
    <w:semiHidden/>
    <w:unhideWhenUsed/>
    <w:qFormat/>
    <w:rPr>
      <w:rFonts w:ascii="宋体" w:eastAsia="宋体"/>
      <w:sz w:val="18"/>
      <w:szCs w:val="18"/>
    </w:rPr>
  </w:style>
  <w:style w:type="paragraph" w:styleId="907">
    <w:name w:val="annotation text"/>
    <w:basedOn w:val="897"/>
    <w:link w:val="937"/>
    <w:uiPriority w:val="99"/>
    <w:qFormat/>
    <w:pPr>
      <w:jc w:val="left"/>
    </w:pPr>
    <w:rPr>
      <w:rFonts w:ascii="Times New Roman" w:hAnsi="Times New Roman" w:eastAsia="宋体" w:cs="Times New Roman"/>
      <w:szCs w:val="24"/>
    </w:rPr>
  </w:style>
  <w:style w:type="paragraph" w:styleId="908">
    <w:name w:val="Body Text"/>
    <w:basedOn w:val="897"/>
    <w:next w:val="897"/>
    <w:link w:val="932"/>
    <w:qFormat/>
    <w:pPr>
      <w:spacing w:before="120" w:line="22" w:lineRule="atLeast"/>
      <w:tabs>
        <w:tab w:val="left" w:pos="567" w:leader="none"/>
      </w:tabs>
    </w:pPr>
    <w:rPr>
      <w:rFonts w:ascii="宋体" w:hAnsi="宋体" w:eastAsia="宋体" w:cs="Times New Roman"/>
      <w:sz w:val="24"/>
      <w:szCs w:val="24"/>
    </w:rPr>
  </w:style>
  <w:style w:type="paragraph" w:styleId="909">
    <w:name w:val="Body Text Indent"/>
    <w:basedOn w:val="897"/>
    <w:next w:val="910"/>
    <w:unhideWhenUsed/>
    <w:qFormat/>
    <w:pPr>
      <w:ind w:left="420"/>
      <w:spacing w:after="120"/>
    </w:pPr>
    <w:rPr>
      <w:rFonts w:eastAsia="Calibri"/>
      <w:sz w:val="20"/>
      <w:szCs w:val="20"/>
      <w:lang w:val="zh-CN"/>
    </w:rPr>
  </w:style>
  <w:style w:type="paragraph" w:styleId="910">
    <w:name w:val="envelope return"/>
    <w:basedOn w:val="897"/>
    <w:qFormat/>
    <w:rPr>
      <w:rFonts w:ascii="Arial" w:hAnsi="Arial"/>
      <w:szCs w:val="24"/>
    </w:rPr>
  </w:style>
  <w:style w:type="paragraph" w:styleId="911">
    <w:name w:val="Plain Text"/>
    <w:basedOn w:val="897"/>
    <w:link w:val="934"/>
    <w:qFormat/>
    <w:rPr>
      <w:rFonts w:hint="eastAsia" w:ascii="宋体" w:hAnsi="Courier New" w:eastAsia="宋体" w:cs="Times New Roman"/>
      <w:szCs w:val="20"/>
    </w:rPr>
  </w:style>
  <w:style w:type="paragraph" w:styleId="912">
    <w:name w:val="Balloon Text"/>
    <w:basedOn w:val="897"/>
    <w:link w:val="938"/>
    <w:uiPriority w:val="99"/>
    <w:semiHidden/>
    <w:unhideWhenUsed/>
    <w:qFormat/>
    <w:rPr>
      <w:sz w:val="18"/>
      <w:szCs w:val="18"/>
    </w:rPr>
  </w:style>
  <w:style w:type="paragraph" w:styleId="913">
    <w:name w:val="Footer"/>
    <w:basedOn w:val="897"/>
    <w:link w:val="929"/>
    <w:uiPriority w:val="99"/>
    <w:unhideWhenUsed/>
    <w:qFormat/>
    <w:pPr>
      <w:jc w:val="left"/>
      <w:tabs>
        <w:tab w:val="center" w:pos="4153" w:leader="none"/>
        <w:tab w:val="right" w:pos="8306" w:leader="none"/>
      </w:tabs>
    </w:pPr>
    <w:rPr>
      <w:sz w:val="18"/>
      <w:szCs w:val="18"/>
    </w:rPr>
  </w:style>
  <w:style w:type="paragraph" w:styleId="914">
    <w:name w:val="Header"/>
    <w:basedOn w:val="897"/>
    <w:link w:val="92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5">
    <w:name w:val="toc 1"/>
    <w:basedOn w:val="897"/>
    <w:next w:val="897"/>
    <w:uiPriority w:val="39"/>
    <w:unhideWhenUsed/>
    <w:qFormat/>
    <w:rPr>
      <w:rFonts w:ascii="宋体" w:hAnsi="宋体" w:eastAsia="宋体" w:cs="宋体"/>
      <w:b/>
      <w:sz w:val="32"/>
    </w:rPr>
  </w:style>
  <w:style w:type="paragraph" w:styleId="916">
    <w:name w:val="toc 4"/>
    <w:basedOn w:val="897"/>
    <w:next w:val="897"/>
    <w:uiPriority w:val="39"/>
    <w:semiHidden/>
    <w:unhideWhenUsed/>
    <w:qFormat/>
    <w:pPr>
      <w:ind w:left="1260"/>
    </w:pPr>
  </w:style>
  <w:style w:type="paragraph" w:styleId="917">
    <w:name w:val="toc 2"/>
    <w:basedOn w:val="897"/>
    <w:next w:val="897"/>
    <w:uiPriority w:val="39"/>
    <w:qFormat/>
    <w:pPr>
      <w:ind w:left="420"/>
    </w:pPr>
  </w:style>
  <w:style w:type="paragraph" w:styleId="918">
    <w:name w:val="Normal (Web)"/>
    <w:basedOn w:val="897"/>
    <w:link w:val="948"/>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19">
    <w:name w:val="annotation subject"/>
    <w:basedOn w:val="907"/>
    <w:next w:val="907"/>
    <w:link w:val="950"/>
    <w:uiPriority w:val="99"/>
    <w:unhideWhenUsed/>
    <w:qFormat/>
    <w:rPr>
      <w:rFonts w:asciiTheme="minorHAnsi" w:hAnsiTheme="minorHAnsi" w:eastAsiaTheme="minorEastAsia" w:cstheme="minorBidi"/>
      <w:b/>
      <w:bCs/>
      <w:szCs w:val="22"/>
    </w:rPr>
  </w:style>
  <w:style w:type="table" w:styleId="920">
    <w:name w:val="Table Grid"/>
    <w:basedOn w:val="90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21">
    <w:name w:val="Strong"/>
    <w:basedOn w:val="902"/>
    <w:uiPriority w:val="22"/>
    <w:qFormat/>
    <w:rPr>
      <w:rFonts w:ascii="Times New Roman" w:hAnsi="Times New Roman" w:eastAsia="宋体" w:cs="Times New Roman"/>
      <w:b/>
    </w:rPr>
  </w:style>
  <w:style w:type="character" w:styleId="922">
    <w:name w:val="Emphasis"/>
    <w:basedOn w:val="902"/>
    <w:uiPriority w:val="20"/>
    <w:qFormat/>
    <w:rPr>
      <w:i/>
      <w:iCs/>
    </w:rPr>
  </w:style>
  <w:style w:type="character" w:styleId="923">
    <w:name w:val="Hyperlink"/>
    <w:uiPriority w:val="99"/>
    <w:qFormat/>
    <w:rPr>
      <w:color w:val="0000ff"/>
      <w:u w:val="single"/>
    </w:rPr>
  </w:style>
  <w:style w:type="character" w:styleId="924">
    <w:name w:val="annotation reference"/>
    <w:uiPriority w:val="99"/>
    <w:qFormat/>
    <w:rPr>
      <w:sz w:val="21"/>
      <w:szCs w:val="21"/>
    </w:rPr>
  </w:style>
  <w:style w:type="paragraph" w:styleId="925" w:customStyle="1">
    <w:name w:val="正文首行缩进 21"/>
    <w:basedOn w:val="926"/>
    <w:qFormat/>
    <w:pPr>
      <w:ind w:left="420" w:firstLine="420"/>
      <w:spacing w:after="120" w:line="480" w:lineRule="exact"/>
    </w:pPr>
    <w:rPr>
      <w:szCs w:val="20"/>
    </w:rPr>
  </w:style>
  <w:style w:type="paragraph" w:styleId="926" w:customStyle="1">
    <w:name w:val="正文文本缩进11"/>
    <w:basedOn w:val="897"/>
    <w:next w:val="897"/>
    <w:qFormat/>
    <w:pPr>
      <w:ind w:firstLine="570"/>
      <w:spacing w:line="360" w:lineRule="auto"/>
    </w:pPr>
    <w:rPr>
      <w:sz w:val="24"/>
    </w:rPr>
  </w:style>
  <w:style w:type="paragraph" w:styleId="927" w:customStyle="1">
    <w:name w:val="Default"/>
    <w:qFormat/>
    <w:pPr>
      <w:widowControl w:val="off"/>
    </w:pPr>
    <w:rPr>
      <w:rFonts w:ascii="宋体" w:cs="宋体" w:hAnsiTheme="minorHAnsi"/>
      <w:color w:val="000000"/>
      <w:sz w:val="24"/>
      <w:szCs w:val="24"/>
    </w:rPr>
  </w:style>
  <w:style w:type="character" w:styleId="928" w:customStyle="1">
    <w:name w:val="页眉 字符"/>
    <w:basedOn w:val="902"/>
    <w:link w:val="914"/>
    <w:uiPriority w:val="99"/>
    <w:qFormat/>
    <w:rPr>
      <w:sz w:val="18"/>
      <w:szCs w:val="18"/>
    </w:rPr>
  </w:style>
  <w:style w:type="character" w:styleId="929" w:customStyle="1">
    <w:name w:val="页脚 字符"/>
    <w:basedOn w:val="902"/>
    <w:link w:val="913"/>
    <w:uiPriority w:val="99"/>
    <w:qFormat/>
    <w:rPr>
      <w:sz w:val="18"/>
      <w:szCs w:val="18"/>
    </w:rPr>
  </w:style>
  <w:style w:type="character" w:styleId="930" w:customStyle="1">
    <w:name w:val="标题 1 字符1"/>
    <w:basedOn w:val="902"/>
    <w:link w:val="898"/>
    <w:uiPriority w:val="9"/>
    <w:qFormat/>
    <w:rPr>
      <w:b/>
      <w:sz w:val="36"/>
      <w:szCs w:val="36"/>
    </w:rPr>
  </w:style>
  <w:style w:type="character" w:styleId="931" w:customStyle="1">
    <w:name w:val="NormalCharacter"/>
    <w:basedOn w:val="902"/>
    <w:qFormat/>
  </w:style>
  <w:style w:type="character" w:styleId="932" w:customStyle="1">
    <w:name w:val="正文文本 字符"/>
    <w:basedOn w:val="902"/>
    <w:link w:val="908"/>
    <w:qFormat/>
    <w:rPr>
      <w:rFonts w:ascii="宋体" w:hAnsi="宋体" w:eastAsia="宋体" w:cs="Times New Roman"/>
      <w:sz w:val="24"/>
      <w:szCs w:val="24"/>
    </w:rPr>
  </w:style>
  <w:style w:type="character" w:styleId="933" w:customStyle="1">
    <w:name w:val="标题 2 字符1"/>
    <w:basedOn w:val="902"/>
    <w:link w:val="899"/>
    <w:uiPriority w:val="9"/>
    <w:semiHidden/>
    <w:qFormat/>
    <w:rPr>
      <w:rFonts w:asciiTheme="majorHAnsi" w:hAnsiTheme="majorHAnsi" w:eastAsiaTheme="majorEastAsia" w:cstheme="majorBidi"/>
      <w:b/>
      <w:bCs/>
      <w:sz w:val="32"/>
      <w:szCs w:val="32"/>
    </w:rPr>
  </w:style>
  <w:style w:type="character" w:styleId="934" w:customStyle="1">
    <w:name w:val="纯文本 字符"/>
    <w:basedOn w:val="902"/>
    <w:link w:val="911"/>
    <w:qFormat/>
    <w:rPr>
      <w:rFonts w:ascii="宋体" w:hAnsi="Courier New" w:eastAsia="宋体" w:cs="Times New Roman"/>
      <w:szCs w:val="20"/>
    </w:rPr>
  </w:style>
  <w:style w:type="paragraph" w:styleId="935">
    <w:name w:val="List Paragraph"/>
    <w:basedOn w:val="897"/>
    <w:link w:val="940"/>
    <w:uiPriority w:val="34"/>
    <w:qFormat/>
    <w:pPr>
      <w:ind w:firstLine="420"/>
    </w:pPr>
  </w:style>
  <w:style w:type="character" w:styleId="936" w:customStyle="1">
    <w:name w:val="批注文字 Char"/>
    <w:basedOn w:val="902"/>
    <w:uiPriority w:val="99"/>
    <w:qFormat/>
  </w:style>
  <w:style w:type="character" w:styleId="937" w:customStyle="1">
    <w:name w:val="批注文字 字符"/>
    <w:link w:val="907"/>
    <w:uiPriority w:val="99"/>
    <w:qFormat/>
    <w:rPr>
      <w:rFonts w:ascii="Times New Roman" w:hAnsi="Times New Roman" w:eastAsia="宋体" w:cs="Times New Roman"/>
      <w:szCs w:val="24"/>
    </w:rPr>
  </w:style>
  <w:style w:type="character" w:styleId="938" w:customStyle="1">
    <w:name w:val="批注框文本 字符"/>
    <w:basedOn w:val="902"/>
    <w:link w:val="912"/>
    <w:uiPriority w:val="99"/>
    <w:semiHidden/>
    <w:qFormat/>
    <w:rPr>
      <w:sz w:val="18"/>
      <w:szCs w:val="18"/>
    </w:rPr>
  </w:style>
  <w:style w:type="paragraph" w:styleId="939" w:customStyle="1">
    <w:name w:val="图例"/>
    <w:basedOn w:val="897"/>
    <w:qFormat/>
    <w:pPr>
      <w:jc w:val="center"/>
      <w:spacing w:before="120" w:after="120" w:line="360" w:lineRule="auto"/>
    </w:pPr>
    <w:rPr>
      <w:rFonts w:ascii="Times New Roman" w:hAnsi="Times New Roman" w:eastAsia="仿宋_GB2312" w:cs="Times New Roman"/>
      <w:b/>
      <w:sz w:val="24"/>
      <w:szCs w:val="20"/>
    </w:rPr>
  </w:style>
  <w:style w:type="character" w:styleId="940" w:customStyle="1">
    <w:name w:val="列表段落 字符1"/>
    <w:link w:val="935"/>
    <w:uiPriority w:val="34"/>
    <w:qFormat/>
  </w:style>
  <w:style w:type="character" w:styleId="941" w:customStyle="1">
    <w:name w:val="标题 3 字符"/>
    <w:basedOn w:val="902"/>
    <w:link w:val="900"/>
    <w:uiPriority w:val="9"/>
    <w:semiHidden/>
    <w:qFormat/>
    <w:rPr>
      <w:b/>
      <w:bCs/>
      <w:sz w:val="32"/>
      <w:szCs w:val="32"/>
    </w:rPr>
  </w:style>
  <w:style w:type="character" w:styleId="942" w:customStyle="1">
    <w:name w:val="正文缩进 字符"/>
    <w:link w:val="905"/>
    <w:uiPriority w:val="99"/>
    <w:qFormat/>
    <w:rPr>
      <w:rFonts w:ascii="宋体" w:hAnsi="Times New Roman" w:eastAsia="宋体" w:cs="Times New Roman"/>
      <w:sz w:val="24"/>
      <w:szCs w:val="24"/>
    </w:rPr>
  </w:style>
  <w:style w:type="paragraph" w:styleId="943" w:customStyle="1">
    <w:name w:val="Table Paragraph"/>
    <w:basedOn w:val="897"/>
    <w:uiPriority w:val="1"/>
    <w:qFormat/>
    <w:pPr>
      <w:jc w:val="left"/>
    </w:pPr>
    <w:rPr>
      <w:rFonts w:ascii="宋体" w:hAnsi="宋体" w:eastAsia="宋体" w:cs="宋体"/>
      <w:sz w:val="22"/>
      <w:lang w:eastAsia="en-US"/>
    </w:rPr>
  </w:style>
  <w:style w:type="paragraph" w:styleId="944" w:customStyle="1">
    <w:name w:val="179"/>
    <w:basedOn w:val="897"/>
    <w:qFormat/>
    <w:pPr>
      <w:ind w:firstLine="420"/>
    </w:pPr>
    <w:rPr>
      <w:rFonts w:ascii="Calibri" w:hAnsi="Calibri" w:eastAsia="宋体" w:cs="Times New Roman"/>
    </w:rPr>
  </w:style>
  <w:style w:type="paragraph" w:styleId="945" w:customStyle="1">
    <w:name w:val="成文日期"/>
    <w:basedOn w:val="897"/>
    <w:link w:val="946"/>
    <w:qFormat/>
    <w:pPr>
      <w:ind w:right="400" w:firstLine="200"/>
      <w:jc w:val="right"/>
      <w:spacing w:line="570" w:lineRule="exact"/>
    </w:pPr>
    <w:rPr>
      <w:rFonts w:ascii="仿宋_GB2312" w:hAnsi="Times New Roman" w:eastAsia="仿宋_GB2312" w:cs="Times New Roman"/>
      <w:sz w:val="32"/>
      <w:szCs w:val="20"/>
    </w:rPr>
  </w:style>
  <w:style w:type="character" w:styleId="946" w:customStyle="1">
    <w:name w:val="成文日期 Char"/>
    <w:link w:val="945"/>
    <w:qFormat/>
    <w:rPr>
      <w:rFonts w:ascii="仿宋_GB2312" w:hAnsi="Times New Roman" w:eastAsia="仿宋_GB2312" w:cs="Times New Roman"/>
      <w:sz w:val="32"/>
      <w:szCs w:val="20"/>
    </w:rPr>
  </w:style>
  <w:style w:type="paragraph" w:styleId="947" w:customStyle="1">
    <w:name w:val="Plain Text1"/>
    <w:next w:val="916"/>
    <w:qFormat/>
    <w:pPr>
      <w:jc w:val="both"/>
      <w:widowControl w:val="off"/>
    </w:pPr>
    <w:rPr>
      <w:rFonts w:ascii="宋体" w:hAnsi="宋体" w:eastAsia="楷体_GB2312"/>
      <w:sz w:val="26"/>
      <w:szCs w:val="22"/>
    </w:rPr>
  </w:style>
  <w:style w:type="character" w:styleId="948" w:customStyle="1">
    <w:name w:val="普通(网站) 字符1"/>
    <w:link w:val="918"/>
    <w:qFormat/>
    <w:rPr>
      <w:rFonts w:ascii="Arial Unicode MS" w:hAnsi="Arial Unicode MS" w:eastAsia="Arial Unicode MS" w:cs="Arial Unicode MS"/>
      <w:sz w:val="24"/>
      <w:szCs w:val="24"/>
    </w:rPr>
  </w:style>
  <w:style w:type="character" w:styleId="949" w:customStyle="1">
    <w:name w:val="文档结构图 字符"/>
    <w:basedOn w:val="902"/>
    <w:link w:val="906"/>
    <w:uiPriority w:val="99"/>
    <w:semiHidden/>
    <w:qFormat/>
    <w:rPr>
      <w:rFonts w:ascii="宋体" w:eastAsia="宋体"/>
      <w:sz w:val="18"/>
      <w:szCs w:val="18"/>
    </w:rPr>
  </w:style>
  <w:style w:type="character" w:styleId="950" w:customStyle="1">
    <w:name w:val="批注主题 字符"/>
    <w:basedOn w:val="937"/>
    <w:link w:val="919"/>
    <w:uiPriority w:val="99"/>
    <w:semiHidden/>
    <w:qFormat/>
    <w:rPr>
      <w:rFonts w:ascii="Times New Roman" w:hAnsi="Times New Roman" w:eastAsia="宋体" w:cs="Times New Roman"/>
      <w:b/>
      <w:bCs/>
      <w:szCs w:val="24"/>
    </w:rPr>
  </w:style>
  <w:style w:type="character" w:styleId="951" w:customStyle="1">
    <w:name w:val="正文缩进 Char1"/>
    <w:uiPriority w:val="99"/>
    <w:qFormat/>
    <w:rPr>
      <w:rFonts w:ascii="宋体" w:eastAsia="宋体"/>
      <w:sz w:val="24"/>
      <w:szCs w:val="24"/>
      <w:lang w:val="en-US" w:eastAsia="zh-CN" w:bidi="ar-SA"/>
    </w:rPr>
  </w:style>
  <w:style w:type="paragraph" w:styleId="952" w:customStyle="1">
    <w:name w:val="列表段落1"/>
    <w:basedOn w:val="897"/>
    <w:qFormat/>
    <w:pPr>
      <w:ind w:firstLine="420"/>
      <w:jc w:val="left"/>
    </w:pPr>
    <w:rPr>
      <w:rFonts w:ascii="Calibri" w:hAnsi="Calibri" w:eastAsia="宋体" w:cs="Times New Roman"/>
      <w:sz w:val="20"/>
      <w:szCs w:val="20"/>
    </w:rPr>
  </w:style>
  <w:style w:type="paragraph" w:styleId="953" w:customStyle="1">
    <w:name w:val="p0"/>
    <w:basedOn w:val="897"/>
    <w:qFormat/>
    <w:pPr>
      <w:widowControl/>
    </w:pPr>
    <w:rPr>
      <w:rFonts w:ascii="Calibri" w:hAnsi="Calibri" w:eastAsia="宋体" w:cs="Times New Roman"/>
      <w:szCs w:val="24"/>
    </w:rPr>
  </w:style>
  <w:style w:type="character" w:styleId="954" w:customStyle="1">
    <w:name w:val="标题 2 字符"/>
    <w:qFormat/>
    <w:rPr>
      <w:rFonts w:ascii="Arial" w:hAnsi="Arial" w:eastAsia="黑体"/>
      <w:b/>
      <w:sz w:val="30"/>
      <w:lang w:val="en-US" w:eastAsia="zh-CN" w:bidi="ar-SA"/>
    </w:rPr>
  </w:style>
  <w:style w:type="character" w:styleId="955" w:customStyle="1">
    <w:name w:val="列表段落 字符"/>
    <w:link w:val="956"/>
    <w:uiPriority w:val="34"/>
    <w:qFormat/>
    <w:rPr>
      <w:rFonts w:ascii="Calibri" w:hAnsi="Calibri" w:eastAsia="宋体"/>
      <w:sz w:val="21"/>
      <w:szCs w:val="22"/>
      <w:lang w:val="en-US" w:eastAsia="zh-CN" w:bidi="ar-SA"/>
    </w:rPr>
  </w:style>
  <w:style w:type="paragraph" w:styleId="956" w:customStyle="1">
    <w:name w:val="_Style 50"/>
    <w:basedOn w:val="897"/>
    <w:next w:val="935"/>
    <w:link w:val="955"/>
    <w:uiPriority w:val="34"/>
    <w:qFormat/>
    <w:pPr>
      <w:ind w:firstLine="420"/>
    </w:pPr>
    <w:rPr>
      <w:rFonts w:ascii="Calibri" w:hAnsi="Calibri" w:eastAsia="宋体"/>
    </w:rPr>
  </w:style>
  <w:style w:type="character" w:styleId="957" w:customStyle="1">
    <w:name w:val="批注主题 Char1"/>
    <w:uiPriority w:val="99"/>
    <w:semiHidden/>
    <w:qFormat/>
    <w:rPr>
      <w:b/>
      <w:bCs/>
      <w:sz w:val="21"/>
      <w:szCs w:val="24"/>
    </w:rPr>
  </w:style>
  <w:style w:type="character" w:styleId="958" w:customStyle="1">
    <w:name w:val="纯文本 字符2"/>
    <w:qFormat/>
    <w:rPr>
      <w:rFonts w:hint="eastAsia" w:ascii="宋体" w:hAnsi="Courier New" w:eastAsia="宋体" w:cs="宋体"/>
      <w:sz w:val="21"/>
    </w:rPr>
  </w:style>
  <w:style w:type="character" w:styleId="959" w:customStyle="1">
    <w:name w:val="普通(网站) 字符"/>
    <w:uiPriority w:val="99"/>
    <w:qFormat/>
    <w:rPr>
      <w:rFonts w:ascii="宋体" w:hAnsi="宋体" w:cs="宋体"/>
      <w:sz w:val="24"/>
      <w:szCs w:val="24"/>
    </w:rPr>
  </w:style>
  <w:style w:type="character" w:styleId="960" w:customStyle="1">
    <w:name w:val="标题 1 字符"/>
    <w:qFormat/>
    <w:rPr>
      <w:rFonts w:ascii="宋体"/>
      <w:b/>
      <w:sz w:val="32"/>
    </w:rPr>
  </w:style>
  <w:style w:type="paragraph" w:styleId="961" w:customStyle="1">
    <w:name w:val="修订1"/>
    <w:hidden/>
    <w:uiPriority w:val="99"/>
    <w:unhideWhenUsed/>
    <w:qFormat/>
    <w:rPr>
      <w:rFonts w:asciiTheme="minorHAnsi" w:hAnsiTheme="minorHAnsi" w:eastAsiaTheme="minorEastAsia" w:cstheme="minorBidi"/>
      <w:sz w:val="21"/>
      <w:szCs w:val="22"/>
    </w:rPr>
  </w:style>
  <w:style w:type="paragraph" w:styleId="962" w:customStyle="1">
    <w:name w:val="标题 21"/>
    <w:basedOn w:val="897"/>
    <w:next w:val="897"/>
    <w:qFormat/>
    <w:pPr>
      <w:jc w:val="center"/>
      <w:keepLines/>
      <w:keepNext/>
      <w:spacing w:before="260" w:after="260" w:line="416" w:lineRule="auto"/>
      <w:outlineLvl w:val="1"/>
    </w:pPr>
    <w:rPr>
      <w:rFonts w:ascii="幼圆" w:hAnsi="Arial" w:eastAsia="楷体_GB2312"/>
      <w:b/>
      <w:sz w:val="44"/>
      <w:szCs w:val="20"/>
    </w:rPr>
  </w:style>
  <w:style w:type="paragraph" w:styleId="963" w:customStyle="1">
    <w:name w:val="UserStyle_80"/>
    <w:basedOn w:val="897"/>
    <w:next w:val="897"/>
    <w:qFormat/>
    <w:pPr>
      <w:ind w:firstLine="420"/>
      <w:widowControl/>
    </w:pPr>
    <w:rPr>
      <w:rFonts w:ascii="Times New Roman" w:hAnsi="Times New Roman" w:eastAsia="宋体" w:cs="Times New Roman"/>
      <w:sz w:val="24"/>
      <w:szCs w:val="20"/>
    </w:rPr>
  </w:style>
  <w:style w:type="character" w:styleId="964" w:customStyle="1">
    <w:name w:val="Heading 3 Char"/>
    <w:basedOn w:val="902"/>
    <w:uiPriority w:val="9"/>
    <w:qFormat/>
    <w:rPr>
      <w:rFonts w:ascii="Arial" w:hAnsi="Arial" w:eastAsia="Arial" w:cs="Arial"/>
      <w:sz w:val="30"/>
      <w:szCs w:val="30"/>
    </w:rPr>
  </w:style>
  <w:style w:type="paragraph" w:styleId="965" w:customStyle="1">
    <w:name w:val="**"/>
    <w:basedOn w:val="899"/>
    <w:qFormat/>
    <w:pPr>
      <w:spacing w:before="120" w:after="120" w:line="320" w:lineRule="exact"/>
      <w:tabs>
        <w:tab w:val="left" w:pos="900" w:leader="none"/>
      </w:tabs>
    </w:pPr>
    <w:rPr>
      <w:rFonts w:ascii="Arial" w:hAnsi="Arial" w:eastAsia="黑体"/>
      <w:sz w:val="28"/>
      <w:szCs w:val="28"/>
      <w:lang w:val="en-GB"/>
    </w:rPr>
  </w:style>
  <w:style w:type="paragraph" w:styleId="966" w:customStyle="1">
    <w:name w:val="表格"/>
    <w:basedOn w:val="897"/>
    <w:qFormat/>
    <w:pPr>
      <w:jc w:val="center"/>
    </w:pPr>
    <w:rPr>
      <w:rFonts w:ascii="Times New Roman" w:hAnsi="Times New Roman" w:cs="Times New Roman"/>
      <w:szCs w:val="24"/>
    </w:rPr>
  </w:style>
  <w:style w:type="paragraph" w:styleId="967" w:customStyle="1">
    <w:name w:val="文档结构图1"/>
    <w:qFormat/>
    <w:pPr>
      <w:jc w:val="both"/>
      <w:shd w:val="clear" w:color="auto" w:fill="000080"/>
      <w:widowControl w:val="off"/>
    </w:pPr>
    <w:rPr>
      <w:sz w:val="21"/>
    </w:rPr>
  </w:style>
  <w:style w:type="paragraph" w:styleId="968" w:customStyle="1">
    <w:name w:val="正文文本1"/>
    <w:basedOn w:val="897"/>
    <w:qFormat/>
    <w:pPr>
      <w:spacing w:after="120"/>
    </w:pPr>
  </w:style>
  <w:style w:type="paragraph" w:styleId="969" w:customStyle="1">
    <w:name w:val="正文文本111"/>
    <w:basedOn w:val="897"/>
    <w:next w:val="970"/>
    <w:qFormat/>
    <w:pPr>
      <w:spacing w:before="120" w:line="22" w:lineRule="atLeast"/>
      <w:tabs>
        <w:tab w:val="left" w:pos="567" w:leader="none"/>
      </w:tabs>
    </w:pPr>
    <w:rPr>
      <w:rFonts w:ascii="宋体" w:hAnsi="宋体"/>
      <w:sz w:val="24"/>
      <w:szCs w:val="20"/>
    </w:rPr>
  </w:style>
  <w:style w:type="paragraph" w:styleId="970" w:customStyle="1">
    <w:name w:val="目录 211"/>
    <w:basedOn w:val="897"/>
    <w:next w:val="897"/>
    <w:uiPriority w:val="39"/>
    <w:unhideWhenUsed/>
    <w:qFormat/>
    <w:pPr>
      <w:ind w:left="283"/>
      <w:spacing w:after="57"/>
    </w:pPr>
  </w:style>
  <w:style w:type="character" w:styleId="971" w:customStyle="1">
    <w:name w:val="qowt-font4"/>
    <w:basedOn w:val="902"/>
    <w:qFormat/>
  </w:style>
  <w:style w:type="paragraph" w:styleId="972" w:customStyle="1">
    <w:name w:val="qowt-stl-正文"/>
    <w:basedOn w:val="897"/>
    <w:qFormat/>
    <w:pPr>
      <w:jc w:val="left"/>
      <w:spacing w:before="100" w:beforeAutospacing="1" w:after="100" w:afterAutospacing="1"/>
      <w:widowControl/>
    </w:pPr>
    <w:rPr>
      <w:rFonts w:ascii="宋体" w:hAnsi="宋体" w:cs="宋体"/>
      <w:sz w:val="24"/>
    </w:rPr>
  </w:style>
  <w:style w:type="paragraph" w:styleId="973" w:customStyle="1">
    <w:name w:val="正文 A"/>
    <w:qFormat/>
    <w:pPr>
      <w:jc w:val="both"/>
      <w:widowControl w:val="off"/>
    </w:pPr>
    <w:rPr>
      <w:rFonts w:ascii="Calibri" w:hAnsi="Calibri" w:eastAsia="Times New Roman"/>
      <w:color w:val="000000"/>
      <w:sz w:val="21"/>
      <w:szCs w:val="21"/>
    </w:rPr>
  </w:style>
  <w:style w:type="paragraph" w:styleId="974" w:customStyle="1">
    <w:name w:val="修订2"/>
    <w:hidden/>
    <w:uiPriority w:val="99"/>
    <w:unhideWhenUsed/>
    <w:qFormat/>
    <w:rPr>
      <w:rFonts w:asciiTheme="minorHAnsi" w:hAnsiTheme="minorHAnsi" w:eastAsiaTheme="minorEastAsia" w:cstheme="minorBidi"/>
      <w:sz w:val="21"/>
      <w:szCs w:val="22"/>
    </w:rPr>
  </w:style>
  <w:style w:type="character" w:styleId="975" w:customStyle="1">
    <w:name w:val="标题 7 字符"/>
    <w:basedOn w:val="902"/>
    <w:link w:val="901"/>
    <w:uiPriority w:val="9"/>
    <w:semiHidden/>
    <w:rPr>
      <w:rFonts w:asciiTheme="minorHAnsi" w:hAnsiTheme="minorHAnsi" w:eastAsiaTheme="minorEastAsia" w:cstheme="minorBidi"/>
      <w:b/>
      <w:bCs/>
      <w:sz w:val="24"/>
      <w:szCs w:val="24"/>
    </w:rPr>
  </w:style>
  <w:style w:type="paragraph" w:styleId="976" w:customStyle="1">
    <w:name w:val="null3"/>
    <w:qFormat/>
    <w:rPr>
      <w:rFonts w:hint="eastAsia"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刘亚莉</cp:lastModifiedBy>
  <cp:revision>21</cp:revision>
  <dcterms:created xsi:type="dcterms:W3CDTF">2025-09-22T13:38:00Z</dcterms:created>
  <dcterms:modified xsi:type="dcterms:W3CDTF">2025-09-23T07:09:26Z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8B58DAD407F44704B45023FC57BA6085_13</vt:lpwstr>
  </property>
  <property fmtid="{D5CDD505-2E9C-101B-9397-08002B2CF9AE}" pid="4" name="KSOTemplateDocerSaveRecord">
    <vt:lpwstr>eyJoZGlkIjoiYWJkZjBhZjViNDBlOWQyZTllMDk4MzdmMWMyNjRiZDciLCJ1c2VySWQiOiI0NjU4NTEzMTAifQ==</vt:lpwstr>
  </property>
</Properties>
</file>