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33550" cy="11811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65511" name=""/>
                        <pic:cNvPicPr>
                          <a:picLocks noChangeAspect="1"/>
                        </pic:cNvPicPr>
                        <pic:nvPr/>
                      </pic:nvPicPr>
                      <pic:blipFill>
                        <a:blip r:embed="rId12"/>
                        <a:stretch/>
                      </pic:blipFill>
                      <pic:spPr bwMode="auto">
                        <a:xfrm>
                          <a:off x="0" y="0"/>
                          <a:ext cx="1733549"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5pt;height:93.0pt;mso-wrap-distance-left:0.0pt;mso-wrap-distance-top:0.0pt;mso-wrap-distance-right:0.0pt;mso-wrap-distance-bottom:0.0pt;" stroked="false">
                <v:path textboxrect="0,0,0,0"/>
                <v:imagedata r:id="rId12" o:title=""/>
              </v:shape>
            </w:pict>
          </mc:Fallback>
        </mc:AlternateContent>
      </w:r>
      <w:r>
        <w:rPr>
          <w:rFonts w:ascii="SimSun" w:hAnsi="SimSun" w:eastAsia="SimSun" w:cs="SimSun"/>
          <w:color w:val="000000"/>
          <w:spacing w:val="76"/>
          <w:sz w:val="14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96"/>
        </w:rPr>
        <w:t xml:space="preserve">招</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96"/>
        </w:rPr>
        <w:t xml:space="preserve">标</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96"/>
        </w:rPr>
        <w:t xml:space="preserve">文</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96"/>
        </w:rPr>
        <w:t xml:space="preserve">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项目名称：高新区道路、绿化保洁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rPr>
          <w:rFonts w:ascii="Times New Roman" w:hAnsi="Times New Roman" w:eastAsia="Times New Roman" w:cs="Times New Roman"/>
          <w:color w:val="000000"/>
          <w:sz w:val="32"/>
        </w:rPr>
        <w:t xml:space="preserve">JSZC-320312-ZJZB-G2024-0214</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人：徐州高新技术产业开发区管理委员会</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采购代理机构：江苏中际招标代理有限公司</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二〇二四年十二月</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19694" w:history="1">
        <w:r>
          <w:rPr>
            <w:rStyle w:val="770"/>
            <w:rFonts w:ascii="SimSun" w:hAnsi="SimSun" w:eastAsia="SimSun" w:cs="SimSun"/>
            <w:color w:val="0000ee"/>
            <w:sz w:val="24"/>
            <w:u w:val="single"/>
          </w:rPr>
          <w:t xml:space="preserve">第一章</w:t>
        </w:r>
        <w:r>
          <w:rPr>
            <w:rStyle w:val="770"/>
            <w:rFonts w:ascii="Times New Roman" w:hAnsi="Times New Roman" w:eastAsia="Times New Roman" w:cs="Times New Roman"/>
            <w:color w:val="0000ee"/>
            <w:sz w:val="24"/>
            <w:u w:val="none"/>
          </w:rPr>
          <w:t xml:space="preserve"> </w:t>
        </w:r>
        <w:r>
          <w:rPr>
            <w:rStyle w:val="770"/>
            <w:rFonts w:ascii="SimSun" w:hAnsi="SimSun" w:eastAsia="SimSun" w:cs="SimSun"/>
            <w:color w:val="0000ee"/>
            <w:sz w:val="24"/>
            <w:u w:val="single"/>
          </w:rPr>
          <w:t xml:space="preserve">投标邀请</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5134" w:history="1">
        <w:r>
          <w:rPr>
            <w:rStyle w:val="770"/>
            <w:rFonts w:ascii="SimSun" w:hAnsi="SimSun" w:eastAsia="SimSun" w:cs="SimSun"/>
            <w:color w:val="0000ee"/>
            <w:sz w:val="24"/>
            <w:u w:val="single"/>
          </w:rPr>
          <w:t xml:space="preserve">第二章</w:t>
        </w:r>
        <w:r>
          <w:rPr>
            <w:rStyle w:val="770"/>
            <w:rFonts w:ascii="SimSun" w:hAnsi="SimSun" w:eastAsia="SimSun" w:cs="SimSun"/>
            <w:color w:val="0000ee"/>
            <w:sz w:val="24"/>
            <w:u w:val="none"/>
          </w:rPr>
          <w:t xml:space="preserve"> </w:t>
        </w:r>
        <w:r>
          <w:rPr>
            <w:rStyle w:val="770"/>
            <w:rFonts w:ascii="SimSun" w:hAnsi="SimSun" w:eastAsia="SimSun" w:cs="SimSun"/>
            <w:color w:val="0000ee"/>
            <w:sz w:val="24"/>
            <w:u w:val="single"/>
          </w:rPr>
          <w:t xml:space="preserve">投标人须知</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5" w:tooltip="http://jszfcg.jscz.gov.cn/jszc/onlyoffice/7.2.1-34/web-apps/apps/documenteditor/main/index_loader.html?_dc=7.2.1-34&amp;lang=zh&amp;customer=%20&amp;logo=%20&amp;headerlogo=%2Ffavicon.ico&amp;frameEditorId=iframePage&amp;compact=true&amp;parentOrigin=http://jszfcg.jscz.gov.cn#_Toc25009" w:history="1">
        <w:r>
          <w:rPr>
            <w:rStyle w:val="770"/>
            <w:rFonts w:ascii="SimSun" w:hAnsi="SimSun" w:eastAsia="SimSun" w:cs="SimSun"/>
            <w:color w:val="0000ee"/>
            <w:sz w:val="24"/>
            <w:u w:val="single"/>
          </w:rPr>
          <w:t xml:space="preserve">第三章</w:t>
        </w:r>
        <w:r>
          <w:rPr>
            <w:rStyle w:val="770"/>
            <w:rFonts w:ascii="SimSun" w:hAnsi="SimSun" w:eastAsia="SimSun" w:cs="SimSun"/>
            <w:color w:val="0000ee"/>
            <w:sz w:val="24"/>
            <w:u w:val="none"/>
          </w:rPr>
          <w:t xml:space="preserve"> </w:t>
        </w:r>
        <w:r>
          <w:rPr>
            <w:rStyle w:val="770"/>
            <w:rFonts w:ascii="SimSun" w:hAnsi="SimSun" w:eastAsia="SimSun" w:cs="SimSun"/>
            <w:color w:val="0000ee"/>
            <w:sz w:val="24"/>
            <w:u w:val="single"/>
          </w:rPr>
          <w:t xml:space="preserve">投标资料表</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15470" w:history="1">
        <w:r>
          <w:rPr>
            <w:rStyle w:val="770"/>
            <w:rFonts w:ascii="SimSun" w:hAnsi="SimSun" w:eastAsia="SimSun" w:cs="SimSun"/>
            <w:color w:val="0000ee"/>
            <w:sz w:val="24"/>
            <w:u w:val="single"/>
          </w:rPr>
          <w:t xml:space="preserve">第四章</w:t>
        </w:r>
        <w:r>
          <w:rPr>
            <w:rStyle w:val="770"/>
            <w:rFonts w:ascii="SimSun" w:hAnsi="SimSun" w:eastAsia="SimSun" w:cs="SimSun"/>
            <w:color w:val="0000ee"/>
            <w:sz w:val="24"/>
            <w:u w:val="none"/>
          </w:rPr>
          <w:t xml:space="preserve"> </w:t>
        </w:r>
        <w:r>
          <w:rPr>
            <w:rStyle w:val="770"/>
            <w:rFonts w:ascii="SimSun" w:hAnsi="SimSun" w:eastAsia="SimSun" w:cs="SimSun"/>
            <w:color w:val="0000ee"/>
            <w:sz w:val="24"/>
            <w:u w:val="single"/>
          </w:rPr>
          <w:t xml:space="preserve">评标标准</w:t>
        </w:r>
        <w:r>
          <w:rPr>
            <w:rStyle w:val="770"/>
            <w:rFonts w:ascii="Times New Roman" w:hAnsi="Times New Roman" w:eastAsia="Times New Roman" w:cs="Times New Roman"/>
            <w:color w:val="0000ee"/>
            <w:sz w:val="24"/>
            <w:u w:val="none"/>
          </w:rPr>
          <w:t xml:space="preserve"> </w:t>
        </w:r>
        <w:r>
          <w:rPr>
            <w:rStyle w:val="770"/>
            <w:rFonts w:ascii="SimSun" w:hAnsi="SimSun" w:eastAsia="SimSun" w:cs="SimSun"/>
            <w:color w:val="0000ee"/>
            <w:sz w:val="24"/>
            <w:u w:val="single"/>
          </w:rPr>
          <w:t xml:space="preserve">采购包一、二、三、四、五、六</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7" w:tooltip="http://jszfcg.jscz.gov.cn/jszc/onlyoffice/7.2.1-34/web-apps/apps/documenteditor/main/index_loader.html?_dc=7.2.1-34&amp;lang=zh&amp;customer=%20&amp;logo=%20&amp;headerlogo=%2Ffavicon.ico&amp;frameEditorId=iframePage&amp;compact=true&amp;parentOrigin=http://jszfcg.jscz.gov.cn#_Toc6966" w:history="1">
        <w:r>
          <w:rPr>
            <w:rStyle w:val="770"/>
            <w:rFonts w:ascii="SimSun" w:hAnsi="SimSun" w:eastAsia="SimSun" w:cs="SimSun"/>
            <w:color w:val="0000ee"/>
            <w:sz w:val="24"/>
            <w:u w:val="single"/>
          </w:rPr>
          <w:t xml:space="preserve">第五章</w:t>
        </w:r>
        <w:r>
          <w:rPr>
            <w:rStyle w:val="770"/>
            <w:rFonts w:ascii="SimSun" w:hAnsi="SimSun" w:eastAsia="SimSun" w:cs="SimSun"/>
            <w:color w:val="0000ee"/>
            <w:sz w:val="24"/>
            <w:u w:val="none"/>
          </w:rPr>
          <w:t xml:space="preserve"> </w:t>
        </w:r>
        <w:r>
          <w:rPr>
            <w:rStyle w:val="770"/>
            <w:rFonts w:ascii="SimSun" w:hAnsi="SimSun" w:eastAsia="SimSun" w:cs="SimSun"/>
            <w:color w:val="0000ee"/>
            <w:sz w:val="24"/>
            <w:u w:val="single"/>
          </w:rPr>
          <w:t xml:space="preserve">拟签订的合同文本</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8" w:tooltip="http://jszfcg.jscz.gov.cn/jszc/onlyoffice/7.2.1-34/web-apps/apps/documenteditor/main/index_loader.html?_dc=7.2.1-34&amp;lang=zh&amp;customer=%20&amp;logo=%20&amp;headerlogo=%2Ffavicon.ico&amp;frameEditorId=iframePage&amp;compact=true&amp;parentOrigin=http://jszfcg.jscz.gov.cn#_Toc17428" w:history="1">
        <w:r>
          <w:rPr>
            <w:rStyle w:val="770"/>
            <w:rFonts w:ascii="SimSun" w:hAnsi="SimSun" w:eastAsia="SimSun" w:cs="SimSun"/>
            <w:color w:val="0000ee"/>
            <w:sz w:val="24"/>
            <w:u w:val="single"/>
          </w:rPr>
          <w:t xml:space="preserve">第六章</w:t>
        </w:r>
        <w:r>
          <w:rPr>
            <w:rStyle w:val="770"/>
            <w:rFonts w:ascii="Times New Roman" w:hAnsi="Times New Roman" w:eastAsia="Times New Roman" w:cs="Times New Roman"/>
            <w:color w:val="0000ee"/>
            <w:sz w:val="24"/>
            <w:u w:val="none"/>
          </w:rPr>
          <w:t xml:space="preserve"> </w:t>
        </w:r>
        <w:r>
          <w:rPr>
            <w:rStyle w:val="770"/>
            <w:rFonts w:ascii="SimSun" w:hAnsi="SimSun" w:eastAsia="SimSun" w:cs="SimSun"/>
            <w:color w:val="0000ee"/>
            <w:sz w:val="24"/>
            <w:u w:val="single"/>
          </w:rPr>
          <w:t xml:space="preserve">采购需求</w:t>
        </w:r>
      </w:hyperlink>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hyperlink r:id="rId19" w:tooltip="http://jszfcg.jscz.gov.cn/jszc/onlyoffice/7.2.1-34/web-apps/apps/documenteditor/main/index_loader.html?_dc=7.2.1-34&amp;lang=zh&amp;customer=%20&amp;logo=%20&amp;headerlogo=%2Ffavicon.ico&amp;frameEditorId=iframePage&amp;compact=true&amp;parentOrigin=http://jszfcg.jscz.gov.cn#_Toc846" w:history="1">
        <w:r>
          <w:rPr>
            <w:rStyle w:val="770"/>
            <w:rFonts w:ascii="SimSun" w:hAnsi="SimSun" w:eastAsia="SimSun" w:cs="SimSun"/>
            <w:color w:val="0000ee"/>
            <w:sz w:val="24"/>
            <w:u w:val="single"/>
          </w:rPr>
          <w:t xml:space="preserve">第七章</w:t>
        </w:r>
        <w:r>
          <w:rPr>
            <w:rStyle w:val="770"/>
            <w:rFonts w:ascii="Times New Roman" w:hAnsi="Times New Roman" w:eastAsia="Times New Roman" w:cs="Times New Roman"/>
            <w:color w:val="0000ee"/>
            <w:sz w:val="24"/>
            <w:u w:val="none"/>
          </w:rPr>
          <w:t xml:space="preserve"> </w:t>
        </w:r>
        <w:r>
          <w:rPr>
            <w:rStyle w:val="770"/>
            <w:rFonts w:ascii="SimSun" w:hAnsi="SimSun" w:eastAsia="SimSun" w:cs="SimSun"/>
            <w:color w:val="0000ee"/>
            <w:sz w:val="24"/>
            <w:u w:val="single"/>
          </w:rPr>
          <w:t xml:space="preserve">投标文件相关格式</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徐州高新技术产业开发区管理委员会</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《高新区道路、绿化保洁》</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招标文件</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江苏中际招标代理有限公司对徐州高新技术产业开发区管理委员会“高新区道路、绿化保洁”进行公开招标采购，现邀请符合相关条件的供应商投标。</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一、项目名称和项目编号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项目名称：高新区道路、绿化保洁</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JSZC-320312-ZJZB-G2024-0214</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二、对投标人的资格要求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详见本项目公开招标公告。</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12月16日至2024年12月20日9:00―12:00，14:00―17:00（节假日除外）。2024年12月20日后仍可以下载招标文件，2024年12月20日后下载的招标文件，视为非有效方式且不作为供应商权益受到损害的证明材料和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2．获取方式：本项目采用网上注册登记方式。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2.1潜在投标人访问电子招标投标交易平台的网络地址和方法：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（2）潜在供应商访问“苏采云”系统的网络地址和方法：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“苏采云”系统的网址：http://jszfcg.jsczt.cn/；或进入徐州政府采购网（网址：http://czj.xz.gov.cn/Home/HomeIndex）--业务工作--用户登录，点击“苏采云”进入系统。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（5）招标代理机构（采购代理机构）将数据电文形式的采购文件加载至“苏采云”系统，供潜在供应商下载或者查阅。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（6）苏采云系统使用谷歌浏览器参与不见面开标。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3.地点：网上注册登记成功后系统内免费下载。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4.售价：免费</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四、投标有关信息</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（一）线上提交投标文件截止时间：2025年1月3日10点00分（北京时间）</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（二）线上开标时间：2025年1月3日10点00分（北京时间）</w:t>
      </w:r>
      <w:r/>
    </w:p>
    <w:p>
      <w:pPr>
        <w:ind w:left="0" w:right="0" w:firstLine="24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（三）线上开标地点：“苏采云”系统（网址：http://jszfcg.jsczt.cn/）“开标大厅”或进入徐州政府采购网（网址：http://czj.xz.gov.cn/Home/HomeIndex）-业务工作-用户登录，点击“苏采云”进入系统“开标大厅” 。</w:t>
      </w:r>
      <w:r/>
    </w:p>
    <w:p>
      <w:pPr>
        <w:ind w:left="0" w:right="0" w:firstLine="241"/>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（一）名称：徐州高新技术产业开发区管理委员会</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（二）地址：江苏省徐州市铜山区珠江东路11号</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（三）联系方法：0516-83539626</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（四）采购项目联系人：李成城</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六、采购代理机构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（一）名称：江苏中际招标代理有限公司</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（二）地址：徐州市云龙区绿地商务城</w:t>
      </w:r>
      <w:r>
        <w:rPr>
          <w:rFonts w:ascii="Times New Roman" w:hAnsi="Times New Roman" w:eastAsia="Times New Roman" w:cs="Times New Roman"/>
          <w:color w:val="000000"/>
          <w:sz w:val="24"/>
        </w:rPr>
        <w:t xml:space="preserve">LOFT</w:t>
      </w:r>
      <w:r>
        <w:rPr>
          <w:rFonts w:ascii="SimSun" w:hAnsi="SimSun" w:eastAsia="SimSun" w:cs="SimSun"/>
          <w:color w:val="000000"/>
          <w:sz w:val="24"/>
        </w:rPr>
        <w:t xml:space="preserve">领海办公楼</w:t>
      </w:r>
      <w:r>
        <w:rPr>
          <w:rFonts w:ascii="Times New Roman" w:hAnsi="Times New Roman" w:eastAsia="Times New Roman" w:cs="Times New Roman"/>
          <w:color w:val="000000"/>
          <w:sz w:val="24"/>
        </w:rPr>
        <w:t xml:space="preserve">5#1905</w:t>
      </w:r>
      <w:r>
        <w:rPr>
          <w:rFonts w:ascii="SimSun" w:hAnsi="SimSun" w:eastAsia="SimSun" w:cs="SimSun"/>
          <w:color w:val="000000"/>
          <w:sz w:val="24"/>
        </w:rPr>
        <w:t xml:space="preserve">室（汉风路和昆仑大道交叉口东北角）</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（三）联系方法：</w:t>
      </w:r>
      <w:r>
        <w:rPr>
          <w:rFonts w:ascii="Times New Roman" w:hAnsi="Times New Roman" w:eastAsia="Times New Roman" w:cs="Times New Roman"/>
          <w:color w:val="000000"/>
          <w:sz w:val="24"/>
        </w:rPr>
        <w:t xml:space="preserve">0516-83200166</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（四）采购项目联系人：陈珂；联系电话：</w:t>
      </w:r>
      <w:r>
        <w:rPr>
          <w:rFonts w:ascii="Times New Roman" w:hAnsi="Times New Roman" w:eastAsia="Times New Roman" w:cs="Times New Roman"/>
          <w:color w:val="000000"/>
          <w:sz w:val="24"/>
        </w:rPr>
        <w:t xml:space="preserve">18118538910</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（一）采购人。采购人即指依法进行政府采购的国家机关、事业单位和团体组织。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（二）政府招标采购方式。政府采购货物或服务（以下简称“货物服务”）的招标方式，分为公开招标和邀请招标。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（五）采购人委托采购代理机构代理招标的，采购代理机构必须在采购人委托的范围内依法开展采购活动。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（六）投标人的资格条件：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投标人是指响应招标、参加投标竞争的法人、其他组织或者自然人。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投标人授权代表系指法定代表人或受法人委托的受托人。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（七）投标费用：投标人应承担所有与准备和参加投标有关的费用。无论投标的结果如何，采购代理机构对上述费用不承担任何责任和义务。</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（八）招标文件应包括以下内容：</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第三章，投标资料表；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第四章，评标标准；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第五章，拟签订的合同文本；</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第六章，采购需求；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第七章，投标文件相关格式。</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（九）招标文件澄清或者修改：</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澄清或者修改的内容可能影响投标文件编制的，采购代理机构应当在投标截止时间至少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日前，以书面形式通知所有获取招标文件的潜在投标人；不足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现场考察以本文件第三章《投标资料表》中的要求为准。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开标前答疑会以本文件第三章《投标资料表》中的要求为准。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（十）投标人应当按照招标文件的要求编制投标文件。投标文件应对招标文件提出的要求和条件作出实质性响应。</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（十二）投标文件的构成：</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投标文件的构成以本文件第三章《投标资料表》中的要求为准。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投标人应当提交的资格、资信证明文件，以本文件第三章《投标资料表》中的所提要求为准。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（十三）投标函和价格表、商务条件、交货和提供服务的时间：</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投标函和价格表的要求见本章（十二）、（十三），格式见本文件第七章《投标文件相关格式》中《投标函》和《开标一览表》。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商务条件以本文件第三章《投标资料表》中的要求为准。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交货和提供服务的时间，以本文件第三章《投标资料表》中所提要求为准。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（十四）投标报价要求：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投标人应按照招标文件的要求报出分项价格和总价。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投标人应按照招标文件的要求进行报价，如投标人作出偏离，应在《偏离表》中列出。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采购人不支付报价以外的任何费用。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投标人所报的价格，在合同执行过程中是固定的，不得以任何理由予以变更。投标人提交滑动价格的投标文件，在资格性、符合性检查时按照无效投标处理。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投标人只能提交一个投标价格，投标人提交多个价格的投标文件，在资格性、符合性检查时按照无效投标处理。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（十五）投标货币。以本文件第三章《投标资料表》中所提要求为准。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（十六）投标有效期：</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投标有效期为开标之日后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天。采购人可以要求对投标有效期延长一次，但该延长期最长不得超过</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采购人要求延长投标有效期的，必须要在距投标有效期满</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日之前，以书面形式通知投标人，如果有关投标人同意延长投标有效期的要求，其应在原投标有效期期满前以书面形式向采购人确认。</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如果采购人发出要求延长投标有效期的通知，并在投标有效期届满前，没有收到投标人同意的书面通知，则视为该投标人不接受上述延期的要求。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（十七）投标文件的编制要求和签署要求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）投标人应由其法定代表人或法定代表人授权代表在规定的网上投标时间，凭 </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证书登陆“苏采云”系统在线编制投标文件（电子数据），并在投标截止时间之前上传投标文件。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）投标人应对 </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证书妥善保管，如被他人盗用投标，因此带来的结果均由投标人自行承担。</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）投标人应当对招标文件提出的要求和条件作出实质性响应，并在电子投标系统逐条应答。</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（十八）投标文件的盖章要求：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投标文件的盖章要求，以本文件第三章《投标资料表》中所提要求为准。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（十九）提交投标文件的截止时间和收到投标文件后注意事项。投标人应在招标文件要求的提交投标文件的截止时间前，将投标文件提交至“苏采云”系统。</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证书进行网上解密。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（二十二）本项目不允许分包。</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（二十三）投标人应当遵循公平竞争的原则，不得恶意串通，不得妨碍其他投标人的竞争行为，不得损害采购人或者其他投标人的合法权益。</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（二十四）有下列情形之一的，其投标无效。</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不同投标人的投标文件，由同一单位或者个人编制；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不同投标人委托同一单位或者个人办理投标事宜；</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不同投标人的投标文件中，所载明的项目管理成员或联系人为同一人；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不同投标人投标文件内容存在非正常一致、项目组成员出现同一人、投标文件中错误（或异常）一致或雷同、电子文档信息一致或雷同的、投标报价呈规律性差异的；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电子投标文件未按规定期限投标的；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电子投标文件未按招标文件要求签章的；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投标人未在规定时间内解密电子投标文件的；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投标文件未按招标文件规定的内容和要求填写的；没有在投标系统指定位置上传对应文件、材料的；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不具备招标文件中规定的资格要求的；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报价超过招标文件中规定的预算金额或者最高限价的；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投标文件含有采购人不能接受的附加条件的；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法律、法规和招标文件规定的其他无效情形。</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（二十五）开标：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开标时间及地点。开标应当在招标文件确定的提交投标文件截止时间的同一时间公开进行；开标地点应当为招标文件中预先确定的地点。</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由电子招标投标交易平台主持，邀请投标人参加。</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所有投标单位使用 </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证书在开标时间时，解密各自投标文件，由工作人员操作系统进行开标，投标人不足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家的，不得评标。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投标人原因造成投标文件未解密的，视为撤销其投标文件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因投标人之外的原因造成投标文件未解密的，视为撤回其投标文件。部分投标文件未解密的，其他投标文件的开标可以继续进行。</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（二十六）公开招标采购项目开标结束后，采购人依法对投标人的资格进行审查。合格投标人不足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家的，不得评标。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评标工作由采购代理机构负责组织，并履行下列职责：</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）核对评审专家身份和采购人代表授权函，对评审专家在政府采购活动中的职责履行情况予以记录，并及时将有关违法违规行为向财政部门报告；</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）宣布评标纪律；</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）公布投标人名单，告知评审专家应当回避的情形；</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）组织评标委员会推选评标组长（采购人代表不得担任组长）；</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）在评标期间采取必要的通讯管理措施，保证评标活动不受外界干扰；</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）根据评标委员会的要求介绍政府采购相关政策法规、招标文件；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）维护评标秩序，监督评标委员会依照招标文件规定的评标程序、方法和标准进行独立评审。及时制止和纠正采购人代表、评审专家的倾向性言论或者违法违规行为；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）核对评标结果，对有《政府采购货物和服务招标投标管理办法》第六十四条规定情形的，应要求评标委员会复核或者书面说明理由，评标委员会拒绝的，应予记录并向本级财政部门报告；</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）评审工作完成后，按照规定向评审专家支付劳务报酬和异地评审差旅费，不得向评审专家以外的其他人员支付评审劳务报酬；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）处理与评标有关的其他事项。</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评标委员会负责具体评标事务，并独立履行下列职责：</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）审查、评价投标文件是否符合招标文件的商务、技术等实质性要求；</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）要求投标人对投标文件有关事项作出澄清或者说明；</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）对投标文件进行比较和评价；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）确定中标候选人名单，以及根据采购人委托直接确定中标人；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）向采购人、采购代理机构或有关部门报告评标中发现的违法行为。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（二十七）评标方法分为最低评标价法和综合评分法。</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（二十八）评标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评标工作程序：</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）投标文件初审。</w:t>
      </w:r>
      <w:r/>
    </w:p>
    <w:p>
      <w:pPr>
        <w:ind w:left="48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①资格性审查。</w:t>
      </w:r>
      <w:r/>
    </w:p>
    <w:p>
      <w:pPr>
        <w:ind w:left="48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②符合性审查。</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）澄清有关问题。</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）比较与评价。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）推荐中标候选供应商名单。</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）编写评审报告（评标报告）。</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在评标中，不得改变招标文件中规定的评标标准、方法和中标条件。评标委员会对投标文件响应性的判定，要基于投标文件本身的内容，而不得寻求外部的证据。</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非单一产品采购项目，多家投标人提供的核心产品品牌相同的，按前两款规定处理。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（二十九）投标文件报价出现前后不一致的，按照下列规定修正：</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投标文件中开标一览表（报价表）内容与投标文件中相应内容不一致的，以开标一览表（报价表）为准；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大写金额和小写金额不一致的，以大写金额为准；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总价金额与按单价合计金额不一致的，以单价金额计算结果为准。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评标中需要投标人对投标文件澄清或者说明的，应当通过“苏采云”系统交换数据电文。在评标期间，请投标人保持在线。</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加盖电子签章）形式。投标人不能证明其报价合理性的，评标委员会应当将其作为无效投标处理。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（三十二）废标条款：</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出现影响采购公正的违法、违规行为的；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投标人的报价均超过了采购预算，采购人不能支付的；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因重大变故，采购任务取消的。</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（三十三）采购代理机构应当在评标结束后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个工作日内将评标报告送采购人。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（三十四）采购人应当自收到评标报告之日起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个工作日内，在评标报告确定的中标候选人名单中按顺序确定中标人。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七、政府采购合同</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（三十六）签订政府采购合同（合同签订方式）：</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采购人不得向中标人提出任何不合理的要求作为签订合同的条件。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（三十七）采购人与中标人应当根据合同的约定依法履行合同义务。政府采购合同的履行、违约责任和解决争议的方法等，按《中华人民共和国合同法》相关条款执行。</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（三十八）履约保证金：无</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（三十九）腐败和欺诈行为：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采购代理机构、采购人、投标人等参与招投标的各方，均应在招标、采购、合同执行等过程中保持廉洁和最高的道德水准。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）腐败和欺诈行为的含义：</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②“欺诈行为”系指为了影响招标、采购和合同执行等过程，隐瞒事实真象，给买方、卖方、采购代理机构及他人造成损害的行为，其中包括投标人之间的串通行为。</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）如果被推荐的中标人有腐败和欺诈行为，将取消其中标资格。</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）如果投标人在任何时候，被法院及政府有关管理部门认定为有腐败和欺诈行为，采购代理机构有权拒绝其投标、取消其中标资格和撤消其已签署的合同。</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八、询问和质疑</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（四十）询问和质疑</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九、电子招标投标交易平台</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（四十一）电子招标投标交易平台（即“苏采云”系统，网址：</w:t>
      </w:r>
      <w:r>
        <w:rPr>
          <w:rFonts w:ascii="Times New Roman" w:hAnsi="Times New Roman" w:eastAsia="Times New Roman" w:cs="Times New Roman"/>
          <w:color w:val="000000"/>
          <w:sz w:val="24"/>
        </w:rPr>
        <w:t xml:space="preserve">http://jszfcg. jsczt. cn/</w:t>
      </w:r>
      <w:r>
        <w:rPr>
          <w:rFonts w:ascii="SimSun" w:hAnsi="SimSun" w:eastAsia="SimSun" w:cs="SimSun"/>
          <w:color w:val="000000"/>
          <w:sz w:val="24"/>
        </w:rPr>
        <w:t xml:space="preserve">）相关要求是本招标文件的组成部分。</w:t>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投标资料表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7"/>
        <w:gridCol w:w="7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本项目采购人：徐州高新技术产业开发区管理委员会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本项目采购代理机构：江苏中际招标代理有限公司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投标人的资格条件：</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一、符合《中华人民共和国政府采购法》第二十二条的规定；</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二、此项目不属于专门面向中小微企业采购的项目。</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同时明确相关事项如下：</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(一)本项目不接受联合体参与采购活动。</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(二)单位负责人为同一人或者存在直接控股、管理关系的不同供应商，不得参加同一合同项下的政府采购活动。</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三、为本采购项目提供整体设计、规范编制或者项目管理、监理、检测等服务的供应商，不得再参加本采购项目的采购活动。</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四、查询及使用供应商信用记录：</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(一)由采购人查询信用信息。</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(二)查询渠道包括：</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“信用中国”网（</w:t>
            </w:r>
            <w:hyperlink r:id="rId20" w:tooltip="http://www.creditchina.gov.cn/" w:history="1">
              <w:r>
                <w:rPr>
                  <w:rStyle w:val="770"/>
                  <w:rFonts w:ascii="SimSun" w:hAnsi="SimSun" w:eastAsia="SimSun" w:cs="SimSun"/>
                  <w:color w:val="0000ee"/>
                  <w:sz w:val="21"/>
                  <w:u w:val="none"/>
                </w:rPr>
                <w:t xml:space="preserve">www.creditchina.gov.cn</w:t>
              </w:r>
            </w:hyperlink>
            <w:r>
              <w:rPr>
                <w:rFonts w:ascii="SimSun" w:hAnsi="SimSun" w:eastAsia="SimSun" w:cs="SimSun"/>
                <w:color w:val="000000"/>
                <w:sz w:val="24"/>
              </w:rPr>
              <w:t xml:space="preserve">）；</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中国政府采购网（</w:t>
            </w:r>
            <w:hyperlink r:id="rId21" w:tooltip="http://www.ccgp.gov.cn/" w:history="1">
              <w:r>
                <w:rPr>
                  <w:rStyle w:val="770"/>
                  <w:rFonts w:ascii="SimSun" w:hAnsi="SimSun" w:eastAsia="SimSun" w:cs="SimSun"/>
                  <w:color w:val="0000ee"/>
                  <w:sz w:val="21"/>
                  <w:u w:val="none"/>
                </w:rPr>
                <w:t xml:space="preserve">www.ccgp.gov.cn</w:t>
              </w:r>
            </w:hyperlink>
            <w:r>
              <w:rPr>
                <w:rFonts w:ascii="SimSun" w:hAnsi="SimSun" w:eastAsia="SimSun" w:cs="SimSun"/>
                <w:color w:val="000000"/>
                <w:sz w:val="24"/>
              </w:rPr>
              <w:t xml:space="preserve">）；</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“信用江苏”网（www.jscredit.gov.cn）；</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“信用中国（江苏徐州）”网（</w:t>
            </w:r>
            <w:hyperlink r:id="rId22" w:tooltip="http://www.xuzhoucredit.gov.cn/" w:history="1">
              <w:r>
                <w:rPr>
                  <w:rStyle w:val="770"/>
                  <w:rFonts w:ascii="SimSun" w:hAnsi="SimSun" w:eastAsia="SimSun" w:cs="SimSun"/>
                  <w:color w:val="0000ee"/>
                  <w:sz w:val="21"/>
                  <w:u w:val="none"/>
                </w:rPr>
                <w:t xml:space="preserve">http://www.xuzhoucredit.gov.cn</w:t>
              </w:r>
            </w:hyperlink>
            <w:r>
              <w:rPr>
                <w:rFonts w:ascii="SimSun" w:hAnsi="SimSun" w:eastAsia="SimSun" w:cs="SimSun"/>
                <w:color w:val="000000"/>
                <w:sz w:val="24"/>
              </w:rPr>
              <w:t xml:space="preserve">）；</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(三)截止时点（查询环节）：资格审查结束前。</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(四)信用信息查询记录和证据留存的具体方式：网页截屏打印，与其他采购文件一并保存。</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(五)信用信息的使用规则：</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(十二)1</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线上投标文件编制要求：</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请按照以下要求（包括但不限于以下要求）制作：</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《开标一览表》（加盖电子签章，政府采购客户端工具输入报价自动生成）。</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二、资格条件（1-5必须提供，否则投标无效）</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1.投标人合法有效的法人或者其他组织的营业执照等证明文件，自然人的身份证明，以上证明文件提供原件的扫描件。</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w:t>
            </w:r>
            <w:r>
              <w:rPr>
                <w:rFonts w:ascii="SimSun" w:hAnsi="SimSun" w:eastAsia="SimSun" w:cs="SimSun"/>
                <w:b/>
                <w:color w:val="000000"/>
                <w:sz w:val="24"/>
              </w:rPr>
              <w:t xml:space="preserve">（</w:t>
            </w:r>
            <w:r>
              <w:rPr>
                <w:rFonts w:ascii="SimSun" w:hAnsi="SimSun" w:eastAsia="SimSun" w:cs="SimSun"/>
                <w:color w:val="000000"/>
                <w:sz w:val="24"/>
              </w:rPr>
              <w:t xml:space="preserve">即提供投标人具备履行合同所必需的设备和专业技术能力的书面声明）</w:t>
            </w:r>
            <w:r>
              <w:rPr>
                <w:rFonts w:ascii="SimSun" w:hAnsi="SimSun" w:eastAsia="SimSun" w:cs="SimSun"/>
                <w:b/>
                <w:color w:val="000000"/>
                <w:sz w:val="24"/>
              </w:rPr>
              <w:t xml:space="preserve">；</w:t>
            </w:r>
            <w:r>
              <w:rPr>
                <w:rFonts w:ascii="SimSun" w:hAnsi="SimSun" w:eastAsia="SimSun" w:cs="SimSun"/>
                <w:color w:val="000000"/>
                <w:sz w:val="24"/>
              </w:rPr>
              <w:t xml:space="preserve">（加盖电子签章，格式见招标文件第七章《投标文件相关格式》）</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5.投标人参加政府采购活动前3年内在经营活动中没有重大违法记录的书面声明（加盖电子签章，格式见招标文件第七章《投标文件相关格式》）。</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三、符合条件（必须提供，否则投标无效）</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1.《分项价格表》（加盖电子签章，格式见招标文件第七章《投标文件相关格式》。）</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（二）商务资信</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1.《投标函》（加盖电子签章，格式见招标文件第七章《投标文件相关格式》。）</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（三）技术响应</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1.《偏离表》（加盖电子签章，格式见招标文件第七章《投标文件相关格式》。）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（四）其他响应</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1.《法定代表人授权书》（加盖电子签章，格式见招标文件第七章《投标文件相关格式》。如为法定代表人本人参加投标活动，则提供《法定代表人身份证明书》。）</w:t>
              <w:br/>
              <w:t xml:space="preserve">2.“关于知晓“兼投所有采购包只能中标一个采购包”的回执”</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（一）技术部分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1.人员、设备配置说明，要求见本文件第六章《采购需求》及第四章《评标标准》。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2.保洁实施方案，要求见本文件第六章《采购需求》及第四章《评标标准》。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（二）商务部分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1.投标人评价要求见本文件第四章《评标标准》；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2.投标人其它证明文件及材料扫描件。</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28"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1、企业报价折扣证明：</w:t>
              <w:br/>
              <w:t xml:space="preserve">投标人《中小企业声明函》（加盖电子签章，格式见招标文件第七章《投标文件相关格式》）（非必须提供，请填写完整）。查询渠道参考工业和信息化部发布的中小企业规模自测小程序。</w:t>
            </w:r>
            <w:r/>
          </w:p>
          <w:p>
            <w:pPr>
              <w:ind w:left="0" w:right="28"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28"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28"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28"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投标人应对以上文件的合法性、真实性负责。</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商务条件见：</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一、本文件第四章《评标标准》中《评分细则》。</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本项目采购包一不接受超过1671.675609万元（557.225203万元/年）人民币（采购项目预算金额）的投标报价；采购包二不接受超过 1890.084714万元（630.028238万元/年）人民币（采购项目预算金额）的投标报价；采购包三不接受超过 1507.37907万元（502.45969万元/年）人民币（采购项目预算金额）的投标报价；采购包四不接受超过1722.622998万元（574.207666万元/年）人民币（采购项目预算金额）的投标报价；采购包五不接受超过1858.63067万元（619</w:t>
            </w:r>
            <w:r>
              <w:rPr>
                <w:rFonts w:ascii="SimSun" w:hAnsi="SimSun" w:eastAsia="SimSun" w:cs="SimSun"/>
                <w:color w:val="000000"/>
                <w:sz w:val="24"/>
              </w:rPr>
              <w:t xml:space="preserve">.543556万元/年）人民币（采购项目预算金额）的投标报价。采购包六不接受超过1415.5689万元（471.8563万元/年）人民币（采购项目预算金额）的投标报价。报价包括设备等固定投入以及运营等全部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投标人应当通过“苏采云”系统提交数据电文形式的投标文件（即电子投标）。</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特别说明：通过“苏采云”系统提交政府采购客户端工具导出加密的投标文件（后缀名为zip）。投标文件不得超过150M！</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投标文件的提交与接收： </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投标文件提交与接收时间：</w:t>
            </w:r>
            <w:r>
              <w:rPr>
                <w:rFonts w:ascii="SimSun" w:hAnsi="SimSun" w:eastAsia="SimSun" w:cs="SimSun"/>
                <w:b/>
                <w:color w:val="000000"/>
                <w:sz w:val="24"/>
              </w:rPr>
              <w:t xml:space="preserve">提交投标文件截止时间（2025年1月3日10:00）前。</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投标文件提交与接收地点：</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开标时间及地点：</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开标时间：2025年1月3日10:00（标准时间）</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开标地点：“苏采云”系统（网址：http://jszfcg.jsczt.cn/）“开标大厅”或进入徐州政府采购网（网址：http://czj.xz.gov.cn/Home/HomeIndex）--业务工作--用户登录，点击“苏采云”进入系统“开标大厅”。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本项目的评标方法：综合评分法。</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(二十八)1</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一、推荐中标候选供应商名单。中标候选供应商数量应当根据采购需要确定，但必须按顺序排列中标候选供应商。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二、采用综合评分法的，按评审后得分由高到低顺序排列。得分相同的，按投标报价由低到高顺序排列。得分且投标报价相同的，按项目售后服务和技术培训方案得分顺序排列。</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按照排序由高到低的原则，每个采购包确定</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家中标人。投标人可兼投所有采购包，但只能中标一个采购包；本项目按采购包顺序（采购包1至采购包6）依次进行评标和定标。投标人在任一采购包的中标候选人中排名第一后，皆不参与剩余采购包的评审。（投标文件中提供“关于知晓“兼投所有采购包只能中标一个采购包”的回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评标中需要投标人对投标文件澄清或者说明的，应当通过“苏采云”系统交换数据电文。在评标期间，请投标人保持在线。</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二、供应商在法定质疑期内一次性提出针对同一采购程序环节的质疑。</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质疑接收人：陈珂;联系电话：0516-83200166;</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办公地址：徐州市云龙区绿地商务城LOFT领海办公楼5#1905室（汉风路和昆仑大道交叉口东北角）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中标人在收到中标通知书时，须向采购代理机构提交《开标一览表》和《分项价格表》的数据文件（WORD格式）。</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本章附件：</w:t>
      </w:r>
      <w:r>
        <w:rPr>
          <w:rFonts w:ascii="SimSun" w:hAnsi="SimSun" w:eastAsia="SimSun" w:cs="SimSun"/>
          <w:b/>
          <w:color w:val="000000"/>
          <w:sz w:val="28"/>
        </w:rPr>
        <w:t xml:space="preserve">招标代理服务收费标准</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8"/>
        <w:gridCol w:w="2436"/>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974" w:right="0" w:firstLine="0"/>
              <w:spacing w:before="1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667" w:right="0" w:firstLine="0"/>
              <w:spacing w:before="1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175" w:right="0" w:firstLine="0"/>
              <w:spacing w:before="1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507" w:right="0" w:firstLine="0"/>
              <w:spacing w:before="1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654" w:right="0" w:firstLine="0"/>
              <w:spacing w:before="1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667" w:right="0" w:firstLine="0"/>
              <w:spacing w:before="2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575"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667" w:right="0" w:firstLine="0"/>
              <w:spacing w:before="23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8"/>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334" w:right="0" w:firstLine="0"/>
              <w:spacing w:before="16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667" w:right="0" w:firstLine="0"/>
              <w:spacing w:before="2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255" w:right="0" w:firstLine="0"/>
              <w:spacing w:before="1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667"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735" w:right="0" w:firstLine="0"/>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586" w:right="0" w:firstLine="0"/>
              <w:spacing w:before="24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815" w:right="0" w:firstLine="0"/>
              <w:spacing w:before="17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586" w:right="0" w:firstLine="0"/>
              <w:spacing w:before="2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735" w:right="0" w:firstLine="0"/>
              <w:spacing w:before="1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586" w:right="0" w:firstLine="0"/>
              <w:spacing w:before="24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left="1455" w:right="0" w:firstLine="0"/>
              <w:spacing w:before="16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left="507" w:right="0" w:firstLine="0"/>
              <w:spacing w:before="24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0.005%</w:t>
            </w:r>
            <w:r/>
          </w:p>
        </w:tc>
      </w:tr>
    </w:tbl>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5.定点类等无金额或事先不能计算出价格总额的项目，按中标(成交)金额按100万元计算。</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6.有分包(分标段)的以一个项目计算。</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8.账户信息：</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收款人：江苏中际招标代理有限公司 </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开户银行：徐州农村商业银行股份有限公司彭园支行 </w:t>
      </w:r>
      <w:r/>
    </w:p>
    <w:p>
      <w:pPr>
        <w:ind w:left="0" w:right="0" w:firstLine="629"/>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账号：3203020171010000003980</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评标标准</w:t>
        <w:br/>
        <w:t xml:space="preserve">采购包一、二、三、四、五、六</w:t>
      </w:r>
      <w:r/>
    </w:p>
    <w:tbl>
      <w:tblPr>
        <w:tblStyle w:val="7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643"/>
        <w:gridCol w:w="1175"/>
        <w:gridCol w:w="7537"/>
      </w:tblGrid>
      <w:tr>
        <w:trPr>
          <w:trHeight w:val="614"/>
        </w:trPr>
        <w:tc>
          <w:tcPr>
            <w:gridSpan w:val="2"/>
            <w:tcMar>
              <w:left w:w="0" w:type="dxa"/>
              <w:top w:w="0" w:type="dxa"/>
              <w:right w:w="0" w:type="dxa"/>
              <w:bottom w:w="0" w:type="dxa"/>
            </w:tcMar>
            <w:tcW w:w="1817" w:type="dxa"/>
            <w:vAlign w:val="top"/>
            <w:textDirection w:val="lrTb"/>
            <w:noWrap w:val="false"/>
          </w:tcPr>
          <w:p>
            <w:pPr>
              <w:ind w:left="837" w:right="0" w:firstLine="0"/>
              <w:spacing w:before="15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Mar>
              <w:left w:w="0" w:type="dxa"/>
              <w:top w:w="0" w:type="dxa"/>
              <w:right w:w="0" w:type="dxa"/>
              <w:bottom w:w="0" w:type="dxa"/>
            </w:tcMar>
            <w:tcW w:w="7537" w:type="dxa"/>
            <w:vAlign w:val="top"/>
            <w:textDirection w:val="lrTb"/>
            <w:noWrap w:val="false"/>
          </w:tcPr>
          <w:p>
            <w:pPr>
              <w:ind w:left="0" w:right="3133" w:firstLine="0"/>
              <w:jc w:val="center"/>
              <w:spacing w:before="15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评分细则</w:t>
            </w:r>
            <w:r/>
          </w:p>
        </w:tc>
      </w:tr>
      <w:tr>
        <w:trPr>
          <w:trHeight w:val="2818"/>
        </w:trPr>
        <w:tc>
          <w:tcPr>
            <w:gridSpan w:val="2"/>
            <w:tcMar>
              <w:left w:w="0" w:type="dxa"/>
              <w:top w:w="0" w:type="dxa"/>
              <w:right w:w="0" w:type="dxa"/>
              <w:bottom w:w="0" w:type="dxa"/>
            </w:tcMar>
            <w:tcW w:w="1817" w:type="dxa"/>
            <w:vAlign w:val="top"/>
            <w:textDirection w:val="lrTb"/>
            <w:noWrap w:val="false"/>
          </w:tcPr>
          <w:p>
            <w:pPr>
              <w:ind w:left="0" w:right="0" w:firstLine="0"/>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投标价格（30分 ）</w:t>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各投标人价格得分=最低报价（投标人的最低评审价格）÷各投标人评审价格×30。</w:t>
              <w:b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rHeight w:val="1491"/>
        </w:trPr>
        <w:tc>
          <w:tcPr>
            <w:gridSpan w:val="2"/>
            <w:tcMar>
              <w:left w:w="0" w:type="dxa"/>
              <w:top w:w="0" w:type="dxa"/>
              <w:right w:w="0" w:type="dxa"/>
              <w:bottom w:w="0" w:type="dxa"/>
            </w:tcMar>
            <w:tcW w:w="18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投标人业绩（4分）</w:t>
            </w:r>
            <w:r/>
          </w:p>
        </w:tc>
        <w:tc>
          <w:tcPr>
            <w:tcMar>
              <w:left w:w="0" w:type="dxa"/>
              <w:top w:w="0" w:type="dxa"/>
              <w:right w:w="0" w:type="dxa"/>
              <w:bottom w:w="0" w:type="dxa"/>
            </w:tcMar>
            <w:tcW w:w="7537" w:type="dxa"/>
            <w:vAlign w:val="top"/>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投标人提供自2020年1月1日以来承担过合同内容为相同或类似项目的，每提供一份得2分，此项最高得4分。</w:t>
            </w:r>
            <w:r/>
          </w:p>
          <w:p>
            <w:pPr>
              <w:ind w:left="0" w:right="0" w:firstLine="0"/>
              <w:spacing w:before="42"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注：投标文件中提供合同原件的扫描件方为有效，时间以合同签订时间为准。</w:t>
            </w:r>
            <w:r/>
          </w:p>
        </w:tc>
      </w:tr>
      <w:tr>
        <w:trPr>
          <w:trHeight w:val="1216"/>
        </w:trPr>
        <w:tc>
          <w:tcPr>
            <w:gridSpan w:val="2"/>
            <w:tcMar>
              <w:left w:w="0" w:type="dxa"/>
              <w:top w:w="0" w:type="dxa"/>
              <w:right w:w="0" w:type="dxa"/>
              <w:bottom w:w="0" w:type="dxa"/>
            </w:tcMar>
            <w:tcW w:w="181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投标人综合实力（2分）</w:t>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投标人提供有效的质量管理体系认证证书，环境管理体系认证证书，职业健康安全管理体系认证证书，三者同时具备得2分，本项最高得 2分。</w:t>
            </w:r>
            <w:r>
              <w:rPr>
                <w:rFonts w:ascii="FangSong" w:hAnsi="FangSong" w:eastAsia="FangSong" w:cs="FangSong"/>
                <w:b/>
                <w:color w:val="000000"/>
                <w:sz w:val="24"/>
              </w:rPr>
              <w:t xml:space="preserve">以证书原件扫描件加盖电子签章。</w:t>
            </w:r>
            <w:r/>
          </w:p>
        </w:tc>
      </w:tr>
      <w:tr>
        <w:trPr>
          <w:trHeight w:val="2503"/>
        </w:trPr>
        <w:tc>
          <w:tcPr>
            <w:gridSpan w:val="2"/>
            <w:tcMar>
              <w:left w:w="0" w:type="dxa"/>
              <w:top w:w="0" w:type="dxa"/>
              <w:right w:w="0" w:type="dxa"/>
              <w:bottom w:w="0" w:type="dxa"/>
            </w:tcMar>
            <w:tcW w:w="1817" w:type="dxa"/>
            <w:vAlign w:val="center"/>
            <w:textDirection w:val="lrTb"/>
            <w:noWrap w:val="false"/>
          </w:tcPr>
          <w:p>
            <w:pPr>
              <w:ind w:left="0" w:right="0" w:firstLine="0"/>
              <w:jc w:val="both"/>
              <w:spacing w:before="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人员、设备配置说明</w:t>
            </w:r>
            <w:r/>
          </w:p>
          <w:p>
            <w:pPr>
              <w:ind w:left="288" w:right="271" w:firstLine="0"/>
              <w:jc w:val="center"/>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（4分）</w:t>
            </w:r>
            <w:r/>
          </w:p>
        </w:tc>
        <w:tc>
          <w:tcPr>
            <w:tcMar>
              <w:left w:w="0" w:type="dxa"/>
              <w:top w:w="0" w:type="dxa"/>
              <w:right w:w="0" w:type="dxa"/>
              <w:bottom w:w="0" w:type="dxa"/>
            </w:tcMar>
            <w:tcW w:w="7537" w:type="dxa"/>
            <w:vAlign w:val="top"/>
            <w:textDirection w:val="lrTb"/>
            <w:noWrap w:val="false"/>
          </w:tcPr>
          <w:p>
            <w:pPr>
              <w:ind w:left="0" w:right="0" w:firstLine="0"/>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1、满足招标文件《项目要求》“设备（车辆）配置基本要求”的得2分；在设备（车辆）配置基础上，高压冲洗车、洗扫一体车每增加1辆加1分，本项最高得2分。</w:t>
            </w:r>
            <w:r/>
          </w:p>
          <w:p>
            <w:pPr>
              <w:ind w:left="0" w:right="0" w:firstLine="0"/>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2、配置的高压冲洗车、洗扫一体车、深度作业车、精细化车辆、高温高压冲洗车，新能源车辆占比达15%，得2分，不足15%的不得分，以承诺书为准。</w:t>
            </w:r>
            <w:r/>
          </w:p>
        </w:tc>
      </w:tr>
      <w:tr>
        <w:trPr>
          <w:trHeight w:val="1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3"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91" w:right="271"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保洁实施方案</w:t>
            </w:r>
            <w:r/>
          </w:p>
          <w:p>
            <w:pPr>
              <w:ind w:left="0" w:right="0" w:firstLine="0"/>
              <w:jc w:val="center"/>
              <w:spacing w:before="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（60分）</w:t>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项目分析</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对投标文件中项目分析的服务定位和目标及作业范围和现场作业的难点、重点等描述与分析是否全面、清晰、准确进行打分。</w:t>
              <w:br/>
              <w:t xml:space="preserve">全面具体详实得6分；较全面得3分；基本具备的得1分；不太全面得0分。</w:t>
            </w:r>
            <w:r/>
          </w:p>
        </w:tc>
      </w:tr>
      <w:tr>
        <w:trPr>
          <w:trHeight w:val="12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vMerge w:val="restart"/>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道路人工保洁管理方案</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 分）</w:t>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对投标文件中道路人工保洁管理方案的部门组织结构、作业人员班次安排、保洁人员培训计划进行打分。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全面具体详实得6分；较全面得3分；基本具备的得1分；不太全面得0分。</w:t>
            </w:r>
            <w:r/>
          </w:p>
        </w:tc>
      </w:tr>
      <w:tr>
        <w:trPr>
          <w:trHeight w:val="12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vMerge w:val="continue"/>
            <w:textDirection w:val="lrTb"/>
            <w:noWrap w:val="false"/>
          </w:tcPr>
          <w:p>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道路人工保洁管理方案中有提高劳动生产率、工人工资福利待遇保障、优化保洁人员配置内容进行综合评价。</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全面具体详实得6分；较全面得3分；基本具备的得1分；不太全面得0分。</w:t>
            </w:r>
            <w:r/>
          </w:p>
        </w:tc>
      </w:tr>
      <w:tr>
        <w:trPr>
          <w:trHeight w:val="103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vMerge w:val="continue"/>
            <w:textDirection w:val="lrTb"/>
            <w:noWrap w:val="false"/>
          </w:tcPr>
          <w:p>
            <w:r/>
            <w:r/>
          </w:p>
        </w:tc>
        <w:tc>
          <w:tcPr>
            <w:tcMar>
              <w:left w:w="0" w:type="dxa"/>
              <w:top w:w="0" w:type="dxa"/>
              <w:right w:w="0" w:type="dxa"/>
              <w:bottom w:w="0" w:type="dxa"/>
            </w:tcMar>
            <w:tcW w:w="753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道路人工保洁管理方案中有人工作业方案内容进行综合评价</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全面具体详实得6分；较全面得3分；基本具备的得1分；不太全面得0分。</w:t>
            </w:r>
            <w:r/>
          </w:p>
        </w:tc>
      </w:tr>
      <w:tr>
        <w:trPr>
          <w:trHeight w:val="2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环卫机械化作业管理方案（10分）</w:t>
            </w:r>
            <w:r/>
          </w:p>
        </w:tc>
        <w:tc>
          <w:tcPr>
            <w:tcMar>
              <w:left w:w="0" w:type="dxa"/>
              <w:top w:w="0" w:type="dxa"/>
              <w:right w:w="0" w:type="dxa"/>
              <w:bottom w:w="0" w:type="dxa"/>
            </w:tcMar>
            <w:tcW w:w="753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对投标文件中环卫机械化作业管理方案中的机械化作业设备（车辆）配置、作业路线规划、日常和季节性作业时间安排、停车场地、拟达到的效果等内容的全面性、针对性、合理性进行打分。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全面具体详实得10分；较全面得7分；基本具备的得4分；不太全面得1分。</w:t>
            </w:r>
            <w:r/>
          </w:p>
        </w:tc>
      </w:tr>
      <w:tr>
        <w:trPr>
          <w:trHeight w:val="16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大气扬尘治理方案（5分）</w:t>
            </w:r>
            <w:r/>
          </w:p>
        </w:tc>
        <w:tc>
          <w:tcPr>
            <w:tcMar>
              <w:left w:w="0" w:type="dxa"/>
              <w:top w:w="0" w:type="dxa"/>
              <w:right w:w="0" w:type="dxa"/>
              <w:bottom w:w="0" w:type="dxa"/>
            </w:tcMar>
            <w:tcW w:w="753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对投标文件中大气扬尘治理方案是否细致完整、科学合理、针对性强进行打分。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完整、科学内容具体详实得5分；较完整、较科学得3分；基本完整得1分；不太完整得0分。</w:t>
            </w:r>
            <w:r/>
          </w:p>
        </w:tc>
      </w:tr>
      <w:tr>
        <w:trPr>
          <w:trHeight w:val="22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其他管理方案（10分）</w:t>
            </w:r>
            <w:r/>
          </w:p>
        </w:tc>
        <w:tc>
          <w:tcPr>
            <w:tcMar>
              <w:left w:w="0" w:type="dxa"/>
              <w:top w:w="0" w:type="dxa"/>
              <w:right w:w="0" w:type="dxa"/>
              <w:bottom w:w="0" w:type="dxa"/>
            </w:tcMar>
            <w:tcW w:w="753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对投标文件中公交站台保洁、交通护栏保洁、垃圾前端分类收集运输管理、野广告清理管理、秋季落叶、绿化带清理、非机动车规范治理、市政设施巡查等方案针对性、专业性及拟达到的效果进行打分。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全面具体详实得10分；较全面得7分；基本具备的得4分；不太全面得1分。</w:t>
            </w:r>
            <w:r/>
          </w:p>
        </w:tc>
      </w:tr>
      <w:tr>
        <w:trPr>
          <w:trHeight w:val="201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应急、突击保障方案</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Mar>
              <w:left w:w="0" w:type="dxa"/>
              <w:top w:w="0" w:type="dxa"/>
              <w:right w:w="0" w:type="dxa"/>
              <w:bottom w:w="0" w:type="dxa"/>
            </w:tcMar>
            <w:tcW w:w="753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大活动保障应急预案》、《特殊季节性保洁应急预案》、《道路大面积污染应急预案》、《除雪应急预案》、《台风暴雨等恶劣天气应急预案》等方案齐全，应急机构、组织流程健全，重大或突发事件应急保障措施合理可行，得6分；较全面得3分；基本具备的得1分；不太全面得0分。</w:t>
            </w:r>
            <w:r/>
          </w:p>
        </w:tc>
      </w:tr>
      <w:tr>
        <w:trPr>
          <w:trHeight w:val="12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0" w:type="dxa"/>
              <w:top w:w="0" w:type="dxa"/>
              <w:right w:w="0" w:type="dxa"/>
              <w:bottom w:w="0" w:type="dxa"/>
            </w:tcMar>
            <w:tcW w:w="1175"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文明、安全作业管理实施方案（5分）</w:t>
            </w:r>
            <w:r/>
          </w:p>
        </w:tc>
        <w:tc>
          <w:tcPr>
            <w:tcMar>
              <w:left w:w="0" w:type="dxa"/>
              <w:top w:w="0" w:type="dxa"/>
              <w:right w:w="0" w:type="dxa"/>
              <w:bottom w:w="0" w:type="dxa"/>
            </w:tcMar>
            <w:tcW w:w="7537" w:type="dxa"/>
            <w:vAlign w:val="top"/>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对投标文件中文明、安全作业管理实施方案完整性、合理性等进行打分。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完整、科学内容具体详实得5分；较完整、较科学得3分；基本完整得1分；不太完整得0分。</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本章说明：</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（一）本项目采用综合评分法。</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（二）采购人有权对中标人以上内容进行复核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如发现存在弄虚作假或其它不符招标文件要求的行为，将取消中标资格。</w:t>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拟签订的合同文本</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第一节 总 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第一条本合同当事人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合同服务期限：年月日至年月日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第二条合同编号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第三条合同签订依据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推行环卫市场化保洁运作，甲乙双方根据高新区道路、绿化保洁服务项目(项目编号：JSZC-320312-ZJZB-G2024-0214)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第四条合同文件的组成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本合同所附下列文件是构成本合同不可分割的部分：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1.高新区道路、绿化保洁服务项目招标文件(项目编号：JSZC-320312-ZJZB-G2024-0214)以及相关的澄清、补充文件等；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2.乙方的投标文件及其澄清、补充说明文件等；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第五条承包范围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高新区道路、绿化保洁服务项目招标文件（项目编号：JSZC-320312-ZJZB-G2024-0214）采购包</w:t>
      </w:r>
      <w:r>
        <w:rPr>
          <w:rFonts w:ascii="SimSun" w:hAnsi="SimSun" w:eastAsia="SimSun" w:cs="SimSun"/>
          <w:color w:val="000000"/>
          <w:sz w:val="24"/>
          <w:u w:val="single"/>
        </w:rPr>
        <w:t xml:space="preserve">    </w:t>
      </w:r>
      <w:r>
        <w:rPr>
          <w:rFonts w:ascii="SimSun" w:hAnsi="SimSun" w:eastAsia="SimSun" w:cs="SimSun"/>
          <w:color w:val="000000"/>
          <w:sz w:val="24"/>
        </w:rPr>
        <w:t xml:space="preserve">，具体内容见招标文件第六章《项目要求》。</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第二节项目内容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项目名称：高新区道路、绿化保洁服务项目</w:t>
      </w:r>
      <w:r/>
    </w:p>
    <w:p>
      <w:pPr>
        <w:ind w:left="0" w:right="0" w:firstLine="46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作业范围及内容：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包含：两侧建筑物以内，机动车道、非机动车道、人行道及沟渠、硬质路面、绿化带、裸露地面、沿街店铺、企事业门前等的保洁；没有建筑物或围墙作为参照物的道路，按甲方确定的范围实施保洁；与主路面搭接的巷道出入口，向巷道内保洁5米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2、道路、绿化人工保洁、机械化作业、野广告清理、环卫市政设施管养维护、非机动车摆放、垃圾收集运输等，作业范围内的垃圾清理清运、除雪，重大活动保障等应急任务，主管部门交办的临时性任务等。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3、标段范围内市政公共设施的巡查。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4、具体作业项目、作业量详见附件。</w:t>
      </w:r>
      <w:r/>
    </w:p>
    <w:p>
      <w:pPr>
        <w:ind w:left="0" w:right="0" w:firstLine="46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作业内容：</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机动车道、非机动车道、人行道人工清扫保洁；</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机动车道每日不低于“二冲洗两洗扫两洒水”机械化作业，深度洗扫不低于每两周一轮，每轮全覆盖路面；</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非机动车道、人行道精细化化洗扫每周至少一遍，油污路面高温高压机械化及时冲洗及洗扫；</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绿化带保洁；</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地面及外立面（2米以下）野广告清理；</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公交站台保洁，交通护栏擦拭；</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保洁作业范围内的非机动车摆放；</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垃圾收集容器垃圾清理保洁；</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扫雪除冰机械化及人工作业；</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保洁范围内沿街商户垃圾分类收集清运；</w:t>
      </w:r>
      <w:r/>
    </w:p>
    <w:p>
      <w:pPr>
        <w:numPr>
          <w:ilvl w:val="0"/>
          <w:numId w:val="5"/>
        </w:numPr>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保洁范围内无主垃圾清理等。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作业规范、标准及要求：作业规范符合但不限于《江苏省城市环境卫生作业质量标准》，《城市道路环卫机械化作业质量标准》等现行有关法律法规、规章和规范性文件。服务质量和要求详见《徐州市铜山区道路清扫保洁服务检查考核实施细则》。如有最新标准的，按照最新标准执行。</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（一）规范管理</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1.组织机构健全。乙方应当按照环卫企业规范管理要求设立各相关内部管理机构，管理人员规范着装、挂牌上岗；每个采购包必须配备足够的通讯设备并保持畅通。</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2.各项管理制度健全，制定各岗位操作规范，定期组织安全生产教育，具有完善的突发事件应急预案。 </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3.乙方须保障作业质量检查用车，服从甲方统一调配。</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（二）作业要求</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1.环卫作业应做到文明、安全和有序，最大限度地减少对环境的污染和对公众生活的影响。</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2.环卫作业人员应按照环卫管理机构要求穿着统一制式的作业服装（含鞋、帽、雨衣、雨靴等），做到着装整齐。</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3.环卫作业机具、设备的式样、颜色、结构等应全区统一。作业机具、设备喷涂的字样或图样，由环卫管理机构规定。</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4.乙方应编制突发事件应急预案，拥有应急突击队伍，做好各类重大活动、应急处置等保障。</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（三）作业时间</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1.道路人工保洁时间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绿化保洁要求每日7：00前完成全覆盖保洁（人工普扫、垃圾收运），13:30前完成全覆盖保洁（人工普扫、垃圾收运）；3月20日至11月14日：道路、绿化保洁至18：30；11月15日至次年3月19日：道路、绿化保洁至晚上18：00。</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2.道路机械化保洁时间</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当气温≤5℃时，暂停桥面、坡道、高架的带水作业；当气温≤2℃时，道路洗扫、机扫全部采用干扫（不喷水）作业方式或者采用深度洗扫模式；当气温≤0℃时，道路洗扫、洒水暂停作业。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（1）冲洗作业时间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第一次作业时间：00：00至7：00，第二次作业时间9:00至11:30，第三次作业时间：1:30至5:00，作业时至少来回各一趟（根据车辆线路作业表执行）。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（2）清洗、洗扫作业时间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快车道作业时间：第一次：00：00至7：00，第二次9:00至11:30，第三次：1:30至5:00，作业时至少来回各一趟（根据车辆线路作业表执行）。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人行道清洗作业时间：3月1日至11月30之间，冲洗时间为00:30至6:00或9:00至16:30（根据车辆线路作业表执行）。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精细化作业时间根据道路实际情况安排作业，乙方作业时间方案需报高新区环卫主管部门审批。</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（四）作业模式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1.主次干道及广场保洁模式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机动车道：机械化冲洗+机械化洒水+机械化洗扫+深度洗扫+人工快速巡回保洁；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非机动车道：机械化清洗（小型）+高温高压机械化冲洗（油污路面）+人工清扫+快速巡回保洁；</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人行道、背街小巷及广场：精细化冲洗（小型）+高温高压机械化冲洗（油污路面）+人工清扫+快速巡回保洁。</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绿化带：日常人工捡拾清理+定期集中清理。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2.街巷保洁模式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机械化清洗（小型）+高温高压机械化冲洗（油污路面）+人工清扫+快速巡回保洁；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（五）作业质量标准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作业质量符合：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1.《江苏省城市环境卫生作业质量标准》（DGJ32/TC01-2015）</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2.《城市道路环卫机械化作业质量标准》（DGJ32/TJ172-2014）</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第三节作业人员、服装、防护用品及设备（车辆）配置</w:t>
      </w:r>
      <w:r/>
    </w:p>
    <w:p>
      <w:pPr>
        <w:ind w:left="0" w:right="0" w:firstLine="73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第九条人员及服装要求</w:t>
      </w:r>
      <w:r/>
    </w:p>
    <w:p>
      <w:pPr>
        <w:ind w:left="0" w:right="0" w:firstLine="49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人员数量配备：</w:t>
      </w:r>
      <w:r>
        <w:rPr>
          <w:rFonts w:ascii="SimSun" w:hAnsi="SimSun" w:eastAsia="SimSun" w:cs="SimSun"/>
          <w:color w:val="000000"/>
          <w:sz w:val="24"/>
          <w:u w:val="single"/>
        </w:rPr>
        <w:t xml:space="preserve">  </w:t>
      </w:r>
      <w:r>
        <w:rPr>
          <w:rFonts w:ascii="SimSun" w:hAnsi="SimSun" w:eastAsia="SimSun" w:cs="SimSun"/>
          <w:color w:val="000000"/>
          <w:sz w:val="24"/>
        </w:rPr>
        <w:t xml:space="preserve">人（其中道路保洁人员</w:t>
      </w:r>
      <w:r>
        <w:rPr>
          <w:rFonts w:ascii="SimSun" w:hAnsi="SimSun" w:eastAsia="SimSun" w:cs="SimSun"/>
          <w:color w:val="000000"/>
          <w:sz w:val="24"/>
          <w:u w:val="single"/>
        </w:rPr>
        <w:t xml:space="preserve">   </w:t>
      </w:r>
      <w:r>
        <w:rPr>
          <w:rFonts w:ascii="SimSun" w:hAnsi="SimSun" w:eastAsia="SimSun" w:cs="SimSun"/>
          <w:color w:val="000000"/>
          <w:sz w:val="24"/>
        </w:rPr>
        <w:t xml:space="preserve">人，驾驶员</w:t>
      </w:r>
      <w:r>
        <w:rPr>
          <w:rFonts w:ascii="SimSun" w:hAnsi="SimSun" w:eastAsia="SimSun" w:cs="SimSun"/>
          <w:color w:val="000000"/>
          <w:sz w:val="24"/>
          <w:u w:val="single"/>
        </w:rPr>
        <w:t xml:space="preserve">   </w:t>
      </w:r>
      <w:r>
        <w:rPr>
          <w:rFonts w:ascii="SimSun" w:hAnsi="SimSun" w:eastAsia="SimSun" w:cs="SimSun"/>
          <w:color w:val="000000"/>
          <w:sz w:val="24"/>
        </w:rPr>
        <w:t xml:space="preserve">人，管理人员</w:t>
      </w:r>
      <w:r>
        <w:rPr>
          <w:rFonts w:ascii="SimSun" w:hAnsi="SimSun" w:eastAsia="SimSun" w:cs="SimSun"/>
          <w:color w:val="000000"/>
          <w:sz w:val="24"/>
          <w:u w:val="single"/>
        </w:rPr>
        <w:t xml:space="preserve">  </w:t>
      </w:r>
      <w:r>
        <w:rPr>
          <w:rFonts w:ascii="SimSun" w:hAnsi="SimSun" w:eastAsia="SimSun" w:cs="SimSun"/>
          <w:color w:val="000000"/>
          <w:sz w:val="24"/>
        </w:rPr>
        <w:t xml:space="preserve">人，非机动车秩序引导人员人）。</w:t>
      </w:r>
      <w:r/>
    </w:p>
    <w:p>
      <w:pPr>
        <w:ind w:left="0" w:right="0" w:firstLine="49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及防护用品配备要求：（1）夏装每人每年2套，春秋装每人每年1套，冬装棉服每人2年1件；（2）雨衣、雨裤、雨鞋每人一套；（3）式样、颜色、材质等在采购前报甲方确认方可采购；（4）其他防护用品满足作业需要。</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设备配置要求（本合同为采购包</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7"/>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高压清洗车：</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8</w:t>
      </w:r>
      <w:r>
        <w:rPr>
          <w:rFonts w:ascii="SimSun" w:hAnsi="SimSun" w:eastAsia="SimSun" w:cs="SimSun"/>
          <w:color w:val="000000"/>
          <w:sz w:val="24"/>
        </w:rPr>
        <w:t xml:space="preserve">吨；</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12</w:t>
      </w:r>
      <w:r>
        <w:rPr>
          <w:rFonts w:ascii="SimSun" w:hAnsi="SimSun" w:eastAsia="SimSun" w:cs="SimSun"/>
          <w:color w:val="000000"/>
          <w:sz w:val="24"/>
        </w:rPr>
        <w:t xml:space="preserve">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2.深度洗扫车/道路污染清除车：</w:t>
      </w:r>
      <w:r>
        <w:rPr>
          <w:rFonts w:ascii="SimSun" w:hAnsi="SimSun" w:eastAsia="SimSun" w:cs="SimSun"/>
          <w:color w:val="000000"/>
          <w:sz w:val="24"/>
          <w:u w:val="single"/>
        </w:rPr>
        <w:t xml:space="preserve">   </w:t>
      </w:r>
      <w:r>
        <w:rPr>
          <w:rFonts w:ascii="SimSun" w:hAnsi="SimSun" w:eastAsia="SimSun" w:cs="SimSun"/>
          <w:color w:val="000000"/>
          <w:sz w:val="24"/>
        </w:rPr>
        <w:t xml:space="preserve">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3.洗扫一体车：</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8</w:t>
      </w:r>
      <w:r>
        <w:rPr>
          <w:rFonts w:ascii="SimSun" w:hAnsi="SimSun" w:eastAsia="SimSun" w:cs="SimSun"/>
          <w:color w:val="000000"/>
          <w:sz w:val="24"/>
        </w:rPr>
        <w:t xml:space="preserve">吨及以上</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4.路面养护车：</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 2 </w:t>
      </w:r>
      <w:r>
        <w:rPr>
          <w:rFonts w:ascii="SimSun" w:hAnsi="SimSun" w:eastAsia="SimSun" w:cs="SimSun"/>
          <w:color w:val="000000"/>
          <w:sz w:val="24"/>
        </w:rPr>
        <w:t xml:space="preserve">吨及以上。</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5.巡查车：</w:t>
      </w:r>
      <w:r>
        <w:rPr>
          <w:rFonts w:ascii="SimSun" w:hAnsi="SimSun" w:eastAsia="SimSun" w:cs="SimSun"/>
          <w:color w:val="000000"/>
          <w:sz w:val="24"/>
          <w:u w:val="single"/>
        </w:rPr>
        <w:t xml:space="preserve">   </w:t>
      </w:r>
      <w:r>
        <w:rPr>
          <w:rFonts w:ascii="SimSun" w:hAnsi="SimSun" w:eastAsia="SimSun" w:cs="SimSun"/>
          <w:color w:val="000000"/>
          <w:sz w:val="24"/>
        </w:rPr>
        <w:t xml:space="preserve">辆 （按规定完成机动车注册登记手续）。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6.高温高压冲洗车：</w:t>
      </w:r>
      <w:r>
        <w:rPr>
          <w:rFonts w:ascii="SimSun" w:hAnsi="SimSun" w:eastAsia="SimSun" w:cs="SimSun"/>
          <w:color w:val="000000"/>
          <w:sz w:val="24"/>
          <w:u w:val="single"/>
        </w:rPr>
        <w:t xml:space="preserve">   </w:t>
      </w:r>
      <w:r>
        <w:rPr>
          <w:rFonts w:ascii="SimSun" w:hAnsi="SimSun" w:eastAsia="SimSun" w:cs="SimSun"/>
          <w:color w:val="000000"/>
          <w:sz w:val="24"/>
        </w:rPr>
        <w:t xml:space="preserve">辆，（按规定完成机动车注册登记手续）。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7.多功能抑尘车：</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 8 </w:t>
      </w:r>
      <w:r>
        <w:rPr>
          <w:rFonts w:ascii="SimSun" w:hAnsi="SimSun" w:eastAsia="SimSun" w:cs="SimSun"/>
          <w:color w:val="000000"/>
          <w:sz w:val="24"/>
        </w:rPr>
        <w:t xml:space="preserve">吨及以上。。</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8.吸尘车：</w:t>
      </w:r>
      <w:r>
        <w:rPr>
          <w:rFonts w:ascii="SimSun" w:hAnsi="SimSun" w:eastAsia="SimSun" w:cs="SimSun"/>
          <w:color w:val="000000"/>
          <w:sz w:val="24"/>
          <w:u w:val="single"/>
        </w:rPr>
        <w:t xml:space="preserve">   </w:t>
      </w:r>
      <w:r>
        <w:rPr>
          <w:rFonts w:ascii="SimSun" w:hAnsi="SimSun" w:eastAsia="SimSun" w:cs="SimSun"/>
          <w:color w:val="000000"/>
          <w:sz w:val="24"/>
        </w:rPr>
        <w:t xml:space="preserve">辆，载质量</w:t>
      </w:r>
      <w:r>
        <w:rPr>
          <w:rFonts w:ascii="SimSun" w:hAnsi="SimSun" w:eastAsia="SimSun" w:cs="SimSun"/>
          <w:color w:val="000000"/>
          <w:sz w:val="24"/>
          <w:u w:val="single"/>
        </w:rPr>
        <w:t xml:space="preserve"> 5 </w:t>
      </w:r>
      <w:r>
        <w:rPr>
          <w:rFonts w:ascii="SimSun" w:hAnsi="SimSun" w:eastAsia="SimSun" w:cs="SimSun"/>
          <w:color w:val="000000"/>
          <w:sz w:val="24"/>
        </w:rPr>
        <w:t xml:space="preserve">吨及以上。</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9.融雪剂撒布机：</w:t>
      </w:r>
      <w:r>
        <w:rPr>
          <w:rFonts w:ascii="SimSun" w:hAnsi="SimSun" w:eastAsia="SimSun" w:cs="SimSun"/>
          <w:color w:val="000000"/>
          <w:sz w:val="24"/>
          <w:u w:val="single"/>
        </w:rPr>
        <w:t xml:space="preserve">   </w:t>
      </w:r>
      <w:r>
        <w:rPr>
          <w:rFonts w:ascii="SimSun" w:hAnsi="SimSun" w:eastAsia="SimSun" w:cs="SimSun"/>
          <w:color w:val="000000"/>
          <w:sz w:val="24"/>
        </w:rPr>
        <w:t xml:space="preserve">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10.雪铲：</w:t>
      </w:r>
      <w:r>
        <w:rPr>
          <w:rFonts w:ascii="SimSun" w:hAnsi="SimSun" w:eastAsia="SimSun" w:cs="SimSun"/>
          <w:color w:val="000000"/>
          <w:sz w:val="24"/>
          <w:u w:val="single"/>
        </w:rPr>
        <w:t xml:space="preserve">   </w:t>
      </w:r>
      <w:r>
        <w:rPr>
          <w:rFonts w:ascii="SimSun" w:hAnsi="SimSun" w:eastAsia="SimSun" w:cs="SimSun"/>
          <w:color w:val="000000"/>
          <w:sz w:val="24"/>
        </w:rPr>
        <w:t xml:space="preserve">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11.护栏清洗车：</w:t>
      </w:r>
      <w:r>
        <w:rPr>
          <w:rFonts w:ascii="SimSun" w:hAnsi="SimSun" w:eastAsia="SimSun" w:cs="SimSun"/>
          <w:color w:val="000000"/>
          <w:sz w:val="24"/>
          <w:u w:val="single"/>
        </w:rPr>
        <w:t xml:space="preserve">   </w:t>
      </w:r>
      <w:r>
        <w:rPr>
          <w:rFonts w:ascii="SimSun" w:hAnsi="SimSun" w:eastAsia="SimSun" w:cs="SimSun"/>
          <w:color w:val="000000"/>
          <w:sz w:val="24"/>
        </w:rPr>
        <w:t xml:space="preserve">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12.快速保洁车：</w:t>
      </w:r>
      <w:r>
        <w:rPr>
          <w:rFonts w:ascii="SimSun" w:hAnsi="SimSun" w:eastAsia="SimSun" w:cs="SimSun"/>
          <w:color w:val="000000"/>
          <w:sz w:val="24"/>
          <w:u w:val="single"/>
        </w:rPr>
        <w:t xml:space="preserve">   </w:t>
      </w:r>
      <w:r>
        <w:rPr>
          <w:rFonts w:ascii="SimSun" w:hAnsi="SimSun" w:eastAsia="SimSun" w:cs="SimSun"/>
          <w:color w:val="000000"/>
          <w:sz w:val="24"/>
        </w:rPr>
        <w:t xml:space="preserve">辆（按保洁员及快速网格员配备）车型，颜色，外观经甲方确认后方可使用。</w:t>
      </w:r>
      <w:r/>
    </w:p>
    <w:p>
      <w:pPr>
        <w:ind w:left="1134"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第四节合同价款与支付</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第十一条本合同总价款为</w:t>
      </w:r>
      <w:r>
        <w:rPr>
          <w:rFonts w:ascii="SimSun" w:hAnsi="SimSun" w:eastAsia="SimSun" w:cs="SimSun"/>
          <w:color w:val="000000"/>
          <w:sz w:val="24"/>
          <w:u w:val="single"/>
        </w:rPr>
        <w:t xml:space="preserve">   </w:t>
      </w:r>
      <w:r>
        <w:rPr>
          <w:rFonts w:ascii="SimSun" w:hAnsi="SimSun" w:eastAsia="SimSun" w:cs="SimSun"/>
          <w:color w:val="000000"/>
          <w:sz w:val="24"/>
        </w:rPr>
        <w:t xml:space="preserve">万元，按合同期平均，每月金额</w:t>
      </w:r>
      <w:r>
        <w:rPr>
          <w:rFonts w:ascii="SimSun" w:hAnsi="SimSun" w:eastAsia="SimSun" w:cs="SimSun"/>
          <w:color w:val="000000"/>
          <w:sz w:val="24"/>
          <w:u w:val="single"/>
        </w:rPr>
        <w:t xml:space="preserve">      </w:t>
      </w:r>
      <w:r>
        <w:rPr>
          <w:rFonts w:ascii="SimSun" w:hAnsi="SimSun" w:eastAsia="SimSun" w:cs="SimSun"/>
          <w:color w:val="000000"/>
          <w:sz w:val="24"/>
        </w:rPr>
        <w:t xml:space="preserve">万元。经双方协商一致，选择以下第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562"/>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（一）付款方式一：提交预付款保函的</w:t>
      </w:r>
      <w:r/>
    </w:p>
    <w:p>
      <w:pPr>
        <w:ind w:left="0" w:right="0" w:firstLine="5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w:t>
      </w:r>
      <w:r>
        <w:rPr>
          <w:rFonts w:ascii="SimSun" w:hAnsi="SimSun" w:eastAsia="SimSun" w:cs="SimSun"/>
          <w:color w:val="000000"/>
          <w:sz w:val="24"/>
          <w:u w:val="single"/>
        </w:rPr>
        <w:t xml:space="preserve">百分之四十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元整，在双方签订合同后15天内，乙方向甲方出具等额预付款保函后，办理政府采购资金结算手续支付给乙方。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剩余合同价款甲方按照财政拨款进度，按季度核拨。乙方提供等额增值税发票。</w:t>
      </w:r>
      <w:r/>
    </w:p>
    <w:p>
      <w:pPr>
        <w:ind w:left="0" w:right="0" w:firstLine="5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480" w:right="0" w:firstLine="79"/>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乙方出具的全额正式发票；</w:t>
        <w:br/>
        <w:t xml:space="preserve">保函形式：银行保函或保险保函</w:t>
      </w:r>
      <w:r/>
    </w:p>
    <w:p>
      <w:pPr>
        <w:ind w:left="0" w:right="0" w:firstLine="562"/>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（二）付款方式二：不提交预付款保函的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（1）合同价款的百分之十(10%)即￥</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人民币元整，在双方签订合同，乙方提供对应金额的增值税发票后7个工作日内，办理政府采购资金结算手续支付给乙方。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（2）合同总价款的百分之九十（90%）即¥  </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大写：人民币元整，由甲方按季度根据检查、考核结果确定当期支付价款数额，按照财政拨款进度进行支付。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每次付款前乙方应提供等额增值税发票。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第十二条合同期内，甲方根据检查考核结果按照合同价款按季度支付。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第十三条合同价款实行包干制。在合同约定的作业量范围内，甲方不再额外支付本合同约定以外的任何费用。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第十四条进场作业后，于次月起甲方根据检查考核结果按照财政拨款进度按季度向乙方支付。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第十五条乙方须凭等额发票办理结算。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收款人：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第五节、双方的权利和义务：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第十六条甲方的权利和义务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季度支付给乙方合同价款的依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（二）各类重大活动，甲方有权要求乙方无条件保质保量按活动要求完成工作任务，如未能完成，甲方应纳入考核。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（三）监督检查乙方对法律、法规、规章和相关作业标准、行业规范的履行情况。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（四）对乙方本项目的列支费用进行监督审查。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（五）根据服务项目实际情况对环卫作业优化调整。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（六）对乙方的项目部标准化建设检查验收。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（七）对乙方在规定时间内提供上年度的有效社会保险缴费清单进行审核，单位承担部分申请财政据实按年度拨付。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（八）对乙方环卫工人工资、津贴、加班工资发放情况进行检查。</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（九）有权要求乙方更换项目负责人及其他服务人员。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（十）定期对乙方车辆作业性能进行验收，有权要求更换达不到作业标准的车辆。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（十一）根据相关政策和规定调整考核细则和评分标准。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第十七条乙方权利和义务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（一）遵守法律、法规、规章和相关作业标准、行业规范。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（三）接受甲方、环卫管理机构及第三方监理的指导、监督、检查和考核。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（五）独立承担作业人员及设备（车辆）的安全责任、用人责任。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（六）做好环卫各项应急保障工作。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（七）按照相关要求和标准建立每日自查制度，完善各项台账资料。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（八）对徐州市政府12345服务热线、12319数字城管监督指挥中心派单、徐州市污染防治综合监管平台、媒体曝光、信访来电等有责投诉必须按规定进行整改，并将整改结果书面报送甲方。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承担其工作人员的人身财产损害及造成第三人损害的法律责任。如发生任何安全事故或意外事件，乙方承担全部法律和经济责任，采购人不承担任何责任。任何乙方与其工作人员的纠纷及事故均由乙方负责解决及承担全部法律责任，如因此影响项目的正常进行或给甲方造成的不良影响，甲方有权解除合同并要求乙方承担全部法律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（十）必须将所投入本项目的设备（车辆）行驶证及机动车登记证书复印件交甲方备案，设备（车辆）只能在本项目专用，未经甲方书面同意不得用于其他项目。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（十一）负责项目内环卫设施管理和维护，如有遗失、损坏由乙方承担赔偿责任。未经甲方书面同意不得迁移垃圾收集设施。</w:t>
      </w:r>
      <w:r/>
    </w:p>
    <w:p>
      <w:pPr>
        <w:ind w:left="0" w:right="0" w:firstLine="39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（十二）积极按甲方要求参加相关会议和各类培训。</w:t>
      </w:r>
      <w:r/>
    </w:p>
    <w:p>
      <w:pPr>
        <w:ind w:left="0" w:right="0" w:firstLine="39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（十三）必须对企业员工进行安全生产、职业技能等培训，教育职工严格遵守国家法律法规、环卫作业及安全操作规程。作业人员应经专业培训后方可上岗作业。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（十四）接受政府相关部门的财务审核，提供真实有效资料。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（十五）按照法律、法规和国家、省、市的规定，按月足额发放人员工资：</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1.按不低于当地最低工资标准的110%发放基础工资（不含延长工作时间的工资）。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2.按照环卫行业有毒、有害岗位津贴制度，对相关岗位按照相关标准进行补助。参照徐政发[2014]14号文件规定。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3.按当地最新标准发放高温津贴。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4.延长工作时间的工资应按相关法律规定执行。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5.人员工资发放采用银行代发方式。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6.合同履行期内遇政策调整，要求提高环卫工人待遇的，乙方必须于政策调整执行日期起执行，甲方不予补贴。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7.保证环卫工人每周至少休息一日。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按照法律、法规规定为环卫工人缴纳相应的社会保险（养老、医疗、工伤、失业、生育保险）、商业保险（每人投保的保险金额不得低于100万元）。该项目的环卫作业人员社会保险费用必须按规定交纳至人力资源和社会保障部门，缴费清单按甲方规定的时间提交甲方审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（十七）按法律、法规的规定为环卫工人提供必要的劳动保护用品，标准按环卫主管部门规定执行。</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（十九）不断提高企业管理水平和作业能力，提高企业运营管理实力。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（二十）不得自行调整作业范围、作业模式、作业量。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按甲方环卫主管部门要求购置环卫信息系统（含车辆和人员监管设备）、通信对讲系统等，承担安装及服务费用，包含在合同价格内。其中人员监管能够实时获取人员信息位置，作业排班、出勤情况、作业状态等相关数据，车辆能够获取环卫车辆信息、位置、实时监测视频影像、实时语音对讲、行车记录回放、实时安全驾驶管控、运行轨迹分析、作业状态监管等相关数据。</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第六节不间断服务约定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第十八条乙方不得因法定代表人变更或其他管理失缺而影响服务质量；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第十九条乙方在任何情况下都必须保证其所服务项目的人员总数符合合同约定；</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第二十条乙方在任何情况下都必须保证其所服务项目的设备数量及运行状态符合合同约定。</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第七节项目接管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第二十一条甲方有权在下列情形下接管乙方项目：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（一）因乙方经营管理不善，发生重大质量、生产安全事故；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（二）乙方擅自停业、歇业；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（三）乙方作业过程造成重大环境污染；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（四）其他重大、紧急可能危急公共安全行为的。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乙方必须对其过错承担责任，包括经济赔偿责任及其他责任，事故处理后是否恢复履行合同由甲方决定。</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第八节、违约责任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 乙方将承包的合同转包或肢解分包给他人，甲方有权解除合同，乙方应赔偿甲方由此产生的经济损失。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第二十三条发现以下情况的，甲方按下列条款扣除当季度保洁经费：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（一）未按合同要求配备人员，缺少人数按每人5千元-1万元。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（二）未按合同要求配备设备，按每次每台5-50万元。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（三）未按合同规定配发服装及劳动防护用品的，每次1-5万元。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（四）未按规定发放环卫工人工资、津贴、加班工资等，拖欠工资超过2个月的，经查实，每次处以1-10万元罚款；</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（五）不执行重大活动保障及应急处置指令，不服从统一调度指挥的，造成重大不良影响的，每次1-10万元。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（六）乙方不经过甲方同意私自调整项目负责人的，每次1万元。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（七）乙方违反人员设备专用原则的，未经甲方允许将项目人员、设备用于其他项目的，每次2-10万元。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（八）突发事件（如灾害性天气）或重大活动期间，不执行指令性任务或未按相关要求、标准完成任务，每次处以0.5-1万元罚款。</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第九节不可抗力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第二十四条不可抗力或甲、乙双方不能控制的原因不能履行合同的，根据不可抗力的影响，部分或者全部免除责任，但合同一方迟延履行后发生不可抗力的，不能免除责任。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第二十五条合同一方因不可抗力不能履行合同的，应当及时通知对方，以减轻可能给对方造成损失，并应当在合理期限内提供证明。</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第十节合同的解除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第二十六条甲方和乙方经协商一致并达成书面协议，可以解除合同。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如履行合同期间乙方中途退场需提前2个月以书面形式通知甲方。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第二十七条有下列情形之一，甲方有权解除合同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（一）乙方年度综合考核得分低于85分。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（二）合同期内累计3次以上（含3次）受到甲方或环卫主管部门书面通报批评的。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（三）保洁工作不符合项目要求，新闻媒体曝光及群众投诉造成重大影响的或受到上级部门书面通报的，经查属实且有责三次以上（含三次）；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（四）突发事件（如灾害性天气）或重大活动期间，不执行指令性任务或未按相关要求、标准完成任务，达三次以上（含三次）；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（五）未经甲方同意，将合同转让或进行分包的；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（六）乙方与其职工发生劳资、工伤等纠纷，未按规定妥善解决，导致职工越级上访或引发群体性事件的；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（七）擅自停业、歇业，影响社会公共利益和安全的；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（八）乙方未按规定发放环卫工人工资、津贴、加班工资等的，被甲方或环卫管理机构通报三次以上的；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（九）其他严重违反第十七条所列的乙方的权利和义务的行为。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第二十八条合同解除时应书面通知乙方，书面通知到达乙方时解除。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第二十九条因乙方违约解除合同的，视情况轻重列入</w:t>
      </w:r>
      <w:hyperlink r:id="rId23" w:tooltip="政府采购严重违法失信行为记录名单" w:history="1">
        <w:r>
          <w:rPr>
            <w:rStyle w:val="770"/>
            <w:rFonts w:ascii="SimSun" w:hAnsi="SimSun" w:eastAsia="SimSun" w:cs="SimSun"/>
            <w:color w:val="0000ee"/>
            <w:sz w:val="24"/>
            <w:u w:val="single"/>
          </w:rPr>
          <w:t xml:space="preserve">政府采购失信行为记录名单</w:t>
        </w:r>
      </w:hyperlink>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第三十条合同解除后，甲方有权临时接管或指定第三方负责该采购包保洁工作。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第十一节附则</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第三十一条双方约定自本合同生效之日起，根据甲方委托承包事项，办理接管验收手续。 </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第三十二条本合同之附件均为合同有效组成部分。本合同及其附件和补充协议未规定的事宜，均遵照中华人民共和国有关法律、法规和规章执行。</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第三十三条本合同连同附件页，一式陆份，具有同等法律效力，甲方三份， 乙方一份，区财政局采购科一份，区财政局综合科一份。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第三十四条本合同执行期限内如因自然灾害、城市建设、政策调整或者不可抗力导致合同不得不终止，甲乙双方应该相互理解，妥善处理终止合同所涉及相关事宜，互不追究对方责任。</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第三十五条本合同未尽事宜，由甲乙双方协商解决。如果不能协商一致，合同任何一方有权向甲方所在地人民法院提起诉讼。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第三十六条本合同其它未尽事宜及与采购文件有矛盾之处，以采购文件（项目编号：JSZC-320312-ZJZB-G2024-0214）为准。</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第三十七条合同的变更：甲方在履行完政府采购计划变更手续并完成相关采购程序后，签订政府采购补充（变更）协议后予以变更。</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第三十八条 本合同自双方签章后生效。</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第三十九条 合同生效及其他</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1、合同应在甲乙双方代表签字并加盖公章后生效。</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2、本合同应按照中华人民共和国的现行法律进行解释。</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邮编：邮编：</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法定代表人或授权代表(签名)：</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开户银行：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银行账号：</w:t>
      </w:r>
      <w:r/>
    </w:p>
    <w:p>
      <w:pPr>
        <w:ind w:left="0" w:right="0" w:firstLine="12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 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附件1：徐州高新区道路、绿化保洁检查考核实施细则（试行）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2: 人工作业考核细则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3：机械化作业考核细则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4：社会监督考核细则表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 5：道路、绿化明细表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附件1：徐州高新区道路、绿化保洁检查考核实施细则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环卫保洁作业过程的质量监管，落实道路、绿化保洁全覆盖、精细化和长效管理机制，全面提升环境质量，创造优美、整洁的工作和生活环境，依据《城市环境卫生质量标准》、《江苏省城市环境卫生作业服务质量标准》的规定，制定本试行细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一、考核主体及内容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高新区管委会组织进行以下几方面内容的检查考核：道路、绿化保洁（路面、绿化保洁、机械化作业、野广告清理、环卫设施管养维护、垃圾收集运输等），市政公共设施巡查、作业范围内的除雪、重大活动保障等应急任务，主管部门交办的临时性任务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（一）主管部门考核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主管部门每月对作业情况进行综合计分考核。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检查方式采取日常巡查和专项检查相结合的方式。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主管部门将当月检查考核得分上报相关部门。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（二）附加项考核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主管部门对各作业单位（企业）在工资、津贴、加班工资发放情况、应急处置、重大活动保障及行业基础数据申报、规章制度落实执行情况等方面进行不定期考核。</w:t>
      </w:r>
      <w:r/>
    </w:p>
    <w:p>
      <w:pPr>
        <w:numPr>
          <w:ilvl w:val="0"/>
          <w:numId w:val="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计分及扣款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（一）计分办法（100元/分）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日常考核得分=人工保洁作业得分+机械化保洁作业得分。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1、作业量扣款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包含各项目作业量减少, 如道路、绿化保洁数量减少等。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2、月考核扣款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根据主管部门月度考核得分，计算考核扣款。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月考核扣款=月平均合同金额-作业量扣款-日常考核扣款。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3、专项扣款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包含但不限于以下内容：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根据合同第二十三条执行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（三）合同拨款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每季度合同拨款=季度平均合同金额-作业量扣款-月考核扣款-专项扣款。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0" w:right="0" w:firstLine="0"/>
        <w:spacing w:before="70" w:after="22"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人工作业考核细则</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764"/>
        <w:gridCol w:w="3341"/>
        <w:gridCol w:w="4487"/>
      </w:tblGrid>
      <w:tr>
        <w:trPr>
          <w:trHeight w:val="538"/>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26" w:type="dxa"/>
            <w:vAlign w:val="center"/>
            <w:textDirection w:val="lrTb"/>
            <w:noWrap w:val="false"/>
          </w:tcPr>
          <w:p>
            <w:pPr>
              <w:ind w:left="712" w:right="0" w:firstLine="0"/>
              <w:spacing w:before="9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2040" w:right="2032" w:firstLine="0"/>
              <w:jc w:val="center"/>
              <w:spacing w:before="9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996" w:right="991" w:firstLine="0"/>
              <w:jc w:val="center"/>
              <w:spacing w:before="9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r>
      <w:tr>
        <w:trPr>
          <w:trHeight w:val="113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vMerge w:val="restart"/>
            <w:textDirection w:val="lrTb"/>
            <w:noWrap w:val="false"/>
          </w:tcPr>
          <w:p>
            <w:pPr>
              <w:ind w:left="146" w:right="0"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按照合同规定配备作业人数，保洁员按要求进行作业；统一着装，佩戴上岗证；作业期间内不得脱岗、 离岗、聚众闲聊。</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保洁员未按合同配备的每少 1 人扣 5 分；保洁员离岗、脱岗，每例扣 2分；保洁员在岗不作为、干私活，每例扣 1 分；未统一着装、佩戴上岗证，每例扣 1 分；作业期间内聚众闲聊，每例扣 2 分；路段管理员未按规定进行巡查的，每例扣 5 分。</w:t>
            </w:r>
            <w:r/>
          </w:p>
        </w:tc>
      </w:tr>
      <w:tr>
        <w:trPr>
          <w:trHeight w:val="8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作业工具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作业工具规范,符合使用要求。保洁车辆保持完好， 车体整洁，停放有序。车身四侧设置反光标志，作业时开启警示灯，安全操作。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作业工具不规范，不符合使用要求，每例扣 1 分；保洁车辆明显损坏、不能正常使用，每例扣 1 分；车体不洁、有明显污垢，每例扣 1 分；车辆乱停乱放，每例扣 1 分。</w:t>
            </w:r>
            <w:r/>
          </w:p>
        </w:tc>
      </w:tr>
      <w:tr>
        <w:trPr>
          <w:trHeight w:val="8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业务会议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高新区执法局或环卫部门组织业务会议不得缺席，迟到、 早退；通讯工具保持畅通，24 小时开机。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会议无故缺席每次扣 10 分，迟到早退每次扣 2 分；通讯工具关机影响工作的，每次扣 2 分。连续 2 次或一年内累计三次会议无故缺席则解除合同。</w:t>
            </w:r>
            <w:r/>
          </w:p>
        </w:tc>
      </w:tr>
      <w:tr>
        <w:trPr>
          <w:trHeight w:val="8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0" w:right="0" w:firstLine="0"/>
              <w:spacing w:before="11"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126" w:right="118" w:firstLine="0"/>
              <w:jc w:val="center"/>
              <w:spacing w:before="1"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管理秩序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严格内部管理，服从监管，合理表达要求，无被动管 理现象，不得将甲方的考核结果转嫁给保洁人员。</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不服从甲方管理，出现阻挠、顶撞、辱骂、殴打等事件，视情节影响扣30-100 分，触犯法律者由司法机关处理。存在被动管理现象，将甲方考核结果转嫁给保洁人员的，发现 1 人次扣20 分。</w:t>
            </w:r>
            <w:r/>
          </w:p>
        </w:tc>
      </w:tr>
      <w:tr>
        <w:trPr>
          <w:trHeight w:val="113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vMerge w:val="restart"/>
            <w:textDirection w:val="lrTb"/>
            <w:noWrap w:val="false"/>
          </w:tcPr>
          <w:p>
            <w:pPr>
              <w:ind w:left="146" w:right="0"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作业时间</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作业时间详见招标合同；路面废弃物停留时间不超过 20 分钟。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未按规定时间完成作业，每例扣 5 分； 路面废弃物停留时间超过 20 分钟的，每例扣 2 分，保洁人员未按作业时间上下班的，每例扣 2 分。</w:t>
            </w:r>
            <w:r/>
          </w:p>
        </w:tc>
      </w:tr>
      <w:tr>
        <w:trPr>
          <w:trHeight w:val="7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1"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作业时严禁向窨井内扫垃圾；严禁将垃圾倒入果皮箱 和绿化带内；严禁焚烧垃圾及在道路上中转垃圾。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作业时向窨井内扫垃圾、将清扫的垃圾倒入果皮箱和绿化带内、在道路  上中转垃圾，每例扣 10分；焚烧垃圾，每例扣 50 分。</w:t>
            </w:r>
            <w:r/>
          </w:p>
        </w:tc>
      </w:tr>
      <w:tr>
        <w:trPr>
          <w:trHeight w:val="13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4" w:type="dxa"/>
            <w:vAlign w:val="center"/>
            <w:textDirection w:val="lrTb"/>
            <w:noWrap w:val="false"/>
          </w:tcPr>
          <w:p>
            <w:pPr>
              <w:ind w:left="126" w:right="118" w:firstLine="0"/>
              <w:jc w:val="center"/>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路面保洁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1"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保洁区域内无果皮、纸屑、塑料袋、烟头和其他杂物。窨井口周边保持洁净无杂物和污渍；路面无积水(雨天除外)；道路清扫作业后，无陈旧积灰和其他杂物； 人行道上无杂草；保洁区域内无积存、暴露垃圾。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7" w:type="dxa"/>
            <w:vAlign w:val="center"/>
            <w:textDirection w:val="lrTb"/>
            <w:noWrap w:val="false"/>
          </w:tcPr>
          <w:p>
            <w:pPr>
              <w:ind w:left="126" w:right="118" w:firstLine="0"/>
              <w:spacing w:before="21"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区域内有果皮、纸屑、塑料袋、烟头和其他杂物，每 1000 平方米范围内发现 1-3 片（个）扣 5 分，每多 3 片（个）加扣 2 分。路面有积水（雨天除外），每平方米扣 2 分。窨井口周边有杂物及污渍，每处扣 5 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积存、暴露垃圾大堆（占地面积 1 平方米以上），每处扣 10 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积存、暴露垃圾中堆（占地面积 0.5 平方米以上，1 平方米（含）以下），每处扣 7 分；</w:t>
            </w:r>
            <w:r/>
          </w:p>
        </w:tc>
      </w:tr>
    </w:tbl>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1"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2"/>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763"/>
        <w:gridCol w:w="3342"/>
        <w:gridCol w:w="4486"/>
      </w:tblGrid>
      <w:tr>
        <w:trPr>
          <w:trHeight w:val="61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积存、暴露垃圾小堆（占地面积 0.5 平方米（含）以下），每处扣 3 分。有杂草视具体情况扣分。</w:t>
            </w:r>
            <w:r/>
          </w:p>
        </w:tc>
      </w:tr>
      <w:tr>
        <w:trPr>
          <w:trHeight w:val="12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果皮箱和垃圾收集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容器保洁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果皮箱和垃圾收集容器保持设施完好、整洁密闭，摆放有序，做到箱体（收集容器）无污迹、无野广告；内部垃圾不得超过容积的 1/2,周边环境洁净。</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果皮箱和垃圾收集容器箱体损坏未及时报告，未密闭（门未关、盖未盖），摆放不整齐，每个扣 1 分；箱体有污迹及野广告，每个扣 1 分；内部垃圾超过容积的 1/2,每个扣 1 分；周边环境不洁，每个扣 1－5 分。</w:t>
            </w:r>
            <w:r/>
          </w:p>
        </w:tc>
      </w:tr>
      <w:tr>
        <w:trPr>
          <w:trHeight w:val="179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绿化带保洁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树穴、绿化带、花坛、绿地无果皮、纸屑、塑料袋、 烟头和其他杂物，无积存、暴露垃圾。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有果皮、纸屑、塑料袋、烟头和其他杂物，每 1000 平方米范围内发现1-3 片（个）扣 5分，每多 3 片（个）加扣 2 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积存、暴露垃圾大堆（占地面积 1 平方米以上），每处扣 10 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积存、暴露垃圾中堆（占地面积 0.5 平方米以上，1 平方米（含）以下），每处扣 7 分；积存、暴露垃圾小堆（占地面积 0.5 平方米（含）以下），每处扣 3 分。枯枝烂叶清理不及时，每处扣 1 分。</w:t>
            </w:r>
            <w:r/>
          </w:p>
        </w:tc>
      </w:tr>
      <w:tr>
        <w:trPr>
          <w:trHeight w:val="12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野广告清理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清理道路路面和建（构）筑物、树木及各类灯（线） 杆或者其他设施立面 2.0m 以下野广告，做到及时发现及时清理，覆盖严密、清理彻底、不留残余；色差均匀，与周边环境协调一致。</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野广告未及时清理的，每个扣 3分；清理不规范的每个扣 1分。</w:t>
            </w:r>
            <w:r/>
          </w:p>
        </w:tc>
      </w:tr>
      <w:tr>
        <w:trPr>
          <w:trHeight w:val="9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护栏及公</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交站台保洁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交通护栏和底座及公交站台及时清洗，保持干净无灰 尘及污渍、无野广告。</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有灰尘及污渍每处扣 5 分；野广告每处扣 2分。</w:t>
            </w:r>
            <w:r/>
          </w:p>
        </w:tc>
      </w:tr>
      <w:tr>
        <w:trPr>
          <w:trHeight w:val="61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非机动车</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摆放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停放整齐，头向一致。</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每点 3 辆（含）以上非机动车线外停放，每超 1 辆扣 2 分；每点 5 辆（含）以上非机动车逆向停放，每超一辆扣2分。</w:t>
            </w:r>
            <w:r/>
          </w:p>
        </w:tc>
      </w:tr>
      <w:tr>
        <w:trPr>
          <w:trHeight w:val="123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27"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社会监督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42"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应主动接受社会监督，有责投诉问题应在规定的期限 内整改。区级以上检查不失责任分。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8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上级督办和新闻媒体曝光，经确认有责的，每次扣 3 分。12319 和 12345电话受理、各信访渠道交办的市民投诉，经确认有责的，每次扣 10 分。发生有责投诉和有责管理事件后，未在规定的时间内整改到位的扣 10分。区级以上检查失分的，每次扣 20 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0" w:right="0" w:firstLine="0"/>
        <w:spacing w:before="70" w:after="21"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3</w:t>
      </w:r>
      <w:r>
        <w:rPr>
          <w:rFonts w:ascii="SimSun" w:hAnsi="SimSun" w:eastAsia="SimSun" w:cs="SimSun"/>
          <w:color w:val="000000"/>
          <w:sz w:val="21"/>
        </w:rPr>
        <w:t xml:space="preserve">：机械化作业考核细则</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1"/>
        <w:gridCol w:w="789"/>
        <w:gridCol w:w="769"/>
        <w:gridCol w:w="4443"/>
        <w:gridCol w:w="2793"/>
      </w:tblGrid>
      <w:tr>
        <w:trPr>
          <w:trHeight w:val="2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9" w:type="dxa"/>
            <w:vAlign w:val="center"/>
            <w:textDirection w:val="lrTb"/>
            <w:noWrap w:val="false"/>
          </w:tcPr>
          <w:p>
            <w:pPr>
              <w:ind w:left="621" w:right="0" w:firstLine="0"/>
              <w:spacing w:before="11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1175" w:right="1171" w:firstLine="0"/>
              <w:jc w:val="center"/>
              <w:spacing w:before="11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39" w:right="31" w:firstLine="0"/>
              <w:jc w:val="center"/>
              <w:spacing w:before="11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r>
      <w:tr>
        <w:trPr>
          <w:trHeight w:val="2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9" w:type="dxa"/>
            <w:vAlign w:val="center"/>
            <w:vMerge w:val="restart"/>
            <w:textDirection w:val="lrTb"/>
            <w:noWrap w:val="false"/>
          </w:tcPr>
          <w:p>
            <w:pPr>
              <w:ind w:left="621"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管理标准</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按规定时间、线路作业。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未按时作业的，每次扣30分；未按线路作业，每次扣15分。</w:t>
            </w:r>
            <w:r/>
          </w:p>
        </w:tc>
      </w:tr>
      <w:tr>
        <w:trPr>
          <w:trHeight w:val="20"/>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机械化作业车辆、设备正常运行，配备专人对作业情况进行实时监控。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机械化作业未按要求运行的，每次扣10分。</w:t>
            </w:r>
            <w:r/>
          </w:p>
        </w:tc>
      </w:tr>
      <w:tr>
        <w:trPr>
          <w:trHeight w:val="20"/>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非作业状态下滴水、漏水，每次扣5分；</w:t>
            </w:r>
            <w:r/>
          </w:p>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作业期间有不文明行为的，每次扣20分。</w:t>
            </w:r>
            <w:r/>
          </w:p>
        </w:tc>
      </w:tr>
      <w:tr>
        <w:trPr>
          <w:trHeight w:val="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ind w:left="326" w:right="108" w:hanging="209"/>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63" w:right="55"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车容</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作业时保持车容整洁，标志清晰、齐全，车体无破损、无锈蚀、无污物、无灰垢，应杜绝吊挂、抛洒污物，滴漏油液等现象。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车容不洁、标志不清每次扣5分。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63" w:right="57" w:firstLine="0"/>
              <w:jc w:val="center"/>
              <w:spacing w:before="17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警示标志</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白天作业时应开启提示音乐及警示灯，夜间作业时应开启夜间作业示宽灯。</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未按规定使用警示标志的，每次扣10分。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63" w:right="57" w:firstLine="0"/>
              <w:jc w:val="center"/>
              <w:spacing w:before="3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作业人员着</w:t>
            </w:r>
            <w:r/>
          </w:p>
          <w:p>
            <w:pPr>
              <w:ind w:left="6" w:right="0" w:firstLine="0"/>
              <w:jc w:val="center"/>
              <w:spacing w:before="4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作业时应穿戴统一、有警示标识的工作服，并保持着装整洁。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未按规定着装的，每次扣5分。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63" w:right="57" w:firstLine="0"/>
              <w:jc w:val="center"/>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作业模式</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按规定的作业模式进行作业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未按模式作业的，每次扣20分。</w:t>
            </w:r>
            <w:r/>
          </w:p>
        </w:tc>
      </w:tr>
      <w:tr>
        <w:trPr>
          <w:trHeight w:val="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ind w:left="326" w:right="108" w:hanging="209"/>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63" w:right="55" w:firstLine="0"/>
              <w:jc w:val="center"/>
              <w:spacing w:before="15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速度</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12"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清扫行驶速度不超过 10 公里/小时，副发动机转速控制在 2000 转/分；保洁行驶速度不超过 15 公里/小时，副发动机转速控制在 1800 转/分；清洗作业车速不超过 8 公里/小时，副发动机转速控制在 1800 转/分（正常档），路面较脏时，副发动机转速控制在 2200 转/分（强洗档）；冲洗作业时控制车速为 5 公里/小时～10 公里/小时。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超速，每次扣10-20分；</w:t>
            </w:r>
            <w:r/>
          </w:p>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副发动机转速未达标的，每次扣10分。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89" w:type="dxa"/>
            <w:vAlign w:val="center"/>
            <w:textDirection w:val="lrTb"/>
            <w:noWrap w:val="false"/>
          </w:tcPr>
          <w:p>
            <w:pPr>
              <w:ind w:left="0" w:right="144" w:firstLine="13"/>
              <w:jc w:val="center"/>
              <w:spacing w:before="13" w:after="20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清扫、保洁清洗、深度洗扫</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9"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44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作业前应检查扫刷落地高度，一般降至刷毛稍压地面为合适，作业时禁止扫刷不落地。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ind w:left="63" w:right="55"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扫刷未落地，每次扣20分。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776"/>
        <w:gridCol w:w="756"/>
        <w:gridCol w:w="4508"/>
        <w:gridCol w:w="2763"/>
      </w:tblGrid>
      <w:tr>
        <w:trPr>
          <w:trHeight w:val="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76"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dxa"/>
            <w:vAlign w:val="center"/>
            <w:textDirection w:val="lrTb"/>
            <w:noWrap w:val="false"/>
          </w:tcPr>
          <w:p>
            <w:pPr>
              <w:ind w:left="150" w:right="146"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吸嘴、吸盘</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8" w:type="dxa"/>
            <w:vAlign w:val="center"/>
            <w:textDirection w:val="lrTb"/>
            <w:noWrap w:val="false"/>
          </w:tcPr>
          <w:p>
            <w:pPr>
              <w:ind w:left="83" w:right="-123"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作业时吸嘴、吸盘调整到无垃圾遗漏为止，禁止吸嘴、吸盘不落地。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吸嘴未落地，每次扣20分。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dxa"/>
            <w:vAlign w:val="center"/>
            <w:textDirection w:val="lrTb"/>
            <w:noWrap w:val="false"/>
          </w:tcPr>
          <w:p>
            <w:pPr>
              <w:ind w:left="153" w:right="146"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贴边作业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8" w:type="dxa"/>
            <w:vAlign w:val="center"/>
            <w:textDirection w:val="lrTb"/>
            <w:noWrap w:val="false"/>
          </w:tcPr>
          <w:p>
            <w:pPr>
              <w:ind w:left="83" w:right="995"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作业车辆沿车道两侧边缘平行作业。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未沿车道两侧边缘平行作业的，每次扣15分。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dxa"/>
            <w:vAlign w:val="center"/>
            <w:textDirection w:val="lrTb"/>
            <w:noWrap w:val="false"/>
          </w:tcPr>
          <w:p>
            <w:pPr>
              <w:ind w:left="0" w:right="0" w:firstLine="0"/>
              <w:spacing w:before="1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3" w:right="146"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扬尘控制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8"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非特殊气候情况下，机扫、深度洗扫作业应放水湿扫，及时清洗、更换空气滤芯（网）  避免作业扬尘。</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作业有扬尘现象的，每次扣10分。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dxa"/>
            <w:vAlign w:val="center"/>
            <w:textDirection w:val="lrTb"/>
            <w:noWrap w:val="false"/>
          </w:tcPr>
          <w:p>
            <w:pPr>
              <w:ind w:left="0" w:right="0" w:firstLine="0"/>
              <w:spacing w:before="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3" w:right="146"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污物排放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8"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作业时污物箱必须保持密闭，作业过程中无污物拖、挂和污水滴漏现象。作业  完毕后应及时到指定场所排放污水和卸清垃圾。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有污物拖、挂和污水滴漏现象，每次扣10分；乱排污水、卸垃圾的，每次扣20分。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76" w:type="dxa"/>
            <w:vAlign w:val="center"/>
            <w:vMerge w:val="restart"/>
            <w:textDirection w:val="lrTb"/>
            <w:noWrap w:val="false"/>
          </w:tcPr>
          <w:p>
            <w:pPr>
              <w:ind w:left="83"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精细化作业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6" w:type="dxa"/>
            <w:vAlign w:val="center"/>
            <w:textDirection w:val="lrTb"/>
            <w:noWrap w:val="false"/>
          </w:tcPr>
          <w:p>
            <w:pPr>
              <w:ind w:left="153" w:right="146" w:firstLine="0"/>
              <w:jc w:val="center"/>
              <w:spacing w:before="127"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规范作业</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08"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人机配合、规范操作。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未按规范操作的，每次扣2分。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153" w:right="146"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作业效果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83" w:right="995"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路面见本色，无油污、无漏洗、无积水。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路面有油污的，每例扣5分；有较多积水的，每例扣5分；明显漏洗的，每例扣10分。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76" w:type="dxa"/>
            <w:vAlign w:val="center"/>
            <w:vMerge w:val="restart"/>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路面洁净度</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64"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地面道路积存的尘、土、灰、沙等颗粒物应符合质量控制标准：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vMerge w:val="restart"/>
            <w:textDirection w:val="lrTb"/>
            <w:noWrap w:val="false"/>
          </w:tcPr>
          <w:p>
            <w:pPr>
              <w:ind w:left="153" w:right="146"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每平方米超过标准值，每处扣10分。</w:t>
            </w:r>
            <w:r/>
          </w:p>
        </w:tc>
      </w:tr>
      <w:tr>
        <w:trPr>
          <w:trHeight w:val="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150" w:right="146" w:firstLine="0"/>
              <w:jc w:val="center"/>
              <w:spacing w:before="15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w:t>
            </w:r>
            <w:r/>
          </w:p>
        </w:tc>
        <w:tc>
          <w:tcPr>
            <w:tcBorders>
              <w:top w:val="none" w:color="000000" w:sz="4" w:space="0"/>
              <w:left w:val="single" w:color="000000" w:sz="8" w:space="0"/>
              <w:bottom w:val="single" w:color="000000" w:sz="8" w:space="0"/>
              <w:right w:val="single" w:color="000000" w:sz="4" w:space="0"/>
            </w:tcBorders>
            <w:tcMar>
              <w:left w:w="0" w:type="dxa"/>
              <w:top w:w="0" w:type="dxa"/>
              <w:right w:w="0" w:type="dxa"/>
              <w:bottom w:w="0" w:type="dxa"/>
            </w:tcMar>
            <w:tcW w:w="4508"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机动车道≤2克/平方米、非机动车道≤3克/平方米、人行道≤5克/平方米</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7" w:type="dxa"/>
            <w:vAlign w:val="center"/>
            <w:textDirection w:val="lrTb"/>
            <w:noWrap w:val="false"/>
          </w:tcPr>
          <w:p>
            <w:pPr>
              <w:ind w:left="621" w:right="0" w:firstLine="0"/>
              <w:spacing w:before="1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社会监督</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64" w:type="dxa"/>
            <w:vAlign w:val="center"/>
            <w:textDirection w:val="lrTb"/>
            <w:noWrap w:val="false"/>
          </w:tcPr>
          <w:p>
            <w:pPr>
              <w:ind w:left="83" w:right="0" w:firstLine="0"/>
              <w:spacing w:before="1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应主动接受社会监督，有责投诉问题应在规定的期限内整改。区级以上检查不失责任分。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3" w:type="dxa"/>
            <w:vAlign w:val="center"/>
            <w:textDirection w:val="lrTb"/>
            <w:noWrap w:val="false"/>
          </w:tcPr>
          <w:p>
            <w:pPr>
              <w:ind w:left="153" w:right="14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级督办和新闻媒体曝光，经确认有责的，每次扣10分。12319和12345电话受理、污染防治监管平台、各信访渠道交办的市民投诉，经确认有责的，每次扣5分。发生有责投诉和有责管理事件后，未在规定的时间内整改到位的扣10分。区级以上检查失分的，每次扣20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0" w:right="0" w:firstLine="0"/>
        <w:spacing w:before="59"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4</w:t>
      </w:r>
      <w:r>
        <w:rPr>
          <w:rFonts w:ascii="SimSun" w:hAnsi="SimSun" w:eastAsia="SimSun" w:cs="SimSun"/>
          <w:color w:val="000000"/>
          <w:sz w:val="21"/>
        </w:rPr>
        <w:t xml:space="preserve">：社会监督考核细则表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68"/>
        <w:gridCol w:w="2348"/>
        <w:gridCol w:w="1114"/>
        <w:gridCol w:w="1129"/>
        <w:gridCol w:w="1084"/>
        <w:gridCol w:w="816"/>
      </w:tblGrid>
      <w:tr>
        <w:trPr>
          <w:trHeight w:val="29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扣罚标准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采集时间</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处理时限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奖励标准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3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道路保洁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路面废弃物按规定时限清理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未按时清理的，扣 20 元</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10-30 分</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人行道、窨井口附近脏污严重， 存在0.5 平方米（含）以上油渍或污渍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未按时清理的，扣 20 元</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合同约定的保洁质量标准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积存生活垃圾&gt;5 平方米 ，扣 40 元/处</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小时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vMerge w:val="restart"/>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积存生活垃圾 1-5 平方米 ，扣 30 元/处</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积存生活垃圾&lt;1 平方米，扣 20 元/处</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禁止保洁员焚烧垃圾、树叶等</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每发现一例，扣除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禁止保洁员向下水道、河道清扫或倾倒垃圾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每发现一例，扣除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道路积尘符合 “积尘称重”标准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标准值&lt;道路积尘超出量，每处的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环卫设施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垃圾收集容器干净整洁无破损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垃圾收集容器严重脏污，扣除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小时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野广</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告清理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野广告清理及时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公共设施立面 2米以下 50 米范围内，超过 6处（含），扣除20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小时</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非机动车摆放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有序摆放且朝向一致，不占用盲道</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 米范围内未按标准停放不能超过 5 辆，每超一辆扣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分钟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交通护栏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6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无明显污物，底座洁净</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48"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一米范围内护栏及底座，擦拭后发现严重污迹的，每处扣 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1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 至</w:t>
            </w:r>
            <w:r/>
          </w:p>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9"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4"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6" w:type="dxa"/>
            <w:vAlign w:val="center"/>
            <w:textDirection w:val="lrTb"/>
            <w:noWrap w:val="false"/>
          </w:tcPr>
          <w:p>
            <w:pPr>
              <w:ind w:left="126" w:right="118"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500" w:right="0" w:firstLine="0"/>
        <w:spacing w:before="22"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说明：由于渣土洒漏、道路破损、油污污染等原因导致环境卫质量问题的，保洁公司有取证、举报义务。</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 w:after="21"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：道路、绿化明细</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一)：道路明细表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015"/>
        <w:gridCol w:w="476"/>
        <w:gridCol w:w="1607"/>
        <w:gridCol w:w="851"/>
        <w:gridCol w:w="929"/>
        <w:gridCol w:w="886"/>
        <w:gridCol w:w="911"/>
        <w:gridCol w:w="924"/>
        <w:gridCol w:w="1236"/>
      </w:tblGrid>
      <w:tr>
        <w:trPr>
          <w:trHeight w:val="2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道路面积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绿化</w:t>
            </w:r>
            <w:r/>
          </w:p>
        </w:tc>
      </w:tr>
      <w:tr>
        <w:trPr>
          <w:trHeight w:val="6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机动车车道面积（m2)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非机动车道面积（m2)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人行道面积（m2)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道路合计面积(m2)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面积(m2)</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奎河——铁路东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10531.8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陇海路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奎河——铁路东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24186.8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长兴路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欣欣路——康平路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2111.8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10633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34690.9</w:t>
            </w:r>
            <w:r/>
          </w:p>
        </w:tc>
      </w:tr>
      <w:tr>
        <w:trP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3002.14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82625.559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37105.27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25864.02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145594.85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55964.14</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华裕路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营南路——湘江路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8095.8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铁路——奎河桥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28518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9780.3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7627.1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45925.4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10936.3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1191.7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17892.8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2845.45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20738.29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12508.5</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北纵三路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财发厂——欣丰路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533.2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0"/>
              </w:rPr>
              <w:t xml:space="preserve">6809.7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9190.3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汪庄一路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4695.5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4695.5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9327</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盛宝路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7211.6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7211.6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10190</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长安路——终点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23259.2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8506.2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31765.4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荣翔路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长安路——东端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15527.3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5845.2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21372.5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拦山河路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湘江路——大成物流园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13481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2569.6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16050.6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4822.9</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湘江路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陇海线——拖龙山隧道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2694.8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97071.1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21366.1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26542.31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144979.48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40260.42</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袁楼路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栏山河路-拖龙山路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5353.88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2534.27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8378.65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272.95</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玉泉河南路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华泰路——长兴路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4323.3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4323.3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2113.3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康平路--玉泉和南路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9895.9</w:t>
            </w:r>
            <w:r/>
          </w:p>
        </w:tc>
      </w:tr>
      <w:tr>
        <w:trPr>
          <w:trHeight w:val="3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19433.34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365011.939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68251.67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92967.15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526721.27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242987.01</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注：本采购包配置的护栏清洗车同时负责其他5个采购包内的护栏清洗。</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二)：道路明细表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5"/>
        <w:gridCol w:w="1019"/>
        <w:gridCol w:w="518"/>
        <w:gridCol w:w="1743"/>
        <w:gridCol w:w="936"/>
        <w:gridCol w:w="1004"/>
        <w:gridCol w:w="875"/>
        <w:gridCol w:w="911"/>
        <w:gridCol w:w="942"/>
        <w:gridCol w:w="940"/>
      </w:tblGrid>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10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30267.9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35982.9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34795.57</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长安路——滕寨中沟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56860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67085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31543.8</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23445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32815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31501.4</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经纬路至珠江路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1375.61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36800.97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19074.81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10478.76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66354.54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22289.81</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17053.5</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广储路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铁路东——华夏路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6006.7</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创新路——珠江路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5872.07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1945.41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7817.48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5074.99</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长安路——京沪铁路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2169.3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34193.5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11297.9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45491.4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27573.6</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康宁路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创业四路——珠江路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华昌路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经纬路——科技一路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大楼北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停车场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16972</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惠民路南延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惠民路-玉泉河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2063.4</w:t>
            </w:r>
            <w:r/>
          </w:p>
        </w:tc>
      </w:tr>
      <w:tr>
        <w:trPr>
          <w:trHeight w:val="4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华夏路——惠民路南延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1095.8</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珠江东路-2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1971.416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55934.72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16308.12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10947.92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83190.76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75675.1</w:t>
            </w:r>
            <w:r/>
          </w:p>
        </w:tc>
      </w:tr>
      <w:tr>
        <w:trPr>
          <w:trHeight w:val="4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14375.126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279520.86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35382.93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62697.99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377601.78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271781.67</w:t>
            </w:r>
            <w:r/>
          </w:p>
        </w:tc>
      </w:tr>
    </w:tbl>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三)：道路明细表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966"/>
        <w:gridCol w:w="425"/>
        <w:gridCol w:w="1443"/>
        <w:gridCol w:w="961"/>
        <w:gridCol w:w="1034"/>
        <w:gridCol w:w="878"/>
        <w:gridCol w:w="859"/>
        <w:gridCol w:w="1012"/>
        <w:gridCol w:w="919"/>
      </w:tblGrid>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4"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绿化</w:t>
            </w:r>
            <w:r/>
          </w:p>
        </w:tc>
      </w:tr>
      <w:tr>
        <w:trPr>
          <w:trHeight w:val="11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面积(m2)</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驿城路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长安路——重卡东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43323.1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1681.8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45004.9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5029.7</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伟拓路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重卡北路--珠江路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642.7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9989.4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2862.5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15797.3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9905.8</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珠江东路-1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伟拓路--长安路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1923.907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55512.17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18602.86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74115.03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91729.73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珠江路--五环路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5226.08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101219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37568.82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9949.25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148737.07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124142.23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毕庄路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珠江路--育才路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3413.08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1857.46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2553.02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8212.26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233.09</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育才路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毕庄路--东端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4601.66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5602.91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13444.87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141.34</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振兴路——长安路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3437.2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48352.4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49667.1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66053.1</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2132.8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34581.7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35024.1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51012.3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富浩路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南侧河--北端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13082.1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8970.67</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富康路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5910.57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1176.99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7485.96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1232.81</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青山北路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8808.63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3049.02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12460.75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1734.51</w:t>
            </w:r>
            <w:r/>
          </w:p>
        </w:tc>
      </w:tr>
      <w:tr>
        <w:trPr>
          <w:trHeight w:val="54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三棠路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长安路--三堡交界处</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2385.3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23117.35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26124.55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青山东路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5202</w:t>
            </w:r>
            <w:r/>
          </w:p>
        </w:tc>
      </w:tr>
      <w:tr>
        <w:trPr>
          <w:trHeight w:val="40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21275.587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359734.16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64161.54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33897.49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462160.99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365387.28</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四)：道路明细表</w:t>
      </w:r>
      <w:r/>
    </w:p>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1106"/>
        <w:gridCol w:w="530"/>
        <w:gridCol w:w="1693"/>
        <w:gridCol w:w="942"/>
        <w:gridCol w:w="942"/>
        <w:gridCol w:w="798"/>
        <w:gridCol w:w="947"/>
        <w:gridCol w:w="943"/>
        <w:gridCol w:w="942"/>
      </w:tblGrid>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3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10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同创路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高速立交——榆庄村</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28471.9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29216.5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24477.3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南沙路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4010.9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77061.9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24065.4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101127.3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75520.3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连城路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3706.2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89722.1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34263.9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22237.2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146223.2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64406.7</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南沙路——206连接线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34718.4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8861.8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43580.2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29524.1</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大学路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五环路—铜山区界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5633.4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156893.1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5779.9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5239.6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167912.6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237391.4</w:t>
            </w:r>
            <w:r/>
          </w:p>
        </w:tc>
      </w:tr>
      <w:tr>
        <w:trPr>
          <w:trHeight w:val="90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五环（桥下及桥东路）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桥下及桥东路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13290.4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19696.4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9803.1</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徐宿快速通道</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五环——安徽界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63038.7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63141.6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48244.6</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先导路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同创路--泰中路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5245.87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5602.77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727.06</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闽江路至五环路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3452.3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125626.9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14334.8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10993.1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150954.8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49260.3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徐工路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同创路--泰中路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8525.08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956.08</w:t>
            </w:r>
            <w:r/>
          </w:p>
        </w:tc>
      </w:tr>
      <w:tr>
        <w:trPr>
          <w:trHeight w:val="47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24354.1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602594.35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54378.6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78650.6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727455.37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540310.94</w:t>
            </w:r>
            <w:r/>
          </w:p>
        </w:tc>
      </w:tr>
    </w:tbl>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五)：道路明细表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5"/>
        <w:gridCol w:w="1039"/>
        <w:gridCol w:w="646"/>
        <w:gridCol w:w="1504"/>
        <w:gridCol w:w="960"/>
        <w:gridCol w:w="862"/>
        <w:gridCol w:w="802"/>
        <w:gridCol w:w="909"/>
        <w:gridCol w:w="1051"/>
        <w:gridCol w:w="1097"/>
      </w:tblGrid>
      <w:tr>
        <w:trPr>
          <w:trHeight w:val="32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2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7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3419.3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92383.3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135880.4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银河路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娇山湖东——北京路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2139.3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31962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9056.4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41018.4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49388.4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钱江路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娇山湖东——北京路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32310.5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7385.8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39696.3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36577.4</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漓江路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1715.6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12203.4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14980.3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9180.7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1456.7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41860.83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14642.39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408.26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56911.48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42604.17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永冠路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北京路——东头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现代4S前路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北京路——东头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4901.9</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丰田前路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北京路——路南端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35408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19909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56528.6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20924.2</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珠江路——高速公路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3497.7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63327.1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8183.5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71510.6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63217.7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规划路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漓江路-闽江路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7693.16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4833.13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12526.29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742.54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振兴路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北京路——久久北门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1895.3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36850.6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3013.3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39863.9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7080.1</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滕寨北路-2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4385.7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13285.91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17671.61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1255.94</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连霍北路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大学路——银山路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3831.76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68521.96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19779.08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88301.04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上水璞园路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振兴路--小区</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3904.8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昆仑路--东段</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24352.59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429496.75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89990.88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547734.22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371753.45</w:t>
            </w:r>
            <w:r/>
          </w:p>
        </w:tc>
      </w:tr>
    </w:tbl>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六)：道路明细表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2"/>
        <w:gridCol w:w="930"/>
        <w:gridCol w:w="600"/>
        <w:gridCol w:w="1508"/>
        <w:gridCol w:w="954"/>
        <w:gridCol w:w="942"/>
        <w:gridCol w:w="852"/>
        <w:gridCol w:w="1118"/>
        <w:gridCol w:w="945"/>
        <w:gridCol w:w="1035"/>
      </w:tblGrid>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1"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2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22172.4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7581.1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32004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12150.3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珠江西路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2779.739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89019.38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18162.49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9317.9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116499.77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72816.83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楚河节点</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3626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2987.7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2291.3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4026.6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玉泉河——彭祖东路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1591.1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35131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46054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14998.3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赣江路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北京路——华夏路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729.5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13179.6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14164.6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淮河东路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2745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8782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5613.3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长江东路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4915.3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浦江路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黄山路——铁路西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1293.8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12730.6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12889.7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3342.8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23516.5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22543.1</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嵩山路——北京路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9836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9920.8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8579.6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3560.6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12140.2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7560.2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汽展一号路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华夏路——路西端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8645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27247.86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2485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康乾路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华夏路——铁路东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5498.1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5498.1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18803.9</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滕寨北路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富民路——铁路涵洞</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27546.2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5925.86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18933.73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18196.75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10626.1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10262.1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27928.59</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腾寨北路--园南路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442.07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6189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园西路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腾寨北路--园南路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237.42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园西路--东段</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17665.829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293194.48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33027.59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73213.66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426972.66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256400.47</w:t>
            </w:r>
            <w:r/>
          </w:p>
        </w:tc>
      </w:tr>
    </w:tbl>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Arial" w:hAnsi="Arial" w:eastAsia="Arial" w:cs="Arial"/>
          <w:b/>
          <w:color w:val="000000"/>
          <w:sz w:val="36"/>
        </w:rPr>
        <w:t xml:space="preserve"> </w:t>
      </w:r>
      <w:r>
        <w:rPr>
          <w:rFonts w:ascii="SimSun" w:hAnsi="SimSun" w:eastAsia="SimSun" w:cs="SimSun"/>
          <w:b/>
          <w:color w:val="000000"/>
          <w:sz w:val="36"/>
        </w:rPr>
        <w:t xml:space="preserve">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1、招标人：徐州高新技术产业开发区管理委员会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2、项目名称：徐州高新区道路、绿化保洁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3、项目预算：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本项目采购包一不接受超过1671.675609万元（557.225203万元/年）人民币（采购项目预算金额）的投标报价；采购包二不接受超过 1890.084714万元（630.028238万元/年）人民币（采购项目预算金额）的投标报价；采购包三不接受超过 1507.37907万元（502.45969万元/年）人民币（采购项目预算金额）的投标报价；采购包四不接受超过1722.622998万元（574.207666万元/年）人民币（采购项目预算金额）的投标报价；采购包五不接受超过1858.63067万元（619</w:t>
      </w:r>
      <w:r>
        <w:rPr>
          <w:rFonts w:ascii="SimSun" w:hAnsi="SimSun" w:eastAsia="SimSun" w:cs="SimSun"/>
          <w:color w:val="000000"/>
          <w:sz w:val="24"/>
        </w:rPr>
        <w:t xml:space="preserve">.543556万元/年）人民币（采购项目预算金额）的投标报价。采购包六不接受超过1415.5689万元（471.8563万元/年）人民币（采购项目预算金额）的投标报价。报价包括设备等固定投入以及运营等全部费用，采购人不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注：在服务期内因不可抗力（道路、绿化施工、市政建设等）无法进场作业将扣除所属路段的保洁费用。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4、项目期限：36个月，根据政策及实际保洁情况进行调整。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指高新区区域内道路保洁（路面保洁、机械化作业、绿化带保洁、非机动车摆放、野广告清理、护栏清洗、环卫设施管养维护、垃圾前端收集运输等），公交站台保洁立面清洗，作业范围内的除雪、重大活动保障等应急任务，主管部门交办的临时性任务、环卫工人驿站的建设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 w:after="21"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道路明细表</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一)：道路明细表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015"/>
        <w:gridCol w:w="476"/>
        <w:gridCol w:w="1607"/>
        <w:gridCol w:w="851"/>
        <w:gridCol w:w="929"/>
        <w:gridCol w:w="886"/>
        <w:gridCol w:w="911"/>
        <w:gridCol w:w="924"/>
        <w:gridCol w:w="1236"/>
      </w:tblGrid>
      <w:tr>
        <w:trPr>
          <w:trHeight w:val="2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8" w:type="dxa"/>
            <w:vAlign w:val="center"/>
            <w:vMerge w:val="restart"/>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道路面积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绿化</w:t>
            </w:r>
            <w:r/>
          </w:p>
        </w:tc>
      </w:tr>
      <w:tr>
        <w:trPr>
          <w:trHeight w:val="65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机动车车道面积（m2)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非机动车道面积（m2)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人行道面积（m2)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道路合计面积(m2)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面积(m2)</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奎河——铁路东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10531.8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陇海路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奎河——铁路东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24186.8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长兴路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欣欣路——康平路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2111.8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10633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34690.9</w:t>
            </w:r>
            <w:r/>
          </w:p>
        </w:tc>
      </w:tr>
      <w:tr>
        <w:trPr>
          <w:trHeight w:val="4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3002.14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82625.559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37105.27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25864.02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145594.85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55964.14</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华裕路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营南路——湘江路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8095.8</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欣欣路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铁路——奎河桥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28518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9780.3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7627.1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45925.4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10936.3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欣丰路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1191.7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17892.8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2845.45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20738.29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12508.5</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北纵三路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财发厂——欣丰路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533.2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0"/>
              </w:rPr>
              <w:t xml:space="preserve">6809.7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9190.3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汪庄一路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4695.5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4695.5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9327</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盛宝路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7211.6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7211.6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10190</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长安路——终点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23259.2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8506.2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31765.4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荣翔路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长安路——东端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15527.3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5845.2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21372.5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拦山河路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湘江路——大成物流园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13481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2569.6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16050.6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4822.9</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湘江路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陇海线——拖龙山隧道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2694.8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97071.1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21366.1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26542.31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144979.48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40260.42</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袁楼路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栏山河路-拖龙山路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5353.88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2534.27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8378.65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272.95</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玉泉河南路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华泰路——长兴路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4323.3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4323.3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2113.3</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康平路--玉泉和南路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9895.9</w:t>
            </w:r>
            <w:r/>
          </w:p>
        </w:tc>
      </w:tr>
      <w:tr>
        <w:trPr>
          <w:trHeight w:val="3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19433.34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365011.939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68251.67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92967.15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526721.27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242987.01</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注：本采购包配置的护栏清洗车同时负责其他5个采购包内的护栏清洗。</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二)：道路明细表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5"/>
        <w:gridCol w:w="1019"/>
        <w:gridCol w:w="518"/>
        <w:gridCol w:w="1743"/>
        <w:gridCol w:w="936"/>
        <w:gridCol w:w="1004"/>
        <w:gridCol w:w="875"/>
        <w:gridCol w:w="911"/>
        <w:gridCol w:w="942"/>
        <w:gridCol w:w="940"/>
      </w:tblGrid>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10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30267.9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35982.9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34795.57</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长安路——滕寨中沟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56860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67085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31543.8</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23445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32815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31501.4</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经纬路至珠江路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1375.61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36800.97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19074.81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10478.76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66354.54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22289.81</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奎河东路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康平路——经纬路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17053.5</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广储路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铁路东——华夏路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6006.7</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创新路——珠江路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5872.07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1945.41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7817.48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5074.99</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长安路——京沪铁路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2169.3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34193.5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11297.9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45491.4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27573.6</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康宁路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创业四路——珠江路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华昌路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经纬路——科技一路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大楼北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停车场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16972</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惠民路南延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惠民路-玉泉河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2063.4</w:t>
            </w:r>
            <w:r/>
          </w:p>
        </w:tc>
      </w:tr>
      <w:tr>
        <w:trPr>
          <w:trHeight w:val="4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惠民路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华夏路——惠民路南延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2767.6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1095.8</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珠江东路-2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华夏路-长安路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1971.416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55934.72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16308.12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10947.92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83190.76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75675.1</w:t>
            </w:r>
            <w:r/>
          </w:p>
        </w:tc>
      </w:tr>
      <w:tr>
        <w:trPr>
          <w:trHeight w:val="4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14375.126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279520.86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35382.93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62697.99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377601.78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271781.67</w:t>
            </w:r>
            <w:r/>
          </w:p>
        </w:tc>
      </w:tr>
    </w:tbl>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三)：道路明细表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966"/>
        <w:gridCol w:w="425"/>
        <w:gridCol w:w="1443"/>
        <w:gridCol w:w="961"/>
        <w:gridCol w:w="1034"/>
        <w:gridCol w:w="878"/>
        <w:gridCol w:w="859"/>
        <w:gridCol w:w="1012"/>
        <w:gridCol w:w="919"/>
      </w:tblGrid>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4"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绿化</w:t>
            </w:r>
            <w:r/>
          </w:p>
        </w:tc>
      </w:tr>
      <w:tr>
        <w:trPr>
          <w:trHeight w:val="11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面积(m2)</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驿城路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长安路——重卡东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43323.1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1681.8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45004.9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5029.7</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伟拓路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重卡北路--珠江路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642.7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9989.4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2862.5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15797.3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9905.8</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珠江东路-1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伟拓路--长安路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1923.907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55512.17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18602.86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74115.03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91729.73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珠江路--五环路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5226.08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101219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37568.82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9949.25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148737.07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124142.23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毕庄路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珠江路--育才路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3413.08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1857.46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2553.02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8212.26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233.09</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育才路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毕庄路--东端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4601.66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5602.91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13444.87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141.34</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振兴路——长安路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3437.2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48352.4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1314.7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49667.1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66053.1</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2132.8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34581.7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35024.1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51012.3</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富浩路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南侧河--北端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13082.1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8970.67</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富康路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5910.57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1176.99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7485.96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1232.81</w:t>
            </w:r>
            <w:r/>
          </w:p>
        </w:tc>
      </w:tr>
      <w:tr>
        <w:trPr>
          <w:trHeight w:val="39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青山北路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长安路--东端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8808.63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3049.02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12460.75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1734.51</w:t>
            </w:r>
            <w:r/>
          </w:p>
        </w:tc>
      </w:tr>
      <w:tr>
        <w:trPr>
          <w:trHeight w:val="54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三棠路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长安路--三堡交界处</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2385.3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23117.35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26124.55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青山东路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华盛路--南端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10404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5202</w:t>
            </w:r>
            <w:r/>
          </w:p>
        </w:tc>
      </w:tr>
      <w:tr>
        <w:trPr>
          <w:trHeight w:val="40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1"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21275.587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359734.16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64161.54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9"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33897.49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462160.99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365387.28</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四)：道路明细表</w:t>
      </w:r>
      <w:r/>
    </w:p>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1106"/>
        <w:gridCol w:w="530"/>
        <w:gridCol w:w="1693"/>
        <w:gridCol w:w="942"/>
        <w:gridCol w:w="942"/>
        <w:gridCol w:w="798"/>
        <w:gridCol w:w="947"/>
        <w:gridCol w:w="943"/>
        <w:gridCol w:w="942"/>
      </w:tblGrid>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3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10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同创路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高速立交——榆庄村</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28471.9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29216.5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24477.3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南沙路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4010.9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77061.9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24065.4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101127.3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75520.3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连城路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3706.2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89722.1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34263.9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22237.2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146223.2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64406.7</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南沙路——206连接线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34718.4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8861.8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43580.2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29524.1</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大学路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五环路—铜山区界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5633.4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156893.1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5779.9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5239.6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167912.6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237391.4</w:t>
            </w:r>
            <w:r/>
          </w:p>
        </w:tc>
      </w:tr>
      <w:tr>
        <w:trPr>
          <w:trHeight w:val="90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五环（桥下及桥东路）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桥下及桥东路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13290.4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19696.4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9803.1</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徐宿快速通道</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五环——安徽界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63038.7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63141.6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48244.6</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先导路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同创路--泰中路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5245.87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5602.77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727.06</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闽江路至五环路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3452.3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125626.9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14334.8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10993.1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150954.8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49260.3</w:t>
            </w:r>
            <w:r/>
          </w:p>
        </w:tc>
      </w:tr>
      <w:tr>
        <w:trPr>
          <w:trHeight w:val="45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徐工路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同创路--泰中路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8525.08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956.08</w:t>
            </w:r>
            <w:r/>
          </w:p>
        </w:tc>
      </w:tr>
      <w:tr>
        <w:trPr>
          <w:trHeight w:val="47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24354.1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602594.35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54378.6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78650.6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727455.37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540310.94</w:t>
            </w:r>
            <w:r/>
          </w:p>
        </w:tc>
      </w:tr>
    </w:tbl>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五)：道路明细表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5"/>
        <w:gridCol w:w="1039"/>
        <w:gridCol w:w="646"/>
        <w:gridCol w:w="1504"/>
        <w:gridCol w:w="960"/>
        <w:gridCol w:w="862"/>
        <w:gridCol w:w="802"/>
        <w:gridCol w:w="909"/>
        <w:gridCol w:w="1051"/>
        <w:gridCol w:w="1097"/>
      </w:tblGrid>
      <w:tr>
        <w:trPr>
          <w:trHeight w:val="32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23"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7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3419.3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92383.3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135880.4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银河路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娇山湖东——北京路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2139.3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31962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9056.4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41018.4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49388.4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钱江路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娇山湖东——北京路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32310.5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7385.8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39696.3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36577.4</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漓江路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1715.6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12203.4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14980.3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9180.7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1456.7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41860.83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14642.39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408.26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56911.48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42604.17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永冠路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北京路——东头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现代4S前路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北京路——东头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4901.9</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丰田前路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北京路——路南端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top"/>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1503.2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35408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19909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56528.6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20924.2</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珠江路——高速公路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3497.7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63327.1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8183.5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71510.6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63217.7</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规划路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漓江路-闽江路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7693.16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4833.13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12526.29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742.54</w:t>
            </w:r>
            <w:r/>
          </w:p>
        </w:tc>
      </w:tr>
      <w:tr>
        <w:trPr>
          <w:trHeight w:val="47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振兴路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北京路——久久北门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1895.3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36850.6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3013.3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39863.9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7080.1</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滕寨北路-2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4385.7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13285.91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17671.61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1255.94</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连霍北路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大学路——银山路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3831.76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68521.96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19779.08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88301.04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上水璞园路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振兴路--小区</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3904.8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昆仑路--东段</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bottom"/>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24352.59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429496.75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89990.88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547734.22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371753.45</w:t>
            </w:r>
            <w:r/>
          </w:p>
        </w:tc>
      </w:tr>
    </w:tbl>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2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w:t>
      </w:r>
      <w:r>
        <w:rPr>
          <w:rFonts w:ascii="SimSun" w:hAnsi="SimSun" w:eastAsia="SimSun" w:cs="SimSun"/>
          <w:color w:val="000000"/>
          <w:sz w:val="24"/>
        </w:rPr>
        <w:t xml:space="preserve">(</w:t>
      </w:r>
      <w:r>
        <w:rPr>
          <w:rFonts w:ascii="SimSun" w:hAnsi="SimSun" w:eastAsia="SimSun" w:cs="SimSun"/>
          <w:color w:val="000000"/>
          <w:sz w:val="21"/>
        </w:rPr>
        <w:t xml:space="preserve">六)：道路明细表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2"/>
        <w:gridCol w:w="930"/>
        <w:gridCol w:w="600"/>
        <w:gridCol w:w="1508"/>
        <w:gridCol w:w="954"/>
        <w:gridCol w:w="942"/>
        <w:gridCol w:w="852"/>
        <w:gridCol w:w="1118"/>
        <w:gridCol w:w="945"/>
        <w:gridCol w:w="1035"/>
      </w:tblGrid>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vMerge w:val="restart"/>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道路级别</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1"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起、止点（长度）</w:t>
            </w:r>
            <w:r/>
          </w:p>
        </w:tc>
        <w:tc>
          <w:tcPr>
            <w:gridSpan w:val="4"/>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道路面积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w:t>
            </w:r>
            <w:r/>
          </w:p>
        </w:tc>
      </w:tr>
      <w:tr>
        <w:trPr>
          <w:trHeight w:val="2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机动车车道面积（m2)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道路合计面积(m2)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面积(m2)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22172.4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7581.1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32004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12150.3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珠江西路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华夏路-银山路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2779.739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89019.38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18162.49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9317.9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116499.77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72816.83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楚河节点</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3626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2987.7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2291.3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4026.6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玉泉河——彭祖东路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1591.1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35131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10923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46054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14998.3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赣江路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北京路——华夏路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729.5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13179.6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14164.6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淮河东路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459.4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2745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8782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5613.3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长江东路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北京路——牛山路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16075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24301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4915.3</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浦江路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黄山路——铁路西</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1293.8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12730.6</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黄山路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798.3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12889.7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3342.8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23516.5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22543.1</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嵩山路——北京路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13684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2663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16347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昆仑路-1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楚河路--珠江路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9836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9920.8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银山路-1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彭祖路--珠江路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8579.6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3560.6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12140.2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7560.2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汽展一号路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华夏路——路西端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8645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27247.86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2485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康乾路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华夏路——铁路东</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5498.1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5498.1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18803.9</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滕寨北路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富民路——铁路涵洞</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1350.5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17409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27546.2</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富民路-2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13007.9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5925.86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18933.73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18196.75</w:t>
            </w: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华夏路-2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珠江路-太康路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694.6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10626.1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10262.1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27928.59</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园东路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腾寨北路--园南路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442.07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1191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6189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园西路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腾寨北路--园南路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237.42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1396.9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3324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园南路</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园西路--东段</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222.5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742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3115</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17665.829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293194.48</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33027.59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8"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73213.66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426972.66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256400.47</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公交站台采用人工清扫保洁模式，每5天擦洗一遍，实施精细化作业的人行道板，每5天人工配合高压冲洗1次，每年3月1日至11月30日之间实施。如遇到应急任务、临时交办等采购人交办任务，中标人应无条件服从采购人要求。</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（三）机械化作业频次及积尘称重等级</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6"/>
        <w:gridCol w:w="2534"/>
        <w:gridCol w:w="1699"/>
        <w:gridCol w:w="2856"/>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非机动车道机扫保洁</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人行道冲洗</w:t>
              <w:br/>
              <w:t xml:space="preserve">（次/天）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积尘称重标准</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机械化、精细化保洁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慢车道≤20克/平方米；人行道≤18克/平方米</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（四）投标人应针对综合保洁工作进行全面安排，运用统筹兼顾、整体协调的管理方式把各项目的保洁工作有机地结合起来，确保作业效果明显提高。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（五）服务期限（合同期限）为36个月，根据政策及实际保洁情况进行调整。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遵守劳动法，依法规范用工，全员签订劳动合同，符合条件的须参加基本社会养老保险，人员工资应不低于最新公布的徐州市铜山区最低工资标准的110%,高温津贴、特岗津贴、加班费用等按法律、法规及文件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2.按采购人要求在每月25日前向采购方提供相关运行资料，包括但不限于人员信息、工资和加班费发放、设备（车辆）信息、垃圾清运量等，并确保资料信息的真实性。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3.按时足额缴纳各种税费和为职工交纳各项保险金的要求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投标文件中承诺自觉按照国家有关规定，按时足额缴纳各种税费及所有符合参保条件的职工的各项社会保险金（养老保险金、医疗保险金、工伤保险金、生育保险金、失业保险金）和意外保险金。如中标人未按本条规定履行相关义务，而引发所有责任后果均由中标人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说明：投标文件中必须提供《投标人对“按时足额缴纳各种税费和为职工交纳各项保险金的要求”的承诺》文件，且所承诺的内容不得低于上述要求，否则按照无效投标处理。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投标人为非徐州市注册登记的单位，则必须在投标文件中承诺中标后于合同签订前在项目所在地设立能够满足仓储、停车等要求办公室场地。如中标人未按本条规定提供相关证明材料，采购人有权拒绝与中标人签订合同，所有责任由中标人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 “中标后于合同签订前在项目所在地设立能够满足仓储、停车等要求办公场地”的承诺文件。否则按照无效投标处理。（以上所述需提交证明文件、证明票据等原件均在中标后，合同签订前五日内由中标人提供给采购人。开标现场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必须在投标文件中承诺中标后在徐州市高新技术产业开发区设立固定的办公场所（非住宅小区类），且办公场所面积不小于100平方米。中标后合同签订前，中标人应提供自有房产证复印件或租赁合同及出租方房产证复印件和付款发票复印件（原件备查），且租赁结束日期不得早于本项目服务结束日期。如中标人未按本条规定提供相关证明材料，采购人有权拒绝与中标人签订合同，所有责任由中标人自行承担。中标人的办公场所必须真实，并上报采购人查证，如弄虚作假的，扣除当月保洁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 “中标后在徐州市高新技术产业开发区设立固定的办公场所（非住宅小区类）”的承诺文件。否则按照无效投标处理。（以上所述需提交证明文件、证明票据等原件均在中标后，合同签订前五日内由中标人提供给采购人。开标现场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必须在投标文件中承诺中标后在徐州市高新技术产业开发区设立车辆停车场。中标后合同签订前，中标人应提供自有产权车辆停车场所权属证明或租赁合同和付款发票复印件（原件备查），且租赁结束日期不得早于本项目服务结束日期。如中标人未按本条规定提供相关证明材料，采购人有权拒绝与中标人签订合同，所有责任由中标人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 “中标后在徐州市高新技术产业开发区设立车辆停车场”的承诺文件。否则按照无效投标处理。（以上所述需提交证明文件、证明票据等原件均在中标后，合同签订前五日内由中标人提供给采购人。开标现场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7.投标人必须在投标文件中承诺中标后在采包区域内按照标准设立环卫工人驿站不少于2处。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 “在采包区域内按照标准要求设立环卫工人驿站不少于2处”的承诺文件。否则按照无效投标处理。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8.注：采购包（一）配置的护栏清洗车同时负责其他5个采购包内的护栏清洗。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四、人员、设备配置要求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（一）人员、设备专用原则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成员专用原则：投标项目组成员应为投标人本单位人员，必须具有一定环卫管理经验，年龄在55周岁以下（不限男女）。专门服务于本项目，不得用于其他项目中，且需常驻本项目。项目组成员均不统计在作业人员（道路清扫保洁作业人员和其他作业人员）数量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车辆）专用原则：投标人必须按照招标文件要求配备相关车辆设备，且承诺投入各采购包车辆均为该采购包专用车辆，不得用于其他采购包或其他项目，且设备的所有权属于投标人（中标后合同签订前需提供设备的所有权属证明，开标现场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（二）人员配置基本要求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1.环卫作业人员年龄要求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（1）禁止使用男60周岁、女55周岁以上人员。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（2）男55周岁以内、女50周岁以内人员数量占承担本项目作业人员总数的比例≥80%。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（3）人员总数最低应满足下表要求：</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66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p>
            <w:pPr>
              <w:ind w:left="0" w:right="0" w:firstLine="0"/>
              <w:jc w:val="center"/>
              <w:spacing w:before="0" w:after="0" w:line="312" w:lineRule="atLeast"/>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一线保洁员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w:t>
            </w:r>
            <w:r/>
          </w:p>
        </w:tc>
      </w:tr>
      <w:tr>
        <w:trPr>
          <w:trHeight w:val="401"/>
        </w:trPr>
        <w:tc>
          <w:tcPr>
            <w:gridSpan w:val="2"/>
            <w:tcBorders>
              <w:top w:val="single" w:color="000000" w:sz="4" w:space="0"/>
              <w:left w:val="single" w:color="000000" w:sz="4" w:space="0"/>
              <w:bottom w:val="single" w:color="000000" w:sz="4" w:space="0"/>
              <w:right w:val="single" w:color="000000" w:sz="4" w:space="0"/>
            </w:tcBorders>
            <w:tcW w:w="1607" w:type="dxa"/>
            <w:vMerge w:val="restart"/>
            <w:textDirection w:val="lrTb"/>
            <w:noWrap w:val="false"/>
          </w:tcPr>
          <w:p>
            <w:pPr>
              <w:ind w:left="0" w:right="0" w:firstLine="0"/>
              <w:jc w:val="center"/>
              <w:spacing w:before="0" w:after="0" w:line="312" w:lineRule="atLeast"/>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sz w:val="24"/>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rPr>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gridAfter w:val="1"/>
          <w:trHeight w:val="40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gridAfter w:val="1"/>
          <w:trHeight w:val="40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gridAfter w:val="1"/>
          <w:trHeight w:val="40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gridAfter w:val="1"/>
          <w:trHeight w:val="40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gridAfter w:val="1"/>
          <w:trHeight w:val="40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gridAfter w:val="1"/>
          <w:trHeight w:val="41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2"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说明：以上人数不含法定节假日、周末调休人数, 一线道路保洁员不包含机械操作人员。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2.中标方承担所有环卫作业人员及管理人员、设备的安全责任及费用。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3.中标方须为作业人员提供工作服及必要的劳动防护用品。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（三）设备（车辆）配置基本要求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1.作业设备（车辆）配置基本标准</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5"/>
        <w:gridCol w:w="688"/>
        <w:gridCol w:w="497"/>
        <w:gridCol w:w="600"/>
        <w:gridCol w:w="676"/>
        <w:gridCol w:w="504"/>
        <w:gridCol w:w="854"/>
        <w:gridCol w:w="508"/>
        <w:gridCol w:w="459"/>
        <w:gridCol w:w="563"/>
        <w:gridCol w:w="473"/>
        <w:gridCol w:w="951"/>
        <w:gridCol w:w="585"/>
        <w:gridCol w:w="717"/>
        <w:gridCol w:w="644"/>
      </w:tblGrid>
      <w:tr>
        <w:trPr>
          <w:trHeight w:val="12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vMerge w:val="restart"/>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包</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高压冲洗车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洗扫一体车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深度作业车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精细化</w:t>
              <w:br/>
              <w:t xml:space="preserve">车辆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高温高压冲洗车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雾炮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融雪剂撒布</w:t>
              <w:br/>
              <w:t xml:space="preserve">机含雪滚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快速保洁车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巡查车</w:t>
            </w:r>
            <w:r/>
          </w:p>
        </w:tc>
      </w:tr>
      <w:tr>
        <w:trPr>
          <w:trHeight w:val="8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2立方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（9立方）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0"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7"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4"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8"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3"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5" w:type="dxa"/>
            <w:vAlign w:val="center"/>
            <w:textDirection w:val="lrTb"/>
            <w:noWrap/>
          </w:tcPr>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tcPr>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2.除快速保洁车为电动车外，其他均为燃油车辆或新能源车辆。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3.投标人自有车辆须为2020年1月1日后出厂并取得机动车行驶证。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4.各采购包有1辆高压冲洗车用于大气扬尘污染治理等，按采购人要求作业。</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结果公告发布后25日内，中标人提供配置要求车辆的购车发票和机动车行驶证，设备车辆经采购人核实，符合配置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的，中标或者成交结果无效，从合格的中标或者成交候选人中另行确定中标或者成交供应商；没有合格的中标或者成交候选人的，重新开展政府采购活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环卫机动和电动作业车辆符合法律法规要求，具备购买手续，并具有机动、电动车辆保险手续，电动三轮车需要提供出厂合格证，所产生费用及事故责任均由中标人承担。中标人应充分了解徐州市电动车、新能源车辆上牌上路政策，如因上牌等问题造成的车辆被交警扣留等情况由中标人自行负责。</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7.设备（车辆）外观要求标识统一，中标后，必须按采购方要求进行车辆涂装，相关费用包含在投标报价内。</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8.设备（车辆）配备基本要求（参数不低于以下要求）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（1）8吨高压冲洗车技术参数：</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最大总质量（kg）：≥18000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最大清洗水压力（MPa）：≥10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低压冲洗宽度（m）：≥14</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罐体容积（m³）：≥6</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（2）12吨高压冲洗车技术参数：</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最大总质量（kg）：≥25000；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最大清洗水压力（MPa）：≥10；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低压冲洗宽度（m）：≥14；</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罐体容积（m³）：≥12；</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（3）8吨洗扫一体车技术参数：</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最大总质量（kg）：≥18000；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清水箱容积、垃圾箱容积（m³)：≥9、7；</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最大洗扫宽度(含路缘清洗宽度)（m）：≥3.5；</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清洗压力(MPa）：≥9.5；</w:t>
      </w:r>
      <w:r/>
    </w:p>
    <w:p>
      <w:pPr>
        <w:ind w:left="0" w:right="0" w:firstLine="0"/>
        <w:jc w:val="both"/>
        <w:spacing w:before="240" w:after="0" w:line="5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（4）5吨吸尘车技术参数：</w:t>
      </w:r>
      <w:r>
        <w:rPr>
          <w:rFonts w:ascii="FangSong" w:hAnsi="FangSong" w:eastAsia="FangSong" w:cs="FangSong"/>
          <w:color w:val="000000"/>
          <w:sz w:val="24"/>
        </w:rPr>
        <w:t xml:space="preserve"> </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最大总质量（kg）：≥11900；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垃圾箱容积（m³)：≥6.4；</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最大吸尘宽度（m）：≥1.7；</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最小离地间隙（mm）:≥120；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（5）精洗（精细化）车辆技术参数：</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高压清洗压力（MPa） ≥24</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清洗流量：（L/min）≥ 30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水箱容积：（m³）≥2</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（6）深度洗扫车/道路污染清除车</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总质量≥18000（kg） </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整备质量≥12400(kg) </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整车长度≤9350(mm) </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发动机总功率≥160（kw） </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额定载质量≥2300（kg）</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接近角/离去角≥14/8.5（°）</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前悬/后悬≥1430/2530(mm)</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具备传统洗扫(两侧含扫刷)及后置深度保洁装置两种作业模式。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（7）巡查车</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投标人必须为项目部配备巡查专用车（按规定完成机动车注册登记手续）。</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（8）多功能抑尘车</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罐体容积（m³）：≥8</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最大喷雾水平射程（米）≥</w:t>
      </w:r>
      <w:r>
        <w:rPr>
          <w:rFonts w:ascii="Times New Roman" w:hAnsi="Times New Roman" w:eastAsia="Times New Roman" w:cs="Times New Roman"/>
          <w:color w:val="000000"/>
          <w:sz w:val="24"/>
        </w:rPr>
        <w:t xml:space="preserve">100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喷雾机俯仰角度（°）</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喷雾机回转角度（°）±</w:t>
      </w:r>
      <w:r>
        <w:rPr>
          <w:rFonts w:ascii="Times New Roman" w:hAnsi="Times New Roman" w:eastAsia="Times New Roman" w:cs="Times New Roman"/>
          <w:color w:val="000000"/>
          <w:sz w:val="24"/>
        </w:rPr>
        <w:t xml:space="preserve">120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喷雾流量（</w:t>
      </w:r>
      <w:r>
        <w:rPr>
          <w:rFonts w:ascii="Times New Roman" w:hAnsi="Times New Roman" w:eastAsia="Times New Roman" w:cs="Times New Roman"/>
          <w:color w:val="000000"/>
          <w:sz w:val="24"/>
        </w:rPr>
        <w:t xml:space="preserve">L/min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（9）高温高压冲洗车</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最大出水压力（bar）≥150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出水温度（℃）≥80度</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高压冷水清洗系统流量（L/s）≥10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整备质量（kg）：≥1700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最大爬坡度（%）：≥20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清洗宽度（mm）：≥1400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水箱容积（L）：≥800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软管长度（m）：≥15</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（10）融雪剂撒布机（9m³）</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料仓容积（m³）：≥9</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撒布宽度（m）：≥9</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撒布密度范围（g/m2）：5～320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撒布速度（km/h）：10～40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作业温度（℃）：≥-40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（11）雪铲</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除雪铲宽度≥3000mm</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除雪铲高度≥1000mm</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除雪铲左右摆角≥±30°</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除雪铲重量≥1150kg</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铲面厚度≥4mm</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最大作业速度≥60km/h</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除雪铲的上下高度、左右偏转角度可调，其操作在驾驶室内完成；</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（12）快速保洁车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最大时速：≥25km/h；</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空载最大续航里程：≥60km；</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配备垃圾箱容量：≥500L；</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最大载重：≥150kg；</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工作环境温度：-10℃-45℃</w:t>
      </w:r>
      <w:r/>
    </w:p>
    <w:p>
      <w:pPr>
        <w:pStyle w:val="730"/>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投标文件中必须提供《中标后提供要求配置车辆的购车发票和机动车行驶证及设备（车辆）专项专用的承诺书》。否则按照无效投标处理。（以上所述需提交证明文件、证明票据等原件均在中标后，合同签订前五日内由中标人提供给采购人。开标现场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五、道路保洁实施要求：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投标人应针对本项目制定道路保洁实施方案，实施方案至少应包含以下部分：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投标人根据招标文件、地方情况和个人理解等方面，对项目整体、作业范围、作业难点重点等进行分析。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2.项目管理团队、场所配备方案：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投标人应根据项目特点建立项目管理小组，项目管理小组应包含项目经理一名和管理小组成员若干，提供停车场地、办公场所、职工宿舍等使用方案。投标文件中应编制管理方案。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3.道路人工保洁管理方案：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方案内容中至少包含项目组成员清单、人工作业方案、作业人员配置、内部管理制度、设备保养等内容，含《项目经理情况一览表》、《项目组成员一览表》、《道路清扫保洁人员配备表》等支撑文件；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4.环卫机械化作业管理方案：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方案内容中至少包含机械化设备配备清单、机械化设备作业方案、机械化设备（车辆）作业时间表、机械化设备管理制度、内部人员管理制度、内部人员岗位职责、设备保养、设备（车辆）购买承诺书等内容；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5.大气扬尘治理方案</w:t>
      </w:r>
      <w:r/>
    </w:p>
    <w:p>
      <w:pPr>
        <w:ind w:left="0" w:right="33" w:firstLine="480"/>
        <w:spacing w:before="240" w:after="12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根据经验及项目特点自行编制。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6.其他管理方案：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方案中至少提供公交站台保洁、交通护栏保洁、垃圾前端分类收集运输管理、野广告清理管理、秋季落叶清理、绿化带清理、非机动车规范治理、市政设施巡查等方案。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7.应急、突击保障方案：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方案内容中至少提供《重大活动保障应急预案》、《特殊季节性保洁应急预案》、《道路大面积污染应急预案》、《除雪应急预案》、《台风暴雨等恶劣天气应急预案》这五类预案，但不限于此五类预案；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8.文明、安全作业管理实施方案：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根据经验及项目特点自行编制。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六、投标报价要求和说明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1、本项目报价为3年报价。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2、本项目报价包含（但不限于）：保洁人员及管理人员的各项工资、福利，劳保、机具费及设备折旧费，水电及维修经费，管理佣金和税费等全部费用。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3、对于合同期内环卫工人工资福利待遇、配置设施设备及其他经费提高等发生的变化情况，投标企业应充分考虑，自行消化，采购方不再支付报价以外的任何费用。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七、违约责任及条例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作业经费和检查考核评分挂钩。每季度考核实行累计扣分制，根据检查情况确定各作业单位每季度扣分，检查单位次季度5日前将本季度检查评分情况书面报甲方，甲方根据考核扣分情况在考核基数中扣除相应经费后拨付给作业单位。具体做法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中标人当季每扣1分按100元/分标准相应从保洁经费中扣除。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中标人连续2个季度考核扣分超过900分或合同期内累计3次考核扣分超过900分的，甲方有权终止合同，乙方须无条件按甲方要求办理移交、退场手续。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八、专项扣款：</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（一）未按合同要求配备人员，缺少人数按每人每次5千元-1万元；未执行合同约定年龄比例的，每低1%，按季度合同金额3%扣除。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（二）未按合同要求配备设备，按每次每台1万元-5万元。</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（三）未按合同规定配发服装及劳动防护用品的，每次1千元-5千元。</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（四）未按规定发放环卫工人工资、津贴、加班工资等，每次1万元-5万元。</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（五）因道路清扫保洁、环卫设施养护不到位等原因造成市民投诉并查实的，每次1千元-5千元。</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（六）因不文明作业被市民投诉并查实的，每次5千元-1万元，如造成市民伤害，每次1万元-2万元，按责任认定由此给市民造成的损失由乙方承担。</w:t>
      </w:r>
      <w:r/>
    </w:p>
    <w:p>
      <w:pPr>
        <w:ind w:left="0" w:right="0" w:firstLine="42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（七）不执行重大活动保障及应急处置指令，不服从甲方统一调度指挥的，每次3万元-10万元。</w:t>
      </w:r>
      <w:r/>
    </w:p>
    <w:p>
      <w:pPr>
        <w:ind w:left="0" w:right="0" w:firstLine="42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（八）被媒体曝光、领导批评的，每次3万元-10万元。</w:t>
      </w:r>
      <w:r/>
    </w:p>
    <w:p>
      <w:pPr>
        <w:ind w:left="0" w:right="0" w:firstLine="42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（九）乙方不经过甲方同意私自调整项目负责人的，每次2万元-5万元。</w:t>
      </w:r>
      <w:r/>
    </w:p>
    <w:p>
      <w:pPr>
        <w:ind w:left="0" w:right="0" w:firstLine="42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乙方违反人员设备专用原则的，未经甲方允许将项目人员、设备用于其他项目的，每次5万元-10万元。如乙方在合同期内、存在上述情形累计超过3次以上，每次处罚20万元。具体处罚细则由甲方管理机构另行定制。</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九、其他要求：见招标文件第六章《 拟签订的合同文本》</w:t>
        <w:br w:type="page" w:clear="all"/>
      </w:r>
      <w:r/>
    </w:p>
    <w:p>
      <w:pPr>
        <w:pStyle w:val="72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w:t>
      </w:r>
      <w:r>
        <w:rPr>
          <w:rFonts w:ascii="Arial" w:hAnsi="Arial" w:eastAsia="Arial" w:cs="Arial"/>
          <w:b/>
          <w:color w:val="000000"/>
          <w:sz w:val="36"/>
        </w:rPr>
        <w:t xml:space="preserve"> </w:t>
      </w:r>
      <w:r>
        <w:rPr>
          <w:rFonts w:ascii="SimSun" w:hAnsi="SimSun" w:eastAsia="SimSun" w:cs="SimSun"/>
          <w:b/>
          <w:color w:val="000000"/>
          <w:sz w:val="36"/>
        </w:rPr>
        <w:t xml:space="preserve">投标文件相关格式</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一、投标函格式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致：江苏中际招标代理有限公司</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招标文件，</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姓名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     </w:t>
      </w:r>
      <w:r>
        <w:rPr>
          <w:rFonts w:ascii="SimSun" w:hAnsi="SimSun" w:eastAsia="SimSun" w:cs="SimSun"/>
          <w:color w:val="000000"/>
          <w:sz w:val="24"/>
        </w:rPr>
        <w:t xml:space="preserve">（投标人的名称）全权处理本次投标的有关事宜。</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投标人唯一投标报价见《开标一览表》。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投标人将按招标文件的规定履行合同责任和义务。</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投标人已详细审查全部招标文件，包括第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插入编号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补遗书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如果有的话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。投标人完全理解并同意放弃对这方面有不明及误解的权力。</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投标有效期为开标之日后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天。</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投标人同意提供按照贵方可能要求的与其投标有关的一切数据或资料，完全理解贵方不一定接受最低价的投标或收到的任何投标。</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投标人同意在授予合同后，按照有关规定支付公证费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江苏中际招标代理有限公司有权将我单位本项目的《开标一览表》和《分项价格表》予以公示，公示的方式由江苏中际招标代理有限公司确定。</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与本投标有关的一切正式往来信函请寄：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二、开标一览表格式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项目名称：高新区道路、绿化保洁</w:t>
      </w: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JSZC-320312-ZJZB-G2024-0214</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0"/>
        <w:gridCol w:w="2702"/>
        <w:gridCol w:w="3392"/>
      </w:tblGrid>
      <w:tr>
        <w:trPr>
          <w:trHeight w:val="9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高新区道路、绿化保洁（采购包六）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供应商承诺：本报价（总价）为供应商本企业提供的服务。</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报价说明：</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1、报价应包括全部内容，以及为完成上述内容所需的全部费用。</w:t>
        <w:br/>
        <w:t xml:space="preserve">2、报价以总价为准，大小写不一致以大写为准；</w:t>
        <w:br/>
        <w:t xml:space="preserve">3、偏离说明：详见《偏离表》；</w:t>
        <w:br/>
      </w:r>
      <w:r>
        <w:rPr>
          <w:rFonts w:ascii="SimSun" w:hAnsi="SimSun" w:eastAsia="SimSun" w:cs="SimSun"/>
          <w:color w:val="000000"/>
          <w:sz w:val="24"/>
        </w:rPr>
        <w:t xml:space="preserve"> </w:t>
      </w:r>
      <w:r/>
    </w:p>
    <w:p>
      <w:pPr>
        <w:ind w:left="0" w:right="0" w:firstLine="27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三、分项价格表格式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项目名称：高新区道路、绿化保洁</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JSZC-320312-ZJZB-G2024-0214</w:t>
      </w:r>
      <w:r>
        <w:rPr>
          <w:rFonts w:ascii="SimSun" w:hAnsi="SimSun" w:eastAsia="SimSun" w:cs="SimSu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格式自拟</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本表中“产品制造企业的划分”以《政府采购促进中小企业发展管理办法》（财库</w:t>
      </w:r>
      <w:r>
        <w:rPr>
          <w:rFonts w:ascii="Times New Roman" w:hAnsi="Times New Roman" w:eastAsia="Times New Roman" w:cs="Times New Roman"/>
          <w:color w:val="000000"/>
          <w:sz w:val="24"/>
        </w:rPr>
        <w:t xml:space="preserve">[2020]046</w:t>
      </w:r>
      <w:r>
        <w:rPr>
          <w:rFonts w:ascii="SimSun" w:hAnsi="SimSun" w:eastAsia="SimSun" w:cs="SimSun"/>
          <w:color w:val="000000"/>
          <w:sz w:val="24"/>
        </w:rPr>
        <w:t xml:space="preserve">号）和《工业和信息化部、国家统计局、国家发展和改革委员会、财政部关于印发中小企业划型标准规定的通知》（工信部联企业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号）的规定为准。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享受政府采购支持政策的残疾人福利性单位的条件以《三部门联合发布关于促进残疾人就业政府采购政策的通知》（财库〔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号）规定为准。</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投标人为“微型”或“小型”或“残疾人福利性单位”的，须算出““小型和微型和监狱企业和残疾人福利性单位” 总价合计”。</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．如果不提供详细分项报价将视为没有实质性响应招标文件。</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投标人对以上数据的真实性负责。</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江苏中际招标代理有限公司</w:t>
      </w:r>
      <w:r>
        <w:rPr>
          <w:rFonts w:ascii="SimSun" w:hAnsi="SimSun" w:eastAsia="SimSun" w:cs="SimSun"/>
          <w:i/>
          <w:color w:val="000000"/>
          <w:sz w:val="24"/>
          <w:u w:val="single"/>
        </w:rPr>
        <w:t xml:space="preserve">有权将以上内容进行公示</w:t>
      </w:r>
      <w:r>
        <w:rPr>
          <w:rFonts w:ascii="SimSun" w:hAnsi="SimSun" w:eastAsia="SimSun" w:cs="SimSun"/>
          <w:i/>
          <w:color w:val="000000"/>
          <w:sz w:val="24"/>
        </w:rPr>
        <w:t xml:space="preserve">。</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四、偏离表格式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项目名称：高新区道路、绿化保洁</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JSZC-320312-ZJZB-G2024-0214</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注：投标人的投标文件中的内容与招标文件（含招标文件的澄清或者修改的内容）的要求不同时，逐条列在偏离表中，否则将认为投标人接受招标文件的要求。</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五、法定代表人授权书格式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法定代表人（负责人）：职务：</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受托人：性别：男（女）</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年龄：岁民族：族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职务：移动电话：</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兹委托（）全权代表我企业（公司）参与（高新区道路、绿化保洁）项目（项目编号：</w:t>
      </w:r>
      <w:r>
        <w:rPr>
          <w:rFonts w:ascii="Times New Roman" w:hAnsi="Times New Roman" w:eastAsia="Times New Roman" w:cs="Times New Roman"/>
          <w:color w:val="000000"/>
          <w:sz w:val="24"/>
        </w:rPr>
        <w:t xml:space="preserve">JSZC-320312-ZJZB-G2024-0214</w:t>
      </w:r>
      <w:r>
        <w:rPr>
          <w:rFonts w:ascii="SimSun" w:hAnsi="SimSun" w:eastAsia="SimSun" w:cs="SimSun"/>
          <w:color w:val="000000"/>
          <w:sz w:val="24"/>
        </w:rPr>
        <w:t xml:space="preserve">）的招、投标活动及签订合同。（）以我企业（公司）名义所为的法律行为及签署的文件，我企业（公司）均予以认可。有关法律责任均由我企业（公司）承担。（）无转委托权。委托期限自年月日起至年月日止。</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委托人（电子签章）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受托人（签字）：</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受托人身份证复印件附后</w:t>
      </w:r>
      <w:r>
        <w:rPr>
          <w:rFonts w:ascii="Times New Roman" w:hAnsi="Times New Roman" w:eastAsia="Times New Roman" w:cs="Times New Roman"/>
          <w:color w:val="000000"/>
          <w:sz w:val="24"/>
        </w:rPr>
        <w:t xml:space="preserve">)</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六、中小企业声明函格式</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 (2020)46号）的规定，本公司参加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高新区道路、绿化保洁（采购包一）</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高新区道路、绿化保洁（采购包二）</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高新区道路、绿化保洁（采购包三）</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高新区道路、绿化保洁（采购包四）</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高新区道路、绿化保洁（采购包五）</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高新区道路、绿化保洁（采购包六）</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SimSun" w:hAnsi="SimSun" w:eastAsia="SimSun" w:cs="SimSun"/>
          <w:color w:val="000000"/>
          <w:sz w:val="24"/>
        </w:rPr>
        <w:t xml:space="preserve">其他未列明</w:t>
      </w:r>
      <w:r>
        <w:rPr>
          <w:rFonts w:ascii="SimSun" w:hAnsi="SimSun" w:eastAsia="SimSun" w:cs="SimSun"/>
          <w:color w:val="000000"/>
          <w:sz w:val="24"/>
          <w:u w:val="single"/>
        </w:rPr>
        <w:t xml:space="preserve">）行业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 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rPr>
          <w:rFonts w:ascii="SimSun" w:hAnsi="SimSun" w:eastAsia="SimSun" w:cs="SimSun"/>
          <w:color w:val="000000"/>
          <w:sz w:val="24"/>
        </w:rPr>
        <w:t xml:space="preserve">；</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color w:val="000000"/>
          <w:sz w:val="30"/>
        </w:rPr>
      </w:r>
      <w:r/>
    </w:p>
    <w:p>
      <w:pPr>
        <w:ind w:left="0" w:right="0" w:firstLine="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1、本项目采购的服务属于</w:t>
      </w:r>
      <w:r>
        <w:rPr>
          <w:rFonts w:ascii="SimSun" w:hAnsi="SimSun" w:eastAsia="SimSun" w:cs="SimSun"/>
          <w:color w:val="000000"/>
          <w:sz w:val="24"/>
          <w:u w:val="single"/>
        </w:rPr>
        <w:t xml:space="preserve">其他未列明行业</w:t>
      </w:r>
      <w:r>
        <w:rPr>
          <w:rFonts w:ascii="SimSun" w:hAnsi="SimSun" w:eastAsia="SimSun" w:cs="SimSun"/>
          <w:b/>
          <w:color w:val="000000"/>
          <w:sz w:val="24"/>
        </w:rPr>
        <w:t xml:space="preserve">。</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3、从业人员、营业收入、资产总额填报供应商上一年度数据，无上一年度数据的新成立企业可不填报。</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4、中标人为小型、微型企业的，采购人或者其委托的采购代理机构有权随中标、成交结果同时公告其《中小企业声明函》，接受社会监督。</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5、执行江苏省财政厅关于进一步加大政府采购支持中小企业力度的通知（苏财购〔2022〕45号）的规定。</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6、投标人提供的《中小企业声明函》与事实不符的，依照《政府采购法》第七十七条第一款的规定追究法律责任。</w:t>
      </w:r>
      <w:r/>
    </w:p>
    <w:p>
      <w:pPr>
        <w:ind w:left="0" w:right="0" w:firstLine="0"/>
        <w:jc w:val="cente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7、《中小企业声明函》查询渠道用微信搜索“中小企业规模类型自测小程序”。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七、残疾人福利性单位声明函格式</w:t>
      </w:r>
      <w:r/>
    </w:p>
    <w:p>
      <w:pPr>
        <w:ind w:left="0" w:right="0" w:firstLine="1687"/>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（如投标人不属于残疾人福利性单位不需要提供此声明函）</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项目名称：高新区道路、绿化保洁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八、投标人参加政府采购活动前</w:t>
      </w:r>
      <w:r>
        <w:rPr>
          <w:rFonts w:ascii="Arial" w:hAnsi="Arial" w:eastAsia="Arial" w:cs="Arial"/>
          <w:b/>
          <w:color w:val="000000"/>
          <w:sz w:val="30"/>
        </w:rPr>
        <w:t xml:space="preserve">3</w:t>
      </w:r>
      <w:r>
        <w:rPr>
          <w:rFonts w:ascii="SimSun" w:hAnsi="SimSun" w:eastAsia="SimSun" w:cs="SimSun"/>
          <w:b/>
          <w:color w:val="000000"/>
          <w:sz w:val="30"/>
        </w:rPr>
        <w:t xml:space="preserve">年内在经营活动中没有重大违法记录的书面声明格式</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我单位在参加高新区道路、绿化保洁项目（项目编号：）政府采购活动前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年内，在经营活动中没有重大违法记录。重大违法记录是指因违法经营受到刑事处罚或者责令停产停业、吊销许可证或者执照、较大数额罚款等行政处罚。</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br w:type="page" w:clear="all"/>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九、具备履行合同所必需的设备和专业技术能力的书面声明</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投标人郑重声明：投标人具备履行合同（项目名称：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）所必需的设备和专业技术能力，具体为：</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专业技术能力：</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（证明材料原件的扫描件附后）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投标人对上述声明的真实性负责。如有虚假，将依法承担相应责任。</w:t>
      </w:r>
      <w:r/>
    </w:p>
    <w:p>
      <w:pPr>
        <w:ind w:left="0" w:right="0" w:firstLine="0"/>
        <w:jc w:val="right"/>
        <w:spacing w:before="240" w:after="24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投标人：（电子签章）</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60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szCs w:val="30"/>
        </w:rPr>
        <w:t xml:space="preserve">十</w:t>
      </w:r>
      <w:r>
        <w:rPr>
          <w:rFonts w:ascii="SimSun" w:hAnsi="SimSun" w:eastAsia="SimSun" w:cs="SimSun"/>
          <w:color w:val="000000"/>
          <w:sz w:val="24"/>
        </w:rPr>
        <w:t xml:space="preserve">、</w:t>
      </w:r>
      <w:r>
        <w:rPr>
          <w:rFonts w:ascii="SimSun" w:hAnsi="SimSun" w:eastAsia="SimSun" w:cs="SimSun"/>
          <w:color w:val="000000"/>
          <w:sz w:val="30"/>
        </w:rPr>
        <w:t xml:space="preserve">关于知晓“兼投所有采购包只能中标一个采购包”的回执格式</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rPr>
          <w:rFonts w:ascii="SimSun" w:hAnsi="SimSun" w:eastAsia="SimSun" w:cs="SimSun"/>
          <w:color w:val="000000"/>
          <w:sz w:val="30"/>
          <w:u w:val="single"/>
        </w:rPr>
        <w:t xml:space="preserve">                        </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SimSun" w:hAnsi="SimSun" w:eastAsia="SimSun" w:cs="SimSun"/>
          <w:color w:val="000000"/>
          <w:sz w:val="30"/>
          <w:u w:val="single"/>
        </w:rPr>
        <w:t xml:space="preserve">            </w:t>
      </w:r>
      <w:r/>
    </w:p>
    <w:p>
      <w:pPr>
        <w:ind w:left="0" w:right="0" w:firstLine="83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关于贵公司发布的</w:t>
      </w:r>
      <w:r>
        <w:rPr>
          <w:rFonts w:ascii="SimSun" w:hAnsi="SimSun" w:eastAsia="SimSun" w:cs="SimSun"/>
          <w:color w:val="000000"/>
          <w:sz w:val="32"/>
          <w:u w:val="single"/>
        </w:rPr>
        <w:t xml:space="preserve">高新区道路、绿化保洁</w:t>
      </w:r>
      <w:r>
        <w:rPr>
          <w:rFonts w:ascii="SimSun" w:hAnsi="SimSun" w:eastAsia="SimSun" w:cs="SimSun"/>
          <w:color w:val="000000"/>
          <w:sz w:val="30"/>
        </w:rPr>
        <w:t xml:space="preserve">项目（项目编号：</w:t>
      </w:r>
      <w:r>
        <w:rPr>
          <w:rFonts w:ascii="SimSun" w:hAnsi="SimSun" w:eastAsia="SimSun" w:cs="SimSun"/>
          <w:color w:val="000000"/>
          <w:sz w:val="30"/>
          <w:u w:val="single"/>
        </w:rPr>
        <w:t xml:space="preserve">                           </w:t>
      </w:r>
      <w:r>
        <w:rPr>
          <w:rFonts w:ascii="SimSun" w:hAnsi="SimSun" w:eastAsia="SimSun" w:cs="SimSun"/>
          <w:color w:val="000000"/>
          <w:sz w:val="30"/>
        </w:rPr>
        <w:t xml:space="preserve">）的招标文件中“投标人可兼投所有采购包，但只能中标一个采购包；本项目按采购包顺序（采购包1至采购包6）依次进行评标和定标。投标人在任一采购包的中标候选人中排名第一后，皆不参与剩余采购包的评审。”的规定。</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我公司响应此规定，特此回执。</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w:t>
      </w:r>
      <w:r>
        <w:rPr>
          <w:rFonts w:ascii="SimSun" w:hAnsi="SimSun" w:eastAsia="SimSun" w:cs="SimSun"/>
          <w:color w:val="000000"/>
          <w:sz w:val="30"/>
          <w:u w:val="single"/>
        </w:rPr>
        <w:t xml:space="preserve">           </w:t>
      </w:r>
      <w:r>
        <w:rPr>
          <w:rFonts w:ascii="SimSun" w:hAnsi="SimSun" w:eastAsia="SimSun" w:cs="SimSun"/>
          <w:color w:val="000000"/>
          <w:sz w:val="30"/>
        </w:rPr>
        <w:t xml:space="preserve">（电子签章）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pStyle w:val="728"/>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十一、预付款保函支付条款模板</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符合条件一：提交预付款保函的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）合同签订且乙方向甲方出具预付款保函后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480" w:right="0" w:firstLine="79"/>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480" w:right="0" w:firstLine="79"/>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保函形式：银行保函或保险保函。</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符合条件二：不提交预付款保函的</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XX%</w:t>
      </w:r>
      <w:r>
        <w:rPr>
          <w:rFonts w:ascii="SimSun" w:hAnsi="SimSun" w:eastAsia="SimSun" w:cs="SimSun"/>
          <w:color w:val="000000"/>
          <w:sz w:val="24"/>
          <w:u w:val="single"/>
        </w:rPr>
        <w:t xml:space="preserve">）</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、付款条件一中，出具预付款保函后支付的合同款应当与保函金额一致。</w:t>
      </w:r>
      <w:r/>
    </w:p>
    <w:p>
      <w:pPr>
        <w:ind w:left="0" w:right="0" w:firstLine="48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、付款条件二中，预付款比例设定应符合《关于做好政府采购支持企业发展有关事项的通知》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w:t>
      </w:r>
      <w:r/>
    </w:p>
    <w:p>
      <w:r/>
      <w:r/>
    </w:p>
    <w:sectPr>
      <w:headerReference w:type="default" r:id="rId9"/>
      <w:footerReference w:type="default" r:id="rId10"/>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Calibri Light">
    <w:panose1 w:val="020F0302020204030204"/>
  </w:font>
  <w:font w:name="Symbol">
    <w:panose1 w:val="05050102010706020507"/>
  </w:font>
  <w:font w:name="新宋体">
    <w:panose1 w:val="0201060903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第%1条"/>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6 Char"/>
    <w:basedOn w:val="736"/>
    <w:link w:val="732"/>
    <w:uiPriority w:val="9"/>
    <w:rPr>
      <w:rFonts w:ascii="Arial" w:hAnsi="Arial" w:eastAsia="Arial" w:cs="Arial"/>
      <w:b/>
      <w:bCs/>
      <w:sz w:val="22"/>
      <w:szCs w:val="22"/>
    </w:rPr>
  </w:style>
  <w:style w:type="character" w:styleId="696">
    <w:name w:val="Heading 7 Char"/>
    <w:basedOn w:val="736"/>
    <w:link w:val="733"/>
    <w:uiPriority w:val="9"/>
    <w:rPr>
      <w:rFonts w:ascii="Arial" w:hAnsi="Arial" w:eastAsia="Arial" w:cs="Arial"/>
      <w:b/>
      <w:bCs/>
      <w:i/>
      <w:iCs/>
      <w:sz w:val="22"/>
      <w:szCs w:val="22"/>
    </w:rPr>
  </w:style>
  <w:style w:type="character" w:styleId="697">
    <w:name w:val="Heading 8 Char"/>
    <w:basedOn w:val="736"/>
    <w:link w:val="734"/>
    <w:uiPriority w:val="9"/>
    <w:rPr>
      <w:rFonts w:ascii="Arial" w:hAnsi="Arial" w:eastAsia="Arial" w:cs="Arial"/>
      <w:i/>
      <w:iCs/>
      <w:sz w:val="22"/>
      <w:szCs w:val="22"/>
    </w:rPr>
  </w:style>
  <w:style w:type="character" w:styleId="698">
    <w:name w:val="Heading 9 Char"/>
    <w:basedOn w:val="736"/>
    <w:link w:val="735"/>
    <w:uiPriority w:val="9"/>
    <w:rPr>
      <w:rFonts w:ascii="Arial" w:hAnsi="Arial" w:eastAsia="Arial" w:cs="Arial"/>
      <w:i/>
      <w:iCs/>
      <w:sz w:val="21"/>
      <w:szCs w:val="21"/>
    </w:rPr>
  </w:style>
  <w:style w:type="character" w:styleId="699">
    <w:name w:val="Title Char"/>
    <w:basedOn w:val="736"/>
    <w:link w:val="764"/>
    <w:uiPriority w:val="10"/>
    <w:rPr>
      <w:sz w:val="48"/>
      <w:szCs w:val="48"/>
    </w:rPr>
  </w:style>
  <w:style w:type="character" w:styleId="700">
    <w:name w:val="Subtitle Char"/>
    <w:basedOn w:val="736"/>
    <w:link w:val="758"/>
    <w:uiPriority w:val="11"/>
    <w:rPr>
      <w:sz w:val="24"/>
      <w:szCs w:val="24"/>
    </w:rPr>
  </w:style>
  <w:style w:type="character" w:styleId="701">
    <w:name w:val="Quote Char"/>
    <w:link w:val="805"/>
    <w:uiPriority w:val="29"/>
    <w:rPr>
      <w:i/>
    </w:rPr>
  </w:style>
  <w:style w:type="character" w:styleId="702">
    <w:name w:val="Intense Quote Char"/>
    <w:link w:val="807"/>
    <w:uiPriority w:val="30"/>
    <w:rPr>
      <w:i/>
    </w:rPr>
  </w:style>
  <w:style w:type="character" w:styleId="703">
    <w:name w:val="Header Char"/>
    <w:basedOn w:val="736"/>
    <w:link w:val="755"/>
    <w:uiPriority w:val="99"/>
  </w:style>
  <w:style w:type="character" w:styleId="704">
    <w:name w:val="Caption Char"/>
    <w:basedOn w:val="742"/>
    <w:link w:val="753"/>
    <w:uiPriority w:val="99"/>
  </w:style>
  <w:style w:type="table" w:styleId="705">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Endnote Text Char"/>
    <w:link w:val="752"/>
    <w:uiPriority w:val="99"/>
    <w:rPr>
      <w:sz w:val="20"/>
    </w:rPr>
  </w:style>
  <w:style w:type="paragraph" w:styleId="725">
    <w:name w:val="TOC Heading"/>
    <w:uiPriority w:val="39"/>
    <w:unhideWhenUsed/>
  </w:style>
  <w:style w:type="paragraph" w:styleId="726" w:default="1">
    <w:name w:val="Normal"/>
    <w:next w:val="738"/>
    <w:uiPriority w:val="0"/>
    <w:qFormat/>
    <w:pPr>
      <w:spacing w:line="312" w:lineRule="auto"/>
    </w:pPr>
    <w:rPr>
      <w:rFonts w:ascii="Times New Roman" w:hAnsi="Times New Roman" w:eastAsia="宋体" w:cs="Times New Roman"/>
      <w:sz w:val="24"/>
      <w:lang w:val="en-US" w:eastAsia="zh-CN" w:bidi="ar-SA"/>
    </w:rPr>
  </w:style>
  <w:style w:type="paragraph" w:styleId="727">
    <w:name w:val="Heading 1"/>
    <w:basedOn w:val="726"/>
    <w:next w:val="726"/>
    <w:link w:val="940"/>
    <w:uiPriority w:val="0"/>
    <w:qFormat/>
    <w:pPr>
      <w:jc w:val="center"/>
      <w:keepLines/>
      <w:keepNext/>
      <w:spacing w:line="360" w:lineRule="auto"/>
      <w:outlineLvl w:val="0"/>
    </w:pPr>
    <w:rPr>
      <w:rFonts w:ascii="Arial" w:hAnsi="Arial" w:cs="Arial"/>
      <w:b/>
      <w:sz w:val="36"/>
      <w:szCs w:val="40"/>
    </w:rPr>
  </w:style>
  <w:style w:type="paragraph" w:styleId="728">
    <w:name w:val="Heading 2"/>
    <w:basedOn w:val="726"/>
    <w:next w:val="726"/>
    <w:link w:val="941"/>
    <w:uiPriority w:val="0"/>
    <w:unhideWhenUsed/>
    <w:qFormat/>
    <w:pPr>
      <w:jc w:val="center"/>
      <w:keepLines/>
      <w:keepNext/>
      <w:spacing w:line="360" w:lineRule="auto"/>
      <w:outlineLvl w:val="1"/>
    </w:pPr>
    <w:rPr>
      <w:rFonts w:ascii="Arial" w:hAnsi="Arial" w:cs="Arial"/>
      <w:b/>
      <w:sz w:val="30"/>
    </w:rPr>
  </w:style>
  <w:style w:type="paragraph" w:styleId="729">
    <w:name w:val="Heading 3"/>
    <w:basedOn w:val="726"/>
    <w:next w:val="726"/>
    <w:link w:val="942"/>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30">
    <w:name w:val="Heading 4"/>
    <w:basedOn w:val="726"/>
    <w:next w:val="726"/>
    <w:link w:val="943"/>
    <w:uiPriority w:val="0"/>
    <w:semiHidden/>
    <w:unhideWhenUsed/>
    <w:qFormat/>
    <w:pPr>
      <w:jc w:val="center"/>
      <w:keepLines/>
      <w:keepNext/>
      <w:spacing w:before="320" w:after="200"/>
      <w:outlineLvl w:val="3"/>
    </w:pPr>
    <w:rPr>
      <w:rFonts w:ascii="Arial" w:hAnsi="Arial" w:cs="Arial"/>
      <w:b/>
      <w:bCs/>
      <w:szCs w:val="26"/>
    </w:rPr>
  </w:style>
  <w:style w:type="paragraph" w:styleId="731">
    <w:name w:val="Heading 5"/>
    <w:basedOn w:val="726"/>
    <w:next w:val="726"/>
    <w:link w:val="944"/>
    <w:uiPriority w:val="0"/>
    <w:semiHidden/>
    <w:unhideWhenUsed/>
    <w:qFormat/>
    <w:pPr>
      <w:keepLines/>
      <w:keepNext/>
      <w:spacing w:before="80" w:after="80" w:line="372" w:lineRule="auto"/>
      <w:outlineLvl w:val="4"/>
    </w:pPr>
    <w:rPr>
      <w:b/>
    </w:rPr>
  </w:style>
  <w:style w:type="paragraph" w:styleId="732">
    <w:name w:val="Heading 6"/>
    <w:basedOn w:val="726"/>
    <w:next w:val="726"/>
    <w:link w:val="797"/>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9"/>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00"/>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文本块11"/>
    <w:basedOn w:val="739"/>
    <w:uiPriority w:val="0"/>
    <w:unhideWhenUsed/>
    <w:qFormat/>
    <w:pPr>
      <w:ind w:left="567" w:right="454" w:firstLine="498"/>
      <w:jc w:val="left"/>
      <w:widowControl/>
    </w:pPr>
    <w:rPr>
      <w:rFonts w:ascii="仿宋_GB2312" w:eastAsia="仿宋_GB2312"/>
      <w:sz w:val="30"/>
      <w:szCs w:val="20"/>
    </w:rPr>
  </w:style>
  <w:style w:type="paragraph" w:styleId="739" w:customStyle="1">
    <w:name w:val="正文12"/>
    <w:next w:val="73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40">
    <w:name w:val="toc 7"/>
    <w:basedOn w:val="726"/>
    <w:next w:val="726"/>
    <w:uiPriority w:val="39"/>
    <w:unhideWhenUsed/>
    <w:qFormat/>
    <w:pPr>
      <w:ind w:left="1701"/>
      <w:spacing w:after="57"/>
    </w:pPr>
  </w:style>
  <w:style w:type="paragraph" w:styleId="741">
    <w:name w:val="Normal Indent"/>
    <w:basedOn w:val="726"/>
    <w:uiPriority w:val="0"/>
    <w:qFormat/>
    <w:pPr>
      <w:ind w:firstLine="420"/>
    </w:pPr>
  </w:style>
  <w:style w:type="paragraph" w:styleId="742">
    <w:name w:val="Caption"/>
    <w:basedOn w:val="726"/>
    <w:next w:val="7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3">
    <w:name w:val="annotation text"/>
    <w:basedOn w:val="726"/>
    <w:uiPriority w:val="99"/>
    <w:semiHidden/>
    <w:unhideWhenUsed/>
    <w:qFormat/>
  </w:style>
  <w:style w:type="paragraph" w:styleId="744">
    <w:name w:val="Body Text"/>
    <w:basedOn w:val="726"/>
    <w:next w:val="745"/>
    <w:uiPriority w:val="0"/>
    <w:qFormat/>
    <w:pPr>
      <w:spacing w:after="120"/>
      <w:tabs>
        <w:tab w:val="left" w:pos="420" w:leader="none"/>
      </w:tabs>
    </w:pPr>
  </w:style>
  <w:style w:type="paragraph" w:styleId="745" w:customStyle="1">
    <w:name w:val="_Style 2"/>
    <w:basedOn w:val="726"/>
    <w:next w:val="726"/>
    <w:uiPriority w:val="0"/>
    <w:qFormat/>
    <w:pPr>
      <w:ind w:firstLine="420"/>
    </w:pPr>
  </w:style>
  <w:style w:type="paragraph" w:styleId="746">
    <w:name w:val="Body Text Indent"/>
    <w:basedOn w:val="726"/>
    <w:uiPriority w:val="99"/>
    <w:unhideWhenUsed/>
    <w:qFormat/>
    <w:pPr>
      <w:ind w:firstLine="425"/>
      <w:spacing w:line="360" w:lineRule="auto"/>
    </w:pPr>
  </w:style>
  <w:style w:type="paragraph" w:styleId="747">
    <w:name w:val="Block Text"/>
    <w:basedOn w:val="726"/>
    <w:uiPriority w:val="0"/>
    <w:qFormat/>
    <w:pPr>
      <w:ind w:left="1440"/>
      <w:spacing w:after="120"/>
    </w:pPr>
  </w:style>
  <w:style w:type="paragraph" w:styleId="748">
    <w:name w:val="toc 5"/>
    <w:basedOn w:val="726"/>
    <w:next w:val="726"/>
    <w:uiPriority w:val="39"/>
    <w:unhideWhenUsed/>
    <w:qFormat/>
    <w:pPr>
      <w:ind w:left="1134"/>
      <w:spacing w:after="57"/>
    </w:pPr>
  </w:style>
  <w:style w:type="paragraph" w:styleId="749">
    <w:name w:val="toc 3"/>
    <w:basedOn w:val="726"/>
    <w:next w:val="726"/>
    <w:uiPriority w:val="39"/>
    <w:unhideWhenUsed/>
    <w:qFormat/>
    <w:pPr>
      <w:ind w:left="567"/>
      <w:spacing w:after="57"/>
    </w:pPr>
  </w:style>
  <w:style w:type="paragraph" w:styleId="750">
    <w:name w:val="Plain Text"/>
    <w:basedOn w:val="726"/>
    <w:uiPriority w:val="0"/>
    <w:qFormat/>
    <w:rPr>
      <w:rFonts w:ascii="宋体" w:hAnsi="Courier New"/>
    </w:rPr>
  </w:style>
  <w:style w:type="paragraph" w:styleId="751">
    <w:name w:val="toc 8"/>
    <w:basedOn w:val="726"/>
    <w:next w:val="726"/>
    <w:uiPriority w:val="39"/>
    <w:unhideWhenUsed/>
    <w:qFormat/>
    <w:pPr>
      <w:ind w:left="1984"/>
      <w:spacing w:after="57"/>
    </w:pPr>
  </w:style>
  <w:style w:type="paragraph" w:styleId="752">
    <w:name w:val="endnote text"/>
    <w:basedOn w:val="726"/>
    <w:link w:val="938"/>
    <w:uiPriority w:val="99"/>
    <w:semiHidden/>
    <w:unhideWhenUsed/>
    <w:qFormat/>
    <w:pPr>
      <w:spacing w:line="240" w:lineRule="auto"/>
    </w:pPr>
    <w:rPr>
      <w:sz w:val="20"/>
    </w:rPr>
  </w:style>
  <w:style w:type="paragraph" w:styleId="753">
    <w:name w:val="Footer"/>
    <w:basedOn w:val="726"/>
    <w:link w:val="811"/>
    <w:uiPriority w:val="99"/>
    <w:unhideWhenUsed/>
    <w:qFormat/>
    <w:pPr>
      <w:spacing w:line="240" w:lineRule="auto"/>
      <w:tabs>
        <w:tab w:val="center" w:pos="7143" w:leader="none"/>
        <w:tab w:val="right" w:pos="14287" w:leader="none"/>
      </w:tabs>
    </w:pPr>
  </w:style>
  <w:style w:type="paragraph" w:styleId="754">
    <w:name w:val="envelope return"/>
    <w:basedOn w:val="726"/>
    <w:uiPriority w:val="99"/>
    <w:unhideWhenUsed/>
    <w:qFormat/>
    <w:rPr>
      <w:rFonts w:ascii="Arial" w:hAnsi="Arial"/>
    </w:rPr>
  </w:style>
  <w:style w:type="paragraph" w:styleId="755">
    <w:name w:val="Header"/>
    <w:basedOn w:val="726"/>
    <w:link w:val="809"/>
    <w:uiPriority w:val="99"/>
    <w:unhideWhenUsed/>
    <w:qFormat/>
    <w:pPr>
      <w:spacing w:line="240" w:lineRule="auto"/>
      <w:tabs>
        <w:tab w:val="center" w:pos="7143" w:leader="none"/>
        <w:tab w:val="right" w:pos="14287" w:leader="none"/>
      </w:tabs>
    </w:pPr>
  </w:style>
  <w:style w:type="paragraph" w:styleId="756">
    <w:name w:val="toc 1"/>
    <w:basedOn w:val="726"/>
    <w:next w:val="726"/>
    <w:uiPriority w:val="0"/>
    <w:qFormat/>
  </w:style>
  <w:style w:type="paragraph" w:styleId="757">
    <w:name w:val="toc 4"/>
    <w:basedOn w:val="726"/>
    <w:next w:val="726"/>
    <w:uiPriority w:val="39"/>
    <w:unhideWhenUsed/>
    <w:qFormat/>
    <w:pPr>
      <w:ind w:left="850"/>
      <w:spacing w:after="57"/>
    </w:pPr>
  </w:style>
  <w:style w:type="paragraph" w:styleId="758">
    <w:name w:val="Subtitle"/>
    <w:basedOn w:val="726"/>
    <w:next w:val="726"/>
    <w:link w:val="804"/>
    <w:uiPriority w:val="11"/>
    <w:qFormat/>
    <w:pPr>
      <w:spacing w:before="200" w:after="200"/>
    </w:pPr>
    <w:rPr>
      <w:szCs w:val="24"/>
    </w:rPr>
  </w:style>
  <w:style w:type="paragraph" w:styleId="759">
    <w:name w:val="footnote text"/>
    <w:basedOn w:val="726"/>
    <w:uiPriority w:val="0"/>
    <w:qFormat/>
    <w:rPr>
      <w:sz w:val="18"/>
    </w:rPr>
  </w:style>
  <w:style w:type="paragraph" w:styleId="760">
    <w:name w:val="toc 6"/>
    <w:basedOn w:val="726"/>
    <w:next w:val="726"/>
    <w:uiPriority w:val="39"/>
    <w:unhideWhenUsed/>
    <w:qFormat/>
    <w:pPr>
      <w:ind w:left="1417"/>
      <w:spacing w:after="57"/>
    </w:pPr>
  </w:style>
  <w:style w:type="paragraph" w:styleId="761">
    <w:name w:val="table of figures"/>
    <w:basedOn w:val="726"/>
    <w:next w:val="726"/>
    <w:uiPriority w:val="99"/>
    <w:unhideWhenUsed/>
    <w:qFormat/>
  </w:style>
  <w:style w:type="paragraph" w:styleId="762">
    <w:name w:val="toc 2"/>
    <w:basedOn w:val="726"/>
    <w:next w:val="726"/>
    <w:uiPriority w:val="39"/>
    <w:unhideWhenUsed/>
    <w:qFormat/>
    <w:pPr>
      <w:ind w:left="283"/>
      <w:spacing w:after="57"/>
    </w:pPr>
  </w:style>
  <w:style w:type="paragraph" w:styleId="763">
    <w:name w:val="toc 9"/>
    <w:basedOn w:val="726"/>
    <w:next w:val="726"/>
    <w:uiPriority w:val="39"/>
    <w:unhideWhenUsed/>
    <w:qFormat/>
    <w:pPr>
      <w:ind w:left="2268"/>
      <w:spacing w:after="57"/>
    </w:pPr>
  </w:style>
  <w:style w:type="paragraph" w:styleId="764">
    <w:name w:val="Title"/>
    <w:basedOn w:val="726"/>
    <w:next w:val="726"/>
    <w:link w:val="803"/>
    <w:uiPriority w:val="10"/>
    <w:qFormat/>
    <w:pPr>
      <w:contextualSpacing/>
      <w:spacing w:before="300" w:after="200"/>
    </w:pPr>
    <w:rPr>
      <w:sz w:val="48"/>
      <w:szCs w:val="48"/>
    </w:rPr>
  </w:style>
  <w:style w:type="paragraph" w:styleId="765">
    <w:name w:val="Body Text First Indent"/>
    <w:basedOn w:val="744"/>
    <w:next w:val="766"/>
    <w:uiPriority w:val="0"/>
    <w:qFormat/>
    <w:pPr>
      <w:ind w:firstLine="420"/>
      <w:spacing w:after="0"/>
    </w:pPr>
    <w:rPr>
      <w:sz w:val="28"/>
      <w:szCs w:val="28"/>
    </w:rPr>
  </w:style>
  <w:style w:type="paragraph" w:styleId="766">
    <w:name w:val="Body Text First Indent 2"/>
    <w:basedOn w:val="746"/>
    <w:uiPriority w:val="0"/>
    <w:qFormat/>
    <w:pPr>
      <w:ind w:firstLine="420"/>
    </w:pPr>
    <w:rPr>
      <w:rFonts w:ascii="宋体" w:hAnsi="宋体"/>
    </w:rPr>
  </w:style>
  <w:style w:type="table" w:styleId="767">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endnote reference"/>
    <w:basedOn w:val="736"/>
    <w:uiPriority w:val="99"/>
    <w:semiHidden/>
    <w:unhideWhenUsed/>
    <w:qFormat/>
    <w:rPr>
      <w:vertAlign w:val="superscript"/>
    </w:rPr>
  </w:style>
  <w:style w:type="character" w:styleId="769">
    <w:name w:val="page number"/>
    <w:basedOn w:val="736"/>
    <w:uiPriority w:val="0"/>
    <w:qFormat/>
  </w:style>
  <w:style w:type="character" w:styleId="770">
    <w:name w:val="Hyperlink"/>
    <w:uiPriority w:val="99"/>
    <w:unhideWhenUsed/>
    <w:qFormat/>
    <w:rPr>
      <w:color w:val="0563c1" w:themeColor="hyperlink"/>
      <w:u w:val="single"/>
      <w14:textFill>
        <w14:solidFill>
          <w14:schemeClr w14:val="hlink"/>
        </w14:solidFill>
      </w14:textFill>
    </w:rPr>
  </w:style>
  <w:style w:type="character" w:styleId="771">
    <w:name w:val="footnote reference"/>
    <w:basedOn w:val="736"/>
    <w:uiPriority w:val="99"/>
    <w:unhideWhenUsed/>
    <w:qFormat/>
    <w:rPr>
      <w:vertAlign w:val="superscript"/>
    </w:rPr>
  </w:style>
  <w:style w:type="paragraph" w:styleId="772" w:customStyle="1">
    <w:name w:val="一级条标题"/>
    <w:basedOn w:val="773"/>
    <w:next w:val="77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2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4" w:customStyle="1">
    <w:name w:val="段"/>
    <w:basedOn w:val="775"/>
    <w:next w:val="726"/>
    <w:uiPriority w:val="0"/>
    <w:qFormat/>
    <w:pPr>
      <w:ind w:firstLine="200"/>
      <w:widowControl/>
    </w:pPr>
    <w:rPr>
      <w:rFonts w:ascii="宋体"/>
      <w:sz w:val="20"/>
      <w:szCs w:val="20"/>
    </w:rPr>
  </w:style>
  <w:style w:type="paragraph" w:styleId="775" w:customStyle="1">
    <w:name w:val="正文1"/>
    <w:basedOn w:val="776"/>
    <w:next w:val="781"/>
    <w:uiPriority w:val="0"/>
    <w:qFormat/>
  </w:style>
  <w:style w:type="paragraph" w:styleId="776" w:customStyle="1">
    <w:name w:val="正文111"/>
    <w:next w:val="777"/>
    <w:link w:val="964"/>
    <w:uiPriority w:val="0"/>
    <w:qFormat/>
    <w:pPr>
      <w:jc w:val="both"/>
      <w:widowControl w:val="off"/>
    </w:pPr>
    <w:rPr>
      <w:rFonts w:ascii="Times New Roman" w:hAnsi="Times New Roman" w:eastAsia="宋体" w:cs="Times New Roman"/>
      <w:sz w:val="21"/>
      <w:szCs w:val="24"/>
      <w:lang w:val="en-US" w:eastAsia="zh-CN" w:bidi="ar-SA"/>
    </w:rPr>
  </w:style>
  <w:style w:type="paragraph" w:styleId="777" w:customStyle="1">
    <w:name w:val="正文首行缩进11"/>
    <w:basedOn w:val="778"/>
    <w:uiPriority w:val="0"/>
    <w:qFormat/>
    <w:pPr>
      <w:ind w:firstLine="420"/>
    </w:pPr>
  </w:style>
  <w:style w:type="paragraph" w:styleId="778" w:customStyle="1">
    <w:name w:val="正文文本11"/>
    <w:basedOn w:val="779"/>
    <w:next w:val="776"/>
    <w:uiPriority w:val="0"/>
    <w:qFormat/>
    <w:pPr>
      <w:spacing w:after="120"/>
    </w:pPr>
  </w:style>
  <w:style w:type="paragraph" w:styleId="779" w:customStyle="1">
    <w:name w:val="正文11"/>
    <w:next w:val="780"/>
    <w:uiPriority w:val="0"/>
    <w:qFormat/>
    <w:pPr>
      <w:jc w:val="both"/>
      <w:widowControl w:val="off"/>
    </w:pPr>
    <w:rPr>
      <w:rFonts w:ascii="Times New Roman" w:hAnsi="Times New Roman" w:eastAsia="宋体" w:cs="Times New Roman"/>
      <w:sz w:val="21"/>
      <w:szCs w:val="24"/>
      <w:lang w:val="en-US" w:eastAsia="zh-CN" w:bidi="ar-SA"/>
    </w:rPr>
  </w:style>
  <w:style w:type="paragraph" w:styleId="780" w:customStyle="1">
    <w:name w:val="文本块1"/>
    <w:basedOn w:val="779"/>
    <w:uiPriority w:val="0"/>
    <w:qFormat/>
    <w:pPr>
      <w:ind w:left="567" w:right="454" w:firstLine="498"/>
      <w:jc w:val="left"/>
      <w:widowControl/>
    </w:pPr>
    <w:rPr>
      <w:rFonts w:ascii="仿宋_GB2312" w:eastAsia="仿宋_GB2312"/>
      <w:sz w:val="30"/>
      <w:szCs w:val="20"/>
    </w:rPr>
  </w:style>
  <w:style w:type="paragraph" w:styleId="781" w:customStyle="1">
    <w:name w:val="正文文本1"/>
    <w:basedOn w:val="775"/>
    <w:next w:val="739"/>
    <w:uiPriority w:val="0"/>
    <w:qFormat/>
    <w:pPr>
      <w:spacing w:after="120"/>
    </w:pPr>
    <w:rPr>
      <w:lang w:eastAsia="en-US"/>
    </w:rPr>
  </w:style>
  <w:style w:type="paragraph" w:styleId="782" w:customStyle="1">
    <w:name w:val="正文文本缩进1"/>
    <w:basedOn w:val="779"/>
    <w:next w:val="783"/>
    <w:uiPriority w:val="0"/>
    <w:qFormat/>
    <w:pPr>
      <w:ind w:left="420"/>
      <w:spacing w:after="120"/>
    </w:pPr>
  </w:style>
  <w:style w:type="paragraph" w:styleId="783" w:customStyle="1">
    <w:name w:val="寄信人地址1"/>
    <w:basedOn w:val="779"/>
    <w:uiPriority w:val="0"/>
    <w:qFormat/>
    <w:rPr>
      <w:rFonts w:ascii="Arial" w:hAnsi="Arial"/>
    </w:rPr>
  </w:style>
  <w:style w:type="paragraph" w:styleId="784" w:customStyle="1">
    <w:name w:val="正文文本 21"/>
    <w:basedOn w:val="779"/>
    <w:uiPriority w:val="0"/>
    <w:qFormat/>
    <w:pPr>
      <w:spacing w:after="120" w:line="480" w:lineRule="auto"/>
    </w:pPr>
  </w:style>
  <w:style w:type="paragraph" w:styleId="785" w:customStyle="1">
    <w:name w:val="正文首行缩进1"/>
    <w:basedOn w:val="778"/>
    <w:next w:val="786"/>
    <w:uiPriority w:val="0"/>
    <w:qFormat/>
    <w:pPr>
      <w:ind w:firstLine="200"/>
      <w:spacing w:line="360" w:lineRule="auto"/>
    </w:pPr>
    <w:rPr>
      <w:rFonts w:ascii="仿宋_GB2312" w:eastAsia="仿宋_GB2312"/>
      <w:sz w:val="30"/>
      <w:szCs w:val="30"/>
    </w:rPr>
  </w:style>
  <w:style w:type="paragraph" w:styleId="786" w:customStyle="1">
    <w:name w:val="正文首行缩进 21"/>
    <w:basedOn w:val="782"/>
    <w:next w:val="776"/>
    <w:uiPriority w:val="0"/>
    <w:qFormat/>
    <w:pPr>
      <w:ind w:left="0" w:firstLine="420"/>
      <w:spacing w:after="0" w:line="360" w:lineRule="auto"/>
    </w:pPr>
    <w:rPr>
      <w:rFonts w:ascii="宋体" w:hAnsi="宋体"/>
    </w:rPr>
  </w:style>
  <w:style w:type="paragraph" w:styleId="787" w:customStyle="1">
    <w:name w:val="标题 21"/>
    <w:basedOn w:val="776"/>
    <w:next w:val="779"/>
    <w:uiPriority w:val="0"/>
    <w:qFormat/>
    <w:pPr>
      <w:ind w:firstLine="600"/>
      <w:spacing w:line="520" w:lineRule="exact"/>
      <w:outlineLvl w:val="1"/>
    </w:pPr>
    <w:rPr>
      <w:rFonts w:ascii="黑体" w:hAnsi="黑体" w:eastAsia="黑体"/>
      <w:sz w:val="30"/>
      <w:szCs w:val="30"/>
    </w:rPr>
  </w:style>
  <w:style w:type="paragraph" w:styleId="788" w:customStyle="1">
    <w:name w:val="脚注文本1"/>
    <w:basedOn w:val="776"/>
    <w:next w:val="789"/>
    <w:uiPriority w:val="0"/>
    <w:qFormat/>
    <w:pPr>
      <w:jc w:val="left"/>
    </w:pPr>
    <w:rPr>
      <w:rFonts w:ascii="宋体" w:eastAsia="Times New Roman"/>
      <w:sz w:val="18"/>
      <w:szCs w:val="18"/>
    </w:rPr>
  </w:style>
  <w:style w:type="paragraph" w:styleId="789" w:customStyle="1">
    <w:name w:val="索引 51"/>
    <w:basedOn w:val="775"/>
    <w:next w:val="775"/>
    <w:uiPriority w:val="0"/>
    <w:qFormat/>
    <w:pPr>
      <w:ind w:left="798"/>
      <w:jc w:val="left"/>
    </w:pPr>
    <w:rPr>
      <w:rFonts w:ascii="Calibri" w:hAnsi="Calibri"/>
    </w:rPr>
  </w:style>
  <w:style w:type="paragraph" w:styleId="790" w:customStyle="1">
    <w:name w:val="PlainText1"/>
    <w:basedOn w:val="726"/>
    <w:uiPriority w:val="0"/>
    <w:qFormat/>
    <w:rPr>
      <w:rFonts w:ascii="宋体" w:hAnsi="Courier New"/>
    </w:rPr>
  </w:style>
  <w:style w:type="paragraph" w:styleId="791"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792" w:customStyle="1">
    <w:name w:val="Heading 1 Char"/>
    <w:basedOn w:val="736"/>
    <w:uiPriority w:val="9"/>
    <w:qFormat/>
    <w:rPr>
      <w:rFonts w:ascii="Arial" w:hAnsi="Arial" w:eastAsia="Arial" w:cs="Arial"/>
      <w:sz w:val="40"/>
      <w:szCs w:val="40"/>
    </w:rPr>
  </w:style>
  <w:style w:type="character" w:styleId="793" w:customStyle="1">
    <w:name w:val="Heading 2 Char"/>
    <w:basedOn w:val="736"/>
    <w:uiPriority w:val="9"/>
    <w:qFormat/>
    <w:rPr>
      <w:rFonts w:ascii="Arial" w:hAnsi="Arial" w:eastAsia="Arial" w:cs="Arial"/>
      <w:sz w:val="34"/>
    </w:rPr>
  </w:style>
  <w:style w:type="character" w:styleId="794" w:customStyle="1">
    <w:name w:val="Heading 3 Char"/>
    <w:basedOn w:val="736"/>
    <w:uiPriority w:val="9"/>
    <w:qFormat/>
    <w:rPr>
      <w:rFonts w:ascii="Arial" w:hAnsi="Arial" w:eastAsia="Arial" w:cs="Arial"/>
      <w:sz w:val="30"/>
      <w:szCs w:val="30"/>
    </w:rPr>
  </w:style>
  <w:style w:type="character" w:styleId="795" w:customStyle="1">
    <w:name w:val="Heading 4 Char"/>
    <w:basedOn w:val="736"/>
    <w:uiPriority w:val="9"/>
    <w:qFormat/>
    <w:rPr>
      <w:rFonts w:ascii="Arial" w:hAnsi="Arial" w:eastAsia="Arial" w:cs="Arial"/>
      <w:b/>
      <w:bCs/>
      <w:sz w:val="26"/>
      <w:szCs w:val="26"/>
    </w:rPr>
  </w:style>
  <w:style w:type="character" w:styleId="796" w:customStyle="1">
    <w:name w:val="Heading 5 Char"/>
    <w:basedOn w:val="736"/>
    <w:uiPriority w:val="9"/>
    <w:qFormat/>
    <w:rPr>
      <w:rFonts w:ascii="Arial" w:hAnsi="Arial" w:eastAsia="Arial" w:cs="Arial"/>
      <w:b/>
      <w:bCs/>
      <w:sz w:val="24"/>
      <w:szCs w:val="24"/>
    </w:rPr>
  </w:style>
  <w:style w:type="character" w:styleId="797" w:customStyle="1">
    <w:name w:val="标题 6 字符"/>
    <w:basedOn w:val="736"/>
    <w:link w:val="732"/>
    <w:uiPriority w:val="9"/>
    <w:qFormat/>
    <w:rPr>
      <w:rFonts w:ascii="Arial" w:hAnsi="Arial" w:eastAsia="Arial" w:cs="Arial"/>
      <w:b/>
      <w:bCs/>
      <w:sz w:val="22"/>
      <w:szCs w:val="22"/>
    </w:rPr>
  </w:style>
  <w:style w:type="character" w:styleId="798" w:customStyle="1">
    <w:name w:val="标题 7 字符"/>
    <w:basedOn w:val="736"/>
    <w:link w:val="733"/>
    <w:uiPriority w:val="9"/>
    <w:qFormat/>
    <w:rPr>
      <w:rFonts w:ascii="Arial" w:hAnsi="Arial" w:eastAsia="Arial" w:cs="Arial"/>
      <w:b/>
      <w:bCs/>
      <w:i/>
      <w:iCs/>
      <w:sz w:val="22"/>
      <w:szCs w:val="22"/>
    </w:rPr>
  </w:style>
  <w:style w:type="character" w:styleId="799" w:customStyle="1">
    <w:name w:val="标题 8 字符"/>
    <w:basedOn w:val="736"/>
    <w:link w:val="734"/>
    <w:uiPriority w:val="9"/>
    <w:qFormat/>
    <w:rPr>
      <w:rFonts w:ascii="Arial" w:hAnsi="Arial" w:eastAsia="Arial" w:cs="Arial"/>
      <w:i/>
      <w:iCs/>
      <w:sz w:val="22"/>
      <w:szCs w:val="22"/>
    </w:rPr>
  </w:style>
  <w:style w:type="character" w:styleId="800" w:customStyle="1">
    <w:name w:val="标题 9 字符"/>
    <w:basedOn w:val="736"/>
    <w:link w:val="735"/>
    <w:uiPriority w:val="9"/>
    <w:qFormat/>
    <w:rPr>
      <w:rFonts w:ascii="Arial" w:hAnsi="Arial" w:eastAsia="Arial" w:cs="Arial"/>
      <w:i/>
      <w:iCs/>
      <w:sz w:val="21"/>
      <w:szCs w:val="21"/>
    </w:rPr>
  </w:style>
  <w:style w:type="paragraph" w:styleId="801">
    <w:name w:val="List Paragraph"/>
    <w:basedOn w:val="726"/>
    <w:uiPriority w:val="34"/>
    <w:qFormat/>
    <w:pPr>
      <w:contextualSpacing/>
      <w:ind w:left="720"/>
    </w:p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字符"/>
    <w:basedOn w:val="736"/>
    <w:link w:val="764"/>
    <w:uiPriority w:val="10"/>
    <w:qFormat/>
    <w:rPr>
      <w:sz w:val="48"/>
      <w:szCs w:val="48"/>
    </w:rPr>
  </w:style>
  <w:style w:type="character" w:styleId="804" w:customStyle="1">
    <w:name w:val="副标题 字符"/>
    <w:basedOn w:val="736"/>
    <w:link w:val="758"/>
    <w:uiPriority w:val="11"/>
    <w:qFormat/>
    <w:rPr>
      <w:sz w:val="24"/>
      <w:szCs w:val="24"/>
    </w:rPr>
  </w:style>
  <w:style w:type="paragraph" w:styleId="805">
    <w:name w:val="Quote"/>
    <w:basedOn w:val="726"/>
    <w:next w:val="726"/>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26"/>
    <w:next w:val="726"/>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页眉 字符"/>
    <w:basedOn w:val="736"/>
    <w:link w:val="755"/>
    <w:uiPriority w:val="99"/>
    <w:qFormat/>
  </w:style>
  <w:style w:type="character" w:styleId="810" w:customStyle="1">
    <w:name w:val="Footer Char"/>
    <w:basedOn w:val="736"/>
    <w:uiPriority w:val="99"/>
    <w:qFormat/>
  </w:style>
  <w:style w:type="character" w:styleId="811" w:customStyle="1">
    <w:name w:val="页脚 字符"/>
    <w:link w:val="753"/>
    <w:uiPriority w:val="99"/>
    <w:qFormat/>
  </w:style>
  <w:style w:type="table" w:styleId="812"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3"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1" w:customStyle="1">
    <w:name w:val="Grid Table 4 - Accent 2"/>
    <w:basedOn w:val="7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2" w:customStyle="1">
    <w:name w:val="Grid Table 4 - Accent 3"/>
    <w:basedOn w:val="7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3" w:customStyle="1">
    <w:name w:val="Grid Table 4 - Accent 4"/>
    <w:basedOn w:val="7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4" w:customStyle="1">
    <w:name w:val="Grid Table 4 - Accent 5"/>
    <w:basedOn w:val="7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5" w:customStyle="1">
    <w:name w:val="Grid Table 4 - Accent 6"/>
    <w:basedOn w:val="7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6"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8"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9"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0"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1"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2"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3"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3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7" w:customStyle="1">
    <w:name w:val="Grid Table 6 Colorful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6 Colorful - Accent 6"/>
    <w:basedOn w:val="7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3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3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3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3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3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3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3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6" w:customStyle="1">
    <w:name w:val="List Table 2 - Accent 2"/>
    <w:basedOn w:val="7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7" w:customStyle="1">
    <w:name w:val="List Table 2 - Accent 3"/>
    <w:basedOn w:val="7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8" w:customStyle="1">
    <w:name w:val="List Table 2 - Accent 4"/>
    <w:basedOn w:val="7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9" w:customStyle="1">
    <w:name w:val="List Table 2 - Accent 5"/>
    <w:basedOn w:val="7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0" w:customStyle="1">
    <w:name w:val="List Table 2 - Accent 6"/>
    <w:basedOn w:val="7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1"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3 - Accent 2"/>
    <w:basedOn w:val="7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3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8"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3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3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4" w:customStyle="1">
    <w:name w:val="List Table 6 Colorful - Accent 2"/>
    <w:basedOn w:val="73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5" w:customStyle="1">
    <w:name w:val="List Table 6 Colorful - Accent 3"/>
    <w:basedOn w:val="73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6" w:customStyle="1">
    <w:name w:val="List Table 6 Colorful - Accent 4"/>
    <w:basedOn w:val="73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7" w:customStyle="1">
    <w:name w:val="List Table 6 Colorful - Accent 5"/>
    <w:basedOn w:val="73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8" w:customStyle="1">
    <w:name w:val="List Table 6 Colorful - Accent 6"/>
    <w:basedOn w:val="73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9"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3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3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3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3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3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3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3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Bordered &amp; Lined - Accent 2"/>
    <w:basedOn w:val="7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Bordered &amp; Lined - Accent 3"/>
    <w:basedOn w:val="7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Bordered &amp; Lined - Accent 4"/>
    <w:basedOn w:val="7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Bordered &amp; Lined - Accent 5"/>
    <w:basedOn w:val="73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Bordered &amp; Lined - Accent 6"/>
    <w:basedOn w:val="7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2" w:customStyle="1">
    <w:name w:val="Bordered - Accent 2"/>
    <w:basedOn w:val="7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3" w:customStyle="1">
    <w:name w:val="Bordered - Accent 3"/>
    <w:basedOn w:val="7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4" w:customStyle="1">
    <w:name w:val="Bordered - Accent 4"/>
    <w:basedOn w:val="7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5" w:customStyle="1">
    <w:name w:val="Bordered - Accent 5"/>
    <w:basedOn w:val="7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6" w:customStyle="1">
    <w:name w:val="Bordered - Accent 6"/>
    <w:basedOn w:val="7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7" w:customStyle="1">
    <w:name w:val="Footnote Text Char"/>
    <w:uiPriority w:val="99"/>
    <w:qFormat/>
    <w:rPr>
      <w:sz w:val="18"/>
    </w:rPr>
  </w:style>
  <w:style w:type="character" w:styleId="938" w:customStyle="1">
    <w:name w:val="尾注文本 字符"/>
    <w:link w:val="752"/>
    <w:uiPriority w:val="99"/>
    <w:qFormat/>
    <w:rPr>
      <w:sz w:val="20"/>
    </w:rPr>
  </w:style>
  <w:style w:type="paragraph" w:styleId="939" w:customStyle="1">
    <w:name w:val="TOC 标题1"/>
    <w:uiPriority w:val="39"/>
    <w:unhideWhenUsed/>
    <w:qFormat/>
    <w:rPr>
      <w:rFonts w:ascii="Times New Roman" w:hAnsi="Times New Roman" w:eastAsia="宋体" w:cs="Times New Roman"/>
      <w:lang w:val="en-US" w:eastAsia="zh-CN" w:bidi="ar-SA"/>
    </w:rPr>
  </w:style>
  <w:style w:type="character" w:styleId="940" w:customStyle="1">
    <w:name w:val="标题 1 字符"/>
    <w:link w:val="727"/>
    <w:uiPriority w:val="0"/>
    <w:qFormat/>
    <w:rPr>
      <w:rFonts w:ascii="Arial" w:hAnsi="Arial" w:eastAsia="宋体" w:cs="微软雅黑"/>
      <w:b/>
      <w:sz w:val="36"/>
      <w:szCs w:val="32"/>
      <w:lang w:bidi="ar-SA"/>
    </w:rPr>
  </w:style>
  <w:style w:type="character" w:styleId="941" w:customStyle="1">
    <w:name w:val="标题 2 字符"/>
    <w:link w:val="728"/>
    <w:uiPriority w:val="9"/>
    <w:qFormat/>
    <w:rPr>
      <w:rFonts w:ascii="Arial" w:hAnsi="Arial" w:eastAsia="宋体" w:cs="Times New Roman"/>
      <w:b/>
      <w:bCs/>
      <w:sz w:val="21"/>
      <w:szCs w:val="21"/>
      <w:lang w:bidi="ar-SA"/>
    </w:rPr>
  </w:style>
  <w:style w:type="character" w:styleId="942" w:customStyle="1">
    <w:name w:val="标题 3 字符"/>
    <w:link w:val="729"/>
    <w:uiPriority w:val="0"/>
    <w:qFormat/>
    <w:rPr>
      <w:rFonts w:ascii="Arial" w:hAnsi="Arial" w:eastAsia="宋体" w:cstheme="minorBidi"/>
      <w:b/>
      <w:sz w:val="28"/>
      <w:szCs w:val="22"/>
      <w:lang w:val="en-US" w:eastAsia="en-US" w:bidi="ar-SA"/>
    </w:rPr>
  </w:style>
  <w:style w:type="character" w:styleId="943" w:customStyle="1">
    <w:name w:val="标题 4 字符"/>
    <w:link w:val="730"/>
    <w:uiPriority w:val="0"/>
    <w:qFormat/>
    <w:rPr>
      <w:rFonts w:ascii="Arial" w:hAnsi="Arial" w:eastAsia="宋体"/>
      <w:b/>
      <w:sz w:val="24"/>
      <w:szCs w:val="20"/>
      <w:lang w:val="zh-CN"/>
    </w:rPr>
  </w:style>
  <w:style w:type="character" w:styleId="944" w:customStyle="1">
    <w:name w:val="标题 5 字符"/>
    <w:link w:val="731"/>
    <w:uiPriority w:val="0"/>
    <w:qFormat/>
    <w:rPr>
      <w:rFonts w:eastAsia="宋体"/>
      <w:b/>
      <w:sz w:val="24"/>
    </w:rPr>
  </w:style>
  <w:style w:type="paragraph" w:styleId="945" w:customStyle="1">
    <w:name w:val="标题 111"/>
    <w:basedOn w:val="779"/>
    <w:next w:val="779"/>
    <w:uiPriority w:val="0"/>
    <w:qFormat/>
    <w:pPr>
      <w:jc w:val="center"/>
      <w:keepLines/>
      <w:keepNext/>
      <w:spacing w:line="578" w:lineRule="auto"/>
      <w:outlineLvl w:val="0"/>
    </w:pPr>
    <w:rPr>
      <w:rFonts w:eastAsia="新宋体"/>
      <w:b/>
      <w:bCs/>
      <w:sz w:val="30"/>
      <w:szCs w:val="44"/>
    </w:rPr>
  </w:style>
  <w:style w:type="paragraph" w:styleId="946" w:customStyle="1">
    <w:name w:val="目录 11"/>
    <w:basedOn w:val="739"/>
    <w:next w:val="739"/>
    <w:uiPriority w:val="0"/>
    <w:qFormat/>
    <w:pPr>
      <w:jc w:val="left"/>
      <w:spacing w:after="100" w:line="259" w:lineRule="auto"/>
      <w:widowControl/>
    </w:pPr>
    <w:rPr>
      <w:rFonts w:ascii="Calibri" w:hAnsi="Calibri"/>
      <w:sz w:val="22"/>
      <w:szCs w:val="22"/>
    </w:rPr>
  </w:style>
  <w:style w:type="paragraph" w:styleId="947" w:customStyle="1">
    <w:name w:val="正文文本111"/>
    <w:basedOn w:val="739"/>
    <w:next w:val="739"/>
    <w:uiPriority w:val="0"/>
    <w:qFormat/>
  </w:style>
  <w:style w:type="paragraph" w:styleId="948" w:customStyle="1">
    <w:name w:val="UserStyle_0"/>
    <w:next w:val="726"/>
    <w:uiPriority w:val="0"/>
    <w:qFormat/>
    <w:rPr>
      <w:rFonts w:ascii="Times New Roman" w:hAnsi="Times New Roman" w:eastAsia="宋体" w:cs="Times New Roman"/>
      <w:color w:val="000000"/>
      <w:sz w:val="24"/>
      <w:szCs w:val="24"/>
      <w:lang w:val="en-US" w:eastAsia="zh-CN" w:bidi="ar-SA"/>
    </w:rPr>
  </w:style>
  <w:style w:type="paragraph" w:styleId="949" w:customStyle="1">
    <w:name w:val="标题 11"/>
    <w:basedOn w:val="775"/>
    <w:next w:val="775"/>
    <w:uiPriority w:val="0"/>
    <w:qFormat/>
    <w:pPr>
      <w:jc w:val="center"/>
      <w:keepLines/>
      <w:keepNext/>
      <w:spacing w:line="578" w:lineRule="auto"/>
      <w:outlineLvl w:val="0"/>
    </w:pPr>
    <w:rPr>
      <w:rFonts w:eastAsia="新宋体"/>
      <w:b/>
      <w:bCs/>
      <w:sz w:val="30"/>
      <w:szCs w:val="44"/>
    </w:rPr>
  </w:style>
  <w:style w:type="paragraph" w:styleId="950" w:customStyle="1">
    <w:name w:val="日期1"/>
    <w:basedOn w:val="775"/>
    <w:next w:val="775"/>
    <w:uiPriority w:val="0"/>
    <w:qFormat/>
    <w:rPr>
      <w:rFonts w:eastAsia="仿宋_GB2312"/>
      <w:sz w:val="28"/>
      <w:szCs w:val="20"/>
    </w:rPr>
  </w:style>
  <w:style w:type="paragraph" w:styleId="951" w:customStyle="1">
    <w:name w:val="普通(网站)11"/>
    <w:basedOn w:val="775"/>
    <w:uiPriority w:val="0"/>
    <w:qFormat/>
    <w:pPr>
      <w:jc w:val="left"/>
      <w:spacing w:before="100" w:beforeAutospacing="1" w:after="100" w:afterAutospacing="1"/>
      <w:widowControl/>
    </w:pPr>
    <w:rPr>
      <w:rFonts w:ascii="宋体" w:hAnsi="宋体"/>
      <w:sz w:val="24"/>
    </w:rPr>
  </w:style>
  <w:style w:type="paragraph" w:styleId="952" w:customStyle="1">
    <w:name w:val="页眉1"/>
    <w:basedOn w:val="775"/>
    <w:uiPriority w:val="0"/>
    <w:qFormat/>
    <w:pPr>
      <w:jc w:val="center"/>
      <w:tabs>
        <w:tab w:val="center" w:pos="4153" w:leader="none"/>
        <w:tab w:val="right" w:pos="8306" w:leader="none"/>
      </w:tabs>
      <w:pBdr>
        <w:bottom w:val="single" w:color="000000" w:sz="6" w:space="1"/>
      </w:pBdr>
    </w:pPr>
    <w:rPr>
      <w:sz w:val="18"/>
      <w:szCs w:val="18"/>
    </w:rPr>
  </w:style>
  <w:style w:type="paragraph" w:styleId="953" w:customStyle="1">
    <w:name w:val="页脚1"/>
    <w:basedOn w:val="775"/>
    <w:uiPriority w:val="0"/>
    <w:qFormat/>
    <w:pPr>
      <w:jc w:val="left"/>
      <w:tabs>
        <w:tab w:val="center" w:pos="4153" w:leader="none"/>
        <w:tab w:val="right" w:pos="8306" w:leader="none"/>
      </w:tabs>
    </w:pPr>
    <w:rPr>
      <w:sz w:val="18"/>
      <w:szCs w:val="18"/>
    </w:rPr>
  </w:style>
  <w:style w:type="character" w:styleId="954" w:customStyle="1">
    <w:name w:val="页码1"/>
    <w:uiPriority w:val="0"/>
    <w:qFormat/>
  </w:style>
  <w:style w:type="paragraph" w:styleId="955" w:customStyle="1">
    <w:name w:val="纯文本1"/>
    <w:basedOn w:val="776"/>
    <w:uiPriority w:val="0"/>
    <w:qFormat/>
    <w:rPr>
      <w:rFonts w:ascii="宋体" w:hAnsi="Courier New"/>
      <w:szCs w:val="21"/>
    </w:rPr>
  </w:style>
  <w:style w:type="paragraph" w:styleId="956" w:customStyle="1">
    <w:name w:val="表格1"/>
    <w:uiPriority w:val="0"/>
    <w:qFormat/>
    <w:rPr>
      <w:rFonts w:ascii="Calibri" w:hAnsi="Calibri" w:eastAsia="宋体" w:cs="Times New Roman"/>
      <w:sz w:val="21"/>
      <w:szCs w:val="22"/>
      <w:lang w:val="en-US" w:eastAsia="zh-CN" w:bidi="ar-SA"/>
    </w:rPr>
  </w:style>
  <w:style w:type="character" w:styleId="957" w:customStyle="1">
    <w:name w:val="UserStyle_3"/>
    <w:uiPriority w:val="0"/>
    <w:qFormat/>
    <w:rPr>
      <w:rFonts w:ascii="Calibri Light" w:hAnsi="Calibri Light" w:eastAsia="宋体" w:cs="Times New Roman"/>
      <w:b/>
      <w:bCs/>
      <w:sz w:val="24"/>
      <w:szCs w:val="24"/>
    </w:rPr>
  </w:style>
  <w:style w:type="character" w:styleId="958" w:customStyle="1">
    <w:name w:val="fontstyle01"/>
    <w:basedOn w:val="736"/>
    <w:uiPriority w:val="0"/>
    <w:qFormat/>
    <w:rPr>
      <w:rFonts w:hint="eastAsia" w:ascii="宋体" w:hAnsi="宋体" w:eastAsia="宋体"/>
      <w:color w:val="000000"/>
      <w:sz w:val="22"/>
      <w:szCs w:val="22"/>
    </w:rPr>
  </w:style>
  <w:style w:type="paragraph" w:styleId="95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正文112"/>
    <w:next w:val="961"/>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文本12"/>
    <w:basedOn w:val="960"/>
    <w:next w:val="962"/>
    <w:uiPriority w:val="0"/>
    <w:qFormat/>
    <w:pPr>
      <w:spacing w:after="120"/>
    </w:pPr>
  </w:style>
  <w:style w:type="paragraph" w:styleId="962" w:customStyle="1">
    <w:name w:val="标题 41"/>
    <w:basedOn w:val="963"/>
    <w:next w:val="739"/>
    <w:uiPriority w:val="0"/>
    <w:qFormat/>
    <w:pPr>
      <w:keepLines/>
      <w:keepNext/>
      <w:spacing w:before="320"/>
      <w:outlineLvl w:val="3"/>
    </w:pPr>
    <w:rPr>
      <w:rFonts w:ascii="Arial" w:hAnsi="Arial" w:eastAsia="Arial"/>
      <w:b/>
      <w:bCs/>
      <w:sz w:val="26"/>
      <w:szCs w:val="26"/>
    </w:rPr>
  </w:style>
  <w:style w:type="paragraph" w:styleId="963" w:customStyle="1">
    <w:name w:val="标题1"/>
    <w:basedOn w:val="776"/>
    <w:next w:val="960"/>
    <w:uiPriority w:val="0"/>
    <w:qFormat/>
    <w:pPr>
      <w:contextualSpacing/>
      <w:spacing w:before="300" w:after="200"/>
    </w:pPr>
    <w:rPr>
      <w:sz w:val="48"/>
      <w:szCs w:val="48"/>
    </w:rPr>
  </w:style>
  <w:style w:type="character" w:styleId="964" w:customStyle="1">
    <w:name w:val="NormalCharacter1"/>
    <w:link w:val="776"/>
    <w:uiPriority w:val="0"/>
    <w:semiHidden/>
    <w:qFormat/>
    <w:rPr>
      <w:rFonts w:hint="default" w:ascii="Times New Roman" w:hAnsi="Times New Roman" w:eastAsia="宋体" w:cs="Times New Roman"/>
      <w:sz w:val="21"/>
      <w:szCs w:val="24"/>
      <w:lang w:val="en-US" w:eastAsia="zh-CN" w:bidi="ar-SA"/>
    </w:rPr>
  </w:style>
  <w:style w:type="paragraph" w:styleId="965" w:customStyle="1">
    <w:name w:val="Table Paragraph"/>
    <w:basedOn w:val="726"/>
    <w:uiPriority w:val="1"/>
    <w:qFormat/>
    <w:rPr>
      <w:rFonts w:ascii="宋体" w:hAnsi="宋体" w:cs="宋体"/>
      <w:lang w:val="zh-CN" w:bidi="zh-CN"/>
    </w:rPr>
  </w:style>
  <w:style w:type="paragraph" w:styleId="966" w:customStyle="1">
    <w:name w:val="目录 111"/>
    <w:basedOn w:val="726"/>
    <w:next w:val="726"/>
    <w:uiPriority w:val="39"/>
    <w:unhideWhenUsed/>
    <w:qFormat/>
    <w:pPr>
      <w:spacing w:before="120" w:after="120" w:line="360" w:lineRule="auto"/>
      <w:tabs>
        <w:tab w:val="right" w:pos="8296" w:leader="dot"/>
      </w:tabs>
    </w:pPr>
    <w:rPr>
      <w:rFonts w:ascii="Calibri" w:hAnsi="Calibri" w:cs="Calibri"/>
      <w:b/>
      <w:bCs/>
      <w:caps/>
      <w:sz w:val="20"/>
    </w:rPr>
  </w:style>
  <w:style w:type="paragraph" w:styleId="967" w:customStyle="1">
    <w:name w:val="索引 41"/>
    <w:next w:val="968"/>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968" w:customStyle="1">
    <w:name w:val="正文13"/>
    <w:next w:val="967"/>
    <w:uiPriority w:val="0"/>
    <w:qFormat/>
    <w:pPr>
      <w:jc w:val="both"/>
      <w:widowControl w:val="off"/>
    </w:pPr>
    <w:rPr>
      <w:rFonts w:ascii="Times New Roman" w:hAnsi="Times New Roman" w:eastAsia="宋体" w:cs="Times New Roman"/>
      <w:sz w:val="21"/>
      <w:szCs w:val="24"/>
      <w:lang w:val="en-US" w:eastAsia="zh-CN" w:bidi="ar-SA"/>
    </w:rPr>
  </w:style>
  <w:style w:type="table" w:styleId="969" w:customStyle="1">
    <w:name w:val="Table Normal"/>
    <w:uiPriority w:val="0"/>
    <w:semiHidden/>
    <w:unhideWhenUsed/>
    <w:qFormat/>
    <w:tblPr>
      <w:tblCellMar>
        <w:left w:w="0" w:type="dxa"/>
        <w:top w:w="0" w:type="dxa"/>
        <w:right w:w="0" w:type="dxa"/>
        <w:bottom w:w="0" w:type="dxa"/>
      </w:tblCellMar>
    </w:tblPr>
  </w:style>
  <w:style w:type="paragraph" w:styleId="970" w:customStyle="1">
    <w:name w:val="Body text|1"/>
    <w:basedOn w:val="726"/>
    <w:uiPriority w:val="0"/>
    <w:qFormat/>
    <w:pPr>
      <w:ind w:firstLine="400"/>
      <w:spacing w:after="220" w:line="408" w:lineRule="auto"/>
      <w:widowControl w:val="off"/>
    </w:pPr>
    <w:rPr>
      <w:rFonts w:ascii="宋体" w:hAnsi="宋体" w:cs="宋体"/>
      <w:sz w:val="30"/>
      <w:szCs w:val="30"/>
      <w:lang w:val="zh-TW" w:eastAsia="zh-TW" w:bidi="zh-TW"/>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694"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134"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5009"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5470"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966" TargetMode="External"/><Relationship Id="rId1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428" TargetMode="External"/><Relationship Id="rId1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846" TargetMode="External"/><Relationship Id="rId20" Type="http://schemas.openxmlformats.org/officeDocument/2006/relationships/hyperlink" Target="http://www.creditchina.gov.cn/" TargetMode="External"/><Relationship Id="rId21" Type="http://schemas.openxmlformats.org/officeDocument/2006/relationships/hyperlink" Target="http://www.ccgp.gov.cn/" TargetMode="External"/><Relationship Id="rId22" Type="http://schemas.openxmlformats.org/officeDocument/2006/relationships/hyperlink" Target="http://www.xuzhoucredit.gov.cn/" TargetMode="External"/><Relationship Id="rId23" Type="http://schemas.openxmlformats.org/officeDocument/2006/relationships/hyperlink" Target="http://www.ccgp.gov.cn/search/c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陈珂</cp:lastModifiedBy>
  <cp:revision>19</cp:revision>
  <dcterms:created xsi:type="dcterms:W3CDTF">2023-04-12T07:00:00Z</dcterms:created>
  <dcterms:modified xsi:type="dcterms:W3CDTF">2024-12-13T04:22:00Z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B183EDDB2D4241F6B85C9E34EA88F589_13</vt:lpwstr>
  </property>
</Properties>
</file>