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2024年城南街道辖区内征地服务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JSZC-320682-NTJW-C2024-0039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元/亩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南京丰基土地科技开发有限公司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457.00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96.33</w:t>
            </w: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博雅达勘测规划设计集团有限公司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468.68 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79.42</w:t>
            </w: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南京图能地产科技有限公司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475.00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74.03</w:t>
            </w: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49DE75F-5F93-4211-B689-02BC8CFD50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C7E78C-363E-4D8E-8D9F-5EB3F8682F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NmQ0ZmU4N2Y0NjJlOGZkMDg1ODcyYzU5ZGI5Ym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CFB4B49"/>
    <w:rsid w:val="59076424"/>
    <w:rsid w:val="5B3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adjustRightInd w:val="0"/>
      <w:snapToGrid w:val="0"/>
      <w:spacing w:after="0" w:line="360" w:lineRule="auto"/>
      <w:ind w:firstLine="420" w:firstLineChars="200"/>
      <w:jc w:val="left"/>
      <w:textAlignment w:val="baseline"/>
    </w:pPr>
    <w:rPr>
      <w:rFonts w:ascii="宋体" w:hAnsi="宋体" w:eastAsia="楷体_GB2312" w:cs="Times New Roman"/>
      <w:szCs w:val="28"/>
    </w:rPr>
  </w:style>
  <w:style w:type="paragraph" w:styleId="3">
    <w:name w:val="Body Text"/>
    <w:basedOn w:val="1"/>
    <w:next w:val="1"/>
    <w:autoRedefine/>
    <w:qFormat/>
    <w:uiPriority w:val="0"/>
    <w:rPr>
      <w:rFonts w:ascii="宋体"/>
      <w:sz w:val="28"/>
      <w:szCs w:val="20"/>
    </w:rPr>
  </w:style>
  <w:style w:type="paragraph" w:styleId="4">
    <w:name w:val="index 5"/>
    <w:basedOn w:val="1"/>
    <w:next w:val="1"/>
    <w:unhideWhenUsed/>
    <w:qFormat/>
    <w:uiPriority w:val="99"/>
    <w:pPr>
      <w:ind w:left="1050" w:hanging="210" w:firstLineChars="200"/>
      <w:jc w:val="left"/>
    </w:pPr>
    <w:rPr>
      <w:sz w:val="18"/>
      <w:szCs w:val="18"/>
      <w:lang w:eastAsia="zh-TW"/>
    </w:rPr>
  </w:style>
  <w:style w:type="paragraph" w:styleId="5">
    <w:name w:val="footnote text"/>
    <w:basedOn w:val="1"/>
    <w:next w:val="4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2024-05-13T06:34:59Z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D256F332C1B74DD59E2B11B0EDAD933C_12</vt:lpwstr>
  </property>
</Properties>
</file>