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9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苏州市政府采购招标文件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项目编号：JSZC-320500-SZZR-G2025-0001     </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项目名称:市区照明设施运维服务(含控制平台及设备运维)</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采购方：苏州市市政管理中心</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项目类别：服务类</w:t>
      </w:r>
      <w:r/>
    </w:p>
    <w:p>
      <w:pPr>
        <w:ind w:left="1564" w:hanging="10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1564" w:hanging="10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苏州中润建设管理咨询有限公司</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二○二五年十二月</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目录</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前附表 </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第一章：招标公告</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第二章：投标人须知</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第三章：投标文件格式</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第四章：招标内容</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第五章：合同及主要条款</w:t>
      </w:r>
      <w:r/>
    </w:p>
    <w:p>
      <w:pPr>
        <w:ind w:firstLine="5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第六章：评标方法和评分标准</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238"/>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前附表</w:t>
      </w:r>
      <w:r/>
    </w:p>
    <w:p>
      <w:pPr>
        <w:ind w:firstLine="420"/>
        <w:spacing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下述关于要招标的市区照明设施运维服务(含控制平台及设备运维)的具体资料是对招标文件投标人须知的具体补充和修改，如果有矛盾的话，应以本附表为准。</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040"/>
        <w:gridCol w:w="6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4"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      容</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九十天（日历日）</w:t>
            </w:r>
            <w:r/>
          </w:p>
        </w:tc>
      </w:tr>
      <w:tr>
        <w:trPr>
          <w:trHeight w:val="1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spacing w:before="16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本项目采用电子网上招投标（电子标书）。</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中标单位在领取中标通知书时向招标代理机构提交投标文件纸质版，份数为四份（一正三副）。纸面投标文件与上传的电子投标文件一致。用于存档备案。</w:t>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金额：合同金额的10%</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形式：银行出具的独立保函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中标单位在领取中标通知书时按以下收费标准向采购代理机构支付代理服务费。预算金额100万元以下部分，费率为该部分预算金额的1.5%；</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100万元（含）－500万元部分，费率为该部分预算金额的1.1%；预算金额500万元（含）－1000万元部分，费率为该部分预算金额的0.8%；预算金额1000万元（含）－5000万元部分，费率为该部分预算金额的0.5%；5000万元以上部分，费率为该部分预算金额的0.25%；</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说明：代理服务费以采购预算金额为基数依据，按以上规定的标准和差额定率累进法进行计算收取。</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本项目代理服务费按人民币：标段一：312498.00元；标段二：  59650.00元计收。</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服务费交纳帐户：苏州中润建设管理咨询有限公司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号：32201988745051502816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开户行：建设银行苏州葑谊支行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本费用含在投标总报价中。</w:t>
            </w:r>
            <w:r/>
          </w:p>
        </w:tc>
      </w:tr>
    </w:tbl>
    <w:p>
      <w:pPr>
        <w:pStyle w:val="666"/>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66"/>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第一章招标公告</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8"/>
      </w:tblGrid>
      <w:tr>
        <w:trPr>
          <w:trHeight w:val="12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4" w:type="dxa"/>
            <w:textDirection w:val="lrTb"/>
            <w:noWrap w:val="false"/>
          </w:tcPr>
          <w:p>
            <w:pPr>
              <w:ind w:firstLine="47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市区照明设施运维服务(含控制平台及设备运维)</w:t>
            </w:r>
            <w:r>
              <w:rPr>
                <w:rFonts w:ascii="宋体" w:hAnsi="宋体" w:eastAsia="宋体" w:cs="宋体"/>
                <w:color w:val="000000"/>
                <w:sz w:val="24"/>
                <w:highlight w:val="none"/>
              </w:rPr>
              <w:t xml:space="preserve">的招标项目的潜在投标人在</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获取招标文件，并于</w:t>
            </w:r>
            <w:r>
              <w:rPr>
                <w:rFonts w:ascii="宋体" w:hAnsi="宋体" w:eastAsia="宋体" w:cs="宋体"/>
                <w:color w:val="000000"/>
                <w:sz w:val="24"/>
                <w:highlight w:val="none"/>
                <w:u w:val="single"/>
              </w:rPr>
              <w:t xml:space="preserve">202</w:t>
            </w:r>
            <w:r>
              <w:rPr>
                <w:rFonts w:hint="eastAsia" w:ascii="宋体" w:hAnsi="宋体" w:eastAsia="宋体" w:cs="宋体"/>
                <w:color w:val="000000"/>
                <w:sz w:val="24"/>
                <w:highlight w:val="none"/>
                <w:u w:val="single"/>
                <w:lang w:val="en-US" w:eastAsia="zh-CN"/>
              </w:rPr>
              <w:t xml:space="preserve">6</w:t>
            </w:r>
            <w:r>
              <w:rPr>
                <w:rFonts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u w:val="single"/>
                <w:lang w:val="en-US" w:eastAsia="zh-CN"/>
              </w:rPr>
              <w:t xml:space="preserve">01</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9日09:30</w:t>
            </w:r>
            <w:r>
              <w:rPr>
                <w:rFonts w:ascii="宋体" w:hAnsi="宋体" w:eastAsia="宋体" w:cs="宋体"/>
                <w:color w:val="000000"/>
                <w:sz w:val="24"/>
                <w:highlight w:val="none"/>
              </w:rPr>
              <w:t xml:space="preserve">（北京时间）前递交投标文件。</w:t>
            </w:r>
            <w:r/>
          </w:p>
        </w:tc>
      </w:tr>
    </w:tbl>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一、项目基本情况</w:t>
      </w:r>
      <w:r/>
    </w:p>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项目编号：JSZC-320500-SZZR-G2025-0001</w:t>
      </w:r>
      <w:r/>
    </w:p>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项目名称：市区照明设施运维服务(含控制平台及设备运维)   </w:t>
      </w:r>
      <w:r/>
    </w:p>
    <w:p>
      <w:pPr>
        <w:ind w:firstLine="471"/>
        <w:spacing w:line="85" w:lineRule="atLeast"/>
        <w:tabs>
          <w:tab w:val="left" w:pos="99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预算金额：人民币陆仟零肆拾捌万零肆佰伍拾壹元壹角柒分‌‌，¥60480451.17元。</w:t>
      </w:r>
      <w:r/>
    </w:p>
    <w:p>
      <w:pPr>
        <w:ind w:firstLine="471"/>
        <w:spacing w:line="85" w:lineRule="atLeast"/>
        <w:tabs>
          <w:tab w:val="left" w:pos="99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5676"/>
        <w:gridCol w:w="22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采购预算（元）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市区照明设施维护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55399201.17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市区照明控制平台及设备运维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5081250.00</w:t>
            </w:r>
            <w:r/>
          </w:p>
        </w:tc>
      </w:tr>
    </w:tbl>
    <w:p>
      <w:pPr>
        <w:ind w:firstLine="471"/>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注：投标报价不得超过本次采购预算及各标段分项预算。</w:t>
      </w:r>
      <w:r/>
    </w:p>
    <w:p>
      <w:pPr>
        <w:ind w:firstLine="471"/>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采购需求：</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标段一：市区照明设施维护</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（一）项目概述：</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1、本项目包含照明类设施的日常养护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工作内容包括苏州市姑苏区（含原平江新城、沧浪新城、金阊新城）采购单位管理的路灯照明设施、景观灯照明设施、高架照明设施、专变等，同时包含照明设施范围内的所有计量箱、控制箱（不含三遥终端）、手孔井及井盖、电缆（含控制电缆）、灯位电缆、保护管、设施基础、支架杆件、景观控制弱电设备、配电线路、接地系统等其他照明附属设施。</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2、养护范围</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单位管辖范围内区域，主要为苏州市姑苏区（含原平江新城、沧浪新城、金阊新城）。详见附件一《市区道路路灯景观养护设施量清单（标段一）》。注：相关的照明器具（灯杆、支架、单灯控制器、基础等）、变配电设施、线路设施、防雷与接地设施、景观控制弱电设备等其他照明附属设施维护费用均须考虑到投标报价中。</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标段二：市区照明控制平台及设备运维</w:t>
      </w:r>
      <w:r/>
    </w:p>
    <w:p>
      <w:pPr>
        <w:ind w:right="56"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项目概况：采购单位管辖范围内区域，主要为苏州市姑苏区（含原平江新城、沧浪新城、金阊新城）。详见附件一《设施量清单-运维（标段二）》。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二、服务期限：标段一：</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，标段二：</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。（实际开始日期具体以采购方进场通知单为准）。</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注：具体的作业要求详细参数及技术要求等以附件形式，报名成功后百度网盘自行下载。标段一：百度网盘地址：https://pan.baidu.com/s/1_XzSRsx8u-ui8FBS9YtTwQ 提取码：rq9w。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标段二：百度网盘地址：https://pan.baidu.com/s/1fPA4ioWhIV_6o4YHj8wBsg；提取码: hcyu。 </w:t>
      </w:r>
      <w:r/>
    </w:p>
    <w:p>
      <w:pPr>
        <w:ind w:right="41" w:firstLine="472"/>
        <w:spacing w:line="85" w:lineRule="atLeast"/>
        <w:tabs>
          <w:tab w:val="left" w:pos="46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三、申请人的资格要求：</w:t>
      </w:r>
      <w:r>
        <w:rPr>
          <w:rFonts w:ascii="宋体" w:hAnsi="宋体" w:eastAsia="宋体" w:cs="宋体"/>
          <w:color w:val="000000"/>
          <w:sz w:val="24"/>
          <w:highlight w:val="none"/>
        </w:rPr>
        <w:tab/>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1、满足《中华人民共和国政府采购法》第二十二条规定；</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1.1具有独立承担民事责任的能力；</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1.2具有良好的商业信誉和健全的财务会计制度；</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1.3具有履行合同所必须的设备和专业技术能力；</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1.4有依法缴纳税收和社会保障资金的良好记录；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1.5参加政府采购活动前三年内，在经营活动中没有重大违法记录；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1.6法律、行政法规规定的其他条件。</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2、落实政府采购政策需满足的资格要求：</w:t>
      </w:r>
      <w:r>
        <w:rPr>
          <w:rFonts w:ascii="宋体" w:hAnsi="宋体" w:eastAsia="宋体" w:cs="宋体"/>
          <w:b/>
          <w:color w:val="000000"/>
          <w:sz w:val="24"/>
          <w:highlight w:val="none"/>
        </w:rPr>
        <w:t xml:space="preserve">本项目标段一专门面向中小企业，所属行业为：其他未列明行业，供应商应为中小微企业、监狱企业、残疾人福利性单位。 标段二为非专门面向中小企业，所属行业为：其他未列明行业。</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3、本项目的特定资格要求：无</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注：未被“信用中国”网站列入失信被执行人、重大税收违法案件当事人名单、政府采购严重失信行为记录名单； </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单位负责人为同一人或者存在直接控股、管理关系的不同供应商（包含法定代表人为同一个人的两个及两个以上法人，母公司、全资子公司及其控股公司），不得参加同一合同项下的采购活动。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本项目标段一不接受联合体投标。标段二接受联合体投标，联合体组成单位不得超过两家。</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三、获取招标文件</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时间：自招标文件公告发布之日起5个工作日</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方式：网上报名</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售价：免费。</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1.供应商必须进入“苏采云”系统进行网上注册及资料填报。</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4、CA办理：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高新区邓尉路105号狮山科技馆一楼服务大厅，窗口电话：0512―65737699）</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4.2在系统操作过程中如有疑问，请按以下方式联系：</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4.3注册咨询：18261002950；</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4.4 CA技术咨询电话：400-608-6099；</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4.5 签章使用问题：025-83633811、025-83633812、15380932027、15371015030；</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系统使用指导与咨询：联系电话：18261002950；QQ：3048755361、1315179389、895706745。</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四、提交投标文件截止时间、开标时间和地点（上传）</w:t>
      </w:r>
      <w:r/>
    </w:p>
    <w:p>
      <w:pPr>
        <w:ind w:firstLine="59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01</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9日9:30</w:t>
      </w:r>
      <w:r/>
    </w:p>
    <w:p>
      <w:pPr>
        <w:ind w:firstLine="59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地点：“苏采云”政府采购交易系统网上开标大厅（网址：http://jszfcg.jsczt.cn/），投标文件网上递交，不需要现场参加采购活动。</w:t>
      </w:r>
      <w:r/>
    </w:p>
    <w:p>
      <w:pPr>
        <w:ind w:firstLine="59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内未能完成解密的视为放弃参与本项目。请供应商确保电脑、系统及其他设备（视频输入输出设备等）无误，且开启直至项目结束始终保持系统在线状态。</w:t>
      </w:r>
      <w:r/>
    </w:p>
    <w:p>
      <w:pPr>
        <w:numPr>
          <w:ilvl w:val="0"/>
          <w:numId w:val="1"/>
        </w:num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公告期限。</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自本公告发布之日起五个工作日。</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六、其他补充事宜。</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1、政府采购监督电话：0512-68616651；</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次招标的相关信息刊登在苏州政府采购网、江苏省政府采购网、中国政府采购网敬请各位供应商留意。请各单位网上下载本次招标文件后，认真阅读各项内容，进行必要的投标准备，并按文件的要求详细填写和编制投标文件，并按以上确定的时间、地点准时参加投标。</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3、根据苏州市财政局《关于深入开展苏州市政府采购合同信用融资业务的通知》相关要求，本项目支持政府采购合同信用融资。</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七、对本次招标提出询问，请按以下方式联系。</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1、招标人信息：</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名称：苏州市市政管理中心</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地址：苏州市干将东路870号</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联系人：季家麒、颜瑾、杨洁晨</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 ：0512-65157810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名称：苏州中润建设管理咨询有限公司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地址：苏州市吴中区通园路1号长丰物流园1号楼6楼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联系人：陈亚一、潘斌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联系方式：0512-62808761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项目联系人：陈亚一、潘斌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联系方式：0512-62808761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950"/>
        <w:spacing w:line="85" w:lineRule="atLeast"/>
        <w:tabs>
          <w:tab w:val="left" w:pos="360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950"/>
        <w:spacing w:line="85" w:lineRule="atLeast"/>
        <w:tabs>
          <w:tab w:val="left" w:pos="3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第二章 投标人须知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一、说明和释义</w:t>
      </w:r>
      <w:r/>
    </w:p>
    <w:p>
      <w:pPr>
        <w:numPr>
          <w:ilvl w:val="0"/>
          <w:numId w:val="2"/>
        </w:numPr>
        <w:spacing w:line="85" w:lineRule="atLeast"/>
        <w:tabs>
          <w:tab w:val="left" w:pos="425"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p>
    <w:p>
      <w:pPr>
        <w:numPr>
          <w:ilvl w:val="1"/>
          <w:numId w:val="2"/>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本招标文件仅适用于苏州中润建设管理咨询有限公司组织的招标活动。</w:t>
      </w:r>
      <w:r/>
    </w:p>
    <w:p>
      <w:pPr>
        <w:numPr>
          <w:ilvl w:val="1"/>
          <w:numId w:val="2"/>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本次招标活动及因本次招标产生的合同受中国法律制约和保护。</w:t>
      </w:r>
      <w:r/>
    </w:p>
    <w:p>
      <w:pPr>
        <w:numPr>
          <w:ilvl w:val="1"/>
          <w:numId w:val="2"/>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本招标文件的解释权属于苏州中润建设管理咨询有限公司。</w:t>
      </w:r>
      <w:r/>
    </w:p>
    <w:p>
      <w:pPr>
        <w:numPr>
          <w:ilvl w:val="0"/>
          <w:numId w:val="3"/>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词语释义</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招标代理机构：具体组织实施招标活动的法人。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投标人（供应商）：经认定有资格响应招标，符合本次招标的资格要求,参加投标竞争的法人或其他组织和自然人。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响应：投标人根据招标代理机构或招标代理人发布的招标文件,编制投标文件并按规定投标的行为。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合同：采供双方根据招标文件和中标的投标文件及中标通知书规定的内容签署的以书面形式所达成的协议,包括所有的附件、附录和构成协议的所有文件。</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甲方(采购人)：合同中明确规定的实际购买货物和服务的法人或其他组织和自然人（采购人）。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乙方(供应商)：合同中规定的向采购方提供货物和服务的法人或其他组织和自然人（中标人）。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货物：系指乙方按招标招标文件规定，应向甲方提供的一切设备、备品、备件、工具、手册及其它有关技术资料和材料。</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服务：系指本次招标文件规定供应商应承担的与提供货物和服务有关的辅助服务，比如运输、保险、安装、调试、提供技术援助、培训、配合措施、维修响应及合同中规定乙方应承担的其它义务。</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知识产权：指专利权、商标权、著作权等无形财产专有权的统称。</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天：日历日。</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交货（服务）地点：合同中明确约定的乙方提交的货物和服务最终到达地点。</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交货（服务）地点：合同中明确约定的乙方交货（服务）的地点。</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合同价款：根据合同规定,乙方在正确地履行合同义务后甲方应支付乙方的价款。</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产地：货物生产、最终制造、加工或提供服务的来源地。</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不可抗力：不能预见、不能避免并且不能克服的客观情况。</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实质响应：满足有关本次招标标的、数量、质量、价款或者报酬、履行期限、履行地点和方式、违约责任和解决争议方法等要求。</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进口产品：通过中国海关报关验放进入中国境内且产自关境外的产品。</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书面形式：指书面文字、合同书、信件和传真等可以有形地表现所载内容的形式。</w:t>
      </w:r>
      <w:r/>
    </w:p>
    <w:p>
      <w:pPr>
        <w:numPr>
          <w:ilvl w:val="0"/>
          <w:numId w:val="4"/>
        </w:num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投标人</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合格投标人的资格条件：详见招标公告</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投标人代表</w:t>
      </w:r>
      <w:r/>
    </w:p>
    <w:p>
      <w:pPr>
        <w:numPr>
          <w:ilvl w:val="1"/>
          <w:numId w:val="5"/>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指全权代表投标人参加投标活动并签署投标文件的人，如果投标人代表不是法人代表，须持有《法定代表人授权委托书》（详见统一格式）。</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投标费用</w:t>
      </w:r>
      <w:r/>
    </w:p>
    <w:p>
      <w:pPr>
        <w:numPr>
          <w:ilvl w:val="1"/>
          <w:numId w:val="5"/>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投标人应自行承担所有准备及参加投标有相关费用。不论投标结果如何,投标人自行承担所有与参加投标有关的全部费用。</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联合体投标</w:t>
      </w:r>
      <w:r/>
    </w:p>
    <w:p>
      <w:pPr>
        <w:ind w:right="56" w:firstLine="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本项目标段一不接受联合体投标。标段二接受联合体投标，联合体组成单位不得超过两家。</w:t>
      </w:r>
      <w:r/>
    </w:p>
    <w:p>
      <w:pPr>
        <w:spacing w:line="85" w:lineRule="atLeast"/>
        <w:tabs>
          <w:tab w:val="left" w:pos="85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6.1联合体投标：第一章招标公告规定接受联合体投标的，联合体除应符合上述资格要求外，还应遵守以下规定：</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联合体各方应当向采购人提交联合体协议书，载明联合体各方承担的工作和义务，否则投标无效。（如大中型企业与小微企业组成联合体，需写明小微企业的合同份额占到合同总金额具体比例，不提供则会影响享受报价折扣优惠）。（注：接受大中型企业与小微企业组成联合体，</w:t>
      </w:r>
      <w:r>
        <w:rPr>
          <w:rFonts w:ascii="宋体" w:hAnsi="宋体" w:eastAsia="宋体" w:cs="宋体"/>
          <w:b/>
          <w:color w:val="000000"/>
          <w:sz w:val="24"/>
          <w:highlight w:val="none"/>
        </w:rPr>
        <w:t xml:space="preserve">对于联合协议约定</w:t>
      </w:r>
      <w:r>
        <w:rPr>
          <w:rFonts w:ascii="宋体" w:hAnsi="宋体" w:eastAsia="宋体" w:cs="宋体"/>
          <w:color w:val="000000"/>
          <w:sz w:val="24"/>
          <w:highlight w:val="none"/>
        </w:rPr>
        <w:t xml:space="preserve">小微企业的合同份额占到合同总金额 30%以上的，应当对联合体或者大中型企业的报价给予 6%的扣除，用扣除后的价格参加评审。）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（2）联合体中有同类资质的供应商按照联合体分工承担相同工作的，应当按照资质等级较低的供应商确定资质等级。</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（3）联合体各方不得再单独参加或者与其他供应商另外组成联合体参加同一合同项下的采购活动，否则各相关投标均无效。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（4）联合体各方应当共同与采购人签订采购合同，就采购合同约定的事项对采购人承担连带责任。</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（5）联合体投标：如招标（采购）公告中允许联合体投标，联合体投标的投标（响应）文件制作上传操作如下：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第一步：在投标（响应）文件中上传联合体投标协议书。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第二步；在投标（响应）文件中，由联合体中的牵头人制作投标（响应）文件。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第三步：生成投标（响应）文件过程中联合体中的牵头人及联合体成员单位在投标（响应）文件封面共同签章对投标（响应）文件确认。</w:t>
      </w:r>
      <w:r/>
    </w:p>
    <w:p>
      <w:pPr>
        <w:numPr>
          <w:ilvl w:val="0"/>
          <w:numId w:val="4"/>
        </w:num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招标文件的说明</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7.招标文件</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8.招标文件的询问与澄清</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8.1.投标人在收到招标文件后,若有问题需要询问,应于收到招标文件后按相关流程提出，招标代理机构将予以解答。</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8.2.采购人或者招标代理机构可以对已发出的招标文件进行必要的澄清或者修改，并发布澄清（修改）公告。澄清或者修改的内容为招标文件的组成部分。</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8.3.至招标文件获取截止时间，获取招标文件的潜在投标人不足3家的，采购人或招标代理机构可以顺延招标文件提供期限。</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9.招标文件的修改</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9.1.采购人无论出于自己的考虑，还是出于对投标人提问的澄清，均可对招标文件用更正公告（补充通知）的方式进行修改。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9.2.采购人对招标文件的修改，将在苏州市政府采购网上予以发布，投标人通过苏州市政府采购网自行查看。更正公告（补充通知）将作为招标文件的组成部分，对所有投标人有约束力。</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9.3.为使投标人有足够的时间按招标文件的修改要求考虑修正投标文件,或出于其他原因,采购人可酌情推迟截止日期和开标日期,并将此变更通知以更正公告（补充通知）的形式对外发布。</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9.4.招标文件的澄清、修改、补充等内容均以苏州市政府采购网发布的内容为准。当招标文件、招标文件的澄清、修改、补充等在同一内容的表述上不一致时，以苏州市政府采购网最后发布的内容为准。</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10.现场考察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10.1.投标人自行对有关现场和周围环境进行考察，以获取编制投标文件和签署合同所需的信息。</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投标人应在现场考察时，熟悉现场及周围交通道路等情况，以获得一切可能影响其投标的直接资料。投标人中标后，不得以不完全了解现场情况为理由而向采购人提出任何索赔的要求，对此采购人不承担任何责任并将不作任何答复与考虑。</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11.招标文件的质疑、澄清：</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11.2.本次招标文件要求供应商在法定质疑期内一次性提出针对同一采购程序环节的质疑。</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11.3.采购人、招标代理机构收到质疑供应商在法定质疑期内发出的质疑函，应当在收到质疑函后7个工作日内作出答复，并以书面形式通知质疑供应商和其他有关供应商。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11.4.供应商提出质疑应当提交质疑函和必要的证明材料。质疑函应当包括下列内容：供应商的姓名或者名称、地址、邮编、联系人及联系电话；质疑项目的名称、编号；具体、明确的质疑事项和与质疑事项相关的请求；事实依据；必要的法律依据；提出质疑的日期。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11.5接受质疑函的联系信息如下：</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质疑函接收人：苏州中润建设管理咨询有限公司</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联系部门：招标代理部</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质疑函接收方式：现场递交或邮寄</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联系电话：0512-62808761 </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通讯地址：苏州市吴中区通园路1号长丰物流园1号楼6楼</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邮政编码：215000</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四、投标文件说明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12．提示与要求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12.1.投标方应仔细阅读招标文件的所有内容，按招标文件的要求提供投标文件，并保证所提供的全部资料的真实性，以使其投标对招标文件做出实质性响应，否则，其投标可能被拒绝。</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12.2.无论是否递交投标文件，投标人都应将招标文件及以后的所有通知、文件等视为保密文件。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13.投标文件计量单位和使用文字</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13.1.投标文件中所使用的计量单位,除招标文件中有特殊要求外,应采用国家法定计量单位。</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13.2.投标文件应使用中文编制,投标文件中必须使用其他文字的,必须附有中文译本。对于未附有中文译本和中文译本不准确的投标文件,由此引起的对投标人不利后果的,招标代理机构概不负责。</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 知识产权</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15、投标文件的组成（相关格式见第三章）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15.1.投标书一（报价部分）：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15.1.1.投标函；</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15.1.2.开标一览表(格式见第三章)；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15.1.3.投标分项报价表（格式见第三章）；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15.2.投标书二（技术部分、资格证明文件）：投标书二中不得出现投标总报价。</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15.2.1.技术部分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15.2.1.1 详细的服务管理实施方案；</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15.2.1.2 服务要求偏离表、技术条款偏离表、商务条款偏离表（格式见第三章）；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15.2.1.3 项目组人员一览（格式见第三章）；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15.2.1.4 企业投入本项目设备一览表（格式见第三章）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15.2.1.5 类似项目相关业绩一览表（格式见第三章）；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15.2.1.6.招标文件评分标准及其他要求提供的其他相关技术和资质证明文件；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15.2.2.资格证明文件</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15.2.2.1.投标单位情况表、关于资格文件的声明函（格式见第三章）；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15.2.2.2.投标单位的《营业执照》副本复印件；</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15.2.2.3.法定代表人授权委托书（如有授权）（格式见第三章）；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15.2.2.4.法定代表人身份证复印件、授权委托人身份证复印件；</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15.2.2.5.提供有依法缴纳税收和社会保障资金的良好记录。如合理期限内依法缴纳税收的凭据，合理期限内依法缴纳社会保险的凭据。</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15.2.2.6.具有良好的商业信誉和健全的财务会计制度证明。如最近一期经审计的财务报告，或银行资信证明或其他财务证明材料；</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15.2.2.7.具备履行合同所必需的设备和专业技术能力的证明材料。如具备履行合同的相关设备、人员等证明材料；</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15.2.2.8.参加政府采购活动前3年内在经营活动中没有重大违法记录的书面声明（格式自拟）；</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15.2.2.9.中小企业声明函（如属）、残疾人福利性单位声明函（如属）（格式见第三章）、监狱企业证明文件（如属）（格式见第三章）；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15.2.2.10其他可以证明投标人资格资质证书、证明、文件资料（如有）。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15.3投标文件由15.1、15.2款规定的内容共同组成。</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注：1、投标书二（技术及资格证明文件）中均不得出现报价。</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2、投标文件的完整与否，将直接影响投标是否有效或评分。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16.投标文件编制要求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16.1.投标单位须使用CA证书工具完成电子投标文件编制，电子投标投标文件须按上述投标文件的组成及要求进行编制。操作步骤详见“苏采云”系统页面提示和《操作手册》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w:t>
      </w:r>
      <w:r>
        <w:rPr>
          <w:rFonts w:ascii="宋体" w:hAnsi="宋体" w:eastAsia="宋体" w:cs="宋体"/>
          <w:b/>
          <w:color w:val="000000"/>
          <w:sz w:val="24"/>
          <w:highlight w:val="none"/>
        </w:rPr>
        <w:t xml:space="preserve">电子投标文件签章不符合要求的，投标文件将被拒绝。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16.3《开标一览表》要求按格式填写，统一规范,不得自行增减内容。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17.对本次投标报价（编制）要求的说明</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投标人对《报价明细表》中的全部货物和服务的报价包括完成本项目的所有费用。投标报价为最终报价，除非因特殊原因并经采购双方协商同意，投标人不得再要求追加任何费用。同时，除非合同条款中另有规定，否则，投标人所报价格在合同实施期间不因市场变化因素而变动。供应商报价中包含本项目代理服务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17.3.一项投标内容只允许一个报价，采购单位不接受任何有选择性的投标报价。投标人应按《投标报价表》中的全部内容的每一单项计算并填写单价和总价，该表并由法定代表人或授权代理人电子签署。</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17.4.投标文件报价中的单价和总价全部采用人民币，除非合同的特殊条款另有规定。</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rPr>
          <w:rFonts w:ascii="宋体" w:hAnsi="宋体" w:eastAsia="宋体" w:cs="宋体"/>
          <w:b/>
          <w:color w:val="000000"/>
          <w:sz w:val="24"/>
          <w:highlight w:val="none"/>
        </w:rPr>
        <w:t xml:space="preserve">投标保证金</w:t>
      </w:r>
      <w:r/>
    </w:p>
    <w:p>
      <w:pPr>
        <w:ind w:firstLine="47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无需缴纳投标保证金，投标人应在投标文件中提交《投标（响应）保证承诺书（详见格式）。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19.投标文件的有效期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w:t>
      </w:r>
      <w:r>
        <w:rPr>
          <w:rFonts w:ascii="宋体" w:hAnsi="宋体" w:eastAsia="宋体" w:cs="宋体"/>
          <w:b/>
          <w:color w:val="000000"/>
          <w:sz w:val="24"/>
          <w:highlight w:val="none"/>
        </w:rPr>
        <w:t xml:space="preserve">投标有效期为招标文件规定的投标截止之日起90天内,投标书应保持有效。有效期短于这个规定期限的投标,将被拒绝</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在特殊情况下,招标代理机构可与投标人协商延长投标书的有效期。这种要求和答复都应以书面形式进行。同意延长投标有效期的投标人不能修改投标文件，同时受投标有效期约束的所有权利与义务均延长至新的有效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20.投标文件的份数及签署</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20.1.投标人应按本须知的规定，编制一份电子投标文件。中标后由中标单位提供4份纸质投标文件。</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 电子投标文件有须要投标单位法定代表人或委托代理人签字及加盖企业公章的地方，须由投标单位法定代表人或委托代理人签字及加盖企业公章。未按要求签署的投标文件将被拒绝。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五、投标文件的提交</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21.投标文件提交</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投标文件必须在投标截止时间前完成投标文件上传操作，如未上传的视同为未参加本项目投标。逾期上传的投标文件恕不接受。</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22.投标截止时间</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22.1.投标人必须在招标文件规定的投标截止时间之前完成投标文件上传操作。</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22.2.采购人推迟开标截止时间时，将在苏州市政府采购网上发布通知，投标人通过苏州市政府采购网自行查看。在这种情况下，采购人和投标人的权利和义务将受到新的截止期的约束。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22.3.至投标截止时间各标段投标人不足3家的，采购人有权宣布本标段招标失败。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23.投标文件的修改和撤回</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23.1.投标人在投标截止时间之前，可以对其已提交的投标文件进行补充、修改或者撤回。</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23.2.在投标截止时间至招标文件中规定的投标有效期届满这段时间内，投标人不得撤回其投标文件。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六、开标和评标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24.开标</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24.1.招标代理机构按前附表规定的时间、地点主持开标。开标仪式由招标代理机构主持,采购人代表、投标单位代表及有关工作人员参加。</w:t>
      </w:r>
      <w:r>
        <w:rPr>
          <w:rFonts w:ascii="宋体" w:hAnsi="宋体" w:eastAsia="宋体" w:cs="宋体"/>
          <w:b/>
          <w:color w:val="000000"/>
          <w:sz w:val="24"/>
          <w:highlight w:val="none"/>
        </w:rPr>
        <w:t xml:space="preserve">本项目为不见面开标方式，开标阶段供应商在【解密环节】必须使用 CA证书解密电子投标（响应）文件，请供应商确保电脑、系统及其他设备（视频输入输出设备等）无误，且开启直至项目结束始终保持系统在线状态。</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24.2.线上参加（观看）开标（开启）会方式：登录“苏采云”系统，点击“开标大厅”，选择对应项目，点击进入不见面开标系统。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24.4.开标时，投标人应当按照《操作手册》规定，在“苏采云”系统规定的时间内对投标文件进行解密。等待开标流程进入“解锁环境”，点击“点击立即解密”进行标书解密，解锁完成后及时关注开标大厅，等待答疑澄清等提示，</w:t>
      </w:r>
      <w:r>
        <w:rPr>
          <w:rFonts w:ascii="宋体" w:hAnsi="宋体" w:eastAsia="宋体" w:cs="宋体"/>
          <w:b/>
          <w:color w:val="000000"/>
          <w:sz w:val="24"/>
          <w:highlight w:val="none"/>
        </w:rPr>
        <w:t xml:space="preserve">否则导致的对投标人不利的后果由供应商自行承担</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24.5.投标人在“苏采云”系统规定的时间内未成功解密电子投标文件的，</w:t>
      </w:r>
      <w:r>
        <w:rPr>
          <w:rFonts w:ascii="宋体" w:hAnsi="宋体" w:eastAsia="宋体" w:cs="宋体"/>
          <w:b/>
          <w:color w:val="000000"/>
          <w:sz w:val="24"/>
          <w:highlight w:val="none"/>
        </w:rPr>
        <w:t xml:space="preserve">投标无效</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24.6.至投标文件提交截止时间，</w:t>
      </w:r>
      <w:r>
        <w:rPr>
          <w:rFonts w:ascii="宋体" w:hAnsi="宋体" w:eastAsia="宋体" w:cs="宋体"/>
          <w:b/>
          <w:color w:val="000000"/>
          <w:sz w:val="24"/>
          <w:highlight w:val="none"/>
        </w:rPr>
        <w:t xml:space="preserve">递交该标段投标文件的投标人不足三家的，不得开标</w:t>
      </w:r>
      <w:r>
        <w:rPr>
          <w:rFonts w:ascii="宋体" w:hAnsi="宋体" w:eastAsia="宋体" w:cs="宋体"/>
          <w:color w:val="000000"/>
          <w:sz w:val="24"/>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25.资格审查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25.1.公开招标采购项目开标结束后，采购人应当依法对投标人的资格进行审查。</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25.2.根据政府采购法及相关法规，将对供应商进行信用查询，凡经确认不符合政府采购相关法律法规规定的，将拒绝其参与政府采购活动。</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25.2.1.查询时间：投标文件递交截止时间。</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25.2.3.查询证据留存方式：对存在失信信息的供应商，采购人或者招标代理机构应填写《苏州市级政府采购供应商失信信息确认函》，由失信供应商应确认。同时，招标代理机构工作人员应登陆到来源网站页面进行复核并打印，作为证据留存。</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25.3.4.信用记录使用规则：评审小组在对供应商进行资格性审查时，应根据查询结果对供应商的不良信用记录逐项甄别确认。按照《中华人民共和国政府采购法》第二十二条规定，</w:t>
      </w:r>
      <w:r>
        <w:rPr>
          <w:rFonts w:ascii="宋体" w:hAnsi="宋体" w:eastAsia="宋体" w:cs="宋体"/>
          <w:b/>
          <w:color w:val="000000"/>
          <w:sz w:val="24"/>
          <w:highlight w:val="none"/>
        </w:rPr>
        <w:t xml:space="preserve">下列信用记录属于应依法拒绝供应商参加政府采购的失信信息，存在此类失信信息的投标人的投标无效</w:t>
      </w:r>
      <w:r>
        <w:rPr>
          <w:rFonts w:ascii="宋体" w:hAnsi="宋体" w:eastAsia="宋体" w:cs="宋体"/>
          <w:color w:val="000000"/>
          <w:sz w:val="24"/>
          <w:highlight w:val="none"/>
        </w:rPr>
        <w:t xml:space="preserve">：</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（一）政府采购严重违法记录，即供应商被全国各级财政部门列入“政府采购严重违法失信行为记录名单”，且在处罚有效期内的。</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（二）财政部门与法院、工商、税务等部门联合惩戒的失信信息，包括：</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（1）被列入失信被执行人名单；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（2）被列入重大税收违法案件当事人名单；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26.评标委员会</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26.1.评标委员会（以下简称评委会）成员依法组建。</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评审专家与参加采购活动的投标人存在下列利害关系之一的,应当回避:</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(一)参加采购活动前三年内,与投标人存在劳动关系,或者担任过投标人的董事、监事,或者是投标人的控股股东或实际控制人;</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(二)与投标人的法定代表人或者负责人有夫妻、直系血亲、三代以内旁系血亲或者近姻亲关系;</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(三)与投标人有其他可能影响政府采购活动公平、公正进行的关系。</w:t>
      </w:r>
      <w:r/>
    </w:p>
    <w:p>
      <w:pPr>
        <w:ind w:firstLine="47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评审专家发现本人与参加采购活动的投标人有利害关系的,应当主动提出回避。采购人或者采购代理机构发现评审专家与参加采购活动的投标人有利害关系的,应当要求其回避。</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26.2.评标委员会将对符合资格的投标人的投标文件进行符合性审查，以确定其是否满足招标文件的实质性要求。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26.3.评委会组负责具体的评标事务，并独立履行以下职责：</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26.3.1.审查、评价投标文件是否符合招标文件的商务、技术等实质性要求；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26.3.2.要求投标人对投标文件有关事项作出澄清或者说明；</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26.3.3.对投标文件进行比较和评价；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26.3.4.确定中标候选人名单，以及根据采购人委托直接确定中标人；</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26.3.5.向采购人、采购代理机构或者有关部门报告评标中发现的违法行为。</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26.3.评委会成员应当履行下列义务：</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26.3.1.遵纪守法，客观、公正、廉洁地履行职责；</w:t>
      </w:r>
      <w:r/>
    </w:p>
    <w:p>
      <w:pPr>
        <w:ind w:left="833" w:hanging="833"/>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26.3.2.按照招标文件规定的评标办法和评标标准进行评标，对评审意见承担个人责任；</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26.3.3.对评标过程和结果，以及投标人的商业秘密保密；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26.3.4.参与评标报告的起草；</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26.3.5.配合招标采购人答复投标人提出的质疑；</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26.3.6.配合有关部门的投诉处理工作。</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27.评标内容的保密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27.1.公开开标后,直到宣布授予中标单位合同为止,凡属于审查、澄清、评价和比较投标的所有资料,有关授予合同的信息都不应向投标人或与评标无关的其他人泄露。</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27.2.在投标文件的审查、澄清、评价和比较以及授予合同的过程中,投标人对采购人或招标代理机构和评标委员会成员施加影响的任何行为,都将取消其投标资格。</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27.3.在评标期间,招标代理机构将指定联络人与投标人进行联系。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28.评标</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28.1.评标委员会将对资格符合的投标文件进行符合性审查。即依据招标文件规定，从投标文件的有效性、完整性和对招标文件的响应程度进行审查，以确定是否对招标文件的实质性要求作出响应。</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投标文件有下列情况之一者将认定为无效投标：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28.1.1.投标文件未按招标文件要求签署、盖章的；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28.1.2.投标人的报价只投了同一标段中部分内容；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28.1.3.投标人拒绝修正错误；</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28.1.4.投标人的报价是选择性的；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28.1.5.投标人的投标文件中出现评委会认为不应雷同的；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28.1.6.其他被评委会认定无效的情况。</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28.1.7.如投标文件制作机器码信息一致，视为不同投标供应商使用同一台电脑编制投标文件，投标无效；</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评标委员会将审查每份投标文件是否实质性响应了招标文件的要求，是否与招标文件的全部条款、条件和规格相符合，没有重大偏离或保留。所谓重大偏离或保留是指投标货物的质量、数量、服务和交货期限等明显不能满足招标文件的要求，或者在实质上与招标文件不一致，而且限制了采购人的权利或投标人的义务。纠正这些偏离或保留将会对其他实质上响应要求的投标人的竞争地位产生不公正的影响。</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28.3.采购人或者采购代理机构将允许修改投标中不构成重大偏离的微小的、非正规、不一致或不规则的地方，但这些修改不能影响任何投标人的名次相应排列。投标人不得对招标文件进行实质性修改。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对于投标文件中含义不明确、同类问题表述不一致或者有明显文字和计算错误的内容，评标委员会应当以书面形式要求投标人作出必要的澄清、说明或者补正。投标人的澄清、说明或者补正应当采用线上澄清，并加盖电子公章，或者由法定代表人或其授权的代表签字。投标人的澄清、说明或者补正不得超出投标文件的范围或者改变投标文件的实质性内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28.5.评委会将对确定为实质上响应的投标进行审核，看其是否有计算上或累加上的算术错误，修正错误的原则如下：</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28.5.1.投标文件中开标一览表(报价表)内容与投标文件中相应内容不一致的，以开标一览表(报价表)为准；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28.5.2.大写金额和小写金额不一致的，以大写金额为准；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28.5.3.单价金额小数点或者百分比有明显错位的，以开标一览表的总价为准，并修改单价；数量不符合招标文件要求的作为未实质性响应招标文件处理，该投标文件将不予评审；</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28.5.4.总价金额与按单价汇总金额不一致的，以单价金额计算结果为准。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28.5.5.对不同文字文本投标文件的解释发生异议的，以中文文本为准；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28.6.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（一）评标过程中出现下列情形之一的，评标委员会应当启动异常低价投标（响应）审查程序：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（1）投标（响应）报价低于采购项目预算 50% 的，即投标（响应）报价&lt;采购项目预算×50% ；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（2）投标（响应）报价低于采购项目最高限价 45% 的，即投标（响应）报价&lt;采购项目最高限价×45% ；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（3）评标委员会认定的供应商报价过低、有可能影响产品质量或者不能诚信履约的其他情形。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28.7.采购人或者采购代理机构对投标文件的判定，只依据投标内容本身，不依靠开标后的任何外来证明。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28.8.采购人或者采购代理机构将拒绝被确定为非实质性响应的投标，投标人不能通过修正或撤销不符之处而使其投标成为实质性响应的投标。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29.投标的澄清</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w:t>
      </w:r>
      <w:r>
        <w:rPr>
          <w:rFonts w:ascii="宋体" w:hAnsi="宋体" w:eastAsia="宋体" w:cs="宋体"/>
          <w:b/>
          <w:color w:val="000000"/>
          <w:sz w:val="24"/>
          <w:highlight w:val="none"/>
        </w:rPr>
        <w:t xml:space="preserve">本项目采用线上澄清</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highlight w:val="none"/>
        </w:rPr>
        <w:t xml:space="preserve">未加盖CA电子公章的澄清无效</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29.3接到评标委员会澄清、说明和更正要求的投标人如未按规定做出澄清、说明和更正，其风险由投标人自行承担。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30.投标文件的评价和比较</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30.1.评标委员会按招标文件规定的评标方法和标准，仅对资格性检查和符合性检查合格的投标文件进行综合比较与评价。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30.2.评标采用综合评分法，评委会严格按照招标文件的规定要求、条件、评分标准，对投标人实质性响应内容进行比较评价。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30.3.最低的投标报价或最高的折扣比例是中标的重要条件，但不是唯一条件。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w:t>
      </w:r>
      <w:r>
        <w:rPr>
          <w:rFonts w:ascii="宋体" w:hAnsi="宋体" w:eastAsia="宋体" w:cs="宋体"/>
          <w:b/>
          <w:color w:val="000000"/>
          <w:sz w:val="24"/>
          <w:highlight w:val="none"/>
        </w:rPr>
        <w:t xml:space="preserve">废标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31.1.在招标过程中，出现下列情况之一的，应予废标：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31.1.1.符合专业条件的投标人或者对招标文件作实质响应的投标人不足三家的；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31.1.2.出现影响采购公正的违法、违规行为的；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31.1.3.投标人的报价均超过了预算金额或者最高限价,采购人不能支付的；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31.1.4.因重大变故,采购任务取消的；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31.2.废标后，招标代理机构将发布废标公告。</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七、授予合同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32.中标单位的确认</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32.1.评标委员会按招标文件规定的评标方法和标准进行详细评审后，推荐三家中标候选人，由采购人在三家中标候选人中最终确定中标人。</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32.2.经评标委员会评审并确定中标单位后，招标代理机构自中标人确定之日起2个工作日内将中标人在政府采购信息媒体上发布中标公告，中标公告期限为1个工作日。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八、合同授予标准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33.1.招标代理机构将把合同授予其投标文件在实质上响应招标文件要求和按评分方法和标准规定评选出的中标单位。确定为中标单位的必须具有实施本合同的能力和资源。</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九、中标通知书</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34.2.中标通知书发出后，采购人不得违法改变中标结果，中标人无正当理由不得放弃中标。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十、告知招标结果</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参与项目评审的未中标（成交）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十一、合同的签订 </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36.1.中标供应商应按中标通知书规定与采购人按照招标文件确定的事项签订政府采购合同。</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36.2.签订合同及合同条款应以招标文件和中标供应商的投标文件及其澄清文件为依据。</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36.3.中标供应商无正当理由拒签合同的，或在签订合同时向采购人提出附加条件或者更改合同实质性内容的，采购人可取消其中标资格，同时由中标供应商承担相应的法律责任。</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36.4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十二、其他事项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37.中标服务费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37.1.中标单位须按前附表的规定按其支付中标服务费，该费用在领取中标通知书时一次性付清。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38.监督和公证</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38.1.政府有关监督部门将对招投标全过程进行监督。</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38.2.招标人的开评标过程将通过公证机关进行公证。（如有）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39.未尽事宜</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39.1.按《中华人民共和国政府采购法》及其他有关政府采购的法律法规的规定执行。</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第三章投标文件格式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对本章所有的投标书格式 ，投标人可根据自身情况进行补充和修改，但补充和修改不得造成与本格式内容有实质性的违背。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格式1、投标函</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苏州中润建设管理咨询有限公司 </w:t>
      </w:r>
      <w:r>
        <w:rPr>
          <w:rFonts w:ascii="宋体" w:hAnsi="宋体" w:eastAsia="宋体" w:cs="宋体"/>
          <w:color w:val="000000"/>
          <w:sz w:val="24"/>
          <w:highlight w:val="none"/>
        </w:rPr>
        <w:t xml:space="preserve">：</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号招标文件，我公司认为本项目的招标坚持了公开、公平、公正的原则，经仔细阅读和研究，我们决定参加本项目投标。</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1、我方愿意按照招标文件的一切要求，提供本项目的所有内容，我方投标的报价包括完成本项工作所需的一切应有费用。</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2、如果我们的投标书被接受，我们将严格履行招标文件中规定的每一项要求，严格履行合同的责任和义务，保证按期、按质履行合同。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3、我们同意按招标文件中的规定，我方承诺本投标书的有效期限为</w:t>
      </w:r>
      <w:r>
        <w:rPr>
          <w:rFonts w:ascii="宋体" w:hAnsi="宋体" w:eastAsia="宋体" w:cs="宋体"/>
          <w:color w:val="000000"/>
          <w:sz w:val="24"/>
          <w:highlight w:val="none"/>
          <w:u w:val="single"/>
        </w:rPr>
        <w:t xml:space="preserve"> 90  </w:t>
      </w:r>
      <w:r>
        <w:rPr>
          <w:rFonts w:ascii="宋体" w:hAnsi="宋体" w:eastAsia="宋体" w:cs="宋体"/>
          <w:color w:val="000000"/>
          <w:sz w:val="24"/>
          <w:highlight w:val="none"/>
        </w:rPr>
        <w:t xml:space="preserve">天。</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5、我们愿意遵守招标公告及招标文件中所列的收费标准。</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6、我们承诺该项投标在开标后的全过程中保持有效，不作任何更改和变动。</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7、我们同意中标方若无法按约定条款履行义务等行为，招标方有权取消其中标资格。</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8、我们承诺我公司符合招标文件投标人须知中“合格投标人的条件”的要求，若与真实情况不符，本公司愿意承担由此而产生的一切后果。</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10、与本投标有关的通讯地址：</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 系 人：</w:t>
      </w:r>
      <w:r>
        <w:rPr>
          <w:rFonts w:ascii="宋体" w:hAnsi="宋体" w:eastAsia="宋体" w:cs="宋体"/>
          <w:color w:val="000000"/>
          <w:sz w:val="24"/>
          <w:highlight w:val="none"/>
          <w:u w:val="single"/>
        </w:rPr>
        <w:t xml:space="preserve">                   </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联系电话：</w:t>
      </w:r>
      <w:r>
        <w:rPr>
          <w:rFonts w:ascii="宋体" w:hAnsi="宋体" w:eastAsia="宋体" w:cs="宋体"/>
          <w:color w:val="000000"/>
          <w:sz w:val="24"/>
          <w:highlight w:val="none"/>
          <w:u w:val="single"/>
        </w:rPr>
        <w:t xml:space="preserve">                  </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电子邮箱：              </w:t>
      </w:r>
      <w:r>
        <w:rPr>
          <w:rFonts w:ascii="宋体" w:hAnsi="宋体" w:eastAsia="宋体" w:cs="宋体"/>
          <w:color w:val="000000"/>
          <w:sz w:val="24"/>
          <w:highlight w:val="none"/>
        </w:rPr>
        <w:t xml:space="preserve"> </w:t>
      </w:r>
      <w:r/>
    </w:p>
    <w:p>
      <w:pPr>
        <w:ind w:firstLine="23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ind w:firstLine="23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单位法定代表人或被授权委托人：（签字或盖章）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rPr>
          <w:rFonts w:ascii="宋体" w:hAnsi="宋体" w:eastAsia="宋体" w:cs="宋体"/>
          <w:color w:val="000000"/>
          <w:sz w:val="24"/>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格式2、法定代表人授权委托书</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法定代表人授权委托书</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本授权委托书声明：我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（姓名）系</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（投标单位名称）的法定代表人，现授权委托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单位名称）的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（姓名）为我单位代理人，以本单位的名义参加苏州中润建设管理咨询有限公司组织实施的编号为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号的招标活动。代理人在开标、评标、合同采购过程中所签署的一切文件和处理与这有关的一切事务，我均予以承认。</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代理人无转委托权。特此委托。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投标人：（盖章）</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单位法定代表人：（签字或盖章）</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被授权委托人：（签字或盖章）</w:t>
      </w:r>
      <w:r/>
    </w:p>
    <w:p>
      <w:pPr>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格式3、</w:t>
      </w:r>
      <w:r>
        <w:rPr>
          <w:rFonts w:ascii="宋体" w:hAnsi="宋体" w:eastAsia="宋体" w:cs="宋体"/>
          <w:b/>
          <w:color w:val="000000"/>
          <w:sz w:val="24"/>
          <w:highlight w:val="none"/>
        </w:rPr>
        <w:t xml:space="preserve">开标一览表</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开标一览表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823"/>
        <w:gridCol w:w="1715"/>
        <w:gridCol w:w="2249"/>
        <w:gridCol w:w="897"/>
      </w:tblGrid>
      <w:tr>
        <w:trPr>
          <w:trHeight w:val="10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投标总报价（元）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8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是否小微企业：□中型  □小型       □微型    </w:t>
            </w:r>
            <w:r/>
          </w:p>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是否残疾人或监狱企业： □是       □否</w:t>
            </w:r>
            <w:r/>
          </w:p>
        </w:tc>
      </w:tr>
      <w:tr>
        <w:trPr>
          <w:trHeight w:val="58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其他说明：</w:t>
            </w:r>
            <w:r/>
          </w:p>
        </w:tc>
      </w:tr>
    </w:tbl>
    <w:p>
      <w:pPr>
        <w:ind w:firstLine="495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格式4、投标分项报价表</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投标分项报价表（标段）</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标段一:详见附件一《市区道路路灯景观养护设施量清单（标段一）》</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标段二：详见附件一《设施量清单-运维（标段二）》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报价说明：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报价为：全费用固定综合单价，单价包括完成该项目所有服务管理内容所需的人工、机械设备、工具器具、垃圾清运、耗材、通讯、服装、胸卡、办公设备、巡检器材、保险、劳保、高温费、防暑降温物品费用、维护、技术支持与培训及相关劳务支出等工作所发生的全部费用以及投标人企业管理费用、利润、各种税金和政策文件规定及合同包含的所有风险、责任等各项应有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2、分项报价表(详见报价清单)合计金额须与《开标一览表》投标总价一致。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3、招标书中第十三条：其他要求中所涉及的相关费用在投标报价中综合考虑。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4、报价金额全部采取人民币元表示，精确到小数点后2位，第3位四舍五入。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5、报价不得超过限定金额，否则不参与评审。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6、未按要求填报的，按无效投标处理。</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7、标段二：运维备品属于包干价。</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格式5、偏离表</w:t>
      </w:r>
      <w:r/>
    </w:p>
    <w:p>
      <w:pPr>
        <w:ind w:left="4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商务条款偏离表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848"/>
        <w:gridCol w:w="2692"/>
        <w:gridCol w:w="1128"/>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2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2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2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5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84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9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2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注：投标人的投标文件（除技术规格部分）与采购文件规定的有偏离的，应在此表中说明。未在上表中说明的，将被认为完全响应采购文件的规定。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投标人（公章）：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4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技术条款偏离表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3489"/>
        <w:gridCol w:w="3296"/>
        <w:gridCol w:w="1359"/>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62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采购文件的技术条款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投标文件的技术条款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9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9"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9"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13"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62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42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99"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注：投标人的投标文件（除商务条款部分）与采购文件规定的有偏离的，应在此表中说明。未在上表中说明的，将被认为完全响应采购文件的规定。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投标人（公章）：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right="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8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格式6、服务要求偏离表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服务要求偏离表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799"/>
        <w:gridCol w:w="1561"/>
        <w:gridCol w:w="1917"/>
        <w:gridCol w:w="1776"/>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9" w:type="dxa"/>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right="480"/>
        <w:jc w:val="righ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格式7、项目组人员一览表</w:t>
      </w:r>
      <w:r/>
    </w:p>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项目组人员一览表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324"/>
        <w:gridCol w:w="917"/>
        <w:gridCol w:w="844"/>
        <w:gridCol w:w="844"/>
        <w:gridCol w:w="1005"/>
        <w:gridCol w:w="1383"/>
        <w:gridCol w:w="1708"/>
      </w:tblGrid>
      <w:tr>
        <w:trPr>
          <w:trHeight w:val="85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注：1、“项目组人员”指投标单位针对完成本项目所配备的人员。根据招标（采购）文件要求填写。低于招标（采购）文件要求的视为未实质性响应招标（采购）文件要求，为无效标。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2、附各专业人员相关证明材料复印件；</w:t>
      </w:r>
      <w:r/>
    </w:p>
    <w:p>
      <w:pPr>
        <w:ind w:firstLine="480"/>
        <w:spacing w:before="156" w:after="156" w:line="85" w:lineRule="atLeast"/>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3、表格不够填写可添加。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23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3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3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格式8、企业投入本项目设备一览表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企业投入本项目设备一览表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1437"/>
        <w:gridCol w:w="1861"/>
        <w:gridCol w:w="1076"/>
        <w:gridCol w:w="1076"/>
        <w:gridCol w:w="2514"/>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（自有/租赁/承诺中标后配置）</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1、若事项较多，投标人可根据投标内容的实际情况另纸说明。</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2.按采购内容及评分要求提供相应证明材料。</w:t>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3.投入本项目专用设备型号规格及配备数量不得低于招标（采购）文件要求，否则为无效投标。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格式9、类似项目相关业绩一览表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类似项目相关业绩一览表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915"/>
        <w:gridCol w:w="2033"/>
        <w:gridCol w:w="2414"/>
        <w:gridCol w:w="1292"/>
        <w:gridCol w:w="1293"/>
      </w:tblGrid>
      <w:tr>
        <w:trPr>
          <w:trHeight w:val="68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注：1.若事项较多，投标人可根据投标内容的实际情况另纸说明。</w:t>
      </w:r>
      <w:r/>
    </w:p>
    <w:p>
      <w:pPr>
        <w:ind w:firstLine="82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2.将其他相关证明材料扫描件附在本表后面。</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right="-27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ind w:right="-27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格式10、资格证明文件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(1)、关于资格文件的声明函</w:t>
      </w:r>
      <w:r/>
    </w:p>
    <w:p>
      <w:pPr>
        <w:ind w:firstLine="42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关于资格文件的声明函</w:t>
      </w:r>
      <w:r/>
    </w:p>
    <w:p>
      <w:pPr>
        <w:ind w:firstLine="42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6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本公司愿就由贵公司组织实施的编号为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rPr>
        <w:tab/>
      </w:r>
      <w:r>
        <w:rPr>
          <w:rFonts w:ascii="宋体" w:hAnsi="宋体" w:eastAsia="宋体" w:cs="宋体"/>
          <w:color w:val="000000"/>
          <w:sz w:val="24"/>
          <w:highlight w:val="none"/>
        </w:rPr>
        <w:tab/>
      </w:r>
      <w:r>
        <w:rPr>
          <w:rFonts w:ascii="宋体" w:hAnsi="宋体" w:eastAsia="宋体" w:cs="宋体"/>
          <w:color w:val="000000"/>
          <w:sz w:val="24"/>
          <w:highlight w:val="none"/>
        </w:rPr>
        <w:t xml:space="preserve">投标人：（单位盖章）</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before="240" w:after="240" w:line="85" w:lineRule="atLeast"/>
        <w:tabs>
          <w:tab w:val="left" w:pos="384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tabs>
          <w:tab w:val="left" w:pos="38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3）中小企业声明函</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(2)、投标单位情况表</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投标单位情况表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单位名称（盖章）：</w:t>
      </w:r>
      <w:r>
        <w:rPr>
          <w:rFonts w:ascii="宋体" w:hAnsi="宋体" w:eastAsia="宋体" w:cs="宋体"/>
          <w:color w:val="000000"/>
          <w:sz w:val="24"/>
          <w:highlight w:val="none"/>
          <w:u w:val="single"/>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2619"/>
        <w:gridCol w:w="714"/>
        <w:gridCol w:w="4296"/>
        <w:gridCol w:w="629"/>
      </w:tblGrid>
      <w:tr>
        <w:trPr>
          <w:gridAfter w:val="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ind w:firstLine="2160"/>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2024年          万元</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2024年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自有面积         平方米</w:t>
            </w:r>
            <w:r/>
          </w:p>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承租面积         平方米</w:t>
            </w:r>
            <w:r/>
          </w:p>
        </w:tc>
      </w:tr>
      <w:tr>
        <w:trPr>
          <w:gridAfter w:val="1"/>
          <w:trHeight w:val="2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单位简历及内设机构情况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近三年来完成或正在履行的重大合同情况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最近3年内在经营过程中受到何种奖励或处分（情况和结果）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最近3年内有无因售假、售劣或是其他原因被消费者投诉或起诉的情况及说明（包括解决方式和结果）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最近3年内主要负责人有无因经济犯罪被司法机关追究的情况及说明</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获得技术认证的工程师及简介</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Height w:val="5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（3）中小企业声明函</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中小企业声明函</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本公司郑重声明，根据《政府采购促进中小企业发展管理办法》（财库[2020]46号）的规定，本公司（联合体）参加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承建（承接）企业为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（中型企业、小型企业、微型企业，三者选一填写）；</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承建（承接）企业为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（中型企业、小型企业、微型企业，三者选一填写）；</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企业名称（单位盖章）：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注：从业人员、营业收入、资产总额填报上一年度数据，无上一年度数据的新成立企业可不填报。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附：中小企业划型标准规定（工信部联企业〔2011〕300号）</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（一）农、林、牧、渔业。</w:t>
      </w:r>
      <w:r>
        <w:rPr>
          <w:rFonts w:ascii="宋体" w:hAnsi="宋体" w:eastAsia="宋体" w:cs="宋体"/>
          <w:color w:val="000000"/>
          <w:sz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（二）工业。</w:t>
      </w:r>
      <w:r>
        <w:rPr>
          <w:rFonts w:ascii="宋体" w:hAnsi="宋体" w:eastAsia="宋体" w:cs="宋体"/>
          <w:color w:val="000000"/>
          <w:sz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（三）建筑业。</w:t>
      </w:r>
      <w:r>
        <w:rPr>
          <w:rFonts w:ascii="宋体" w:hAnsi="宋体" w:eastAsia="宋体" w:cs="宋体"/>
          <w:color w:val="000000"/>
          <w:sz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（四）批发业。</w:t>
      </w:r>
      <w:r>
        <w:rPr>
          <w:rFonts w:ascii="宋体" w:hAnsi="宋体" w:eastAsia="宋体" w:cs="宋体"/>
          <w:color w:val="000000"/>
          <w:sz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（五）零售业。</w:t>
      </w:r>
      <w:r>
        <w:rPr>
          <w:rFonts w:ascii="宋体" w:hAnsi="宋体" w:eastAsia="宋体" w:cs="宋体"/>
          <w:color w:val="000000"/>
          <w:sz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（六）交通运输业。</w:t>
      </w:r>
      <w:r>
        <w:rPr>
          <w:rFonts w:ascii="宋体" w:hAnsi="宋体" w:eastAsia="宋体" w:cs="宋体"/>
          <w:color w:val="000000"/>
          <w:sz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（七）仓储业。</w:t>
      </w:r>
      <w:r>
        <w:rPr>
          <w:rFonts w:ascii="宋体" w:hAnsi="宋体" w:eastAsia="宋体" w:cs="宋体"/>
          <w:color w:val="000000"/>
          <w:sz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（八）邮政业。</w:t>
      </w:r>
      <w:r>
        <w:rPr>
          <w:rFonts w:ascii="宋体" w:hAnsi="宋体" w:eastAsia="宋体" w:cs="宋体"/>
          <w:color w:val="000000"/>
          <w:sz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（九）住宿业。</w:t>
      </w:r>
      <w:r>
        <w:rPr>
          <w:rFonts w:ascii="宋体" w:hAnsi="宋体" w:eastAsia="宋体" w:cs="宋体"/>
          <w:color w:val="000000"/>
          <w:sz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（十）餐饮业。</w:t>
      </w:r>
      <w:r>
        <w:rPr>
          <w:rFonts w:ascii="宋体" w:hAnsi="宋体" w:eastAsia="宋体" w:cs="宋体"/>
          <w:color w:val="000000"/>
          <w:sz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（十一）信息传输业。</w:t>
      </w:r>
      <w:r>
        <w:rPr>
          <w:rFonts w:ascii="宋体" w:hAnsi="宋体" w:eastAsia="宋体" w:cs="宋体"/>
          <w:color w:val="000000"/>
          <w:sz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（十二）软件和信息技术服务业。</w:t>
      </w:r>
      <w:r>
        <w:rPr>
          <w:rFonts w:ascii="宋体" w:hAnsi="宋体" w:eastAsia="宋体" w:cs="宋体"/>
          <w:color w:val="000000"/>
          <w:sz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（十三）房地产开发经营。</w:t>
      </w:r>
      <w:r>
        <w:rPr>
          <w:rFonts w:ascii="宋体" w:hAnsi="宋体" w:eastAsia="宋体" w:cs="宋体"/>
          <w:color w:val="000000"/>
          <w:sz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（十四）物业管理。</w:t>
      </w:r>
      <w:r>
        <w:rPr>
          <w:rFonts w:ascii="宋体" w:hAnsi="宋体" w:eastAsia="宋体" w:cs="宋体"/>
          <w:color w:val="000000"/>
          <w:sz w:val="21"/>
          <w:highlight w:val="none"/>
        </w:rPr>
        <w:t xml:space="preserve">从业人员1000人以下或营业收入5000万元以下的为中小微型企业。其中，从业人员</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（十五）租赁和商务服务业。</w:t>
      </w:r>
      <w:r>
        <w:rPr>
          <w:rFonts w:ascii="宋体" w:hAnsi="宋体" w:eastAsia="宋体" w:cs="宋体"/>
          <w:color w:val="000000"/>
          <w:sz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（十六）其他未列明行业。</w:t>
      </w:r>
      <w:r>
        <w:rPr>
          <w:rFonts w:ascii="宋体" w:hAnsi="宋体" w:eastAsia="宋体" w:cs="宋体"/>
          <w:color w:val="000000"/>
          <w:sz w:val="21"/>
          <w:highlight w:val="none"/>
        </w:rPr>
        <w:t xml:space="preserve">从业人员300人以下的为中小微型企业。其中，从业人员100人及以上的为中型企业；从业人员10人及以上的为小型企业；从业人员10人以下的为微型企业。</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4)残疾人福利性单位声明函</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单位名称（盖章）：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  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格式12、投标（响应）保证承诺书（必须提交）</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投标（响应）保证承诺书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（采购代理机构名称）：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我（单位/本人，以下统称我单位）自愿参加</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项目名称和采购编号）的投标（响应）,并做出如下承诺：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1.自投标（响应）截止时间至本项目发布中标（成交）公告为止，撤销投标（响应）；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2.中标（成交）后不依法与采购人签订合同；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3.中标（成交）后不按本采购文件规定向采购人提交履约保证金；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4.中标（成交）后不按本采购文件规定向贵方缴纳采购代理费。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二、我单位知晓上述行为的法律后果，承认本承诺书作为贵方（或采购人）要求我单位履行违约赔偿义务的依据作用。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投标（响应）人：（盖公章）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电话：传真：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电子邮件：邮编：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法定代表人或委托代理人(签字或签章)：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格式13、养护作业人员配备承诺书或作业人员配备承诺书（格式自拟）</w:t>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注：投标人根据所投标段对应标段要求承诺。</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格式14、项目组办公场所承诺书（根据标段要求提供）</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代理机构：</w:t>
      </w:r>
      <w:r/>
    </w:p>
    <w:p>
      <w:pPr>
        <w:ind w:left="57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号招标文件，经仔细阅读和研究，我司承诺：若我司中标，中标后在招标文件规定范围内设有固定的项目组办公场所，办公场所面积≥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平米。</w:t>
      </w:r>
      <w:r>
        <w:rPr>
          <w:rFonts w:ascii="宋体" w:hAnsi="宋体" w:eastAsia="宋体" w:cs="宋体"/>
          <w:b/>
          <w:color w:val="000000"/>
          <w:sz w:val="24"/>
          <w:highlight w:val="none"/>
        </w:rPr>
        <w:t xml:space="preserve">相关证明材料须在进场核验时向采购单位提交</w:t>
      </w:r>
      <w:r>
        <w:rPr>
          <w:rFonts w:ascii="宋体" w:hAnsi="宋体" w:eastAsia="宋体" w:cs="宋体"/>
          <w:color w:val="000000"/>
          <w:sz w:val="24"/>
          <w:highlight w:val="none"/>
        </w:rPr>
        <w:t xml:space="preserve">。</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法定代表人或授权代理人：(签字或盖章)</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格式15、联合体协议书（</w:t>
      </w:r>
      <w:r>
        <w:rPr>
          <w:rFonts w:ascii="宋体" w:hAnsi="宋体" w:eastAsia="宋体" w:cs="宋体"/>
          <w:color w:val="000000"/>
          <w:sz w:val="24"/>
          <w:highlight w:val="none"/>
        </w:rPr>
        <w:t xml:space="preserve">联合体各方应当向采购人提交联合体协议书，载明联合体各方承担的工作和义务，明确联合体牵头方。否则投标无效。（如大中型企业与小微企业组成联合体，需写明小微企业的合同份额占到合同总金额具体比例，不提供则会影响享受报价折扣优惠）</w:t>
      </w:r>
      <w:r>
        <w:rPr>
          <w:rFonts w:ascii="仿宋" w:hAnsi="仿宋" w:eastAsia="仿宋" w:cs="仿宋"/>
          <w:color w:val="000000"/>
          <w:sz w:val="24"/>
          <w:highlight w:val="none"/>
        </w:rPr>
        <w:t xml:space="preserve">）（标段二）</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牵头人名称：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法定住所：</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成员二名称：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法定住所：</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鉴于上述各成员单位经过友好协商，自愿组成</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（联合体名称）联合体，共同参加</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（招标人名称）（以下简称招标人）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（标段名称）（以下简称本项目）的项目投标并争取赢得本项目承包合同（以下简称合同）。现就联合体投标事宜订立如下协议：</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（某成员单位名称）为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（联合体名称）牵头人。</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4.联合体各成员单位内部的职责分工如下：</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。按照本条上述分工，联合体成员单位各自所承担的合同工作量比例如下：</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5.投标工作和联合体在中标后项目实施过程中的有关费用按各自承担的工作量分摊。</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6.联合体中标后，本联合体协议是合同的附件，对联合体各成员单位有合同约束力。</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7.本协议书自签署之日起生效，联合体未中标或者中标时合同履行完毕后自动失效。</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8.本协议书一式</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份，联合体成员和招标人各执一份。</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牵头人名称：（盖单位章）</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成员二名称：（盖单位章）</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年月日</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备注：1.本协议书由委托代理人签字的，应附法定代表人签字的授权委托书。</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2.投标人未采用联合体投标的，投标文件中不需联合体协议书，也无须盖单位章和签字。</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第四章 招标内容</w:t>
      </w:r>
      <w:r/>
    </w:p>
    <w:p>
      <w:pPr>
        <w:ind w:firstLine="472"/>
        <w:spacing w:line="85" w:lineRule="atLeast"/>
        <w:tabs>
          <w:tab w:val="left" w:pos="3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受</w:t>
      </w:r>
      <w:r>
        <w:rPr>
          <w:rFonts w:ascii="宋体" w:hAnsi="宋体" w:eastAsia="宋体" w:cs="宋体"/>
          <w:color w:val="000000"/>
          <w:sz w:val="24"/>
          <w:highlight w:val="none"/>
          <w:u w:val="single"/>
        </w:rPr>
        <w:t xml:space="preserve">苏州市市政管理中心</w:t>
      </w:r>
      <w:r>
        <w:rPr>
          <w:rFonts w:ascii="宋体" w:hAnsi="宋体" w:eastAsia="宋体" w:cs="宋体"/>
          <w:color w:val="000000"/>
          <w:sz w:val="24"/>
          <w:highlight w:val="none"/>
        </w:rPr>
        <w:t xml:space="preserve">的委托，</w:t>
      </w:r>
      <w:r>
        <w:rPr>
          <w:rFonts w:ascii="宋体" w:hAnsi="宋体" w:eastAsia="宋体" w:cs="宋体"/>
          <w:color w:val="000000"/>
          <w:sz w:val="24"/>
          <w:highlight w:val="none"/>
          <w:u w:val="single"/>
        </w:rPr>
        <w:t xml:space="preserve">苏州中润建设管理咨询有限公司</w:t>
      </w:r>
      <w:r>
        <w:rPr>
          <w:rFonts w:ascii="宋体" w:hAnsi="宋体" w:eastAsia="宋体" w:cs="宋体"/>
          <w:color w:val="000000"/>
          <w:sz w:val="24"/>
          <w:highlight w:val="none"/>
        </w:rPr>
        <w:t xml:space="preserve">对其所需采购的</w:t>
      </w:r>
      <w:r>
        <w:rPr>
          <w:rFonts w:ascii="宋体" w:hAnsi="宋体" w:eastAsia="宋体" w:cs="宋体"/>
          <w:color w:val="000000"/>
          <w:sz w:val="24"/>
          <w:highlight w:val="none"/>
          <w:u w:val="single"/>
        </w:rPr>
        <w:t xml:space="preserve">市区照明设施运维服务(含控制平台及设备运维)</w:t>
      </w:r>
      <w:r>
        <w:rPr>
          <w:rFonts w:ascii="宋体" w:hAnsi="宋体" w:eastAsia="宋体" w:cs="宋体"/>
          <w:color w:val="000000"/>
          <w:sz w:val="24"/>
          <w:highlight w:val="none"/>
        </w:rPr>
        <w:t xml:space="preserve">在国内组织公开招标。欢迎符合招标公告中投标资格条件的各供应商前来参加投标。</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一、项目编号：JSZC-320500-SZZR-G2025-0001</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二、项目名称：市区照明设施运维服务(含控制平台及设备运维)   </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三、预算金额：人民币陆仟零肆拾捌万零肆佰伍拾壹元壹角柒分‌‌，¥60480451.17元。</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4852"/>
        <w:gridCol w:w="29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采购预算（元）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市区照明设施维护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55399201.17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市区照明控制平台及设备运维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5081250.00</w:t>
            </w:r>
            <w:r/>
          </w:p>
        </w:tc>
      </w:tr>
    </w:tbl>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注：投标报价不得超过本次采购预算及各标段分项预算。</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四、项目内容</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标段一：市区照明设施维护</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（一）本项目包含照明类设施的日常养护</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工作内容包括苏州市姑苏区（含原平江新城、沧浪新城、金阊新城）采购单位管理的路灯照明设施、景观灯照明设施、高架照明设施、专变等，同时包含照明设施范围内的所有计量箱、控制箱（不含三遥终端）、手孔井及井盖、电缆（含控制电缆）、灯位电缆、保护管、设施基础、支架杆件、景观控制弱电设备、配电线路、接地系统等其他照明附属设施。</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（二）养护范围</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单位管辖范围内区域，主要为苏州市姑苏区（含原平江新城、沧浪新城、金阊新城）。详见附件一《市区道路路灯景观养护设施量清单（标段一）》，包括相关的照明器具（灯杆、支架、单灯控制器、基础等）、变配电设施、线路设施、防雷与接地设施、景观控制弱电设备等其他照明附属设施。</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（三）合同履行期限：标段一：</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。（实际开始日期具体以采购方进场通知单为准）。</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（四）服务范围、要求及考核</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附件一《市区道路路灯景观养护设施量清单（标段一）》、附件二《人员、设备配备基本要求（标段一）》、附件三《养护技术要求（标段一）》、附件四《安全要求（标段一）》、附件五《市市政管理中心照明设施养护考核监管表（标段一）》和附件六《商业险种（标段一）》。</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（五）人员车辆（设备）配备基本要求</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1、人员配备基本要求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详见附件二《人员、设备配备基本要求（标段一）》</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本项目配备人员包含项目组人员和维修作业人员，项目进场前采购人按要求进行核验，进场后每月核查一次，不符合要求的视为违反合同。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项目组人员包括项目经理、专职安全员、预算员及项目管理技术人员。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维修作业人员为常驻人员，合同期内不得减少。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中标后，维修作业人员必须按采购方要求统一服装，相关费用包含于投标报价内。</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2、设备配备基本要求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详见附件二《人员、设备配备基本要求（标段一）》</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拟投入设备（包括数量及规格参数等）须满足招标文件的要求。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配备车辆，项目进场前采购人按要求进行核验，进场后每月核查一次，不符合要求的视为违反合同。中标后，车辆等设备外观要求标识统一，色调一致，中标后，必须按采购方要求进行设备涂装，相关费用包含于投标报价内。</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（六）人员、车辆设备使用原则</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1、项目组人员使用原则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原则上不得更换项目组人员。中标后项目组人员未按投标承诺到位或中标单位未经采购方批准私自更换的，一经发现处罚100000元/人.次，同时中标单位仍应按投标承诺将人员配备到位。安全员在工作日监督现场养护工作安全措施，并实施上报维修工作于采购方，项目经理合同期内工作安排受采购方管理，安全员合同期内工作安排受采购方直接调遣，采购方随时抽查到岗情况。安全员每日向采购方进行业务日报告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如需更换项目组人员，应向采购方提出书面申请，经采购方批准后方可进行更换，所更换人员资格不得低于其投标文件承诺；中标后由于项目组人员现场管理工作不到位，或无法起到应有的作用，视为不称职，采购方将要求中标单位更换项目组人员，且所更换人员不得低于其投标文件承诺。无论中标单位申请更换或因不称职更换项目组人员均视为中标单位违约行为，采购方将向中标单位收取违约金，项目经理80000元/人.次，项目组其他人员50000元/人.次。投标文件中的项目组人员必须唯一，不得选择性提供，否则视为未实质性响应招标文件要求。</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2、服务期间保持作业人员稳定相关要求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作业人员服务期间应保持稳定，且原则上不得更换，若确需更换应向采购方提出书</w:t>
      </w:r>
      <w:r>
        <w:rPr>
          <w:rFonts w:ascii="宋体" w:hAnsi="宋体" w:eastAsia="宋体" w:cs="宋体"/>
          <w:color w:val="000000"/>
          <w:sz w:val="24"/>
          <w:highlight w:val="none"/>
        </w:rPr>
        <w:t xml:space="preserve">面申请，经采购方批准后方可进行更换，更换人员资格不得低于招标文件要求。作业人员中电工每年更换人数不得超过25%,在此区间内每更换一人采购方向中标人收取违约金 2000元/人次，更换人员超过25%部分，每更换一人采购方向中标人收取违约金40000元/人次。作业人员中若未经采购人批准私自更换人员，每发现一人采购方向中标人收取违约金50000元。违约金由采购人从服务费中扣除。采购方有权对中标单位聘用的人员和培训情况进行考察，发现有不符合投标文件及工作要求的人员, 有权要求中标单位限期更换人员或重新培训合格后上岗。</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中标后进场前需配备作业管理系统，具备定位作业车辆及人员，监控工作轨迹，考勤管理等功能。该系统须能在采购方工作基地安装使用，采购方可随时核查相关信息。此项作为进场核验条件之一，费用投标单位须考虑在投标报价中。投标人应为参与本项目的所有人员购买意外伤害险，并在中标后一个月内向采购方提供证明文件。若因为投标单位未及时购买意外伤害险而在此期间投标单位人员造成任何人员伤亡事故，采购方不承担任何责任。</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3、车辆（设备）使用原则（按甲方要求涂装的车辆，只能在甲方管辖范围内工作）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应按照采购文件要求配备相关车辆（设备），在合同履行过程中，如发现车辆在非甲方管辖范围内工作的，或在检查过程中有车辆（设备）不到位现象的，或未经采购人同意更换车辆（设备）的，将被视为违约，采购人有权对中标人收取违约金10000元/台.次。若出现三台.次（含）以上该类违约现象，采购人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现自有或已租赁车辆（设备）（投标时承诺配置的“现自有或已租赁"设备）在合同开始时，投标人应按照其投标书承诺将“现自有或已租赁”车辆（设备）配备到位。若合同开始时投入本标段的现自有或已租赁车辆（设备）未到位的，则采购人有权取消其中标资格（已签订合同的终止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ascii="宋体" w:hAnsi="宋体" w:eastAsia="宋体" w:cs="宋体"/>
          <w:b/>
          <w:color w:val="000000"/>
          <w:sz w:val="24"/>
          <w:highlight w:val="none"/>
        </w:rPr>
        <w:t xml:space="preserve">投标人承诺设备（投标时承诺在中标后配备的车辆（设备），投标人应在规定时间前将承诺配置的车辆（设备）配备到位，否则，无论采购人是否同意中标单位进场服务，中标单位均应按照采购人进场核验报告中明确的限期整改期限，将设备配备到位，并支付违约金。整改期限届满，如仍未配备到位，采购人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合同履行过程中，中标单位如需更换本项目车辆（设备），应向采购单位提出书面申请，经采购单位批准后方可进行更换，所更换车辆（设备）的型号、参数、性能等不得低于其投标文件承诺，且机动车登记证书的初次登记日期不得早于被更换车辆（设备），中标单位更换车辆（设备）的，采购人有权对中标人收取违约金10000元/台.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（5）合同履行期间，中</w:t>
      </w:r>
      <w:r>
        <w:rPr>
          <w:rFonts w:ascii="宋体" w:hAnsi="宋体" w:eastAsia="宋体" w:cs="宋体"/>
          <w:color w:val="000000"/>
          <w:sz w:val="24"/>
          <w:highlight w:val="none"/>
        </w:rPr>
        <w:t xml:space="preserve">标单位应做好设备的维护保养工作，若机械化作业设备、专用设备出现故障，中标单位应及时维修或采用临时提供备用设备来进行工作，若经维修后仍无法满足养护要求的，中标单位应及时进行更换，并报请采购单位同意，所更换设备的型号、参数、性能等不得低于其投标文件承诺，且机动车登记证书的初次登记日期不得早于被更换车辆（设备）。中标单位拒绝更换或更换不及时的，将视为违约，采购单位有权对中标单位收取违约金（机械化作业设备收取违约金5000元/辆天，专用设备收取2000元/台天。若出现三次（含）以上该违约现象，采购单位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（6）在服务期内，中标单位有义务无条件接受由采购单位采购并投入的设备，同时做好设备的使用、维护等工作。</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（七）项目组固定办公场所要求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中标单位自行解决养护工作人员生活、休息及材料堆放用房，须在苏州大市内设有固定的项目组办公场所，</w:t>
      </w:r>
      <w:r>
        <w:rPr>
          <w:rFonts w:ascii="宋体" w:hAnsi="宋体" w:eastAsia="宋体" w:cs="宋体"/>
          <w:b/>
          <w:color w:val="000000"/>
          <w:sz w:val="24"/>
          <w:highlight w:val="none"/>
        </w:rPr>
        <w:t xml:space="preserve">面积不小于1000平方米</w:t>
      </w:r>
      <w:r>
        <w:rPr>
          <w:rFonts w:ascii="宋体" w:hAnsi="宋体" w:eastAsia="宋体" w:cs="宋体"/>
          <w:color w:val="000000"/>
          <w:sz w:val="24"/>
          <w:highlight w:val="none"/>
        </w:rPr>
        <w:t xml:space="preserve">，且</w:t>
      </w:r>
      <w:r>
        <w:rPr>
          <w:rFonts w:ascii="宋体" w:hAnsi="宋体" w:eastAsia="宋体" w:cs="宋体"/>
          <w:b/>
          <w:color w:val="000000"/>
          <w:sz w:val="24"/>
          <w:highlight w:val="none"/>
        </w:rPr>
        <w:t xml:space="preserve">承诺</w:t>
      </w:r>
      <w:r>
        <w:rPr>
          <w:rFonts w:ascii="宋体" w:hAnsi="宋体" w:eastAsia="宋体" w:cs="宋体"/>
          <w:color w:val="000000"/>
          <w:sz w:val="24"/>
          <w:highlight w:val="none"/>
        </w:rPr>
        <w:t xml:space="preserve">办公场所为该项目专用，不得用于其他项目。</w:t>
      </w:r>
      <w:r>
        <w:rPr>
          <w:rFonts w:ascii="宋体" w:hAnsi="宋体" w:eastAsia="宋体" w:cs="宋体"/>
          <w:b/>
          <w:color w:val="000000"/>
          <w:sz w:val="24"/>
          <w:highlight w:val="none"/>
        </w:rPr>
        <w:t xml:space="preserve">相关证明材料须在进场核验时向采购人提交</w:t>
      </w:r>
      <w:r>
        <w:rPr>
          <w:rFonts w:ascii="宋体" w:hAnsi="宋体" w:eastAsia="宋体" w:cs="宋体"/>
          <w:color w:val="000000"/>
          <w:sz w:val="24"/>
          <w:highlight w:val="none"/>
        </w:rPr>
        <w:t xml:space="preserve">。相关证明材料要求如下：如为自有的, 提供房产证扫描件（提交时须提供房产证原件核验）；如为租赁的，提供租赁合同（提交时须提供租赁合同原件核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采购单位有权按10000元/次的标准对中标单位收取违约金。若出现三次（含）以上该违约现象，采购单位有权解除合同。</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（八）进场核验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进场核验时间为2026年1月1日之前，采购单位组织中标单位</w:t>
      </w:r>
      <w:r>
        <w:rPr>
          <w:rFonts w:ascii="宋体" w:hAnsi="宋体" w:eastAsia="宋体" w:cs="宋体"/>
          <w:color w:val="000000"/>
          <w:sz w:val="24"/>
          <w:highlight w:val="none"/>
        </w:rPr>
        <w:t xml:space="preserve">项目经理等相关人员对中标单位投入本项目的人员、车辆、设备、工具、保险、服装、办公场所、管理软件等按照招标文件的要求配备齐全，进行现场核验。由采购单位出具进场核验报告。现场核验符合招标文件要求的，由采购单位出具“合格"的进场核验报告并明确进场日期。现场核验不符合招标文件要求的，由采购单位根据实际情况决定是否同意进场服务，在进场核验报告中明确不符合事项及整改期限，无论采购单位是否同意进场服务，中标单位均应按每项2000元/天的标准向采购单位支付违约金，违约金收取时间自核验之日起至中标单位整改完成核验合格之日止。</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（九）防暑降温用品发放要求:按相关要求执行。</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（十）应急演练要求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中标单位需要按照采购方需求，组织应急演练。</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（十一）危害物品处理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照相关法规及政策要求，中标单位需做好危废物品专业处理工作，对养护中产生的节能灯泡、日光灯、高压钠灯等含汞或其他危害物质的废旧材料，应交由专业机构回收处理，相关费用包含在合同内。每季度提交处理报告给采购单位。</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（十二）其他要求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1、管理交接时间：中标后，由采购单位根据实际进度，书面通知进场时间，并按实际服务期结算费用。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b/>
          <w:color w:val="000000"/>
          <w:sz w:val="24"/>
          <w:highlight w:val="none"/>
        </w:rPr>
        <w:t xml:space="preserve">实际养护的各种类型灯具与相应数量在中标后，由双方现场清点确认。若实际养护数量与招标文件相关内容不符，以养护范围内实际数量为准进行维护、保养</w:t>
      </w:r>
      <w:r>
        <w:rPr>
          <w:rFonts w:ascii="宋体" w:hAnsi="宋体" w:eastAsia="宋体" w:cs="宋体"/>
          <w:color w:val="000000"/>
          <w:sz w:val="24"/>
          <w:highlight w:val="none"/>
        </w:rPr>
        <w:t xml:space="preserve">。</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3、合同履行期间将采用考核办法（详见招标文件附件）对该招标项目进行检査考核。</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（1）日常考核采取集中考核、分散考核和暗查相结合的方式，每月不定期考核，季度重点区域考核，考核结果月末汇总；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4、在合同履行期间，甲方有权根据实际情况对考核方式及考核内容作出变更，乙方应无条件接受。</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5、中标单位每周对环古城河景观夜间灯光整体效果进行一次行船巡视。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6、中标单位在遇应急抢修和110联动通知事件时，必须1小时内到达现场处置。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7、合同期间内，新移交养护的设施，养护金额不予调整。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8、照明设施维修所涉及的灯具器材及相关耗材、</w:t>
      </w:r>
      <w:r>
        <w:rPr>
          <w:rFonts w:ascii="宋体" w:hAnsi="宋体" w:eastAsia="宋体" w:cs="宋体"/>
          <w:color w:val="000000"/>
          <w:sz w:val="24"/>
          <w:highlight w:val="none"/>
        </w:rPr>
        <w:t xml:space="preserve">部件等由中标单位提供，且须使用同品种、规格、型号的材料（经采购单位批准的除外），并根据采购单位要求提供相关检测报告，现场材料安装、更换时间不得超过30天，确保路灯、景观灯及配套设施正常运行，费用投标单位须考虑在投标报价中。若中标单位未按时、未按规定安装、修复，采购单位有权安排第三方进行安装、修复，所发生的材料费及补安装费用由中标单位承担责任。因使用假冒伪劣产品或使用的材料性能低于要求规定或因延迟修复导致道路路灯熄灭或亮灯率低于要求，造成重大影响、人身伤害或财产损失等安全事故的，由中标单位承担责任及相关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9、设施被盗恢复、交通事故造成的照明设施损坏恢复及人为破坏设施恢复发生的全部费用均由中标单位承担，并在30天</w:t>
      </w:r>
      <w:r>
        <w:rPr>
          <w:rFonts w:ascii="宋体" w:hAnsi="宋体" w:eastAsia="宋体" w:cs="宋体"/>
          <w:color w:val="000000"/>
          <w:sz w:val="24"/>
          <w:highlight w:val="none"/>
        </w:rPr>
        <w:t xml:space="preserve">内修复、补齐。中标单位超出规定时间仍不修复、补齐的，采购单位有权安排第三方进行修复、补齐，所发生的费用从中标单位养护费中扣除，因未在规定时间内修复、补齐造成人身伤害或财产损失等安全事故的，由中标单位承担责任及相关费用。本项目服务期间内发生的设施拆除迁移由中标单位负责实施，废弃照明设备处置：若产生废弃照明设备，中标单位需处理废弃照明设备，采购人进行监管，中标单位通过采购人核定的第三方评估公司对废弃照明设备进行评估并按照采购人要求公开拍卖，所得款项统一上缴至采购人明确的财政账户，所产生的全部费用由中标单位承担。</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10、对于中标单位养护期间由于养护工作不能及时完成，且造成较大影响的，采购单位有权安排第三方进行养护，所发生的费用从中标单位养护费中扣除。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11、投标人提供的服务能够至少达到以上要求，同时明确详细的服务方案。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12、投标人必须承诺招标文件中提出的全部管理要求，如未能响应其中某些条款，应在文件中逐条列出，未列出的视同响应。</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标段二：市区照明控制平台及设备运维</w:t>
      </w:r>
      <w:r/>
    </w:p>
    <w:p>
      <w:pPr>
        <w:ind w:right="56"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w:t>
      </w:r>
      <w:r>
        <w:rPr>
          <w:rFonts w:ascii="宋体" w:hAnsi="宋体" w:eastAsia="宋体" w:cs="宋体"/>
          <w:color w:val="000000"/>
          <w:sz w:val="24"/>
          <w:highlight w:val="none"/>
        </w:rPr>
        <w:t xml:space="preserve">项目概述</w:t>
      </w:r>
      <w:r/>
    </w:p>
    <w:p>
      <w:pPr>
        <w:ind w:right="56"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1、服务范围：采购单位管辖范围内区域，主要为苏州市姑苏区（含原平江新城、沧浪新城、金阊新城）。</w:t>
      </w:r>
      <w:r>
        <w:rPr>
          <w:rFonts w:ascii="宋体" w:hAnsi="宋体" w:eastAsia="宋体" w:cs="宋体"/>
          <w:b/>
          <w:color w:val="000000"/>
          <w:sz w:val="24"/>
          <w:highlight w:val="none"/>
        </w:rPr>
        <w:t xml:space="preserve">详见附件一《设施量清单-运维（标段二）》</w:t>
      </w:r>
      <w:r>
        <w:rPr>
          <w:rFonts w:ascii="宋体" w:hAnsi="宋体" w:eastAsia="宋体" w:cs="宋体"/>
          <w:color w:val="000000"/>
          <w:sz w:val="24"/>
          <w:highlight w:val="none"/>
        </w:rPr>
        <w:t xml:space="preserve">。</w:t>
      </w:r>
      <w:r/>
    </w:p>
    <w:p>
      <w:pPr>
        <w:ind w:right="56" w:firstLine="464"/>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2、服务需求：</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（1）苏州市城市照明监控管理平台全年全天候24小时不间断运行监控。</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按采购方要求完成上述平台的所有功能和作业内容，如遇平台升级或调整，按照采购方要求执行。</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（2）照明设施报修及投诉等来源的接收、录入、督办与处理等。</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包括24小时值班报修电话（含上级单位在线视频点调）、寒山闻钟、12345便民服务、110联动、领导信箱以及其他渠道等工单。</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（3）智慧照明物联网监测设备日常维护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辖区范围内单灯控制器设备的运行监控、计量箱/控制箱/计控箱内照明监控终端（含二次回路、电流互感器、电子门锁、除湿器、路由器、漏电监测设备、水位监测设备、开关电源、天线、箱门行程开关等）运行监控、巡视、清洁检修、定期维护、应急抢修、程序升级、运行维护培训等，如遇事故损坏、偷盗破坏、拆迁移、升级改造等所有影响正常运行及养护周期内设施新增等因素，费用包干不再另算，按采购方要求完成上述作业内容。</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（4）照明控制中心设备日常维护。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包括（但不仅限于）前端监控计算机、服务器、光端机、交换机、路由器、光照度计、GPS 校时设备、短信息收发设备、UPS、大屏等，作业内容包括日常维护和故障维护，直到保证所有系统和设备正常运行。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（5）照明控制中心系统平台软件日常更新维护。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包括（但不限于）平台软件的系统监控和性能优化、数据备份和恢复、安全更新和漏洞修复、用户权限管理、日志和错误处理、数据库维护、用户支持和培训、版本管理和升级等。</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（6）新接收工程的终端和单灯开通以及配合采购方验收等相关工作。</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（7）对照明监控终端、单灯、漏电监测、水位监测等设备的接入测试。</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（8）照明控制中心通信网络日常维护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包括（但不限于）控制中心通信网络定期检查、维护和优化，以确保机房网络系统及监控终端通讯的正常运行和安全性。</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（9）终端通讯服务：</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数据实时传输保障:提供城市照明监控数据实时传输网络保障。</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通讯网络服务保障：提供7*24小时响应能力，按故障级别限时解决。重大故障如在12小时内不能解决问题，免费在下一个24小时内提供同等或更高的服务方案，直至原故障得以修复。确保平台内“五遥终端”通信正常，避免出现设备掉线失联现象。</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标准:服务期间，对控制中心网络及终端通讯提供技术支持服务，包括7*24小时客服电话、现场服务等，提供支撑服务保障团队。除日常维护服务内容外，如项目出现问题的，自收到甲方通知后30分钟内响应,6小时内解决问题,6小时内无法解决问题的，在24小时内提供满足甲方的使用要求的备用流量。</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（10）照明设施养护质量及时效性考核（监控平台侧发生的部分）</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监控平台通过各类故障报警及数据分析后，通过下发系统工单及便民服务工单给照明设施养护单位，并按照</w:t>
      </w:r>
      <w:r>
        <w:rPr>
          <w:rFonts w:ascii="宋体" w:hAnsi="宋体" w:eastAsia="宋体" w:cs="宋体"/>
          <w:b/>
          <w:color w:val="000000"/>
          <w:sz w:val="24"/>
          <w:highlight w:val="none"/>
        </w:rPr>
        <w:t xml:space="preserve">考核要求（详见附件二《控制中心运行维护考核要求2026-2027（标段二）》）</w:t>
      </w:r>
      <w:r>
        <w:rPr>
          <w:rFonts w:ascii="宋体" w:hAnsi="宋体" w:eastAsia="宋体" w:cs="宋体"/>
          <w:color w:val="000000"/>
          <w:sz w:val="24"/>
          <w:highlight w:val="none"/>
        </w:rPr>
        <w:t xml:space="preserve"> 进行相应考核工作。</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（11）配合控制中心完成年度终端改造及应用试点专项项目的完成。</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（12）配合控制中心完成苏州市智慧市政管理系统项目（城市道路、桥梁、涵洞、隧道）照明信息系统平台建设和接入工作。</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遇到突发性自然灾害或重大活动保障，配合控制中心做好上级部门下达的灯光保障的组织实施工作；特殊情况（如恶劣气候需提前开灯或节假日灯光保障、城市应急响应等），配合控制中心调整开关灯时间、方案下发及每年相应的开关灯时间调整。</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（14）相关业务科室的协调配合工作。</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（15）合同履行期限：</w:t>
      </w:r>
      <w:r>
        <w:rPr>
          <w:rFonts w:ascii="宋体" w:hAnsi="宋体" w:eastAsia="宋体" w:cs="宋体"/>
          <w:color w:val="000000"/>
          <w:sz w:val="24"/>
          <w:highlight w:val="none"/>
        </w:rPr>
        <w:t xml:space="preserve">标段二：</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。（实际开始日期具体以采购方进场通知单为准）。</w:t>
      </w:r>
      <w:r/>
    </w:p>
    <w:p>
      <w:pPr>
        <w:ind w:right="56"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highlight w:val="none"/>
        </w:rPr>
        <w:t xml:space="preserve">（16）</w:t>
      </w:r>
      <w:r>
        <w:rPr>
          <w:rFonts w:ascii="宋体" w:hAnsi="宋体" w:eastAsia="宋体" w:cs="宋体"/>
          <w:b/>
          <w:color w:val="000000"/>
          <w:sz w:val="24"/>
          <w:highlight w:val="none"/>
        </w:rPr>
        <w:t xml:space="preserve">其他要求：详见附件三《商业险种（标段二）》</w:t>
      </w:r>
      <w:r/>
    </w:p>
    <w:p>
      <w:pPr>
        <w:ind w:left="560" w:right="56" w:firstLine="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（二）养护标的内容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1、苏州市市区照明控制管理概述：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目前苏州市市政管理中心照明监控管理平台同时并行运行有两套照明监控系统（数字化城市照明综合管理平台与苏州智慧照明管理监控平台），对辖区路灯、景观灯等实施全覆盖监控。系统实现对现场终端和单灯的“遥控、遥信、遥测、遥视、遥调”等功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1.2中心核心设备包括（但不仅限于）前端监控计算机、服务器、光端机、交换机、路由器、光照度计、GPS 校时设备、短信息收发设备、UPS、大屏等。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中心照明监控管理平台，包括运行管理子系统、便民服务子系统、智慧照明（含单灯监控模块、视频监控模块以及智慧路灯模块）、GIS子系统、设施档案子系统、生产管理子系统、系统维护子系统等，运行控制照明监控终端约1676台，单灯控制器约21000套。</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 中心核心通信网络包括控制中心通信网络和三遥终端无线通信网络。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2、本项目工作内容包括：</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2.1、苏州市城市照明监控管理平台全年全天候24小时不间断运行监控。</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按采购方要求完成上述平台的所有功能和作业内容，如遇平台升级或调整，按照采购方要求执行。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2.2、照明设施报修及投诉等来源工单的接收、录入、督办与处理等。</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包括24小时值班报修电话（含上级单位在线视频点调）、寒山闻钟、12345便民服务、110联动、领导信箱以及其他渠道等工单。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2.3、智慧照明物联网监测设备日常维护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辖区范围内单灯控制器和遥视视频点设备的运行监控、计量箱/控制箱/计控箱内照明监控终端（含二次回路、电流互感器、电子门锁、除湿器、路由器、漏电监测设备、水位监测设备、开关电源、天线、箱门行程开关等）运行监控、巡视、清洁检修、定期维护、应急抢修、程序升级、运行维护培训等，如遇事故损坏、偷盗破坏、拆迁移、升级改造等所有影响正常运行及养护周期内设施新增等因素，费用包干不再另算，按采购方要求完成上述作业内容。</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2.4、照明控制中心设备及系统维护。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包括（但不仅限于）前端监控计算机、服务器、光端机、交换机、路由器、光照度计、GPS 校时设备、短信息收发设备、UPS、大屏等，作业内容包括日常维护和故障维护，直到保证所有系统和设备正常运行。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2.5、照明控制中心通信网络日常维护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包括（但不限于）控制中心及监控终端通信网络定期检查、维护和优化，以确保机房网络系统及监控终端通讯的正常运行和安全性。</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2.6、照明控制中心系统平台软件日常更新维护。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包括（但不限于）平台软件的系统监控和性能优化、数据备份和恢复、安全更新和漏洞修复、用户权限管理、日志和错误处理、数据库维护、用户支持和培训、版本管理和升级等。</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2.7、新接收工程的监控终端和单灯开通以及配合采购方验收等相关工作。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2.8、对照明监控终端、单灯、漏电监测、水位监测等设备的接入测试。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2.9、智慧巡检终端试点。</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计划在现有平台的基础上试点应用一套智能巡检终端，通过综合管理平台赋能并加载AI算法，集成车载调度系统，数据和应用融合，实现多种照明设施病害监测、照度均匀度分析及城市光环境监测预警等功能。</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2.10、照明设施养护质量及时效性考核（监控平台侧发生的部分）</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监控平台通过各类故障报警及数据分析后，通过下发系统工单及便民服务工单给照明设施养护单位，并按照考核要求 （详见二） 进行相应考核工作。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2.11、配合控制中心完成年度终端改造及应用试点专项项目的完成。</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2.12、配合控制中心完成苏州市智慧市政管理系统项目（城市道路、桥梁、涵洞、隧道）照明信息系统平台建设和接入工作。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遇到突发性自然灾害或重大活动保障，配合控制中心做好上级部门下达的灯光保障的组织实施工作；特殊情况（如恶劣气候需提前开灯或节假日灯光保障等），配合控制中心调整开关灯时间、方案下发及每年相应的开关灯时间调整。</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2.14、照明控制中心设备的更换部署工作。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1）工作站电脑（含主机、显示器、键盘、鼠标等整套）4套按要求更换部署；</w:t>
      </w:r>
      <w:r/>
    </w:p>
    <w:p>
      <w:pPr>
        <w:ind w:firstLine="472"/>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2）服务器主机2U机架</w:t>
      </w:r>
      <w:r>
        <w:rPr>
          <w:rFonts w:hint="eastAsia" w:ascii="宋体" w:hAnsi="宋体" w:eastAsia="宋体" w:cs="宋体"/>
          <w:color w:val="000000"/>
          <w:sz w:val="24"/>
          <w:highlight w:val="none"/>
        </w:rPr>
        <w:t xml:space="preserve">通用</w:t>
      </w:r>
      <w:r>
        <w:rPr>
          <w:rFonts w:ascii="宋体" w:hAnsi="宋体" w:eastAsia="宋体" w:cs="宋体"/>
          <w:color w:val="000000"/>
          <w:sz w:val="24"/>
          <w:highlight w:val="none"/>
        </w:rPr>
        <w:t xml:space="preserve">式桌面云数据库虚拟化深度学习1套按要求更换部署。</w:t>
      </w:r>
      <w:r/>
    </w:p>
    <w:p>
      <w:pPr>
        <w:ind w:firstLine="472"/>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注：上述硬件设备拥有权属于中标单位，该硬件设备仅适用于本项目服务周期。</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2.15、相关业务科室的协调配合工作。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2.16、系统优化升级等相关工作。（详见招标文件第四章《招标书》）</w:t>
      </w:r>
      <w:r/>
    </w:p>
    <w:p>
      <w:pPr>
        <w:ind w:firstLine="474"/>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（三）人员、车辆、设备要求及配置</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1、人员、车辆、场所及设备需求汇总表</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615"/>
        <w:gridCol w:w="1211"/>
        <w:gridCol w:w="595"/>
        <w:gridCol w:w="696"/>
        <w:gridCol w:w="816"/>
        <w:gridCol w:w="4536"/>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工作时间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岗位数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要求</w:t>
            </w:r>
            <w:r/>
          </w:p>
        </w:tc>
      </w:tr>
      <w:tr>
        <w:trPr>
          <w:trHeight w:val="5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8" w:type="dxa"/>
            <w:vAlign w:val="center"/>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常规工作时间8:30-</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本项目核心人员，机电工程专业注册二级建造师及以上且具有《安全生产考核合格证》（B类），如遇重要事项随时响应，投标文件中提供相应证书扫描件并提供人员近一个月的社保缴纳证明。</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根据采购方需要随时响应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highlight w:val="none"/>
              </w:rPr>
              <w:t xml:space="preserve">本科及以上，</w:t>
            </w:r>
            <w:r>
              <w:rPr>
                <w:rFonts w:ascii="宋体" w:hAnsi="宋体" w:eastAsia="宋体" w:cs="宋体"/>
                <w:color w:val="000000"/>
                <w:sz w:val="24"/>
                <w:highlight w:val="none"/>
              </w:rPr>
              <w:t xml:space="preserve">熟悉照明监控系统，负责控制中心计算机、服务器、照明监控系统等的维护和升级。提供人员近一个月的社保缴纳证明。</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运行</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24小时轮</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替值班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highlight w:val="none"/>
              </w:rPr>
              <w:t xml:space="preserve">大专及以上学历，</w:t>
            </w:r>
            <w:r>
              <w:rPr>
                <w:rFonts w:ascii="宋体" w:hAnsi="宋体" w:eastAsia="宋体" w:cs="宋体"/>
                <w:color w:val="000000"/>
                <w:sz w:val="24"/>
                <w:highlight w:val="none"/>
              </w:rPr>
              <w:t xml:space="preserve">能胜任夜班</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24小时交替轮班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至少两人具备《安全生产考核合格证》（C类），其余人员具备有效期内的电工证；维护人员中至少2名具有驾驶证（C照）），投标文件中提供相应证书扫描件。</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技术保障团队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根据采购方需要随时响应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提供7*24小时控制中心网络及终端通讯网络的运行保障；控制平台软件的日常更新及技术支持。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运维车辆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项目专用运维车辆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仅用于本项目期间维护使用，现自有或租赁，工作车辆要求能上苏州市区高架、符合古城区进入条件规定。费用含车辆折旧费、油费、保养费等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场地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办公场所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现自有、租赁或承诺，苏州市市区内正规办公场所[苏州市范围（不含四县市）</w:t>
            </w:r>
            <w:r/>
          </w:p>
        </w:tc>
      </w:tr>
      <w:tr>
        <w:trPr>
          <w:trHeight w:val="5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8" w:type="dxa"/>
            <w:vAlign w:val="center"/>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运维工具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移动手持终端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现自有或承诺购买，IOS</w:t>
            </w:r>
            <w:r>
              <w:rPr>
                <w:rFonts w:hint="eastAsia" w:ascii="宋体" w:hAnsi="宋体" w:eastAsia="宋体" w:cs="宋体"/>
                <w:color w:val="000000"/>
                <w:sz w:val="24"/>
                <w:highlight w:val="none"/>
              </w:rPr>
              <w:t xml:space="preserve">等系统</w:t>
            </w:r>
            <w:r>
              <w:rPr>
                <w:rFonts w:ascii="宋体" w:hAnsi="宋体" w:eastAsia="宋体" w:cs="宋体"/>
                <w:color w:val="000000"/>
                <w:sz w:val="24"/>
                <w:highlight w:val="none"/>
              </w:rPr>
              <w:t xml:space="preserve">，256G，支持移动联通电信5G双卡双待手机（含服务期内年费使用费用）</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专业GPS/北斗普查定位仪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现自有或承诺购买，专业GPS/北斗普查定位仪（智能手持GPS厘米精度GIS经纬度定位仪 ，支持北斗、GPS、GLONASS、Galileo,差分定位2cm+1ppm，4核处理器，高清屏（包含流量使用费等）</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数字万用表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现自有或承诺购买，额定电压不小于1000V，测量范围不小于1000兆欧</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水晶头压线钳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接地电阻测试仪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现自有或承诺购买，分辨率为0.01欧</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现自有或承诺购买，用于机房内环控检测</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照度计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现自有或承诺购买，光照度校正</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维修工具组套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数字钳形表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现自有或承诺购买，交流电流分辨率0.01A，精度2%+10；交流电压分辨率0.1V，精度1.5%+5</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钳形功率计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现自有或承诺购买，支持测量电压/电流 /有功功率/无功功率/功率因数(超前/滞后)/频率/有功电能/再生电能(仅用于数据保存)。电压量程：150/300/450V。电流量程5/10/20/50/100/200/500/1000A。  支持多种接线方式：单相2线、单相3线、3相3线、单相2线2负载系统。精度1.2%(0.8%rdg+0.4%rng)</w:t>
            </w:r>
            <w:r/>
          </w:p>
        </w:tc>
      </w:tr>
      <w:tr>
        <w:trPr>
          <w:trHeight w:val="63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8" w:type="dxa"/>
            <w:vAlign w:val="center"/>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运维备品</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三遥终端全套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时间控制仪（KG316G）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660"/>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三遥专用高增益全频段吸盘4G天线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计控箱箱门行程开关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除湿系统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原装三遥蓄电池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CR2032锂电池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智能电子门锁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电子钥匙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光照度计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CT电流互感器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现自有或承诺购买，[30（50）（100）/5，单匝、电流精度0.5级]</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流量资费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4G工业物联网卡流量费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服务期内所有（含新增）三遥设备工业物联网卡流量费</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遥视视频点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遥视点宽带费用及维护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详见设施量清单</w:t>
            </w:r>
            <w:r/>
          </w:p>
        </w:tc>
      </w:tr>
    </w:tbl>
    <w:p>
      <w:pPr>
        <w:ind w:firstLine="48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注1：投标文件中须提供</w:t>
      </w:r>
      <w:r>
        <w:rPr>
          <w:rFonts w:ascii="宋体" w:hAnsi="宋体" w:eastAsia="宋体" w:cs="宋体"/>
          <w:b/>
          <w:color w:val="000000"/>
          <w:sz w:val="24"/>
          <w:highlight w:val="none"/>
        </w:rPr>
        <w:t xml:space="preserve">项目负责人，技术负责人所对应的资格证、注册证、投标人为其缴纳近一个月社保证明等原件扫描件，否则视为未实质性响应</w:t>
      </w:r>
      <w:r>
        <w:rPr>
          <w:rFonts w:ascii="宋体" w:hAnsi="宋体" w:eastAsia="宋体" w:cs="宋体"/>
          <w:color w:val="000000"/>
          <w:sz w:val="24"/>
          <w:highlight w:val="none"/>
        </w:rPr>
        <w:t xml:space="preserve">。</w:t>
      </w:r>
      <w:r>
        <w:rPr>
          <w:rFonts w:ascii="宋体" w:hAnsi="宋体" w:eastAsia="宋体" w:cs="宋体"/>
          <w:b/>
          <w:color w:val="000000"/>
          <w:sz w:val="24"/>
          <w:highlight w:val="none"/>
        </w:rPr>
        <w:t xml:space="preserve">其它人员可以提供承诺，承诺在项目进场核验前提供名单及相关证明材料</w:t>
      </w:r>
      <w:r>
        <w:rPr>
          <w:rFonts w:ascii="宋体" w:hAnsi="宋体" w:eastAsia="宋体" w:cs="宋体"/>
          <w:color w:val="000000"/>
          <w:sz w:val="24"/>
          <w:highlight w:val="none"/>
        </w:rPr>
        <w:t xml:space="preserve">。</w:t>
      </w:r>
      <w:r/>
    </w:p>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注2：</w:t>
      </w:r>
      <w:r>
        <w:rPr>
          <w:rFonts w:ascii="宋体" w:hAnsi="宋体" w:eastAsia="宋体" w:cs="宋体"/>
          <w:b/>
          <w:color w:val="000000"/>
          <w:sz w:val="24"/>
          <w:highlight w:val="none"/>
        </w:rPr>
        <w:t xml:space="preserve">投标人应为参与本项目的人员购买意外伤害险，并在中标后一个月内向采购方提供证明文件</w:t>
      </w:r>
      <w:r>
        <w:rPr>
          <w:rFonts w:ascii="宋体" w:hAnsi="宋体" w:eastAsia="宋体" w:cs="宋体"/>
          <w:color w:val="000000"/>
          <w:sz w:val="24"/>
          <w:highlight w:val="none"/>
        </w:rPr>
        <w:t xml:space="preserve">。若因为中标单位未及时购买意外伤害险而在此期间中标单位人员造成任何人员伤亡事故，采购方不承担任何责任。</w:t>
      </w:r>
      <w:r/>
    </w:p>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注3：投标人</w:t>
      </w:r>
      <w:r>
        <w:rPr>
          <w:rFonts w:ascii="宋体" w:hAnsi="宋体" w:eastAsia="宋体" w:cs="宋体"/>
          <w:b/>
          <w:color w:val="000000"/>
          <w:sz w:val="24"/>
          <w:highlight w:val="none"/>
        </w:rPr>
        <w:t xml:space="preserve">均须在投标文件中承诺中标后按招标文件要求提供车辆设备</w:t>
      </w:r>
      <w:r>
        <w:rPr>
          <w:rFonts w:ascii="宋体" w:hAnsi="宋体" w:eastAsia="宋体" w:cs="宋体"/>
          <w:color w:val="000000"/>
          <w:sz w:val="24"/>
          <w:highlight w:val="none"/>
        </w:rPr>
        <w:t xml:space="preserve">，填写《投入车辆及设备承诺书》格式自拟。</w:t>
      </w:r>
      <w:r/>
    </w:p>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注4：投标人均须在</w:t>
      </w:r>
      <w:r>
        <w:rPr>
          <w:rFonts w:ascii="宋体" w:hAnsi="宋体" w:eastAsia="宋体" w:cs="宋体"/>
          <w:b/>
          <w:color w:val="000000"/>
          <w:sz w:val="24"/>
          <w:highlight w:val="none"/>
        </w:rPr>
        <w:t xml:space="preserve">投标文件中承诺提供项目组办公场所</w:t>
      </w:r>
      <w:r>
        <w:rPr>
          <w:rFonts w:ascii="宋体" w:hAnsi="宋体" w:eastAsia="宋体" w:cs="宋体"/>
          <w:color w:val="000000"/>
          <w:sz w:val="24"/>
          <w:highlight w:val="none"/>
        </w:rPr>
        <w:t xml:space="preserve">，填写《项目组办公场所承诺书》。</w:t>
      </w:r>
      <w:r/>
    </w:p>
    <w:p>
      <w:pPr>
        <w:ind w:left="3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2、人员专用原则</w:t>
      </w:r>
      <w:r/>
    </w:p>
    <w:p>
      <w:pPr>
        <w:ind w:left="3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1、运维核心成员必须专门服务于本项目，未经采购方同意，不得用于其他项目中，且原则上不得更换，一经发现处罚10000元/人·次。</w:t>
      </w:r>
      <w:r/>
    </w:p>
    <w:p>
      <w:pPr>
        <w:ind w:left="3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2、中标后运维成员未按投标承诺到位或承包人未经采购方批准私自更换的，一经发现处罚1000元/人·次，同时承包人仍应按投标承诺将人员配备到位。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3、承包人如需更换运维核心成员，应向采购方提出书面申请，经采购方批准后方可进行更换，所更换人员不得低于其投标文件承诺。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后由于运维核心成员现场管理工作不到位、无法起到应有的作用出现重大故障无法解决，系统无法正常运行（或造成社会面不良影响的），视为不称职，采购方将要求中标单位更换相应的项目组成员，所更换人员不得低于其投标文件承诺。若出现三次（含）以上该现象，采购人有权解除合同，且要求追究相应责任与赔偿。</w:t>
      </w:r>
      <w:r/>
    </w:p>
    <w:p>
      <w:pPr>
        <w:numPr>
          <w:ilvl w:val="0"/>
          <w:numId w:val="6"/>
        </w:num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投标文件中的运维核心成员必须唯一，不得选择性提供，否则该投标单位不具备中标资格。</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3、服务期间保持作业人员稳定相关要求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作</w:t>
      </w:r>
      <w:r>
        <w:rPr>
          <w:rFonts w:ascii="宋体" w:hAnsi="宋体" w:eastAsia="宋体" w:cs="宋体"/>
          <w:color w:val="000000"/>
          <w:sz w:val="24"/>
          <w:highlight w:val="none"/>
        </w:rPr>
        <w:t xml:space="preserve">业人员服务期间应保持稳定，且原则上不得更换，若确需更换应向采购方提出书面申请，经采购方批准后方可进行更换，更换人员资格不得低于招标文件要求。作业人员累计更换人数不得超过该类人员总人数的30%，更换人员超过30%以上的部分，每更换一人采购方向中标人收取违约金1000元。若未经采购人批准私自更换人员，每发现一人采购方向中标人收取违约金1000元。违约金由采购人从服务费中扣除。采购方有权对中标单位聘用的人员和培训情况进行考察，发现有不符合投标文件及工作要求的人员，有权要求中标单位限期更换人员或重新培训合格后上岗。</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注：“作业人员”就是除核心人员之外的运行人员和维护人员。</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4、车辆专用原则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必须按投标文件承诺配备车辆，并承诺投入车辆仅用于为本项目，且车辆的使用权属于投标人（以产权登记证明、车辆租赁合同等相关证明为准）。在合同履行过程中，如发现专用车辆用于其它项目的，或在检查过程中有车辆不到位现象的，或未经采购人同意更换的，将被视为违约，采购人有权对中标人收取违约金1000元/辆·次。若出现三次（含）以上该违约现象，采购人有权解除合同。</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5、人员、车辆不得与其他项目重复的要求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在本项目投标文件中承诺配置的项目组人员或车辆信息（发动机号、车架号等任一项）与（本项目计划开始时间后）仍在履行的其他项目中所配备的人员或车辆信息有重复的，视为未实质性响应招标文件，不参与评审，投标文件中关于人员与车辆的承诺不作为该情形的弥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投标文件中承诺为本项目配置的项目组人员或车辆如为其他项目中已变更或被更换的，原项目合同必须在（本项目计划开始时间）前已履行完成，否则视为与其他项目中人员或车辆有重复，本项目不得标。</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6、系统、网络安全及保密要求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6.1控制中心计算机、服务器及网络等设备只允许从事本职工作相关事项，严禁访问其他网址；</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6.2不得做私自安装其他与工作无关软件和资料，不得私自拷贝相关数据和信息；</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6.3文件按要求存储，拷贝资料采用专用无病毒U盘，并不得挪作他用；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6.4监控软件参数均须由管理人员同意后操作，严禁擅自更改；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6.5私自获取、将控制中心设施数据、信息等情况外传或发布于网络；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6.6中标单位和个人不得用采购方所提供的技术资料进行一切商业活动；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6.7中标单位不得向任何单位和个人提供采购方所提供的技术资料；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6.8其他影响系统、网络安全和泄密的行为。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出现上述影响系统、网络安全和泄密的行为，采购人有权对中标人收取违约金50000元/次，若出现三次（含）以上该违约现象，采购人有权解除合同；并且因病毒传播和泄密等导致重大后果的，采购人有权追究其法律责任并要求承担相应责任和赔偿。</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7、控制中心防火安全要求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严格执行各项防火安全要求，配合采购方相关部门执行各项安全检查和演练，做好预防工作，若出现因中标方过失导致的火灾，采购人有权追究其法律责任并要求承担相应责任和赔偿。</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8、专业培训要求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约到期后，中标单位须对后续养护接收单位进行照明控制系统运行维修培训，直至新接收单位人员熟练掌握运行维修技能，若未提供照明控制系统运行维修培训服务，将处罚款50000元。符合要求后三方签署“苏州市市政管理中心控制系统运行维修培训确认单”作为凭证。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9、安全生产要求 （详见安全责任书）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（四）养护要求：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1、项目负责人工作要求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技术人员和值班人员的值班安排、日常考勤、交接班内容核查及跟进、派单维修情况核查及跟进、日常及固定维护内容检查、定期安全检查等工作，总结汇总日常运维工作的优缺点，提出改进建议。同时，所有工作均需形成纸质或电子文档。完成采购方安排的其他相关工作。</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2、技术人员工作要求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具体工作要求：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（1）照明控制中心设备及系统维护。</w:t>
      </w:r>
      <w:r/>
    </w:p>
    <w:p>
      <w:pPr>
        <w:ind w:left="1235" w:hanging="7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包括（但不仅限于）前端监控计算机、服务器、光端机、交换机、路由器、光照度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计、GPS 校时设备、短信息收发设备、UPS、大屏等，作业内容包括定期安全检查、日常维护、系统维护、升级、故障解决，直到保证所有系统和设备正常运行，同时，所有工作均需形成纸质或电子文档。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熟练操作城市照明监控系统、光端机调试、交换机配置、路由器配置、工作站切换、服务器切换、数据库备份还原、光照度计校验、短消息模块设置等工作。遵守国家知识产权保护相关规定，获取软件研发单位授权，及时完成软件的运维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（3）服务器数据系统、网络操作需要设置权限，由相关部门配合负责操作。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（4）每季度对城市照明监控系统进行稳定性测试，出具专业测试报告，由研发单位盖章确认。</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（5）照明控制中心设备的更换部署工作。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要求中标方中标后45天内部署完成。</w:t>
      </w:r>
      <w:r/>
    </w:p>
    <w:p>
      <w:pPr>
        <w:numPr>
          <w:ilvl w:val="0"/>
          <w:numId w:val="7"/>
        </w:num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在照明设施稳定运行的前提下，按采购方需求有序开展智慧灯杆控制系统接入的相关工作，完成软硬件内外联调，实现集中控制、统一调度功能。完成采购方安排的其他相关工作。</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3、运行工作要求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3.1时间安排：全年24小时不间断工作制，具体作息时间自定。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3.2岗位配置：每班2人，共计8人。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3.3具体要求：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负责苏州市城市照明监控管理平台的运行管理，做好运行、监督、分析、数据录入等所有相关工作。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照明设施报修及投诉等来源工单的接收、录入、督办与处理等，包括24小时值班报修电话（含上级单位在线视频点调）、寒山闻钟、12345便民服务、110联动、领导信箱以及其他渠道等工单。完成每日值班交接班记录及填写每日运行报表及日志。禁止随意启闭路灯/景观灯。若因特殊情况需要临时非正常启闭，由采购方授权同意后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不得将主控电脑随意退出城市照明监控系统软件，不得在主控电脑安装与系统无关的任何软件,不得做与运行系统无关的事情。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对设备故障及设备表现出的不稳定情况，及时处理并加以记录，同时跟踪故障处理情况。如遇重大异常和事故，在应急处理的同时在第一时间向采购方汇报。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汇总当班故障及往期维修情况，按轻重缓急原则持续派单维修。</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4、维护工作要求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4.1时间安排：全年24小时不间断工作制，具体作息时间自定。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4.2岗位配置：10人，除日常养护、设备维修等工作外，重大保障、异常天气或较大故障下须有应急保障服务。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4.3具体要求：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积极响应采购方提出的任何时段的软硬件抢修需求。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辖区范围内计量箱/控制箱/计控箱内照明监控终端（含二次回路、电流互感器、电子门锁、除湿器、路由器、开关电源、天线、箱门行程开关等）运行监控、巡视、清洁检修、定期维护、应急抢修、程序升级、运行维护培训等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完成新建监控终端的开通维护、单灯控制器的开通维护，确保姑苏区照明设施24小时不间断监控，所有涉及监控稳定的故障、报警必须在24小时内处理完毕直至恢复正常。</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完成每月控制中心计控箱日常维护计划，完成日常维修任务。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突发抢修时效要求：维修人员在接到采购方抢修通知后60分钟内到达现场，涉及危及人身安全和设备损失扩大的情况须立刻到达现场；第一时间到场检查故障、进行抢修，24小时内修复。若因设施被盗在24小时内无法修复的必须及时上报，并在采购方规定时间内修复。</w:t>
      </w:r>
      <w:r/>
    </w:p>
    <w:p>
      <w:pPr>
        <w:ind w:left="997" w:hanging="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5、苏州智慧照明管理监控系统（单灯部分）全天候运行监控要求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5.1负责苏州智慧照明管理监控系统（单灯部分）的稳定运行，所有故障/报警必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须在 24 小时内处理完毕直至恢复正常。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5.2 熟练操作苏州智慧照明管理监控系统，完成单灯的录入、单灯故障的分析及处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理、派发系统工单、完善单灯信息、单灯测试、升级等工作。遵守国家知识产权保护相关规定，获取软件研发单位授权，及时完成软件的维护及更新工作。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 建立设施全生命周期台帐，包含设备实际使用时间、正常寿命、品牌型号和预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计更换时间等信息，随时更新。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5.4 按需开展单灯控制器接入系统的相关工作，熟练操作相关系统，完成系统软硬件维护及升级更新工作。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 根据照明管理实际情况、城市照明管理、建设、维护以及未来长远发展的需要，梳理苏州智慧照明管理监控系统数据，通过数据整合将“便民服务、生产管理、设施档案、GIS 系统”等统一展示。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5.6 关键性指标要求：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①智慧照明：在线率、故障率、自动开关灯、自动调光、实时报警、 时间设置、参数设置、数据查询、故障分析展示、信号强度、指令日志记录、单灯分组、终端升级等；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②GIS系统：设施数量、安装方式、通信模式、安装日期、基准电流等；</w:t>
      </w:r>
      <w:r/>
    </w:p>
    <w:p>
      <w:pPr>
        <w:ind w:left="997" w:hanging="482"/>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6、工作清单</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附表1：计控/计量/控制箱内监控终端（含二次回路、电流互感器、电子门锁、除湿器、路由器、开关电源、天线、箱门行程开关等）维护工作清单 </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855"/>
        <w:gridCol w:w="1594"/>
        <w:gridCol w:w="2035"/>
        <w:gridCol w:w="1016"/>
        <w:gridCol w:w="2624"/>
      </w:tblGrid>
      <w:tr>
        <w:trPr>
          <w:trHeight w:val="458"/>
        </w:trPr>
        <w:tc>
          <w:tcPr>
            <w:tcMar>
              <w:left w:w="108" w:type="dxa"/>
              <w:top w:w="0" w:type="dxa"/>
              <w:right w:w="108" w:type="dxa"/>
              <w:bottom w:w="0" w:type="dxa"/>
            </w:tcMar>
            <w:tcW w:w="587"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Mar>
              <w:left w:w="108" w:type="dxa"/>
              <w:top w:w="0" w:type="dxa"/>
              <w:right w:w="108" w:type="dxa"/>
              <w:bottom w:w="0" w:type="dxa"/>
            </w:tcMar>
            <w:tcW w:w="855"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分项</w:t>
            </w:r>
            <w:r/>
          </w:p>
        </w:tc>
        <w:tc>
          <w:tcPr>
            <w:tcMar>
              <w:left w:w="108" w:type="dxa"/>
              <w:top w:w="0" w:type="dxa"/>
              <w:right w:w="108" w:type="dxa"/>
              <w:bottom w:w="0" w:type="dxa"/>
            </w:tcMar>
            <w:tcW w:w="1594"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具体内容</w:t>
            </w:r>
            <w:r/>
          </w:p>
        </w:tc>
        <w:tc>
          <w:tcPr>
            <w:tcMar>
              <w:left w:w="108" w:type="dxa"/>
              <w:top w:w="0" w:type="dxa"/>
              <w:right w:w="108" w:type="dxa"/>
              <w:bottom w:w="0" w:type="dxa"/>
            </w:tcMar>
            <w:tcW w:w="2035"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具体要求</w:t>
            </w:r>
            <w:r/>
          </w:p>
        </w:tc>
        <w:tc>
          <w:tcPr>
            <w:tcMar>
              <w:left w:w="108" w:type="dxa"/>
              <w:top w:w="0" w:type="dxa"/>
              <w:right w:w="108" w:type="dxa"/>
              <w:bottom w:w="0" w:type="dxa"/>
            </w:tcMar>
            <w:tcW w:w="1016"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频率</w:t>
            </w:r>
            <w:r/>
          </w:p>
        </w:tc>
        <w:tc>
          <w:tcPr>
            <w:tcMar>
              <w:left w:w="108" w:type="dxa"/>
              <w:top w:w="0" w:type="dxa"/>
              <w:right w:w="108" w:type="dxa"/>
              <w:bottom w:w="0" w:type="dxa"/>
            </w:tcMar>
            <w:tcW w:w="2624"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p>
        </w:tc>
      </w:tr>
      <w:tr>
        <w:trPr>
          <w:trHeight w:val="90"/>
        </w:trPr>
        <w:tc>
          <w:tcPr>
            <w:tcMar>
              <w:left w:w="108" w:type="dxa"/>
              <w:top w:w="0" w:type="dxa"/>
              <w:right w:w="108" w:type="dxa"/>
              <w:bottom w:w="0" w:type="dxa"/>
            </w:tcMar>
            <w:tcW w:w="587"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w:t>
            </w:r>
            <w:r/>
          </w:p>
        </w:tc>
        <w:tc>
          <w:tcPr>
            <w:tcMar>
              <w:left w:w="108" w:type="dxa"/>
              <w:top w:w="0" w:type="dxa"/>
              <w:right w:w="108" w:type="dxa"/>
              <w:bottom w:w="0" w:type="dxa"/>
            </w:tcMar>
            <w:tcW w:w="855"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监控终端（含二次回路、电流互感器、电子门锁、除湿器、路由器、开关电源、天线、箱门行程开关等）维护工作 </w:t>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监控终端维护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确保所有监控终端稳定运行，所有影响开关灯的故障/报警必须当天处理完毕直至恢复正常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24小时内完成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1）如出现修复不及时导致无法正常亮灯的情况及时报备，继续处理至正常运行。 </w:t>
            </w:r>
            <w:r/>
          </w:p>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2）所有维护涉及的元器件完全兼容现有设备及系统。 </w:t>
            </w:r>
            <w:r/>
          </w:p>
        </w:tc>
      </w:tr>
      <w:tr>
        <w:trPr>
          <w:trHeight w:val="9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二次回路、电流互感器、电子门锁、除湿器、路由器、开关电源、天线、箱门行程开关维护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确保所有监控终端及附属控制系统稳定运行，所有影响开关灯的故障/报警必须当天处理完毕直至恢复正常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24小时内完成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1）如出现修复不及时导致无法正常亮灯的情况及时报备，继续处理至正常运行。 </w:t>
            </w:r>
            <w:r/>
          </w:p>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2）所有维护涉及的元器件完全兼容现有设备及系统。 </w:t>
            </w:r>
            <w:r/>
          </w:p>
        </w:tc>
      </w:tr>
      <w:tr>
        <w:trPr>
          <w:trHeight w:val="9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外部工单</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“数字城管”“24小时热线”“寒山闻钟”“信箱”“公众监督”工单按对应要求时限完成</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76"/>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监控终端开通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完成线上开通流程，现场人员按要求接线并配合控制中心值班人员完成基础参数的录入、现场电流的校核，控制中心值班人员将电路数据建档</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2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小电流处理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按标准箱要求接线，负载较小的情况更换“30/5”变比型号的电流互感器，直至解决故障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2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日常维护</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每月150台计控箱定期检查及养护（主要三遥系统、互感器、门禁、除湿器、路由器，各类开关、接触器、各类标签、计控箱箱号、出线标志牌等）</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每月按时完成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5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更换通讯卡</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按线上换卡流程完成换卡</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天线更换</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按要求更换采购方需求的天线</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行程开关</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未有行程开关的箱体增加，损坏的行程开关修复</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线控</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排查现场线控与平台线控设置是否一致，平台根据现场情况设置线控，线控异常的修复</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测负</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新开通的计控箱测负，有新增或割负的情况重新测负，定期按采购方要求测负</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电池更换</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三遥内电池按采购方要求定时更换原装电池</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22"/>
        </w:trPr>
        <w:tc>
          <w:tcPr>
            <w:tcMar>
              <w:left w:w="108" w:type="dxa"/>
              <w:top w:w="0" w:type="dxa"/>
              <w:right w:w="108" w:type="dxa"/>
              <w:bottom w:w="0" w:type="dxa"/>
            </w:tcMar>
            <w:tcW w:w="587"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855"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维修台帐 </w:t>
            </w:r>
            <w:r/>
          </w:p>
        </w:tc>
        <w:tc>
          <w:tcPr>
            <w:tcMar>
              <w:left w:w="108" w:type="dxa"/>
              <w:top w:w="0" w:type="dxa"/>
              <w:right w:w="108" w:type="dxa"/>
              <w:bottom w:w="0" w:type="dxa"/>
            </w:tcMar>
            <w:tcW w:w="1594"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台帐登记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所有维修工作均在苏州智慧照明管理平台完成录入并同时做成电子表格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数据真实、完整、准确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Mar>
              <w:left w:w="108" w:type="dxa"/>
              <w:top w:w="0" w:type="dxa"/>
              <w:right w:w="108" w:type="dxa"/>
              <w:bottom w:w="0" w:type="dxa"/>
            </w:tcMar>
            <w:tcW w:w="587"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Mar>
              <w:left w:w="108" w:type="dxa"/>
              <w:top w:w="0" w:type="dxa"/>
              <w:right w:w="108" w:type="dxa"/>
              <w:bottom w:w="0" w:type="dxa"/>
            </w:tcMar>
            <w:tcW w:w="855"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终端数据台账</w:t>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电流上下限数据设置</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补全未设置电流上下限数据</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电流上下限数据更新</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定期根据最新测负数据更新电流上下限数据</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Mar>
              <w:left w:w="108" w:type="dxa"/>
              <w:top w:w="0" w:type="dxa"/>
              <w:right w:w="108" w:type="dxa"/>
              <w:bottom w:w="0" w:type="dxa"/>
            </w:tcMar>
            <w:tcW w:w="587"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Mar>
              <w:left w:w="108" w:type="dxa"/>
              <w:top w:w="0" w:type="dxa"/>
              <w:right w:w="108" w:type="dxa"/>
              <w:bottom w:w="0" w:type="dxa"/>
            </w:tcMar>
            <w:tcW w:w="85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其他相关工作</w:t>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按采购方要求完成</w:t>
            </w:r>
            <w:r/>
          </w:p>
        </w:tc>
      </w:tr>
      <w:tr>
        <w:trPr>
          <w:trHeight w:val="458"/>
        </w:trPr>
        <w:tc>
          <w:tcPr>
            <w:tcMar>
              <w:left w:w="108" w:type="dxa"/>
              <w:top w:w="0" w:type="dxa"/>
              <w:right w:w="108" w:type="dxa"/>
              <w:bottom w:w="0" w:type="dxa"/>
            </w:tcMar>
            <w:tcW w:w="587"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Mar>
              <w:left w:w="108" w:type="dxa"/>
              <w:top w:w="0" w:type="dxa"/>
              <w:right w:w="108" w:type="dxa"/>
              <w:bottom w:w="0" w:type="dxa"/>
            </w:tcMar>
            <w:tcW w:w="85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费用计算</w:t>
            </w:r>
            <w:r/>
          </w:p>
        </w:tc>
        <w:tc>
          <w:tcPr>
            <w:gridSpan w:val="4"/>
            <w:tcMar>
              <w:left w:w="108" w:type="dxa"/>
              <w:top w:w="0" w:type="dxa"/>
              <w:right w:w="108" w:type="dxa"/>
              <w:bottom w:w="0" w:type="dxa"/>
            </w:tcMar>
            <w:tcW w:w="7268"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费用包干，不另计算</w:t>
            </w:r>
            <w:r/>
          </w:p>
        </w:tc>
      </w:tr>
    </w:tbl>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附表2：苏州市市政管理中心照明监控管理平台维护工作清单 </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注：以下为苏州智慧照明管理监控平台各模块功能，数字化城市照明综合管理平台参照执行。</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1602"/>
        <w:gridCol w:w="2318"/>
        <w:gridCol w:w="3605"/>
      </w:tblGrid>
      <w:tr>
        <w:trPr>
          <w:trHeight w:val="460"/>
        </w:trPr>
        <w:tc>
          <w:tcPr>
            <w:tcMar>
              <w:left w:w="108" w:type="dxa"/>
              <w:top w:w="0" w:type="dxa"/>
              <w:right w:w="108" w:type="dxa"/>
              <w:bottom w:w="0" w:type="dxa"/>
            </w:tcMar>
            <w:tcW w:w="155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模块</w:t>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子项</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1、运行管理</w:t>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终端监控</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实时监控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终端巡测</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门禁管理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除湿管理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即时操作</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场景策略</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特殊场景应用</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指令管理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方案制定</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方案绑定</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数据查询</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故障查询</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终端数据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日志查询</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其他数据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分组管理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故障类型</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任务管理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版本维护</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维护</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版本升级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升级</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报表分析</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开灯时长</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开关灯时间</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开关灯下发时间</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功率统计报表</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300"/>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光控养护管理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夏至/冬至一年两次校准</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2、智慧照明</w:t>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单灯实时监测</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单灯实时控制</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单灯运行分析</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单灯运行记录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单灯告警统计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通讯异常统计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单灯信号强度情况</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指令日志记录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单灯历史告警记录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单灯历史在线率</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单灯亮灯率</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单灯配置</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单灯档案</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更新、数据录入</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单灯运行方案</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单灯分组</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单灯参数设置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巡测间隔时间设置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升级文件管理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终端升级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升级</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视频监控</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实时监控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查询</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录像回放</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查询</w:t>
            </w:r>
            <w:r/>
          </w:p>
        </w:tc>
      </w:tr>
      <w:tr>
        <w:trPr>
          <w:trHeight w:val="300"/>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智慧路灯</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3、便民服务</w:t>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数字城管</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数据录入、派发、结案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24小时热线</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电话接听、工单录入及下发、结案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其他来源</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寒山闻钟、领导信箱等录入、结案</w:t>
            </w:r>
            <w:r/>
          </w:p>
        </w:tc>
      </w:tr>
      <w:tr>
        <w:trPr>
          <w:trHeight w:val="300"/>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便民服务统计</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数据分析、导出</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4、生产管理</w:t>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开通申请</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拆除申请</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通讯卡换卡申请</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送电审批</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送电信息12345平台报备、协助审批、结案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日常维护</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系统工单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录入、派发、结案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巡修计划</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设施巡修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工作日志</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运行维护工作日志输入</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测试记录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拆迁移管理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数据查询</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被盗被损</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数据录入、查询、导出汇总</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事故灯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数据录入、查询、导出汇总</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照度测试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数据录入、查询、导出汇总</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监督考核</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打卡点设置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亮灯率考核</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设施完好率考核</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打卡记录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大数据统计应用</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故障类型统计表</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故障来源统计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故障分析</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被盗被损统计分析表</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事故灯统计分析</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照明设施质量比选</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LED灯使用率分析</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30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维修材料统计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5、设施档案</w:t>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路灯档案</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道路信息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计控箱</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路灯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电缆井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景观灯档案</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景观点</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景观计控箱</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庭院灯.光柱灯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30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bl>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附表 3：</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21"/>
        <w:gridCol w:w="2342"/>
        <w:gridCol w:w="671"/>
        <w:gridCol w:w="595"/>
        <w:gridCol w:w="1018"/>
        <w:gridCol w:w="1325"/>
        <w:gridCol w:w="1490"/>
      </w:tblGrid>
      <w:tr>
        <w:trPr>
          <w:trHeight w:val="458"/>
        </w:trPr>
        <w:tc>
          <w:tcPr>
            <w:tcMar>
              <w:left w:w="108" w:type="dxa"/>
              <w:top w:w="0" w:type="dxa"/>
              <w:right w:w="108" w:type="dxa"/>
              <w:bottom w:w="0" w:type="dxa"/>
            </w:tcMar>
            <w:tcW w:w="49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 </w:t>
            </w:r>
            <w:r/>
          </w:p>
        </w:tc>
        <w:tc>
          <w:tcPr>
            <w:tcMar>
              <w:left w:w="108" w:type="dxa"/>
              <w:top w:w="0" w:type="dxa"/>
              <w:right w:w="108" w:type="dxa"/>
              <w:bottom w:w="0" w:type="dxa"/>
            </w:tcMar>
            <w:tcW w:w="106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设备名称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维护项目 </w:t>
            </w:r>
            <w:r/>
          </w:p>
        </w:tc>
        <w:tc>
          <w:tcPr>
            <w:tcMar>
              <w:left w:w="108" w:type="dxa"/>
              <w:top w:w="0" w:type="dxa"/>
              <w:right w:w="108" w:type="dxa"/>
              <w:bottom w:w="0" w:type="dxa"/>
            </w:tcMar>
            <w:tcW w:w="68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日常检查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经常性维护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定期检修 </w:t>
            </w:r>
            <w:r/>
          </w:p>
        </w:tc>
      </w:tr>
      <w:tr>
        <w:trPr>
          <w:trHeight w:val="632"/>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通讯/数据服务器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设备保养：设备、柜内、外表面除尘 </w:t>
            </w:r>
            <w:r/>
          </w:p>
        </w:tc>
        <w:tc>
          <w:tcPr>
            <w:tcMar>
              <w:left w:w="108" w:type="dxa"/>
              <w:top w:w="0" w:type="dxa"/>
              <w:right w:w="108" w:type="dxa"/>
              <w:bottom w:w="0" w:type="dxa"/>
            </w:tcMar>
            <w:tcW w:w="681" w:type="dxa"/>
            <w:vMerge w:val="restart"/>
            <w:textDirection w:val="lrTb"/>
            <w:noWrap w:val="false"/>
          </w:tcPr>
          <w:p>
            <w:pPr>
              <w:ind w:firstLine="240"/>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609"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电源检查：检查电源指示灯是否显示正常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设备运行检查：正常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检查服务器所有连接件有无松动、有无过热现象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外壳漏电检查：无漏电现象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电源电压：输入、输出电压正常，响应时间符合设计要求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软件启动检查：正常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1次/季度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数据备份检查：查看运行数据的储存是否正常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系统联动功能检测：正常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1次/季度 </w:t>
            </w:r>
            <w:r/>
          </w:p>
        </w:tc>
      </w:tr>
      <w:tr>
        <w:trPr>
          <w:trHeight w:val="394"/>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工作站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设备外表面除尘 </w:t>
            </w:r>
            <w:r/>
          </w:p>
        </w:tc>
        <w:tc>
          <w:tcPr>
            <w:tcMar>
              <w:left w:w="108" w:type="dxa"/>
              <w:top w:w="0" w:type="dxa"/>
              <w:right w:w="108" w:type="dxa"/>
              <w:bottom w:w="0" w:type="dxa"/>
            </w:tcMar>
            <w:tcW w:w="681" w:type="dxa"/>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Mar>
              <w:left w:w="108" w:type="dxa"/>
              <w:top w:w="0" w:type="dxa"/>
              <w:right w:w="108" w:type="dxa"/>
              <w:bottom w:w="0" w:type="dxa"/>
            </w:tcMar>
            <w:tcW w:w="609"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台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电源检查：检查电源指示灯是否显示正常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设备运行检查：正常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软件维护即开机检查：可正常开机，各项功能正常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检查设备运转有无过热现象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磁盘扫描和碎片整理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病毒</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异常时随时</w:t>
            </w:r>
            <w:r/>
          </w:p>
        </w:tc>
      </w:tr>
      <w:tr>
        <w:trPr>
          <w:trHeight w:val="358"/>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UPS主机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外观保养：清洁、无损伤 </w:t>
            </w:r>
            <w:r/>
          </w:p>
        </w:tc>
        <w:tc>
          <w:tcPr>
            <w:tcMar>
              <w:left w:w="108" w:type="dxa"/>
              <w:top w:w="0" w:type="dxa"/>
              <w:right w:w="108" w:type="dxa"/>
              <w:bottom w:w="0" w:type="dxa"/>
            </w:tcMar>
            <w:tcW w:w="681" w:type="dxa"/>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609"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风扇工作情况检查：正常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温、湿度检查：0-40℃、20-80%,无凝露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接地电阻检查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650"/>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电池及其机柜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电池组外观检查：无污染或损伤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温、湿度测量：15～25℃,0%～95%, 不凝结</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UPS 放电操作</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1次/三月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检查各项电流、电压读数</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627"/>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有线控制配电柜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外观保养：清洁、无损伤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外观检查：铜鼻子表面有无变色，接线端子有无松动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温、湿度检查：0-40℃、20-80%,无凝露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接地电阻检查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458"/>
        </w:trPr>
        <w:tc>
          <w:tcPr>
            <w:tcMar>
              <w:left w:w="108" w:type="dxa"/>
              <w:top w:w="0" w:type="dxa"/>
              <w:right w:w="108" w:type="dxa"/>
              <w:bottom w:w="0" w:type="dxa"/>
            </w:tcMar>
            <w:tcW w:w="49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 </w:t>
            </w:r>
            <w:r/>
          </w:p>
        </w:tc>
        <w:tc>
          <w:tcPr>
            <w:tcMar>
              <w:left w:w="108" w:type="dxa"/>
              <w:top w:w="0" w:type="dxa"/>
              <w:right w:w="108" w:type="dxa"/>
              <w:bottom w:w="0" w:type="dxa"/>
            </w:tcMar>
            <w:tcW w:w="106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光照度计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校验、清洁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2次/年 </w:t>
            </w:r>
            <w:r/>
          </w:p>
        </w:tc>
      </w:tr>
    </w:tbl>
    <w:p>
      <w:pPr>
        <w:pStyle w:val="666"/>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（五）进场核验: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进场核验时间为2026年1月1日之前，采购单位组织中标单位项目负责人等相关人员对中标单位投入本项目的人员、车辆、设备、工具、保险等按照招标文件的要求配备齐全，进行现场核验</w:t>
      </w:r>
      <w:r>
        <w:rPr>
          <w:rFonts w:ascii="宋体" w:hAnsi="宋体" w:eastAsia="宋体" w:cs="宋体"/>
          <w:color w:val="000000"/>
          <w:sz w:val="24"/>
          <w:highlight w:val="none"/>
        </w:rPr>
        <w:t xml:space="preserve">，由采购单位出具进场核验单。现场核验符合招标文件要求的，由采购单位出具“合格”的进场核验单并明确进场日期。现场核验不符合招标文件要求的，由采购单位根据实际情况决定是否同意进场服务，在进场核验单中明确不符合事项及整改期限，无论采购单位是否同意中标单位进场服务，中标单位均应按每项2000元/天的标准向采购单位支付违约金（违约金由采购单位从中标单位服务费中进行扣除），违约金收取时间自核验之日起至中标单位整改完成核验合格之日止。整改期限届满，如经采购单位现场核验仍不符合招标文件要求，采购单位有权与中标单位解除合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五、综合说明及其它要求：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1、投标人提供的服务能够至少达到以上要求，同时在投标文件中明确详细的维护方案。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2、投标人必须承诺招标文件中提出的全部维护要求，如果其中某些条款不响应时，应在文件中逐条列出，未列出的视同响应。</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 投标人应对本次采购全部内容进行报价，只投其中部分内容者，其标书将被拒绝。</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投标报价为：全费用固定综合单价，单价包括完成该项目所有服务管理内容所需的人工、机械设备、工具器具、垃圾清运、耗材、设备、材料、通讯、服装、胸卡、办公设备、巡检器材、保险、劳保、高温费、防暑降温物品费用、维护、技术支持与培训及相关劳务支出等工作所发生的全部费用以及投标人企业管理费用、利润、各种税金和政策文件规定及合同包含的所有风险、责任等各项应有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5、验收标准：根据招标文件中的维护要求及考核标准，由采购单位验收通过。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6、采购文件中涉及到的违约金、处罚等款项均由采购单位从中标单位的维护服务费中进行扣除，维护服务费不足扣除金额的，作为中标单位对采购大内的债务向采购大内直接支付。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7、付款方式：详见合同。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8、凡涉及招标文件的补充说明和修改，均以苏州政府采购网发布的内容为准。</w:t>
      </w:r>
      <w:r/>
    </w:p>
    <w:p>
      <w:pPr>
        <w:ind w:right="56"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9</w:t>
      </w:r>
      <w:r>
        <w:rPr>
          <w:rFonts w:ascii="楷体" w:hAnsi="楷体" w:eastAsia="楷体" w:cs="楷体"/>
          <w:color w:val="000000"/>
          <w:sz w:val="24"/>
          <w:highlight w:val="none"/>
        </w:rPr>
        <w:t xml:space="preserve">、</w:t>
      </w:r>
      <w:r>
        <w:rPr>
          <w:rFonts w:ascii="宋体" w:hAnsi="宋体" w:eastAsia="宋体" w:cs="宋体"/>
          <w:color w:val="000000"/>
          <w:sz w:val="24"/>
          <w:highlight w:val="none"/>
        </w:rPr>
        <w:t xml:space="preserve">验收标准：本招标文件适用苏财规【2024】7号文件关于印发《江苏省政府采购履约验收管理办法》的通知。</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numPr>
          <w:numId w:val="0"/>
        </w:num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numPr>
          <w:ilvl w:val="0"/>
          <w:numId w:val="8"/>
        </w:num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合同及主要条款</w:t>
      </w:r>
      <w:r/>
    </w:p>
    <w:p>
      <w:pPr>
        <w:ind w:left="570"/>
        <w:jc w:val="center"/>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采购合同</w:t>
      </w:r>
      <w:r/>
    </w:p>
    <w:p>
      <w:pPr>
        <w:ind w:firstLine="569"/>
        <w:jc w:val="right"/>
        <w:spacing w:line="400" w:lineRule="atLeast"/>
        <w:tabs>
          <w:tab w:val="left" w:pos="4785" w:leader="none"/>
        </w:tabs>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highlight w:val="none"/>
        </w:rPr>
        <w:t xml:space="preserve">       标段一</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甲方：乙方：</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地址：地址： </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电话：电话：</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传真：传真：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招标文件、乙方的响应文件和中标知书，甲乙双方就此次成交的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的采购事宜，签订本合同书。</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一、下列文件为本合同不可分割部分：</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（1）中标通知书；</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（2）招标文件； </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（3）乙方中标的响应文件；</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（4）乙方在采购过程中所作的其他承诺、声明、书面澄清等。</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二、合同内容：</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（1）乙方负责完成苏州市姑苏区（含原平江新城、沧浪新城、金阊新城）甲方管理的市区道路及景观照明设施养护维修服务，甲方对乙方的考核结果作为养护费用支付的依据；</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（2）服务内容及要求：详见招标文件及乙方投标文件；</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（3）项目服务周期：暂定18个月，202*年**月**日-202*年**月**日，（合同履行时间以甲方书面通知为准，截止时间202**年**月**日）。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三、价格与支付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（1）合同费用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费用包括但不限于完成本项工作所需的人工、材料、机械、管理、养护、开挖、绿化恢复、运输、节假日加班工资、办公设备、通讯、安装、调试、维修、更换、失窃费用、保险、安全、人身意外伤亡、利润、税金、政策性文件规定及合同包含的所有风险、责任等一切费用。同时，除非合同条款中另有规定，否则，成交单位所报价格在合同实施期间不因市场变化因素而变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（2）服务合同价款的支付及付款方式</w:t>
      </w:r>
      <w:r/>
    </w:p>
    <w:p>
      <w:pPr>
        <w:ind w:firstLine="48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1.合同生效后，根据市财政相关要求支付服务款项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签订合同前，如乙方明确表示无需预付款或主动要求降低预付款比例的，甲方在同等条件下优先支付货款；如乙方需要预付款的，甲方向乙方支付合同总价30%的预付款，按甲方支付流程支付。在合同签订后，需要甲方支付预付款的，乙方须向甲方提供银行出具的等额保函。</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（1）进度款支付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养护期限内每季度支付一次，</w:t>
      </w:r>
      <w:r>
        <w:rPr>
          <w:rFonts w:ascii="宋体" w:hAnsi="宋体" w:eastAsia="宋体" w:cs="宋体"/>
          <w:b/>
          <w:color w:val="000000"/>
          <w:sz w:val="24"/>
          <w:highlight w:val="none"/>
          <w:u w:val="single"/>
        </w:rPr>
        <w:t xml:space="preserve">经甲方考核合格的每季度工作量清单</w:t>
      </w:r>
      <w:r>
        <w:rPr>
          <w:rFonts w:ascii="宋体" w:hAnsi="宋体" w:eastAsia="宋体" w:cs="宋体"/>
          <w:color w:val="000000"/>
          <w:sz w:val="24"/>
          <w:highlight w:val="none"/>
        </w:rPr>
        <w:t xml:space="preserve">及甲方对乙方的考核结果作为当季养护费用支付的依据。</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每季度实际支付养护费=当季养护费用-当季日常考核扣款-相应罚款</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每季度日常考核扣款＝当季应支付养护费×（1-养护考核评分/100）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服务费用包括：所投设备及其备品、备件和专用工具费用、各种税费及包装、道路开挖、绿化恢复、运至最终目的地的运输、节假日加班工资、办公设备、通讯、流量、保险、配合安装调试、检测验收、及相关劳务支出等工作所发生的全部费用以及乙方企业利润、税金和政策性文件规定及合同包含的所有风险、责任等各项应有费用。</w:t>
      </w:r>
      <w:r>
        <w:rPr>
          <w:rFonts w:ascii="宋体" w:hAnsi="宋体" w:eastAsia="宋体" w:cs="宋体"/>
          <w:color w:val="000000"/>
          <w:sz w:val="24"/>
          <w:highlight w:val="none"/>
        </w:rPr>
        <w:br/>
      </w:r>
      <w:r>
        <w:rPr>
          <w:rFonts w:ascii="宋体" w:hAnsi="宋体" w:eastAsia="宋体" w:cs="宋体"/>
          <w:color w:val="000000"/>
          <w:sz w:val="24"/>
          <w:highlight w:val="none"/>
        </w:rPr>
        <w:t xml:space="preserve">    关于进度付款申请单编制的约定：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乙方按甲方要求办理请款手续，请款手续不完备的甲方有权顺延支付。因上级部门流转审批致使超出前述期限的甲方不构成违约。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首次付款时，乙方的付款申请资料还应提供甲方对其出具的合格进场核验报告及合同复印件。乙方未提交相关资料的或提交的相关资料不符合甲方要求的，甲方有权顺延付款期限。</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付款时需提供以下单据：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（1）增值税发票。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（2）支付申请书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w:t>
      </w:r>
      <w:r/>
    </w:p>
    <w:p>
      <w:pPr>
        <w:ind w:firstLine="48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2.付款方式：银行转账。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若为一般账户，则提供乙方开户银行名称、地址和账号为：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户 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若为数字人民币账户，则提供乙方钱包ID和钱包名称为：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钱包ID：</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钱包名称：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根据国家现行税法对甲方征收的与本合同有关的税费均由甲方承担；根据国家现行税法对乙方征收的与本合同有关的一切税费均由乙方承担。</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四、权利和义务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（1）甲方权利和义务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1.指定专人作为甲方联系人予以协调工作。加强与乙方沟通，交流情况，互通信息。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2.甲方应教育所属人员尊重乙方工作人员的劳动成果，积极配合乙方工作人员履行好合同所规 定的职责和义务。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3.协助做好与新旧管理公司的业务交接事宜。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4.为乙方有效开展工作提供其他必要的便利。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5.根据甲方对本项目要求及乙方响应文件中的承诺，对乙方提供的服务及履行本合同情况进行检查考核，具体根据检查考核结果支付费用。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6.若乙方在承包服务期间，将本项目转包他人，或违反相关法律法规规定，甲方有权解除合同。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7.乙方需按甲方要求处理废弃照明设备，甲方进行监管。如发现乙方未按照甲方要求或违反相关法律法规，甲方有权解除合同。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（2）乙方权利和义务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1.乙方根据路灯、景观灯相关技术规范、服务质量标准和有关要求，积极主动保质保量地完成工作。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2.接受并主动配合甲方及行业管理部门的检查。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3.服务范围之内的突击性、突发性工作，乙方须服从甲方的安排，不得无故拖延。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4.因乙方责任造成植物、设施等损坏，乙方应负责及时补植和修复，或照价赔偿。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5.乙方在服务工作中应当做到文明作业、安全生产，采取必要的安全防范措施，合同期内若发生安全事故乙方应承担全部的经济、法律责任。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6.乙方应及时调整不适应工作需求的人员。如甲方认为该员工不能胜任本职工作的，必须调整。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乙方应经常对员工进行岗位职责和安全教育，加强岗位责任考核。因管理不当、违规操作发生设备损坏、食物中毒、被盗等安全事故对甲方造成一定损失的，乙方需承担相应的赔偿责任。具体办法于合同签订后经甲乙双方协商后确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8.确保有关工作人员按国家规定具备相关工种的上岗证和“健康证”条件，并按国家有关部门规定，定期组织体检且有年审合格记录。</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10.接受并积极配合甲方组织、要求的各类考核、满意度调查等工作，并按甲方提出的意见及时进行整改。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合同终止：乙方如在合同期内无法按照招标文件要求实施管养服务，甲方将以书面形式通知乙方工作中存在的问题，乙方收到书面函件后5天须书面回复整改措施，如未在5天内回复或仍不按照招标文件要求进行管养服务，甲方有权单方面终止合同。乙方必须在规定期限内向甲方及其制定的管理公司移交全部档案资料和甲方购置的固定资产与工具，自然损耗除外。移交的资料档案应具备完整性，如不配合甲方进行移交的，将扣除其履约保证金并追究相关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12.乙方在投标文件中提出的其他服务承诺。</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人员配置问题∶乙方在投标文件中所列项目管理人员（包括项目经理等），在项目实际管理过程中，必须在工作场地长驻办公，未经甲方同意不得随意更改或者调整人员，如果乙方对项目经理等相关管理人员进行随意调动，将按照招标文件要求考核扣款。合同期内项目经理无特殊原因不得变更，如需变更须得到甲方书面认定，如乙方随意变更项目经理则视为重大违约，甲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乙方需按甲方要求处理废弃照明设备，乙方通过甲方核定的第三方评估公司对废弃照明设备进行评估并按照甲方要求公开拍卖，所得款项统一上缴至甲方明确的财政账户，所产生的全部费用由乙方承担，乙方需积极主动保质保量地完成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乙方除应做好职工的安全生产教育外，应为工作人员提供必要的劳动保护条件，还应办理作业时的人身安全保险和意外伤害险，一切安全责任事故均由乙方负责（保险种类由乙方自行选择）。乙方必须为其工作人员按苏州市劳动部门的相关规定缴纳相关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16.乙方要设立项目负责人，制定适合城市照明设施养护工作特点的详细工作服务流程与方案，制定对养护人员的考核办法。</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17.乙方要加强对养护人员的管理与培训，并保证养护人员的稳定性，未经甲方允许不得擅自更换养护人员。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18.养护人员要遵守劳动考勤纪律及其它相关规章制度，接受甲方的工作安排与指导，做好本职工作。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19.养护人员必须做好城市照明设施等的相关信息保密工作。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20.养护人员要忠于职守，坚决维护甲方的团队形象，礼貌待人，文明服务，尊重和保护纳税人的权利，依法接受监督。</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乙方服务过程中若有违反相关规章制度行为的，甲方有权对乙方作出惩罚性扣款处理。发现乙方首起违章行为的，甲方扣款1000元；第二起违章行为的，甲方扣款2000元；第三起违章行为的，甲方扣款5000元。以后再有发现的，累计累算翻倍扣款。违章行为应以次计，而不论违章行为是否重复、 相同或同类。发生重大事故，造成重大影响的，甲方有权直接解除合同。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五、服务内容的调整</w:t>
      </w:r>
      <w:r/>
    </w:p>
    <w:p>
      <w:pPr>
        <w:ind w:firstLine="480"/>
        <w:spacing w:line="400"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按政府采购相关条款执行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六、服务要求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详见招标文件及乙方响应文件</w:t>
      </w:r>
      <w:r/>
    </w:p>
    <w:p>
      <w:pPr>
        <w:ind w:firstLine="48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七、进场核验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进场核验时间为2026年1月1日之</w:t>
      </w:r>
      <w:r>
        <w:rPr>
          <w:rFonts w:ascii="宋体" w:hAnsi="宋体" w:eastAsia="宋体" w:cs="宋体"/>
          <w:color w:val="000000"/>
          <w:sz w:val="24"/>
          <w:highlight w:val="none"/>
        </w:rPr>
        <w:t xml:space="preserve">前，甲方组织中标单位项目经理等相关人员对中标单位投入本项目的人员、车辆、设备、工具、保险、服装、办公场所、管理软件等按照招标文件的要求配备齐全，进行现场核验。由甲方出具进场核验报告。现场核验符合招标文件要求的，由甲方出具“合格"的进场核验报告并明确进场日期。现场核验不符合招标文件要求的，由甲方根据实际情况决定是否同意进场服务，在进场核验报告中明确不符合事项及整改期限，无论甲方是否同意进场服务，中标单位均应按每项2000元/天的标准向甲方支付违约金，违约金收取时间自核验之日起至中标单位整改完成核验合格之日止。</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1.合同一方不履行合同义务或者履行合同义务不符合约定的，应当承担继续履行、采取补救措施或者赔偿损失等违约责任。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2、甲方违约责任。甲方未按照约定时间支付合同价款的，应当承担逾期付款违约责任。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3.1甲方有权按照本合同及招投标约定对乙方进行考核，并按照考核办法的规定要求乙方承担相应责任。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 乙方承担的违约金不足以赔偿甲方实际损失的，甲方有权要求乙方继续赔偿。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 乙方履行合同不符合合同要求的，甲方有权责令乙方立即改正，乙方拒不改正或已经造成不良社会影响的，甲方有权要求乙方承担责任。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 乙方履行合同不符合要求，被取消中标资格（或终止、解除合同）的，并不能免除其支付违约金的责任，且被解除合同的单位将在三年内不得参与采购方所有招标项目的投标。</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九、不可抗力</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十、合同的解除和转让</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（1）合同的解除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1.有下列情形之一，合同一方可以解除合同：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因不可抗力致使不能实现合同目的，未受不可抗力影响的一方有权解除合同；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因合同一方违约导致合同不能履行，另一方有权解除合同。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3）有权解除合同的一方，应当在违约事实或不可抗力发生之后三十天内书面通知对方以主张解除合同，合同在书面通知到达对方时解除。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4）提供的服务无法达到甲方要求，拒不整改或整改后仍无法达到甲方的服务要求的。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（2）合同的转让</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1.合同内的所有内容均不得转让。</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2.如本合同继续履行将损害国家利益和社会公共利益，甲方有权变更、中止或者终止、解除合同。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3.依据预留项目和价格扣除等优惠政策获取本项目政府采购合同后，小型、微型企业不得分包或转包给大型、中型企业;中型企业不得分包或转包给大型企业。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十一、合同的生效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本合经甲乙双方签字盖章后生效，生效的合同需在2个工作日内送至上传系统备案。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十三、争议解决</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甲乙双方因合同发生争议，签约双方应友好协商解决。协商不成，任何一方可以向甲方所在地人民法院起诉。</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十四、其他</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1.合同份数：本合同一式肆份，甲乙双方各执贰份。</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2.合同在执行过程中出现的未尽事宜，双方在不违背本合同和采购文件的原则下协商解决，协商结果以书面形式盖章记录在案，作为本合同的附件，与本合同具有同等效力，但需提交苏采云系统备案。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3.未尽事宜双方协商解决。</w:t>
      </w:r>
      <w:r/>
    </w:p>
    <w:p>
      <w:pPr>
        <w:ind w:firstLine="480"/>
        <w:spacing w:line="400"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4.最终解释权归甲方所有。</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甲方：（公章或合同专用章）乙方： （公章或合同专用章）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法定代表人（授权代表）：法定代表人（授权代表）：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签约日期：  签约日期：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附件：1.《安全生产责任书》</w:t>
      </w:r>
      <w:r/>
    </w:p>
    <w:p>
      <w:pPr>
        <w:ind w:firstLine="1200"/>
        <w:spacing w:line="400"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2.《廉政责任书》</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570"/>
        <w:jc w:val="center"/>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采购合同</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甲方：乙方：</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地址：地址： </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电话：电话：</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传真：传真：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招标文件、乙方的响应文件和中标知书，甲乙双方就此次成交的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的采购事宜，签订本合同书。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highlight w:val="none"/>
        </w:rPr>
        <w:t xml:space="preserve">一、合同内容：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1、乙方负责的</w:t>
      </w:r>
      <w:r>
        <w:rPr>
          <w:rFonts w:ascii="宋体" w:hAnsi="宋体" w:eastAsia="宋体" w:cs="宋体"/>
          <w:color w:val="000000"/>
          <w:sz w:val="24"/>
          <w:highlight w:val="none"/>
          <w:u w:val="singl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2、服务内容及要求：详见招标文件及乙方投标文件；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服务周期：暂定18个月，202*年*月*日-202*年*月*日，（合同履行时间以采购人书面通知为准，截止时间202*年*月*日）在合同有效期内一方不得擅自变更或中止此项合同，如未经双方同意，擅自变更或中止此项的一方要负违约责任。此项合同需终止或续签，应在协议期内提前半个月通知对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2、下列文件为本合同不可分割部分：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①招标文件及其附件；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 乙方的投标文件；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 乙方在招投标过程中所作的其它承诺、声明、书面澄清等；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④中标通知书；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⑤合同附件。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以上与本合同具有同等法律效力。</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3、服务范围：</w:t>
      </w:r>
      <w:r>
        <w:rPr>
          <w:rFonts w:ascii="宋体" w:hAnsi="宋体" w:eastAsia="宋体" w:cs="宋体"/>
          <w:color w:val="000000"/>
          <w:sz w:val="24"/>
          <w:highlight w:val="none"/>
          <w:u w:val="single"/>
        </w:rPr>
        <w:t xml:space="preserve">详见招标文件</w:t>
      </w:r>
      <w:r/>
    </w:p>
    <w:p>
      <w:pPr>
        <w:ind w:firstLine="4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highlight w:val="none"/>
        </w:rPr>
        <w:t xml:space="preserve">4、本项目乙方委派的项目负责人为：</w:t>
      </w:r>
      <w:r>
        <w:rPr>
          <w:rFonts w:ascii="宋体" w:hAnsi="宋体" w:eastAsia="宋体" w:cs="宋体"/>
          <w:color w:val="000000"/>
          <w:spacing w:val="-10"/>
          <w:sz w:val="24"/>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二、价格与支付：</w:t>
      </w:r>
      <w:r/>
    </w:p>
    <w:p>
      <w:pPr>
        <w:ind w:left="2" w:firstLine="50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（一）合同费用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费用包括但不限于完成本项工作所需的人工、材料、机械、管理、养护、开挖、绿化恢复、运输、节假日加班工资、办公设备、通讯、安装、调试、维修、更换、失窃费用、保险、安全、人身意外伤亡、利润、税金、政策性文件规定及合同包含的所有风险、责任等一切费用。同时，除非合同条款中另有规定，否则，成交单位所报价格在合同实施期间不因市场变化因素而变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（二）服务合同价款的支付及付款方式</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1.合同生效后，根据市财政相关要求支付服务款项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签订合同前，如乙方明确表示无需预付款或主动要求降低预付款比例的，甲方在同等条件下优先支付货款；如乙方需要预付款的，甲方向乙方支付合同总价30%的预付款，按甲方支付流程支付。在合同签订后，需要甲方支付预付款的，乙方须向甲方提供银行出具的等额保函。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（1）进度款支付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养护期限内每季度支付一次，</w:t>
      </w:r>
      <w:r>
        <w:rPr>
          <w:rFonts w:ascii="宋体" w:hAnsi="宋体" w:eastAsia="宋体" w:cs="宋体"/>
          <w:b/>
          <w:color w:val="000000"/>
          <w:sz w:val="24"/>
          <w:highlight w:val="none"/>
          <w:u w:val="single"/>
        </w:rPr>
        <w:t xml:space="preserve">经甲方考核合格的每季度工作量清单</w:t>
      </w:r>
      <w:r>
        <w:rPr>
          <w:rFonts w:ascii="宋体" w:hAnsi="宋体" w:eastAsia="宋体" w:cs="宋体"/>
          <w:color w:val="000000"/>
          <w:sz w:val="24"/>
          <w:highlight w:val="none"/>
        </w:rPr>
        <w:t xml:space="preserve">及甲方对乙方的考核结果作为当季养护费用支付的依据。</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每季度实际支付养护费=当季养护费用-当季日常考核扣款-相应罚款</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每季度日常考核扣款＝当季应支付养护费×（1-养护考核评分/100）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服务费用包括：所投设备及其备品、备件和专用工具费用、各种税费及包装、道路开挖、绿化恢复、运至最终目的地的运输、节假日加班工资、办公设备、通讯、流量、保险、配合安装调试、检测验收、及相关劳务支出等工作所发生的全部费用以及乙方企业利润、税金和政策性文件规定及合同包含的所有风险、责任等各项应有费用。</w:t>
      </w:r>
      <w:r>
        <w:rPr>
          <w:rFonts w:ascii="宋体" w:hAnsi="宋体" w:eastAsia="宋体" w:cs="宋体"/>
          <w:color w:val="000000"/>
          <w:sz w:val="24"/>
          <w:highlight w:val="none"/>
        </w:rPr>
        <w:br/>
      </w:r>
      <w:r>
        <w:rPr>
          <w:rFonts w:ascii="宋体" w:hAnsi="宋体" w:eastAsia="宋体" w:cs="宋体"/>
          <w:color w:val="000000"/>
          <w:sz w:val="24"/>
          <w:highlight w:val="none"/>
        </w:rPr>
        <w:t xml:space="preserve">    关于进度付款申请单编制的约定：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乙方按甲方要求办理请款手续，请款手续不完备的甲方有权顺延支付。因上级部门流转审批致使超出前述期限的甲方不构成违约。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首次付款时，乙方的付款申请资料还应提供甲方对其出具的合格进场核验报告及合同复印件。乙方未提交相关资料的或提交的相关资料不符合甲方要求的，甲方有权顺延付款期限。</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付款时需提供以下单据：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（1）增值税发票。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（2）支付申请书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注：本项目付款由甲方全部付至联合体牵头方成员银行账户中。</w:t>
      </w:r>
      <w:r/>
    </w:p>
    <w:p>
      <w:pPr>
        <w:ind w:firstLine="48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2.付款方式：银行转账。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若为一般账户，则提供乙方开户银行名称、地址和账号为：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户 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若为数字人民币账户，则提供乙方钱包ID和钱包名称为：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钱包ID：</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钱包名称：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根据国家现行税法对甲方征收的与本合同有关的税费均由甲方承担；根据国家现行税法对乙方征收的与本合同有关的一切税费均由乙方承担。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三、质量与验收：</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由甲方按考核标准进行验收。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四、甲方职责：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1、指定专人作为甲方联系人予以协调工作。加强与乙方沟通，交流情况，互通信息。</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2、甲方应教育所属人员尊重乙方工作人员的劳动成果，积极配合乙方工作人员履行好合同所规定的职责和义务。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3、负责向乙方提供各区域的工程设备系统竣工图、设备管理所需的资料和附件等。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4、定期组织对乙方服务质量的考核、收集意见和意见，并将结果及时通报乙方。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5、协助做好与新旧管理公司的业务交接事宜（如有旧养护单位）。</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6、为乙方有效开展工作提供其他必要的便利。</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五、乙方职责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1、乙方在从事管理工作中应当做到文明工作、安全生产，采取必要的安全防范措施，合同期内若发生安全事故由乙方承担责任，与甲方无关。同时乙方应承担由此造成的相关损失。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2、乙方应及时调整不适应工作需求的管理人员及其员工。如甲方认为该员工不能胜任本职工作的，必须调整。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应经常对员工进行岗位职责和安全教育，加强岗位责任考核。因管理不当、违规操作发生设备损坏、食物中毒、被盗等安全事故对采购方造成一定损失的，乙方需承担相应的赔偿责任。具体办法于合同签订后经甲乙双方协商后确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4、确保有关工作人员按国家规定具备相关工种的上岗证和“健康证”条件，并按国家有关部门规定，定期组织体检且有年审合格记录。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6、乙方对设备运行及维修所需的备品备件、物料、辅料等提供使用计划，报采购方认可后实用实结。其中对所采购备品备件、物料、辅料等必须符合国家有关部门的质量标准，有明确的生产厂家和品牌。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7、建立各类设备的管理档案资料，定期向采购方报告。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8、接受并积极配合甲方组织的定期考核、满意度调查等工作，并按甲方提出意见及时进行整改。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合同终止：乙方如在合同期内无法按照招标文件要求实施管养服务，甲方将以书面形式通知乙方工作中存在的问题，乙方收到书面函件后5天须书面回复整改措施，如未在5天日回复或仍不按照招标文件要求进行管养服务，甲方有权单方面终止合同。乙方应按投标时的约定办理退场手续。本合同终止时，如双方不再续签合同，乙方必须在规定期限内向甲方及其指定的管理公司移交全部档案资料和甲方购置的固定资产与工具，自然损耗除外。移交的资料档案应具备完整性，如不配合甲方进行移交的，将扣除其履约保证金并追究相关责任。</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11、乙方在投标文件中提出的其他服务承诺。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人员配置问题：乙方在投标文件中所列项目管理人员（包括项目负责人等），在项目实际管理过程中，必须现场长驻办公，未经采购方同意不得随意更改或者调整人员，如果乙方对项目负责人等相关管理人员进行随意调动，将按照招标文件要求考核扣款。合同期内项目负责人变更不得超过1次，否则属于重大违约，甲方有权解除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乙方除应做好职工的安全生产教育外，应为工作人员提供必要的劳动保护条件，还应办理作业时的人身安全保险和意外伤害险，一切安全责任事故均由乙方负责（保险种类由乙方自行选择）。乙方必须为其工作人员按苏州劳动部门的相关规定缴纳相关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14、若乙方为联合体，联合体将共同承担合同规定的一切义务和责任，联合体各成员单位按照内部职责的部分，承担各自所负的责任和风险，并向甲方承担连带责任。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六、不可抗力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七、合同的解除和转让：</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1、合同的解除</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1.1甲方和乙方协商一致，可以解除合同。并报政府采购监管部门审查备案。</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1.2有下列情形之一，合同一方可以解除合同：</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 因不可抗力致使不能实现合同目的，未受不可抗力影响的一方有权解除合同；</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 因合同一方违约导致合同不能履行，另一方有权解除合同。</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1.3有权解除合同的一方，应当在违约事实或不可抗力发生之后三十天内书面通知对方以主张解除合同，合同在书面通知到达对方时解除。</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2、合同的转让</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1.合同内的所有内容均不得转让</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2.如本合同继续履行将损害国家利益和社会公共利益，甲方有权变更、中止或者终止、解除合同。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3.依据预留项目和价格扣除等优惠政策获取本项目政府采购合同后，小型、微型企业不得分包或转包给大型、中型企业;中型企业不得分包或转包给大型企业。</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八、合同生效、争议解决及其他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1、本合经甲乙双方签字盖章后生效，生效的合同需在2个工作日内送至上传系统备案。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2、甲乙双方因合同发生争议，签约双方应友好协商解决。协商不成，任何一方可以向采购方所在地人民法院起诉。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3、其他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1.合同份数：本合同一式肆份，甲乙双方各执贰份。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2.合同在执行过程中出现的未尽事宜，双方在不违背本合同和采购文件的原则下协商解决，协商结果以书面形式盖章记录在案，作为本合同的附件，与本合同具有同等效力，但需提交苏采云系统备案。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3.未尽事宜双方协商解决。</w:t>
      </w:r>
      <w:r/>
    </w:p>
    <w:p>
      <w:pPr>
        <w:ind w:firstLine="480"/>
        <w:spacing w:line="85"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4.最终解释权归采购方所有。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甲方：（公章或合同专用章）    乙方： （公章或合同专用章）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法定代表人（授权代表）：   法定代表人（授权代表）：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签约日期：     签约日期：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附件：1.《安全生产责任书》</w:t>
      </w:r>
      <w:r/>
    </w:p>
    <w:p>
      <w:pPr>
        <w:ind w:firstLine="1200"/>
        <w:spacing w:line="85"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2.《廉政责任书》</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附件一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安全施工与文明现场协议书</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甲方：苏州市市政管理中心 </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根据有关法律法规及省市有关文件精神，结合本项目特点及安全施工与文明现场的要求，双方签订本安全施工与文明现场协议。本协议作为甲乙双方服务协议的附件。</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一、安全生产目标：安全生产无事故。</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二、甲方职责</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1、按国家有关规定检查、指导乙方的安全施工及文明现场管理工作。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2、协调各乙方之间的交叉关系。</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3、检查乙方的安全、文明施工台帐。</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三、乙方职责</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1、结合服务项目实际情况及相关规定，具体制定并在施工中认真执行安全文明生产条例及实施细则。内容须包括以下方面：</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1.1施工现场安全防护工作要按有关规定落实到位；</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1.2对职工进行安全文明教育；</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1.3严格遵守安全生产纪律及各项规定；</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1.4做好爱民便民及其它工作；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1.5做好与相关部门及相关乙方的协调与配合；</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1.6做好安全生产“六化”相关工作；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1.7针对本项目制定综合应急预案；</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1.8每年组织不少于一次的国家安全及网络安全等方面培训；</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1.9在养护合同期间乙方做好相关舆情管控工作；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1.10有关法律、法规、文件要求的其它工作。</w:t>
      </w:r>
      <w:r/>
    </w:p>
    <w:p>
      <w:pPr>
        <w:ind w:firstLine="240"/>
        <w:spacing w:line="85" w:lineRule="atLeast"/>
        <w:tabs>
          <w:tab w:val="left" w:pos="53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2、指定专人做好安全施工日志及安全、文明施工台帐。</w:t>
      </w:r>
      <w:r/>
    </w:p>
    <w:p>
      <w:pPr>
        <w:ind w:firstLine="24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3、严格执行动火作业要求。</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如乙方违反相关安全生产规范及本协议的规定进行违章作业，甲方将视该行为为乙方的部分违约。甲方有权要求乙方立即进行整改（必要时甲方有权要求乙方停工进行整改），同时要求乙方承担一定数额的违约金。</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五、因具体实施服务过程中存在大量的协调和配合工作。为确保工程高效、顺利地进行，乙方承诺：</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1、乙方及其下属人员在与其它部门、单位、个人或在乙方内部之间出现矛盾时，都必须采取友好协商的形式予以解决。</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2、乙方确保在本项目服务范围内乙方的任何人员不以任何理由出现任何暴力行为。</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六、在乙方实施范围内出现任何安全事故均由乙方负责处理，同时本协议不免除乙方造成不良后果后所应承担的法律责任及其它责任。</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七、本协议经签字盖章后生效。</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八、本协议一式陆份，甲乙双方各执叁份。</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甲方签章：乙方签章：</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代表人：代表人：</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年月日年月日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附件二</w:t>
      </w:r>
      <w:r/>
    </w:p>
    <w:p>
      <w:pPr>
        <w:ind w:firstLine="24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廉政责任书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甲方：苏州市市政管理中心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加强廉政建设，规范甲乙双方的行为，防止谋取不正当利益的违法违纪现象的发生，保护国家、集体和当事人的合法权益，根据国家有关法律法规、廉政建设的有关规定及中央八项规定精神，订立本廉政责任书。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一、双方的责任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1.1应严格遵守国家相关法律法规、相关政策、廉政建设各项规定及中央八项规定精神，切实改进工作作风，反对形式主义、官僚主义、享乐主义和奢靡之风。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1.2严格执行合同文件，自觉按合同办事，杜绝任何违反合同约定及廉政要求的行为。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1.3各项活动必须坚持公开、公平、公正、诚信、透明的原则(除法律法规另有规定者外)，不得为获取不正当的利益，损害国家、集体和对方利益，不得违反管理的规章制度。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1.4发现对方在业务活动中有违规、违纪、违法行为的，应及时提醒，情节严重的，应向其上级主管部门或纪检监察机关、司法机关等有关部门举报，并积极配合调查处理。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二、甲方责任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甲方领导和从事本项目的工作人员，在实施过程的事前、事中、事后应遵守以下规定：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2.1严禁向乙方和相关单位索要或接受回扣、礼金、有价证券、贵重物品和好处费、感谢费等财物，不得接受电子礼品、消费卡等新型不正当利益。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2.2严禁在乙方和相关单位报销任何应由甲方或个人支付的费用。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2.3严禁要求、暗示或接受乙方和相关单位为个人装修住房、婚丧嫁娶、配偶子女的工作安排以及出国(境)、旅游等提供方便。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2.4严禁参加有可能影响公正执行公务的乙方和相关单位的宴请、健身、娱乐等活动。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2.5严禁向乙方和相关单位介绍或为配偶、子女、亲属参与同甲方有关本项目的业务活动；不得以任何理由要求乙方和相关单位使用某种产品、材料和设备。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三、乙方责任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乙方应与甲方保持正常的业务交往，按照有关法律法规和程序开展业务工作，严格执行有关方针、政策并遵守以下规定：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3.1严禁以任何理由向甲方及其工作人员索要、接受或赠送礼金、有价证券、贵重物品及回扣、好处费、感谢费等财物，不得通过任何不正当手段影响甲方工作人员公务行为，杜绝商业贿赂。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3.2严禁以任何理由为甲方和相关单位报销应由对方或个人支付的费用，不得出现虚开发票、签订虚假合同等行为损害甲方名誉及利益。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3.3严禁接受或暗示为甲方、相关单位或个人装修住房、婚丧嫁娶、配偶子女的工作安排以及出国(境)、旅游等提供方便。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3.4严禁以任何理由为甲方、相关单位或个人组织有可能影响公正执行公务的宴请、健身、娱乐等活动。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3.5在项目实施过程中，应当按照合同约定的工程范围、质量标准、工期要求等条款，诚信履行合同义务。严禁出现擅自变更工程设计、偷工减料、以次充好等违法违规行为。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四、违约责任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4.1甲方工作人员有违反本责任书第一、二条责任行为的，依据有关法律、法规给予处理；涉嫌犯罪的，移交司法机关追究刑事责任；给乙方单位造成经济损失的，甲方需承担赔偿责任。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乙方工作人员有违反本责任书第一、三条责任行为的，依据有关法律法规处理；涉嫌犯罪的，移交司法机关追究刑事责任；给甲方单位造成经济损失的，乙方需承担赔偿责任，赔偿内容涵盖甲方单位所遭受的直接经济损失及间接经济损失等。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本责任书作为本项目合同的组成部分，与合同具有同等法律效力。经双方签署后立即生效。在本责任书有效期内，若因客观情况发生变化等原因需要对其进行修改或补充，须经双方协商一致，并以书面形式确定后生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五、责任书有效期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本责任书的有效期为双方签署之日起至该工程项目竣工验收合格时止。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六、责任书份数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本责任书一式陆份，甲方乙方各执叁份，具有同等效力。</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甲方签章：乙方签章：</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代表人：代表人：</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年月日年月日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第六章 评标方法、评标标准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一、评标办法：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1、本次评标办法采用综合评分法。即在满足招标文件实质性要求的前提下，按照招标文件中规定的评分标准和各项因素进行综合评审，以评标总得分最高的投标人作为中标单位。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标委员会各成员独立对每个进入打分程序的有效投标人的标书的技术部分以打分的形式进行评审和评价。对评委的评分（除价格分外）进行统计汇总，直接算术平均计算得分（计算结果均四舍五入保留两位小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3、如出现评标总得分最高的投标人有两个或两个以上的，以投标报价较低者优先作为中标单位，如果投标报价也相同的，则由代理机构组织以抽签方式确定中标单位。</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二、政府采购政策： </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1、中、小、微企业</w:t>
      </w:r>
      <w:r>
        <w:rPr>
          <w:rFonts w:ascii="宋体" w:hAnsi="宋体" w:eastAsia="宋体" w:cs="宋体"/>
          <w:b/>
          <w:color w:val="000000"/>
          <w:sz w:val="24"/>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eastAsia="宋体" w:cs="宋体"/>
          <w:b/>
          <w:color w:val="000000"/>
          <w:sz w:val="24"/>
          <w:highlight w:val="none"/>
        </w:rPr>
        <w:t xml:space="preserve">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宋体" w:hAnsi="宋体" w:eastAsia="宋体" w:cs="宋体"/>
          <w:b/>
          <w:color w:val="000000"/>
          <w:sz w:val="24"/>
          <w:highlight w:val="none"/>
        </w:rPr>
        <w:t xml:space="preserve">服务类项目中供应商若使用退休人员，将不享受相关扶持政策。</w:t>
      </w:r>
      <w:r/>
    </w:p>
    <w:p>
      <w:pPr>
        <w:ind w:firstLine="422"/>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2、残疾人福利性单位</w:t>
      </w:r>
      <w:r>
        <w:rPr>
          <w:rFonts w:ascii="宋体" w:hAnsi="宋体" w:eastAsia="宋体" w:cs="宋体"/>
          <w:b/>
          <w:color w:val="000000"/>
          <w:sz w:val="24"/>
          <w:highlight w:val="none"/>
        </w:rPr>
        <w:t xml:space="preserve">（若为专门面向中小企业采购的项目或者采购包，不再执行价格评审优惠的扶持政策）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ascii="宋体" w:hAnsi="宋体" w:eastAsia="宋体" w:cs="宋体"/>
          <w:b/>
          <w:color w:val="000000"/>
          <w:sz w:val="24"/>
          <w:highlight w:val="none"/>
        </w:rPr>
        <w:t xml:space="preserve">20%</w:t>
      </w:r>
      <w:r>
        <w:rPr>
          <w:rFonts w:ascii="宋体" w:hAnsi="宋体" w:eastAsia="宋体" w:cs="宋体"/>
          <w:color w:val="000000"/>
          <w:sz w:val="24"/>
          <w:highlight w:val="none"/>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w:t>
      </w:r>
      <w:r>
        <w:rPr>
          <w:rFonts w:ascii="宋体" w:hAnsi="宋体" w:eastAsia="宋体" w:cs="宋体"/>
          <w:b/>
          <w:color w:val="000000"/>
          <w:sz w:val="24"/>
          <w:highlight w:val="none"/>
        </w:rPr>
        <w:t xml:space="preserve">（若为专门面向中小企业采购的项目或者采购包，不再执行价格评审优惠的扶持政策）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ascii="宋体" w:hAnsi="宋体" w:eastAsia="宋体" w:cs="宋体"/>
          <w:b/>
          <w:color w:val="000000"/>
          <w:sz w:val="24"/>
          <w:highlight w:val="none"/>
        </w:rPr>
        <w:t xml:space="preserve">20%</w:t>
      </w:r>
      <w:r>
        <w:rPr>
          <w:rFonts w:ascii="宋体" w:hAnsi="宋体" w:eastAsia="宋体" w:cs="宋体"/>
          <w:color w:val="000000"/>
          <w:sz w:val="24"/>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numPr>
          <w:ilvl w:val="0"/>
          <w:numId w:val="9"/>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联合体情况</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接受大中型企业与小微企业组成联合体，</w:t>
      </w:r>
      <w:r>
        <w:rPr>
          <w:rFonts w:ascii="宋体" w:hAnsi="宋体" w:eastAsia="宋体" w:cs="宋体"/>
          <w:b/>
          <w:color w:val="000000"/>
          <w:sz w:val="24"/>
          <w:highlight w:val="none"/>
        </w:rPr>
        <w:t xml:space="preserve">对于联合协议约定</w:t>
      </w:r>
      <w:r>
        <w:rPr>
          <w:rFonts w:ascii="宋体" w:hAnsi="宋体" w:eastAsia="宋体" w:cs="宋体"/>
          <w:color w:val="000000"/>
          <w:sz w:val="24"/>
          <w:highlight w:val="none"/>
        </w:rPr>
        <w:t xml:space="preserve">小微企业的合同份额占到合同总金额 30%以上的，应当对联合体或者大中型企业的报价给予 6%的扣除，用扣除后的价格参加评审。</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5、绿色采购</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（1）根据《关于调整优化节能产品、环境标志产品政府采购执行机制的通知》（财库〔2019〕9号）等相关文件的规定，</w:t>
      </w:r>
      <w:r>
        <w:rPr>
          <w:rFonts w:ascii="宋体" w:hAnsi="宋体" w:eastAsia="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85" w:lineRule="atLeast"/>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标段一：评分标准：</w:t>
      </w:r>
      <w:r/>
    </w:p>
    <w:p>
      <w:pPr>
        <w:ind w:firstLine="24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(一)价格分：10分。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第一步：投标总报价低于或等于预算金额的，为有效投标报价。超采购预算的投标报价为无效投标报价。无效投标报价的投标文件不进行评审，也不得中标。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ind w:firstLine="480"/>
        <w:spacing w:line="85" w:lineRule="atLeast"/>
        <w:tabs>
          <w:tab w:val="left" w:pos="63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投标报价得分=（评标基准价/投标报价）*价格权值*100，小数点后保留两位（价格权值为10%）。</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(二)服务方案比较（58分）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1、针对</w:t>
      </w:r>
      <w:r>
        <w:rPr>
          <w:rFonts w:ascii="宋体" w:hAnsi="宋体" w:eastAsia="宋体" w:cs="宋体"/>
          <w:color w:val="000000"/>
          <w:sz w:val="24"/>
          <w:highlight w:val="none"/>
        </w:rPr>
        <w:t xml:space="preserve">本项目，编制设施区域分布示意图及明细表，自行勘测现场，绘制配电设施分布图，梳理各设施现状照片，并制定日常巡查计划、巡视路径图、日常巡修计划、运行抢修计划（含巡查、维修、检修、抢修、检测、安全生产、应急、交办事项等工作及偷盗设施恢复）（12分）：提供资料可操作性强、描述科学全面、完善合理、切实可行、针对性强、内容明确、条理清晰的得12分；内容可操作性较强、描述较科学全面、完善较合理、切实较可行的得8分；内容可操作性一般、描述基本科学全面的得4分；提供内容有涉及但不全面的得1分；与实际现场不符或未提供的不得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突发事件应急处置（8分）：包含城市照明设施养护应急预案，突发事件应急处置保障措施及定期组织应急演练方案，内容可操作性强、描述科学全面、完善合理、切实可行、针对性强、内容明确、条理清晰的得8分；内容可操作性较强、描述较科学全面、完善较合理、切实较可行的得5分；内容可操作性一般、描述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重大活动、文明创建、防汛抗台、雨雪灾害天气、重大节假日保障计划（8分）：重大活动、文明创建、防汛抗台、雨雪灾害天气、重大节假日保障计划，内容可操作性强、描述科学全面、完善合理、切实可行、针对性强、内容明确、条理清晰的得8分；内容可操作性较强、描述较科学全面、完善较合理、切实较可行的得5分；内容可操作性一般、描述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安全生产及文明施工（8分）：包含安全生产内部管理制度、保障措施，文明施工保障措施及安全生产事故善后措施，内容可操作性强、描述科学全面、完善合理、切实可行、针对性强、内容明确、条理清晰的得8分；内容可操作性较强、描述较科学全面、完善较合理、切实较可行的得5分；内容可操作性一般、描述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维修材料保障及环保处理（8分）：包含维修材料质量、库存数量保障措施，有害物资环保处理措施，废旧物资处理措施及拆除设施清单编制及保管措施；内容可操作性强、描述科学全面、完善合理、切实可行、针对性强、内容明确、条理清晰的得8分；配备情况较合理科学、较切合实际、责任较清晰、实施较便捷的得5分；配备情况基本合理科学、基本切合实际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养护技术资料（8分）；包含养护工作台账编制保障措施、养护技术资料保存措施、养护清单设施变动编制措施及各类工作信息上报措施，操作性强、科学全面、完善合理、切实可行、针对性强、内容明确、条理清晰的得8分；操作性较强、科学较全面、完善较合理、切实较可行的得5分；操作性一般、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各方协调能力（6分）：根据项目采购需求制定有针对性的中标期间养护工作与采购相关部门及采购单位专业工种（如绿化、环卫、交通、供电等行业）之间的综合协调方案,内容可操作性强、描述科学全面、完善合理、切实可行、针对性强、内容明确、条理清晰的得6分；内容可操作性较强、描述较科学全面、完善较合理、切实可行的得4分；内容可操作性一般、描述基本科学全面的得2分。</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（三）拟投入车辆设备及服务人员比较（23分）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1、人员配备要求（13分）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（1）专职安全员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满足基本配备要求的前提下，每增加一名具备建筑类施工企业综合类（C3）专职安全生产管理人员证书（有效期内）的专职安全员得1分，最高得2分。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（2）项目管理技术人员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满足基本配备要求的前提下，每增加一名具备</w:t>
      </w:r>
      <w:r>
        <w:rPr>
          <w:rFonts w:ascii="宋体" w:hAnsi="宋体" w:eastAsia="宋体" w:cs="宋体"/>
          <w:color w:val="000000"/>
          <w:sz w:val="22"/>
          <w:highlight w:val="none"/>
        </w:rPr>
        <w:t xml:space="preserve">市政或机电</w:t>
      </w:r>
      <w:bookmarkStart w:id="1" w:name="_GoBack"/>
      <w:r>
        <w:rPr>
          <w:rFonts w:ascii="宋体" w:hAnsi="宋体" w:eastAsia="宋体" w:cs="宋体"/>
          <w:color w:val="000000"/>
          <w:sz w:val="24"/>
          <w:highlight w:val="none"/>
        </w:rPr>
        <w:t xml:space="preserve">或电气类相关专业中级职称</w:t>
      </w:r>
      <w:r>
        <w:rPr>
          <w:rFonts w:ascii="宋体" w:hAnsi="宋体" w:eastAsia="宋体" w:cs="宋体"/>
          <w:color w:val="000000"/>
          <w:sz w:val="24"/>
          <w:highlight w:val="none"/>
        </w:rPr>
        <w:t xml:space="preserve">的技术人员一人得0.5分，每增加一名具备市政或机电或电气类相关专业高级及以</w:t>
      </w:r>
      <w:bookmarkEnd w:id="1"/>
      <w:r>
        <w:rPr>
          <w:rFonts w:ascii="宋体" w:hAnsi="宋体" w:eastAsia="宋体" w:cs="宋体"/>
          <w:color w:val="000000"/>
          <w:sz w:val="22"/>
          <w:highlight w:val="none"/>
        </w:rPr>
        <w:t xml:space="preserve">上职称</w:t>
      </w:r>
      <w:r>
        <w:rPr>
          <w:rFonts w:ascii="宋体" w:hAnsi="宋体" w:eastAsia="宋体" w:cs="宋体"/>
          <w:color w:val="000000"/>
          <w:sz w:val="24"/>
          <w:highlight w:val="none"/>
        </w:rPr>
        <w:t xml:space="preserve">的技术人员，一人得1分，最高得2分。（限评2人，如职称证书不显示专业的，提供职称申报评审表或毕业证书）。</w:t>
      </w:r>
      <w:r/>
    </w:p>
    <w:p>
      <w:pPr>
        <w:numPr>
          <w:numId w:val="0"/>
        </w:numPr>
        <w:ind w:left="48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项目作业人员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基本作业人员要求（电工）中，满足投标提供作业人员证书要求（不少于40名持有应急管理部门签发电工证书的作业人员，其中不少于20名持有应急管理部门签发的高处作业证书）外，另外提供同时持有应急管理部门签发的电工证书（低压或高压，并在有效期内）以及高处作业证书（有效期内）作业人员的数量 ≥15人得7分，15人＞人数≥10人得5分，10人＞人数≥5人得3分，最高7分；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满足基本作业人员（电工90名）配备要求的前提下，增加持有特种作业操作证（有效期内，作业类别：焊接与热切割作业）的人员得1分；增加持有起重机械司机证书（有效期内）的人员得1分。最高得2分（每类人员限评一人）。</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注：以上人员不重复得分，投标文件中必须提供上述所有人员的相关证书原件扫描件，以及投标单位为其缴纳的最近一个月社保证明材料扫描件，否则不得分。</w:t>
      </w:r>
      <w:r/>
    </w:p>
    <w:p>
      <w:pPr>
        <w:numPr>
          <w:numId w:val="0"/>
        </w:num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车辆及工作船配备要求（10分）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（1）满足基本配备要求的前提下，提供高空作业车27米及以上，有1辆得1分，最高得3分（须提供高度证明材料）；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（2）满足基本配备要求的前提下，提供高空作业车（车宽小于2米臂长9米及以上），有1辆得1分，最高得4分（须提供车辆臂长及车宽证明材料）；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（3）满足基本配备要求的前提下，增加防撞车，有1辆得1分，最高得1分；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（4）提供工作机动船，有1艘得2分，最高得2分（工作机动船需提供内河船舶适航证书及相关证明文件，工作机动船驾驶员需持有三类及以上内河船舶船员适任证书。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自有车辆需提供车辆登记证书、行驶证及车辆（正面、两侧、尾部）照片，工作机动船需提供登记证书，照片及相关证明文件，租赁车辆及工作机动船另需提供租赁协议、登记证（登记证上载明的所有人必须为出租方单位，租赁期限需覆盖本项目服务期）。工作机动船驾驶员为自有人员提供近一个月社保证明材料，非自有人员需提供用人单位为其缴纳近一个月社保证明材料。以上材料均需提供原件扫描件，否则不得分。</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（四）综合实力比较（9分）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1、2022年1月1日起至今，响应单位获得市级（地级市）及以上主管部门颁发的城市照明养护类奖项，一个得2分。最高得4分。（投标单位需提供相关证书扫描件，时间以证书颁发时间为准。）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响应单位具有质量管理体系认证证书（认证范围含城市及道路照明施工）、环境管理体系认证证书（认证范围含城市及道路照明施工）、职业健康安全管理体系认证证书（认证范围含城市及道路照明施工）有一项得1分，最高得3分。（提供证书扫描件及在中国国家认证认可监督管理委员会网站http://www.cnca.gov.cn/的完整查询截图。）</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2022年1月1日起至今，投标单位具备危险废弃物处置类似业绩的（对含汞废物进行无害化处置）得1分，最高得1分。（投标单位需提供处置合同、发票、危险废物转移联单（转移联单需由省级及以上固体废物管理信息系统导出或相关专业（行业）主管部门出具的证明材料），时间以危险废物转移联单或相关专业（行业）主管部门出具的证明材料中转运时间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4、2022年1月1日起至今（履约完成证明时间为准），响应单位承担过类似业绩每个得0.5分，最高得1分（需提供中标通知书或直接发包证明文件、合同、履约完成证明等文件原件扫描件）</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标段二：评分标准：</w:t>
      </w:r>
      <w:r/>
    </w:p>
    <w:p>
      <w:pPr>
        <w:ind w:firstLine="24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(一)价格分：10分。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第一步：投标总报价低于或等于预算金额的，为有效投标报价。超采购预算的投标报价为无效投标报价。无效投标报价的投标文件不进行评审，也不得中标。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ind w:firstLine="480"/>
        <w:spacing w:line="85" w:lineRule="atLeast"/>
        <w:tabs>
          <w:tab w:val="left" w:pos="63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投标报价得分=（评标基准价/投标报价）*价格权值*100，小数点后保留两位（价格权值为10%）。</w:t>
      </w:r>
      <w:r/>
    </w:p>
    <w:p>
      <w:pPr>
        <w:ind w:left="48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rPr>
          <w:rFonts w:ascii="宋体" w:hAnsi="宋体" w:eastAsia="宋体" w:cs="宋体"/>
          <w:color w:val="000000"/>
          <w:sz w:val="24"/>
          <w:highlight w:val="none"/>
        </w:rPr>
        <w:t xml:space="preserve">运维方案（50分）</w:t>
      </w:r>
      <w:r/>
    </w:p>
    <w:p>
      <w:pPr>
        <w:ind w:left="480"/>
        <w:spacing w:line="85" w:lineRule="atLeast"/>
        <w:tabs>
          <w:tab w:val="left" w:pos="63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平台软件日常运维及升级方案（8分）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总体服务方案贴合本项目需求，完整详细，可行性、实用性、针对性强的，得 8分；总体服务方案符合本项目需求，方案完整，具有可行性、实用性和针对性的，得 5 分；总体服务方案较适合本项目需求，可行性、实用性、针对性有待改善的，得 2 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硬件设施日常维护及巡检方案（8分）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总体服务方案贴合本项目需求，完整详细，可行性、实用性、针对性强的，得 8分；总体服务方案符合本项目需求，方案完整，具有可行性、实用性和针对性的，得 5分；总体服务方案较适合本项目需求，可行性、实用性、针对性有待改善的，得 2 分；总体服务方案不完整，或有明显缺陷，或未提供总体服务方案的，不得分。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平台通信网络及终端通信网络日常维护（8分）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平台通信网络及终端通信网络日常维护方案贴合本项目需求，完整详细，可行性、实用性、针对性强的，得 8分；平台通信网络及终端通信网络日常维护方案符合本项目需求，方案完整，具有可行性、实用性和针对性的，得 5分；平台通信网络及终端通信网络日常维护方案较适合本项目需求，可行性、实用性、针对性有待改善的，得 2分；方案不完整，或有明显缺陷，或未提供方案的不得分。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t xml:space="preserve">应急预案及演练方（8分）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控制平台运维应急预案及演练方案贴合本项目需求，完整详细，可行性、实用性、针对性强的，得 8 分；控制平台运维急预案及演练方案符合本项目需求，方案完整，具有可行性、实用性和针对性的，得 5 分；控制平台运维应急预案及演练方案较适合本项目需求，可行性、实用性、针对性有待改善的，得2分；方案不完整，或有明显缺陷，或未提供方案的不得分。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安全文明 方案（8分）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安全文明方案贴合本项目需求，完整详细，可行性、实用性、针对性强的，得 8分；安全文明方案符合本项目需求，方案完整，具有可行性、实用性和针对性的，得 5分；安全文明方案较适合本项目需求，可行性、实用性、针对性有待改善的，得 2分；方案不完整，或有明显缺陷，或未提供方案的不得分。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t xml:space="preserve">人员培训 方案（4分）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人员培训方案贴合本项目需求，完整详细，可行性、实用性、针对性强的，得 4分；人员培训方案符合本项目需求，方案完整，具有可行性、实用性和针对性的，得 2分；人员培训方案较适合本项目需求，可行性、实用性、针对性有待改善的，得 1分；方案不完整，或有明显缺陷，或未提供方案的不得分。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t xml:space="preserve">档案管理 方案（3分）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档案管理方案措施详尽、准确完整、针对性强的，得3分；档案管理方案措施较详尽、具有针对性的，得 2分；提供了档案管理方案，基本满足采购需求的，得 1分；档案管理方案不完整，或有明显缺陷，或未提供方案的不得分。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t xml:space="preserve">管理制度（3分）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管理制度内容详细完整，制度完善，贴合本项目采购需求，可行性、实用性、针对性强的，得 3 分；管理制度内容完整，制度基本完善，适合本项目采购需求，具有可行性、实用性和针对性的，得 2分；管理制度基本适合本项目采购需求，可行性、实用性、针对性有待改善，得 1 分；管理制度不可行或未提供不得分。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w:t>
      </w:r>
      <w:r>
        <w:rPr>
          <w:rFonts w:ascii="宋体" w:hAnsi="宋体" w:eastAsia="宋体" w:cs="宋体"/>
          <w:color w:val="000000"/>
          <w:sz w:val="24"/>
          <w:highlight w:val="none"/>
        </w:rPr>
        <w:t xml:space="preserve">拟投入运维人员情况（</w:t>
      </w:r>
      <w:r>
        <w:rPr>
          <w:rFonts w:hint="eastAsia" w:ascii="宋体" w:hAnsi="宋体" w:eastAsia="宋体" w:cs="宋体"/>
          <w:color w:val="000000"/>
          <w:sz w:val="24"/>
          <w:highlight w:val="none"/>
        </w:rPr>
        <w:t xml:space="preserve">22</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1、拟投入运维人员情况（2</w:t>
      </w: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拟派项目负责人具有中华人民共和国人力资源和社会保障部（或原人事部）、中华人民共和国工业和信息化部（或原信息产业部）的信息系统项目管理师、系统分析师证书、人社部门颁发的类似专业高级职称证书、中国网络安全审查认证和市场监管大数据中心颁发的有效期内的信息安全保障人员</w:t>
      </w:r>
      <w:r>
        <w:rPr>
          <w:rFonts w:hint="eastAsia" w:ascii="宋体" w:hAnsi="宋体" w:eastAsia="宋体" w:cs="宋体"/>
          <w:color w:val="000000"/>
          <w:sz w:val="24"/>
          <w:highlight w:val="none"/>
        </w:rPr>
        <w:t xml:space="preserve">认证</w:t>
      </w:r>
      <w:r>
        <w:rPr>
          <w:rFonts w:ascii="宋体" w:hAnsi="宋体" w:eastAsia="宋体" w:cs="宋体"/>
          <w:color w:val="000000"/>
          <w:sz w:val="24"/>
          <w:highlight w:val="none"/>
        </w:rPr>
        <w:t xml:space="preserve">证书；以上证书每有一种得1分，最高</w:t>
      </w: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t xml:space="preserve">分。（提供证书扫描件及投标单位为其缴纳的最近1个月的社保证明）</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拟派技术负责人具备中华人民共和国人力资源和社会保障部（或原人事部）、中华人民共和国工业和信息化部（或原信息产业部）颁发的数据库系统工程师证书、系统分析师证书、通信专业技术人员职业资格认证（专业：互联网技术，级别：中级）证书，以上证书每有一种得1分，最高</w:t>
      </w: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（提供职称证书扫描件及投标单位为其缴纳的最近1个月的社保证明）</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1.3拟派项目组成员中（除项目负责人和技术负责人）每配置一名智慧照明或计算机应用专业正高（研究员级）及以上职称的得</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分，智慧照明或计算机应用专业高级职称的得</w:t>
      </w: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分，智慧照明或计算机应用专业中级职称的得1分，其他不得分，本项最高得</w:t>
      </w: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t xml:space="preserve">分。（一人一证，限评2人）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（提供职称证书扫描件及投标单位为其缴纳的最近1个月的社保证明，专业以职称证书上的专业为准，若职称证书上不体现专业，则以毕业证书上的专业为准。）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1.4拟派项目组成员中（除项目负责人和技术负责人）具有中华人民共和国人力资源和社会保障部（或原人事部）、中华人民共和国工业和信息化部（或原信息产业部）批准颁发的</w:t>
      </w:r>
      <w:bookmarkStart w:id="0" w:name="OLE_LINK1"/>
      <w:r>
        <w:rPr>
          <w:rFonts w:ascii="宋体" w:hAnsi="宋体" w:eastAsia="宋体" w:cs="宋体"/>
          <w:color w:val="000000"/>
          <w:sz w:val="24"/>
          <w:highlight w:val="none"/>
        </w:rPr>
        <w:t xml:space="preserve">信息系统项目管理师</w:t>
      </w:r>
      <w:bookmarkEnd w:id="0"/>
      <w:r>
        <w:rPr>
          <w:rFonts w:ascii="宋体" w:hAnsi="宋体" w:eastAsia="宋体" w:cs="宋体"/>
          <w:color w:val="000000"/>
          <w:sz w:val="24"/>
          <w:highlight w:val="none"/>
        </w:rPr>
        <w:t xml:space="preserve">、数据安全评估师，每提供一个得1分，最多得5分。（一人一证，限评5人）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（提供相应证书及投标单位为其缴纳的最近1个月的社保证明）</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w:t>
      </w:r>
      <w:r>
        <w:rPr>
          <w:rFonts w:ascii="宋体" w:hAnsi="宋体" w:eastAsia="宋体" w:cs="宋体"/>
          <w:color w:val="000000"/>
          <w:sz w:val="24"/>
          <w:highlight w:val="none"/>
        </w:rPr>
        <w:t xml:space="preserve">企业综合实力（</w:t>
      </w:r>
      <w:r>
        <w:rPr>
          <w:rFonts w:hint="eastAsia" w:ascii="宋体" w:hAnsi="宋体" w:eastAsia="宋体" w:cs="宋体"/>
          <w:color w:val="000000"/>
          <w:sz w:val="24"/>
          <w:highlight w:val="none"/>
        </w:rPr>
        <w:t xml:space="preserve">18</w:t>
      </w:r>
      <w:r>
        <w:rPr>
          <w:rFonts w:ascii="宋体" w:hAnsi="宋体" w:eastAsia="宋体" w:cs="宋体"/>
          <w:color w:val="000000"/>
          <w:sz w:val="24"/>
          <w:highlight w:val="none"/>
        </w:rPr>
        <w:t xml:space="preserve">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企业业绩（</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投标单位具有近三年(2022年1月1日至今)承担过类似相关业绩（时间以合同签订时间为准），每提供一份得</w:t>
      </w: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分，未提供不得分，本项最高得</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投标文件中需提供合同复印件并加盖公章，否则不得分。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企业荣誉（1</w:t>
      </w: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2.1投标单位具有有效期内的质量管理体系认证证书，环境管理体系认证证书、职业健康安全管理体系认证证书，</w:t>
      </w:r>
      <w:r>
        <w:rPr>
          <w:rFonts w:hint="eastAsia" w:ascii="宋体" w:hAnsi="宋体" w:eastAsia="宋体" w:cs="宋体"/>
          <w:color w:val="000000"/>
          <w:sz w:val="24"/>
          <w:highlight w:val="none"/>
        </w:rPr>
        <w:t xml:space="preserve">各证书认证范围需包含类似照明运维等相关管理活动。</w:t>
      </w:r>
      <w:r>
        <w:rPr>
          <w:rFonts w:ascii="宋体" w:hAnsi="宋体" w:eastAsia="宋体" w:cs="宋体"/>
          <w:color w:val="000000"/>
          <w:sz w:val="24"/>
          <w:highlight w:val="none"/>
        </w:rPr>
        <w:t xml:space="preserve">每提供一个得3分，不提供不得分，最高得9分。投标文件中需提供证书复印件加盖公章。</w:t>
      </w:r>
      <w:r/>
    </w:p>
    <w:p>
      <w:pPr>
        <w:ind w:firstLine="480"/>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投标单位具有有效期内的信息安全管理体系认证证书和ISO信息技术服务管理体系认证证书，各证书认证范围须包含智慧照明系统相关的安全管理或技术服务，每提供一个得2分，最高得4分，不提供不得分。投标文件中需提供证书扫描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w:t>
      </w:r>
      <w:r>
        <w:rPr>
          <w:rFonts w:ascii="宋体" w:hAnsi="宋体" w:eastAsia="宋体" w:cs="宋体"/>
          <w:color w:val="000000"/>
          <w:sz w:val="24"/>
          <w:highlight w:val="none"/>
        </w:rPr>
        <w:t xml:space="preserve">以上标段针对评分标准中评分的每一条，投标人均应提供相关资料并作出相应说明供评委评判，不提供相关资料的视为不具备该项得分的条件。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（全文完）</w:t>
      </w:r>
      <w:r/>
    </w:p>
    <w:p>
      <w:pPr>
        <w:rPr>
          <w:highlight w:val="none"/>
        </w:rPr>
      </w:pPr>
      <w:r>
        <w:rPr>
          <w:highlight w:val="none"/>
        </w:rPr>
      </w:r>
      <w:r/>
    </w:p>
    <w:sectPr>
      <w:headerReference w:type="default" r:id="rId9"/>
      <w:footerReference w:type="default" r:id="rId10"/>
      <w:footnotePr/>
      <w:endnotePr/>
      <w:type w:val="nextPage"/>
      <w:pgSz w:w="11906" w:h="16838" w:orient="portrait"/>
      <w:pgMar w:top="1134" w:right="1400" w:bottom="1077" w:left="168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Cambria">
    <w:panose1 w:val="02040503050406030204"/>
  </w:font>
  <w:font w:name="Calibri">
    <w:panose1 w:val="020F0502020204030204"/>
  </w:font>
  <w:font w:name="Verdana">
    <w:panose1 w:val="020B0604030504040204"/>
  </w:font>
  <w:font w:name="华文中宋">
    <w:panose1 w:val="02010600040101010101"/>
  </w:font>
  <w:font w:name="仿宋_GB2312">
    <w:panose1 w:val="020106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1"/>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right="90"/>
      <w:jc w:val="both"/>
      <w:rPr>
        <w:rFonts w:eastAsia="宋体"/>
      </w:rPr>
    </w:pP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rPr>
        <w:color w:val="000000"/>
      </w:r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2"/>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5"/>
      <w:numFmt w:val="decimal"/>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59"/>
    <w:uiPriority w:val="29"/>
    <w:rPr>
      <w:i/>
    </w:rPr>
  </w:style>
  <w:style w:type="character" w:styleId="40">
    <w:name w:val="Intense Quote Char"/>
    <w:link w:val="761"/>
    <w:uiPriority w:val="30"/>
    <w:rPr>
      <w:i/>
    </w:r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4"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665">
    <w:name w:val="Heading 1"/>
    <w:basedOn w:val="664"/>
    <w:next w:val="664"/>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Caption"/>
    <w:basedOn w:val="664"/>
    <w:next w:val="664"/>
    <w:uiPriority w:val="35"/>
    <w:semiHidden/>
    <w:unhideWhenUsed/>
    <w:qFormat/>
    <w:pPr>
      <w:spacing w:line="276" w:lineRule="auto"/>
    </w:pPr>
    <w:rPr>
      <w:b/>
      <w:bCs/>
      <w:color w:val="4f81bd"/>
      <w:sz w:val="18"/>
      <w:szCs w:val="18"/>
    </w:rPr>
  </w:style>
  <w:style w:type="paragraph" w:styleId="678">
    <w:name w:val="toc 5"/>
    <w:basedOn w:val="664"/>
    <w:next w:val="664"/>
    <w:uiPriority w:val="39"/>
    <w:unhideWhenUsed/>
    <w:qFormat/>
    <w:pPr>
      <w:ind w:left="1134"/>
      <w:spacing w:after="57"/>
    </w:pPr>
  </w:style>
  <w:style w:type="paragraph" w:styleId="679">
    <w:name w:val="toc 3"/>
    <w:basedOn w:val="664"/>
    <w:next w:val="664"/>
    <w:uiPriority w:val="39"/>
    <w:unhideWhenUsed/>
    <w:qFormat/>
    <w:pPr>
      <w:ind w:left="567"/>
      <w:spacing w:after="57"/>
    </w:pPr>
  </w:style>
  <w:style w:type="paragraph" w:styleId="680">
    <w:name w:val="toc 8"/>
    <w:basedOn w:val="664"/>
    <w:next w:val="664"/>
    <w:uiPriority w:val="39"/>
    <w:unhideWhenUsed/>
    <w:qFormat/>
    <w:pPr>
      <w:ind w:left="1984"/>
      <w:spacing w:after="57"/>
    </w:pPr>
  </w:style>
  <w:style w:type="paragraph" w:styleId="681">
    <w:name w:val="endnote text"/>
    <w:basedOn w:val="664"/>
    <w:uiPriority w:val="99"/>
    <w:semiHidden/>
    <w:unhideWhenUsed/>
    <w:qFormat/>
    <w:rPr>
      <w:sz w:val="20"/>
    </w:rPr>
  </w:style>
  <w:style w:type="paragraph" w:styleId="682">
    <w:name w:val="Footer"/>
    <w:basedOn w:val="664"/>
    <w:uiPriority w:val="99"/>
    <w:unhideWhenUsed/>
    <w:qFormat/>
    <w:pPr>
      <w:tabs>
        <w:tab w:val="center" w:pos="7143" w:leader="none"/>
        <w:tab w:val="right" w:pos="14287" w:leader="none"/>
      </w:tabs>
    </w:pPr>
  </w:style>
  <w:style w:type="paragraph" w:styleId="683">
    <w:name w:val="Header"/>
    <w:basedOn w:val="664"/>
    <w:uiPriority w:val="99"/>
    <w:unhideWhenUsed/>
    <w:qFormat/>
    <w:pPr>
      <w:tabs>
        <w:tab w:val="center" w:pos="7143" w:leader="none"/>
        <w:tab w:val="right" w:pos="14287" w:leader="none"/>
      </w:tabs>
    </w:pPr>
  </w:style>
  <w:style w:type="paragraph" w:styleId="684">
    <w:name w:val="toc 1"/>
    <w:basedOn w:val="664"/>
    <w:next w:val="664"/>
    <w:uiPriority w:val="39"/>
    <w:unhideWhenUsed/>
    <w:qFormat/>
    <w:pPr>
      <w:spacing w:after="57"/>
    </w:pPr>
  </w:style>
  <w:style w:type="paragraph" w:styleId="685">
    <w:name w:val="toc 4"/>
    <w:basedOn w:val="664"/>
    <w:next w:val="664"/>
    <w:uiPriority w:val="39"/>
    <w:unhideWhenUsed/>
    <w:qFormat/>
    <w:pPr>
      <w:ind w:left="850"/>
      <w:spacing w:after="57"/>
    </w:pPr>
  </w:style>
  <w:style w:type="paragraph" w:styleId="686">
    <w:name w:val="Subtitle"/>
    <w:basedOn w:val="664"/>
    <w:next w:val="664"/>
    <w:uiPriority w:val="11"/>
    <w:qFormat/>
    <w:pPr>
      <w:spacing w:before="200" w:after="200"/>
    </w:pPr>
    <w:rPr>
      <w:sz w:val="24"/>
      <w:szCs w:val="24"/>
    </w:rPr>
  </w:style>
  <w:style w:type="paragraph" w:styleId="687">
    <w:name w:val="footnote text"/>
    <w:basedOn w:val="664"/>
    <w:uiPriority w:val="99"/>
    <w:semiHidden/>
    <w:unhideWhenUsed/>
    <w:qFormat/>
    <w:pPr>
      <w:spacing w:after="40"/>
    </w:pPr>
    <w:rPr>
      <w:sz w:val="18"/>
    </w:rPr>
  </w:style>
  <w:style w:type="paragraph" w:styleId="688">
    <w:name w:val="toc 6"/>
    <w:basedOn w:val="664"/>
    <w:next w:val="664"/>
    <w:uiPriority w:val="39"/>
    <w:unhideWhenUsed/>
    <w:qFormat/>
    <w:pPr>
      <w:ind w:left="1417"/>
      <w:spacing w:after="57"/>
    </w:pPr>
  </w:style>
  <w:style w:type="paragraph" w:styleId="689">
    <w:name w:val="table of figures"/>
    <w:basedOn w:val="664"/>
    <w:next w:val="664"/>
    <w:uiPriority w:val="99"/>
    <w:unhideWhenUsed/>
    <w:qFormat/>
  </w:style>
  <w:style w:type="paragraph" w:styleId="690">
    <w:name w:val="toc 2"/>
    <w:basedOn w:val="664"/>
    <w:next w:val="664"/>
    <w:uiPriority w:val="39"/>
    <w:unhideWhenUsed/>
    <w:qFormat/>
    <w:pPr>
      <w:ind w:left="283"/>
      <w:spacing w:after="57"/>
    </w:pPr>
  </w:style>
  <w:style w:type="paragraph" w:styleId="691">
    <w:name w:val="toc 9"/>
    <w:basedOn w:val="664"/>
    <w:next w:val="664"/>
    <w:uiPriority w:val="39"/>
    <w:unhideWhenUsed/>
    <w:qFormat/>
    <w:pPr>
      <w:ind w:left="2268"/>
      <w:spacing w:after="57"/>
    </w:pPr>
  </w:style>
  <w:style w:type="paragraph" w:styleId="692">
    <w:name w:val="Title"/>
    <w:basedOn w:val="664"/>
    <w:next w:val="664"/>
    <w:uiPriority w:val="10"/>
    <w:qFormat/>
    <w:pPr>
      <w:contextualSpacing/>
      <w:spacing w:before="300" w:after="200"/>
    </w:pPr>
    <w:rPr>
      <w:sz w:val="48"/>
      <w:szCs w:val="48"/>
    </w:rPr>
  </w:style>
  <w:style w:type="table" w:styleId="6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u w:val="single"/>
    </w:rPr>
  </w:style>
  <w:style w:type="character" w:styleId="696">
    <w:name w:val="footnote reference"/>
    <w:uiPriority w:val="99"/>
    <w:unhideWhenUsed/>
    <w:qFormat/>
    <w:rPr>
      <w:vertAlign w:val="superscript"/>
    </w:rPr>
  </w:style>
  <w:style w:type="paragraph" w:styleId="697" w:customStyle="1">
    <w:name w:val="标题 111"/>
    <w:basedOn w:val="664"/>
    <w:next w:val="664"/>
    <w:link w:val="708"/>
    <w:uiPriority w:val="9"/>
    <w:qFormat/>
    <w:pPr>
      <w:keepLines/>
      <w:keepNext/>
      <w:spacing w:before="480" w:after="200"/>
      <w:outlineLvl w:val="0"/>
    </w:pPr>
    <w:rPr>
      <w:rFonts w:ascii="Arial" w:hAnsi="Arial" w:eastAsia="Arial" w:cs="Arial"/>
      <w:sz w:val="40"/>
      <w:szCs w:val="40"/>
    </w:rPr>
  </w:style>
  <w:style w:type="paragraph" w:styleId="698" w:customStyle="1">
    <w:name w:val="标题 211"/>
    <w:basedOn w:val="664"/>
    <w:next w:val="664"/>
    <w:link w:val="709"/>
    <w:uiPriority w:val="9"/>
    <w:unhideWhenUsed/>
    <w:qFormat/>
    <w:pPr>
      <w:keepLines/>
      <w:keepNext/>
      <w:spacing w:before="360" w:after="200"/>
      <w:outlineLvl w:val="1"/>
    </w:pPr>
    <w:rPr>
      <w:rFonts w:ascii="Arial" w:hAnsi="Arial" w:eastAsia="Arial" w:cs="Arial"/>
      <w:sz w:val="34"/>
    </w:rPr>
  </w:style>
  <w:style w:type="paragraph" w:styleId="699" w:customStyle="1">
    <w:name w:val="标题 311"/>
    <w:basedOn w:val="664"/>
    <w:next w:val="664"/>
    <w:link w:val="710"/>
    <w:uiPriority w:val="9"/>
    <w:unhideWhenUsed/>
    <w:qFormat/>
    <w:pPr>
      <w:keepLines/>
      <w:keepNext/>
      <w:spacing w:before="320" w:after="200"/>
      <w:outlineLvl w:val="2"/>
    </w:pPr>
    <w:rPr>
      <w:rFonts w:ascii="Arial" w:hAnsi="Arial" w:eastAsia="Arial" w:cs="Arial"/>
      <w:sz w:val="30"/>
      <w:szCs w:val="30"/>
    </w:rPr>
  </w:style>
  <w:style w:type="paragraph" w:styleId="700" w:customStyle="1">
    <w:name w:val="标题 411"/>
    <w:basedOn w:val="664"/>
    <w:next w:val="664"/>
    <w:link w:val="711"/>
    <w:uiPriority w:val="9"/>
    <w:unhideWhenUsed/>
    <w:qFormat/>
    <w:pPr>
      <w:keepLines/>
      <w:keepNext/>
      <w:spacing w:before="320" w:after="200"/>
      <w:outlineLvl w:val="3"/>
    </w:pPr>
    <w:rPr>
      <w:rFonts w:ascii="Arial" w:hAnsi="Arial" w:eastAsia="Arial" w:cs="Arial"/>
      <w:b/>
      <w:bCs/>
      <w:sz w:val="26"/>
      <w:szCs w:val="26"/>
    </w:rPr>
  </w:style>
  <w:style w:type="paragraph" w:styleId="701" w:customStyle="1">
    <w:name w:val="标题 511"/>
    <w:basedOn w:val="664"/>
    <w:next w:val="664"/>
    <w:link w:val="712"/>
    <w:uiPriority w:val="9"/>
    <w:unhideWhenUsed/>
    <w:qFormat/>
    <w:pPr>
      <w:keepLines/>
      <w:keepNext/>
      <w:spacing w:before="320" w:after="200"/>
      <w:outlineLvl w:val="4"/>
    </w:pPr>
    <w:rPr>
      <w:rFonts w:ascii="Arial" w:hAnsi="Arial" w:eastAsia="Arial" w:cs="Arial"/>
      <w:b/>
      <w:bCs/>
      <w:sz w:val="24"/>
      <w:szCs w:val="24"/>
    </w:rPr>
  </w:style>
  <w:style w:type="paragraph" w:styleId="702" w:customStyle="1">
    <w:name w:val="标题 611"/>
    <w:basedOn w:val="664"/>
    <w:next w:val="664"/>
    <w:link w:val="713"/>
    <w:uiPriority w:val="9"/>
    <w:unhideWhenUsed/>
    <w:qFormat/>
    <w:pPr>
      <w:keepLines/>
      <w:keepNext/>
      <w:spacing w:before="320" w:after="200"/>
      <w:outlineLvl w:val="5"/>
    </w:pPr>
    <w:rPr>
      <w:rFonts w:ascii="Arial" w:hAnsi="Arial" w:eastAsia="Arial" w:cs="Arial"/>
      <w:b/>
      <w:bCs/>
      <w:sz w:val="22"/>
      <w:szCs w:val="22"/>
    </w:rPr>
  </w:style>
  <w:style w:type="paragraph" w:styleId="703" w:customStyle="1">
    <w:name w:val="标题 711"/>
    <w:basedOn w:val="664"/>
    <w:next w:val="664"/>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704" w:customStyle="1">
    <w:name w:val="标题 811"/>
    <w:basedOn w:val="664"/>
    <w:next w:val="664"/>
    <w:link w:val="715"/>
    <w:uiPriority w:val="9"/>
    <w:unhideWhenUsed/>
    <w:qFormat/>
    <w:pPr>
      <w:keepLines/>
      <w:keepNext/>
      <w:spacing w:before="320" w:after="200"/>
      <w:outlineLvl w:val="7"/>
    </w:pPr>
    <w:rPr>
      <w:rFonts w:ascii="Arial" w:hAnsi="Arial" w:eastAsia="Arial" w:cs="Arial"/>
      <w:i/>
      <w:iCs/>
      <w:sz w:val="22"/>
      <w:szCs w:val="22"/>
    </w:rPr>
  </w:style>
  <w:style w:type="paragraph" w:styleId="705" w:customStyle="1">
    <w:name w:val="标题 911"/>
    <w:basedOn w:val="664"/>
    <w:next w:val="664"/>
    <w:link w:val="716"/>
    <w:uiPriority w:val="9"/>
    <w:unhideWhenUsed/>
    <w:qFormat/>
    <w:pPr>
      <w:keepLines/>
      <w:keepNext/>
      <w:spacing w:before="320" w:after="200"/>
      <w:outlineLvl w:val="8"/>
    </w:pPr>
    <w:rPr>
      <w:rFonts w:ascii="Arial" w:hAnsi="Arial" w:eastAsia="Arial" w:cs="Arial"/>
      <w:i/>
      <w:iCs/>
      <w:sz w:val="21"/>
      <w:szCs w:val="21"/>
    </w:rPr>
  </w:style>
  <w:style w:type="character" w:styleId="706" w:customStyle="1">
    <w:name w:val="默认段落字体11"/>
    <w:uiPriority w:val="1"/>
    <w:unhideWhenUsed/>
    <w:qFormat/>
  </w:style>
  <w:style w:type="table" w:styleId="707" w:customStyle="1">
    <w:name w:val="普通表格11"/>
    <w:uiPriority w:val="99"/>
    <w:unhideWhenUsed/>
    <w:qFormat/>
    <w:tblPr>
      <w:tblCellMar>
        <w:left w:w="0" w:type="dxa"/>
        <w:top w:w="0" w:type="dxa"/>
        <w:right w:w="0" w:type="dxa"/>
        <w:bottom w:w="0" w:type="dxa"/>
      </w:tblCellMar>
    </w:tblPr>
  </w:style>
  <w:style w:type="character" w:styleId="708" w:customStyle="1">
    <w:name w:val="Heading 1 Char"/>
    <w:link w:val="697"/>
    <w:uiPriority w:val="9"/>
    <w:qFormat/>
    <w:rPr>
      <w:rFonts w:ascii="Arial" w:hAnsi="Arial" w:eastAsia="Arial" w:cs="Arial"/>
      <w:sz w:val="40"/>
      <w:szCs w:val="40"/>
    </w:rPr>
  </w:style>
  <w:style w:type="character" w:styleId="709" w:customStyle="1">
    <w:name w:val="Heading 2 Char"/>
    <w:link w:val="698"/>
    <w:uiPriority w:val="9"/>
    <w:qFormat/>
    <w:rPr>
      <w:rFonts w:ascii="Arial" w:hAnsi="Arial" w:eastAsia="Arial" w:cs="Arial"/>
      <w:sz w:val="34"/>
    </w:rPr>
  </w:style>
  <w:style w:type="character" w:styleId="710" w:customStyle="1">
    <w:name w:val="Heading 3 Char"/>
    <w:link w:val="699"/>
    <w:uiPriority w:val="9"/>
    <w:qFormat/>
    <w:rPr>
      <w:rFonts w:ascii="Arial" w:hAnsi="Arial" w:eastAsia="Arial" w:cs="Arial"/>
      <w:sz w:val="30"/>
      <w:szCs w:val="30"/>
    </w:rPr>
  </w:style>
  <w:style w:type="character" w:styleId="711" w:customStyle="1">
    <w:name w:val="Heading 4 Char"/>
    <w:link w:val="700"/>
    <w:uiPriority w:val="9"/>
    <w:qFormat/>
    <w:rPr>
      <w:rFonts w:ascii="Arial" w:hAnsi="Arial" w:eastAsia="Arial" w:cs="Arial"/>
      <w:b/>
      <w:bCs/>
      <w:sz w:val="26"/>
      <w:szCs w:val="26"/>
    </w:rPr>
  </w:style>
  <w:style w:type="character" w:styleId="712" w:customStyle="1">
    <w:name w:val="Heading 5 Char"/>
    <w:link w:val="701"/>
    <w:uiPriority w:val="9"/>
    <w:qFormat/>
    <w:rPr>
      <w:rFonts w:ascii="Arial" w:hAnsi="Arial" w:eastAsia="Arial" w:cs="Arial"/>
      <w:b/>
      <w:bCs/>
      <w:sz w:val="24"/>
      <w:szCs w:val="24"/>
    </w:rPr>
  </w:style>
  <w:style w:type="character" w:styleId="713" w:customStyle="1">
    <w:name w:val="Heading 6 Char"/>
    <w:link w:val="702"/>
    <w:uiPriority w:val="9"/>
    <w:qFormat/>
    <w:rPr>
      <w:rFonts w:ascii="Arial" w:hAnsi="Arial" w:eastAsia="Arial" w:cs="Arial"/>
      <w:b/>
      <w:bCs/>
      <w:sz w:val="22"/>
      <w:szCs w:val="22"/>
    </w:rPr>
  </w:style>
  <w:style w:type="character" w:styleId="714" w:customStyle="1">
    <w:name w:val="Heading 7 Char"/>
    <w:link w:val="703"/>
    <w:uiPriority w:val="9"/>
    <w:qFormat/>
    <w:rPr>
      <w:rFonts w:ascii="Arial" w:hAnsi="Arial" w:eastAsia="Arial" w:cs="Arial"/>
      <w:b/>
      <w:bCs/>
      <w:i/>
      <w:iCs/>
      <w:sz w:val="22"/>
      <w:szCs w:val="22"/>
    </w:rPr>
  </w:style>
  <w:style w:type="character" w:styleId="715" w:customStyle="1">
    <w:name w:val="Heading 8 Char"/>
    <w:link w:val="704"/>
    <w:uiPriority w:val="9"/>
    <w:qFormat/>
    <w:rPr>
      <w:rFonts w:ascii="Arial" w:hAnsi="Arial" w:eastAsia="Arial" w:cs="Arial"/>
      <w:i/>
      <w:iCs/>
      <w:sz w:val="22"/>
      <w:szCs w:val="22"/>
    </w:rPr>
  </w:style>
  <w:style w:type="character" w:styleId="716" w:customStyle="1">
    <w:name w:val="Heading 9 Char"/>
    <w:link w:val="705"/>
    <w:uiPriority w:val="9"/>
    <w:qFormat/>
    <w:rPr>
      <w:rFonts w:ascii="Arial" w:hAnsi="Arial" w:eastAsia="Arial" w:cs="Arial"/>
      <w:i/>
      <w:iCs/>
      <w:sz w:val="21"/>
      <w:szCs w:val="21"/>
    </w:rPr>
  </w:style>
  <w:style w:type="paragraph" w:styleId="717" w:customStyle="1">
    <w:name w:val="目录 711"/>
    <w:basedOn w:val="664"/>
    <w:next w:val="664"/>
    <w:uiPriority w:val="39"/>
    <w:unhideWhenUsed/>
    <w:qFormat/>
    <w:pPr>
      <w:ind w:left="1701"/>
      <w:spacing w:after="57"/>
    </w:pPr>
  </w:style>
  <w:style w:type="paragraph" w:styleId="718" w:customStyle="1">
    <w:name w:val="题注11"/>
    <w:basedOn w:val="664"/>
    <w:next w:val="664"/>
    <w:uiPriority w:val="35"/>
    <w:unhideWhenUsed/>
    <w:qFormat/>
    <w:pPr>
      <w:spacing w:line="276" w:lineRule="auto"/>
    </w:pPr>
    <w:rPr>
      <w:b/>
      <w:bCs/>
      <w:color w:val="4f81bd"/>
      <w:sz w:val="18"/>
      <w:szCs w:val="18"/>
    </w:rPr>
  </w:style>
  <w:style w:type="paragraph" w:styleId="719" w:customStyle="1">
    <w:name w:val="批注文字11"/>
    <w:basedOn w:val="664"/>
    <w:uiPriority w:val="99"/>
    <w:unhideWhenUsed/>
    <w:qFormat/>
    <w:pPr>
      <w:jc w:val="left"/>
    </w:pPr>
  </w:style>
  <w:style w:type="paragraph" w:styleId="720" w:customStyle="1">
    <w:name w:val="正文文本11"/>
    <w:basedOn w:val="664"/>
    <w:next w:val="721"/>
    <w:uiPriority w:val="0"/>
    <w:semiHidden/>
    <w:qFormat/>
    <w:rPr>
      <w:rFonts w:ascii="宋体" w:hAnsi="宋体" w:eastAsia="宋体" w:cs="宋体"/>
      <w:sz w:val="72"/>
      <w:szCs w:val="72"/>
      <w:lang w:eastAsia="en-US"/>
    </w:rPr>
  </w:style>
  <w:style w:type="paragraph" w:styleId="721" w:customStyle="1">
    <w:name w:val="正文首行缩进11"/>
    <w:basedOn w:val="720"/>
    <w:next w:val="664"/>
    <w:uiPriority w:val="99"/>
    <w:qFormat/>
    <w:pPr>
      <w:ind w:firstLine="420"/>
    </w:pPr>
  </w:style>
  <w:style w:type="paragraph" w:styleId="722" w:customStyle="1">
    <w:name w:val="正文文本缩进12"/>
    <w:basedOn w:val="664"/>
    <w:next w:val="723"/>
    <w:uiPriority w:val="99"/>
    <w:qFormat/>
    <w:pPr>
      <w:ind w:left="570"/>
      <w:spacing w:line="520" w:lineRule="exact"/>
    </w:pPr>
    <w:rPr>
      <w:rFonts w:ascii="方正仿宋简体" w:hAnsi="创艺简仿宋" w:eastAsia="方正仿宋简体"/>
      <w:sz w:val="24"/>
    </w:rPr>
  </w:style>
  <w:style w:type="paragraph" w:styleId="723" w:customStyle="1">
    <w:name w:val="目录 51"/>
    <w:next w:val="664"/>
    <w:uiPriority w:val="0"/>
    <w:qFormat/>
    <w:pPr>
      <w:ind w:left="1275"/>
      <w:jc w:val="both"/>
    </w:pPr>
    <w:rPr>
      <w:rFonts w:ascii="Times New Roman" w:hAnsi="Times New Roman" w:eastAsia="宋体" w:cs="Times New Roman"/>
      <w:sz w:val="21"/>
      <w:lang w:val="en-US" w:eastAsia="zh-CN" w:bidi="ar-SA"/>
    </w:rPr>
  </w:style>
  <w:style w:type="paragraph" w:styleId="724" w:customStyle="1">
    <w:name w:val="目录 52"/>
    <w:basedOn w:val="664"/>
    <w:next w:val="664"/>
    <w:uiPriority w:val="39"/>
    <w:unhideWhenUsed/>
    <w:qFormat/>
    <w:pPr>
      <w:ind w:left="1134"/>
      <w:spacing w:after="57"/>
    </w:pPr>
  </w:style>
  <w:style w:type="paragraph" w:styleId="725" w:customStyle="1">
    <w:name w:val="目录 311"/>
    <w:basedOn w:val="664"/>
    <w:next w:val="664"/>
    <w:uiPriority w:val="39"/>
    <w:unhideWhenUsed/>
    <w:qFormat/>
    <w:pPr>
      <w:ind w:left="567"/>
      <w:spacing w:after="57"/>
    </w:pPr>
  </w:style>
  <w:style w:type="paragraph" w:styleId="726" w:customStyle="1">
    <w:name w:val="纯文本1112"/>
    <w:basedOn w:val="664"/>
    <w:link w:val="727"/>
    <w:uiPriority w:val="0"/>
    <w:qFormat/>
    <w:rPr>
      <w:rFonts w:ascii="宋体" w:hAnsi="Courier New"/>
      <w:sz w:val="26"/>
    </w:rPr>
  </w:style>
  <w:style w:type="character" w:styleId="727" w:customStyle="1">
    <w:name w:val="Plain Text Char Char"/>
    <w:link w:val="726"/>
    <w:uiPriority w:val="0"/>
    <w:qFormat/>
    <w:rPr>
      <w:rFonts w:ascii="宋体" w:hAnsi="Courier New" w:eastAsia="楷体_GB2312"/>
      <w:sz w:val="26"/>
    </w:rPr>
  </w:style>
  <w:style w:type="paragraph" w:styleId="728" w:customStyle="1">
    <w:name w:val="目录 811"/>
    <w:basedOn w:val="664"/>
    <w:next w:val="664"/>
    <w:uiPriority w:val="39"/>
    <w:unhideWhenUsed/>
    <w:qFormat/>
    <w:pPr>
      <w:ind w:left="1984"/>
      <w:spacing w:after="57"/>
    </w:pPr>
  </w:style>
  <w:style w:type="paragraph" w:styleId="729" w:customStyle="1">
    <w:name w:val="尾注文本1"/>
    <w:basedOn w:val="664"/>
    <w:link w:val="730"/>
    <w:uiPriority w:val="99"/>
    <w:unhideWhenUsed/>
    <w:qFormat/>
    <w:rPr>
      <w:sz w:val="20"/>
    </w:rPr>
  </w:style>
  <w:style w:type="character" w:styleId="730" w:customStyle="1">
    <w:name w:val="Endnote Text Char"/>
    <w:link w:val="729"/>
    <w:uiPriority w:val="99"/>
    <w:qFormat/>
    <w:rPr>
      <w:sz w:val="20"/>
    </w:rPr>
  </w:style>
  <w:style w:type="paragraph" w:styleId="731" w:customStyle="1">
    <w:name w:val="页脚11"/>
    <w:basedOn w:val="664"/>
    <w:link w:val="756"/>
    <w:uiPriority w:val="99"/>
    <w:unhideWhenUsed/>
    <w:qFormat/>
    <w:pPr>
      <w:tabs>
        <w:tab w:val="center" w:pos="7143" w:leader="none"/>
        <w:tab w:val="right" w:pos="14287" w:leader="none"/>
      </w:tabs>
    </w:pPr>
  </w:style>
  <w:style w:type="character" w:styleId="732" w:customStyle="1">
    <w:name w:val="Caption Char"/>
    <w:uiPriority w:val="99"/>
    <w:qFormat/>
  </w:style>
  <w:style w:type="paragraph" w:styleId="733" w:customStyle="1">
    <w:name w:val="页眉11"/>
    <w:basedOn w:val="664"/>
    <w:link w:val="734"/>
    <w:uiPriority w:val="99"/>
    <w:unhideWhenUsed/>
    <w:qFormat/>
    <w:pPr>
      <w:tabs>
        <w:tab w:val="center" w:pos="7143" w:leader="none"/>
        <w:tab w:val="right" w:pos="14287" w:leader="none"/>
      </w:tabs>
    </w:pPr>
  </w:style>
  <w:style w:type="character" w:styleId="734" w:customStyle="1">
    <w:name w:val="Header Char"/>
    <w:link w:val="733"/>
    <w:uiPriority w:val="99"/>
    <w:qFormat/>
  </w:style>
  <w:style w:type="paragraph" w:styleId="735" w:customStyle="1">
    <w:name w:val="目录 111"/>
    <w:basedOn w:val="664"/>
    <w:next w:val="664"/>
    <w:uiPriority w:val="39"/>
    <w:unhideWhenUsed/>
    <w:qFormat/>
    <w:pPr>
      <w:spacing w:after="57"/>
    </w:pPr>
  </w:style>
  <w:style w:type="paragraph" w:styleId="736" w:customStyle="1">
    <w:name w:val="目录 411"/>
    <w:basedOn w:val="664"/>
    <w:next w:val="664"/>
    <w:uiPriority w:val="39"/>
    <w:unhideWhenUsed/>
    <w:qFormat/>
    <w:pPr>
      <w:ind w:left="850"/>
      <w:spacing w:after="57"/>
    </w:pPr>
  </w:style>
  <w:style w:type="paragraph" w:styleId="737" w:customStyle="1">
    <w:name w:val="副标题11"/>
    <w:basedOn w:val="664"/>
    <w:next w:val="664"/>
    <w:link w:val="738"/>
    <w:uiPriority w:val="11"/>
    <w:qFormat/>
    <w:pPr>
      <w:spacing w:before="200" w:after="200"/>
    </w:pPr>
    <w:rPr>
      <w:sz w:val="24"/>
      <w:szCs w:val="24"/>
    </w:rPr>
  </w:style>
  <w:style w:type="character" w:styleId="738" w:customStyle="1">
    <w:name w:val="Subtitle Char"/>
    <w:link w:val="737"/>
    <w:uiPriority w:val="11"/>
    <w:qFormat/>
    <w:rPr>
      <w:sz w:val="24"/>
      <w:szCs w:val="24"/>
    </w:rPr>
  </w:style>
  <w:style w:type="paragraph" w:styleId="739" w:customStyle="1">
    <w:name w:val="脚注文本11"/>
    <w:basedOn w:val="664"/>
    <w:link w:val="740"/>
    <w:uiPriority w:val="99"/>
    <w:unhideWhenUsed/>
    <w:qFormat/>
    <w:pPr>
      <w:spacing w:after="40"/>
    </w:pPr>
    <w:rPr>
      <w:sz w:val="18"/>
    </w:rPr>
  </w:style>
  <w:style w:type="character" w:styleId="740" w:customStyle="1">
    <w:name w:val="Footnote Text Char"/>
    <w:link w:val="739"/>
    <w:uiPriority w:val="99"/>
    <w:qFormat/>
    <w:rPr>
      <w:sz w:val="18"/>
    </w:rPr>
  </w:style>
  <w:style w:type="paragraph" w:styleId="741" w:customStyle="1">
    <w:name w:val="目录 611"/>
    <w:basedOn w:val="664"/>
    <w:next w:val="664"/>
    <w:uiPriority w:val="39"/>
    <w:unhideWhenUsed/>
    <w:qFormat/>
    <w:pPr>
      <w:ind w:left="1417"/>
      <w:spacing w:after="57"/>
    </w:pPr>
  </w:style>
  <w:style w:type="paragraph" w:styleId="742" w:customStyle="1">
    <w:name w:val="正文文本缩进 311"/>
    <w:basedOn w:val="664"/>
    <w:uiPriority w:val="0"/>
    <w:qFormat/>
    <w:pPr>
      <w:ind w:firstLine="480"/>
      <w:jc w:val="left"/>
      <w:spacing w:line="440" w:lineRule="atLeast"/>
    </w:pPr>
    <w:rPr>
      <w:sz w:val="24"/>
      <w:szCs w:val="24"/>
    </w:rPr>
  </w:style>
  <w:style w:type="paragraph" w:styleId="743" w:customStyle="1">
    <w:name w:val="图表目录11"/>
    <w:basedOn w:val="664"/>
    <w:next w:val="664"/>
    <w:uiPriority w:val="99"/>
    <w:unhideWhenUsed/>
    <w:qFormat/>
  </w:style>
  <w:style w:type="paragraph" w:styleId="744" w:customStyle="1">
    <w:name w:val="目录 211"/>
    <w:basedOn w:val="664"/>
    <w:next w:val="664"/>
    <w:uiPriority w:val="39"/>
    <w:unhideWhenUsed/>
    <w:qFormat/>
    <w:pPr>
      <w:ind w:left="283"/>
      <w:spacing w:after="57"/>
    </w:pPr>
  </w:style>
  <w:style w:type="paragraph" w:styleId="745" w:customStyle="1">
    <w:name w:val="目录 911"/>
    <w:basedOn w:val="664"/>
    <w:next w:val="664"/>
    <w:uiPriority w:val="39"/>
    <w:unhideWhenUsed/>
    <w:qFormat/>
    <w:pPr>
      <w:ind w:left="2268"/>
      <w:spacing w:after="57"/>
    </w:pPr>
  </w:style>
  <w:style w:type="paragraph" w:styleId="746" w:customStyle="1">
    <w:name w:val="HTML 预设格式11"/>
    <w:basedOn w:val="6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747" w:customStyle="1">
    <w:name w:val="普通(网站)12"/>
    <w:basedOn w:val="664"/>
    <w:uiPriority w:val="0"/>
    <w:qFormat/>
    <w:pPr>
      <w:jc w:val="left"/>
      <w:spacing w:before="100" w:beforeAutospacing="1" w:after="100" w:afterAutospacing="1"/>
    </w:pPr>
    <w:rPr>
      <w:sz w:val="24"/>
    </w:rPr>
  </w:style>
  <w:style w:type="paragraph" w:styleId="748" w:customStyle="1">
    <w:name w:val="标题11"/>
    <w:basedOn w:val="664"/>
    <w:next w:val="664"/>
    <w:link w:val="749"/>
    <w:uiPriority w:val="10"/>
    <w:qFormat/>
    <w:pPr>
      <w:contextualSpacing/>
      <w:spacing w:before="300" w:after="200"/>
    </w:pPr>
    <w:rPr>
      <w:sz w:val="48"/>
      <w:szCs w:val="48"/>
    </w:rPr>
  </w:style>
  <w:style w:type="character" w:styleId="749" w:customStyle="1">
    <w:name w:val="Title Char"/>
    <w:link w:val="748"/>
    <w:uiPriority w:val="10"/>
    <w:qFormat/>
    <w:rPr>
      <w:sz w:val="48"/>
      <w:szCs w:val="48"/>
    </w:rPr>
  </w:style>
  <w:style w:type="table" w:styleId="750" w:customStyle="1">
    <w:name w:val="网格型11"/>
    <w:uiPriority w:val="59"/>
    <w:qFormat/>
    <w:tblPr>
      <w:tblCellMar>
        <w:left w:w="0" w:type="dxa"/>
        <w:top w:w="0" w:type="dxa"/>
        <w:right w:w="0" w:type="dxa"/>
        <w:bottom w:w="0" w:type="dxa"/>
      </w:tblCellMar>
    </w:tblPr>
  </w:style>
  <w:style w:type="character" w:styleId="751" w:customStyle="1">
    <w:name w:val="要点11"/>
    <w:uiPriority w:val="0"/>
    <w:qFormat/>
    <w:rPr>
      <w:b/>
    </w:rPr>
  </w:style>
  <w:style w:type="character" w:styleId="752" w:customStyle="1">
    <w:name w:val="尾注引用1"/>
    <w:uiPriority w:val="99"/>
    <w:unhideWhenUsed/>
    <w:qFormat/>
    <w:rPr>
      <w:vertAlign w:val="superscript"/>
    </w:rPr>
  </w:style>
  <w:style w:type="character" w:styleId="753" w:customStyle="1">
    <w:name w:val="HTML 打字机12"/>
    <w:uiPriority w:val="0"/>
    <w:qFormat/>
    <w:rPr>
      <w:rFonts w:hint="eastAsia" w:ascii="黑体" w:hAnsi="Courier New" w:eastAsia="黑体"/>
      <w:sz w:val="14"/>
    </w:rPr>
  </w:style>
  <w:style w:type="character" w:styleId="754" w:customStyle="1">
    <w:name w:val="超链接11"/>
    <w:uiPriority w:val="99"/>
    <w:unhideWhenUsed/>
    <w:qFormat/>
    <w:rPr>
      <w:color w:val="0000ff"/>
      <w:u w:val="single"/>
    </w:rPr>
  </w:style>
  <w:style w:type="character" w:styleId="755" w:customStyle="1">
    <w:name w:val="脚注引用11"/>
    <w:uiPriority w:val="99"/>
    <w:unhideWhenUsed/>
    <w:qFormat/>
    <w:rPr>
      <w:vertAlign w:val="superscript"/>
    </w:rPr>
  </w:style>
  <w:style w:type="character" w:styleId="756" w:customStyle="1">
    <w:name w:val="Footer Char"/>
    <w:link w:val="731"/>
    <w:uiPriority w:val="99"/>
    <w:qFormat/>
  </w:style>
  <w:style w:type="character" w:styleId="757" w:customStyle="1">
    <w:name w:val="NormalCharacter1"/>
    <w:uiPriority w:val="0"/>
    <w:qFormat/>
  </w:style>
  <w:style w:type="paragraph" w:styleId="758">
    <w:name w:val="No Spacing"/>
    <w:uiPriority w:val="1"/>
    <w:qFormat/>
    <w:rPr>
      <w:rFonts w:ascii="Times New Roman" w:hAnsi="Times New Roman" w:eastAsia="宋体" w:cs="Times New Roman"/>
      <w:lang w:val="en-US" w:eastAsia="zh-CN" w:bidi="ar-SA"/>
    </w:rPr>
  </w:style>
  <w:style w:type="paragraph" w:styleId="759">
    <w:name w:val="Quote"/>
    <w:basedOn w:val="664"/>
    <w:next w:val="664"/>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664"/>
    <w:next w:val="664"/>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table" w:styleId="763" w:customStyle="1">
    <w:name w:val="Table Grid Light"/>
    <w:uiPriority w:val="59"/>
    <w:qFormat/>
    <w:tblPr>
      <w:tblCellMar>
        <w:left w:w="0" w:type="dxa"/>
        <w:top w:w="0" w:type="dxa"/>
        <w:right w:w="0" w:type="dxa"/>
        <w:bottom w:w="0" w:type="dxa"/>
      </w:tblCellMar>
    </w:tblPr>
  </w:style>
  <w:style w:type="table" w:styleId="764" w:customStyle="1">
    <w:name w:val="无格式表格 11"/>
    <w:uiPriority w:val="59"/>
    <w:qFormat/>
    <w:tblPr>
      <w:tblCellMar>
        <w:left w:w="0" w:type="dxa"/>
        <w:top w:w="0" w:type="dxa"/>
        <w:right w:w="0" w:type="dxa"/>
        <w:bottom w:w="0" w:type="dxa"/>
      </w:tblCellMar>
    </w:tblPr>
  </w:style>
  <w:style w:type="table" w:styleId="765" w:customStyle="1">
    <w:name w:val="无格式表格 21"/>
    <w:uiPriority w:val="59"/>
    <w:qFormat/>
    <w:tblPr>
      <w:tblCellMar>
        <w:left w:w="0" w:type="dxa"/>
        <w:top w:w="0" w:type="dxa"/>
        <w:right w:w="0" w:type="dxa"/>
        <w:bottom w:w="0" w:type="dxa"/>
      </w:tblCellMar>
    </w:tblPr>
  </w:style>
  <w:style w:type="table" w:styleId="766" w:customStyle="1">
    <w:name w:val="无格式表格 31"/>
    <w:uiPriority w:val="99"/>
    <w:qFormat/>
    <w:tblPr>
      <w:tblCellMar>
        <w:left w:w="0" w:type="dxa"/>
        <w:top w:w="0" w:type="dxa"/>
        <w:right w:w="0" w:type="dxa"/>
        <w:bottom w:w="0" w:type="dxa"/>
      </w:tblCellMar>
    </w:tblPr>
  </w:style>
  <w:style w:type="table" w:styleId="767" w:customStyle="1">
    <w:name w:val="无格式表格 41"/>
    <w:uiPriority w:val="99"/>
    <w:qFormat/>
    <w:tblPr>
      <w:tblCellMar>
        <w:left w:w="0" w:type="dxa"/>
        <w:top w:w="0" w:type="dxa"/>
        <w:right w:w="0" w:type="dxa"/>
        <w:bottom w:w="0" w:type="dxa"/>
      </w:tblCellMar>
    </w:tblPr>
  </w:style>
  <w:style w:type="table" w:styleId="768" w:customStyle="1">
    <w:name w:val="无格式表格 51"/>
    <w:uiPriority w:val="99"/>
    <w:qFormat/>
    <w:tblPr>
      <w:tblCellMar>
        <w:left w:w="0" w:type="dxa"/>
        <w:top w:w="0" w:type="dxa"/>
        <w:right w:w="0" w:type="dxa"/>
        <w:bottom w:w="0" w:type="dxa"/>
      </w:tblCellMar>
    </w:tblPr>
  </w:style>
  <w:style w:type="table" w:styleId="769" w:customStyle="1">
    <w:name w:val="网格表 1 浅色1"/>
    <w:uiPriority w:val="99"/>
    <w:qFormat/>
    <w:tblPr>
      <w:tblCellMar>
        <w:left w:w="0" w:type="dxa"/>
        <w:top w:w="0" w:type="dxa"/>
        <w:right w:w="0" w:type="dxa"/>
        <w:bottom w:w="0" w:type="dxa"/>
      </w:tblCellMar>
    </w:tblPr>
  </w:style>
  <w:style w:type="table" w:styleId="770" w:customStyle="1">
    <w:name w:val="Grid Table 1 Light - Accent 1"/>
    <w:uiPriority w:val="99"/>
    <w:qFormat/>
    <w:tblPr>
      <w:tblCellMar>
        <w:left w:w="0" w:type="dxa"/>
        <w:top w:w="0" w:type="dxa"/>
        <w:right w:w="0" w:type="dxa"/>
        <w:bottom w:w="0" w:type="dxa"/>
      </w:tblCellMar>
    </w:tblPr>
  </w:style>
  <w:style w:type="table" w:styleId="771" w:customStyle="1">
    <w:name w:val="Grid Table 1 Light - Accent 2"/>
    <w:uiPriority w:val="99"/>
    <w:qFormat/>
    <w:tblPr>
      <w:tblCellMar>
        <w:left w:w="0" w:type="dxa"/>
        <w:top w:w="0" w:type="dxa"/>
        <w:right w:w="0" w:type="dxa"/>
        <w:bottom w:w="0" w:type="dxa"/>
      </w:tblCellMar>
    </w:tblPr>
  </w:style>
  <w:style w:type="table" w:styleId="772" w:customStyle="1">
    <w:name w:val="Grid Table 1 Light - Accent 3"/>
    <w:uiPriority w:val="99"/>
    <w:qFormat/>
    <w:tblPr>
      <w:tblCellMar>
        <w:left w:w="0" w:type="dxa"/>
        <w:top w:w="0" w:type="dxa"/>
        <w:right w:w="0" w:type="dxa"/>
        <w:bottom w:w="0" w:type="dxa"/>
      </w:tblCellMar>
    </w:tblPr>
  </w:style>
  <w:style w:type="table" w:styleId="773" w:customStyle="1">
    <w:name w:val="Grid Table 1 Light - Accent 4"/>
    <w:uiPriority w:val="99"/>
    <w:qFormat/>
    <w:tblPr>
      <w:tblCellMar>
        <w:left w:w="0" w:type="dxa"/>
        <w:top w:w="0" w:type="dxa"/>
        <w:right w:w="0" w:type="dxa"/>
        <w:bottom w:w="0" w:type="dxa"/>
      </w:tblCellMar>
    </w:tblPr>
  </w:style>
  <w:style w:type="table" w:styleId="774" w:customStyle="1">
    <w:name w:val="Grid Table 1 Light - Accent 5"/>
    <w:uiPriority w:val="99"/>
    <w:qFormat/>
    <w:tblPr>
      <w:tblCellMar>
        <w:left w:w="0" w:type="dxa"/>
        <w:top w:w="0" w:type="dxa"/>
        <w:right w:w="0" w:type="dxa"/>
        <w:bottom w:w="0" w:type="dxa"/>
      </w:tblCellMar>
    </w:tblPr>
  </w:style>
  <w:style w:type="table" w:styleId="775" w:customStyle="1">
    <w:name w:val="Grid Table 1 Light - Accent 6"/>
    <w:uiPriority w:val="99"/>
    <w:qFormat/>
    <w:tblPr>
      <w:tblCellMar>
        <w:left w:w="0" w:type="dxa"/>
        <w:top w:w="0" w:type="dxa"/>
        <w:right w:w="0" w:type="dxa"/>
        <w:bottom w:w="0" w:type="dxa"/>
      </w:tblCellMar>
    </w:tblPr>
  </w:style>
  <w:style w:type="table" w:styleId="776" w:customStyle="1">
    <w:name w:val="网格表 21"/>
    <w:uiPriority w:val="99"/>
    <w:qFormat/>
    <w:tblPr>
      <w:tblCellMar>
        <w:left w:w="0" w:type="dxa"/>
        <w:top w:w="0" w:type="dxa"/>
        <w:right w:w="0" w:type="dxa"/>
        <w:bottom w:w="0" w:type="dxa"/>
      </w:tblCellMar>
    </w:tblPr>
  </w:style>
  <w:style w:type="table" w:styleId="777" w:customStyle="1">
    <w:name w:val="Grid Table 2 - Accent 1"/>
    <w:uiPriority w:val="99"/>
    <w:qFormat/>
    <w:tblPr>
      <w:tblCellMar>
        <w:left w:w="0" w:type="dxa"/>
        <w:top w:w="0" w:type="dxa"/>
        <w:right w:w="0" w:type="dxa"/>
        <w:bottom w:w="0" w:type="dxa"/>
      </w:tblCellMar>
    </w:tblPr>
  </w:style>
  <w:style w:type="table" w:styleId="778" w:customStyle="1">
    <w:name w:val="Grid Table 2 - Accent 2"/>
    <w:uiPriority w:val="99"/>
    <w:qFormat/>
    <w:tblPr>
      <w:tblCellMar>
        <w:left w:w="0" w:type="dxa"/>
        <w:top w:w="0" w:type="dxa"/>
        <w:right w:w="0" w:type="dxa"/>
        <w:bottom w:w="0" w:type="dxa"/>
      </w:tblCellMar>
    </w:tblPr>
  </w:style>
  <w:style w:type="table" w:styleId="779" w:customStyle="1">
    <w:name w:val="Grid Table 2 - Accent 3"/>
    <w:uiPriority w:val="99"/>
    <w:qFormat/>
    <w:tblPr>
      <w:tblCellMar>
        <w:left w:w="0" w:type="dxa"/>
        <w:top w:w="0" w:type="dxa"/>
        <w:right w:w="0" w:type="dxa"/>
        <w:bottom w:w="0" w:type="dxa"/>
      </w:tblCellMar>
    </w:tblPr>
  </w:style>
  <w:style w:type="table" w:styleId="780" w:customStyle="1">
    <w:name w:val="Grid Table 2 - Accent 4"/>
    <w:uiPriority w:val="99"/>
    <w:qFormat/>
    <w:tblPr>
      <w:tblCellMar>
        <w:left w:w="0" w:type="dxa"/>
        <w:top w:w="0" w:type="dxa"/>
        <w:right w:w="0" w:type="dxa"/>
        <w:bottom w:w="0" w:type="dxa"/>
      </w:tblCellMar>
    </w:tblPr>
  </w:style>
  <w:style w:type="table" w:styleId="781" w:customStyle="1">
    <w:name w:val="Grid Table 2 - Accent 5"/>
    <w:uiPriority w:val="99"/>
    <w:qFormat/>
    <w:tblPr>
      <w:tblCellMar>
        <w:left w:w="0" w:type="dxa"/>
        <w:top w:w="0" w:type="dxa"/>
        <w:right w:w="0" w:type="dxa"/>
        <w:bottom w:w="0" w:type="dxa"/>
      </w:tblCellMar>
    </w:tblPr>
  </w:style>
  <w:style w:type="table" w:styleId="782" w:customStyle="1">
    <w:name w:val="Grid Table 2 - Accent 6"/>
    <w:uiPriority w:val="99"/>
    <w:qFormat/>
    <w:tblPr>
      <w:tblCellMar>
        <w:left w:w="0" w:type="dxa"/>
        <w:top w:w="0" w:type="dxa"/>
        <w:right w:w="0" w:type="dxa"/>
        <w:bottom w:w="0" w:type="dxa"/>
      </w:tblCellMar>
    </w:tblPr>
  </w:style>
  <w:style w:type="table" w:styleId="783" w:customStyle="1">
    <w:name w:val="网格表 31"/>
    <w:uiPriority w:val="99"/>
    <w:qFormat/>
    <w:tblPr>
      <w:tblCellMar>
        <w:left w:w="0" w:type="dxa"/>
        <w:top w:w="0" w:type="dxa"/>
        <w:right w:w="0" w:type="dxa"/>
        <w:bottom w:w="0" w:type="dxa"/>
      </w:tblCellMar>
    </w:tblPr>
  </w:style>
  <w:style w:type="table" w:styleId="784" w:customStyle="1">
    <w:name w:val="Grid Table 3 - Accent 1"/>
    <w:uiPriority w:val="99"/>
    <w:qFormat/>
    <w:tblPr>
      <w:tblCellMar>
        <w:left w:w="0" w:type="dxa"/>
        <w:top w:w="0" w:type="dxa"/>
        <w:right w:w="0" w:type="dxa"/>
        <w:bottom w:w="0" w:type="dxa"/>
      </w:tblCellMar>
    </w:tblPr>
  </w:style>
  <w:style w:type="table" w:styleId="785" w:customStyle="1">
    <w:name w:val="Grid Table 3 - Accent 2"/>
    <w:uiPriority w:val="99"/>
    <w:qFormat/>
    <w:tblPr>
      <w:tblCellMar>
        <w:left w:w="0" w:type="dxa"/>
        <w:top w:w="0" w:type="dxa"/>
        <w:right w:w="0" w:type="dxa"/>
        <w:bottom w:w="0" w:type="dxa"/>
      </w:tblCellMar>
    </w:tblPr>
  </w:style>
  <w:style w:type="table" w:styleId="786" w:customStyle="1">
    <w:name w:val="Grid Table 3 - Accent 3"/>
    <w:uiPriority w:val="99"/>
    <w:qFormat/>
    <w:tblPr>
      <w:tblCellMar>
        <w:left w:w="0" w:type="dxa"/>
        <w:top w:w="0" w:type="dxa"/>
        <w:right w:w="0" w:type="dxa"/>
        <w:bottom w:w="0" w:type="dxa"/>
      </w:tblCellMar>
    </w:tblPr>
  </w:style>
  <w:style w:type="table" w:styleId="787" w:customStyle="1">
    <w:name w:val="Grid Table 3 - Accent 4"/>
    <w:uiPriority w:val="99"/>
    <w:qFormat/>
    <w:tblPr>
      <w:tblCellMar>
        <w:left w:w="0" w:type="dxa"/>
        <w:top w:w="0" w:type="dxa"/>
        <w:right w:w="0" w:type="dxa"/>
        <w:bottom w:w="0" w:type="dxa"/>
      </w:tblCellMar>
    </w:tblPr>
  </w:style>
  <w:style w:type="table" w:styleId="788" w:customStyle="1">
    <w:name w:val="Grid Table 3 - Accent 5"/>
    <w:uiPriority w:val="99"/>
    <w:qFormat/>
    <w:tblPr>
      <w:tblCellMar>
        <w:left w:w="0" w:type="dxa"/>
        <w:top w:w="0" w:type="dxa"/>
        <w:right w:w="0" w:type="dxa"/>
        <w:bottom w:w="0" w:type="dxa"/>
      </w:tblCellMar>
    </w:tblPr>
  </w:style>
  <w:style w:type="table" w:styleId="789" w:customStyle="1">
    <w:name w:val="Grid Table 3 - Accent 6"/>
    <w:uiPriority w:val="99"/>
    <w:qFormat/>
    <w:tblPr>
      <w:tblCellMar>
        <w:left w:w="0" w:type="dxa"/>
        <w:top w:w="0" w:type="dxa"/>
        <w:right w:w="0" w:type="dxa"/>
        <w:bottom w:w="0" w:type="dxa"/>
      </w:tblCellMar>
    </w:tblPr>
  </w:style>
  <w:style w:type="table" w:styleId="790" w:customStyle="1">
    <w:name w:val="网格表 41"/>
    <w:uiPriority w:val="59"/>
    <w:qFormat/>
    <w:tblPr>
      <w:tblCellMar>
        <w:left w:w="0" w:type="dxa"/>
        <w:top w:w="0" w:type="dxa"/>
        <w:right w:w="0" w:type="dxa"/>
        <w:bottom w:w="0" w:type="dxa"/>
      </w:tblCellMar>
    </w:tblPr>
  </w:style>
  <w:style w:type="table" w:styleId="791" w:customStyle="1">
    <w:name w:val="Grid Table 4 - Accent 1"/>
    <w:uiPriority w:val="59"/>
    <w:qFormat/>
    <w:tblPr>
      <w:tblCellMar>
        <w:left w:w="0" w:type="dxa"/>
        <w:top w:w="0" w:type="dxa"/>
        <w:right w:w="0" w:type="dxa"/>
        <w:bottom w:w="0" w:type="dxa"/>
      </w:tblCellMar>
    </w:tblPr>
  </w:style>
  <w:style w:type="table" w:styleId="792" w:customStyle="1">
    <w:name w:val="Grid Table 4 - Accent 2"/>
    <w:uiPriority w:val="59"/>
    <w:qFormat/>
    <w:tblPr>
      <w:tblCellMar>
        <w:left w:w="0" w:type="dxa"/>
        <w:top w:w="0" w:type="dxa"/>
        <w:right w:w="0" w:type="dxa"/>
        <w:bottom w:w="0" w:type="dxa"/>
      </w:tblCellMar>
    </w:tblPr>
  </w:style>
  <w:style w:type="table" w:styleId="793" w:customStyle="1">
    <w:name w:val="Grid Table 4 - Accent 3"/>
    <w:uiPriority w:val="59"/>
    <w:qFormat/>
    <w:tblPr>
      <w:tblCellMar>
        <w:left w:w="0" w:type="dxa"/>
        <w:top w:w="0" w:type="dxa"/>
        <w:right w:w="0" w:type="dxa"/>
        <w:bottom w:w="0" w:type="dxa"/>
      </w:tblCellMar>
    </w:tblPr>
  </w:style>
  <w:style w:type="table" w:styleId="794" w:customStyle="1">
    <w:name w:val="Grid Table 4 - Accent 4"/>
    <w:uiPriority w:val="59"/>
    <w:qFormat/>
    <w:tblPr>
      <w:tblCellMar>
        <w:left w:w="0" w:type="dxa"/>
        <w:top w:w="0" w:type="dxa"/>
        <w:right w:w="0" w:type="dxa"/>
        <w:bottom w:w="0" w:type="dxa"/>
      </w:tblCellMar>
    </w:tblPr>
  </w:style>
  <w:style w:type="table" w:styleId="795" w:customStyle="1">
    <w:name w:val="Grid Table 4 - Accent 5"/>
    <w:uiPriority w:val="59"/>
    <w:qFormat/>
    <w:tblPr>
      <w:tblCellMar>
        <w:left w:w="0" w:type="dxa"/>
        <w:top w:w="0" w:type="dxa"/>
        <w:right w:w="0" w:type="dxa"/>
        <w:bottom w:w="0" w:type="dxa"/>
      </w:tblCellMar>
    </w:tblPr>
  </w:style>
  <w:style w:type="table" w:styleId="796" w:customStyle="1">
    <w:name w:val="Grid Table 4 - Accent 6"/>
    <w:uiPriority w:val="59"/>
    <w:qFormat/>
    <w:tblPr>
      <w:tblCellMar>
        <w:left w:w="0" w:type="dxa"/>
        <w:top w:w="0" w:type="dxa"/>
        <w:right w:w="0" w:type="dxa"/>
        <w:bottom w:w="0" w:type="dxa"/>
      </w:tblCellMar>
    </w:tblPr>
  </w:style>
  <w:style w:type="table" w:styleId="797" w:customStyle="1">
    <w:name w:val="网格表 5 深色1"/>
    <w:uiPriority w:val="99"/>
    <w:qFormat/>
    <w:tblPr>
      <w:tblCellMar>
        <w:left w:w="0" w:type="dxa"/>
        <w:top w:w="0" w:type="dxa"/>
        <w:right w:w="0" w:type="dxa"/>
        <w:bottom w:w="0" w:type="dxa"/>
      </w:tblCellMar>
    </w:tblPr>
  </w:style>
  <w:style w:type="table" w:styleId="798" w:customStyle="1">
    <w:name w:val="Grid Table 5 Dark- Accent 1"/>
    <w:uiPriority w:val="99"/>
    <w:qFormat/>
    <w:tblPr>
      <w:tblCellMar>
        <w:left w:w="0" w:type="dxa"/>
        <w:top w:w="0" w:type="dxa"/>
        <w:right w:w="0" w:type="dxa"/>
        <w:bottom w:w="0" w:type="dxa"/>
      </w:tblCellMar>
    </w:tblPr>
  </w:style>
  <w:style w:type="table" w:styleId="799" w:customStyle="1">
    <w:name w:val="Grid Table 5 Dark - Accent 2"/>
    <w:uiPriority w:val="99"/>
    <w:qFormat/>
    <w:tblPr>
      <w:tblCellMar>
        <w:left w:w="0" w:type="dxa"/>
        <w:top w:w="0" w:type="dxa"/>
        <w:right w:w="0" w:type="dxa"/>
        <w:bottom w:w="0" w:type="dxa"/>
      </w:tblCellMar>
    </w:tblPr>
  </w:style>
  <w:style w:type="table" w:styleId="800" w:customStyle="1">
    <w:name w:val="Grid Table 5 Dark - Accent 3"/>
    <w:uiPriority w:val="99"/>
    <w:qFormat/>
    <w:tblPr>
      <w:tblCellMar>
        <w:left w:w="0" w:type="dxa"/>
        <w:top w:w="0" w:type="dxa"/>
        <w:right w:w="0" w:type="dxa"/>
        <w:bottom w:w="0" w:type="dxa"/>
      </w:tblCellMar>
    </w:tblPr>
  </w:style>
  <w:style w:type="table" w:styleId="801" w:customStyle="1">
    <w:name w:val="Grid Table 5 Dark- Accent 4"/>
    <w:uiPriority w:val="99"/>
    <w:qFormat/>
    <w:tblPr>
      <w:tblCellMar>
        <w:left w:w="0" w:type="dxa"/>
        <w:top w:w="0" w:type="dxa"/>
        <w:right w:w="0" w:type="dxa"/>
        <w:bottom w:w="0" w:type="dxa"/>
      </w:tblCellMar>
    </w:tblPr>
  </w:style>
  <w:style w:type="table" w:styleId="802" w:customStyle="1">
    <w:name w:val="Grid Table 5 Dark - Accent 5"/>
    <w:uiPriority w:val="99"/>
    <w:qFormat/>
    <w:tblPr>
      <w:tblCellMar>
        <w:left w:w="0" w:type="dxa"/>
        <w:top w:w="0" w:type="dxa"/>
        <w:right w:w="0" w:type="dxa"/>
        <w:bottom w:w="0" w:type="dxa"/>
      </w:tblCellMar>
    </w:tblPr>
  </w:style>
  <w:style w:type="table" w:styleId="803" w:customStyle="1">
    <w:name w:val="Grid Table 5 Dark - Accent 6"/>
    <w:uiPriority w:val="99"/>
    <w:qFormat/>
    <w:tblPr>
      <w:tblCellMar>
        <w:left w:w="0" w:type="dxa"/>
        <w:top w:w="0" w:type="dxa"/>
        <w:right w:w="0" w:type="dxa"/>
        <w:bottom w:w="0" w:type="dxa"/>
      </w:tblCellMar>
    </w:tblPr>
  </w:style>
  <w:style w:type="table" w:styleId="804" w:customStyle="1">
    <w:name w:val="网格表 6 彩色1"/>
    <w:uiPriority w:val="99"/>
    <w:qFormat/>
    <w:tblPr>
      <w:tblCellMar>
        <w:left w:w="0" w:type="dxa"/>
        <w:top w:w="0" w:type="dxa"/>
        <w:right w:w="0" w:type="dxa"/>
        <w:bottom w:w="0" w:type="dxa"/>
      </w:tblCellMar>
    </w:tblPr>
  </w:style>
  <w:style w:type="table" w:styleId="805" w:customStyle="1">
    <w:name w:val="Grid Table 6 Colorful - Accent 1"/>
    <w:uiPriority w:val="99"/>
    <w:qFormat/>
    <w:tblPr>
      <w:tblCellMar>
        <w:left w:w="0" w:type="dxa"/>
        <w:top w:w="0" w:type="dxa"/>
        <w:right w:w="0" w:type="dxa"/>
        <w:bottom w:w="0" w:type="dxa"/>
      </w:tblCellMar>
    </w:tblPr>
  </w:style>
  <w:style w:type="table" w:styleId="806" w:customStyle="1">
    <w:name w:val="Grid Table 6 Colorful - Accent 2"/>
    <w:uiPriority w:val="99"/>
    <w:qFormat/>
    <w:tblPr>
      <w:tblCellMar>
        <w:left w:w="0" w:type="dxa"/>
        <w:top w:w="0" w:type="dxa"/>
        <w:right w:w="0" w:type="dxa"/>
        <w:bottom w:w="0" w:type="dxa"/>
      </w:tblCellMar>
    </w:tblPr>
  </w:style>
  <w:style w:type="table" w:styleId="807" w:customStyle="1">
    <w:name w:val="Grid Table 6 Colorful - Accent 3"/>
    <w:uiPriority w:val="99"/>
    <w:qFormat/>
    <w:tblPr>
      <w:tblCellMar>
        <w:left w:w="0" w:type="dxa"/>
        <w:top w:w="0" w:type="dxa"/>
        <w:right w:w="0" w:type="dxa"/>
        <w:bottom w:w="0" w:type="dxa"/>
      </w:tblCellMar>
    </w:tblPr>
  </w:style>
  <w:style w:type="table" w:styleId="808" w:customStyle="1">
    <w:name w:val="Grid Table 6 Colorful - Accent 4"/>
    <w:uiPriority w:val="99"/>
    <w:qFormat/>
    <w:tblPr>
      <w:tblCellMar>
        <w:left w:w="0" w:type="dxa"/>
        <w:top w:w="0" w:type="dxa"/>
        <w:right w:w="0" w:type="dxa"/>
        <w:bottom w:w="0" w:type="dxa"/>
      </w:tblCellMar>
    </w:tblPr>
  </w:style>
  <w:style w:type="table" w:styleId="809" w:customStyle="1">
    <w:name w:val="Grid Table 6 Colorful - Accent 5"/>
    <w:uiPriority w:val="99"/>
    <w:qFormat/>
    <w:tblPr>
      <w:tblCellMar>
        <w:left w:w="0" w:type="dxa"/>
        <w:top w:w="0" w:type="dxa"/>
        <w:right w:w="0" w:type="dxa"/>
        <w:bottom w:w="0" w:type="dxa"/>
      </w:tblCellMar>
    </w:tblPr>
  </w:style>
  <w:style w:type="table" w:styleId="810" w:customStyle="1">
    <w:name w:val="Grid Table 6 Colorful - Accent 6"/>
    <w:uiPriority w:val="99"/>
    <w:qFormat/>
    <w:tblPr>
      <w:tblCellMar>
        <w:left w:w="0" w:type="dxa"/>
        <w:top w:w="0" w:type="dxa"/>
        <w:right w:w="0" w:type="dxa"/>
        <w:bottom w:w="0" w:type="dxa"/>
      </w:tblCellMar>
    </w:tblPr>
  </w:style>
  <w:style w:type="table" w:styleId="811" w:customStyle="1">
    <w:name w:val="网格表 7 彩色1"/>
    <w:uiPriority w:val="99"/>
    <w:qFormat/>
    <w:tblPr>
      <w:tblCellMar>
        <w:left w:w="0" w:type="dxa"/>
        <w:top w:w="0" w:type="dxa"/>
        <w:right w:w="0" w:type="dxa"/>
        <w:bottom w:w="0" w:type="dxa"/>
      </w:tblCellMar>
    </w:tblPr>
  </w:style>
  <w:style w:type="table" w:styleId="812" w:customStyle="1">
    <w:name w:val="Grid Table 7 Colorful - Accent 1"/>
    <w:uiPriority w:val="99"/>
    <w:qFormat/>
    <w:tblPr>
      <w:tblCellMar>
        <w:left w:w="0" w:type="dxa"/>
        <w:top w:w="0" w:type="dxa"/>
        <w:right w:w="0" w:type="dxa"/>
        <w:bottom w:w="0" w:type="dxa"/>
      </w:tblCellMar>
    </w:tblPr>
  </w:style>
  <w:style w:type="table" w:styleId="813" w:customStyle="1">
    <w:name w:val="Grid Table 7 Colorful - Accent 2"/>
    <w:uiPriority w:val="99"/>
    <w:qFormat/>
    <w:tblPr>
      <w:tblCellMar>
        <w:left w:w="0" w:type="dxa"/>
        <w:top w:w="0" w:type="dxa"/>
        <w:right w:w="0" w:type="dxa"/>
        <w:bottom w:w="0" w:type="dxa"/>
      </w:tblCellMar>
    </w:tblPr>
  </w:style>
  <w:style w:type="table" w:styleId="814" w:customStyle="1">
    <w:name w:val="Grid Table 7 Colorful - Accent 3"/>
    <w:uiPriority w:val="99"/>
    <w:qFormat/>
    <w:tblPr>
      <w:tblCellMar>
        <w:left w:w="0" w:type="dxa"/>
        <w:top w:w="0" w:type="dxa"/>
        <w:right w:w="0" w:type="dxa"/>
        <w:bottom w:w="0" w:type="dxa"/>
      </w:tblCellMar>
    </w:tblPr>
  </w:style>
  <w:style w:type="table" w:styleId="815" w:customStyle="1">
    <w:name w:val="Grid Table 7 Colorful - Accent 4"/>
    <w:uiPriority w:val="99"/>
    <w:qFormat/>
    <w:tblPr>
      <w:tblCellMar>
        <w:left w:w="0" w:type="dxa"/>
        <w:top w:w="0" w:type="dxa"/>
        <w:right w:w="0" w:type="dxa"/>
        <w:bottom w:w="0" w:type="dxa"/>
      </w:tblCellMar>
    </w:tblPr>
  </w:style>
  <w:style w:type="table" w:styleId="816" w:customStyle="1">
    <w:name w:val="Grid Table 7 Colorful - Accent 5"/>
    <w:uiPriority w:val="99"/>
    <w:qFormat/>
    <w:tblPr>
      <w:tblCellMar>
        <w:left w:w="0" w:type="dxa"/>
        <w:top w:w="0" w:type="dxa"/>
        <w:right w:w="0" w:type="dxa"/>
        <w:bottom w:w="0" w:type="dxa"/>
      </w:tblCellMar>
    </w:tblPr>
  </w:style>
  <w:style w:type="table" w:styleId="817" w:customStyle="1">
    <w:name w:val="Grid Table 7 Colorful - Accent 6"/>
    <w:uiPriority w:val="99"/>
    <w:qFormat/>
    <w:tblPr>
      <w:tblCellMar>
        <w:left w:w="0" w:type="dxa"/>
        <w:top w:w="0" w:type="dxa"/>
        <w:right w:w="0" w:type="dxa"/>
        <w:bottom w:w="0" w:type="dxa"/>
      </w:tblCellMar>
    </w:tblPr>
  </w:style>
  <w:style w:type="table" w:styleId="818" w:customStyle="1">
    <w:name w:val="清单表 1 浅色1"/>
    <w:uiPriority w:val="99"/>
    <w:qFormat/>
    <w:tblPr>
      <w:tblCellMar>
        <w:left w:w="0" w:type="dxa"/>
        <w:top w:w="0" w:type="dxa"/>
        <w:right w:w="0" w:type="dxa"/>
        <w:bottom w:w="0" w:type="dxa"/>
      </w:tblCellMar>
    </w:tblPr>
  </w:style>
  <w:style w:type="table" w:styleId="819" w:customStyle="1">
    <w:name w:val="List Table 1 Light - Accent 1"/>
    <w:uiPriority w:val="99"/>
    <w:qFormat/>
    <w:tblPr>
      <w:tblCellMar>
        <w:left w:w="0" w:type="dxa"/>
        <w:top w:w="0" w:type="dxa"/>
        <w:right w:w="0" w:type="dxa"/>
        <w:bottom w:w="0" w:type="dxa"/>
      </w:tblCellMar>
    </w:tblPr>
  </w:style>
  <w:style w:type="table" w:styleId="820" w:customStyle="1">
    <w:name w:val="List Table 1 Light - Accent 2"/>
    <w:uiPriority w:val="99"/>
    <w:qFormat/>
    <w:tblPr>
      <w:tblCellMar>
        <w:left w:w="0" w:type="dxa"/>
        <w:top w:w="0" w:type="dxa"/>
        <w:right w:w="0" w:type="dxa"/>
        <w:bottom w:w="0" w:type="dxa"/>
      </w:tblCellMar>
    </w:tblPr>
  </w:style>
  <w:style w:type="table" w:styleId="821" w:customStyle="1">
    <w:name w:val="List Table 1 Light - Accent 3"/>
    <w:uiPriority w:val="99"/>
    <w:qFormat/>
    <w:tblPr>
      <w:tblCellMar>
        <w:left w:w="0" w:type="dxa"/>
        <w:top w:w="0" w:type="dxa"/>
        <w:right w:w="0" w:type="dxa"/>
        <w:bottom w:w="0" w:type="dxa"/>
      </w:tblCellMar>
    </w:tblPr>
  </w:style>
  <w:style w:type="table" w:styleId="822" w:customStyle="1">
    <w:name w:val="List Table 1 Light - Accent 4"/>
    <w:uiPriority w:val="99"/>
    <w:qFormat/>
    <w:tblPr>
      <w:tblCellMar>
        <w:left w:w="0" w:type="dxa"/>
        <w:top w:w="0" w:type="dxa"/>
        <w:right w:w="0" w:type="dxa"/>
        <w:bottom w:w="0" w:type="dxa"/>
      </w:tblCellMar>
    </w:tblPr>
  </w:style>
  <w:style w:type="table" w:styleId="823" w:customStyle="1">
    <w:name w:val="List Table 1 Light - Accent 5"/>
    <w:uiPriority w:val="99"/>
    <w:qFormat/>
    <w:tblPr>
      <w:tblCellMar>
        <w:left w:w="0" w:type="dxa"/>
        <w:top w:w="0" w:type="dxa"/>
        <w:right w:w="0" w:type="dxa"/>
        <w:bottom w:w="0" w:type="dxa"/>
      </w:tblCellMar>
    </w:tblPr>
  </w:style>
  <w:style w:type="table" w:styleId="824" w:customStyle="1">
    <w:name w:val="List Table 1 Light - Accent 6"/>
    <w:uiPriority w:val="99"/>
    <w:qFormat/>
    <w:tblPr>
      <w:tblCellMar>
        <w:left w:w="0" w:type="dxa"/>
        <w:top w:w="0" w:type="dxa"/>
        <w:right w:w="0" w:type="dxa"/>
        <w:bottom w:w="0" w:type="dxa"/>
      </w:tblCellMar>
    </w:tblPr>
  </w:style>
  <w:style w:type="table" w:styleId="825" w:customStyle="1">
    <w:name w:val="清单表 21"/>
    <w:uiPriority w:val="99"/>
    <w:qFormat/>
    <w:tblPr>
      <w:tblCellMar>
        <w:left w:w="0" w:type="dxa"/>
        <w:top w:w="0" w:type="dxa"/>
        <w:right w:w="0" w:type="dxa"/>
        <w:bottom w:w="0" w:type="dxa"/>
      </w:tblCellMar>
    </w:tblPr>
  </w:style>
  <w:style w:type="table" w:styleId="826" w:customStyle="1">
    <w:name w:val="List Table 2 - Accent 1"/>
    <w:uiPriority w:val="99"/>
    <w:qFormat/>
    <w:tblPr>
      <w:tblCellMar>
        <w:left w:w="0" w:type="dxa"/>
        <w:top w:w="0" w:type="dxa"/>
        <w:right w:w="0" w:type="dxa"/>
        <w:bottom w:w="0" w:type="dxa"/>
      </w:tblCellMar>
    </w:tblPr>
  </w:style>
  <w:style w:type="table" w:styleId="827" w:customStyle="1">
    <w:name w:val="List Table 2 - Accent 2"/>
    <w:uiPriority w:val="99"/>
    <w:qFormat/>
    <w:tblPr>
      <w:tblCellMar>
        <w:left w:w="0" w:type="dxa"/>
        <w:top w:w="0" w:type="dxa"/>
        <w:right w:w="0" w:type="dxa"/>
        <w:bottom w:w="0" w:type="dxa"/>
      </w:tblCellMar>
    </w:tblPr>
  </w:style>
  <w:style w:type="table" w:styleId="828" w:customStyle="1">
    <w:name w:val="List Table 2 - Accent 3"/>
    <w:uiPriority w:val="99"/>
    <w:qFormat/>
    <w:tblPr>
      <w:tblCellMar>
        <w:left w:w="0" w:type="dxa"/>
        <w:top w:w="0" w:type="dxa"/>
        <w:right w:w="0" w:type="dxa"/>
        <w:bottom w:w="0" w:type="dxa"/>
      </w:tblCellMar>
    </w:tblPr>
  </w:style>
  <w:style w:type="table" w:styleId="829" w:customStyle="1">
    <w:name w:val="List Table 2 - Accent 4"/>
    <w:uiPriority w:val="99"/>
    <w:qFormat/>
    <w:tblPr>
      <w:tblCellMar>
        <w:left w:w="0" w:type="dxa"/>
        <w:top w:w="0" w:type="dxa"/>
        <w:right w:w="0" w:type="dxa"/>
        <w:bottom w:w="0" w:type="dxa"/>
      </w:tblCellMar>
    </w:tblPr>
  </w:style>
  <w:style w:type="table" w:styleId="830" w:customStyle="1">
    <w:name w:val="List Table 2 - Accent 5"/>
    <w:uiPriority w:val="99"/>
    <w:qFormat/>
    <w:tblPr>
      <w:tblCellMar>
        <w:left w:w="0" w:type="dxa"/>
        <w:top w:w="0" w:type="dxa"/>
        <w:right w:w="0" w:type="dxa"/>
        <w:bottom w:w="0" w:type="dxa"/>
      </w:tblCellMar>
    </w:tblPr>
  </w:style>
  <w:style w:type="table" w:styleId="831" w:customStyle="1">
    <w:name w:val="List Table 2 - Accent 6"/>
    <w:uiPriority w:val="99"/>
    <w:qFormat/>
    <w:tblPr>
      <w:tblCellMar>
        <w:left w:w="0" w:type="dxa"/>
        <w:top w:w="0" w:type="dxa"/>
        <w:right w:w="0" w:type="dxa"/>
        <w:bottom w:w="0" w:type="dxa"/>
      </w:tblCellMar>
    </w:tblPr>
  </w:style>
  <w:style w:type="table" w:styleId="832" w:customStyle="1">
    <w:name w:val="清单表 31"/>
    <w:uiPriority w:val="99"/>
    <w:tblPr>
      <w:tblCellMar>
        <w:left w:w="0" w:type="dxa"/>
        <w:top w:w="0" w:type="dxa"/>
        <w:right w:w="0" w:type="dxa"/>
        <w:bottom w:w="0" w:type="dxa"/>
      </w:tblCellMar>
    </w:tblPr>
  </w:style>
  <w:style w:type="table" w:styleId="833" w:customStyle="1">
    <w:name w:val="List Table 3 - Accent 1"/>
    <w:uiPriority w:val="99"/>
    <w:qFormat/>
    <w:tblPr>
      <w:tblCellMar>
        <w:left w:w="0" w:type="dxa"/>
        <w:top w:w="0" w:type="dxa"/>
        <w:right w:w="0" w:type="dxa"/>
        <w:bottom w:w="0" w:type="dxa"/>
      </w:tblCellMar>
    </w:tblPr>
  </w:style>
  <w:style w:type="table" w:styleId="834" w:customStyle="1">
    <w:name w:val="List Table 3 - Accent 2"/>
    <w:uiPriority w:val="99"/>
    <w:qFormat/>
    <w:tblPr>
      <w:tblCellMar>
        <w:left w:w="0" w:type="dxa"/>
        <w:top w:w="0" w:type="dxa"/>
        <w:right w:w="0" w:type="dxa"/>
        <w:bottom w:w="0" w:type="dxa"/>
      </w:tblCellMar>
    </w:tblPr>
  </w:style>
  <w:style w:type="table" w:styleId="835" w:customStyle="1">
    <w:name w:val="List Table 3 - Accent 3"/>
    <w:uiPriority w:val="99"/>
    <w:qFormat/>
    <w:tblPr>
      <w:tblCellMar>
        <w:left w:w="0" w:type="dxa"/>
        <w:top w:w="0" w:type="dxa"/>
        <w:right w:w="0" w:type="dxa"/>
        <w:bottom w:w="0" w:type="dxa"/>
      </w:tblCellMar>
    </w:tblPr>
  </w:style>
  <w:style w:type="table" w:styleId="836" w:customStyle="1">
    <w:name w:val="List Table 3 - Accent 4"/>
    <w:uiPriority w:val="99"/>
    <w:qFormat/>
    <w:tblPr>
      <w:tblCellMar>
        <w:left w:w="0" w:type="dxa"/>
        <w:top w:w="0" w:type="dxa"/>
        <w:right w:w="0" w:type="dxa"/>
        <w:bottom w:w="0" w:type="dxa"/>
      </w:tblCellMar>
    </w:tblPr>
  </w:style>
  <w:style w:type="table" w:styleId="837" w:customStyle="1">
    <w:name w:val="List Table 3 - Accent 5"/>
    <w:uiPriority w:val="99"/>
    <w:qFormat/>
    <w:tblPr>
      <w:tblCellMar>
        <w:left w:w="0" w:type="dxa"/>
        <w:top w:w="0" w:type="dxa"/>
        <w:right w:w="0" w:type="dxa"/>
        <w:bottom w:w="0" w:type="dxa"/>
      </w:tblCellMar>
    </w:tblPr>
  </w:style>
  <w:style w:type="table" w:styleId="838" w:customStyle="1">
    <w:name w:val="List Table 3 - Accent 6"/>
    <w:uiPriority w:val="99"/>
    <w:qFormat/>
    <w:tblPr>
      <w:tblCellMar>
        <w:left w:w="0" w:type="dxa"/>
        <w:top w:w="0" w:type="dxa"/>
        <w:right w:w="0" w:type="dxa"/>
        <w:bottom w:w="0" w:type="dxa"/>
      </w:tblCellMar>
    </w:tblPr>
  </w:style>
  <w:style w:type="table" w:styleId="839" w:customStyle="1">
    <w:name w:val="清单表 41"/>
    <w:uiPriority w:val="99"/>
    <w:tblPr>
      <w:tblCellMar>
        <w:left w:w="0" w:type="dxa"/>
        <w:top w:w="0" w:type="dxa"/>
        <w:right w:w="0" w:type="dxa"/>
        <w:bottom w:w="0" w:type="dxa"/>
      </w:tblCellMar>
    </w:tblPr>
  </w:style>
  <w:style w:type="table" w:styleId="840" w:customStyle="1">
    <w:name w:val="List Table 4 - Accent 1"/>
    <w:uiPriority w:val="99"/>
    <w:qFormat/>
    <w:tblPr>
      <w:tblCellMar>
        <w:left w:w="0" w:type="dxa"/>
        <w:top w:w="0" w:type="dxa"/>
        <w:right w:w="0" w:type="dxa"/>
        <w:bottom w:w="0" w:type="dxa"/>
      </w:tblCellMar>
    </w:tblPr>
  </w:style>
  <w:style w:type="table" w:styleId="841" w:customStyle="1">
    <w:name w:val="List Table 4 - Accent 2"/>
    <w:uiPriority w:val="99"/>
    <w:qFormat/>
    <w:tblPr>
      <w:tblCellMar>
        <w:left w:w="0" w:type="dxa"/>
        <w:top w:w="0" w:type="dxa"/>
        <w:right w:w="0" w:type="dxa"/>
        <w:bottom w:w="0" w:type="dxa"/>
      </w:tblCellMar>
    </w:tblPr>
  </w:style>
  <w:style w:type="table" w:styleId="842" w:customStyle="1">
    <w:name w:val="List Table 4 - Accent 3"/>
    <w:uiPriority w:val="99"/>
    <w:tblPr>
      <w:tblCellMar>
        <w:left w:w="0" w:type="dxa"/>
        <w:top w:w="0" w:type="dxa"/>
        <w:right w:w="0" w:type="dxa"/>
        <w:bottom w:w="0" w:type="dxa"/>
      </w:tblCellMar>
    </w:tblPr>
  </w:style>
  <w:style w:type="table" w:styleId="843" w:customStyle="1">
    <w:name w:val="List Table 4 - Accent 4"/>
    <w:uiPriority w:val="99"/>
    <w:qFormat/>
    <w:tblPr>
      <w:tblCellMar>
        <w:left w:w="0" w:type="dxa"/>
        <w:top w:w="0" w:type="dxa"/>
        <w:right w:w="0" w:type="dxa"/>
        <w:bottom w:w="0" w:type="dxa"/>
      </w:tblCellMar>
    </w:tblPr>
  </w:style>
  <w:style w:type="table" w:styleId="844" w:customStyle="1">
    <w:name w:val="List Table 4 - Accent 5"/>
    <w:uiPriority w:val="99"/>
    <w:qFormat/>
    <w:tblPr>
      <w:tblCellMar>
        <w:left w:w="0" w:type="dxa"/>
        <w:top w:w="0" w:type="dxa"/>
        <w:right w:w="0" w:type="dxa"/>
        <w:bottom w:w="0" w:type="dxa"/>
      </w:tblCellMar>
    </w:tblPr>
  </w:style>
  <w:style w:type="table" w:styleId="845" w:customStyle="1">
    <w:name w:val="List Table 4 - Accent 6"/>
    <w:uiPriority w:val="99"/>
    <w:tblPr>
      <w:tblCellMar>
        <w:left w:w="0" w:type="dxa"/>
        <w:top w:w="0" w:type="dxa"/>
        <w:right w:w="0" w:type="dxa"/>
        <w:bottom w:w="0" w:type="dxa"/>
      </w:tblCellMar>
    </w:tblPr>
  </w:style>
  <w:style w:type="table" w:styleId="846" w:customStyle="1">
    <w:name w:val="清单表 5 深色1"/>
    <w:uiPriority w:val="99"/>
    <w:qFormat/>
    <w:tblPr>
      <w:tblCellMar>
        <w:left w:w="0" w:type="dxa"/>
        <w:top w:w="0" w:type="dxa"/>
        <w:right w:w="0" w:type="dxa"/>
        <w:bottom w:w="0" w:type="dxa"/>
      </w:tblCellMar>
    </w:tblPr>
  </w:style>
  <w:style w:type="table" w:styleId="847" w:customStyle="1">
    <w:name w:val="List Table 5 Dark - Accent 1"/>
    <w:uiPriority w:val="99"/>
    <w:qFormat/>
    <w:tblPr>
      <w:tblCellMar>
        <w:left w:w="0" w:type="dxa"/>
        <w:top w:w="0" w:type="dxa"/>
        <w:right w:w="0" w:type="dxa"/>
        <w:bottom w:w="0" w:type="dxa"/>
      </w:tblCellMar>
    </w:tblPr>
  </w:style>
  <w:style w:type="table" w:styleId="848" w:customStyle="1">
    <w:name w:val="List Table 5 Dark - Accent 2"/>
    <w:uiPriority w:val="99"/>
    <w:tblPr>
      <w:tblCellMar>
        <w:left w:w="0" w:type="dxa"/>
        <w:top w:w="0" w:type="dxa"/>
        <w:right w:w="0" w:type="dxa"/>
        <w:bottom w:w="0" w:type="dxa"/>
      </w:tblCellMar>
    </w:tblPr>
  </w:style>
  <w:style w:type="table" w:styleId="849" w:customStyle="1">
    <w:name w:val="List Table 5 Dark - Accent 3"/>
    <w:uiPriority w:val="99"/>
    <w:qFormat/>
    <w:tblPr>
      <w:tblCellMar>
        <w:left w:w="0" w:type="dxa"/>
        <w:top w:w="0" w:type="dxa"/>
        <w:right w:w="0" w:type="dxa"/>
        <w:bottom w:w="0" w:type="dxa"/>
      </w:tblCellMar>
    </w:tblPr>
  </w:style>
  <w:style w:type="table" w:styleId="850" w:customStyle="1">
    <w:name w:val="List Table 5 Dark - Accent 4"/>
    <w:uiPriority w:val="99"/>
    <w:qFormat/>
    <w:tblPr>
      <w:tblCellMar>
        <w:left w:w="0" w:type="dxa"/>
        <w:top w:w="0" w:type="dxa"/>
        <w:right w:w="0" w:type="dxa"/>
        <w:bottom w:w="0" w:type="dxa"/>
      </w:tblCellMar>
    </w:tblPr>
  </w:style>
  <w:style w:type="table" w:styleId="851" w:customStyle="1">
    <w:name w:val="List Table 5 Dark - Accent 5"/>
    <w:uiPriority w:val="99"/>
    <w:qFormat/>
    <w:tblPr>
      <w:tblCellMar>
        <w:left w:w="0" w:type="dxa"/>
        <w:top w:w="0" w:type="dxa"/>
        <w:right w:w="0" w:type="dxa"/>
        <w:bottom w:w="0" w:type="dxa"/>
      </w:tblCellMar>
    </w:tblPr>
  </w:style>
  <w:style w:type="table" w:styleId="852" w:customStyle="1">
    <w:name w:val="List Table 5 Dark - Accent 6"/>
    <w:uiPriority w:val="99"/>
    <w:qFormat/>
    <w:tblPr>
      <w:tblCellMar>
        <w:left w:w="0" w:type="dxa"/>
        <w:top w:w="0" w:type="dxa"/>
        <w:right w:w="0" w:type="dxa"/>
        <w:bottom w:w="0" w:type="dxa"/>
      </w:tblCellMar>
    </w:tblPr>
  </w:style>
  <w:style w:type="table" w:styleId="853" w:customStyle="1">
    <w:name w:val="清单表 6 彩色1"/>
    <w:uiPriority w:val="99"/>
    <w:qFormat/>
    <w:tblPr>
      <w:tblCellMar>
        <w:left w:w="0" w:type="dxa"/>
        <w:top w:w="0" w:type="dxa"/>
        <w:right w:w="0" w:type="dxa"/>
        <w:bottom w:w="0" w:type="dxa"/>
      </w:tblCellMar>
    </w:tblPr>
  </w:style>
  <w:style w:type="table" w:styleId="854" w:customStyle="1">
    <w:name w:val="List Table 6 Colorful - Accent 1"/>
    <w:uiPriority w:val="99"/>
    <w:qFormat/>
    <w:tblPr>
      <w:tblCellMar>
        <w:left w:w="0" w:type="dxa"/>
        <w:top w:w="0" w:type="dxa"/>
        <w:right w:w="0" w:type="dxa"/>
        <w:bottom w:w="0" w:type="dxa"/>
      </w:tblCellMar>
    </w:tblPr>
  </w:style>
  <w:style w:type="table" w:styleId="855" w:customStyle="1">
    <w:name w:val="List Table 6 Colorful - Accent 2"/>
    <w:uiPriority w:val="99"/>
    <w:qFormat/>
    <w:tblPr>
      <w:tblCellMar>
        <w:left w:w="0" w:type="dxa"/>
        <w:top w:w="0" w:type="dxa"/>
        <w:right w:w="0" w:type="dxa"/>
        <w:bottom w:w="0" w:type="dxa"/>
      </w:tblCellMar>
    </w:tblPr>
  </w:style>
  <w:style w:type="table" w:styleId="856" w:customStyle="1">
    <w:name w:val="List Table 6 Colorful - Accent 3"/>
    <w:uiPriority w:val="99"/>
    <w:qFormat/>
    <w:tblPr>
      <w:tblCellMar>
        <w:left w:w="0" w:type="dxa"/>
        <w:top w:w="0" w:type="dxa"/>
        <w:right w:w="0" w:type="dxa"/>
        <w:bottom w:w="0" w:type="dxa"/>
      </w:tblCellMar>
    </w:tblPr>
  </w:style>
  <w:style w:type="table" w:styleId="857" w:customStyle="1">
    <w:name w:val="List Table 6 Colorful - Accent 4"/>
    <w:uiPriority w:val="99"/>
    <w:qFormat/>
    <w:tblPr>
      <w:tblCellMar>
        <w:left w:w="0" w:type="dxa"/>
        <w:top w:w="0" w:type="dxa"/>
        <w:right w:w="0" w:type="dxa"/>
        <w:bottom w:w="0" w:type="dxa"/>
      </w:tblCellMar>
    </w:tblPr>
  </w:style>
  <w:style w:type="table" w:styleId="858" w:customStyle="1">
    <w:name w:val="List Table 6 Colorful - Accent 5"/>
    <w:uiPriority w:val="99"/>
    <w:qFormat/>
    <w:tblPr>
      <w:tblCellMar>
        <w:left w:w="0" w:type="dxa"/>
        <w:top w:w="0" w:type="dxa"/>
        <w:right w:w="0" w:type="dxa"/>
        <w:bottom w:w="0" w:type="dxa"/>
      </w:tblCellMar>
    </w:tblPr>
  </w:style>
  <w:style w:type="table" w:styleId="859" w:customStyle="1">
    <w:name w:val="List Table 6 Colorful - Accent 6"/>
    <w:uiPriority w:val="99"/>
    <w:qFormat/>
    <w:tblPr>
      <w:tblCellMar>
        <w:left w:w="0" w:type="dxa"/>
        <w:top w:w="0" w:type="dxa"/>
        <w:right w:w="0" w:type="dxa"/>
        <w:bottom w:w="0" w:type="dxa"/>
      </w:tblCellMar>
    </w:tblPr>
  </w:style>
  <w:style w:type="table" w:styleId="860" w:customStyle="1">
    <w:name w:val="清单表 7 彩色1"/>
    <w:uiPriority w:val="99"/>
    <w:qFormat/>
    <w:tblPr>
      <w:tblCellMar>
        <w:left w:w="0" w:type="dxa"/>
        <w:top w:w="0" w:type="dxa"/>
        <w:right w:w="0" w:type="dxa"/>
        <w:bottom w:w="0" w:type="dxa"/>
      </w:tblCellMar>
    </w:tblPr>
  </w:style>
  <w:style w:type="table" w:styleId="861" w:customStyle="1">
    <w:name w:val="List Table 7 Colorful - Accent 1"/>
    <w:uiPriority w:val="99"/>
    <w:qFormat/>
    <w:tblPr>
      <w:tblCellMar>
        <w:left w:w="0" w:type="dxa"/>
        <w:top w:w="0" w:type="dxa"/>
        <w:right w:w="0" w:type="dxa"/>
        <w:bottom w:w="0" w:type="dxa"/>
      </w:tblCellMar>
    </w:tblPr>
  </w:style>
  <w:style w:type="table" w:styleId="862" w:customStyle="1">
    <w:name w:val="List Table 7 Colorful - Accent 2"/>
    <w:uiPriority w:val="99"/>
    <w:qFormat/>
    <w:tblPr>
      <w:tblCellMar>
        <w:left w:w="0" w:type="dxa"/>
        <w:top w:w="0" w:type="dxa"/>
        <w:right w:w="0" w:type="dxa"/>
        <w:bottom w:w="0" w:type="dxa"/>
      </w:tblCellMar>
    </w:tblPr>
  </w:style>
  <w:style w:type="table" w:styleId="863" w:customStyle="1">
    <w:name w:val="List Table 7 Colorful - Accent 3"/>
    <w:uiPriority w:val="99"/>
    <w:qFormat/>
    <w:tblPr>
      <w:tblCellMar>
        <w:left w:w="0" w:type="dxa"/>
        <w:top w:w="0" w:type="dxa"/>
        <w:right w:w="0" w:type="dxa"/>
        <w:bottom w:w="0" w:type="dxa"/>
      </w:tblCellMar>
    </w:tblPr>
  </w:style>
  <w:style w:type="table" w:styleId="864" w:customStyle="1">
    <w:name w:val="List Table 7 Colorful - Accent 4"/>
    <w:uiPriority w:val="99"/>
    <w:qFormat/>
    <w:tblPr>
      <w:tblCellMar>
        <w:left w:w="0" w:type="dxa"/>
        <w:top w:w="0" w:type="dxa"/>
        <w:right w:w="0" w:type="dxa"/>
        <w:bottom w:w="0" w:type="dxa"/>
      </w:tblCellMar>
    </w:tblPr>
  </w:style>
  <w:style w:type="table" w:styleId="865" w:customStyle="1">
    <w:name w:val="List Table 7 Colorful - Accent 5"/>
    <w:uiPriority w:val="99"/>
    <w:qFormat/>
    <w:tblPr>
      <w:tblCellMar>
        <w:left w:w="0" w:type="dxa"/>
        <w:top w:w="0" w:type="dxa"/>
        <w:right w:w="0" w:type="dxa"/>
        <w:bottom w:w="0" w:type="dxa"/>
      </w:tblCellMar>
    </w:tblPr>
  </w:style>
  <w:style w:type="table" w:styleId="866" w:customStyle="1">
    <w:name w:val="List Table 7 Colorful - Accent 6"/>
    <w:uiPriority w:val="99"/>
    <w:qFormat/>
    <w:tblPr>
      <w:tblCellMar>
        <w:left w:w="0" w:type="dxa"/>
        <w:top w:w="0" w:type="dxa"/>
        <w:right w:w="0" w:type="dxa"/>
        <w:bottom w:w="0" w:type="dxa"/>
      </w:tblCellMar>
    </w:tblPr>
  </w:style>
  <w:style w:type="table" w:styleId="867" w:customStyle="1">
    <w:name w:val="Lined - Accent"/>
    <w:uiPriority w:val="99"/>
    <w:qFormat/>
    <w:rPr>
      <w:color w:val="404040"/>
    </w:rPr>
    <w:tblPr>
      <w:tblCellMar>
        <w:left w:w="0" w:type="dxa"/>
        <w:top w:w="0" w:type="dxa"/>
        <w:right w:w="0" w:type="dxa"/>
        <w:bottom w:w="0" w:type="dxa"/>
      </w:tblCellMar>
    </w:tblPr>
  </w:style>
  <w:style w:type="table" w:styleId="868" w:customStyle="1">
    <w:name w:val="Lined - Accent 1"/>
    <w:uiPriority w:val="99"/>
    <w:qFormat/>
    <w:rPr>
      <w:color w:val="404040"/>
    </w:rPr>
    <w:tblPr>
      <w:tblCellMar>
        <w:left w:w="0" w:type="dxa"/>
        <w:top w:w="0" w:type="dxa"/>
        <w:right w:w="0" w:type="dxa"/>
        <w:bottom w:w="0" w:type="dxa"/>
      </w:tblCellMar>
    </w:tblPr>
  </w:style>
  <w:style w:type="table" w:styleId="869" w:customStyle="1">
    <w:name w:val="Lined - Accent 2"/>
    <w:uiPriority w:val="99"/>
    <w:qFormat/>
    <w:rPr>
      <w:color w:val="404040"/>
    </w:rPr>
    <w:tblPr>
      <w:tblCellMar>
        <w:left w:w="0" w:type="dxa"/>
        <w:top w:w="0" w:type="dxa"/>
        <w:right w:w="0" w:type="dxa"/>
        <w:bottom w:w="0" w:type="dxa"/>
      </w:tblCellMar>
    </w:tblPr>
  </w:style>
  <w:style w:type="table" w:styleId="870" w:customStyle="1">
    <w:name w:val="Lined - Accent 3"/>
    <w:uiPriority w:val="99"/>
    <w:qFormat/>
    <w:rPr>
      <w:color w:val="404040"/>
    </w:rPr>
    <w:tblPr>
      <w:tblCellMar>
        <w:left w:w="0" w:type="dxa"/>
        <w:top w:w="0" w:type="dxa"/>
        <w:right w:w="0" w:type="dxa"/>
        <w:bottom w:w="0" w:type="dxa"/>
      </w:tblCellMar>
    </w:tblPr>
  </w:style>
  <w:style w:type="table" w:styleId="871" w:customStyle="1">
    <w:name w:val="Lined - Accent 4"/>
    <w:uiPriority w:val="99"/>
    <w:qFormat/>
    <w:rPr>
      <w:color w:val="404040"/>
    </w:rPr>
    <w:tblPr>
      <w:tblCellMar>
        <w:left w:w="0" w:type="dxa"/>
        <w:top w:w="0" w:type="dxa"/>
        <w:right w:w="0" w:type="dxa"/>
        <w:bottom w:w="0" w:type="dxa"/>
      </w:tblCellMar>
    </w:tblPr>
  </w:style>
  <w:style w:type="table" w:styleId="872" w:customStyle="1">
    <w:name w:val="Lined - Accent 5"/>
    <w:uiPriority w:val="99"/>
    <w:qFormat/>
    <w:rPr>
      <w:color w:val="404040"/>
    </w:rPr>
    <w:tblPr>
      <w:tblCellMar>
        <w:left w:w="0" w:type="dxa"/>
        <w:top w:w="0" w:type="dxa"/>
        <w:right w:w="0" w:type="dxa"/>
        <w:bottom w:w="0" w:type="dxa"/>
      </w:tblCellMar>
    </w:tblPr>
  </w:style>
  <w:style w:type="table" w:styleId="873" w:customStyle="1">
    <w:name w:val="Lined - Accent 6"/>
    <w:uiPriority w:val="99"/>
    <w:qFormat/>
    <w:rPr>
      <w:color w:val="404040"/>
    </w:rPr>
    <w:tblPr>
      <w:tblCellMar>
        <w:left w:w="0" w:type="dxa"/>
        <w:top w:w="0" w:type="dxa"/>
        <w:right w:w="0" w:type="dxa"/>
        <w:bottom w:w="0" w:type="dxa"/>
      </w:tblCellMar>
    </w:tblPr>
  </w:style>
  <w:style w:type="table" w:styleId="874" w:customStyle="1">
    <w:name w:val="Bordered &amp; Lined - Accent"/>
    <w:uiPriority w:val="99"/>
    <w:qFormat/>
    <w:rPr>
      <w:color w:val="404040"/>
    </w:rPr>
    <w:tblPr>
      <w:tblCellMar>
        <w:left w:w="0" w:type="dxa"/>
        <w:top w:w="0" w:type="dxa"/>
        <w:right w:w="0" w:type="dxa"/>
        <w:bottom w:w="0" w:type="dxa"/>
      </w:tblCellMar>
    </w:tblPr>
  </w:style>
  <w:style w:type="table" w:styleId="875" w:customStyle="1">
    <w:name w:val="Bordered &amp; Lined - Accent 1"/>
    <w:uiPriority w:val="99"/>
    <w:qFormat/>
    <w:rPr>
      <w:color w:val="404040"/>
    </w:rPr>
    <w:tblPr>
      <w:tblCellMar>
        <w:left w:w="0" w:type="dxa"/>
        <w:top w:w="0" w:type="dxa"/>
        <w:right w:w="0" w:type="dxa"/>
        <w:bottom w:w="0" w:type="dxa"/>
      </w:tblCellMar>
    </w:tblPr>
  </w:style>
  <w:style w:type="table" w:styleId="876" w:customStyle="1">
    <w:name w:val="Bordered &amp; Lined - Accent 2"/>
    <w:uiPriority w:val="99"/>
    <w:qFormat/>
    <w:rPr>
      <w:color w:val="404040"/>
    </w:rPr>
    <w:tblPr>
      <w:tblCellMar>
        <w:left w:w="0" w:type="dxa"/>
        <w:top w:w="0" w:type="dxa"/>
        <w:right w:w="0" w:type="dxa"/>
        <w:bottom w:w="0" w:type="dxa"/>
      </w:tblCellMar>
    </w:tblPr>
  </w:style>
  <w:style w:type="table" w:styleId="877" w:customStyle="1">
    <w:name w:val="Bordered &amp; Lined - Accent 3"/>
    <w:uiPriority w:val="99"/>
    <w:qFormat/>
    <w:rPr>
      <w:color w:val="404040"/>
    </w:rPr>
    <w:tblPr>
      <w:tblCellMar>
        <w:left w:w="0" w:type="dxa"/>
        <w:top w:w="0" w:type="dxa"/>
        <w:right w:w="0" w:type="dxa"/>
        <w:bottom w:w="0" w:type="dxa"/>
      </w:tblCellMar>
    </w:tblPr>
  </w:style>
  <w:style w:type="table" w:styleId="878" w:customStyle="1">
    <w:name w:val="Bordered &amp; Lined - Accent 4"/>
    <w:uiPriority w:val="99"/>
    <w:qFormat/>
    <w:rPr>
      <w:color w:val="404040"/>
    </w:rPr>
    <w:tblPr>
      <w:tblCellMar>
        <w:left w:w="0" w:type="dxa"/>
        <w:top w:w="0" w:type="dxa"/>
        <w:right w:w="0" w:type="dxa"/>
        <w:bottom w:w="0" w:type="dxa"/>
      </w:tblCellMar>
    </w:tblPr>
  </w:style>
  <w:style w:type="table" w:styleId="879" w:customStyle="1">
    <w:name w:val="Bordered &amp; Lined - Accent 5"/>
    <w:uiPriority w:val="99"/>
    <w:qFormat/>
    <w:rPr>
      <w:color w:val="404040"/>
    </w:rPr>
    <w:tblPr>
      <w:tblCellMar>
        <w:left w:w="0" w:type="dxa"/>
        <w:top w:w="0" w:type="dxa"/>
        <w:right w:w="0" w:type="dxa"/>
        <w:bottom w:w="0" w:type="dxa"/>
      </w:tblCellMar>
    </w:tblPr>
  </w:style>
  <w:style w:type="table" w:styleId="880" w:customStyle="1">
    <w:name w:val="Bordered &amp; Lined - Accent 6"/>
    <w:uiPriority w:val="99"/>
    <w:qFormat/>
    <w:rPr>
      <w:color w:val="404040"/>
    </w:rPr>
    <w:tblPr>
      <w:tblCellMar>
        <w:left w:w="0" w:type="dxa"/>
        <w:top w:w="0" w:type="dxa"/>
        <w:right w:w="0" w:type="dxa"/>
        <w:bottom w:w="0" w:type="dxa"/>
      </w:tblCellMar>
    </w:tblPr>
  </w:style>
  <w:style w:type="table" w:styleId="881" w:customStyle="1">
    <w:name w:val="Bordered"/>
    <w:uiPriority w:val="99"/>
    <w:qFormat/>
    <w:tblPr>
      <w:tblCellMar>
        <w:left w:w="0" w:type="dxa"/>
        <w:top w:w="0" w:type="dxa"/>
        <w:right w:w="0" w:type="dxa"/>
        <w:bottom w:w="0" w:type="dxa"/>
      </w:tblCellMar>
    </w:tblPr>
  </w:style>
  <w:style w:type="table" w:styleId="882" w:customStyle="1">
    <w:name w:val="Bordered - Accent 1"/>
    <w:uiPriority w:val="99"/>
    <w:qFormat/>
    <w:tblPr>
      <w:tblCellMar>
        <w:left w:w="0" w:type="dxa"/>
        <w:top w:w="0" w:type="dxa"/>
        <w:right w:w="0" w:type="dxa"/>
        <w:bottom w:w="0" w:type="dxa"/>
      </w:tblCellMar>
    </w:tblPr>
  </w:style>
  <w:style w:type="table" w:styleId="883" w:customStyle="1">
    <w:name w:val="Bordered - Accent 2"/>
    <w:uiPriority w:val="99"/>
    <w:qFormat/>
    <w:tblPr>
      <w:tblCellMar>
        <w:left w:w="0" w:type="dxa"/>
        <w:top w:w="0" w:type="dxa"/>
        <w:right w:w="0" w:type="dxa"/>
        <w:bottom w:w="0" w:type="dxa"/>
      </w:tblCellMar>
    </w:tblPr>
  </w:style>
  <w:style w:type="table" w:styleId="884" w:customStyle="1">
    <w:name w:val="Bordered - Accent 3"/>
    <w:uiPriority w:val="99"/>
    <w:qFormat/>
    <w:tblPr>
      <w:tblCellMar>
        <w:left w:w="0" w:type="dxa"/>
        <w:top w:w="0" w:type="dxa"/>
        <w:right w:w="0" w:type="dxa"/>
        <w:bottom w:w="0" w:type="dxa"/>
      </w:tblCellMar>
    </w:tblPr>
  </w:style>
  <w:style w:type="table" w:styleId="885" w:customStyle="1">
    <w:name w:val="Bordered - Accent 4"/>
    <w:uiPriority w:val="99"/>
    <w:qFormat/>
    <w:tblPr>
      <w:tblCellMar>
        <w:left w:w="0" w:type="dxa"/>
        <w:top w:w="0" w:type="dxa"/>
        <w:right w:w="0" w:type="dxa"/>
        <w:bottom w:w="0" w:type="dxa"/>
      </w:tblCellMar>
    </w:tblPr>
  </w:style>
  <w:style w:type="table" w:styleId="886" w:customStyle="1">
    <w:name w:val="Bordered - Accent 5"/>
    <w:uiPriority w:val="99"/>
    <w:qFormat/>
    <w:tblPr>
      <w:tblCellMar>
        <w:left w:w="0" w:type="dxa"/>
        <w:top w:w="0" w:type="dxa"/>
        <w:right w:w="0" w:type="dxa"/>
        <w:bottom w:w="0" w:type="dxa"/>
      </w:tblCellMar>
    </w:tblPr>
  </w:style>
  <w:style w:type="table" w:styleId="887" w:customStyle="1">
    <w:name w:val="Bordered - Accent 6"/>
    <w:uiPriority w:val="99"/>
    <w:qFormat/>
    <w:tblPr>
      <w:tblCellMar>
        <w:left w:w="0" w:type="dxa"/>
        <w:top w:w="0" w:type="dxa"/>
        <w:right w:w="0" w:type="dxa"/>
        <w:bottom w:w="0" w:type="dxa"/>
      </w:tblCellMar>
    </w:tblPr>
  </w:style>
  <w:style w:type="paragraph" w:styleId="888" w:customStyle="1">
    <w:name w:val="TOC 标题1"/>
    <w:uiPriority w:val="39"/>
    <w:unhideWhenUsed/>
    <w:qFormat/>
    <w:rPr>
      <w:rFonts w:ascii="Times New Roman" w:hAnsi="Times New Roman" w:eastAsia="宋体" w:cs="Times New Roman"/>
      <w:lang w:val="en-US" w:eastAsia="zh-CN" w:bidi="ar-SA"/>
    </w:rPr>
  </w:style>
  <w:style w:type="paragraph" w:styleId="889" w:customStyle="1">
    <w:name w:val="标题 11"/>
    <w:basedOn w:val="664"/>
    <w:next w:val="664"/>
    <w:link w:val="890"/>
    <w:uiPriority w:val="0"/>
    <w:qFormat/>
    <w:pPr>
      <w:keepLines/>
      <w:keepNext/>
      <w:spacing w:before="340" w:after="330" w:line="578" w:lineRule="auto"/>
      <w:outlineLvl w:val="0"/>
    </w:pPr>
    <w:rPr>
      <w:b/>
      <w:sz w:val="44"/>
    </w:rPr>
  </w:style>
  <w:style w:type="character" w:styleId="890" w:customStyle="1">
    <w:name w:val="标题 1 Char"/>
    <w:link w:val="889"/>
    <w:uiPriority w:val="0"/>
    <w:qFormat/>
    <w:rPr>
      <w:rFonts w:eastAsia="楷体_GB2312"/>
      <w:b/>
      <w:sz w:val="44"/>
    </w:rPr>
  </w:style>
  <w:style w:type="paragraph" w:styleId="891" w:customStyle="1">
    <w:name w:val="标题 21"/>
    <w:basedOn w:val="664"/>
    <w:next w:val="664"/>
    <w:link w:val="892"/>
    <w:uiPriority w:val="0"/>
    <w:qFormat/>
    <w:pPr>
      <w:jc w:val="left"/>
      <w:keepLines/>
      <w:keepNext/>
      <w:outlineLvl w:val="1"/>
    </w:pPr>
    <w:rPr>
      <w:rFonts w:ascii="宋体" w:hAnsi="宋体"/>
      <w:b/>
    </w:rPr>
  </w:style>
  <w:style w:type="character" w:styleId="892" w:customStyle="1">
    <w:name w:val="标题 2 Char"/>
    <w:link w:val="891"/>
    <w:uiPriority w:val="0"/>
    <w:qFormat/>
    <w:rPr>
      <w:rFonts w:ascii="宋体" w:hAnsi="宋体" w:eastAsia="楷体_GB2312"/>
      <w:b/>
      <w:sz w:val="28"/>
    </w:rPr>
  </w:style>
  <w:style w:type="paragraph" w:styleId="893" w:customStyle="1">
    <w:name w:val="标题 31"/>
    <w:basedOn w:val="664"/>
    <w:next w:val="664"/>
    <w:link w:val="894"/>
    <w:uiPriority w:val="0"/>
    <w:qFormat/>
    <w:pPr>
      <w:jc w:val="left"/>
      <w:keepLines/>
      <w:keepNext/>
      <w:outlineLvl w:val="2"/>
    </w:pPr>
    <w:rPr>
      <w:b/>
    </w:rPr>
  </w:style>
  <w:style w:type="character" w:styleId="894" w:customStyle="1">
    <w:name w:val="标题 3 Char"/>
    <w:link w:val="893"/>
    <w:uiPriority w:val="0"/>
    <w:qFormat/>
    <w:rPr>
      <w:rFonts w:eastAsia="楷体_GB2312"/>
      <w:b/>
      <w:sz w:val="28"/>
    </w:rPr>
  </w:style>
  <w:style w:type="paragraph" w:styleId="895" w:customStyle="1">
    <w:name w:val="标题 41"/>
    <w:basedOn w:val="664"/>
    <w:next w:val="664"/>
    <w:link w:val="896"/>
    <w:uiPriority w:val="0"/>
    <w:qFormat/>
    <w:pPr>
      <w:jc w:val="left"/>
      <w:keepLines/>
      <w:keepNext/>
      <w:spacing w:line="360" w:lineRule="auto"/>
      <w:tabs>
        <w:tab w:val="left" w:pos="1080" w:leader="none"/>
      </w:tabs>
      <w:outlineLvl w:val="3"/>
    </w:pPr>
    <w:rPr>
      <w:rFonts w:eastAsia="华文中宋"/>
      <w:b/>
      <w:sz w:val="24"/>
      <w:szCs w:val="28"/>
    </w:rPr>
  </w:style>
  <w:style w:type="character" w:styleId="896" w:customStyle="1">
    <w:name w:val="标题 4 Char"/>
    <w:link w:val="895"/>
    <w:uiPriority w:val="0"/>
    <w:qFormat/>
    <w:rPr>
      <w:rFonts w:eastAsia="华文中宋"/>
      <w:b/>
      <w:sz w:val="24"/>
      <w:szCs w:val="28"/>
    </w:rPr>
  </w:style>
  <w:style w:type="paragraph" w:styleId="897" w:customStyle="1">
    <w:name w:val="标题 51"/>
    <w:basedOn w:val="664"/>
    <w:next w:val="664"/>
    <w:link w:val="898"/>
    <w:uiPriority w:val="0"/>
    <w:qFormat/>
    <w:pPr>
      <w:ind w:firstLine="566"/>
      <w:keepLines/>
      <w:keepNext/>
      <w:spacing w:before="280" w:after="290" w:line="376" w:lineRule="auto"/>
      <w:outlineLvl w:val="4"/>
    </w:pPr>
    <w:rPr>
      <w:rFonts w:eastAsia="宋体"/>
      <w:b/>
      <w:bCs/>
      <w:szCs w:val="28"/>
    </w:rPr>
  </w:style>
  <w:style w:type="character" w:styleId="898" w:customStyle="1">
    <w:name w:val="标题 5 Char"/>
    <w:link w:val="897"/>
    <w:uiPriority w:val="0"/>
    <w:qFormat/>
    <w:rPr>
      <w:b/>
      <w:bCs/>
      <w:sz w:val="28"/>
      <w:szCs w:val="28"/>
    </w:rPr>
  </w:style>
  <w:style w:type="paragraph" w:styleId="899" w:customStyle="1">
    <w:name w:val="标题 61"/>
    <w:basedOn w:val="664"/>
    <w:next w:val="900"/>
    <w:link w:val="901"/>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900" w:customStyle="1">
    <w:name w:val="正文缩进11"/>
    <w:basedOn w:val="664"/>
    <w:next w:val="664"/>
    <w:link w:val="902"/>
    <w:uiPriority w:val="0"/>
    <w:qFormat/>
    <w:pPr>
      <w:ind w:firstLine="420"/>
      <w:jc w:val="left"/>
    </w:pPr>
    <w:rPr>
      <w:sz w:val="24"/>
    </w:rPr>
  </w:style>
  <w:style w:type="character" w:styleId="901" w:customStyle="1">
    <w:name w:val="标题 6 Char"/>
    <w:link w:val="899"/>
    <w:uiPriority w:val="0"/>
    <w:qFormat/>
    <w:rPr>
      <w:rFonts w:ascii="Arial" w:hAnsi="Arial" w:eastAsia="黑体"/>
      <w:b/>
      <w:sz w:val="24"/>
    </w:rPr>
  </w:style>
  <w:style w:type="character" w:styleId="902" w:customStyle="1">
    <w:name w:val="正文缩进 Char"/>
    <w:link w:val="900"/>
    <w:uiPriority w:val="0"/>
    <w:qFormat/>
    <w:rPr>
      <w:rFonts w:eastAsia="楷体_GB2312"/>
      <w:sz w:val="24"/>
      <w:lang w:val="en-US" w:eastAsia="zh-CN" w:bidi="ar-SA"/>
    </w:rPr>
  </w:style>
  <w:style w:type="paragraph" w:styleId="903" w:customStyle="1">
    <w:name w:val="标题 71"/>
    <w:basedOn w:val="664"/>
    <w:next w:val="900"/>
    <w:link w:val="904"/>
    <w:uiPriority w:val="0"/>
    <w:qFormat/>
    <w:pPr>
      <w:ind w:left="1296" w:hanging="1296"/>
      <w:keepLines/>
      <w:keepNext/>
      <w:spacing w:line="320" w:lineRule="auto"/>
      <w:tabs>
        <w:tab w:val="left" w:pos="1296" w:leader="none"/>
      </w:tabs>
      <w:outlineLvl w:val="6"/>
    </w:pPr>
    <w:rPr>
      <w:rFonts w:eastAsia="宋体"/>
      <w:b/>
      <w:sz w:val="24"/>
    </w:rPr>
  </w:style>
  <w:style w:type="character" w:styleId="904" w:customStyle="1">
    <w:name w:val="标题 7 Char"/>
    <w:link w:val="903"/>
    <w:uiPriority w:val="0"/>
    <w:qFormat/>
    <w:rPr>
      <w:b/>
      <w:sz w:val="24"/>
    </w:rPr>
  </w:style>
  <w:style w:type="paragraph" w:styleId="905" w:customStyle="1">
    <w:name w:val="标题 81"/>
    <w:basedOn w:val="664"/>
    <w:next w:val="900"/>
    <w:link w:val="906"/>
    <w:uiPriority w:val="0"/>
    <w:qFormat/>
    <w:pPr>
      <w:ind w:left="1440" w:hanging="1440"/>
      <w:keepLines/>
      <w:keepNext/>
      <w:spacing w:line="320" w:lineRule="auto"/>
      <w:tabs>
        <w:tab w:val="left" w:pos="1440" w:leader="none"/>
      </w:tabs>
      <w:outlineLvl w:val="7"/>
    </w:pPr>
    <w:rPr>
      <w:rFonts w:ascii="Arial" w:hAnsi="Arial" w:eastAsia="黑体"/>
      <w:sz w:val="24"/>
    </w:rPr>
  </w:style>
  <w:style w:type="character" w:styleId="906" w:customStyle="1">
    <w:name w:val="标题 8 Char"/>
    <w:link w:val="905"/>
    <w:uiPriority w:val="0"/>
    <w:qFormat/>
    <w:rPr>
      <w:rFonts w:ascii="Arial" w:hAnsi="Arial" w:eastAsia="黑体"/>
      <w:sz w:val="24"/>
    </w:rPr>
  </w:style>
  <w:style w:type="paragraph" w:styleId="907" w:customStyle="1">
    <w:name w:val="标题 91"/>
    <w:basedOn w:val="664"/>
    <w:next w:val="900"/>
    <w:link w:val="908"/>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908" w:customStyle="1">
    <w:name w:val="标题 9 Char"/>
    <w:link w:val="907"/>
    <w:uiPriority w:val="0"/>
    <w:qFormat/>
    <w:rPr>
      <w:rFonts w:ascii="Arial" w:hAnsi="Arial" w:eastAsia="黑体"/>
      <w:sz w:val="21"/>
    </w:rPr>
  </w:style>
  <w:style w:type="character" w:styleId="909" w:customStyle="1">
    <w:name w:val="默认段落字体1"/>
    <w:uiPriority w:val="0"/>
    <w:semiHidden/>
    <w:qFormat/>
  </w:style>
  <w:style w:type="table" w:styleId="910" w:customStyle="1">
    <w:name w:val="普通表格1"/>
    <w:uiPriority w:val="0"/>
    <w:semiHidden/>
    <w:qFormat/>
    <w:rPr>
      <w:rFonts w:ascii="Calibri" w:hAnsi="Calibri"/>
    </w:rPr>
    <w:tblPr>
      <w:tblCellMar>
        <w:left w:w="0" w:type="dxa"/>
        <w:top w:w="0" w:type="dxa"/>
        <w:right w:w="0" w:type="dxa"/>
        <w:bottom w:w="0" w:type="dxa"/>
      </w:tblCellMar>
    </w:tblPr>
  </w:style>
  <w:style w:type="paragraph" w:styleId="911" w:customStyle="1">
    <w:name w:val="列表 31"/>
    <w:basedOn w:val="664"/>
    <w:uiPriority w:val="0"/>
    <w:qFormat/>
    <w:pPr>
      <w:contextualSpacing/>
      <w:ind w:left="100" w:hanging="200"/>
    </w:pPr>
  </w:style>
  <w:style w:type="paragraph" w:styleId="912" w:customStyle="1">
    <w:name w:val="目录 71"/>
    <w:basedOn w:val="664"/>
    <w:next w:val="664"/>
    <w:uiPriority w:val="0"/>
    <w:qFormat/>
    <w:pPr>
      <w:ind w:left="2520"/>
    </w:pPr>
  </w:style>
  <w:style w:type="paragraph" w:styleId="913" w:customStyle="1">
    <w:name w:val="索引 81"/>
    <w:basedOn w:val="664"/>
    <w:next w:val="664"/>
    <w:uiPriority w:val="0"/>
    <w:qFormat/>
    <w:pPr>
      <w:ind w:left="2940"/>
    </w:pPr>
  </w:style>
  <w:style w:type="paragraph" w:styleId="914" w:customStyle="1">
    <w:name w:val="题注1"/>
    <w:basedOn w:val="664"/>
    <w:next w:val="664"/>
    <w:link w:val="915"/>
    <w:uiPriority w:val="0"/>
    <w:qFormat/>
    <w:pPr>
      <w:ind w:firstLine="425"/>
      <w:jc w:val="center"/>
      <w:spacing w:line="360" w:lineRule="auto"/>
    </w:pPr>
    <w:rPr>
      <w:rFonts w:eastAsia="宋体"/>
      <w:sz w:val="21"/>
    </w:rPr>
  </w:style>
  <w:style w:type="character" w:styleId="915" w:customStyle="1">
    <w:name w:val="题注 Char"/>
    <w:link w:val="914"/>
    <w:uiPriority w:val="0"/>
    <w:qFormat/>
    <w:rPr>
      <w:sz w:val="21"/>
    </w:rPr>
  </w:style>
  <w:style w:type="paragraph" w:styleId="916" w:customStyle="1">
    <w:name w:val="索引 51"/>
    <w:basedOn w:val="664"/>
    <w:next w:val="664"/>
    <w:uiPriority w:val="0"/>
    <w:qFormat/>
    <w:pPr>
      <w:ind w:left="1680"/>
    </w:pPr>
  </w:style>
  <w:style w:type="paragraph" w:styleId="917" w:customStyle="1">
    <w:name w:val="文档结构图1"/>
    <w:basedOn w:val="664"/>
    <w:link w:val="918"/>
    <w:uiPriority w:val="0"/>
    <w:qFormat/>
    <w:pPr>
      <w:shd w:val="clear" w:color="auto" w:fill="000080"/>
    </w:pPr>
  </w:style>
  <w:style w:type="character" w:styleId="918" w:customStyle="1">
    <w:name w:val="文档结构图 Char"/>
    <w:link w:val="917"/>
    <w:uiPriority w:val="0"/>
    <w:qFormat/>
    <w:rPr>
      <w:rFonts w:eastAsia="楷体_GB2312"/>
      <w:sz w:val="28"/>
      <w:shd w:val="clear" w:color="auto" w:fill="000080"/>
    </w:rPr>
  </w:style>
  <w:style w:type="paragraph" w:styleId="919" w:customStyle="1">
    <w:name w:val="批注文字1"/>
    <w:basedOn w:val="664"/>
    <w:link w:val="920"/>
    <w:uiPriority w:val="0"/>
    <w:qFormat/>
    <w:pPr>
      <w:jc w:val="left"/>
      <w:widowControl/>
    </w:pPr>
    <w:rPr>
      <w:rFonts w:eastAsia="宋体"/>
      <w:sz w:val="20"/>
      <w:lang w:val="en-GB"/>
    </w:rPr>
  </w:style>
  <w:style w:type="character" w:styleId="920" w:customStyle="1">
    <w:name w:val="批注文字 Char"/>
    <w:link w:val="919"/>
    <w:uiPriority w:val="0"/>
    <w:qFormat/>
    <w:rPr>
      <w:lang w:val="en-GB"/>
    </w:rPr>
  </w:style>
  <w:style w:type="paragraph" w:styleId="921" w:customStyle="1">
    <w:name w:val="索引 61"/>
    <w:basedOn w:val="664"/>
    <w:next w:val="664"/>
    <w:uiPriority w:val="0"/>
    <w:qFormat/>
    <w:pPr>
      <w:ind w:left="2100"/>
    </w:pPr>
  </w:style>
  <w:style w:type="paragraph" w:styleId="922" w:customStyle="1">
    <w:name w:val="正文文本1"/>
    <w:basedOn w:val="664"/>
    <w:next w:val="664"/>
    <w:link w:val="923"/>
    <w:uiPriority w:val="0"/>
    <w:qFormat/>
    <w:pPr>
      <w:spacing w:line="360" w:lineRule="auto"/>
    </w:pPr>
    <w:rPr>
      <w:rFonts w:ascii="宋体" w:hAnsi="宋体" w:eastAsia="宋体"/>
      <w:sz w:val="21"/>
      <w:szCs w:val="21"/>
    </w:rPr>
  </w:style>
  <w:style w:type="character" w:styleId="923" w:customStyle="1">
    <w:name w:val="正文文本 字符"/>
    <w:link w:val="922"/>
    <w:uiPriority w:val="0"/>
    <w:qFormat/>
    <w:rPr>
      <w:rFonts w:ascii="宋体" w:hAnsi="宋体"/>
      <w:sz w:val="21"/>
      <w:szCs w:val="21"/>
    </w:rPr>
  </w:style>
  <w:style w:type="paragraph" w:styleId="924" w:customStyle="1">
    <w:name w:val="正文文本缩进11"/>
    <w:basedOn w:val="664"/>
    <w:next w:val="664"/>
    <w:link w:val="925"/>
    <w:uiPriority w:val="0"/>
    <w:qFormat/>
    <w:pPr>
      <w:ind w:firstLine="570"/>
    </w:pPr>
    <w:rPr>
      <w:rFonts w:ascii="宋体" w:eastAsia="宋体"/>
    </w:rPr>
  </w:style>
  <w:style w:type="character" w:styleId="925" w:customStyle="1">
    <w:name w:val="正文文本缩进 字符1"/>
    <w:link w:val="924"/>
    <w:uiPriority w:val="99"/>
    <w:qFormat/>
    <w:rPr>
      <w:rFonts w:ascii="宋体"/>
      <w:sz w:val="28"/>
    </w:rPr>
  </w:style>
  <w:style w:type="paragraph" w:styleId="926" w:customStyle="1">
    <w:name w:val="文本块1"/>
    <w:basedOn w:val="664"/>
    <w:uiPriority w:val="0"/>
    <w:qFormat/>
    <w:pPr>
      <w:ind w:left="630" w:right="-609" w:firstLine="420"/>
      <w:spacing w:line="360" w:lineRule="auto"/>
    </w:pPr>
    <w:rPr>
      <w:rFonts w:hint="eastAsia" w:ascii="仿宋_GB2312" w:hAnsi="Calibri" w:eastAsia="仿宋_GB2312"/>
      <w:sz w:val="21"/>
    </w:rPr>
  </w:style>
  <w:style w:type="paragraph" w:styleId="927" w:customStyle="1">
    <w:name w:val="索引 41"/>
    <w:basedOn w:val="664"/>
    <w:next w:val="664"/>
    <w:uiPriority w:val="0"/>
    <w:qFormat/>
    <w:pPr>
      <w:ind w:left="1260"/>
    </w:pPr>
  </w:style>
  <w:style w:type="paragraph" w:styleId="928" w:customStyle="1">
    <w:name w:val="目录 511"/>
    <w:basedOn w:val="664"/>
    <w:next w:val="664"/>
    <w:uiPriority w:val="0"/>
    <w:qFormat/>
    <w:pPr>
      <w:ind w:left="1680"/>
    </w:pPr>
  </w:style>
  <w:style w:type="paragraph" w:styleId="929" w:customStyle="1">
    <w:name w:val="目录 31"/>
    <w:basedOn w:val="664"/>
    <w:next w:val="664"/>
    <w:uiPriority w:val="39"/>
    <w:qFormat/>
    <w:pPr>
      <w:ind w:left="840"/>
    </w:pPr>
  </w:style>
  <w:style w:type="paragraph" w:styleId="930" w:customStyle="1">
    <w:name w:val="纯文本1111"/>
    <w:basedOn w:val="664"/>
    <w:uiPriority w:val="0"/>
    <w:qFormat/>
    <w:rPr>
      <w:rFonts w:ascii="宋体" w:hAnsi="Courier New"/>
    </w:rPr>
  </w:style>
  <w:style w:type="paragraph" w:styleId="931" w:customStyle="1">
    <w:name w:val="目录 81"/>
    <w:basedOn w:val="664"/>
    <w:next w:val="664"/>
    <w:uiPriority w:val="0"/>
    <w:qFormat/>
    <w:pPr>
      <w:ind w:left="2940"/>
    </w:pPr>
  </w:style>
  <w:style w:type="paragraph" w:styleId="932" w:customStyle="1">
    <w:name w:val="索引 31"/>
    <w:basedOn w:val="664"/>
    <w:next w:val="664"/>
    <w:uiPriority w:val="0"/>
    <w:qFormat/>
    <w:pPr>
      <w:ind w:left="840"/>
    </w:pPr>
  </w:style>
  <w:style w:type="paragraph" w:styleId="933" w:customStyle="1">
    <w:name w:val="日期1"/>
    <w:basedOn w:val="664"/>
    <w:next w:val="664"/>
    <w:link w:val="934"/>
    <w:uiPriority w:val="0"/>
    <w:qFormat/>
    <w:rPr>
      <w:rFonts w:ascii="宋体" w:hAnsi="宋体"/>
      <w:sz w:val="24"/>
    </w:rPr>
  </w:style>
  <w:style w:type="character" w:styleId="934" w:customStyle="1">
    <w:name w:val="日期 Char"/>
    <w:link w:val="933"/>
    <w:uiPriority w:val="0"/>
    <w:qFormat/>
    <w:rPr>
      <w:rFonts w:ascii="宋体" w:hAnsi="宋体" w:eastAsia="楷体_GB2312"/>
      <w:sz w:val="24"/>
    </w:rPr>
  </w:style>
  <w:style w:type="paragraph" w:styleId="935" w:customStyle="1">
    <w:name w:val="正文文本缩进 21"/>
    <w:basedOn w:val="664"/>
    <w:link w:val="936"/>
    <w:uiPriority w:val="0"/>
    <w:qFormat/>
    <w:pPr>
      <w:ind w:left="420"/>
      <w:spacing w:after="120" w:line="480" w:lineRule="auto"/>
    </w:pPr>
  </w:style>
  <w:style w:type="character" w:styleId="936" w:customStyle="1">
    <w:name w:val="正文文本缩进 2 Char"/>
    <w:link w:val="935"/>
    <w:uiPriority w:val="0"/>
    <w:qFormat/>
    <w:rPr>
      <w:rFonts w:eastAsia="楷体_GB2312"/>
      <w:sz w:val="28"/>
    </w:rPr>
  </w:style>
  <w:style w:type="paragraph" w:styleId="937" w:customStyle="1">
    <w:name w:val="批注框文本1"/>
    <w:basedOn w:val="664"/>
    <w:link w:val="938"/>
    <w:uiPriority w:val="0"/>
    <w:qFormat/>
    <w:rPr>
      <w:sz w:val="16"/>
      <w:szCs w:val="16"/>
    </w:rPr>
  </w:style>
  <w:style w:type="character" w:styleId="938" w:customStyle="1">
    <w:name w:val="批注框文本 Char"/>
    <w:link w:val="937"/>
    <w:uiPriority w:val="0"/>
    <w:qFormat/>
    <w:rPr>
      <w:rFonts w:eastAsia="楷体_GB2312"/>
      <w:sz w:val="16"/>
      <w:szCs w:val="16"/>
    </w:rPr>
  </w:style>
  <w:style w:type="paragraph" w:styleId="939" w:customStyle="1">
    <w:name w:val="页脚1"/>
    <w:basedOn w:val="664"/>
    <w:link w:val="940"/>
    <w:uiPriority w:val="0"/>
    <w:qFormat/>
    <w:pPr>
      <w:jc w:val="left"/>
      <w:tabs>
        <w:tab w:val="center" w:pos="4153" w:leader="none"/>
        <w:tab w:val="right" w:pos="8306" w:leader="none"/>
      </w:tabs>
    </w:pPr>
    <w:rPr>
      <w:sz w:val="18"/>
    </w:rPr>
  </w:style>
  <w:style w:type="character" w:styleId="940" w:customStyle="1">
    <w:name w:val="页脚 Char"/>
    <w:link w:val="939"/>
    <w:uiPriority w:val="0"/>
    <w:qFormat/>
    <w:rPr>
      <w:rFonts w:eastAsia="楷体_GB2312"/>
      <w:sz w:val="18"/>
    </w:rPr>
  </w:style>
  <w:style w:type="paragraph" w:styleId="941" w:customStyle="1">
    <w:name w:val="寄信人地址1"/>
    <w:basedOn w:val="664"/>
    <w:uiPriority w:val="0"/>
    <w:qFormat/>
    <w:rPr>
      <w:rFonts w:ascii="Arial" w:hAnsi="Arial" w:eastAsia="宋体"/>
      <w:sz w:val="21"/>
      <w:szCs w:val="24"/>
    </w:rPr>
  </w:style>
  <w:style w:type="paragraph" w:styleId="942" w:customStyle="1">
    <w:name w:val="页眉1"/>
    <w:basedOn w:val="664"/>
    <w:link w:val="943"/>
    <w:uiPriority w:val="0"/>
    <w:qFormat/>
    <w:pPr>
      <w:jc w:val="center"/>
      <w:tabs>
        <w:tab w:val="center" w:pos="4153" w:leader="none"/>
        <w:tab w:val="right" w:pos="8306" w:leader="none"/>
      </w:tabs>
      <w:pBdr>
        <w:bottom w:val="single" w:color="000000" w:sz="6" w:space="1"/>
      </w:pBdr>
    </w:pPr>
    <w:rPr>
      <w:sz w:val="18"/>
    </w:rPr>
  </w:style>
  <w:style w:type="character" w:styleId="943" w:customStyle="1">
    <w:name w:val="页眉 Char"/>
    <w:link w:val="942"/>
    <w:uiPriority w:val="0"/>
    <w:qFormat/>
    <w:rPr>
      <w:rFonts w:eastAsia="楷体_GB2312"/>
      <w:sz w:val="18"/>
    </w:rPr>
  </w:style>
  <w:style w:type="paragraph" w:styleId="944" w:customStyle="1">
    <w:name w:val="目录 11"/>
    <w:basedOn w:val="664"/>
    <w:next w:val="664"/>
    <w:uiPriority w:val="39"/>
    <w:qFormat/>
    <w:pPr>
      <w:ind w:left="2268" w:hanging="2268"/>
      <w:jc w:val="left"/>
    </w:pPr>
    <w:rPr>
      <w:sz w:val="24"/>
    </w:rPr>
  </w:style>
  <w:style w:type="paragraph" w:styleId="945" w:customStyle="1">
    <w:name w:val="目录 41"/>
    <w:basedOn w:val="664"/>
    <w:next w:val="664"/>
    <w:uiPriority w:val="39"/>
    <w:qFormat/>
    <w:pPr>
      <w:ind w:left="1260"/>
    </w:pPr>
  </w:style>
  <w:style w:type="paragraph" w:styleId="946" w:customStyle="1">
    <w:name w:val="索引标题1"/>
    <w:basedOn w:val="664"/>
    <w:next w:val="947"/>
    <w:uiPriority w:val="0"/>
    <w:qFormat/>
  </w:style>
  <w:style w:type="paragraph" w:styleId="947" w:customStyle="1">
    <w:name w:val="索引 11"/>
    <w:basedOn w:val="664"/>
    <w:next w:val="664"/>
    <w:uiPriority w:val="0"/>
    <w:qFormat/>
  </w:style>
  <w:style w:type="paragraph" w:styleId="948" w:customStyle="1">
    <w:name w:val="副标题1"/>
    <w:basedOn w:val="664"/>
    <w:next w:val="664"/>
    <w:link w:val="949"/>
    <w:uiPriority w:val="0"/>
    <w:qFormat/>
    <w:pPr>
      <w:jc w:val="center"/>
      <w:spacing w:before="240" w:after="60" w:line="312" w:lineRule="auto"/>
      <w:outlineLvl w:val="1"/>
    </w:pPr>
    <w:rPr>
      <w:rFonts w:ascii="Cambria" w:hAnsi="Cambria" w:eastAsia="宋体"/>
      <w:b/>
      <w:bCs/>
      <w:sz w:val="32"/>
      <w:szCs w:val="32"/>
    </w:rPr>
  </w:style>
  <w:style w:type="character" w:styleId="949" w:customStyle="1">
    <w:name w:val="副标题 Char"/>
    <w:link w:val="948"/>
    <w:uiPriority w:val="0"/>
    <w:qFormat/>
    <w:rPr>
      <w:rFonts w:ascii="Cambria" w:hAnsi="Cambria"/>
      <w:b/>
      <w:bCs/>
      <w:sz w:val="32"/>
      <w:szCs w:val="32"/>
    </w:rPr>
  </w:style>
  <w:style w:type="paragraph" w:styleId="950" w:customStyle="1">
    <w:name w:val="脚注文本1"/>
    <w:basedOn w:val="664"/>
    <w:link w:val="951"/>
    <w:uiPriority w:val="0"/>
    <w:qFormat/>
    <w:pPr>
      <w:jc w:val="left"/>
    </w:pPr>
    <w:rPr>
      <w:sz w:val="18"/>
    </w:rPr>
  </w:style>
  <w:style w:type="character" w:styleId="951" w:customStyle="1">
    <w:name w:val="脚注文本 字符"/>
    <w:link w:val="950"/>
    <w:uiPriority w:val="0"/>
    <w:qFormat/>
    <w:rPr>
      <w:rFonts w:eastAsia="楷体_GB2312"/>
      <w:sz w:val="18"/>
    </w:rPr>
  </w:style>
  <w:style w:type="paragraph" w:styleId="952" w:customStyle="1">
    <w:name w:val="目录 61"/>
    <w:basedOn w:val="664"/>
    <w:next w:val="664"/>
    <w:uiPriority w:val="0"/>
    <w:qFormat/>
    <w:pPr>
      <w:ind w:left="2100"/>
    </w:pPr>
  </w:style>
  <w:style w:type="paragraph" w:styleId="953" w:customStyle="1">
    <w:name w:val="正文文本缩进 31"/>
    <w:basedOn w:val="664"/>
    <w:link w:val="954"/>
    <w:uiPriority w:val="99"/>
    <w:qFormat/>
    <w:pPr>
      <w:ind w:left="420"/>
      <w:jc w:val="left"/>
      <w:spacing w:after="120"/>
      <w:widowControl/>
    </w:pPr>
    <w:rPr>
      <w:rFonts w:eastAsia="宋体"/>
      <w:sz w:val="16"/>
      <w:szCs w:val="16"/>
    </w:rPr>
  </w:style>
  <w:style w:type="character" w:styleId="954" w:customStyle="1">
    <w:name w:val="正文文本缩进 3 Char"/>
    <w:link w:val="953"/>
    <w:uiPriority w:val="0"/>
    <w:qFormat/>
    <w:rPr>
      <w:sz w:val="16"/>
      <w:szCs w:val="16"/>
    </w:rPr>
  </w:style>
  <w:style w:type="paragraph" w:styleId="955" w:customStyle="1">
    <w:name w:val="索引 71"/>
    <w:basedOn w:val="664"/>
    <w:next w:val="664"/>
    <w:uiPriority w:val="0"/>
    <w:qFormat/>
    <w:pPr>
      <w:ind w:left="2520"/>
    </w:pPr>
  </w:style>
  <w:style w:type="paragraph" w:styleId="956" w:customStyle="1">
    <w:name w:val="索引 91"/>
    <w:basedOn w:val="664"/>
    <w:next w:val="664"/>
    <w:uiPriority w:val="0"/>
    <w:qFormat/>
    <w:pPr>
      <w:ind w:left="3360"/>
    </w:pPr>
  </w:style>
  <w:style w:type="paragraph" w:styleId="957" w:customStyle="1">
    <w:name w:val="图表目录1"/>
    <w:basedOn w:val="664"/>
    <w:next w:val="664"/>
    <w:uiPriority w:val="0"/>
    <w:qFormat/>
    <w:pPr>
      <w:ind w:left="420" w:hanging="420"/>
      <w:jc w:val="left"/>
    </w:pPr>
    <w:rPr>
      <w:smallCaps/>
      <w:sz w:val="24"/>
    </w:rPr>
  </w:style>
  <w:style w:type="paragraph" w:styleId="958" w:customStyle="1">
    <w:name w:val="目录 21"/>
    <w:basedOn w:val="664"/>
    <w:next w:val="664"/>
    <w:uiPriority w:val="39"/>
    <w:qFormat/>
    <w:pPr>
      <w:ind w:left="420"/>
    </w:pPr>
  </w:style>
  <w:style w:type="paragraph" w:styleId="959" w:customStyle="1">
    <w:name w:val="目录 91"/>
    <w:basedOn w:val="664"/>
    <w:next w:val="664"/>
    <w:uiPriority w:val="0"/>
    <w:qFormat/>
    <w:pPr>
      <w:ind w:left="3360"/>
    </w:pPr>
  </w:style>
  <w:style w:type="paragraph" w:styleId="960" w:customStyle="1">
    <w:name w:val="正文文本 21"/>
    <w:basedOn w:val="664"/>
    <w:link w:val="961"/>
    <w:uiPriority w:val="0"/>
    <w:qFormat/>
    <w:pPr>
      <w:spacing w:after="120" w:line="480" w:lineRule="auto"/>
    </w:pPr>
  </w:style>
  <w:style w:type="character" w:styleId="961" w:customStyle="1">
    <w:name w:val="正文文本 2 字符"/>
    <w:link w:val="960"/>
    <w:uiPriority w:val="0"/>
    <w:qFormat/>
    <w:rPr>
      <w:rFonts w:eastAsia="楷体_GB2312"/>
      <w:sz w:val="28"/>
    </w:rPr>
  </w:style>
  <w:style w:type="paragraph" w:styleId="962" w:customStyle="1">
    <w:name w:val="普通(网站)11"/>
    <w:basedOn w:val="664"/>
    <w:uiPriority w:val="0"/>
    <w:qFormat/>
    <w:pPr>
      <w:jc w:val="left"/>
      <w:spacing w:before="100" w:after="100"/>
      <w:widowControl/>
    </w:pPr>
    <w:rPr>
      <w:rFonts w:ascii="宋体" w:hAnsi="宋体" w:eastAsia="宋体"/>
      <w:color w:val="000000"/>
      <w:sz w:val="24"/>
    </w:rPr>
  </w:style>
  <w:style w:type="paragraph" w:styleId="963" w:customStyle="1">
    <w:name w:val="索引 21"/>
    <w:basedOn w:val="664"/>
    <w:next w:val="664"/>
    <w:uiPriority w:val="0"/>
    <w:qFormat/>
    <w:pPr>
      <w:ind w:left="420"/>
    </w:pPr>
  </w:style>
  <w:style w:type="paragraph" w:styleId="964" w:customStyle="1">
    <w:name w:val="标题1"/>
    <w:basedOn w:val="664"/>
    <w:next w:val="664"/>
    <w:link w:val="965"/>
    <w:uiPriority w:val="0"/>
    <w:qFormat/>
    <w:pPr>
      <w:jc w:val="center"/>
      <w:spacing w:line="600" w:lineRule="exact"/>
      <w:outlineLvl w:val="0"/>
    </w:pPr>
    <w:rPr>
      <w:rFonts w:ascii="Cambria" w:hAnsi="Cambria" w:eastAsia="等线"/>
      <w:b/>
      <w:bCs/>
      <w:sz w:val="44"/>
      <w:szCs w:val="32"/>
    </w:rPr>
  </w:style>
  <w:style w:type="character" w:styleId="965" w:customStyle="1">
    <w:name w:val="标题 字符"/>
    <w:link w:val="964"/>
    <w:uiPriority w:val="0"/>
    <w:qFormat/>
    <w:rPr>
      <w:rFonts w:ascii="Cambria" w:hAnsi="Cambria" w:eastAsia="等线"/>
      <w:b/>
      <w:bCs/>
      <w:sz w:val="44"/>
      <w:szCs w:val="32"/>
    </w:rPr>
  </w:style>
  <w:style w:type="paragraph" w:styleId="966" w:customStyle="1">
    <w:name w:val="批注主题1"/>
    <w:basedOn w:val="919"/>
    <w:next w:val="919"/>
    <w:link w:val="967"/>
    <w:uiPriority w:val="0"/>
    <w:qFormat/>
    <w:pPr>
      <w:widowControl w:val="off"/>
    </w:pPr>
    <w:rPr>
      <w:rFonts w:eastAsia="楷体_GB2312"/>
      <w:b/>
      <w:bCs/>
      <w:sz w:val="28"/>
    </w:rPr>
  </w:style>
  <w:style w:type="character" w:styleId="967" w:customStyle="1">
    <w:name w:val="批注主题 Char"/>
    <w:link w:val="966"/>
    <w:uiPriority w:val="0"/>
    <w:qFormat/>
    <w:rPr>
      <w:rFonts w:eastAsia="楷体_GB2312"/>
      <w:b/>
      <w:bCs/>
      <w:sz w:val="28"/>
      <w:lang w:val="en-GB"/>
    </w:rPr>
  </w:style>
  <w:style w:type="paragraph" w:styleId="968" w:customStyle="1">
    <w:name w:val="正文首行缩进1"/>
    <w:basedOn w:val="922"/>
    <w:uiPriority w:val="99"/>
    <w:qFormat/>
    <w:pPr>
      <w:ind w:firstLine="420"/>
    </w:pPr>
  </w:style>
  <w:style w:type="paragraph" w:styleId="969" w:customStyle="1">
    <w:name w:val="正文首行缩进 211"/>
    <w:basedOn w:val="924"/>
    <w:next w:val="664"/>
    <w:link w:val="970"/>
    <w:uiPriority w:val="0"/>
    <w:qFormat/>
    <w:pPr>
      <w:ind w:left="420" w:firstLine="420"/>
      <w:spacing w:after="120"/>
    </w:pPr>
    <w:rPr>
      <w:rFonts w:ascii="Times New Roman" w:eastAsia="楷体_GB2312"/>
    </w:rPr>
  </w:style>
  <w:style w:type="character" w:styleId="970" w:customStyle="1">
    <w:name w:val="正文文本首行缩进 2 字符1"/>
    <w:link w:val="969"/>
    <w:uiPriority w:val="0"/>
    <w:qFormat/>
    <w:rPr>
      <w:rFonts w:eastAsia="楷体_GB2312"/>
      <w:sz w:val="28"/>
    </w:rPr>
  </w:style>
  <w:style w:type="table" w:styleId="971" w:customStyle="1">
    <w:name w:val="网格型1"/>
    <w:basedOn w:val="910"/>
    <w:uiPriority w:val="59"/>
    <w:qFormat/>
    <w:pPr>
      <w:jc w:val="both"/>
      <w:widowControl w:val="off"/>
    </w:pPr>
    <w:tblPr/>
  </w:style>
  <w:style w:type="table" w:styleId="972" w:customStyle="1">
    <w:name w:val="典雅型1"/>
    <w:basedOn w:val="910"/>
    <w:uiPriority w:val="0"/>
    <w:qFormat/>
    <w:pPr>
      <w:jc w:val="both"/>
      <w:widowControl w:val="off"/>
    </w:pPr>
    <w:tblPr/>
  </w:style>
  <w:style w:type="character" w:styleId="973" w:customStyle="1">
    <w:name w:val="要点1"/>
    <w:uiPriority w:val="0"/>
    <w:qFormat/>
    <w:rPr>
      <w:b/>
      <w:bCs/>
    </w:rPr>
  </w:style>
  <w:style w:type="character" w:styleId="974" w:customStyle="1">
    <w:name w:val="页码1"/>
    <w:basedOn w:val="909"/>
    <w:uiPriority w:val="0"/>
    <w:qFormat/>
  </w:style>
  <w:style w:type="character" w:styleId="975" w:customStyle="1">
    <w:name w:val="已访问的超链接1"/>
    <w:uiPriority w:val="99"/>
    <w:unhideWhenUsed/>
    <w:qFormat/>
    <w:rPr>
      <w:color w:val="954f72"/>
      <w:u w:val="single"/>
    </w:rPr>
  </w:style>
  <w:style w:type="character" w:styleId="976" w:customStyle="1">
    <w:name w:val="强调1"/>
    <w:uiPriority w:val="20"/>
    <w:qFormat/>
    <w:rPr>
      <w:color w:val="cc0000"/>
    </w:rPr>
  </w:style>
  <w:style w:type="character" w:styleId="977" w:customStyle="1">
    <w:name w:val="HTML 打字机11"/>
    <w:uiPriority w:val="0"/>
    <w:qFormat/>
    <w:rPr>
      <w:rFonts w:ascii="黑体" w:hAnsi="Courier New" w:eastAsia="黑体"/>
      <w:sz w:val="14"/>
    </w:rPr>
  </w:style>
  <w:style w:type="character" w:styleId="978" w:customStyle="1">
    <w:name w:val="超链接1"/>
    <w:uiPriority w:val="99"/>
    <w:qFormat/>
    <w:rPr>
      <w:color w:val="333333"/>
      <w:u w:val="none"/>
    </w:rPr>
  </w:style>
  <w:style w:type="character" w:styleId="979" w:customStyle="1">
    <w:name w:val="批注引用1"/>
    <w:uiPriority w:val="0"/>
    <w:qFormat/>
    <w:rPr>
      <w:sz w:val="21"/>
      <w:szCs w:val="21"/>
    </w:rPr>
  </w:style>
  <w:style w:type="character" w:styleId="980" w:customStyle="1">
    <w:name w:val="脚注引用1"/>
    <w:uiPriority w:val="0"/>
    <w:qFormat/>
    <w:rPr>
      <w:vertAlign w:val="superscript"/>
    </w:rPr>
  </w:style>
  <w:style w:type="paragraph" w:styleId="981" w:customStyle="1">
    <w:name w:val="段"/>
    <w:next w:val="664"/>
    <w:uiPriority w:val="0"/>
    <w:qFormat/>
    <w:pPr>
      <w:ind w:firstLine="200"/>
      <w:jc w:val="both"/>
    </w:pPr>
    <w:rPr>
      <w:rFonts w:ascii="宋体" w:hAnsi="Calibri" w:eastAsia="Times New Roman" w:cs="Times New Roman"/>
      <w:sz w:val="21"/>
      <w:lang w:val="en-US" w:eastAsia="zh-CN" w:bidi="ar-SA"/>
    </w:rPr>
  </w:style>
  <w:style w:type="character" w:styleId="982" w:customStyle="1">
    <w:name w:val="页脚 字符"/>
    <w:uiPriority w:val="0"/>
    <w:qFormat/>
    <w:rPr>
      <w:sz w:val="18"/>
      <w:szCs w:val="18"/>
    </w:rPr>
  </w:style>
  <w:style w:type="character" w:styleId="983" w:customStyle="1">
    <w:name w:val="title_emph1"/>
    <w:uiPriority w:val="0"/>
    <w:qFormat/>
    <w:rPr>
      <w:rFonts w:ascii="Arial" w:hAnsi="Arial" w:cs="Arial"/>
      <w:b/>
      <w:bCs/>
      <w:sz w:val="20"/>
      <w:szCs w:val="20"/>
    </w:rPr>
  </w:style>
  <w:style w:type="character" w:styleId="984" w:customStyle="1">
    <w:name w:val="HTML 打字机1"/>
    <w:uiPriority w:val="0"/>
    <w:qFormat/>
    <w:rPr>
      <w:rFonts w:hint="eastAsia" w:ascii="黑体" w:hAnsi="Courier New" w:eastAsia="黑体"/>
      <w:sz w:val="14"/>
    </w:rPr>
  </w:style>
  <w:style w:type="character" w:styleId="985" w:customStyle="1">
    <w:name w:val="font122"/>
    <w:uiPriority w:val="0"/>
    <w:qFormat/>
    <w:rPr>
      <w:rFonts w:ascii="Arial" w:hAnsi="Arial" w:cs="Arial"/>
      <w:color w:val="000000"/>
      <w:sz w:val="21"/>
      <w:szCs w:val="21"/>
      <w:u w:val="none"/>
    </w:rPr>
  </w:style>
  <w:style w:type="character" w:styleId="986" w:customStyle="1">
    <w:name w:val="Plain Text Char"/>
    <w:link w:val="987"/>
    <w:uiPriority w:val="0"/>
    <w:qFormat/>
    <w:rPr>
      <w:rFonts w:ascii="宋体" w:hAnsi="Courier New" w:eastAsia="楷体_GB2312"/>
      <w:sz w:val="26"/>
    </w:rPr>
  </w:style>
  <w:style w:type="paragraph" w:styleId="987" w:customStyle="1">
    <w:name w:val="纯文本1"/>
    <w:basedOn w:val="664"/>
    <w:link w:val="986"/>
    <w:uiPriority w:val="0"/>
    <w:qFormat/>
    <w:rPr>
      <w:rFonts w:ascii="宋体" w:hAnsi="Courier New"/>
      <w:sz w:val="26"/>
    </w:rPr>
  </w:style>
  <w:style w:type="character" w:styleId="988" w:customStyle="1">
    <w:name w:val="样式5 Char"/>
    <w:link w:val="989"/>
    <w:uiPriority w:val="0"/>
    <w:qFormat/>
    <w:rPr>
      <w:sz w:val="24"/>
      <w:szCs w:val="22"/>
    </w:rPr>
  </w:style>
  <w:style w:type="paragraph" w:styleId="989" w:customStyle="1">
    <w:name w:val="样式5"/>
    <w:basedOn w:val="664"/>
    <w:link w:val="988"/>
    <w:uiPriority w:val="0"/>
    <w:qFormat/>
    <w:pPr>
      <w:jc w:val="left"/>
      <w:pBdr>
        <w:bottom w:val="single" w:color="C0504D" w:sz="6" w:space="1"/>
      </w:pBdr>
    </w:pPr>
    <w:rPr>
      <w:rFonts w:eastAsia="宋体"/>
      <w:sz w:val="24"/>
      <w:szCs w:val="22"/>
    </w:rPr>
  </w:style>
  <w:style w:type="character" w:styleId="990" w:customStyle="1">
    <w:name w:val="正文文本缩进 字符"/>
    <w:uiPriority w:val="0"/>
    <w:qFormat/>
    <w:rPr>
      <w:sz w:val="28"/>
      <w:szCs w:val="24"/>
    </w:rPr>
  </w:style>
  <w:style w:type="character" w:styleId="991" w:customStyle="1">
    <w:name w:val="正文文本缩进 2 字符"/>
    <w:uiPriority w:val="0"/>
    <w:qFormat/>
    <w:rPr>
      <w:rFonts w:ascii="宋体" w:hAnsi="宋体"/>
      <w:sz w:val="21"/>
      <w:szCs w:val="24"/>
    </w:rPr>
  </w:style>
  <w:style w:type="character" w:styleId="992" w:customStyle="1">
    <w:name w:val="批注主题 字符"/>
    <w:uiPriority w:val="0"/>
    <w:qFormat/>
    <w:rPr>
      <w:b/>
      <w:bCs/>
      <w:sz w:val="21"/>
      <w:szCs w:val="24"/>
    </w:rPr>
  </w:style>
  <w:style w:type="character" w:styleId="993" w:customStyle="1">
    <w:name w:val="文档结构图 字符"/>
    <w:uiPriority w:val="0"/>
    <w:qFormat/>
    <w:rPr>
      <w:sz w:val="21"/>
      <w:szCs w:val="24"/>
      <w:shd w:val="clear" w:color="auto" w:fill="000080"/>
    </w:rPr>
  </w:style>
  <w:style w:type="character" w:styleId="994" w:customStyle="1">
    <w:name w:val="批注框文本 字符"/>
    <w:uiPriority w:val="0"/>
    <w:qFormat/>
    <w:rPr>
      <w:sz w:val="18"/>
      <w:szCs w:val="18"/>
    </w:rPr>
  </w:style>
  <w:style w:type="character" w:styleId="995" w:customStyle="1">
    <w:name w:val="批注文字 字符"/>
    <w:uiPriority w:val="0"/>
    <w:qFormat/>
    <w:rPr>
      <w:sz w:val="21"/>
      <w:szCs w:val="24"/>
    </w:rPr>
  </w:style>
  <w:style w:type="character" w:styleId="996" w:customStyle="1">
    <w:name w:val="Header or footer|2_"/>
    <w:link w:val="997"/>
    <w:uiPriority w:val="0"/>
    <w:qFormat/>
    <w:rPr>
      <w:lang w:val="zh-CN" w:bidi="zh-CN"/>
    </w:rPr>
  </w:style>
  <w:style w:type="paragraph" w:styleId="997" w:customStyle="1">
    <w:name w:val="Header or footer|2"/>
    <w:basedOn w:val="664"/>
    <w:link w:val="996"/>
    <w:uiPriority w:val="0"/>
    <w:qFormat/>
    <w:pPr>
      <w:jc w:val="left"/>
    </w:pPr>
    <w:rPr>
      <w:rFonts w:eastAsia="宋体"/>
      <w:sz w:val="20"/>
      <w:lang w:val="zh-CN" w:bidi="zh-CN"/>
    </w:rPr>
  </w:style>
  <w:style w:type="character" w:styleId="998" w:customStyle="1">
    <w:name w:val="标题 6 字符"/>
    <w:uiPriority w:val="0"/>
    <w:qFormat/>
    <w:rPr>
      <w:rFonts w:ascii="Arial" w:hAnsi="Arial" w:eastAsia="黑体"/>
      <w:b/>
      <w:sz w:val="24"/>
    </w:rPr>
  </w:style>
  <w:style w:type="character" w:styleId="999" w:customStyle="1">
    <w:name w:val="样式1 Char"/>
    <w:link w:val="1000"/>
    <w:uiPriority w:val="0"/>
    <w:qFormat/>
    <w:rPr>
      <w:sz w:val="21"/>
      <w:szCs w:val="21"/>
    </w:rPr>
  </w:style>
  <w:style w:type="paragraph" w:styleId="1000" w:customStyle="1">
    <w:name w:val="样式1"/>
    <w:basedOn w:val="939"/>
    <w:link w:val="999"/>
    <w:uiPriority w:val="0"/>
    <w:qFormat/>
    <w:pPr>
      <w:jc w:val="center"/>
      <w:pBdr>
        <w:top w:val="single" w:color="000000" w:sz="4" w:space="1"/>
      </w:pBdr>
    </w:pPr>
    <w:rPr>
      <w:rFonts w:eastAsia="宋体"/>
      <w:sz w:val="21"/>
      <w:szCs w:val="21"/>
    </w:rPr>
  </w:style>
  <w:style w:type="character" w:styleId="1001" w:customStyle="1">
    <w:name w:val="font41"/>
    <w:uiPriority w:val="0"/>
    <w:qFormat/>
    <w:rPr>
      <w:rFonts w:hint="eastAsia" w:ascii="宋体" w:hAnsi="宋体" w:eastAsia="宋体" w:cs="宋体"/>
      <w:color w:val="000000"/>
      <w:sz w:val="20"/>
      <w:szCs w:val="20"/>
      <w:u w:val="none"/>
    </w:rPr>
  </w:style>
  <w:style w:type="character" w:styleId="1002" w:customStyle="1">
    <w:name w:val="列出段落 Char"/>
    <w:link w:val="1003"/>
    <w:uiPriority w:val="0"/>
    <w:qFormat/>
    <w:rPr>
      <w:sz w:val="24"/>
      <w:szCs w:val="24"/>
    </w:rPr>
  </w:style>
  <w:style w:type="paragraph" w:styleId="1003" w:customStyle="1">
    <w:name w:val="列出段落"/>
    <w:basedOn w:val="664"/>
    <w:link w:val="1002"/>
    <w:uiPriority w:val="0"/>
    <w:qFormat/>
    <w:pPr>
      <w:ind w:firstLine="420"/>
      <w:jc w:val="left"/>
      <w:widowControl/>
    </w:pPr>
    <w:rPr>
      <w:rFonts w:eastAsia="宋体"/>
      <w:sz w:val="24"/>
      <w:szCs w:val="24"/>
    </w:rPr>
  </w:style>
  <w:style w:type="character" w:styleId="1004" w:customStyle="1">
    <w:name w:val="正文缩进 Char1"/>
    <w:uiPriority w:val="0"/>
    <w:qFormat/>
    <w:rPr>
      <w:rFonts w:ascii="Calibri" w:hAnsi="Calibri" w:eastAsia="宋体" w:cs="Times New Roman"/>
    </w:rPr>
  </w:style>
  <w:style w:type="character" w:styleId="1005" w:customStyle="1">
    <w:name w:val="2级标题 Char"/>
    <w:link w:val="1006"/>
    <w:uiPriority w:val="0"/>
    <w:qFormat/>
    <w:rPr>
      <w:rFonts w:eastAsia="华文中宋"/>
      <w:b/>
      <w:bCs/>
      <w:sz w:val="28"/>
      <w:szCs w:val="32"/>
    </w:rPr>
  </w:style>
  <w:style w:type="paragraph" w:styleId="1006" w:customStyle="1">
    <w:name w:val="2级标题"/>
    <w:basedOn w:val="891"/>
    <w:link w:val="1005"/>
    <w:uiPriority w:val="0"/>
    <w:qFormat/>
    <w:pPr>
      <w:jc w:val="both"/>
      <w:spacing w:line="360" w:lineRule="auto"/>
      <w:tabs>
        <w:tab w:val="left" w:pos="851" w:leader="none"/>
      </w:tabs>
    </w:pPr>
    <w:rPr>
      <w:rFonts w:ascii="Times New Roman" w:hAnsi="Times New Roman" w:eastAsia="华文中宋"/>
      <w:bCs/>
      <w:szCs w:val="32"/>
    </w:rPr>
  </w:style>
  <w:style w:type="character" w:styleId="1007" w:customStyle="1">
    <w:name w:val="标题 9 字符"/>
    <w:uiPriority w:val="0"/>
    <w:qFormat/>
    <w:rPr>
      <w:rFonts w:ascii="Arial" w:hAnsi="Arial" w:eastAsia="黑体"/>
      <w:sz w:val="21"/>
    </w:rPr>
  </w:style>
  <w:style w:type="character" w:styleId="1008" w:customStyle="1">
    <w:name w:val="3级标题 Char"/>
    <w:link w:val="1009"/>
    <w:uiPriority w:val="0"/>
    <w:qFormat/>
    <w:rPr>
      <w:rFonts w:eastAsia="华文中宋"/>
      <w:b/>
      <w:bCs/>
      <w:sz w:val="28"/>
      <w:szCs w:val="32"/>
    </w:rPr>
  </w:style>
  <w:style w:type="paragraph" w:styleId="1009" w:customStyle="1">
    <w:name w:val="3级标题"/>
    <w:basedOn w:val="891"/>
    <w:link w:val="1008"/>
    <w:uiPriority w:val="0"/>
    <w:qFormat/>
    <w:pPr>
      <w:jc w:val="both"/>
      <w:spacing w:line="360" w:lineRule="auto"/>
      <w:tabs>
        <w:tab w:val="left" w:pos="1080" w:leader="none"/>
      </w:tabs>
    </w:pPr>
    <w:rPr>
      <w:rFonts w:ascii="Times New Roman" w:hAnsi="Times New Roman" w:eastAsia="华文中宋"/>
      <w:bCs/>
      <w:szCs w:val="32"/>
    </w:rPr>
  </w:style>
  <w:style w:type="character" w:styleId="1010" w:customStyle="1">
    <w:name w:val="标题 8 字符"/>
    <w:uiPriority w:val="0"/>
    <w:qFormat/>
    <w:rPr>
      <w:rFonts w:ascii="Arial" w:hAnsi="Arial" w:eastAsia="黑体"/>
      <w:sz w:val="24"/>
    </w:rPr>
  </w:style>
  <w:style w:type="character" w:styleId="1011" w:customStyle="1">
    <w:name w:val="纯文本 Char Char"/>
    <w:link w:val="1012"/>
    <w:uiPriority w:val="0"/>
    <w:qFormat/>
    <w:rPr>
      <w:rFonts w:ascii="宋体" w:hAnsi="Courier New" w:eastAsia="楷体_GB2312"/>
      <w:sz w:val="26"/>
    </w:rPr>
  </w:style>
  <w:style w:type="paragraph" w:styleId="1012" w:customStyle="1">
    <w:name w:val="纯文本11"/>
    <w:basedOn w:val="664"/>
    <w:link w:val="1011"/>
    <w:uiPriority w:val="0"/>
    <w:qFormat/>
    <w:rPr>
      <w:rFonts w:ascii="宋体" w:hAnsi="Courier New"/>
      <w:sz w:val="26"/>
    </w:rPr>
  </w:style>
  <w:style w:type="character" w:styleId="1013" w:customStyle="1">
    <w:name w:val="正文文本 Char"/>
    <w:uiPriority w:val="0"/>
    <w:qFormat/>
    <w:rPr>
      <w:rFonts w:ascii="宋体" w:hAnsi="宋体"/>
      <w:sz w:val="21"/>
      <w:szCs w:val="21"/>
    </w:rPr>
  </w:style>
  <w:style w:type="character" w:styleId="1014" w:customStyle="1">
    <w:name w:val="正文文本缩进 3 字符1"/>
    <w:uiPriority w:val="99"/>
    <w:qFormat/>
    <w:rPr>
      <w:sz w:val="24"/>
      <w:szCs w:val="24"/>
    </w:rPr>
  </w:style>
  <w:style w:type="character" w:styleId="1015" w:customStyle="1">
    <w:name w:val="方案正文 Char"/>
    <w:link w:val="1016"/>
    <w:uiPriority w:val="0"/>
    <w:qFormat/>
    <w:rPr>
      <w:rFonts w:ascii="楷体_GB2312" w:hAnsi="宋体" w:eastAsia="楷体_GB2312"/>
      <w:spacing w:val="2"/>
      <w:sz w:val="24"/>
      <w:szCs w:val="24"/>
    </w:rPr>
  </w:style>
  <w:style w:type="paragraph" w:styleId="1016" w:customStyle="1">
    <w:name w:val="方案正文"/>
    <w:basedOn w:val="664"/>
    <w:link w:val="1015"/>
    <w:uiPriority w:val="0"/>
    <w:qFormat/>
    <w:pPr>
      <w:ind w:firstLine="425"/>
      <w:tabs>
        <w:tab w:val="left" w:pos="0" w:leader="none"/>
      </w:tabs>
    </w:pPr>
    <w:rPr>
      <w:rFonts w:ascii="楷体_GB2312" w:hAnsi="宋体"/>
      <w:spacing w:val="2"/>
      <w:sz w:val="24"/>
      <w:szCs w:val="24"/>
    </w:rPr>
  </w:style>
  <w:style w:type="character" w:styleId="1017" w:customStyle="1">
    <w:name w:val="03 正文 Char"/>
    <w:link w:val="1018"/>
    <w:uiPriority w:val="0"/>
    <w:qFormat/>
    <w:rPr>
      <w:sz w:val="21"/>
      <w:szCs w:val="24"/>
    </w:rPr>
  </w:style>
  <w:style w:type="paragraph" w:styleId="1018" w:customStyle="1">
    <w:name w:val="03 正文"/>
    <w:basedOn w:val="664"/>
    <w:link w:val="1017"/>
    <w:uiPriority w:val="0"/>
    <w:qFormat/>
    <w:pPr>
      <w:ind w:firstLine="420"/>
      <w:spacing w:line="500" w:lineRule="atLeast"/>
      <w:widowControl/>
    </w:pPr>
    <w:rPr>
      <w:rFonts w:eastAsia="宋体"/>
      <w:sz w:val="21"/>
      <w:szCs w:val="24"/>
    </w:rPr>
  </w:style>
  <w:style w:type="character" w:styleId="1019" w:customStyle="1">
    <w:name w:val="正文2 Char Char"/>
    <w:link w:val="1020"/>
    <w:uiPriority w:val="0"/>
    <w:qFormat/>
    <w:rPr>
      <w:sz w:val="24"/>
    </w:rPr>
  </w:style>
  <w:style w:type="paragraph" w:styleId="1020" w:customStyle="1">
    <w:name w:val="正文2"/>
    <w:basedOn w:val="664"/>
    <w:link w:val="1019"/>
    <w:uiPriority w:val="0"/>
    <w:qFormat/>
    <w:pPr>
      <w:ind w:firstLine="510"/>
      <w:spacing w:before="156" w:line="360" w:lineRule="auto"/>
    </w:pPr>
    <w:rPr>
      <w:rFonts w:eastAsia="宋体"/>
      <w:sz w:val="24"/>
    </w:rPr>
  </w:style>
  <w:style w:type="character" w:styleId="1021" w:customStyle="1">
    <w:name w:val="页眉 字符"/>
    <w:uiPriority w:val="0"/>
    <w:qFormat/>
    <w:rPr>
      <w:sz w:val="18"/>
      <w:szCs w:val="18"/>
    </w:rPr>
  </w:style>
  <w:style w:type="character" w:styleId="1022" w:customStyle="1">
    <w:name w:val="正文缩进 字符"/>
    <w:uiPriority w:val="0"/>
    <w:qFormat/>
    <w:rPr>
      <w:rFonts w:eastAsia="楷体_GB2312"/>
      <w:sz w:val="24"/>
    </w:rPr>
  </w:style>
  <w:style w:type="character" w:styleId="1023" w:customStyle="1">
    <w:name w:val="Header or footer|1_"/>
    <w:link w:val="1024"/>
    <w:uiPriority w:val="0"/>
    <w:qFormat/>
    <w:rPr>
      <w:rFonts w:ascii="宋体" w:hAnsi="宋体" w:cs="宋体"/>
      <w:sz w:val="22"/>
      <w:szCs w:val="22"/>
      <w:lang w:val="zh-CN" w:bidi="zh-CN"/>
    </w:rPr>
  </w:style>
  <w:style w:type="paragraph" w:styleId="1024" w:customStyle="1">
    <w:name w:val="Header or footer|1"/>
    <w:basedOn w:val="664"/>
    <w:link w:val="1023"/>
    <w:uiPriority w:val="0"/>
    <w:qFormat/>
    <w:pPr>
      <w:jc w:val="left"/>
    </w:pPr>
    <w:rPr>
      <w:rFonts w:ascii="宋体" w:hAnsi="宋体" w:eastAsia="宋体" w:cs="宋体"/>
      <w:sz w:val="22"/>
      <w:szCs w:val="22"/>
      <w:lang w:val="zh-CN" w:bidi="zh-CN"/>
    </w:rPr>
  </w:style>
  <w:style w:type="character" w:styleId="1025" w:customStyle="1">
    <w:name w:val="标题 2 字符"/>
    <w:uiPriority w:val="0"/>
    <w:qFormat/>
    <w:rPr>
      <w:rFonts w:ascii="宋体" w:hAnsi="宋体" w:eastAsia="楷体_GB2312" w:cs="Times New Roman"/>
      <w:b/>
      <w:sz w:val="28"/>
      <w:szCs w:val="20"/>
      <w:lang w:val="zh-CN" w:eastAsia="zh-CN"/>
    </w:rPr>
  </w:style>
  <w:style w:type="character" w:styleId="1026" w:customStyle="1">
    <w:name w:val="样式3 Char"/>
    <w:link w:val="1027"/>
    <w:uiPriority w:val="0"/>
    <w:qFormat/>
    <w:rPr>
      <w:sz w:val="18"/>
      <w:szCs w:val="18"/>
    </w:rPr>
  </w:style>
  <w:style w:type="paragraph" w:styleId="1027" w:customStyle="1">
    <w:name w:val="样式3"/>
    <w:basedOn w:val="942"/>
    <w:link w:val="1026"/>
    <w:uiPriority w:val="0"/>
    <w:qFormat/>
    <w:pPr>
      <w:jc w:val="both"/>
      <w:spacing w:before="120" w:after="120"/>
      <w:pBdr>
        <w:bottom w:val="none" w:color="000000" w:sz="0" w:space="0"/>
      </w:pBdr>
    </w:pPr>
    <w:rPr>
      <w:rFonts w:eastAsia="宋体"/>
      <w:szCs w:val="18"/>
    </w:rPr>
  </w:style>
  <w:style w:type="character" w:styleId="1028" w:customStyle="1">
    <w:name w:val="日期 字符1"/>
    <w:uiPriority w:val="0"/>
    <w:qFormat/>
    <w:rPr>
      <w:rFonts w:ascii="宋体" w:hAnsi="宋体" w:eastAsia="楷体_GB2312"/>
      <w:sz w:val="24"/>
    </w:rPr>
  </w:style>
  <w:style w:type="character" w:styleId="1029" w:customStyle="1">
    <w:name w:val="标题 7 字符"/>
    <w:uiPriority w:val="0"/>
    <w:qFormat/>
    <w:rPr>
      <w:rFonts w:ascii="Times New Roman" w:hAnsi="Times New Roman"/>
      <w:b/>
      <w:sz w:val="24"/>
    </w:rPr>
  </w:style>
  <w:style w:type="character" w:styleId="1030" w:customStyle="1">
    <w:name w:val="5级 Char"/>
    <w:link w:val="1031"/>
    <w:uiPriority w:val="0"/>
    <w:qFormat/>
    <w:rPr>
      <w:rFonts w:eastAsia="华文中宋"/>
      <w:b/>
      <w:sz w:val="24"/>
      <w:szCs w:val="28"/>
    </w:rPr>
  </w:style>
  <w:style w:type="paragraph" w:styleId="1031" w:customStyle="1">
    <w:name w:val="5级"/>
    <w:basedOn w:val="895"/>
    <w:link w:val="1030"/>
    <w:uiPriority w:val="0"/>
    <w:qFormat/>
    <w:pPr>
      <w:tabs>
        <w:tab w:val="left" w:pos="1276" w:leader="none"/>
      </w:tabs>
    </w:pPr>
  </w:style>
  <w:style w:type="character" w:styleId="1032" w:customStyle="1">
    <w:name w:val="标题 5 字符"/>
    <w:uiPriority w:val="0"/>
    <w:qFormat/>
    <w:rPr>
      <w:rFonts w:ascii="Times New Roman" w:hAnsi="Times New Roman" w:eastAsia="宋体" w:cs="Times New Roman"/>
      <w:b/>
      <w:bCs/>
      <w:sz w:val="28"/>
      <w:szCs w:val="28"/>
    </w:rPr>
  </w:style>
  <w:style w:type="character" w:styleId="1033" w:customStyle="1">
    <w:name w:val="content-right_8zs401"/>
    <w:basedOn w:val="909"/>
    <w:uiPriority w:val="0"/>
    <w:qFormat/>
  </w:style>
  <w:style w:type="character" w:styleId="1034" w:customStyle="1">
    <w:name w:val="font61"/>
    <w:uiPriority w:val="0"/>
    <w:qFormat/>
    <w:rPr>
      <w:rFonts w:hint="eastAsia" w:ascii="宋体" w:hAnsi="宋体" w:eastAsia="宋体" w:cs="宋体"/>
      <w:color w:val="000000"/>
      <w:sz w:val="20"/>
      <w:szCs w:val="20"/>
      <w:u w:val="single"/>
    </w:rPr>
  </w:style>
  <w:style w:type="character" w:styleId="1035" w:customStyle="1">
    <w:name w:val="标题 1 字符"/>
    <w:uiPriority w:val="0"/>
    <w:qFormat/>
    <w:rPr>
      <w:rFonts w:ascii="Times New Roman" w:hAnsi="Times New Roman" w:eastAsia="宋体" w:cs="Times New Roman"/>
      <w:b/>
      <w:sz w:val="44"/>
    </w:rPr>
  </w:style>
  <w:style w:type="character" w:styleId="1036" w:customStyle="1">
    <w:name w:val="cf01"/>
    <w:uiPriority w:val="0"/>
    <w:qFormat/>
    <w:rPr>
      <w:rFonts w:hint="eastAsia" w:ascii="Microsoft YaHei UI" w:hAnsi="Microsoft YaHei UI" w:eastAsia="Microsoft YaHei UI"/>
      <w:sz w:val="18"/>
      <w:szCs w:val="18"/>
    </w:rPr>
  </w:style>
  <w:style w:type="character" w:styleId="1037" w:customStyle="1">
    <w:name w:val="纯文本 Char"/>
    <w:link w:val="1038"/>
    <w:uiPriority w:val="99"/>
    <w:qFormat/>
    <w:rPr>
      <w:rFonts w:ascii="宋体" w:hAnsi="Courier New" w:eastAsia="楷体_GB2312"/>
      <w:sz w:val="28"/>
    </w:rPr>
  </w:style>
  <w:style w:type="paragraph" w:styleId="1038" w:customStyle="1">
    <w:name w:val="纯文本111"/>
    <w:basedOn w:val="664"/>
    <w:link w:val="1037"/>
    <w:uiPriority w:val="99"/>
    <w:qFormat/>
    <w:rPr>
      <w:rFonts w:ascii="宋体" w:hAnsi="Courier New"/>
    </w:rPr>
  </w:style>
  <w:style w:type="character" w:styleId="1039" w:customStyle="1">
    <w:name w:val="para1"/>
    <w:uiPriority w:val="0"/>
    <w:qFormat/>
    <w:rPr>
      <w:rFonts w:ascii="Arial" w:hAnsi="Arial" w:cs="Arial"/>
      <w:sz w:val="18"/>
      <w:szCs w:val="18"/>
    </w:rPr>
  </w:style>
  <w:style w:type="character" w:styleId="1040" w:customStyle="1">
    <w:name w:val="font21"/>
    <w:uiPriority w:val="0"/>
    <w:qFormat/>
    <w:rPr>
      <w:rFonts w:hint="eastAsia" w:ascii="宋体" w:hAnsi="宋体" w:eastAsia="宋体" w:cs="宋体"/>
      <w:color w:val="000000"/>
      <w:sz w:val="22"/>
      <w:szCs w:val="22"/>
      <w:u w:val="none"/>
    </w:rPr>
  </w:style>
  <w:style w:type="character" w:styleId="1041" w:customStyle="1">
    <w:name w:val="题注 字符"/>
    <w:uiPriority w:val="0"/>
    <w:qFormat/>
    <w:rPr>
      <w:sz w:val="21"/>
    </w:rPr>
  </w:style>
  <w:style w:type="character" w:styleId="1042" w:customStyle="1">
    <w:name w:val="apple-converted-space"/>
    <w:basedOn w:val="909"/>
    <w:uiPriority w:val="0"/>
    <w:qFormat/>
  </w:style>
  <w:style w:type="character" w:styleId="1043" w:customStyle="1">
    <w:name w:val="标题 3 字符"/>
    <w:uiPriority w:val="0"/>
    <w:qFormat/>
    <w:rPr>
      <w:b/>
      <w:bCs/>
      <w:sz w:val="32"/>
      <w:szCs w:val="32"/>
    </w:rPr>
  </w:style>
  <w:style w:type="character" w:styleId="1044" w:customStyle="1">
    <w:name w:val="标题四 Char1"/>
    <w:uiPriority w:val="0"/>
    <w:qFormat/>
    <w:rPr>
      <w:rFonts w:eastAsia="楷体_GB2312"/>
      <w:sz w:val="24"/>
    </w:rPr>
  </w:style>
  <w:style w:type="character" w:styleId="1045" w:customStyle="1">
    <w:name w:val="纯文本 字符"/>
    <w:uiPriority w:val="0"/>
    <w:qFormat/>
    <w:rPr>
      <w:rFonts w:ascii="宋体" w:hAnsi="Courier New" w:eastAsia="宋体" w:cs="Times New Roman"/>
      <w:sz w:val="28"/>
    </w:rPr>
  </w:style>
  <w:style w:type="character" w:styleId="1046" w:customStyle="1">
    <w:name w:val="Plain Text Char1"/>
    <w:uiPriority w:val="0"/>
    <w:qFormat/>
    <w:rPr>
      <w:rFonts w:ascii="Calibri" w:hAnsi="Calibri"/>
    </w:rPr>
  </w:style>
  <w:style w:type="character" w:styleId="1047" w:customStyle="1">
    <w:name w:val="样式4 Char"/>
    <w:link w:val="1048"/>
    <w:uiPriority w:val="0"/>
    <w:qFormat/>
    <w:rPr>
      <w:sz w:val="18"/>
      <w:szCs w:val="18"/>
    </w:rPr>
  </w:style>
  <w:style w:type="paragraph" w:styleId="1048" w:customStyle="1">
    <w:name w:val="样式4"/>
    <w:basedOn w:val="942"/>
    <w:link w:val="1047"/>
    <w:uiPriority w:val="0"/>
    <w:qFormat/>
    <w:pPr>
      <w:ind w:firstLine="425"/>
      <w:spacing w:before="120" w:after="120"/>
      <w:pBdr>
        <w:bottom w:val="none" w:color="000000" w:sz="0" w:space="0"/>
      </w:pBdr>
    </w:pPr>
    <w:rPr>
      <w:rFonts w:eastAsia="宋体"/>
      <w:szCs w:val="18"/>
    </w:rPr>
  </w:style>
  <w:style w:type="character" w:styleId="1049" w:customStyle="1">
    <w:name w:val="正文文本首行缩进 2 字符"/>
    <w:uiPriority w:val="0"/>
    <w:qFormat/>
    <w:rPr>
      <w:rFonts w:ascii="宋体" w:eastAsia="楷体_GB2312"/>
      <w:sz w:val="28"/>
    </w:rPr>
  </w:style>
  <w:style w:type="character" w:styleId="1050" w:customStyle="1">
    <w:name w:val="样式6 Char"/>
    <w:link w:val="1051"/>
    <w:uiPriority w:val="0"/>
    <w:qFormat/>
    <w:rPr>
      <w:sz w:val="18"/>
      <w:szCs w:val="18"/>
    </w:rPr>
  </w:style>
  <w:style w:type="paragraph" w:styleId="1051" w:customStyle="1">
    <w:name w:val="样式6"/>
    <w:basedOn w:val="942"/>
    <w:link w:val="1050"/>
    <w:uiPriority w:val="0"/>
    <w:qFormat/>
    <w:pPr>
      <w:ind w:firstLine="425"/>
      <w:spacing w:before="120" w:after="120"/>
      <w:pBdr>
        <w:bottom w:val="none" w:color="000000" w:sz="0" w:space="0"/>
      </w:pBdr>
    </w:pPr>
    <w:rPr>
      <w:rFonts w:eastAsia="宋体"/>
      <w:szCs w:val="18"/>
    </w:rPr>
  </w:style>
  <w:style w:type="character" w:styleId="1052" w:customStyle="1">
    <w:name w:val="font111"/>
    <w:uiPriority w:val="0"/>
    <w:qFormat/>
    <w:rPr>
      <w:rFonts w:hint="eastAsia" w:ascii="宋体" w:hAnsi="宋体" w:eastAsia="宋体" w:cs="宋体"/>
      <w:color w:val="000000"/>
      <w:sz w:val="18"/>
      <w:szCs w:val="18"/>
      <w:u w:val="none"/>
    </w:rPr>
  </w:style>
  <w:style w:type="character" w:styleId="1053" w:customStyle="1">
    <w:name w:val="font01"/>
    <w:uiPriority w:val="0"/>
    <w:qFormat/>
    <w:rPr>
      <w:rFonts w:hint="eastAsia" w:ascii="宋体" w:hAnsi="宋体" w:eastAsia="宋体" w:cs="宋体"/>
      <w:color w:val="000000"/>
      <w:sz w:val="22"/>
      <w:szCs w:val="22"/>
      <w:u w:val="single"/>
    </w:rPr>
  </w:style>
  <w:style w:type="character" w:styleId="1054" w:customStyle="1">
    <w:name w:val="样式2 Char"/>
    <w:link w:val="1055"/>
    <w:uiPriority w:val="0"/>
    <w:qFormat/>
    <w:rPr>
      <w:sz w:val="21"/>
      <w:szCs w:val="21"/>
    </w:rPr>
  </w:style>
  <w:style w:type="paragraph" w:styleId="1055" w:customStyle="1">
    <w:name w:val="样式2"/>
    <w:basedOn w:val="1000"/>
    <w:link w:val="1054"/>
    <w:uiPriority w:val="0"/>
    <w:qFormat/>
    <w:pPr>
      <w:pBdr>
        <w:top w:val="single" w:color="1F497D" w:sz="6" w:space="1"/>
      </w:pBdr>
    </w:pPr>
  </w:style>
  <w:style w:type="character" w:styleId="1056" w:customStyle="1">
    <w:name w:val="日期 字符"/>
    <w:uiPriority w:val="0"/>
    <w:qFormat/>
    <w:rPr>
      <w:rFonts w:ascii="宋体" w:hAnsi="宋体" w:eastAsia="楷体_GB2312"/>
      <w:sz w:val="24"/>
    </w:rPr>
  </w:style>
  <w:style w:type="character" w:styleId="1057" w:customStyle="1">
    <w:name w:val="Other|1_"/>
    <w:link w:val="1058"/>
    <w:uiPriority w:val="0"/>
    <w:qFormat/>
    <w:rPr>
      <w:rFonts w:ascii="宋体" w:hAnsi="宋体" w:cs="宋体"/>
      <w:lang w:val="zh-TW" w:eastAsia="zh-TW" w:bidi="zh-TW"/>
    </w:rPr>
  </w:style>
  <w:style w:type="paragraph" w:styleId="1058" w:customStyle="1">
    <w:name w:val="Other|1"/>
    <w:basedOn w:val="664"/>
    <w:link w:val="1057"/>
    <w:uiPriority w:val="0"/>
    <w:qFormat/>
    <w:pPr>
      <w:jc w:val="left"/>
      <w:spacing w:line="313" w:lineRule="exact"/>
    </w:pPr>
    <w:rPr>
      <w:rFonts w:ascii="宋体" w:hAnsi="宋体" w:eastAsia="宋体" w:cs="宋体"/>
      <w:sz w:val="20"/>
      <w:lang w:val="zh-TW" w:eastAsia="zh-TW" w:bidi="zh-TW"/>
    </w:rPr>
  </w:style>
  <w:style w:type="character" w:styleId="1059" w:customStyle="1">
    <w:name w:val="批注文字 Char1"/>
    <w:uiPriority w:val="99"/>
    <w:semiHidden/>
    <w:qFormat/>
    <w:rPr>
      <w:rFonts w:ascii="Times New Roman" w:hAnsi="Times New Roman" w:eastAsia="楷体_GB2312" w:cs="Times New Roman"/>
      <w:sz w:val="28"/>
    </w:rPr>
  </w:style>
  <w:style w:type="character" w:styleId="1060" w:customStyle="1">
    <w:name w:val="标题 4 字符"/>
    <w:uiPriority w:val="0"/>
    <w:qFormat/>
    <w:rPr>
      <w:rFonts w:ascii="Times New Roman" w:hAnsi="Times New Roman" w:eastAsia="华文中宋" w:cs="Times New Roman"/>
      <w:b/>
      <w:sz w:val="24"/>
      <w:szCs w:val="28"/>
    </w:rPr>
  </w:style>
  <w:style w:type="character" w:styleId="1061" w:customStyle="1">
    <w:name w:val="列表段落 字符"/>
    <w:uiPriority w:val="0"/>
    <w:qFormat/>
    <w:rPr>
      <w:sz w:val="21"/>
      <w:szCs w:val="22"/>
    </w:rPr>
  </w:style>
  <w:style w:type="paragraph" w:styleId="1062" w:customStyle="1">
    <w:name w:val="Char Char Char1"/>
    <w:basedOn w:val="664"/>
    <w:uiPriority w:val="0"/>
    <w:qFormat/>
    <w:rPr>
      <w:rFonts w:ascii="Tahoma" w:hAnsi="Tahoma" w:eastAsia="宋体"/>
      <w:sz w:val="24"/>
    </w:rPr>
  </w:style>
  <w:style w:type="paragraph" w:styleId="1063" w:customStyle="1">
    <w:name w:val="Char Char Char Char"/>
    <w:basedOn w:val="664"/>
    <w:uiPriority w:val="0"/>
    <w:qFormat/>
    <w:pPr>
      <w:ind w:firstLine="200"/>
      <w:spacing w:line="360" w:lineRule="auto"/>
    </w:pPr>
    <w:rPr>
      <w:rFonts w:ascii="Tahoma" w:hAnsi="Tahoma" w:eastAsia="宋体"/>
      <w:sz w:val="24"/>
    </w:rPr>
  </w:style>
  <w:style w:type="paragraph" w:styleId="1064" w:customStyle="1">
    <w:name w:val="xl4840"/>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65"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66" w:customStyle="1">
    <w:name w:val="表格1"/>
    <w:basedOn w:val="664"/>
    <w:uiPriority w:val="0"/>
    <w:qFormat/>
    <w:pPr>
      <w:ind w:left="72" w:right="72"/>
      <w:jc w:val="center"/>
      <w:spacing w:after="60"/>
    </w:pPr>
    <w:rPr>
      <w:rFonts w:ascii="Calibri" w:hAnsi="Calibri" w:eastAsia="宋体"/>
      <w:sz w:val="21"/>
    </w:rPr>
  </w:style>
  <w:style w:type="paragraph" w:styleId="106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font6"/>
    <w:basedOn w:val="664"/>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069" w:customStyle="1">
    <w:name w:val="xl76"/>
    <w:basedOn w:val="66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70" w:customStyle="1">
    <w:name w:val="xl4835"/>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71" w:customStyle="1">
    <w:name w:val="xl65"/>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072" w:customStyle="1">
    <w:name w:val="xl4837"/>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73" w:customStyle="1">
    <w:name w:val="Char Char Char"/>
    <w:basedOn w:val="664"/>
    <w:uiPriority w:val="0"/>
    <w:qFormat/>
    <w:rPr>
      <w:rFonts w:ascii="Calibri" w:hAnsi="Calibri" w:eastAsia="宋体"/>
      <w:sz w:val="21"/>
      <w:szCs w:val="24"/>
    </w:rPr>
  </w:style>
  <w:style w:type="paragraph" w:styleId="1074" w:customStyle="1">
    <w:name w:val="luzhi 正文"/>
    <w:basedOn w:val="664"/>
    <w:uiPriority w:val="0"/>
    <w:qFormat/>
    <w:pPr>
      <w:ind w:firstLine="560"/>
      <w:spacing w:line="360" w:lineRule="auto"/>
    </w:pPr>
    <w:rPr>
      <w:rFonts w:hAnsi="宋体" w:eastAsia="宋体" w:cs="宋体"/>
    </w:rPr>
  </w:style>
  <w:style w:type="paragraph" w:styleId="1075" w:customStyle="1">
    <w:name w:val="Char2 Char Char Char Char Char Char Char Char Char"/>
    <w:basedOn w:val="664"/>
    <w:uiPriority w:val="0"/>
    <w:qFormat/>
    <w:pPr>
      <w:ind w:firstLine="200"/>
      <w:spacing w:line="360" w:lineRule="auto"/>
    </w:pPr>
    <w:rPr>
      <w:rFonts w:ascii="Tahoma" w:hAnsi="Tahoma" w:eastAsia="宋体"/>
      <w:sz w:val="24"/>
    </w:rPr>
  </w:style>
  <w:style w:type="paragraph" w:styleId="1076" w:customStyle="1">
    <w:name w:val="Char Char Char1 Char Char Char Char"/>
    <w:basedOn w:val="664"/>
    <w:uiPriority w:val="0"/>
    <w:qFormat/>
    <w:pPr>
      <w:jc w:val="left"/>
      <w:spacing w:after="160" w:line="240" w:lineRule="exact"/>
      <w:widowControl/>
    </w:pPr>
    <w:rPr>
      <w:rFonts w:eastAsia="宋体"/>
      <w:sz w:val="24"/>
      <w:szCs w:val="24"/>
    </w:rPr>
  </w:style>
  <w:style w:type="paragraph" w:styleId="1077" w:customStyle="1">
    <w:name w:val="1.1.1.1.1"/>
    <w:basedOn w:val="895"/>
    <w:uiPriority w:val="0"/>
    <w:qFormat/>
    <w:pPr>
      <w:ind w:left="992"/>
      <w:spacing w:before="120" w:after="120"/>
      <w:tabs>
        <w:tab w:val="left" w:pos="992" w:leader="none"/>
      </w:tabs>
    </w:pPr>
    <w:rPr>
      <w:bCs/>
    </w:rPr>
  </w:style>
  <w:style w:type="paragraph" w:styleId="1078" w:customStyle="1">
    <w:name w:val="xl70"/>
    <w:basedOn w:val="664"/>
    <w:uiPriority w:val="0"/>
    <w:qFormat/>
    <w:pPr>
      <w:jc w:val="center"/>
      <w:spacing w:before="100" w:beforeAutospacing="1" w:after="100" w:afterAutospacing="1"/>
      <w:shd w:val="clear" w:color="ff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079" w:customStyle="1">
    <w:name w:val="Normal_20"/>
    <w:uiPriority w:val="0"/>
    <w:qFormat/>
    <w:rPr>
      <w:rFonts w:ascii="Times New Roman" w:hAnsi="Times New Roman" w:eastAsia="Times New Roman" w:cs="Times New Roman"/>
      <w:sz w:val="24"/>
      <w:szCs w:val="24"/>
      <w:lang w:val="en-US" w:eastAsia="zh-CN" w:bidi="ar-SA"/>
    </w:rPr>
  </w:style>
  <w:style w:type="paragraph" w:styleId="1080" w:customStyle="1">
    <w:name w:val="msolistparagraph"/>
    <w:basedOn w:val="664"/>
    <w:uiPriority w:val="0"/>
    <w:qFormat/>
    <w:pPr>
      <w:ind w:firstLine="420"/>
    </w:pPr>
    <w:rPr>
      <w:rFonts w:eastAsia="宋体"/>
      <w:sz w:val="21"/>
      <w:szCs w:val="24"/>
    </w:rPr>
  </w:style>
  <w:style w:type="paragraph" w:styleId="1081" w:customStyle="1">
    <w:name w:val="Plain Text2"/>
    <w:basedOn w:val="664"/>
    <w:uiPriority w:val="0"/>
    <w:qFormat/>
    <w:rPr>
      <w:rFonts w:ascii="宋体" w:hAnsi="Courier New"/>
      <w:sz w:val="26"/>
    </w:rPr>
  </w:style>
  <w:style w:type="paragraph" w:styleId="1082" w:customStyle="1">
    <w:name w:val="Char Char Char Char1"/>
    <w:basedOn w:val="664"/>
    <w:uiPriority w:val="0"/>
    <w:qFormat/>
    <w:pPr>
      <w:ind w:firstLine="200"/>
      <w:spacing w:line="360" w:lineRule="auto"/>
    </w:pPr>
    <w:rPr>
      <w:rFonts w:ascii="Tahoma" w:hAnsi="Tahoma" w:eastAsia="宋体"/>
      <w:sz w:val="24"/>
    </w:rPr>
  </w:style>
  <w:style w:type="paragraph" w:styleId="1083" w:customStyle="1">
    <w:name w:val="Char1"/>
    <w:basedOn w:val="664"/>
    <w:uiPriority w:val="0"/>
    <w:qFormat/>
    <w:pPr>
      <w:ind w:left="-62" w:right="36"/>
      <w:jc w:val="left"/>
      <w:spacing w:after="160" w:line="240" w:lineRule="exact"/>
      <w:widowControl/>
    </w:pPr>
    <w:rPr>
      <w:rFonts w:ascii="Arial" w:hAnsi="Arial" w:eastAsia="Times New Roman"/>
      <w:sz w:val="20"/>
      <w:lang w:eastAsia="en-US"/>
    </w:rPr>
  </w:style>
  <w:style w:type="paragraph" w:styleId="1084" w:customStyle="1">
    <w:name w:val="纯文本2"/>
    <w:basedOn w:val="664"/>
    <w:uiPriority w:val="0"/>
    <w:qFormat/>
    <w:pPr>
      <w:jc w:val="left"/>
      <w:widowControl/>
      <w:framePr w:wrap="around" w:vAnchor="margin" w:hAnchor="text" w:y="1"/>
    </w:pPr>
    <w:rPr>
      <w:rFonts w:ascii="宋体" w:hAnsi="Courier New"/>
      <w:szCs w:val="24"/>
      <w:lang w:eastAsia="en-US"/>
    </w:rPr>
  </w:style>
  <w:style w:type="paragraph" w:styleId="1085" w:customStyle="1">
    <w:name w:val="font5"/>
    <w:basedOn w:val="664"/>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086" w:customStyle="1">
    <w:name w:val="默认段落字体 Para Char Char Char Char Char Char Char"/>
    <w:basedOn w:val="664"/>
    <w:uiPriority w:val="0"/>
    <w:qFormat/>
    <w:pPr>
      <w:spacing w:line="360" w:lineRule="auto"/>
    </w:pPr>
    <w:rPr>
      <w:rFonts w:ascii="Tahoma" w:hAnsi="Tahoma" w:eastAsia="宋体"/>
      <w:sz w:val="24"/>
    </w:rPr>
  </w:style>
  <w:style w:type="paragraph" w:styleId="1087" w:customStyle="1">
    <w:name w:val="规范正文"/>
    <w:basedOn w:val="664"/>
    <w:uiPriority w:val="0"/>
    <w:qFormat/>
    <w:pPr>
      <w:ind w:left="480"/>
      <w:spacing w:line="360" w:lineRule="auto"/>
    </w:pPr>
    <w:rPr>
      <w:rFonts w:ascii="Calibri" w:hAnsi="Calibri" w:eastAsia="宋体"/>
      <w:sz w:val="24"/>
    </w:rPr>
  </w:style>
  <w:style w:type="paragraph" w:styleId="1088" w:customStyle="1">
    <w:name w:val="Sangría 1"/>
    <w:basedOn w:val="664"/>
    <w:uiPriority w:val="99"/>
    <w:qFormat/>
    <w:pPr>
      <w:ind w:left="993" w:hanging="1764"/>
      <w:spacing w:before="80" w:after="80"/>
      <w:widowControl/>
      <w:tabs>
        <w:tab w:val="left" w:pos="993" w:leader="none"/>
        <w:tab w:val="left" w:pos="1764" w:leader="none"/>
        <w:tab w:val="right" w:pos="7513" w:leader="none"/>
      </w:tabs>
    </w:pPr>
    <w:rPr>
      <w:rFonts w:ascii="Verdana" w:hAnsi="Verdana" w:eastAsia="Times New Roman"/>
      <w:sz w:val="18"/>
      <w:lang w:val="en-GB"/>
    </w:rPr>
  </w:style>
  <w:style w:type="paragraph" w:styleId="1089" w:customStyle="1">
    <w:name w:val="xl75"/>
    <w:basedOn w:val="66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1"/>
      <w:szCs w:val="21"/>
    </w:rPr>
  </w:style>
  <w:style w:type="paragraph" w:styleId="1090" w:customStyle="1">
    <w:name w:val="xl483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91" w:customStyle="1">
    <w:name w:val="Plain Text1"/>
    <w:basedOn w:val="664"/>
    <w:uiPriority w:val="0"/>
    <w:qFormat/>
    <w:rPr>
      <w:rFonts w:hint="eastAsia" w:ascii="宋体" w:hAnsi="Courier New"/>
    </w:rPr>
  </w:style>
  <w:style w:type="paragraph" w:styleId="1092" w:customStyle="1">
    <w:name w:val="font7"/>
    <w:basedOn w:val="664"/>
    <w:uiPriority w:val="0"/>
    <w:qFormat/>
    <w:pPr>
      <w:jc w:val="left"/>
      <w:spacing w:before="100" w:beforeAutospacing="1" w:after="100" w:afterAutospacing="1"/>
      <w:widowControl/>
    </w:pPr>
    <w:rPr>
      <w:rFonts w:ascii="宋体" w:hAnsi="宋体" w:eastAsia="宋体" w:cs="宋体"/>
      <w:sz w:val="18"/>
      <w:szCs w:val="18"/>
    </w:rPr>
  </w:style>
  <w:style w:type="paragraph" w:styleId="1093" w:customStyle="1">
    <w:name w:val="_Style 5"/>
    <w:basedOn w:val="664"/>
    <w:uiPriority w:val="0"/>
    <w:qFormat/>
    <w:pPr>
      <w:contextualSpacing/>
      <w:ind w:left="720"/>
      <w:jc w:val="left"/>
      <w:widowControl/>
    </w:pPr>
    <w:rPr>
      <w:rFonts w:ascii="Calibri" w:hAnsi="Calibri" w:eastAsia="宋体"/>
      <w:sz w:val="24"/>
      <w:szCs w:val="24"/>
      <w:lang w:eastAsia="en-US"/>
    </w:rPr>
  </w:style>
  <w:style w:type="paragraph" w:styleId="1094" w:customStyle="1">
    <w:name w:val="xl66"/>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5" w:customStyle="1">
    <w:name w:val="p0"/>
    <w:basedOn w:val="664"/>
    <w:uiPriority w:val="0"/>
    <w:qFormat/>
    <w:pPr>
      <w:jc w:val="left"/>
      <w:widowControl/>
    </w:pPr>
    <w:rPr>
      <w:rFonts w:ascii="宋体" w:hAnsi="宋体" w:eastAsia="宋体" w:cs="宋体"/>
      <w:sz w:val="24"/>
      <w:szCs w:val="24"/>
    </w:rPr>
  </w:style>
  <w:style w:type="paragraph" w:styleId="1096" w:customStyle="1">
    <w:name w:val="xl26"/>
    <w:basedOn w:val="664"/>
    <w:uiPriority w:val="0"/>
    <w:qFormat/>
    <w:pPr>
      <w:jc w:val="center"/>
      <w:spacing w:before="100" w:beforeAutospacing="1" w:after="100" w:afterAutospacing="1"/>
      <w:widowControl/>
    </w:pPr>
    <w:rPr>
      <w:rFonts w:ascii="宋体" w:hAnsi="宋体" w:eastAsia="宋体"/>
      <w:sz w:val="24"/>
      <w:szCs w:val="24"/>
    </w:rPr>
  </w:style>
  <w:style w:type="paragraph" w:styleId="1097" w:customStyle="1">
    <w:name w:val="列出段落1"/>
    <w:basedOn w:val="664"/>
    <w:uiPriority w:val="0"/>
    <w:qFormat/>
    <w:pPr>
      <w:ind w:firstLine="420"/>
    </w:pPr>
    <w:rPr>
      <w:rFonts w:ascii="宋体" w:hAnsi="宋体" w:eastAsia="宋体"/>
      <w:sz w:val="24"/>
      <w:szCs w:val="24"/>
    </w:rPr>
  </w:style>
  <w:style w:type="paragraph" w:styleId="1098" w:customStyle="1">
    <w:name w:val="HTML 预设格式1"/>
    <w:basedOn w:val="6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099" w:customStyle="1">
    <w:name w:val="首行缩进"/>
    <w:basedOn w:val="664"/>
    <w:uiPriority w:val="0"/>
    <w:qFormat/>
    <w:pPr>
      <w:ind w:firstLine="480"/>
      <w:jc w:val="left"/>
      <w:spacing w:line="360" w:lineRule="auto"/>
    </w:pPr>
    <w:rPr>
      <w:rFonts w:ascii="宋体" w:hAnsi="宋体" w:eastAsia="宋体"/>
      <w:sz w:val="24"/>
      <w:szCs w:val="24"/>
    </w:rPr>
  </w:style>
  <w:style w:type="paragraph" w:styleId="1100" w:customStyle="1">
    <w:name w:val="font10"/>
    <w:basedOn w:val="664"/>
    <w:uiPriority w:val="0"/>
    <w:qFormat/>
    <w:pPr>
      <w:jc w:val="left"/>
      <w:spacing w:before="100" w:beforeAutospacing="1" w:after="100" w:afterAutospacing="1"/>
      <w:widowControl/>
    </w:pPr>
    <w:rPr>
      <w:rFonts w:ascii="宋体" w:hAnsi="宋体" w:eastAsia="宋体" w:cs="宋体"/>
      <w:sz w:val="18"/>
      <w:szCs w:val="18"/>
    </w:rPr>
  </w:style>
  <w:style w:type="paragraph" w:styleId="1101" w:customStyle="1">
    <w:name w:val="font12"/>
    <w:basedOn w:val="664"/>
    <w:uiPriority w:val="0"/>
    <w:qFormat/>
    <w:pPr>
      <w:jc w:val="left"/>
      <w:spacing w:before="100" w:beforeAutospacing="1" w:after="100" w:afterAutospacing="1"/>
      <w:widowControl/>
    </w:pPr>
    <w:rPr>
      <w:rFonts w:ascii="宋体" w:hAnsi="宋体" w:eastAsia="宋体" w:cs="宋体"/>
      <w:sz w:val="18"/>
      <w:szCs w:val="18"/>
    </w:rPr>
  </w:style>
  <w:style w:type="paragraph" w:styleId="1102" w:customStyle="1">
    <w:name w:val="Char Char1"/>
    <w:basedOn w:val="664"/>
    <w:uiPriority w:val="0"/>
    <w:qFormat/>
    <w:pPr>
      <w:jc w:val="left"/>
      <w:spacing w:after="160" w:line="240" w:lineRule="exact"/>
      <w:widowControl/>
    </w:pPr>
    <w:rPr>
      <w:rFonts w:ascii="Verdana" w:hAnsi="Verdana" w:eastAsia="宋体"/>
      <w:sz w:val="20"/>
      <w:lang w:eastAsia="en-US"/>
    </w:rPr>
  </w:style>
  <w:style w:type="paragraph" w:styleId="1103" w:customStyle="1">
    <w:name w:val="Char Char"/>
    <w:basedOn w:val="664"/>
    <w:uiPriority w:val="0"/>
    <w:qFormat/>
    <w:pPr>
      <w:ind w:firstLine="200"/>
      <w:spacing w:line="360" w:lineRule="auto"/>
    </w:pPr>
  </w:style>
  <w:style w:type="paragraph" w:styleId="1104" w:customStyle="1">
    <w:name w:val="Char Char2"/>
    <w:basedOn w:val="664"/>
    <w:uiPriority w:val="0"/>
    <w:qFormat/>
    <w:pPr>
      <w:ind w:firstLine="200"/>
      <w:spacing w:line="360" w:lineRule="auto"/>
    </w:pPr>
    <w:rPr>
      <w:rFonts w:eastAsia="宋体"/>
    </w:rPr>
  </w:style>
  <w:style w:type="paragraph" w:styleId="1105" w:customStyle="1">
    <w:name w:val="标题2"/>
    <w:basedOn w:val="891"/>
    <w:uiPriority w:val="0"/>
    <w:qFormat/>
    <w:pPr>
      <w:jc w:val="both"/>
      <w:spacing w:line="413" w:lineRule="auto"/>
    </w:pPr>
    <w:rPr>
      <w:rFonts w:ascii="Cambria" w:hAnsi="Cambria" w:eastAsia="宋体"/>
      <w:bCs/>
      <w:sz w:val="32"/>
      <w:szCs w:val="32"/>
    </w:rPr>
  </w:style>
  <w:style w:type="paragraph" w:styleId="1106" w:customStyle="1">
    <w:name w:val="font9"/>
    <w:basedOn w:val="664"/>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107" w:customStyle="1">
    <w:name w:val="xl4841"/>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08" w:customStyle="1">
    <w:name w:val="style1"/>
    <w:basedOn w:val="664"/>
    <w:uiPriority w:val="0"/>
    <w:qFormat/>
    <w:pPr>
      <w:jc w:val="left"/>
      <w:spacing w:before="100" w:beforeAutospacing="1" w:after="100" w:afterAutospacing="1"/>
      <w:widowControl/>
    </w:pPr>
    <w:rPr>
      <w:rFonts w:ascii="宋体" w:hAnsi="宋体" w:eastAsia="宋体" w:cs="宋体"/>
      <w:sz w:val="24"/>
      <w:szCs w:val="24"/>
    </w:rPr>
  </w:style>
  <w:style w:type="paragraph" w:styleId="1109" w:customStyle="1">
    <w:name w:val="正文缩进1"/>
    <w:uiPriority w:val="0"/>
    <w:qFormat/>
    <w:pPr>
      <w:ind w:firstLine="420"/>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110" w:customStyle="1">
    <w:name w:val="xl4843"/>
    <w:basedOn w:val="664"/>
    <w:uiPriority w:val="0"/>
    <w:qFormat/>
    <w:pPr>
      <w:jc w:val="left"/>
      <w:spacing w:before="100" w:beforeAutospacing="1" w:after="100" w:afterAutospacing="1"/>
      <w:widowControl/>
    </w:pPr>
    <w:rPr>
      <w:rFonts w:ascii="宋体" w:hAnsi="宋体" w:eastAsia="宋体" w:cs="宋体"/>
      <w:sz w:val="20"/>
    </w:rPr>
  </w:style>
  <w:style w:type="paragraph" w:styleId="1111" w:customStyle="1">
    <w:name w:val="Char"/>
    <w:basedOn w:val="917"/>
    <w:uiPriority w:val="0"/>
    <w:qFormat/>
    <w:pPr>
      <w:spacing w:line="360" w:lineRule="auto"/>
    </w:pPr>
    <w:rPr>
      <w:rFonts w:ascii="Tahoma" w:hAnsi="Tahoma" w:eastAsia="宋体"/>
      <w:sz w:val="24"/>
      <w:szCs w:val="24"/>
    </w:rPr>
  </w:style>
  <w:style w:type="paragraph" w:styleId="1112" w:customStyle="1">
    <w:name w:val="xl73"/>
    <w:basedOn w:val="664"/>
    <w:uiPriority w:val="0"/>
    <w:qFormat/>
    <w:pPr>
      <w:jc w:val="center"/>
      <w:spacing w:before="100" w:beforeAutospacing="1" w:after="100" w:afterAutospacing="1"/>
      <w:shd w:val="clear" w:color="ff0000" w:fill="ffffff"/>
      <w:widowControl/>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113" w:customStyle="1">
    <w:name w:val="xl4838"/>
    <w:basedOn w:val="664"/>
    <w:uiPriority w:val="0"/>
    <w:qFormat/>
    <w:pPr>
      <w:jc w:val="center"/>
      <w:spacing w:before="100" w:beforeAutospacing="1" w:after="100" w:afterAutospacing="1"/>
      <w:widowControl/>
    </w:pPr>
    <w:rPr>
      <w:rFonts w:ascii="宋体" w:hAnsi="宋体" w:eastAsia="宋体" w:cs="宋体"/>
      <w:sz w:val="20"/>
    </w:rPr>
  </w:style>
  <w:style w:type="paragraph" w:styleId="1114" w:customStyle="1">
    <w:name w:val="xl69"/>
    <w:basedOn w:val="664"/>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15" w:customStyle="1">
    <w:name w:val="List Paragraph1"/>
    <w:basedOn w:val="664"/>
    <w:uiPriority w:val="0"/>
    <w:qFormat/>
    <w:pPr>
      <w:ind w:left="720"/>
      <w:jc w:val="left"/>
      <w:widowControl/>
    </w:pPr>
    <w:rPr>
      <w:rFonts w:ascii="Calibri" w:hAnsi="Calibri" w:eastAsia="宋体"/>
      <w:sz w:val="24"/>
      <w:szCs w:val="24"/>
      <w:lang w:eastAsia="en-US"/>
    </w:rPr>
  </w:style>
  <w:style w:type="paragraph" w:styleId="1116" w:customStyle="1">
    <w:name w:val="font8"/>
    <w:basedOn w:val="664"/>
    <w:uiPriority w:val="0"/>
    <w:qFormat/>
    <w:pPr>
      <w:jc w:val="left"/>
      <w:spacing w:before="100" w:beforeAutospacing="1" w:after="100" w:afterAutospacing="1"/>
      <w:widowControl/>
    </w:pPr>
    <w:rPr>
      <w:rFonts w:ascii="Arial" w:hAnsi="Arial" w:eastAsia="宋体" w:cs="Arial"/>
      <w:sz w:val="22"/>
      <w:szCs w:val="22"/>
    </w:rPr>
  </w:style>
  <w:style w:type="paragraph" w:styleId="1117" w:customStyle="1">
    <w:name w:val="p16"/>
    <w:basedOn w:val="664"/>
    <w:uiPriority w:val="0"/>
    <w:qFormat/>
    <w:pPr>
      <w:ind w:left="420"/>
      <w:spacing w:after="120" w:line="480" w:lineRule="auto"/>
      <w:widowControl/>
    </w:pPr>
    <w:rPr>
      <w:rFonts w:eastAsia="宋体"/>
      <w:sz w:val="21"/>
      <w:szCs w:val="21"/>
    </w:rPr>
  </w:style>
  <w:style w:type="paragraph" w:styleId="1118" w:customStyle="1">
    <w:name w:val="a"/>
    <w:basedOn w:val="664"/>
    <w:uiPriority w:val="0"/>
    <w:qFormat/>
    <w:pPr>
      <w:jc w:val="left"/>
      <w:spacing w:before="100" w:beforeAutospacing="1" w:after="100" w:afterAutospacing="1"/>
      <w:widowControl/>
    </w:pPr>
    <w:rPr>
      <w:rFonts w:ascii="宋体" w:hAnsi="宋体" w:eastAsia="宋体"/>
      <w:sz w:val="24"/>
      <w:szCs w:val="24"/>
    </w:rPr>
  </w:style>
  <w:style w:type="paragraph" w:styleId="1119" w:customStyle="1">
    <w:name w:val="Char Char Char2"/>
    <w:basedOn w:val="917"/>
    <w:uiPriority w:val="0"/>
    <w:qFormat/>
    <w:pPr>
      <w:spacing w:line="360" w:lineRule="auto"/>
    </w:pPr>
    <w:rPr>
      <w:rFonts w:ascii="Tahoma" w:hAnsi="Tahoma" w:eastAsia="宋体"/>
      <w:sz w:val="24"/>
      <w:szCs w:val="24"/>
    </w:rPr>
  </w:style>
  <w:style w:type="paragraph" w:styleId="1120" w:customStyle="1">
    <w:name w:val="样式 表格正文 + 两端对齐"/>
    <w:basedOn w:val="664"/>
    <w:uiPriority w:val="0"/>
    <w:qFormat/>
    <w:pPr>
      <w:spacing w:line="300" w:lineRule="auto"/>
    </w:pPr>
    <w:rPr>
      <w:rFonts w:eastAsia="宋体"/>
      <w:sz w:val="24"/>
    </w:rPr>
  </w:style>
  <w:style w:type="paragraph" w:styleId="1121" w:customStyle="1">
    <w:name w:val="Char2 Char Char Char Char Char Char Char Char Char1"/>
    <w:basedOn w:val="664"/>
    <w:uiPriority w:val="0"/>
    <w:qFormat/>
    <w:pPr>
      <w:ind w:firstLine="200"/>
      <w:spacing w:line="360" w:lineRule="auto"/>
    </w:pPr>
    <w:rPr>
      <w:rFonts w:ascii="Tahoma" w:hAnsi="Tahoma" w:eastAsia="宋体"/>
      <w:sz w:val="24"/>
    </w:rPr>
  </w:style>
  <w:style w:type="paragraph" w:styleId="1122" w:customStyle="1">
    <w:name w:val="xl72"/>
    <w:basedOn w:val="66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23" w:customStyle="1">
    <w:name w:val="TOC 标题2"/>
    <w:basedOn w:val="889"/>
    <w:next w:val="664"/>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paragraph" w:styleId="1124" w:customStyle="1">
    <w:name w:val="xl71"/>
    <w:basedOn w:val="664"/>
    <w:uiPriority w:val="0"/>
    <w:qFormat/>
    <w:pPr>
      <w:jc w:val="center"/>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125" w:customStyle="1">
    <w:name w:val="列出段落11"/>
    <w:basedOn w:val="664"/>
    <w:uiPriority w:val="34"/>
    <w:qFormat/>
    <w:pPr>
      <w:ind w:firstLine="420"/>
    </w:pPr>
    <w:rPr>
      <w:rFonts w:ascii="华文楷体" w:hAnsi="华文楷体" w:eastAsia="华文楷体"/>
      <w:sz w:val="21"/>
    </w:rPr>
  </w:style>
  <w:style w:type="paragraph" w:styleId="1126" w:customStyle="1">
    <w:name w:val="xl68"/>
    <w:basedOn w:val="6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8"/>
      <w:szCs w:val="18"/>
    </w:rPr>
  </w:style>
  <w:style w:type="paragraph" w:styleId="1127" w:customStyle="1">
    <w:name w:val="xl4834"/>
    <w:basedOn w:val="664"/>
    <w:uiPriority w:val="0"/>
    <w:qFormat/>
    <w:pPr>
      <w:jc w:val="left"/>
      <w:spacing w:before="100" w:beforeAutospacing="1" w:after="100" w:afterAutospacing="1"/>
      <w:widowControl/>
    </w:pPr>
    <w:rPr>
      <w:rFonts w:ascii="宋体" w:hAnsi="宋体" w:eastAsia="宋体" w:cs="宋体"/>
      <w:sz w:val="20"/>
    </w:rPr>
  </w:style>
  <w:style w:type="paragraph" w:styleId="1128" w:customStyle="1">
    <w:name w:val="xl74"/>
    <w:basedOn w:val="664"/>
    <w:uiPriority w:val="0"/>
    <w:qFormat/>
    <w:pPr>
      <w:jc w:val="left"/>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129" w:customStyle="1">
    <w:name w:val="Char Char1 Char Char Char Char Char Char Char"/>
    <w:basedOn w:val="664"/>
    <w:uiPriority w:val="0"/>
    <w:qFormat/>
    <w:rPr>
      <w:rFonts w:ascii="Calibri" w:hAnsi="Calibri" w:eastAsia="宋体"/>
      <w:sz w:val="21"/>
    </w:rPr>
  </w:style>
  <w:style w:type="paragraph" w:styleId="1130" w:customStyle="1">
    <w:name w:val="xl4842"/>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31">
    <w:name w:val="List Paragraph"/>
    <w:basedOn w:val="664"/>
    <w:uiPriority w:val="0"/>
    <w:qFormat/>
    <w:pPr>
      <w:ind w:firstLine="420"/>
      <w:jc w:val="left"/>
      <w:widowControl/>
    </w:pPr>
    <w:rPr>
      <w:rFonts w:eastAsia="宋体"/>
      <w:sz w:val="24"/>
      <w:szCs w:val="24"/>
    </w:rPr>
  </w:style>
  <w:style w:type="paragraph" w:styleId="1132" w:customStyle="1">
    <w:name w:val="xl4839"/>
    <w:basedOn w:val="664"/>
    <w:uiPriority w:val="0"/>
    <w:qFormat/>
    <w:pPr>
      <w:jc w:val="left"/>
      <w:spacing w:before="100" w:beforeAutospacing="1" w:after="100" w:afterAutospacing="1"/>
      <w:widowControl/>
    </w:pPr>
    <w:rPr>
      <w:rFonts w:ascii="宋体" w:hAnsi="宋体" w:eastAsia="宋体" w:cs="宋体"/>
      <w:sz w:val="20"/>
    </w:rPr>
  </w:style>
  <w:style w:type="paragraph" w:styleId="1133" w:customStyle="1">
    <w:name w:val="无间隔11"/>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默认段落字体 Para Char Char Char Char Char Char Char Char Char1 Char Char Char Char"/>
    <w:basedOn w:val="664"/>
    <w:uiPriority w:val="0"/>
    <w:qFormat/>
    <w:pPr>
      <w:jc w:val="left"/>
      <w:widowControl/>
    </w:pPr>
    <w:rPr>
      <w:rFonts w:ascii="Tahoma" w:hAnsi="Tahoma" w:eastAsia="宋体"/>
      <w:sz w:val="24"/>
    </w:rPr>
  </w:style>
  <w:style w:type="paragraph" w:styleId="1135" w:customStyle="1">
    <w:name w:val="正文 New New New New"/>
    <w:uiPriority w:val="0"/>
    <w:qFormat/>
    <w:pPr>
      <w:jc w:val="both"/>
      <w:widowControl w:val="off"/>
    </w:pPr>
    <w:rPr>
      <w:rFonts w:ascii="Calibri" w:hAnsi="Calibri" w:eastAsia="宋体" w:cs="Times New Roman"/>
      <w:sz w:val="21"/>
      <w:szCs w:val="24"/>
      <w:lang w:val="en-US" w:eastAsia="zh-CN" w:bidi="ar-SA"/>
    </w:rPr>
  </w:style>
  <w:style w:type="paragraph" w:styleId="1136" w:customStyle="1">
    <w:name w:val="font11"/>
    <w:basedOn w:val="664"/>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137" w:customStyle="1">
    <w:name w:val="xl67"/>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8" w:customStyle="1">
    <w:name w:val="Table Paragraph"/>
    <w:basedOn w:val="664"/>
    <w:uiPriority w:val="1"/>
    <w:qFormat/>
    <w:rPr>
      <w:rFonts w:ascii="仿宋" w:hAnsi="仿宋" w:eastAsia="仿宋" w:cs="仿宋"/>
      <w:sz w:val="21"/>
      <w:szCs w:val="24"/>
      <w:lang w:val="zh-CN" w:bidi="zh-CN"/>
    </w:rPr>
  </w:style>
  <w:style w:type="paragraph" w:styleId="1139" w:customStyle="1">
    <w:name w:val="Char2"/>
    <w:basedOn w:val="664"/>
    <w:uiPriority w:val="0"/>
    <w:qFormat/>
    <w:rPr>
      <w:rFonts w:ascii="仿宋_GB2312" w:hAnsi="Calibri" w:eastAsia="仿宋_GB2312"/>
      <w:b/>
      <w:sz w:val="32"/>
      <w:szCs w:val="32"/>
    </w:rPr>
  </w:style>
  <w:style w:type="paragraph" w:styleId="1140" w:customStyle="1">
    <w:name w:val="Char Char Char1 Char Char Char Char1"/>
    <w:basedOn w:val="664"/>
    <w:uiPriority w:val="0"/>
    <w:qFormat/>
    <w:pPr>
      <w:jc w:val="left"/>
      <w:spacing w:after="160" w:line="240" w:lineRule="exact"/>
      <w:widowControl/>
    </w:pPr>
    <w:rPr>
      <w:rFonts w:eastAsia="宋体"/>
      <w:sz w:val="24"/>
      <w:szCs w:val="24"/>
    </w:rPr>
  </w:style>
  <w:style w:type="character" w:styleId="1141" w:customStyle="1">
    <w:name w:val="font51"/>
    <w:uiPriority w:val="0"/>
    <w:qFormat/>
    <w:rPr>
      <w:rFonts w:hint="eastAsia" w:ascii="宋体" w:hAnsi="宋体" w:eastAsia="宋体" w:cs="宋体"/>
      <w:color w:val="000000"/>
      <w:sz w:val="20"/>
      <w:szCs w:val="20"/>
      <w:u w:val="none"/>
    </w:rPr>
  </w:style>
  <w:style w:type="paragraph" w:styleId="1142" w:customStyle="1">
    <w:name w:val="列表段落1"/>
    <w:basedOn w:val="664"/>
    <w:uiPriority w:val="99"/>
    <w:qFormat/>
    <w:pPr>
      <w:ind w:firstLine="420"/>
      <w:spacing w:line="360" w:lineRule="auto"/>
    </w:pPr>
    <w:rPr>
      <w:rFonts w:cs="宋体"/>
      <w:sz w:val="24"/>
    </w:rPr>
  </w:style>
  <w:style w:type="paragraph" w:styleId="1143" w:customStyle="1">
    <w:name w:val="正文首行缩进 21"/>
    <w:basedOn w:val="1144"/>
    <w:next w:val="664"/>
    <w:uiPriority w:val="0"/>
    <w:qFormat/>
    <w:pPr>
      <w:ind w:left="420" w:firstLine="420"/>
      <w:spacing w:after="120"/>
    </w:pPr>
    <w:rPr>
      <w:rFonts w:ascii="Times New Roman" w:eastAsia="楷体_GB2312"/>
    </w:rPr>
  </w:style>
  <w:style w:type="paragraph" w:styleId="1144" w:customStyle="1">
    <w:name w:val="正文文本缩进1"/>
    <w:basedOn w:val="664"/>
    <w:next w:val="664"/>
    <w:uiPriority w:val="0"/>
    <w:qFormat/>
    <w:pPr>
      <w:ind w:firstLine="570"/>
    </w:pPr>
    <w:rPr>
      <w:rFonts w:ascii="宋体" w:eastAsia="宋体"/>
    </w:rPr>
  </w:style>
  <w:style w:type="paragraph" w:styleId="1145" w:customStyle="1">
    <w:name w:val="普通(网站)1"/>
    <w:basedOn w:val="664"/>
    <w:uiPriority w:val="0"/>
    <w:qFormat/>
    <w:pPr>
      <w:jc w:val="left"/>
      <w:spacing w:before="100" w:after="100"/>
      <w:widowControl/>
    </w:pPr>
    <w:rPr>
      <w:rFonts w:ascii="宋体" w:hAnsi="宋体" w:eastAsia="宋体"/>
      <w:color w:val="000000"/>
      <w:sz w:val="24"/>
    </w:rPr>
  </w:style>
  <w:style w:type="paragraph" w:styleId="1146" w:customStyle="1">
    <w:name w:val="Body text|1"/>
    <w:basedOn w:val="664"/>
    <w:uiPriority w:val="0"/>
    <w:qFormat/>
    <w:pPr>
      <w:ind w:firstLine="400"/>
      <w:jc w:val="left"/>
    </w:pPr>
    <w:rPr>
      <w:rFonts w:ascii="宋体" w:hAnsi="宋体" w:eastAsia="宋体" w:cs="宋体"/>
      <w:color w:val="000000"/>
      <w:sz w:val="20"/>
      <w:lang w:val="zh-TW" w:eastAsia="zh-TW" w:bidi="zh-TW"/>
    </w:rPr>
  </w:style>
  <w:style w:type="paragraph" w:styleId="1147" w:customStyle="1">
    <w:name w:val="Revision"/>
    <w:hidden/>
    <w:uiPriority w:val="99"/>
    <w:unhideWhenUsed/>
    <w:qFormat/>
    <w:rPr>
      <w:rFonts w:ascii="Times New Roman" w:hAnsi="Times New Roman" w:eastAsia="楷体_GB2312" w:cs="Times New Roman"/>
      <w:sz w:val="28"/>
      <w:lang w:val="en-US" w:eastAsia="zh-CN" w:bidi="ar-SA"/>
    </w:rPr>
  </w:style>
  <w:style w:type="numbering" w:styleId="18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F55A86B8-853B-4418-8041-CF2D8311C56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dc:title>
  <dc:creator>U</dc:creator>
  <cp:lastModifiedBy>潘斌</cp:lastModifiedBy>
  <cp:revision>13</cp:revision>
  <dcterms:created xsi:type="dcterms:W3CDTF">2020-11-23T12:40:00Z</dcterms:created>
  <dcterms:modified xsi:type="dcterms:W3CDTF">2025-12-29T07:08:19Z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eyJoZGlkIjoiYjRiZmQwYTllMTQ1OGUyODdjMTRkZDMxMDA2MjNjM2QiLCJ1c2VySWQiOiIxMTU1MTIxNDc4In0=</vt:lpwstr>
  </property>
  <property fmtid="{D5CDD505-2E9C-101B-9397-08002B2CF9AE}" pid="3" name="KSOProductBuildVer">
    <vt:lpwstr>2052-12.1.0.24034</vt:lpwstr>
  </property>
  <property fmtid="{D5CDD505-2E9C-101B-9397-08002B2CF9AE}" pid="4" name="ICV">
    <vt:lpwstr>AC47AA2E21A34A929D5C4946798E1279_12</vt:lpwstr>
  </property>
</Properties>
</file>