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B6AF">
      <w:pPr>
        <w:spacing w:line="360" w:lineRule="auto"/>
        <w:jc w:val="center"/>
        <w:rPr>
          <w:rFonts w:hint="eastAsia" w:ascii="宋体" w:hAnsi="宋体" w:cs="宋体"/>
          <w:b/>
          <w:sz w:val="30"/>
          <w:szCs w:val="30"/>
          <w:lang w:eastAsia="zh-CN"/>
        </w:rPr>
      </w:pPr>
      <w:r>
        <w:rPr>
          <w:rFonts w:hint="eastAsia" w:ascii="宋体" w:hAnsi="宋体" w:cs="宋体"/>
          <w:b/>
          <w:sz w:val="30"/>
          <w:szCs w:val="30"/>
          <w:lang w:eastAsia="zh-CN"/>
        </w:rPr>
        <w:t>交警大队安全隐患消险改造项目</w:t>
      </w:r>
    </w:p>
    <w:p w14:paraId="299AEA72">
      <w:pPr>
        <w:spacing w:line="360" w:lineRule="auto"/>
        <w:jc w:val="center"/>
        <w:rPr>
          <w:rFonts w:ascii="宋体" w:hAnsi="宋体" w:cs="宋体"/>
          <w:b/>
          <w:sz w:val="30"/>
          <w:szCs w:val="30"/>
        </w:rPr>
      </w:pPr>
      <w:r>
        <w:rPr>
          <w:rFonts w:hint="eastAsia" w:ascii="宋体" w:hAnsi="宋体" w:cs="宋体"/>
          <w:b/>
          <w:sz w:val="30"/>
          <w:szCs w:val="30"/>
          <w:lang w:val="en-US" w:eastAsia="zh-CN"/>
        </w:rPr>
        <w:t>工程量清单</w:t>
      </w:r>
      <w:r>
        <w:rPr>
          <w:rFonts w:hint="eastAsia" w:ascii="宋体" w:hAnsi="宋体" w:cs="宋体"/>
          <w:b/>
          <w:sz w:val="30"/>
          <w:szCs w:val="30"/>
        </w:rPr>
        <w:t>编制说明</w:t>
      </w:r>
    </w:p>
    <w:p w14:paraId="38705E41">
      <w:pPr>
        <w:spacing w:line="360" w:lineRule="auto"/>
        <w:rPr>
          <w:rFonts w:ascii="宋体" w:hAnsi="宋体" w:cs="宋体"/>
          <w:b/>
          <w:sz w:val="24"/>
        </w:rPr>
      </w:pPr>
      <w:r>
        <w:rPr>
          <w:rFonts w:hint="eastAsia" w:ascii="宋体" w:hAnsi="宋体" w:cs="宋体"/>
          <w:b/>
          <w:sz w:val="24"/>
        </w:rPr>
        <w:t>一、工程概况</w:t>
      </w:r>
    </w:p>
    <w:p w14:paraId="1CDFD7EA">
      <w:pPr>
        <w:spacing w:line="360" w:lineRule="auto"/>
        <w:ind w:firstLine="480"/>
        <w:jc w:val="left"/>
        <w:rPr>
          <w:rFonts w:ascii="宋体" w:hAnsi="宋体" w:cs="宋体"/>
          <w:sz w:val="24"/>
          <w:lang w:val="zh-CN"/>
        </w:rPr>
      </w:pPr>
      <w:r>
        <w:rPr>
          <w:rFonts w:hint="eastAsia" w:ascii="宋体" w:hAnsi="宋体" w:cs="宋体"/>
          <w:sz w:val="24"/>
        </w:rPr>
        <w:t>1、</w:t>
      </w:r>
      <w:r>
        <w:rPr>
          <w:rFonts w:hint="eastAsia" w:ascii="宋体" w:hAnsi="宋体" w:cs="宋体"/>
          <w:sz w:val="24"/>
          <w:lang w:val="zh-CN"/>
        </w:rPr>
        <w:t>交警大队安全隐患消险改造项目位于</w:t>
      </w:r>
      <w:r>
        <w:rPr>
          <w:rFonts w:hint="eastAsia" w:ascii="宋体" w:hAnsi="宋体" w:cs="宋体"/>
          <w:sz w:val="24"/>
          <w:lang w:val="en-US" w:eastAsia="zh-CN"/>
        </w:rPr>
        <w:t>丹徒区交警大队内</w:t>
      </w:r>
      <w:r>
        <w:rPr>
          <w:rFonts w:hint="eastAsia" w:ascii="宋体" w:hAnsi="宋体" w:cs="宋体"/>
          <w:sz w:val="24"/>
          <w:lang w:val="zh-CN"/>
        </w:rPr>
        <w:t>，</w:t>
      </w:r>
      <w:r>
        <w:rPr>
          <w:rFonts w:hint="eastAsia" w:ascii="宋体" w:hAnsi="宋体" w:cs="宋体"/>
          <w:sz w:val="24"/>
        </w:rPr>
        <w:t>主要</w:t>
      </w:r>
      <w:r>
        <w:rPr>
          <w:rFonts w:hint="eastAsia" w:ascii="宋体" w:hAnsi="宋体" w:cs="宋体"/>
          <w:sz w:val="24"/>
          <w:lang w:val="en-US" w:eastAsia="zh-CN"/>
        </w:rPr>
        <w:t>消防消险工程</w:t>
      </w:r>
      <w:r>
        <w:rPr>
          <w:rFonts w:hint="eastAsia" w:ascii="宋体" w:hAnsi="宋体" w:cs="宋体"/>
          <w:sz w:val="24"/>
        </w:rPr>
        <w:t>等</w:t>
      </w:r>
      <w:r>
        <w:rPr>
          <w:rFonts w:hint="eastAsia" w:ascii="宋体" w:hAnsi="宋体" w:cs="宋体"/>
          <w:sz w:val="24"/>
          <w:lang w:val="zh-CN"/>
        </w:rPr>
        <w:t>。</w:t>
      </w:r>
    </w:p>
    <w:p w14:paraId="34138405">
      <w:pPr>
        <w:spacing w:line="360" w:lineRule="auto"/>
        <w:ind w:firstLine="480"/>
        <w:jc w:val="left"/>
        <w:rPr>
          <w:rFonts w:ascii="宋体" w:hAnsi="宋体" w:cs="宋体"/>
          <w:sz w:val="24"/>
          <w:lang w:val="zh-CN"/>
        </w:rPr>
      </w:pPr>
      <w:r>
        <w:rPr>
          <w:rFonts w:hint="eastAsia" w:ascii="宋体" w:hAnsi="宋体" w:cs="宋体"/>
          <w:sz w:val="24"/>
          <w:lang w:val="zh-CN"/>
        </w:rPr>
        <w:t>2、工期要求：详见招标文件。</w:t>
      </w:r>
    </w:p>
    <w:p w14:paraId="06CA1F17">
      <w:pPr>
        <w:spacing w:line="360" w:lineRule="auto"/>
        <w:ind w:firstLine="480"/>
        <w:jc w:val="left"/>
        <w:rPr>
          <w:rFonts w:ascii="宋体" w:hAnsi="宋体" w:cs="宋体"/>
          <w:sz w:val="24"/>
          <w:lang w:val="zh-CN"/>
        </w:rPr>
      </w:pPr>
      <w:r>
        <w:rPr>
          <w:rFonts w:hint="eastAsia" w:ascii="宋体" w:hAnsi="宋体" w:cs="宋体"/>
          <w:sz w:val="24"/>
          <w:lang w:val="zh-CN"/>
        </w:rPr>
        <w:t>3、质量要求：详见招标文件，同时应满足国家有关的设计、施工以及验收规范的要求。</w:t>
      </w:r>
    </w:p>
    <w:p w14:paraId="17BD4B56">
      <w:pPr>
        <w:spacing w:line="360" w:lineRule="auto"/>
        <w:outlineLvl w:val="0"/>
        <w:rPr>
          <w:rFonts w:ascii="宋体" w:hAnsi="宋体" w:cs="宋体"/>
          <w:b/>
          <w:sz w:val="24"/>
        </w:rPr>
      </w:pPr>
      <w:r>
        <w:rPr>
          <w:rFonts w:hint="eastAsia" w:ascii="宋体" w:hAnsi="宋体" w:cs="宋体"/>
          <w:b/>
          <w:sz w:val="24"/>
        </w:rPr>
        <w:t>二、工程量清单编制范围和依据</w:t>
      </w:r>
    </w:p>
    <w:p w14:paraId="50D812E8">
      <w:pPr>
        <w:spacing w:line="360" w:lineRule="auto"/>
        <w:ind w:firstLine="480" w:firstLineChars="200"/>
        <w:outlineLvl w:val="0"/>
        <w:rPr>
          <w:rFonts w:ascii="宋体" w:hAnsi="宋体" w:cs="宋体"/>
          <w:b/>
          <w:sz w:val="24"/>
        </w:rPr>
      </w:pPr>
      <w:r>
        <w:rPr>
          <w:rFonts w:hint="eastAsia" w:ascii="宋体" w:hAnsi="宋体" w:cs="宋体"/>
          <w:sz w:val="24"/>
        </w:rPr>
        <w:t>1、</w:t>
      </w:r>
      <w:r>
        <w:rPr>
          <w:rFonts w:hint="eastAsia" w:ascii="宋体" w:hAnsi="宋体" w:cs="宋体"/>
          <w:sz w:val="24"/>
          <w:lang w:val="zh-CN"/>
        </w:rPr>
        <w:t>本工程量清单根据</w:t>
      </w:r>
      <w:r>
        <w:rPr>
          <w:rFonts w:hint="eastAsia" w:ascii="宋体" w:hAnsi="宋体" w:cs="宋体"/>
          <w:sz w:val="24"/>
        </w:rPr>
        <w:t>业主</w:t>
      </w:r>
      <w:r>
        <w:rPr>
          <w:rFonts w:hint="eastAsia" w:ascii="宋体" w:hAnsi="宋体" w:cs="宋体"/>
          <w:sz w:val="24"/>
          <w:lang w:val="zh-CN"/>
        </w:rPr>
        <w:t>提供的</w:t>
      </w:r>
      <w:r>
        <w:rPr>
          <w:rFonts w:hint="eastAsia" w:ascii="宋体" w:hAnsi="宋体" w:cs="宋体"/>
          <w:sz w:val="24"/>
          <w:lang w:val="en-US" w:eastAsia="zh-CN"/>
        </w:rPr>
        <w:t>图纸等</w:t>
      </w:r>
      <w:r>
        <w:rPr>
          <w:rFonts w:hint="eastAsia" w:ascii="宋体" w:hAnsi="宋体" w:cs="宋体"/>
          <w:sz w:val="24"/>
        </w:rPr>
        <w:t>相关内容</w:t>
      </w:r>
      <w:r>
        <w:rPr>
          <w:rFonts w:hint="eastAsia" w:ascii="宋体" w:hAnsi="宋体" w:cs="宋体"/>
          <w:sz w:val="24"/>
          <w:lang w:val="zh-CN"/>
        </w:rPr>
        <w:t>；</w:t>
      </w:r>
      <w:r>
        <w:rPr>
          <w:rFonts w:hint="eastAsia" w:ascii="宋体" w:hAnsi="宋体" w:cs="宋体"/>
          <w:sz w:val="24"/>
        </w:rPr>
        <w:t>所有工程量清单；</w:t>
      </w:r>
      <w:r>
        <w:rPr>
          <w:rFonts w:hint="eastAsia" w:ascii="宋体" w:hAnsi="宋体" w:cs="宋体"/>
          <w:sz w:val="24"/>
          <w:lang w:val="zh-CN"/>
        </w:rPr>
        <w:t>与建设工程有关的标准、规范与技术资料；常规施工方案。</w:t>
      </w:r>
    </w:p>
    <w:p w14:paraId="5F9071E8">
      <w:pPr>
        <w:spacing w:line="360" w:lineRule="auto"/>
        <w:ind w:firstLine="480" w:firstLineChars="200"/>
        <w:jc w:val="left"/>
        <w:rPr>
          <w:rFonts w:ascii="宋体" w:hAnsi="宋体" w:cs="宋体"/>
          <w:sz w:val="24"/>
          <w:lang w:val="zh-CN"/>
        </w:rPr>
      </w:pPr>
      <w:r>
        <w:rPr>
          <w:rFonts w:hint="eastAsia" w:ascii="宋体" w:hAnsi="宋体" w:cs="宋体"/>
          <w:sz w:val="24"/>
        </w:rPr>
        <w:t>2.</w:t>
      </w:r>
      <w:r>
        <w:rPr>
          <w:rFonts w:hint="eastAsia" w:ascii="宋体" w:hAnsi="宋体" w:cs="宋体"/>
          <w:sz w:val="24"/>
          <w:lang w:val="zh-CN"/>
        </w:rPr>
        <w:t>本工程采用工程量清单计价方式，执行</w:t>
      </w:r>
      <w:r>
        <w:rPr>
          <w:rFonts w:hint="eastAsia" w:ascii="宋体" w:hAnsi="宋体" w:cs="宋体"/>
          <w:sz w:val="24"/>
        </w:rPr>
        <w:t>《建设工程工程量清单计价规范》（GB50500-2013）、《江苏省建筑与装饰工程量计算规范》（GB50857-2013）、《江苏省建筑与装饰工程计价定额》（2014版）</w:t>
      </w:r>
      <w:r>
        <w:rPr>
          <w:rFonts w:hint="eastAsia" w:ascii="宋体" w:hAnsi="宋体" w:cs="宋体"/>
          <w:sz w:val="24"/>
          <w:lang w:eastAsia="zh-CN"/>
        </w:rPr>
        <w:t>、</w:t>
      </w:r>
      <w:r>
        <w:rPr>
          <w:rFonts w:hint="eastAsia" w:ascii="宋体" w:hAnsi="宋体" w:cs="宋体"/>
          <w:sz w:val="24"/>
          <w:lang w:val="en-US" w:eastAsia="zh-CN"/>
        </w:rPr>
        <w:t>2014版《江苏省建设工程费用定额》</w:t>
      </w:r>
      <w:r>
        <w:rPr>
          <w:rFonts w:hint="eastAsia" w:ascii="宋体" w:hAnsi="宋体" w:cs="宋体"/>
          <w:sz w:val="24"/>
        </w:rPr>
        <w:t>及</w:t>
      </w:r>
      <w:r>
        <w:rPr>
          <w:rFonts w:hint="eastAsia" w:ascii="宋体" w:hAnsi="宋体" w:cs="宋体"/>
          <w:sz w:val="24"/>
          <w:lang w:val="zh-CN"/>
        </w:rPr>
        <w:t>《苏建函价2025_2号文》营改</w:t>
      </w:r>
      <w:r>
        <w:rPr>
          <w:rFonts w:hint="eastAsia" w:ascii="宋体" w:hAnsi="宋体" w:cs="宋体"/>
          <w:sz w:val="24"/>
          <w:lang w:val="en-US" w:eastAsia="zh-CN"/>
        </w:rPr>
        <w:t>增</w:t>
      </w:r>
      <w:r>
        <w:rPr>
          <w:rFonts w:hint="eastAsia" w:ascii="宋体" w:hAnsi="宋体" w:cs="宋体"/>
          <w:sz w:val="24"/>
          <w:lang w:val="zh-CN"/>
        </w:rPr>
        <w:t>后调整内容。</w:t>
      </w:r>
      <w:bookmarkStart w:id="0" w:name="_GoBack"/>
      <w:bookmarkEnd w:id="0"/>
    </w:p>
    <w:p w14:paraId="248385BB">
      <w:pPr>
        <w:spacing w:line="360" w:lineRule="auto"/>
        <w:ind w:firstLine="480" w:firstLineChars="200"/>
        <w:jc w:val="left"/>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rPr>
        <w:t>、执行</w:t>
      </w:r>
      <w:r>
        <w:rPr>
          <w:rFonts w:hint="eastAsia" w:ascii="宋体" w:hAnsi="宋体" w:cs="宋体"/>
          <w:sz w:val="24"/>
          <w:lang w:val="en-US" w:eastAsia="zh-CN"/>
        </w:rPr>
        <w:t>江苏省、</w:t>
      </w:r>
      <w:r>
        <w:rPr>
          <w:rFonts w:hint="eastAsia" w:ascii="宋体" w:hAnsi="宋体" w:cs="宋体"/>
          <w:sz w:val="24"/>
          <w:lang w:val="zh-CN"/>
        </w:rPr>
        <w:t>镇江</w:t>
      </w:r>
      <w:r>
        <w:rPr>
          <w:rFonts w:hint="eastAsia" w:ascii="宋体" w:hAnsi="宋体" w:cs="宋体"/>
          <w:sz w:val="24"/>
          <w:lang w:val="en-US" w:eastAsia="zh-CN"/>
        </w:rPr>
        <w:t>市</w:t>
      </w:r>
      <w:r>
        <w:rPr>
          <w:rFonts w:hint="eastAsia" w:ascii="宋体" w:hAnsi="宋体" w:cs="宋体"/>
          <w:sz w:val="24"/>
          <w:lang w:val="zh-CN"/>
        </w:rPr>
        <w:t>的相关计价规定。</w:t>
      </w:r>
    </w:p>
    <w:p w14:paraId="3B94F21F">
      <w:pPr>
        <w:spacing w:line="3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、委托方编标要求。</w:t>
      </w:r>
    </w:p>
    <w:p w14:paraId="562D2433">
      <w:pPr>
        <w:tabs>
          <w:tab w:val="left" w:pos="540"/>
          <w:tab w:val="left" w:pos="2700"/>
          <w:tab w:val="left" w:pos="5040"/>
        </w:tabs>
        <w:spacing w:line="380" w:lineRule="exact"/>
        <w:outlineLvl w:val="0"/>
        <w:rPr>
          <w:rFonts w:ascii="宋体" w:hAnsi="宋体" w:cs="宋体"/>
          <w:b/>
          <w:sz w:val="24"/>
        </w:rPr>
      </w:pPr>
      <w:r>
        <w:rPr>
          <w:rFonts w:hint="eastAsia" w:ascii="宋体" w:hAnsi="宋体" w:cs="宋体"/>
          <w:b/>
          <w:sz w:val="24"/>
        </w:rPr>
        <w:t>三、工程类别及取费标准</w:t>
      </w:r>
    </w:p>
    <w:p w14:paraId="3A05BCCE">
      <w:pPr>
        <w:spacing w:line="360" w:lineRule="auto"/>
        <w:ind w:firstLine="480" w:firstLineChars="200"/>
        <w:rPr>
          <w:rFonts w:hint="eastAsia" w:ascii="宋体" w:hAnsi="宋体" w:cs="宋体"/>
          <w:sz w:val="24"/>
        </w:rPr>
      </w:pPr>
      <w:r>
        <w:rPr>
          <w:rFonts w:hint="eastAsia" w:ascii="宋体" w:hAnsi="宋体" w:cs="宋体"/>
          <w:sz w:val="24"/>
        </w:rPr>
        <w:t>1、工程类别按2014年《江苏省建设工程费用定额》划分标准执行。</w:t>
      </w:r>
    </w:p>
    <w:p w14:paraId="1E05AD1F">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color w:val="000000"/>
          <w:sz w:val="24"/>
        </w:rPr>
        <w:t>规费及现场安全文明措施费率：</w:t>
      </w:r>
      <w:r>
        <w:rPr>
          <w:rFonts w:hint="eastAsia" w:ascii="宋体" w:hAnsi="宋体" w:cs="宋体"/>
          <w:sz w:val="24"/>
        </w:rPr>
        <w:t>安全文明施工措施费、各项规费、税金按镇江市规定费率计取，其余由各投标单位自主报价。</w:t>
      </w:r>
    </w:p>
    <w:p w14:paraId="4A0EF7EA">
      <w:pPr>
        <w:spacing w:line="360" w:lineRule="auto"/>
        <w:ind w:firstLine="480" w:firstLineChars="200"/>
        <w:rPr>
          <w:rFonts w:ascii="宋体" w:hAnsi="宋体" w:cs="宋体"/>
          <w:sz w:val="24"/>
        </w:rPr>
      </w:pPr>
      <w:r>
        <w:rPr>
          <w:rFonts w:hint="eastAsia" w:ascii="宋体" w:hAnsi="宋体" w:cs="宋体"/>
          <w:sz w:val="24"/>
        </w:rPr>
        <w:t>3、各项规费税金税率（%）如下：</w:t>
      </w:r>
    </w:p>
    <w:tbl>
      <w:tblPr>
        <w:tblStyle w:val="5"/>
        <w:tblW w:w="8946" w:type="dxa"/>
        <w:tblInd w:w="0" w:type="dxa"/>
        <w:tblLayout w:type="fixed"/>
        <w:tblCellMar>
          <w:top w:w="0" w:type="dxa"/>
          <w:left w:w="0" w:type="dxa"/>
          <w:bottom w:w="0" w:type="dxa"/>
          <w:right w:w="0" w:type="dxa"/>
        </w:tblCellMar>
      </w:tblPr>
      <w:tblGrid>
        <w:gridCol w:w="1797"/>
        <w:gridCol w:w="1136"/>
        <w:gridCol w:w="900"/>
        <w:gridCol w:w="1080"/>
        <w:gridCol w:w="1186"/>
        <w:gridCol w:w="1276"/>
        <w:gridCol w:w="1571"/>
      </w:tblGrid>
      <w:tr w14:paraId="5072BF7E">
        <w:tblPrEx>
          <w:tblCellMar>
            <w:top w:w="0" w:type="dxa"/>
            <w:left w:w="0" w:type="dxa"/>
            <w:bottom w:w="0" w:type="dxa"/>
            <w:right w:w="0" w:type="dxa"/>
          </w:tblCellMar>
        </w:tblPrEx>
        <w:trPr>
          <w:cantSplit/>
          <w:trHeight w:val="312" w:hRule="atLeast"/>
        </w:trPr>
        <w:tc>
          <w:tcPr>
            <w:tcW w:w="179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EE80F1">
            <w:pPr>
              <w:jc w:val="center"/>
              <w:rPr>
                <w:rFonts w:hint="eastAsia" w:ascii="宋体" w:hAnsi="宋体" w:eastAsia="宋体" w:cs="宋体"/>
                <w:szCs w:val="21"/>
              </w:rPr>
            </w:pPr>
            <w:r>
              <w:rPr>
                <w:rFonts w:hint="eastAsia" w:ascii="宋体" w:hAnsi="宋体" w:eastAsia="宋体" w:cs="宋体"/>
                <w:szCs w:val="21"/>
              </w:rPr>
              <w:t>工程项目</w:t>
            </w:r>
          </w:p>
        </w:tc>
        <w:tc>
          <w:tcPr>
            <w:tcW w:w="1136" w:type="dxa"/>
            <w:vMerge w:val="restart"/>
            <w:tcBorders>
              <w:top w:val="single" w:color="auto" w:sz="4" w:space="0"/>
              <w:left w:val="single" w:color="auto" w:sz="4" w:space="0"/>
              <w:right w:val="single" w:color="auto" w:sz="4" w:space="0"/>
            </w:tcBorders>
            <w:noWrap/>
            <w:vAlign w:val="center"/>
          </w:tcPr>
          <w:p w14:paraId="355FDC29">
            <w:pPr>
              <w:jc w:val="center"/>
              <w:rPr>
                <w:rFonts w:hint="eastAsia" w:ascii="宋体" w:hAnsi="宋体" w:eastAsia="宋体" w:cs="宋体"/>
                <w:szCs w:val="21"/>
              </w:rPr>
            </w:pPr>
            <w:r>
              <w:rPr>
                <w:rFonts w:hint="eastAsia" w:ascii="宋体" w:hAnsi="宋体" w:eastAsia="宋体" w:cs="宋体"/>
                <w:szCs w:val="21"/>
              </w:rPr>
              <w:t>社会保</w:t>
            </w:r>
          </w:p>
          <w:p w14:paraId="539F5E9E">
            <w:pPr>
              <w:jc w:val="center"/>
              <w:rPr>
                <w:rFonts w:hint="eastAsia" w:ascii="宋体" w:hAnsi="宋体" w:eastAsia="宋体" w:cs="宋体"/>
                <w:szCs w:val="21"/>
              </w:rPr>
            </w:pPr>
            <w:r>
              <w:rPr>
                <w:rFonts w:hint="eastAsia" w:ascii="宋体" w:hAnsi="宋体" w:eastAsia="宋体" w:cs="宋体"/>
                <w:szCs w:val="21"/>
              </w:rPr>
              <w:t>障费率</w:t>
            </w:r>
          </w:p>
          <w:p w14:paraId="3E5D7423">
            <w:pPr>
              <w:jc w:val="center"/>
              <w:rPr>
                <w:rFonts w:hint="eastAsia" w:ascii="宋体" w:hAnsi="宋体" w:eastAsia="宋体" w:cs="宋体"/>
                <w:szCs w:val="21"/>
              </w:rPr>
            </w:pPr>
            <w:r>
              <w:rPr>
                <w:rFonts w:hint="eastAsia" w:ascii="宋体" w:hAnsi="宋体" w:eastAsia="宋体" w:cs="宋体"/>
                <w:kern w:val="0"/>
                <w:szCs w:val="21"/>
              </w:rPr>
              <w:t>（%）</w:t>
            </w:r>
          </w:p>
        </w:tc>
        <w:tc>
          <w:tcPr>
            <w:tcW w:w="900" w:type="dxa"/>
            <w:vMerge w:val="restart"/>
            <w:tcBorders>
              <w:top w:val="single" w:color="auto" w:sz="4" w:space="0"/>
              <w:left w:val="single" w:color="auto" w:sz="4" w:space="0"/>
              <w:right w:val="single" w:color="auto" w:sz="4" w:space="0"/>
            </w:tcBorders>
            <w:noWrap/>
            <w:vAlign w:val="center"/>
          </w:tcPr>
          <w:p w14:paraId="0B24455C">
            <w:pPr>
              <w:jc w:val="center"/>
              <w:rPr>
                <w:rFonts w:hint="eastAsia" w:ascii="宋体" w:hAnsi="宋体" w:eastAsia="宋体" w:cs="宋体"/>
                <w:szCs w:val="21"/>
              </w:rPr>
            </w:pPr>
            <w:r>
              <w:rPr>
                <w:rFonts w:hint="eastAsia" w:ascii="宋体" w:hAnsi="宋体" w:eastAsia="宋体" w:cs="宋体"/>
                <w:szCs w:val="21"/>
              </w:rPr>
              <w:t>公积金</w:t>
            </w:r>
          </w:p>
          <w:p w14:paraId="036B4DBD">
            <w:pPr>
              <w:jc w:val="center"/>
              <w:rPr>
                <w:rFonts w:hint="eastAsia" w:ascii="宋体" w:hAnsi="宋体" w:eastAsia="宋体" w:cs="宋体"/>
                <w:szCs w:val="21"/>
              </w:rPr>
            </w:pPr>
            <w:r>
              <w:rPr>
                <w:rFonts w:hint="eastAsia" w:ascii="宋体" w:hAnsi="宋体" w:eastAsia="宋体" w:cs="宋体"/>
                <w:szCs w:val="21"/>
              </w:rPr>
              <w:t>费率</w:t>
            </w:r>
          </w:p>
          <w:p w14:paraId="4D1065F5">
            <w:pPr>
              <w:jc w:val="center"/>
              <w:rPr>
                <w:rFonts w:hint="eastAsia" w:ascii="宋体" w:hAnsi="宋体" w:eastAsia="宋体" w:cs="宋体"/>
                <w:szCs w:val="21"/>
              </w:rPr>
            </w:pPr>
            <w:r>
              <w:rPr>
                <w:rFonts w:hint="eastAsia" w:ascii="宋体" w:hAnsi="宋体" w:eastAsia="宋体" w:cs="宋体"/>
                <w:kern w:val="0"/>
                <w:szCs w:val="21"/>
              </w:rPr>
              <w:t>（%）</w:t>
            </w:r>
          </w:p>
        </w:tc>
        <w:tc>
          <w:tcPr>
            <w:tcW w:w="1080" w:type="dxa"/>
            <w:vMerge w:val="restart"/>
            <w:tcBorders>
              <w:top w:val="single" w:color="auto" w:sz="4" w:space="0"/>
              <w:left w:val="single" w:color="auto" w:sz="4" w:space="0"/>
              <w:right w:val="single" w:color="auto" w:sz="4" w:space="0"/>
            </w:tcBorders>
            <w:noWrap/>
            <w:vAlign w:val="center"/>
          </w:tcPr>
          <w:p w14:paraId="7F021D3F">
            <w:pPr>
              <w:jc w:val="center"/>
              <w:rPr>
                <w:rFonts w:hint="eastAsia" w:ascii="宋体" w:hAnsi="宋体" w:eastAsia="宋体" w:cs="宋体"/>
                <w:color w:val="auto"/>
                <w:szCs w:val="21"/>
              </w:rPr>
            </w:pPr>
            <w:r>
              <w:rPr>
                <w:rFonts w:hint="eastAsia" w:ascii="宋体" w:hAnsi="宋体" w:eastAsia="宋体" w:cs="宋体"/>
                <w:color w:val="auto"/>
                <w:szCs w:val="21"/>
              </w:rPr>
              <w:t>增值税税率</w:t>
            </w:r>
          </w:p>
          <w:p w14:paraId="0F8813D9">
            <w:pPr>
              <w:jc w:val="center"/>
              <w:rPr>
                <w:rFonts w:hint="eastAsia" w:ascii="宋体" w:hAnsi="宋体" w:eastAsia="宋体" w:cs="宋体"/>
                <w:szCs w:val="21"/>
              </w:rPr>
            </w:pPr>
            <w:r>
              <w:rPr>
                <w:rFonts w:hint="eastAsia" w:ascii="宋体" w:hAnsi="宋体" w:eastAsia="宋体" w:cs="宋体"/>
                <w:color w:val="auto"/>
                <w:kern w:val="0"/>
                <w:szCs w:val="21"/>
              </w:rPr>
              <w:t>（%）</w:t>
            </w:r>
          </w:p>
        </w:tc>
        <w:tc>
          <w:tcPr>
            <w:tcW w:w="4033" w:type="dxa"/>
            <w:gridSpan w:val="3"/>
            <w:tcBorders>
              <w:top w:val="single" w:color="auto" w:sz="4" w:space="0"/>
              <w:left w:val="single" w:color="auto" w:sz="4" w:space="0"/>
              <w:bottom w:val="single" w:color="auto" w:sz="4" w:space="0"/>
              <w:right w:val="single" w:color="auto" w:sz="4" w:space="0"/>
            </w:tcBorders>
            <w:noWrap/>
            <w:vAlign w:val="center"/>
          </w:tcPr>
          <w:p w14:paraId="4DD3871D">
            <w:pPr>
              <w:jc w:val="center"/>
              <w:rPr>
                <w:rFonts w:hint="eastAsia" w:ascii="宋体" w:hAnsi="宋体" w:eastAsia="宋体" w:cs="宋体"/>
                <w:szCs w:val="21"/>
              </w:rPr>
            </w:pPr>
            <w:r>
              <w:rPr>
                <w:rFonts w:hint="eastAsia" w:ascii="宋体" w:hAnsi="宋体" w:eastAsia="宋体" w:cs="宋体"/>
                <w:szCs w:val="21"/>
              </w:rPr>
              <w:t>现场安全文明施工措施费率</w:t>
            </w:r>
          </w:p>
        </w:tc>
      </w:tr>
      <w:tr w14:paraId="1A59C242">
        <w:tblPrEx>
          <w:tblCellMar>
            <w:top w:w="0" w:type="dxa"/>
            <w:left w:w="0" w:type="dxa"/>
            <w:bottom w:w="0" w:type="dxa"/>
            <w:right w:w="0" w:type="dxa"/>
          </w:tblCellMar>
        </w:tblPrEx>
        <w:trPr>
          <w:cantSplit/>
          <w:trHeight w:val="836" w:hRule="atLeast"/>
        </w:trPr>
        <w:tc>
          <w:tcPr>
            <w:tcW w:w="1797" w:type="dxa"/>
            <w:vMerge w:val="continue"/>
            <w:tcBorders>
              <w:top w:val="single" w:color="auto" w:sz="4" w:space="0"/>
              <w:left w:val="single" w:color="auto" w:sz="4" w:space="0"/>
              <w:bottom w:val="single" w:color="auto" w:sz="4" w:space="0"/>
              <w:right w:val="single" w:color="auto" w:sz="4" w:space="0"/>
            </w:tcBorders>
            <w:noWrap/>
            <w:vAlign w:val="center"/>
          </w:tcPr>
          <w:p w14:paraId="231491D3">
            <w:pPr>
              <w:jc w:val="center"/>
              <w:rPr>
                <w:rFonts w:hint="eastAsia" w:ascii="宋体" w:hAnsi="宋体" w:eastAsia="宋体" w:cs="宋体"/>
                <w:szCs w:val="21"/>
              </w:rPr>
            </w:pPr>
          </w:p>
        </w:tc>
        <w:tc>
          <w:tcPr>
            <w:tcW w:w="1136" w:type="dxa"/>
            <w:vMerge w:val="continue"/>
            <w:tcBorders>
              <w:left w:val="single" w:color="auto" w:sz="4" w:space="0"/>
              <w:bottom w:val="single" w:color="auto" w:sz="4" w:space="0"/>
              <w:right w:val="single" w:color="auto" w:sz="4" w:space="0"/>
            </w:tcBorders>
            <w:noWrap/>
            <w:vAlign w:val="center"/>
          </w:tcPr>
          <w:p w14:paraId="4675D9EC">
            <w:pPr>
              <w:jc w:val="center"/>
              <w:rPr>
                <w:rFonts w:hint="eastAsia" w:ascii="宋体" w:hAnsi="宋体" w:eastAsia="宋体" w:cs="宋体"/>
                <w:szCs w:val="21"/>
              </w:rPr>
            </w:pPr>
          </w:p>
        </w:tc>
        <w:tc>
          <w:tcPr>
            <w:tcW w:w="900" w:type="dxa"/>
            <w:vMerge w:val="continue"/>
            <w:tcBorders>
              <w:left w:val="single" w:color="auto" w:sz="4" w:space="0"/>
              <w:bottom w:val="single" w:color="auto" w:sz="4" w:space="0"/>
              <w:right w:val="single" w:color="auto" w:sz="4" w:space="0"/>
            </w:tcBorders>
            <w:noWrap/>
            <w:vAlign w:val="center"/>
          </w:tcPr>
          <w:p w14:paraId="0AC062DF">
            <w:pPr>
              <w:jc w:val="center"/>
              <w:rPr>
                <w:rFonts w:hint="eastAsia" w:ascii="宋体" w:hAnsi="宋体" w:eastAsia="宋体" w:cs="宋体"/>
                <w:szCs w:val="21"/>
              </w:rPr>
            </w:pPr>
          </w:p>
        </w:tc>
        <w:tc>
          <w:tcPr>
            <w:tcW w:w="1080" w:type="dxa"/>
            <w:vMerge w:val="continue"/>
            <w:tcBorders>
              <w:left w:val="single" w:color="auto" w:sz="4" w:space="0"/>
              <w:bottom w:val="single" w:color="auto" w:sz="4" w:space="0"/>
              <w:right w:val="single" w:color="auto" w:sz="4" w:space="0"/>
            </w:tcBorders>
            <w:noWrap/>
            <w:vAlign w:val="center"/>
          </w:tcPr>
          <w:p w14:paraId="6B513117">
            <w:pPr>
              <w:jc w:val="center"/>
              <w:rPr>
                <w:rFonts w:hint="eastAsia" w:ascii="宋体" w:hAnsi="宋体" w:eastAsia="宋体" w:cs="宋体"/>
                <w:szCs w:val="21"/>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14336C03">
            <w:pPr>
              <w:jc w:val="center"/>
              <w:rPr>
                <w:rFonts w:hint="eastAsia" w:ascii="宋体" w:hAnsi="宋体" w:eastAsia="宋体" w:cs="宋体"/>
                <w:szCs w:val="21"/>
              </w:rPr>
            </w:pPr>
            <w:r>
              <w:rPr>
                <w:rFonts w:hint="eastAsia" w:ascii="宋体" w:hAnsi="宋体" w:eastAsia="宋体" w:cs="宋体"/>
                <w:szCs w:val="21"/>
              </w:rPr>
              <w:t>基本费率</w:t>
            </w:r>
          </w:p>
          <w:p w14:paraId="0800A1FC">
            <w:pPr>
              <w:jc w:val="center"/>
              <w:rPr>
                <w:rFonts w:hint="eastAsia" w:ascii="宋体" w:hAnsi="宋体" w:eastAsia="宋体" w:cs="宋体"/>
                <w:szCs w:val="21"/>
              </w:rPr>
            </w:pPr>
            <w:r>
              <w:rPr>
                <w:rFonts w:hint="eastAsia" w:ascii="宋体" w:hAnsi="宋体" w:eastAsia="宋体" w:cs="宋体"/>
                <w:kern w:val="0"/>
                <w:szCs w:val="21"/>
              </w:rPr>
              <w:t>（%）</w:t>
            </w:r>
          </w:p>
        </w:tc>
        <w:tc>
          <w:tcPr>
            <w:tcW w:w="1276" w:type="dxa"/>
            <w:tcBorders>
              <w:top w:val="single" w:color="auto" w:sz="4" w:space="0"/>
              <w:left w:val="single" w:color="auto" w:sz="4" w:space="0"/>
              <w:bottom w:val="single" w:color="auto" w:sz="4" w:space="0"/>
              <w:right w:val="single" w:color="auto" w:sz="4" w:space="0"/>
            </w:tcBorders>
            <w:noWrap/>
            <w:vAlign w:val="center"/>
          </w:tcPr>
          <w:p w14:paraId="27AF9A96">
            <w:pPr>
              <w:jc w:val="center"/>
              <w:rPr>
                <w:rFonts w:hint="eastAsia" w:ascii="宋体" w:hAnsi="宋体" w:eastAsia="宋体" w:cs="宋体"/>
                <w:szCs w:val="21"/>
              </w:rPr>
            </w:pPr>
            <w:r>
              <w:rPr>
                <w:rFonts w:hint="eastAsia" w:ascii="宋体" w:hAnsi="宋体" w:eastAsia="宋体" w:cs="宋体"/>
                <w:szCs w:val="21"/>
              </w:rPr>
              <w:t>增加费率</w:t>
            </w:r>
          </w:p>
          <w:p w14:paraId="72CA5C16">
            <w:pPr>
              <w:jc w:val="center"/>
              <w:rPr>
                <w:rFonts w:hint="eastAsia" w:ascii="宋体" w:hAnsi="宋体" w:eastAsia="宋体" w:cs="宋体"/>
                <w:szCs w:val="21"/>
              </w:rPr>
            </w:pPr>
            <w:r>
              <w:rPr>
                <w:rFonts w:hint="eastAsia" w:ascii="宋体" w:hAnsi="宋体" w:eastAsia="宋体" w:cs="宋体"/>
                <w:kern w:val="0"/>
                <w:szCs w:val="21"/>
              </w:rPr>
              <w:t>（%）</w:t>
            </w:r>
          </w:p>
        </w:tc>
        <w:tc>
          <w:tcPr>
            <w:tcW w:w="1571" w:type="dxa"/>
            <w:tcBorders>
              <w:top w:val="single" w:color="auto" w:sz="4" w:space="0"/>
              <w:left w:val="single" w:color="auto" w:sz="4" w:space="0"/>
              <w:bottom w:val="single" w:color="auto" w:sz="4" w:space="0"/>
              <w:right w:val="single" w:color="auto" w:sz="4" w:space="0"/>
            </w:tcBorders>
            <w:noWrap/>
            <w:vAlign w:val="center"/>
          </w:tcPr>
          <w:p w14:paraId="380D8A15">
            <w:pPr>
              <w:jc w:val="center"/>
              <w:rPr>
                <w:rFonts w:hint="eastAsia" w:ascii="宋体" w:hAnsi="宋体" w:eastAsia="宋体" w:cs="宋体"/>
                <w:szCs w:val="21"/>
              </w:rPr>
            </w:pPr>
            <w:r>
              <w:rPr>
                <w:rFonts w:hint="eastAsia" w:ascii="宋体" w:hAnsi="宋体" w:eastAsia="宋体" w:cs="宋体"/>
                <w:szCs w:val="21"/>
              </w:rPr>
              <w:t>扬尘污染防治</w:t>
            </w:r>
          </w:p>
          <w:p w14:paraId="694AFDA2">
            <w:pPr>
              <w:jc w:val="center"/>
              <w:rPr>
                <w:rFonts w:hint="eastAsia" w:ascii="宋体" w:hAnsi="宋体" w:eastAsia="宋体" w:cs="宋体"/>
                <w:szCs w:val="21"/>
              </w:rPr>
            </w:pPr>
            <w:r>
              <w:rPr>
                <w:rFonts w:hint="eastAsia" w:ascii="宋体" w:hAnsi="宋体" w:eastAsia="宋体" w:cs="宋体"/>
                <w:szCs w:val="21"/>
              </w:rPr>
              <w:t>增加费（%）</w:t>
            </w:r>
          </w:p>
        </w:tc>
      </w:tr>
      <w:tr w14:paraId="26876B76">
        <w:tblPrEx>
          <w:tblCellMar>
            <w:top w:w="0" w:type="dxa"/>
            <w:left w:w="0" w:type="dxa"/>
            <w:bottom w:w="0" w:type="dxa"/>
            <w:right w:w="0" w:type="dxa"/>
          </w:tblCellMar>
        </w:tblPrEx>
        <w:trPr>
          <w:trHeight w:val="427" w:hRule="atLeast"/>
        </w:trPr>
        <w:tc>
          <w:tcPr>
            <w:tcW w:w="17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78D680">
            <w:pPr>
              <w:jc w:val="center"/>
              <w:rPr>
                <w:rFonts w:hint="default" w:ascii="宋体" w:hAnsi="宋体" w:cs="宋体"/>
                <w:szCs w:val="21"/>
                <w:lang w:val="en-US" w:eastAsia="zh-CN"/>
              </w:rPr>
            </w:pPr>
            <w:r>
              <w:rPr>
                <w:rFonts w:hint="eastAsia" w:ascii="宋体" w:hAnsi="宋体" w:cs="宋体"/>
                <w:szCs w:val="21"/>
                <w:lang w:val="en-US" w:eastAsia="zh-CN"/>
              </w:rPr>
              <w:t>装修改造工程</w:t>
            </w:r>
          </w:p>
        </w:tc>
        <w:tc>
          <w:tcPr>
            <w:tcW w:w="1136" w:type="dxa"/>
            <w:tcBorders>
              <w:top w:val="single" w:color="auto" w:sz="4" w:space="0"/>
              <w:left w:val="single" w:color="auto" w:sz="4" w:space="0"/>
              <w:bottom w:val="single" w:color="auto" w:sz="4" w:space="0"/>
              <w:right w:val="single" w:color="auto" w:sz="4" w:space="0"/>
            </w:tcBorders>
            <w:noWrap/>
            <w:vAlign w:val="center"/>
          </w:tcPr>
          <w:p w14:paraId="481D1CB4">
            <w:pPr>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3.8</w:t>
            </w:r>
          </w:p>
        </w:tc>
        <w:tc>
          <w:tcPr>
            <w:tcW w:w="900" w:type="dxa"/>
            <w:tcBorders>
              <w:top w:val="single" w:color="auto" w:sz="4" w:space="0"/>
              <w:left w:val="single" w:color="auto" w:sz="4" w:space="0"/>
              <w:bottom w:val="single" w:color="auto" w:sz="4" w:space="0"/>
              <w:right w:val="single" w:color="auto" w:sz="4" w:space="0"/>
            </w:tcBorders>
            <w:noWrap/>
            <w:vAlign w:val="center"/>
          </w:tcPr>
          <w:p w14:paraId="38982122">
            <w:pPr>
              <w:jc w:val="center"/>
              <w:rPr>
                <w:rFonts w:hint="default" w:ascii="宋体" w:hAnsi="宋体" w:cs="宋体"/>
                <w:bCs/>
                <w:szCs w:val="21"/>
                <w:lang w:val="en-US" w:eastAsia="zh-CN"/>
              </w:rPr>
            </w:pPr>
            <w:r>
              <w:rPr>
                <w:rFonts w:hint="eastAsia" w:ascii="宋体" w:hAnsi="宋体" w:cs="宋体"/>
                <w:bCs/>
                <w:color w:val="auto"/>
                <w:szCs w:val="21"/>
                <w:lang w:val="en-US" w:eastAsia="zh-CN"/>
              </w:rPr>
              <w:t>0.67</w:t>
            </w:r>
          </w:p>
        </w:tc>
        <w:tc>
          <w:tcPr>
            <w:tcW w:w="1080" w:type="dxa"/>
            <w:tcBorders>
              <w:top w:val="single" w:color="auto" w:sz="4" w:space="0"/>
              <w:left w:val="single" w:color="auto" w:sz="4" w:space="0"/>
              <w:bottom w:val="single" w:color="auto" w:sz="4" w:space="0"/>
              <w:right w:val="single" w:color="auto" w:sz="4" w:space="0"/>
            </w:tcBorders>
            <w:noWrap/>
            <w:vAlign w:val="center"/>
          </w:tcPr>
          <w:p w14:paraId="0489DA1D">
            <w:pPr>
              <w:jc w:val="center"/>
              <w:rPr>
                <w:rFonts w:hint="eastAsia" w:ascii="宋体" w:hAnsi="宋体" w:eastAsia="宋体" w:cs="宋体"/>
                <w:bCs/>
                <w:szCs w:val="21"/>
              </w:rPr>
            </w:pPr>
            <w:r>
              <w:rPr>
                <w:rFonts w:hint="eastAsia" w:ascii="宋体" w:hAnsi="宋体" w:cs="宋体"/>
                <w:bCs/>
                <w:szCs w:val="21"/>
                <w:lang w:val="en-US" w:eastAsia="zh-CN"/>
              </w:rPr>
              <w:t>9</w:t>
            </w:r>
          </w:p>
        </w:tc>
        <w:tc>
          <w:tcPr>
            <w:tcW w:w="1186" w:type="dxa"/>
            <w:tcBorders>
              <w:top w:val="single" w:color="auto" w:sz="4" w:space="0"/>
              <w:left w:val="single" w:color="auto" w:sz="4" w:space="0"/>
              <w:bottom w:val="single" w:color="auto" w:sz="4" w:space="0"/>
              <w:right w:val="single" w:color="auto" w:sz="4" w:space="0"/>
            </w:tcBorders>
            <w:noWrap/>
            <w:vAlign w:val="center"/>
          </w:tcPr>
          <w:p w14:paraId="0FAAE15A">
            <w:pPr>
              <w:jc w:val="center"/>
              <w:rPr>
                <w:rFonts w:hint="default" w:ascii="宋体" w:hAnsi="宋体" w:cs="宋体"/>
                <w:bCs/>
                <w:szCs w:val="21"/>
                <w:lang w:val="en-US" w:eastAsia="zh-CN"/>
              </w:rPr>
            </w:pPr>
            <w:r>
              <w:rPr>
                <w:rFonts w:hint="eastAsia" w:ascii="宋体" w:hAnsi="宋体" w:cs="宋体"/>
                <w:bCs/>
                <w:szCs w:val="21"/>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ign w:val="center"/>
          </w:tcPr>
          <w:p w14:paraId="49DDB3C1">
            <w:pPr>
              <w:jc w:val="center"/>
              <w:rPr>
                <w:rFonts w:hint="eastAsia" w:ascii="宋体" w:hAnsi="宋体" w:eastAsia="宋体" w:cs="宋体"/>
                <w:szCs w:val="21"/>
              </w:rPr>
            </w:pPr>
            <w:r>
              <w:rPr>
                <w:rFonts w:hint="eastAsia" w:ascii="宋体" w:hAnsi="宋体" w:cs="宋体"/>
                <w:color w:val="auto"/>
                <w:szCs w:val="21"/>
              </w:rPr>
              <w:t>/</w:t>
            </w:r>
          </w:p>
        </w:tc>
        <w:tc>
          <w:tcPr>
            <w:tcW w:w="1571" w:type="dxa"/>
            <w:tcBorders>
              <w:top w:val="single" w:color="auto" w:sz="4" w:space="0"/>
              <w:left w:val="single" w:color="auto" w:sz="4" w:space="0"/>
              <w:bottom w:val="single" w:color="auto" w:sz="4" w:space="0"/>
              <w:right w:val="single" w:color="auto" w:sz="4" w:space="0"/>
            </w:tcBorders>
            <w:noWrap/>
            <w:vAlign w:val="center"/>
          </w:tcPr>
          <w:p w14:paraId="7536AE43">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0.21</w:t>
            </w:r>
          </w:p>
        </w:tc>
      </w:tr>
      <w:tr w14:paraId="76178413">
        <w:tblPrEx>
          <w:tblCellMar>
            <w:top w:w="0" w:type="dxa"/>
            <w:left w:w="0" w:type="dxa"/>
            <w:bottom w:w="0" w:type="dxa"/>
            <w:right w:w="0" w:type="dxa"/>
          </w:tblCellMar>
        </w:tblPrEx>
        <w:trPr>
          <w:trHeight w:val="427" w:hRule="atLeast"/>
        </w:trPr>
        <w:tc>
          <w:tcPr>
            <w:tcW w:w="17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3B8935">
            <w:pPr>
              <w:jc w:val="center"/>
              <w:rPr>
                <w:rFonts w:hint="default" w:ascii="宋体" w:hAnsi="宋体" w:cs="宋体"/>
                <w:szCs w:val="21"/>
                <w:lang w:val="en-US" w:eastAsia="zh-CN"/>
              </w:rPr>
            </w:pPr>
            <w:r>
              <w:rPr>
                <w:rFonts w:hint="eastAsia" w:ascii="宋体" w:hAnsi="宋体" w:cs="宋体"/>
                <w:szCs w:val="21"/>
                <w:lang w:val="en-US" w:eastAsia="zh-CN"/>
              </w:rPr>
              <w:t>水电安装及消防改造工程</w:t>
            </w:r>
          </w:p>
        </w:tc>
        <w:tc>
          <w:tcPr>
            <w:tcW w:w="1136" w:type="dxa"/>
            <w:tcBorders>
              <w:top w:val="single" w:color="auto" w:sz="4" w:space="0"/>
              <w:left w:val="single" w:color="auto" w:sz="4" w:space="0"/>
              <w:bottom w:val="single" w:color="auto" w:sz="4" w:space="0"/>
              <w:right w:val="single" w:color="auto" w:sz="4" w:space="0"/>
            </w:tcBorders>
            <w:noWrap/>
            <w:vAlign w:val="center"/>
          </w:tcPr>
          <w:p w14:paraId="3EEF90D7">
            <w:pPr>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2.4</w:t>
            </w:r>
          </w:p>
        </w:tc>
        <w:tc>
          <w:tcPr>
            <w:tcW w:w="900" w:type="dxa"/>
            <w:tcBorders>
              <w:top w:val="single" w:color="auto" w:sz="4" w:space="0"/>
              <w:left w:val="single" w:color="auto" w:sz="4" w:space="0"/>
              <w:bottom w:val="single" w:color="auto" w:sz="4" w:space="0"/>
              <w:right w:val="single" w:color="auto" w:sz="4" w:space="0"/>
            </w:tcBorders>
            <w:noWrap/>
            <w:vAlign w:val="center"/>
          </w:tcPr>
          <w:p w14:paraId="13035F33">
            <w:pPr>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0.42</w:t>
            </w:r>
          </w:p>
        </w:tc>
        <w:tc>
          <w:tcPr>
            <w:tcW w:w="1080" w:type="dxa"/>
            <w:tcBorders>
              <w:top w:val="single" w:color="auto" w:sz="4" w:space="0"/>
              <w:left w:val="single" w:color="auto" w:sz="4" w:space="0"/>
              <w:bottom w:val="single" w:color="auto" w:sz="4" w:space="0"/>
              <w:right w:val="single" w:color="auto" w:sz="4" w:space="0"/>
            </w:tcBorders>
            <w:noWrap/>
            <w:vAlign w:val="center"/>
          </w:tcPr>
          <w:p w14:paraId="56841767">
            <w:pPr>
              <w:jc w:val="center"/>
              <w:rPr>
                <w:rFonts w:hint="default" w:ascii="宋体" w:hAnsi="宋体" w:cs="宋体"/>
                <w:bCs/>
                <w:szCs w:val="21"/>
                <w:lang w:val="en-US" w:eastAsia="zh-CN"/>
              </w:rPr>
            </w:pPr>
            <w:r>
              <w:rPr>
                <w:rFonts w:hint="eastAsia" w:ascii="宋体" w:hAnsi="宋体" w:cs="宋体"/>
                <w:bCs/>
                <w:szCs w:val="21"/>
                <w:lang w:val="en-US" w:eastAsia="zh-CN"/>
              </w:rPr>
              <w:t>9</w:t>
            </w:r>
          </w:p>
        </w:tc>
        <w:tc>
          <w:tcPr>
            <w:tcW w:w="1186" w:type="dxa"/>
            <w:tcBorders>
              <w:top w:val="single" w:color="auto" w:sz="4" w:space="0"/>
              <w:left w:val="single" w:color="auto" w:sz="4" w:space="0"/>
              <w:bottom w:val="single" w:color="auto" w:sz="4" w:space="0"/>
              <w:right w:val="single" w:color="auto" w:sz="4" w:space="0"/>
            </w:tcBorders>
            <w:noWrap/>
            <w:vAlign w:val="center"/>
          </w:tcPr>
          <w:p w14:paraId="3EB4003E">
            <w:pPr>
              <w:jc w:val="center"/>
              <w:rPr>
                <w:rFonts w:hint="default" w:ascii="宋体" w:hAnsi="宋体" w:cs="宋体"/>
                <w:bCs/>
                <w:szCs w:val="21"/>
                <w:lang w:val="en-US" w:eastAsia="zh-CN"/>
              </w:rPr>
            </w:pPr>
            <w:r>
              <w:rPr>
                <w:rFonts w:hint="eastAsia" w:ascii="宋体" w:hAnsi="宋体" w:cs="宋体"/>
                <w:bCs/>
                <w:szCs w:val="21"/>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ign w:val="center"/>
          </w:tcPr>
          <w:p w14:paraId="6F0E399F">
            <w:pPr>
              <w:jc w:val="center"/>
              <w:rPr>
                <w:rFonts w:hint="eastAsia" w:ascii="宋体" w:hAnsi="宋体" w:cs="宋体"/>
                <w:color w:val="auto"/>
                <w:szCs w:val="21"/>
              </w:rPr>
            </w:pPr>
          </w:p>
        </w:tc>
        <w:tc>
          <w:tcPr>
            <w:tcW w:w="1571" w:type="dxa"/>
            <w:tcBorders>
              <w:top w:val="single" w:color="auto" w:sz="4" w:space="0"/>
              <w:left w:val="single" w:color="auto" w:sz="4" w:space="0"/>
              <w:bottom w:val="single" w:color="auto" w:sz="4" w:space="0"/>
              <w:right w:val="single" w:color="auto" w:sz="4" w:space="0"/>
            </w:tcBorders>
            <w:noWrap/>
            <w:vAlign w:val="center"/>
          </w:tcPr>
          <w:p w14:paraId="25D7EA96">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0.21</w:t>
            </w:r>
          </w:p>
        </w:tc>
      </w:tr>
    </w:tbl>
    <w:p w14:paraId="693E0B2B">
      <w:pPr>
        <w:tabs>
          <w:tab w:val="left" w:pos="900"/>
        </w:tabs>
        <w:spacing w:line="360" w:lineRule="auto"/>
        <w:ind w:firstLine="360" w:firstLineChars="150"/>
        <w:rPr>
          <w:rFonts w:ascii="宋体" w:hAnsi="宋体" w:cs="宋体"/>
          <w:sz w:val="24"/>
        </w:rPr>
      </w:pPr>
      <w:r>
        <w:rPr>
          <w:rFonts w:hint="eastAsia" w:ascii="宋体" w:hAnsi="宋体" w:cs="宋体"/>
          <w:sz w:val="24"/>
        </w:rPr>
        <w:t>4、各项措施费率如下：各投标单位应结合工程实际、工期、设计要求和投标单位的施工组织设计、施工方案等综合考虑一切可见和不可见因素，相关的费用均视为已含在措施费用或报价中，竣工结算时不再调整和增加任何费用，措施项目清单中所列项目，投标人根据施工组织设计需要自主报价。</w:t>
      </w:r>
    </w:p>
    <w:p w14:paraId="3C9CE36C">
      <w:pPr>
        <w:spacing w:line="360" w:lineRule="auto"/>
        <w:rPr>
          <w:rFonts w:ascii="宋体" w:hAnsi="宋体" w:cs="宋体"/>
          <w:b/>
          <w:sz w:val="24"/>
        </w:rPr>
      </w:pPr>
      <w:r>
        <w:rPr>
          <w:rFonts w:hint="eastAsia" w:ascii="宋体" w:hAnsi="宋体" w:cs="宋体"/>
          <w:b/>
          <w:sz w:val="24"/>
        </w:rPr>
        <w:t>四、其他项目费</w:t>
      </w:r>
    </w:p>
    <w:p w14:paraId="04384811">
      <w:pPr>
        <w:tabs>
          <w:tab w:val="left" w:pos="900"/>
        </w:tabs>
        <w:spacing w:line="360" w:lineRule="auto"/>
        <w:ind w:firstLine="360" w:firstLineChars="150"/>
        <w:rPr>
          <w:rFonts w:hint="eastAsia" w:ascii="宋体" w:hAnsi="宋体" w:cs="宋体"/>
          <w:sz w:val="24"/>
          <w:lang w:val="zh-CN"/>
        </w:rPr>
      </w:pPr>
      <w:r>
        <w:rPr>
          <w:rFonts w:hint="eastAsia" w:ascii="宋体" w:hAnsi="宋体" w:cs="宋体"/>
          <w:sz w:val="24"/>
          <w:lang w:val="zh-CN"/>
        </w:rPr>
        <w:t>1、暂列金额：详见其他项目清单暂列金额。</w:t>
      </w:r>
    </w:p>
    <w:p w14:paraId="69310136">
      <w:pPr>
        <w:tabs>
          <w:tab w:val="left" w:pos="900"/>
        </w:tabs>
        <w:spacing w:line="360" w:lineRule="auto"/>
        <w:ind w:firstLine="360" w:firstLineChars="150"/>
        <w:rPr>
          <w:rFonts w:hint="eastAsia" w:ascii="宋体" w:hAnsi="宋体" w:cs="宋体"/>
          <w:sz w:val="24"/>
          <w:lang w:val="zh-CN"/>
        </w:rPr>
      </w:pPr>
      <w:r>
        <w:rPr>
          <w:rFonts w:hint="eastAsia" w:ascii="宋体" w:hAnsi="宋体" w:cs="宋体"/>
          <w:sz w:val="24"/>
          <w:lang w:val="zh-CN"/>
        </w:rPr>
        <w:t>2、专业工程暂估价:详见其他项目清单专业工程暂估价。</w:t>
      </w:r>
    </w:p>
    <w:p w14:paraId="7756E2EC">
      <w:pPr>
        <w:tabs>
          <w:tab w:val="left" w:pos="900"/>
        </w:tabs>
        <w:spacing w:line="360" w:lineRule="auto"/>
        <w:rPr>
          <w:rFonts w:ascii="宋体" w:hAnsi="宋体" w:cs="宋体"/>
          <w:b/>
          <w:bCs/>
          <w:color w:val="000000"/>
          <w:sz w:val="24"/>
        </w:rPr>
      </w:pPr>
      <w:r>
        <w:rPr>
          <w:rFonts w:hint="eastAsia" w:ascii="宋体" w:hAnsi="宋体" w:cs="宋体"/>
          <w:b/>
          <w:bCs/>
          <w:color w:val="000000"/>
          <w:sz w:val="24"/>
        </w:rPr>
        <w:t>五、人工及材料价格取定</w:t>
      </w:r>
    </w:p>
    <w:p w14:paraId="6BE84282">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sz w:val="24"/>
          <w:lang w:val="zh-CN"/>
        </w:rPr>
      </w:pPr>
      <w:r>
        <w:rPr>
          <w:rFonts w:hint="eastAsia" w:ascii="宋体" w:hAnsi="宋体" w:cs="宋体"/>
          <w:sz w:val="24"/>
          <w:lang w:val="zh-CN"/>
        </w:rPr>
        <w:t>1、本工程材料价格按《镇江工程造价信息》镇江市2</w:t>
      </w:r>
      <w:r>
        <w:rPr>
          <w:rFonts w:hint="eastAsia" w:ascii="宋体" w:hAnsi="宋体" w:cs="宋体"/>
          <w:sz w:val="24"/>
        </w:rPr>
        <w:t>02</w:t>
      </w:r>
      <w:r>
        <w:rPr>
          <w:rFonts w:hint="eastAsia" w:ascii="宋体" w:hAnsi="宋体" w:cs="宋体"/>
          <w:sz w:val="24"/>
          <w:lang w:val="en-US" w:eastAsia="zh-CN"/>
        </w:rPr>
        <w:t>5</w:t>
      </w:r>
      <w:r>
        <w:rPr>
          <w:rFonts w:hint="eastAsia" w:ascii="宋体" w:hAnsi="宋体" w:cs="宋体"/>
          <w:sz w:val="24"/>
          <w:lang w:val="zh-CN"/>
        </w:rPr>
        <w:t>年第</w:t>
      </w:r>
      <w:r>
        <w:rPr>
          <w:rFonts w:hint="eastAsia" w:ascii="宋体" w:hAnsi="宋体" w:cs="宋体"/>
          <w:sz w:val="24"/>
          <w:lang w:val="en-US" w:eastAsia="zh-CN"/>
        </w:rPr>
        <w:t>8</w:t>
      </w:r>
      <w:r>
        <w:rPr>
          <w:rFonts w:hint="eastAsia" w:ascii="宋体" w:hAnsi="宋体" w:cs="宋体"/>
          <w:sz w:val="24"/>
          <w:lang w:val="zh-CN"/>
        </w:rPr>
        <w:t>期并结合市场价与市场波动等因素综合考虑。人工单价执行苏建函价[20</w:t>
      </w: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lang w:val="zh-CN"/>
        </w:rPr>
        <w:t>]</w:t>
      </w:r>
      <w:r>
        <w:rPr>
          <w:rFonts w:hint="eastAsia" w:ascii="宋体" w:hAnsi="宋体" w:cs="宋体"/>
          <w:sz w:val="24"/>
          <w:lang w:val="en-US" w:eastAsia="zh-CN"/>
        </w:rPr>
        <w:t>273</w:t>
      </w:r>
      <w:r>
        <w:rPr>
          <w:rFonts w:hint="eastAsia" w:ascii="宋体" w:hAnsi="宋体" w:cs="宋体"/>
          <w:sz w:val="24"/>
          <w:lang w:val="zh-CN"/>
        </w:rPr>
        <w:t>号文件。</w:t>
      </w:r>
    </w:p>
    <w:p w14:paraId="083FF56B">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360" w:firstLineChars="150"/>
        <w:textAlignment w:val="auto"/>
        <w:rPr>
          <w:rFonts w:hint="eastAsia" w:ascii="宋体" w:hAnsi="宋体" w:cs="宋体"/>
          <w:sz w:val="24"/>
          <w:lang w:val="zh-CN"/>
        </w:rPr>
      </w:pPr>
      <w:r>
        <w:rPr>
          <w:rFonts w:hint="eastAsia" w:ascii="宋体" w:hAnsi="宋体" w:cs="宋体"/>
          <w:sz w:val="24"/>
          <w:lang w:val="zh-CN"/>
        </w:rPr>
        <w:t>2、各投标人根据招标文件要求和工程实际情况（自行踏勘现场），充分考虑市场风险，结合市场行情、自身实力和管理水平等因素自主报价。</w:t>
      </w:r>
    </w:p>
    <w:p w14:paraId="579A006B">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ascii="宋体" w:hAnsi="宋体" w:cs="宋体"/>
          <w:b/>
          <w:bCs/>
          <w:sz w:val="24"/>
        </w:rPr>
      </w:pPr>
      <w:r>
        <w:rPr>
          <w:rFonts w:hint="eastAsia" w:ascii="宋体" w:hAnsi="宋体" w:cs="宋体"/>
          <w:b/>
          <w:bCs/>
          <w:sz w:val="24"/>
        </w:rPr>
        <w:t>六、其他说明：</w:t>
      </w:r>
    </w:p>
    <w:p w14:paraId="3312A1A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val="zh-CN" w:eastAsia="zh-CN"/>
        </w:rPr>
        <w:t>本工程量清单中“工作内容”为完成本项目所需的主要工作内容，各投标单位投标报价时应结合</w:t>
      </w:r>
      <w:r>
        <w:rPr>
          <w:rFonts w:hint="eastAsia" w:asciiTheme="minorEastAsia" w:hAnsiTheme="minorEastAsia" w:eastAsiaTheme="minorEastAsia" w:cstheme="minorEastAsia"/>
          <w:sz w:val="24"/>
          <w:lang w:val="en-US" w:eastAsia="zh-CN"/>
        </w:rPr>
        <w:t>图纸、现场</w:t>
      </w:r>
      <w:r>
        <w:rPr>
          <w:rFonts w:hint="eastAsia" w:asciiTheme="minorEastAsia" w:hAnsiTheme="minorEastAsia" w:eastAsiaTheme="minorEastAsia" w:cstheme="minorEastAsia"/>
          <w:sz w:val="24"/>
          <w:lang w:val="zh-CN" w:eastAsia="zh-CN"/>
        </w:rPr>
        <w:t>、本单位施工方案综合考虑，竣工结算时工程量按实调整,综合单价不变。</w:t>
      </w:r>
    </w:p>
    <w:p w14:paraId="3ABD10F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val="zh-CN" w:eastAsia="zh-CN"/>
        </w:rPr>
        <w:t>工程量清单应与招标文件、招标项目图纸等文件结合起来查阅与理解,工程量清单中所描述的项目特征仅为招标人对该分部分项工程特征的概述,而非是工程特征的全面描述,工程量清单特征描述不全时，应结合设计图纸、招标文件，并应当综合考虑专业技术要求、施工规范、地方规章等要求，所产生的费用计入投标报价中；清单特征中未描述的，但13计价规范中注明的工程内容，承包人在报价中应充分考虑“工程内容”而产生的费用，列入相应报价中。</w:t>
      </w:r>
    </w:p>
    <w:p w14:paraId="70E652E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3、混凝土采用预拌混凝土，砂浆均采用预拌砂浆。</w:t>
      </w:r>
    </w:p>
    <w:p w14:paraId="1E9CD4B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4、配电箱5AL2出线回路WL26平面图未设计暂不计算。</w:t>
      </w:r>
    </w:p>
    <w:p w14:paraId="108B21EA">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5、配电箱6AL出线回路WL2、WL10平面图未设计暂不计算。</w:t>
      </w:r>
    </w:p>
    <w:p w14:paraId="0C027932">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6、配电箱HYS出线回路WL1~2平面图未设计暂不计算。</w:t>
      </w:r>
    </w:p>
    <w:p w14:paraId="58B9F45F">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7、弱电暂不进标。</w:t>
      </w:r>
    </w:p>
    <w:p w14:paraId="0C1BA36E">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8、热水器未设计规格、型号，设计提供空气能热水器，参数RSJF-35/DN8-200C(E1)，容积160~200L，详细见清单描述，垂直热水立管未设计暂按独立费1500元计取。</w:t>
      </w:r>
    </w:p>
    <w:p w14:paraId="39C645C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r>
        <w:rPr>
          <w:rFonts w:hint="eastAsia"/>
          <w:lang w:val="en-US" w:eastAsia="zh-CN"/>
        </w:rPr>
        <w:t>9、</w:t>
      </w:r>
      <w:r>
        <w:rPr>
          <w:rFonts w:hint="eastAsia" w:asciiTheme="minorEastAsia" w:hAnsiTheme="minorEastAsia" w:eastAsiaTheme="minorEastAsia" w:cstheme="minorEastAsia"/>
          <w:sz w:val="24"/>
          <w:lang w:val="en-US" w:eastAsia="zh-CN"/>
        </w:rPr>
        <w:t>各类成品保护自行考虑，包含在报价中，结算不予调整。</w:t>
      </w:r>
    </w:p>
    <w:p w14:paraId="2D6F1CA9">
      <w:pPr>
        <w:keepNext w:val="0"/>
        <w:keepLines w:val="0"/>
        <w:pageBreakBefore w:val="0"/>
        <w:widowControl w:val="0"/>
        <w:kinsoku/>
        <w:wordWrap/>
        <w:overflowPunct/>
        <w:topLinePunct w:val="0"/>
        <w:autoSpaceDE/>
        <w:autoSpaceDN/>
        <w:bidi w:val="0"/>
        <w:adjustRightInd/>
        <w:snapToGrid/>
        <w:spacing w:line="400" w:lineRule="exact"/>
        <w:ind w:firstLine="120" w:firstLineChars="50"/>
        <w:textAlignment w:val="auto"/>
        <w:rPr>
          <w:rFonts w:hint="eastAsia"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材料品牌</w:t>
      </w:r>
    </w:p>
    <w:tbl>
      <w:tblPr>
        <w:tblStyle w:val="5"/>
        <w:tblW w:w="8935" w:type="dxa"/>
        <w:tblInd w:w="0" w:type="dxa"/>
        <w:tblLayout w:type="fixed"/>
        <w:tblCellMar>
          <w:top w:w="15" w:type="dxa"/>
          <w:left w:w="15" w:type="dxa"/>
          <w:bottom w:w="15" w:type="dxa"/>
          <w:right w:w="15" w:type="dxa"/>
        </w:tblCellMar>
      </w:tblPr>
      <w:tblGrid>
        <w:gridCol w:w="1025"/>
        <w:gridCol w:w="2409"/>
        <w:gridCol w:w="1273"/>
        <w:gridCol w:w="4228"/>
      </w:tblGrid>
      <w:tr w14:paraId="237A58DD">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right w:val="single" w:color="000000" w:sz="4" w:space="0"/>
            </w:tcBorders>
            <w:noWrap w:val="0"/>
            <w:vAlign w:val="center"/>
          </w:tcPr>
          <w:p w14:paraId="0BEFDE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序号</w:t>
            </w:r>
          </w:p>
        </w:tc>
        <w:tc>
          <w:tcPr>
            <w:tcW w:w="2409" w:type="dxa"/>
            <w:tcBorders>
              <w:top w:val="single" w:color="000000" w:sz="4" w:space="0"/>
              <w:left w:val="single" w:color="000000" w:sz="4" w:space="0"/>
              <w:right w:val="single" w:color="000000" w:sz="4" w:space="0"/>
            </w:tcBorders>
            <w:noWrap w:val="0"/>
            <w:vAlign w:val="center"/>
          </w:tcPr>
          <w:p w14:paraId="09BAFF2F">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材料名称</w:t>
            </w:r>
          </w:p>
        </w:tc>
        <w:tc>
          <w:tcPr>
            <w:tcW w:w="1273" w:type="dxa"/>
            <w:tcBorders>
              <w:top w:val="single" w:color="000000" w:sz="4" w:space="0"/>
              <w:left w:val="single" w:color="000000" w:sz="4" w:space="0"/>
              <w:right w:val="single" w:color="000000" w:sz="4" w:space="0"/>
            </w:tcBorders>
            <w:noWrap w:val="0"/>
            <w:vAlign w:val="center"/>
          </w:tcPr>
          <w:p w14:paraId="3763BA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规格/备注</w:t>
            </w: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29AD2F0F">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品牌</w:t>
            </w:r>
          </w:p>
        </w:tc>
      </w:tr>
      <w:tr w14:paraId="5BA0744C">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B4C0F5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2E09B3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钢材</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FD1175E">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04867C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南钢、马钢、沙钢</w:t>
            </w:r>
          </w:p>
        </w:tc>
      </w:tr>
      <w:tr w14:paraId="4FFE9260">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80B6E55">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5907EA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热镀锌钢材</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1E2BB105">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2BA16D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母材为优质国标产品；镀锌层满足GB/T 13912-2002要求</w:t>
            </w:r>
          </w:p>
        </w:tc>
      </w:tr>
      <w:tr w14:paraId="485FF85C">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9E2AB60">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24CB3B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玻璃</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60C57AF">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6BB310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南玻、上海耀皮、信义</w:t>
            </w:r>
          </w:p>
        </w:tc>
      </w:tr>
      <w:tr w14:paraId="673D9E9A">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4DCA8D">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5970BD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腻子粉/石膏粉</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8865B6D">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28F2F3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立邦、多乐士、宁南</w:t>
            </w:r>
          </w:p>
        </w:tc>
      </w:tr>
      <w:tr w14:paraId="307301EE">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66535F1">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0F92B0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石膏板、轻钢龙骨</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16068D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148E17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优时吉博罗、可耐福、龙牌</w:t>
            </w:r>
          </w:p>
        </w:tc>
      </w:tr>
      <w:tr w14:paraId="6337485D">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A214C02">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2D96EC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多层板、九厘板、细木工板、胶合板、阻燃板、木饰面</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EEF0171">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5B20FE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兔宝宝、千年舟、莫干山</w:t>
            </w:r>
          </w:p>
        </w:tc>
      </w:tr>
      <w:tr w14:paraId="0A651B81">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8A5A61D">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08CC79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木门</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90D2525">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27C70E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欧派、</w:t>
            </w:r>
            <w:r>
              <w:rPr>
                <w:rFonts w:hint="eastAsia" w:asciiTheme="minorEastAsia" w:hAnsiTheme="minorEastAsia" w:eastAsiaTheme="minorEastAsia" w:cstheme="minorEastAsia"/>
                <w:sz w:val="24"/>
                <w:lang w:val="en-US" w:eastAsia="zh-CN"/>
              </w:rPr>
              <w:t>华鹤</w:t>
            </w:r>
            <w:r>
              <w:rPr>
                <w:rFonts w:hint="eastAsia" w:asciiTheme="minorEastAsia" w:hAnsiTheme="minorEastAsia" w:eastAsiaTheme="minorEastAsia" w:cstheme="minorEastAsia"/>
                <w:sz w:val="24"/>
                <w:lang w:val="zh-CN" w:eastAsia="zh-CN"/>
              </w:rPr>
              <w:t>、</w:t>
            </w:r>
            <w:r>
              <w:rPr>
                <w:rFonts w:hint="eastAsia" w:asciiTheme="minorEastAsia" w:hAnsiTheme="minorEastAsia" w:eastAsiaTheme="minorEastAsia" w:cstheme="minorEastAsia"/>
                <w:sz w:val="24"/>
                <w:lang w:val="en-US" w:eastAsia="zh-CN"/>
              </w:rPr>
              <w:t>3D</w:t>
            </w:r>
          </w:p>
        </w:tc>
      </w:tr>
      <w:tr w14:paraId="6EE877A6">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716657F">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7.1</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74DFD5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木质防火门</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6C86C10">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416B5F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王力、盼盼、星月神</w:t>
            </w:r>
          </w:p>
        </w:tc>
      </w:tr>
      <w:tr w14:paraId="7C66EEC7">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EB9241D">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7.2</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2D288A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钢制防火门</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A1BA69C">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3753F8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en-US" w:eastAsia="zh-CN"/>
              </w:rPr>
              <w:t>王力、盼盼、星月神</w:t>
            </w:r>
          </w:p>
        </w:tc>
      </w:tr>
      <w:tr w14:paraId="349D5700">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D99AA77">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5EE4A1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内墙乳胶漆</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8D27547">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38485A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“多乐士”家丽安净味、“立邦”净味120二合一、“三棵树”净味二合一</w:t>
            </w:r>
          </w:p>
        </w:tc>
      </w:tr>
      <w:tr w14:paraId="154F6653">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52A9CB9">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771DA4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卷材防水</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B6FBA83">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5317E4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东方雨虹、科顺、卓宝</w:t>
            </w:r>
          </w:p>
        </w:tc>
      </w:tr>
      <w:tr w14:paraId="0321CB24">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816E967">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7006C6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墙地瓷砖</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0AD5B32">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3FF6C0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白兔、卡罗娜、亚细亚</w:t>
            </w:r>
          </w:p>
        </w:tc>
      </w:tr>
      <w:tr w14:paraId="5EAC6263">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522EB3BB">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3D21CE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塑料排水管、管件</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BF1F6F1">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4C13C3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中财、公元、金德</w:t>
            </w:r>
          </w:p>
        </w:tc>
      </w:tr>
      <w:tr w14:paraId="2DE34815">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F049AE2">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7C3B35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JDG/KBG电管</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B4305A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5EA560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北京泰瑞安、上海万帆、兴泰隆</w:t>
            </w:r>
          </w:p>
        </w:tc>
      </w:tr>
      <w:tr w14:paraId="14E84120">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EFF0CE8">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729143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PVC电管及管件</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8BAB1B9">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564CD2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中财、公元、金德</w:t>
            </w:r>
          </w:p>
        </w:tc>
      </w:tr>
      <w:tr w14:paraId="5DD45E97">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686D6A0">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14</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70193D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配电箱元器件</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AA46F7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0CE9F3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正泰、德力西、天正</w:t>
            </w:r>
          </w:p>
        </w:tc>
      </w:tr>
      <w:tr w14:paraId="10A7E399">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24BDE64">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15</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062CC2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电线、电缆</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D3FB351">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69A748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eastAsia="zh-CN"/>
              </w:rPr>
              <w:t>远东、无锡江南、上上</w:t>
            </w:r>
          </w:p>
        </w:tc>
      </w:tr>
      <w:tr w14:paraId="1C6AD75E">
        <w:tblPrEx>
          <w:tblCellMar>
            <w:top w:w="15" w:type="dxa"/>
            <w:left w:w="15" w:type="dxa"/>
            <w:bottom w:w="15" w:type="dxa"/>
            <w:right w:w="15" w:type="dxa"/>
          </w:tblCellMar>
        </w:tblPrEx>
        <w:trPr>
          <w:trHeight w:val="437"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8B367D5">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14:paraId="4183A4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热水器</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AF1A006">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zh-CN" w:eastAsia="zh-CN"/>
              </w:rPr>
            </w:pPr>
          </w:p>
        </w:tc>
        <w:tc>
          <w:tcPr>
            <w:tcW w:w="4228" w:type="dxa"/>
            <w:tcBorders>
              <w:top w:val="single" w:color="000000" w:sz="4" w:space="0"/>
              <w:left w:val="single" w:color="000000" w:sz="4" w:space="0"/>
              <w:bottom w:val="single" w:color="000000" w:sz="4" w:space="0"/>
              <w:right w:val="single" w:color="000000" w:sz="4" w:space="0"/>
            </w:tcBorders>
            <w:noWrap w:val="0"/>
            <w:vAlign w:val="center"/>
          </w:tcPr>
          <w:p w14:paraId="34DD3F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海尔、美的、万和</w:t>
            </w:r>
          </w:p>
        </w:tc>
      </w:tr>
    </w:tbl>
    <w:p w14:paraId="7D7874F9">
      <w:pPr>
        <w:spacing w:line="360" w:lineRule="auto"/>
        <w:rPr>
          <w:rFonts w:hint="eastAsia" w:ascii="宋体" w:hAnsi="宋体" w:eastAsia="宋体" w:cs="宋体"/>
          <w:b/>
          <w:bCs/>
          <w:sz w:val="22"/>
          <w:szCs w:val="22"/>
          <w:lang w:val="en-US" w:eastAsia="zh-CN"/>
        </w:rPr>
      </w:pPr>
      <w:r>
        <w:rPr>
          <w:rFonts w:hint="eastAsia" w:ascii="宋体" w:hAnsi="宋体" w:cs="宋体"/>
          <w:szCs w:val="21"/>
        </w:rPr>
        <w:t>注：施工前须将所选用的品牌、样品报甲方和监理认可后方可采购，如因施工方未采用上述品牌的材料，甲方有权拒绝，由此造成的损失由施工方承担。</w:t>
      </w:r>
    </w:p>
    <w:p w14:paraId="00904F29">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sz w:val="24"/>
          <w:lang w:val="en-US" w:eastAsia="zh-CN"/>
        </w:rPr>
      </w:pPr>
    </w:p>
    <w:sectPr>
      <w:footerReference r:id="rId3" w:type="default"/>
      <w:footerReference r:id="rId4" w:type="even"/>
      <w:pgSz w:w="11906" w:h="16838"/>
      <w:pgMar w:top="1440" w:right="1418" w:bottom="1135" w:left="153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FFE7">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616EA10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B838">
    <w:pPr>
      <w:pStyle w:val="4"/>
      <w:framePr w:wrap="around" w:vAnchor="text" w:hAnchor="margin" w:xAlign="center" w:y="1"/>
      <w:rPr>
        <w:rStyle w:val="7"/>
      </w:rPr>
    </w:pPr>
    <w:r>
      <w:fldChar w:fldCharType="begin"/>
    </w:r>
    <w:r>
      <w:rPr>
        <w:rStyle w:val="7"/>
      </w:rPr>
      <w:instrText xml:space="preserve">PAGE  </w:instrText>
    </w:r>
    <w:r>
      <w:fldChar w:fldCharType="end"/>
    </w:r>
  </w:p>
  <w:p w14:paraId="41C2A57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ZmE5ZmQ4MjQwYThkZTA2MmIxZmE0YTM4M2YyMjQifQ=="/>
    <w:docVar w:name="KSO_WPS_MARK_KEY" w:val="426e72f1-ef0d-4424-954a-f5c3dfc94a9f"/>
  </w:docVars>
  <w:rsids>
    <w:rsidRoot w:val="3A7D3A53"/>
    <w:rsid w:val="007C1670"/>
    <w:rsid w:val="0222218B"/>
    <w:rsid w:val="02581FAD"/>
    <w:rsid w:val="036A7762"/>
    <w:rsid w:val="08F5341D"/>
    <w:rsid w:val="09D05934"/>
    <w:rsid w:val="0ACB4E95"/>
    <w:rsid w:val="0DFE23C8"/>
    <w:rsid w:val="0E3234D0"/>
    <w:rsid w:val="0E9E5877"/>
    <w:rsid w:val="0EBB1415"/>
    <w:rsid w:val="12942742"/>
    <w:rsid w:val="12B72DB4"/>
    <w:rsid w:val="15236C69"/>
    <w:rsid w:val="16FC6853"/>
    <w:rsid w:val="17766E8D"/>
    <w:rsid w:val="17D336D0"/>
    <w:rsid w:val="180B6CBC"/>
    <w:rsid w:val="18504606"/>
    <w:rsid w:val="1A0A62AD"/>
    <w:rsid w:val="1BFC74FD"/>
    <w:rsid w:val="1C76116A"/>
    <w:rsid w:val="1DC33B6E"/>
    <w:rsid w:val="1FDE11D7"/>
    <w:rsid w:val="205C5F46"/>
    <w:rsid w:val="22752280"/>
    <w:rsid w:val="25E718BA"/>
    <w:rsid w:val="279E3F89"/>
    <w:rsid w:val="282D754F"/>
    <w:rsid w:val="28DD578D"/>
    <w:rsid w:val="28E85FAC"/>
    <w:rsid w:val="29127667"/>
    <w:rsid w:val="298F4F7D"/>
    <w:rsid w:val="2A0A472D"/>
    <w:rsid w:val="2E2B1D5F"/>
    <w:rsid w:val="2E9A675D"/>
    <w:rsid w:val="2FDD46A4"/>
    <w:rsid w:val="32133A9C"/>
    <w:rsid w:val="369141D0"/>
    <w:rsid w:val="3A0D3ADD"/>
    <w:rsid w:val="3A7D3A53"/>
    <w:rsid w:val="3B9A5856"/>
    <w:rsid w:val="3DB4062C"/>
    <w:rsid w:val="412F49F2"/>
    <w:rsid w:val="41800FC2"/>
    <w:rsid w:val="45293834"/>
    <w:rsid w:val="457A4512"/>
    <w:rsid w:val="46250CEB"/>
    <w:rsid w:val="49F615DF"/>
    <w:rsid w:val="4BE30875"/>
    <w:rsid w:val="4C0F31BB"/>
    <w:rsid w:val="4DC1028E"/>
    <w:rsid w:val="4EE87AD5"/>
    <w:rsid w:val="51C36932"/>
    <w:rsid w:val="55576998"/>
    <w:rsid w:val="560D69D7"/>
    <w:rsid w:val="57A466F8"/>
    <w:rsid w:val="57B779AD"/>
    <w:rsid w:val="57F01E40"/>
    <w:rsid w:val="597D203B"/>
    <w:rsid w:val="5B4A7DAE"/>
    <w:rsid w:val="5CC606DB"/>
    <w:rsid w:val="5D6A2755"/>
    <w:rsid w:val="5E5065DE"/>
    <w:rsid w:val="5E90420F"/>
    <w:rsid w:val="618D6CCC"/>
    <w:rsid w:val="642736E8"/>
    <w:rsid w:val="64D84182"/>
    <w:rsid w:val="6605273D"/>
    <w:rsid w:val="66AE6114"/>
    <w:rsid w:val="68117F41"/>
    <w:rsid w:val="68324794"/>
    <w:rsid w:val="695A31DC"/>
    <w:rsid w:val="6A057E75"/>
    <w:rsid w:val="6A2D34DC"/>
    <w:rsid w:val="6A316002"/>
    <w:rsid w:val="6C5F7088"/>
    <w:rsid w:val="6CC76906"/>
    <w:rsid w:val="6F5035DA"/>
    <w:rsid w:val="6FD11419"/>
    <w:rsid w:val="70E63C96"/>
    <w:rsid w:val="71BE3412"/>
    <w:rsid w:val="7432158F"/>
    <w:rsid w:val="793D18CD"/>
    <w:rsid w:val="79F9215D"/>
    <w:rsid w:val="7ACD74A9"/>
    <w:rsid w:val="7C280623"/>
    <w:rsid w:val="7D021733"/>
    <w:rsid w:val="7DB5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spacing w:afterLines="0" w:afterAutospacing="0"/>
      <w:ind w:left="0" w:leftChars="0" w:rightChars="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1752</Words>
  <Characters>1903</Characters>
  <Lines>0</Lines>
  <Paragraphs>0</Paragraphs>
  <TotalTime>32</TotalTime>
  <ScaleCrop>false</ScaleCrop>
  <LinksUpToDate>false</LinksUpToDate>
  <CharactersWithSpaces>1904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2020-12-09T11:07:00Z</dcterms:created>
  <dc:creator>穆晨</dc:creator>
  <cp:lastModifiedBy>王灏</cp:lastModifiedBy>
  <dcterms:modified xsi:type="dcterms:W3CDTF">2025-10-17T09:14:37Z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68EF287061FB455BA9E013B6F492E720_13</vt:lpwstr>
  </property>
  <property fmtid="{D5CDD505-2E9C-101B-9397-08002B2CF9AE}" pid="4" name="KSOTemplateDocerSaveRecord">
    <vt:lpwstr>eyJoZGlkIjoiNmM0YzlkNDViZGUwZjllOWRhNTJkNTlkZDI3ZWVlOWYiLCJ1c2VySWQiOiI0NDE2OTI4MTEifQ==</vt:lpwstr>
  </property>
</Properties>
</file>