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4351B">
      <w:pPr>
        <w:pStyle w:val="3"/>
        <w:snapToGrid w:val="0"/>
        <w:spacing w:before="120" w:after="120" w:line="360" w:lineRule="auto"/>
        <w:ind w:firstLine="422" w:firstLineChars="200"/>
        <w:jc w:val="center"/>
        <w:rPr>
          <w:rFonts w:hAnsi="宋体" w:cs="宋体"/>
          <w:b/>
          <w:bCs/>
          <w:highlight w:val="none"/>
        </w:rPr>
      </w:pPr>
      <w:r>
        <w:rPr>
          <w:rFonts w:hint="eastAsia" w:hAnsi="宋体" w:cs="宋体"/>
          <w:b/>
          <w:bCs/>
          <w:highlight w:val="none"/>
        </w:rPr>
        <w:t>政府采购合同（货物)</w:t>
      </w:r>
    </w:p>
    <w:p w14:paraId="373631AA">
      <w:pPr>
        <w:pStyle w:val="3"/>
        <w:snapToGrid w:val="0"/>
        <w:spacing w:before="120" w:after="120" w:line="360" w:lineRule="auto"/>
        <w:ind w:firstLine="420" w:firstLineChars="200"/>
        <w:rPr>
          <w:rFonts w:hAnsi="宋体" w:cs="宋体"/>
          <w:highlight w:val="none"/>
        </w:rPr>
      </w:pPr>
      <w:r>
        <w:rPr>
          <w:rFonts w:hint="eastAsia" w:hAnsi="宋体" w:cs="宋体"/>
          <w:highlight w:val="none"/>
        </w:rPr>
        <w:t>项目名称：</w:t>
      </w:r>
      <w:r>
        <w:rPr>
          <w:rFonts w:hint="eastAsia" w:hAnsi="宋体" w:cs="宋体"/>
          <w:highlight w:val="none"/>
          <w:u w:val="single"/>
          <w:lang w:val="en-US" w:eastAsia="zh-CN"/>
        </w:rPr>
        <w:t>2025年仪征市扩种油菜抗逆调节剂、叶面肥采购</w:t>
      </w:r>
      <w:r>
        <w:rPr>
          <w:rFonts w:hint="eastAsia" w:hAnsi="宋体" w:cs="宋体"/>
          <w:highlight w:val="none"/>
        </w:rPr>
        <w:t xml:space="preserve">          </w:t>
      </w:r>
    </w:p>
    <w:p w14:paraId="351C0CF7">
      <w:pPr>
        <w:pStyle w:val="3"/>
        <w:snapToGrid w:val="0"/>
        <w:spacing w:before="120" w:after="120" w:line="360" w:lineRule="auto"/>
        <w:ind w:firstLine="420" w:firstLineChars="200"/>
        <w:rPr>
          <w:rFonts w:hint="eastAsia" w:hAnsi="宋体" w:cs="宋体"/>
          <w:highlight w:val="none"/>
          <w:u w:val="single"/>
          <w:lang w:val="en-US" w:eastAsia="zh-CN"/>
        </w:rPr>
      </w:pPr>
      <w:r>
        <w:rPr>
          <w:rFonts w:hint="eastAsia" w:hAnsi="宋体" w:cs="宋体"/>
          <w:highlight w:val="none"/>
        </w:rPr>
        <w:t>项目编号：</w:t>
      </w:r>
      <w:r>
        <w:rPr>
          <w:rFonts w:hint="eastAsia" w:hAnsi="宋体" w:cs="宋体"/>
          <w:highlight w:val="none"/>
          <w:u w:val="single"/>
          <w:lang w:val="en-US" w:eastAsia="zh-CN"/>
        </w:rPr>
        <w:t>JSZC-321081-BYGC-X2025-0014 </w:t>
      </w:r>
    </w:p>
    <w:p w14:paraId="23E7A292">
      <w:pPr>
        <w:pStyle w:val="3"/>
        <w:snapToGrid w:val="0"/>
        <w:spacing w:before="120" w:after="120" w:line="360" w:lineRule="auto"/>
        <w:ind w:firstLine="420" w:firstLineChars="200"/>
        <w:rPr>
          <w:rFonts w:hint="default" w:hAnsi="宋体" w:cs="宋体"/>
          <w:highlight w:val="none"/>
          <w:u w:val="single"/>
          <w:lang w:val="en-US" w:eastAsia="zh-CN"/>
        </w:rPr>
      </w:pPr>
      <w:r>
        <w:rPr>
          <w:rFonts w:hint="eastAsia" w:hAnsi="宋体" w:cs="宋体"/>
          <w:highlight w:val="none"/>
          <w:u w:val="none"/>
          <w:lang w:val="en-US" w:eastAsia="zh-CN"/>
        </w:rPr>
        <w:t>分包号（如有）：</w:t>
      </w:r>
      <w:r>
        <w:rPr>
          <w:rFonts w:hint="eastAsia" w:hAnsi="宋体" w:cs="宋体"/>
          <w:highlight w:val="none"/>
          <w:u w:val="single"/>
          <w:lang w:val="en-US" w:eastAsia="zh-CN"/>
        </w:rPr>
        <w:t xml:space="preserve">包2 </w:t>
      </w:r>
    </w:p>
    <w:p w14:paraId="3A1FB224">
      <w:pPr>
        <w:pStyle w:val="3"/>
        <w:snapToGrid w:val="0"/>
        <w:spacing w:before="120" w:after="120" w:line="360" w:lineRule="auto"/>
        <w:ind w:firstLine="420" w:firstLineChars="200"/>
        <w:rPr>
          <w:rFonts w:hint="default" w:hAnsi="宋体" w:cs="宋体" w:eastAsiaTheme="minorEastAsia"/>
          <w:highlight w:val="none"/>
          <w:u w:val="single"/>
          <w:lang w:val="en-US" w:eastAsia="zh-CN"/>
        </w:rPr>
      </w:pPr>
      <w:r>
        <w:rPr>
          <w:rFonts w:hint="eastAsia" w:hAnsi="宋体" w:cs="宋体"/>
          <w:highlight w:val="none"/>
        </w:rPr>
        <w:t>甲方：（买方）</w:t>
      </w:r>
      <w:r>
        <w:rPr>
          <w:rFonts w:hint="eastAsia" w:hAnsi="宋体" w:cs="宋体"/>
          <w:highlight w:val="none"/>
          <w:u w:val="single"/>
          <w:lang w:val="en-US" w:eastAsia="zh-CN"/>
        </w:rPr>
        <w:t>仪征市农业农村局（仪征市农业技术综合服务中心)</w:t>
      </w:r>
    </w:p>
    <w:p w14:paraId="4011BAA6">
      <w:pPr>
        <w:pStyle w:val="3"/>
        <w:snapToGrid w:val="0"/>
        <w:spacing w:before="120" w:after="120" w:line="360" w:lineRule="auto"/>
        <w:ind w:firstLine="420" w:firstLineChars="200"/>
        <w:rPr>
          <w:rFonts w:hAnsi="宋体" w:cs="宋体"/>
          <w:highlight w:val="none"/>
        </w:rPr>
      </w:pPr>
      <w:r>
        <w:rPr>
          <w:rFonts w:hint="eastAsia" w:hAnsi="宋体" w:cs="宋体"/>
          <w:highlight w:val="none"/>
        </w:rPr>
        <w:t>乙方：（卖方）</w:t>
      </w:r>
      <w:r>
        <w:rPr>
          <w:rFonts w:hint="eastAsia" w:hAnsi="宋体" w:cs="宋体"/>
          <w:highlight w:val="none"/>
          <w:u w:val="single"/>
        </w:rPr>
        <w:t>徐州裕米丰农业有限公司</w:t>
      </w:r>
    </w:p>
    <w:p w14:paraId="03325178">
      <w:pPr>
        <w:pStyle w:val="3"/>
        <w:snapToGrid w:val="0"/>
        <w:spacing w:before="120" w:after="120" w:line="360" w:lineRule="auto"/>
        <w:ind w:firstLine="420" w:firstLineChars="200"/>
        <w:rPr>
          <w:rFonts w:hAnsi="宋体" w:cs="宋体"/>
          <w:highlight w:val="none"/>
        </w:rPr>
      </w:pPr>
      <w:r>
        <w:rPr>
          <w:rFonts w:hint="eastAsia" w:hAnsi="宋体" w:cs="宋体"/>
          <w:highlight w:val="none"/>
        </w:rPr>
        <w:t>甲、乙双方根据</w:t>
      </w:r>
      <w:r>
        <w:rPr>
          <w:rFonts w:hint="eastAsia" w:hAnsi="宋体" w:cs="宋体"/>
          <w:highlight w:val="none"/>
          <w:lang w:eastAsia="zh-CN"/>
        </w:rPr>
        <w:t>扬州博远工程咨询有限公司</w:t>
      </w:r>
      <w:r>
        <w:rPr>
          <w:rFonts w:hint="eastAsia" w:hAnsi="宋体" w:cs="宋体"/>
          <w:highlight w:val="none"/>
          <w:u w:val="single"/>
        </w:rPr>
        <w:t>2025年仪征市扩种油菜抗逆调节剂、叶面肥采购</w:t>
      </w:r>
      <w:r>
        <w:rPr>
          <w:rFonts w:hint="eastAsia" w:hAnsi="宋体" w:cs="宋体"/>
          <w:highlight w:val="none"/>
        </w:rPr>
        <w:t>项目询价采购的结果，签署本合同。</w:t>
      </w:r>
    </w:p>
    <w:p w14:paraId="3C6C0FEF">
      <w:pPr>
        <w:pStyle w:val="3"/>
        <w:snapToGrid w:val="0"/>
        <w:spacing w:before="120" w:after="120" w:line="360" w:lineRule="auto"/>
        <w:ind w:firstLine="422" w:firstLineChars="200"/>
        <w:rPr>
          <w:rFonts w:hAnsi="宋体" w:cs="宋体"/>
          <w:b/>
          <w:bCs/>
          <w:highlight w:val="none"/>
        </w:rPr>
      </w:pPr>
      <w:r>
        <w:rPr>
          <w:rFonts w:hint="eastAsia" w:hAnsi="宋体" w:cs="宋体"/>
          <w:b/>
          <w:bCs/>
          <w:highlight w:val="none"/>
        </w:rPr>
        <w:t>一、货物及伴随服务</w:t>
      </w:r>
    </w:p>
    <w:tbl>
      <w:tblPr>
        <w:tblStyle w:val="7"/>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84"/>
        <w:gridCol w:w="1457"/>
        <w:gridCol w:w="1457"/>
        <w:gridCol w:w="1262"/>
        <w:gridCol w:w="1188"/>
        <w:gridCol w:w="1263"/>
      </w:tblGrid>
      <w:tr w14:paraId="46E0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846" w:type="dxa"/>
            <w:vAlign w:val="center"/>
          </w:tcPr>
          <w:p w14:paraId="66AEB939">
            <w:pPr>
              <w:pStyle w:val="3"/>
              <w:snapToGrid w:val="0"/>
              <w:spacing w:before="120" w:after="120" w:line="360" w:lineRule="auto"/>
              <w:jc w:val="center"/>
              <w:rPr>
                <w:rFonts w:hint="eastAsia" w:hAnsi="宋体" w:cs="宋体" w:eastAsiaTheme="minorEastAsia"/>
                <w:b/>
                <w:bCs/>
                <w:highlight w:val="none"/>
                <w:vertAlign w:val="baseline"/>
                <w:lang w:val="en-US" w:eastAsia="zh-CN"/>
              </w:rPr>
            </w:pPr>
            <w:r>
              <w:rPr>
                <w:rFonts w:hint="eastAsia" w:hAnsi="宋体" w:cs="宋体"/>
                <w:b/>
                <w:bCs/>
                <w:highlight w:val="none"/>
                <w:vertAlign w:val="baseline"/>
                <w:lang w:val="en-US" w:eastAsia="zh-CN"/>
              </w:rPr>
              <w:t>序号</w:t>
            </w:r>
          </w:p>
        </w:tc>
        <w:tc>
          <w:tcPr>
            <w:tcW w:w="1484" w:type="dxa"/>
            <w:vAlign w:val="center"/>
          </w:tcPr>
          <w:p w14:paraId="0DE42DDF">
            <w:pPr>
              <w:pStyle w:val="3"/>
              <w:snapToGrid w:val="0"/>
              <w:spacing w:before="120" w:after="120" w:line="360" w:lineRule="auto"/>
              <w:jc w:val="center"/>
              <w:rPr>
                <w:rFonts w:hint="eastAsia" w:hAnsi="宋体" w:cs="宋体" w:eastAsiaTheme="minorEastAsia"/>
                <w:b/>
                <w:bCs/>
                <w:highlight w:val="none"/>
                <w:vertAlign w:val="baseline"/>
                <w:lang w:val="en-US" w:eastAsia="zh-CN"/>
              </w:rPr>
            </w:pPr>
            <w:r>
              <w:rPr>
                <w:rFonts w:hint="eastAsia" w:hAnsi="宋体" w:cs="宋体"/>
                <w:b/>
                <w:bCs/>
                <w:highlight w:val="none"/>
                <w:vertAlign w:val="baseline"/>
                <w:lang w:val="en-US" w:eastAsia="zh-CN"/>
              </w:rPr>
              <w:t>名称</w:t>
            </w:r>
          </w:p>
        </w:tc>
        <w:tc>
          <w:tcPr>
            <w:tcW w:w="1457" w:type="dxa"/>
            <w:vAlign w:val="center"/>
          </w:tcPr>
          <w:p w14:paraId="0B458040">
            <w:pPr>
              <w:pStyle w:val="3"/>
              <w:snapToGrid w:val="0"/>
              <w:spacing w:before="120" w:after="120" w:line="360" w:lineRule="auto"/>
              <w:jc w:val="center"/>
              <w:rPr>
                <w:rFonts w:hint="eastAsia" w:hAnsi="宋体" w:cs="宋体"/>
                <w:b/>
                <w:bCs/>
                <w:highlight w:val="none"/>
                <w:vertAlign w:val="baseline"/>
                <w:lang w:val="en-US" w:eastAsia="zh-CN"/>
              </w:rPr>
            </w:pPr>
            <w:r>
              <w:rPr>
                <w:rFonts w:hint="eastAsia" w:hAnsi="宋体" w:cs="宋体"/>
                <w:b/>
                <w:bCs/>
                <w:highlight w:val="none"/>
                <w:vertAlign w:val="baseline"/>
                <w:lang w:val="en-US" w:eastAsia="zh-CN"/>
              </w:rPr>
              <w:t>品牌</w:t>
            </w:r>
          </w:p>
        </w:tc>
        <w:tc>
          <w:tcPr>
            <w:tcW w:w="1457" w:type="dxa"/>
            <w:vAlign w:val="center"/>
          </w:tcPr>
          <w:p w14:paraId="41CB6626">
            <w:pPr>
              <w:pStyle w:val="3"/>
              <w:snapToGrid w:val="0"/>
              <w:spacing w:before="120" w:after="120" w:line="360" w:lineRule="auto"/>
              <w:jc w:val="center"/>
              <w:rPr>
                <w:rFonts w:hint="default" w:hAnsi="宋体" w:cs="宋体" w:eastAsiaTheme="minorEastAsia"/>
                <w:b/>
                <w:bCs/>
                <w:highlight w:val="none"/>
                <w:vertAlign w:val="baseline"/>
                <w:lang w:val="en-US" w:eastAsia="zh-CN"/>
              </w:rPr>
            </w:pPr>
            <w:r>
              <w:rPr>
                <w:rFonts w:hint="eastAsia" w:hAnsi="宋体" w:cs="宋体"/>
                <w:b/>
                <w:bCs/>
                <w:highlight w:val="none"/>
                <w:vertAlign w:val="baseline"/>
                <w:lang w:val="en-US" w:eastAsia="zh-CN"/>
              </w:rPr>
              <w:t>规格型号</w:t>
            </w:r>
          </w:p>
        </w:tc>
        <w:tc>
          <w:tcPr>
            <w:tcW w:w="1262" w:type="dxa"/>
            <w:vAlign w:val="center"/>
          </w:tcPr>
          <w:p w14:paraId="7614919F">
            <w:pPr>
              <w:pStyle w:val="3"/>
              <w:snapToGrid w:val="0"/>
              <w:spacing w:before="120" w:after="120" w:line="360" w:lineRule="auto"/>
              <w:jc w:val="center"/>
              <w:rPr>
                <w:rFonts w:hint="eastAsia" w:hAnsi="宋体" w:cs="宋体" w:eastAsiaTheme="minorEastAsia"/>
                <w:b/>
                <w:bCs/>
                <w:highlight w:val="none"/>
                <w:vertAlign w:val="baseline"/>
                <w:lang w:val="en-US" w:eastAsia="zh-CN"/>
              </w:rPr>
            </w:pPr>
            <w:r>
              <w:rPr>
                <w:rFonts w:hint="eastAsia" w:hAnsi="宋体" w:cs="宋体"/>
                <w:b/>
                <w:bCs/>
                <w:highlight w:val="none"/>
                <w:vertAlign w:val="baseline"/>
                <w:lang w:val="en-US" w:eastAsia="zh-CN"/>
              </w:rPr>
              <w:t>产地</w:t>
            </w:r>
          </w:p>
        </w:tc>
        <w:tc>
          <w:tcPr>
            <w:tcW w:w="1188" w:type="dxa"/>
            <w:vAlign w:val="center"/>
          </w:tcPr>
          <w:p w14:paraId="081242BF">
            <w:pPr>
              <w:pStyle w:val="3"/>
              <w:snapToGrid w:val="0"/>
              <w:spacing w:before="120" w:after="120" w:line="360" w:lineRule="auto"/>
              <w:jc w:val="center"/>
              <w:rPr>
                <w:rFonts w:hint="eastAsia" w:hAnsi="宋体" w:cs="宋体"/>
                <w:b/>
                <w:bCs/>
                <w:highlight w:val="none"/>
                <w:vertAlign w:val="baseline"/>
                <w:lang w:val="en-US" w:eastAsia="zh-CN"/>
              </w:rPr>
            </w:pPr>
            <w:r>
              <w:rPr>
                <w:rFonts w:hint="eastAsia" w:hAnsi="宋体" w:cs="宋体"/>
                <w:b/>
                <w:bCs/>
                <w:highlight w:val="none"/>
                <w:vertAlign w:val="baseline"/>
                <w:lang w:val="en-US" w:eastAsia="zh-CN"/>
              </w:rPr>
              <w:t>单价</w:t>
            </w:r>
          </w:p>
          <w:p w14:paraId="41ECCA96">
            <w:pPr>
              <w:pStyle w:val="3"/>
              <w:snapToGrid w:val="0"/>
              <w:spacing w:before="120" w:after="120" w:line="360" w:lineRule="auto"/>
              <w:jc w:val="center"/>
              <w:rPr>
                <w:rFonts w:hint="eastAsia" w:hAnsi="宋体" w:cs="宋体" w:eastAsiaTheme="minorEastAsia"/>
                <w:b/>
                <w:bCs/>
                <w:highlight w:val="none"/>
                <w:vertAlign w:val="baseline"/>
                <w:lang w:val="en-US" w:eastAsia="zh-CN"/>
              </w:rPr>
            </w:pPr>
            <w:r>
              <w:rPr>
                <w:rFonts w:hint="eastAsia" w:hAnsi="宋体" w:cs="宋体"/>
                <w:b/>
                <w:bCs/>
                <w:highlight w:val="none"/>
                <w:vertAlign w:val="baseline"/>
                <w:lang w:val="en-US" w:eastAsia="zh-CN"/>
              </w:rPr>
              <w:t>（元/亩）</w:t>
            </w:r>
          </w:p>
        </w:tc>
        <w:tc>
          <w:tcPr>
            <w:tcW w:w="1263" w:type="dxa"/>
            <w:vAlign w:val="center"/>
          </w:tcPr>
          <w:p w14:paraId="651EA6C6">
            <w:pPr>
              <w:pStyle w:val="3"/>
              <w:snapToGrid w:val="0"/>
              <w:spacing w:before="120" w:after="120" w:line="360" w:lineRule="auto"/>
              <w:jc w:val="center"/>
              <w:rPr>
                <w:rFonts w:hint="eastAsia" w:hAnsi="宋体" w:cs="宋体" w:eastAsiaTheme="minorEastAsia"/>
                <w:b/>
                <w:bCs/>
                <w:highlight w:val="none"/>
                <w:vertAlign w:val="baseline"/>
                <w:lang w:val="en-US" w:eastAsia="zh-CN"/>
              </w:rPr>
            </w:pPr>
            <w:r>
              <w:rPr>
                <w:rFonts w:hint="eastAsia" w:hAnsi="宋体" w:cs="宋体"/>
                <w:b/>
                <w:bCs/>
                <w:highlight w:val="none"/>
                <w:vertAlign w:val="baseline"/>
                <w:lang w:val="en-US" w:eastAsia="zh-CN"/>
              </w:rPr>
              <w:t>数量（瓶）</w:t>
            </w:r>
          </w:p>
        </w:tc>
      </w:tr>
      <w:tr w14:paraId="5B4E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846" w:type="dxa"/>
            <w:vAlign w:val="center"/>
          </w:tcPr>
          <w:p w14:paraId="0B7F58FB">
            <w:pPr>
              <w:pStyle w:val="3"/>
              <w:snapToGrid w:val="0"/>
              <w:spacing w:before="120" w:after="120" w:line="360" w:lineRule="auto"/>
              <w:jc w:val="center"/>
              <w:rPr>
                <w:rFonts w:hint="eastAsia" w:hAnsi="宋体" w:cs="宋体" w:eastAsiaTheme="minorEastAsia"/>
                <w:b/>
                <w:bCs/>
                <w:highlight w:val="none"/>
                <w:vertAlign w:val="baseline"/>
                <w:lang w:val="en-US" w:eastAsia="zh-CN"/>
              </w:rPr>
            </w:pPr>
            <w:r>
              <w:rPr>
                <w:rFonts w:hint="eastAsia" w:hAnsi="宋体" w:cs="宋体"/>
                <w:b/>
                <w:bCs/>
                <w:highlight w:val="none"/>
                <w:vertAlign w:val="baseline"/>
                <w:lang w:val="en-US" w:eastAsia="zh-CN"/>
              </w:rPr>
              <w:t>1</w:t>
            </w:r>
          </w:p>
        </w:tc>
        <w:tc>
          <w:tcPr>
            <w:tcW w:w="1484" w:type="dxa"/>
            <w:vAlign w:val="center"/>
          </w:tcPr>
          <w:p w14:paraId="6F8F1268">
            <w:pPr>
              <w:pStyle w:val="3"/>
              <w:snapToGrid w:val="0"/>
              <w:spacing w:before="120" w:after="120" w:line="360" w:lineRule="auto"/>
              <w:jc w:val="center"/>
              <w:rPr>
                <w:rFonts w:hint="eastAsia" w:hAnsi="宋体" w:cs="宋体"/>
                <w:b/>
                <w:bCs/>
                <w:highlight w:val="none"/>
                <w:vertAlign w:val="baseline"/>
              </w:rPr>
            </w:pPr>
            <w:r>
              <w:rPr>
                <w:rFonts w:hint="eastAsia" w:hAnsi="宋体" w:cs="宋体"/>
                <w:b/>
                <w:bCs/>
                <w:highlight w:val="none"/>
                <w:vertAlign w:val="baseline"/>
              </w:rPr>
              <w:t>叶面肥</w:t>
            </w:r>
          </w:p>
        </w:tc>
        <w:tc>
          <w:tcPr>
            <w:tcW w:w="1457" w:type="dxa"/>
            <w:vAlign w:val="center"/>
          </w:tcPr>
          <w:p w14:paraId="61301A06">
            <w:pPr>
              <w:pStyle w:val="3"/>
              <w:snapToGrid w:val="0"/>
              <w:spacing w:before="120" w:after="120" w:line="360" w:lineRule="auto"/>
              <w:jc w:val="center"/>
              <w:rPr>
                <w:rFonts w:hint="eastAsia" w:hAnsi="宋体" w:cs="宋体"/>
                <w:b/>
                <w:bCs/>
                <w:highlight w:val="none"/>
                <w:vertAlign w:val="baseline"/>
              </w:rPr>
            </w:pPr>
            <w:r>
              <w:rPr>
                <w:rFonts w:hint="eastAsia" w:hAnsi="宋体" w:cs="宋体"/>
                <w:b/>
                <w:bCs/>
                <w:highlight w:val="none"/>
                <w:vertAlign w:val="baseline"/>
                <w:lang w:val="en-US" w:eastAsia="zh-CN"/>
              </w:rPr>
              <w:t>爱果粒</w:t>
            </w:r>
          </w:p>
        </w:tc>
        <w:tc>
          <w:tcPr>
            <w:tcW w:w="1457" w:type="dxa"/>
            <w:vAlign w:val="center"/>
          </w:tcPr>
          <w:p w14:paraId="014B0C5C">
            <w:pPr>
              <w:pStyle w:val="3"/>
              <w:snapToGrid w:val="0"/>
              <w:spacing w:before="120" w:after="120" w:line="360" w:lineRule="auto"/>
              <w:jc w:val="center"/>
              <w:rPr>
                <w:rFonts w:hint="default" w:hAnsi="宋体" w:cs="宋体" w:eastAsiaTheme="minorEastAsia"/>
                <w:b/>
                <w:bCs/>
                <w:highlight w:val="none"/>
                <w:vertAlign w:val="baseline"/>
                <w:lang w:val="en-US" w:eastAsia="zh-CN"/>
              </w:rPr>
            </w:pPr>
            <w:r>
              <w:rPr>
                <w:rFonts w:hint="eastAsia" w:hAnsi="宋体" w:cs="宋体"/>
                <w:b/>
                <w:bCs/>
                <w:highlight w:val="none"/>
                <w:vertAlign w:val="baseline"/>
                <w:lang w:val="en-US" w:eastAsia="zh-CN"/>
              </w:rPr>
              <w:t>300g/瓶</w:t>
            </w:r>
          </w:p>
        </w:tc>
        <w:tc>
          <w:tcPr>
            <w:tcW w:w="1262" w:type="dxa"/>
            <w:vAlign w:val="center"/>
          </w:tcPr>
          <w:p w14:paraId="76DB5E31">
            <w:pPr>
              <w:pStyle w:val="3"/>
              <w:snapToGrid w:val="0"/>
              <w:spacing w:before="120" w:after="120" w:line="360" w:lineRule="auto"/>
              <w:jc w:val="center"/>
              <w:rPr>
                <w:rFonts w:hint="default" w:hAnsi="宋体" w:cs="宋体" w:eastAsiaTheme="minorEastAsia"/>
                <w:b/>
                <w:bCs/>
                <w:highlight w:val="none"/>
                <w:vertAlign w:val="baseline"/>
                <w:lang w:val="en-US" w:eastAsia="zh-CN"/>
              </w:rPr>
            </w:pPr>
            <w:r>
              <w:rPr>
                <w:rFonts w:hint="eastAsia" w:hAnsi="宋体" w:cs="宋体"/>
                <w:b/>
                <w:bCs/>
                <w:highlight w:val="none"/>
                <w:vertAlign w:val="baseline"/>
                <w:lang w:val="en-US" w:eastAsia="zh-CN"/>
              </w:rPr>
              <w:t>山东</w:t>
            </w:r>
          </w:p>
        </w:tc>
        <w:tc>
          <w:tcPr>
            <w:tcW w:w="1188" w:type="dxa"/>
            <w:vAlign w:val="center"/>
          </w:tcPr>
          <w:p w14:paraId="23FFB3D1">
            <w:pPr>
              <w:pStyle w:val="3"/>
              <w:snapToGrid w:val="0"/>
              <w:spacing w:before="120" w:after="120" w:line="360" w:lineRule="auto"/>
              <w:jc w:val="center"/>
              <w:rPr>
                <w:rFonts w:hint="default" w:hAnsi="宋体" w:cs="宋体" w:eastAsiaTheme="minorEastAsia"/>
                <w:b/>
                <w:bCs/>
                <w:highlight w:val="none"/>
                <w:vertAlign w:val="baseline"/>
                <w:lang w:val="en-US" w:eastAsia="zh-CN"/>
              </w:rPr>
            </w:pPr>
            <w:r>
              <w:rPr>
                <w:rFonts w:hint="eastAsia" w:hAnsi="宋体" w:cs="宋体"/>
                <w:b/>
                <w:bCs/>
                <w:highlight w:val="none"/>
                <w:vertAlign w:val="baseline"/>
                <w:lang w:val="en-US" w:eastAsia="zh-CN"/>
              </w:rPr>
              <w:t>4.59</w:t>
            </w:r>
          </w:p>
        </w:tc>
        <w:tc>
          <w:tcPr>
            <w:tcW w:w="1263" w:type="dxa"/>
            <w:vAlign w:val="center"/>
          </w:tcPr>
          <w:p w14:paraId="3B02517F">
            <w:pPr>
              <w:pStyle w:val="3"/>
              <w:snapToGrid w:val="0"/>
              <w:spacing w:before="120" w:after="120" w:line="360" w:lineRule="auto"/>
              <w:jc w:val="center"/>
              <w:rPr>
                <w:rFonts w:hint="default" w:hAnsi="宋体" w:cs="宋体"/>
                <w:b/>
                <w:bCs/>
                <w:highlight w:val="none"/>
                <w:vertAlign w:val="baseline"/>
                <w:lang w:val="en-US"/>
              </w:rPr>
            </w:pPr>
            <w:r>
              <w:rPr>
                <w:rFonts w:hint="default" w:hAnsi="宋体" w:cs="宋体"/>
                <w:b/>
                <w:bCs/>
                <w:highlight w:val="none"/>
                <w:vertAlign w:val="baseline"/>
                <w:lang w:val="en-US"/>
              </w:rPr>
              <w:t>34133</w:t>
            </w:r>
          </w:p>
        </w:tc>
      </w:tr>
    </w:tbl>
    <w:p w14:paraId="398AC3C5">
      <w:pPr>
        <w:pStyle w:val="3"/>
        <w:snapToGrid w:val="0"/>
        <w:spacing w:before="120" w:after="120" w:line="360" w:lineRule="auto"/>
        <w:ind w:firstLine="422" w:firstLineChars="200"/>
        <w:rPr>
          <w:rFonts w:hint="eastAsia" w:hAnsi="宋体" w:cs="宋体"/>
          <w:b/>
          <w:bCs/>
          <w:highlight w:val="none"/>
        </w:rPr>
      </w:pPr>
      <w:r>
        <w:rPr>
          <w:rFonts w:hint="eastAsia" w:hAnsi="宋体" w:cs="宋体"/>
          <w:b/>
          <w:bCs/>
          <w:highlight w:val="none"/>
        </w:rPr>
        <w:t>(注：以上产品为最新生产的原装正品，各项指标符合检测标准和出厂标准，各项技术参数符合采购文件要求。)</w:t>
      </w:r>
    </w:p>
    <w:p w14:paraId="3BCB2A0D">
      <w:pPr>
        <w:pStyle w:val="3"/>
        <w:snapToGrid w:val="0"/>
        <w:spacing w:before="120" w:after="120" w:line="360" w:lineRule="auto"/>
        <w:ind w:firstLine="422" w:firstLineChars="200"/>
        <w:rPr>
          <w:rFonts w:hAnsi="宋体" w:cs="宋体"/>
          <w:b/>
          <w:bCs/>
          <w:highlight w:val="none"/>
        </w:rPr>
      </w:pPr>
      <w:bookmarkStart w:id="0" w:name="_GoBack"/>
      <w:r>
        <w:rPr>
          <w:rFonts w:hint="eastAsia" w:hAnsi="宋体" w:cs="宋体"/>
          <w:b/>
          <w:bCs/>
          <w:highlight w:val="none"/>
        </w:rPr>
        <w:t>二、合同金额</w:t>
      </w:r>
    </w:p>
    <w:p w14:paraId="7C190112">
      <w:pPr>
        <w:pStyle w:val="3"/>
        <w:snapToGrid w:val="0"/>
        <w:spacing w:before="120" w:after="120" w:line="360" w:lineRule="auto"/>
        <w:ind w:firstLine="420" w:firstLineChars="200"/>
        <w:rPr>
          <w:rFonts w:hAnsi="宋体" w:cs="宋体"/>
          <w:highlight w:val="none"/>
        </w:rPr>
      </w:pPr>
      <w:r>
        <w:rPr>
          <w:rFonts w:hint="eastAsia" w:hAnsi="宋体" w:cs="宋体"/>
          <w:highlight w:val="none"/>
        </w:rPr>
        <w:t>2.1 本合同金额为（大写）：</w:t>
      </w:r>
      <w:r>
        <w:rPr>
          <w:rFonts w:hint="eastAsia" w:hAnsi="宋体" w:cs="宋体"/>
          <w:highlight w:val="none"/>
          <w:u w:val="single"/>
          <w:lang w:val="en-US" w:eastAsia="zh-CN"/>
        </w:rPr>
        <w:t>肆拾柒万元整</w:t>
      </w:r>
      <w:r>
        <w:rPr>
          <w:rFonts w:hint="eastAsia" w:hAnsi="宋体" w:cs="宋体"/>
          <w:highlight w:val="none"/>
        </w:rPr>
        <w:t>（</w:t>
      </w:r>
      <w:r>
        <w:rPr>
          <w:rFonts w:hint="eastAsia" w:hAnsi="宋体" w:cs="宋体"/>
          <w:highlight w:val="none"/>
          <w:u w:val="single"/>
          <w:lang w:val="en-US" w:eastAsia="zh-CN"/>
        </w:rPr>
        <w:t>¥470000</w:t>
      </w:r>
      <w:r>
        <w:rPr>
          <w:rFonts w:hint="eastAsia" w:hAnsi="宋体" w:cs="宋体"/>
          <w:highlight w:val="none"/>
          <w:u w:val="single"/>
        </w:rPr>
        <w:t>元</w:t>
      </w:r>
      <w:r>
        <w:rPr>
          <w:rFonts w:hint="eastAsia" w:hAnsi="宋体" w:cs="宋体"/>
          <w:highlight w:val="none"/>
        </w:rPr>
        <w:t>）人民币。</w:t>
      </w:r>
    </w:p>
    <w:p w14:paraId="664B1343">
      <w:pPr>
        <w:pStyle w:val="3"/>
        <w:snapToGrid w:val="0"/>
        <w:spacing w:before="120" w:after="120" w:line="360" w:lineRule="auto"/>
        <w:ind w:firstLine="422" w:firstLineChars="200"/>
        <w:rPr>
          <w:rFonts w:hAnsi="宋体" w:cs="宋体"/>
          <w:b/>
          <w:bCs/>
          <w:highlight w:val="none"/>
        </w:rPr>
      </w:pPr>
      <w:r>
        <w:rPr>
          <w:rFonts w:hint="eastAsia" w:hAnsi="宋体" w:cs="宋体"/>
          <w:b/>
          <w:bCs/>
          <w:highlight w:val="none"/>
        </w:rPr>
        <w:t>三、技术资料</w:t>
      </w:r>
    </w:p>
    <w:p w14:paraId="692ED7C4">
      <w:pPr>
        <w:pStyle w:val="3"/>
        <w:snapToGrid w:val="0"/>
        <w:spacing w:before="120" w:after="120" w:line="360" w:lineRule="auto"/>
        <w:ind w:firstLine="420" w:firstLineChars="200"/>
        <w:rPr>
          <w:rFonts w:hAnsi="宋体" w:cs="宋体"/>
          <w:highlight w:val="none"/>
        </w:rPr>
      </w:pPr>
      <w:r>
        <w:rPr>
          <w:rFonts w:hint="eastAsia" w:hAnsi="宋体" w:cs="宋体"/>
          <w:highlight w:val="none"/>
        </w:rPr>
        <w:t>3.1乙方应按采购文件规定的时间向甲方提供使用货物及服务的有关技术资料。</w:t>
      </w:r>
    </w:p>
    <w:p w14:paraId="45185FA8">
      <w:pPr>
        <w:pStyle w:val="3"/>
        <w:snapToGrid w:val="0"/>
        <w:spacing w:before="120" w:after="120" w:line="360" w:lineRule="auto"/>
        <w:ind w:firstLine="420" w:firstLineChars="200"/>
        <w:rPr>
          <w:rFonts w:hAnsi="宋体" w:cs="宋体"/>
          <w:highlight w:val="none"/>
        </w:rPr>
      </w:pPr>
      <w:r>
        <w:rPr>
          <w:rFonts w:hint="eastAsia" w:hAnsi="宋体" w:cs="宋体"/>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31A879F">
      <w:pPr>
        <w:pStyle w:val="3"/>
        <w:snapToGrid w:val="0"/>
        <w:spacing w:before="120" w:after="120" w:line="360" w:lineRule="auto"/>
        <w:ind w:firstLine="422" w:firstLineChars="200"/>
        <w:rPr>
          <w:rFonts w:hAnsi="宋体" w:cs="宋体"/>
          <w:b/>
          <w:bCs/>
          <w:highlight w:val="none"/>
        </w:rPr>
      </w:pPr>
      <w:r>
        <w:rPr>
          <w:rFonts w:hint="eastAsia" w:hAnsi="宋体" w:cs="宋体"/>
          <w:b/>
          <w:bCs/>
          <w:highlight w:val="none"/>
        </w:rPr>
        <w:t>四、知识产权</w:t>
      </w:r>
    </w:p>
    <w:p w14:paraId="3BD1C590">
      <w:pPr>
        <w:pStyle w:val="3"/>
        <w:snapToGrid w:val="0"/>
        <w:spacing w:before="120" w:after="120" w:line="360" w:lineRule="auto"/>
        <w:ind w:firstLine="420" w:firstLineChars="200"/>
        <w:rPr>
          <w:rFonts w:hAnsi="宋体" w:cs="宋体"/>
          <w:highlight w:val="none"/>
        </w:rPr>
      </w:pPr>
      <w:r>
        <w:rPr>
          <w:rFonts w:hint="eastAsia" w:hAnsi="宋体" w:cs="宋体"/>
          <w:highlight w:val="none"/>
        </w:rPr>
        <w:t>4.1乙方应保证甲方在使用、接受本合同货物及服务或其任何一部分时不受第三方提出侵犯其专利权、版权、商标权和工业设计权等知识产权的起诉。一旦出现侵权，由乙方负全部责任。</w:t>
      </w:r>
    </w:p>
    <w:p w14:paraId="7995073E">
      <w:pPr>
        <w:pStyle w:val="3"/>
        <w:snapToGrid w:val="0"/>
        <w:spacing w:before="120" w:after="120" w:line="360" w:lineRule="auto"/>
        <w:ind w:firstLine="422" w:firstLineChars="200"/>
        <w:rPr>
          <w:rFonts w:hAnsi="宋体" w:cs="宋体"/>
          <w:b/>
          <w:bCs/>
          <w:highlight w:val="none"/>
        </w:rPr>
      </w:pPr>
      <w:r>
        <w:rPr>
          <w:rFonts w:hint="eastAsia" w:hAnsi="宋体" w:cs="宋体"/>
          <w:b/>
          <w:bCs/>
          <w:highlight w:val="none"/>
        </w:rPr>
        <w:t>五、产权担保</w:t>
      </w:r>
    </w:p>
    <w:p w14:paraId="6543BEDF">
      <w:pPr>
        <w:pStyle w:val="3"/>
        <w:snapToGrid w:val="0"/>
        <w:spacing w:before="120" w:after="120" w:line="360" w:lineRule="auto"/>
        <w:ind w:firstLine="420" w:firstLineChars="200"/>
        <w:rPr>
          <w:rFonts w:hAnsi="宋体" w:cs="宋体"/>
          <w:highlight w:val="none"/>
        </w:rPr>
      </w:pPr>
      <w:r>
        <w:rPr>
          <w:rFonts w:hint="eastAsia" w:hAnsi="宋体" w:cs="宋体"/>
          <w:highlight w:val="none"/>
        </w:rPr>
        <w:t>5.1 乙方保证所交付的货物及服务的所有权完全属于乙方且无任何抵押、查封等产权瑕疵。</w:t>
      </w:r>
    </w:p>
    <w:p w14:paraId="72FE59D5">
      <w:pPr>
        <w:pStyle w:val="3"/>
        <w:snapToGrid w:val="0"/>
        <w:spacing w:before="120" w:after="120" w:line="360" w:lineRule="auto"/>
        <w:ind w:firstLine="422" w:firstLineChars="200"/>
        <w:rPr>
          <w:rFonts w:hAnsi="宋体" w:cs="宋体"/>
          <w:b/>
          <w:bCs/>
          <w:highlight w:val="none"/>
        </w:rPr>
      </w:pPr>
      <w:r>
        <w:rPr>
          <w:rFonts w:hint="eastAsia" w:hAnsi="宋体" w:cs="宋体"/>
          <w:b/>
          <w:bCs/>
          <w:highlight w:val="none"/>
        </w:rPr>
        <w:t>六、履约保证金</w:t>
      </w:r>
    </w:p>
    <w:p w14:paraId="22C94501">
      <w:pPr>
        <w:pStyle w:val="3"/>
        <w:snapToGrid w:val="0"/>
        <w:spacing w:before="120" w:after="120" w:line="360" w:lineRule="auto"/>
        <w:ind w:firstLine="420" w:firstLineChars="200"/>
        <w:rPr>
          <w:rFonts w:hAnsi="宋体"/>
          <w:highlight w:val="none"/>
        </w:rPr>
      </w:pPr>
      <w:r>
        <w:rPr>
          <w:rFonts w:hint="eastAsia" w:hAnsi="宋体" w:cs="宋体"/>
          <w:highlight w:val="none"/>
        </w:rPr>
        <w:t>6.1 </w:t>
      </w:r>
      <w:r>
        <w:rPr>
          <w:rFonts w:hint="eastAsia" w:hAnsi="宋体"/>
          <w:highlight w:val="none"/>
        </w:rPr>
        <w:t>履约保证收取：无</w:t>
      </w:r>
      <w:r>
        <w:rPr>
          <w:rFonts w:hint="eastAsia" w:hAnsi="宋体" w:cs="宋体"/>
          <w:highlight w:val="none"/>
        </w:rPr>
        <w:t xml:space="preserve"> </w:t>
      </w:r>
    </w:p>
    <w:p w14:paraId="1E68FE53">
      <w:pPr>
        <w:pStyle w:val="3"/>
        <w:snapToGrid w:val="0"/>
        <w:spacing w:before="120" w:after="120" w:line="360" w:lineRule="auto"/>
        <w:ind w:firstLine="422" w:firstLineChars="200"/>
        <w:rPr>
          <w:rFonts w:hAnsi="宋体" w:cs="宋体"/>
          <w:b/>
          <w:bCs/>
          <w:highlight w:val="none"/>
        </w:rPr>
      </w:pPr>
      <w:r>
        <w:rPr>
          <w:rFonts w:hint="eastAsia" w:hAnsi="宋体" w:cs="宋体"/>
          <w:b/>
          <w:bCs/>
          <w:highlight w:val="none"/>
        </w:rPr>
        <w:t>七、转包或分包</w:t>
      </w:r>
    </w:p>
    <w:p w14:paraId="3CF16A27">
      <w:pPr>
        <w:pStyle w:val="3"/>
        <w:snapToGrid w:val="0"/>
        <w:spacing w:before="120" w:after="120" w:line="360" w:lineRule="auto"/>
        <w:ind w:firstLine="420" w:firstLineChars="200"/>
        <w:rPr>
          <w:rFonts w:hAnsi="宋体" w:cs="宋体"/>
          <w:highlight w:val="none"/>
        </w:rPr>
      </w:pPr>
      <w:r>
        <w:rPr>
          <w:rFonts w:hint="eastAsia" w:hAnsi="宋体" w:cs="宋体"/>
          <w:highlight w:val="none"/>
        </w:rPr>
        <w:t>7.1本合同范围的货物及服务，应由乙方直接供应，不得转让他人供应；</w:t>
      </w:r>
    </w:p>
    <w:p w14:paraId="14823642">
      <w:pPr>
        <w:pStyle w:val="3"/>
        <w:snapToGrid w:val="0"/>
        <w:spacing w:before="120" w:after="120" w:line="360" w:lineRule="auto"/>
        <w:ind w:firstLine="420" w:firstLineChars="200"/>
        <w:rPr>
          <w:rFonts w:hAnsi="宋体" w:cs="宋体"/>
          <w:highlight w:val="none"/>
        </w:rPr>
      </w:pPr>
      <w:r>
        <w:rPr>
          <w:rFonts w:hint="eastAsia" w:hAnsi="宋体" w:cs="宋体"/>
          <w:highlight w:val="none"/>
        </w:rPr>
        <w:t>7.2 除非得到甲方的书面同意，乙方不得部分分包给他人供应。</w:t>
      </w:r>
    </w:p>
    <w:p w14:paraId="62683E84">
      <w:pPr>
        <w:pStyle w:val="3"/>
        <w:snapToGrid w:val="0"/>
        <w:spacing w:before="120" w:after="120" w:line="360" w:lineRule="auto"/>
        <w:ind w:firstLine="420" w:firstLineChars="200"/>
        <w:rPr>
          <w:rFonts w:hAnsi="宋体" w:cs="宋体"/>
          <w:highlight w:val="none"/>
        </w:rPr>
      </w:pPr>
      <w:r>
        <w:rPr>
          <w:rFonts w:hint="eastAsia" w:hAnsi="宋体" w:cs="宋体"/>
          <w:highlight w:val="none"/>
        </w:rPr>
        <w:t>7.3如有转让和未经甲方同意的分包行为，甲方有权终止合同。</w:t>
      </w:r>
    </w:p>
    <w:p w14:paraId="5433452A">
      <w:pPr>
        <w:pStyle w:val="3"/>
        <w:snapToGrid w:val="0"/>
        <w:spacing w:before="120" w:after="120" w:line="360" w:lineRule="auto"/>
        <w:ind w:firstLine="422" w:firstLineChars="200"/>
        <w:rPr>
          <w:rFonts w:hAnsi="宋体" w:cs="宋体"/>
          <w:b/>
          <w:bCs/>
          <w:highlight w:val="none"/>
        </w:rPr>
      </w:pPr>
      <w:r>
        <w:rPr>
          <w:rFonts w:hint="eastAsia" w:hAnsi="宋体" w:cs="宋体"/>
          <w:b/>
          <w:bCs/>
          <w:highlight w:val="none"/>
        </w:rPr>
        <w:t>八、质保期</w:t>
      </w:r>
    </w:p>
    <w:p w14:paraId="4DF135B9">
      <w:pPr>
        <w:pStyle w:val="3"/>
        <w:snapToGrid w:val="0"/>
        <w:spacing w:before="120" w:after="120" w:line="360" w:lineRule="auto"/>
        <w:ind w:firstLine="420" w:firstLineChars="200"/>
        <w:rPr>
          <w:rFonts w:hAnsi="宋体" w:cs="宋体"/>
          <w:highlight w:val="none"/>
        </w:rPr>
      </w:pPr>
      <w:r>
        <w:rPr>
          <w:rFonts w:hint="eastAsia" w:hAnsi="宋体" w:cs="宋体"/>
          <w:highlight w:val="none"/>
        </w:rPr>
        <w:t>8.1 质保期</w:t>
      </w:r>
      <w:r>
        <w:rPr>
          <w:rFonts w:hint="eastAsia" w:hAnsi="宋体" w:cs="宋体"/>
          <w:highlight w:val="none"/>
          <w:u w:val="single"/>
        </w:rPr>
        <w:t xml:space="preserve">  </w:t>
      </w:r>
      <w:r>
        <w:rPr>
          <w:rFonts w:hint="eastAsia" w:hAnsi="宋体" w:cs="宋体"/>
          <w:highlight w:val="none"/>
          <w:u w:val="single"/>
          <w:lang w:val="en-US" w:eastAsia="zh-CN"/>
        </w:rPr>
        <w:t>2</w:t>
      </w:r>
      <w:r>
        <w:rPr>
          <w:rFonts w:hint="eastAsia" w:hAnsi="宋体" w:cs="宋体"/>
          <w:highlight w:val="none"/>
          <w:u w:val="single"/>
        </w:rPr>
        <w:t xml:space="preserve">  </w:t>
      </w:r>
      <w:r>
        <w:rPr>
          <w:rFonts w:hint="eastAsia" w:hAnsi="宋体" w:cs="宋体"/>
          <w:highlight w:val="none"/>
        </w:rPr>
        <w:t>年。（自交货验收合格之日起计）</w:t>
      </w:r>
    </w:p>
    <w:p w14:paraId="39A6CF67">
      <w:pPr>
        <w:pStyle w:val="3"/>
        <w:snapToGrid w:val="0"/>
        <w:spacing w:before="120" w:after="120" w:line="360" w:lineRule="auto"/>
        <w:ind w:firstLine="422" w:firstLineChars="200"/>
        <w:rPr>
          <w:rFonts w:hAnsi="宋体" w:cs="宋体"/>
          <w:b/>
          <w:bCs/>
          <w:highlight w:val="none"/>
        </w:rPr>
      </w:pPr>
      <w:r>
        <w:rPr>
          <w:rFonts w:hint="eastAsia" w:hAnsi="宋体" w:cs="宋体"/>
          <w:b/>
          <w:bCs/>
          <w:highlight w:val="none"/>
        </w:rPr>
        <w:t>九、交付期、交付方式及交付地点</w:t>
      </w:r>
    </w:p>
    <w:p w14:paraId="4F6F6A0C">
      <w:pPr>
        <w:pStyle w:val="3"/>
        <w:snapToGrid w:val="0"/>
        <w:spacing w:before="120" w:after="120" w:line="360" w:lineRule="auto"/>
        <w:ind w:firstLine="420" w:firstLineChars="200"/>
        <w:rPr>
          <w:rFonts w:hAnsi="宋体" w:cs="宋体"/>
          <w:highlight w:val="none"/>
        </w:rPr>
      </w:pPr>
      <w:r>
        <w:rPr>
          <w:rFonts w:hint="eastAsia" w:hAnsi="宋体" w:cs="宋体"/>
          <w:highlight w:val="none"/>
        </w:rPr>
        <w:t>9.1 交付期：</w:t>
      </w:r>
      <w:r>
        <w:rPr>
          <w:rFonts w:hint="eastAsia" w:hAnsi="宋体" w:cs="宋体"/>
          <w:highlight w:val="none"/>
          <w:u w:val="single"/>
        </w:rPr>
        <w:t>合同签订后，具体以采购人通知后15天内交货（按使用地不同送至采购人指定地点）</w:t>
      </w:r>
    </w:p>
    <w:p w14:paraId="00444114">
      <w:pPr>
        <w:pStyle w:val="3"/>
        <w:snapToGrid w:val="0"/>
        <w:spacing w:before="120" w:after="120" w:line="360" w:lineRule="auto"/>
        <w:ind w:firstLine="420" w:firstLineChars="200"/>
        <w:rPr>
          <w:rFonts w:hint="default" w:hAnsi="宋体" w:cs="宋体" w:eastAsiaTheme="minorEastAsia"/>
          <w:highlight w:val="none"/>
          <w:lang w:val="en-US" w:eastAsia="zh-CN"/>
        </w:rPr>
      </w:pPr>
      <w:r>
        <w:rPr>
          <w:rFonts w:hint="eastAsia" w:hAnsi="宋体" w:cs="宋体"/>
          <w:highlight w:val="none"/>
        </w:rPr>
        <w:t>9.2 交付方式：</w:t>
      </w:r>
      <w:r>
        <w:rPr>
          <w:rFonts w:hint="eastAsia" w:hAnsi="宋体" w:cs="宋体"/>
          <w:highlight w:val="none"/>
          <w:u w:val="single"/>
          <w:lang w:val="en-US" w:eastAsia="zh-CN"/>
        </w:rPr>
        <w:t>采购人指定方式</w:t>
      </w:r>
    </w:p>
    <w:p w14:paraId="55815343">
      <w:pPr>
        <w:pStyle w:val="3"/>
        <w:snapToGrid w:val="0"/>
        <w:spacing w:before="120" w:after="120" w:line="360" w:lineRule="auto"/>
        <w:ind w:firstLine="420" w:firstLineChars="200"/>
        <w:rPr>
          <w:rFonts w:hAnsi="宋体" w:cs="宋体"/>
          <w:highlight w:val="none"/>
          <w:u w:val="single"/>
        </w:rPr>
      </w:pPr>
      <w:r>
        <w:rPr>
          <w:rFonts w:hint="eastAsia" w:hAnsi="宋体" w:cs="宋体"/>
          <w:highlight w:val="none"/>
        </w:rPr>
        <w:t>9.3 交付地点：</w:t>
      </w:r>
      <w:r>
        <w:rPr>
          <w:rFonts w:hint="eastAsia" w:hAnsi="宋体" w:cs="宋体"/>
          <w:highlight w:val="none"/>
          <w:u w:val="single"/>
        </w:rPr>
        <w:t>采购人指定地点。中标供应商须提前通知所属区镇和农户，以便进行现场监督、交接。中标供应商须对每车的交货现场进行拍照。照片包含车辆全貌、车牌、货物、收货人等内容。每车或每批次必须有跟车货运单，经收货人签字、园镇农业农村部门盖章确认。</w:t>
      </w:r>
    </w:p>
    <w:p w14:paraId="5D64179E">
      <w:pPr>
        <w:pStyle w:val="3"/>
        <w:snapToGrid w:val="0"/>
        <w:spacing w:before="120" w:after="120" w:line="360" w:lineRule="auto"/>
        <w:ind w:firstLine="422" w:firstLineChars="200"/>
        <w:rPr>
          <w:rFonts w:hAnsi="宋体" w:cs="宋体"/>
          <w:b/>
          <w:bCs/>
          <w:highlight w:val="none"/>
        </w:rPr>
      </w:pPr>
      <w:r>
        <w:rPr>
          <w:rFonts w:hint="eastAsia" w:hAnsi="宋体" w:cs="宋体"/>
          <w:b/>
          <w:bCs/>
          <w:highlight w:val="none"/>
        </w:rPr>
        <w:t>十、货款支付</w:t>
      </w:r>
    </w:p>
    <w:p w14:paraId="63EAEE4D">
      <w:pPr>
        <w:autoSpaceDE w:val="0"/>
        <w:autoSpaceDN w:val="0"/>
        <w:spacing w:line="360" w:lineRule="auto"/>
        <w:ind w:firstLine="420" w:firstLineChars="200"/>
        <w:rPr>
          <w:rFonts w:ascii="宋体" w:hAnsi="宋体" w:cs="宋体"/>
          <w:color w:val="000000"/>
          <w:highlight w:val="none"/>
        </w:rPr>
      </w:pPr>
      <w:r>
        <w:rPr>
          <w:rFonts w:hint="eastAsia" w:ascii="宋体" w:hAnsi="宋体" w:cs="宋体"/>
          <w:highlight w:val="none"/>
        </w:rPr>
        <w:t xml:space="preserve">10.1 </w:t>
      </w:r>
      <w:r>
        <w:rPr>
          <w:rFonts w:hint="eastAsia" w:ascii="宋体" w:hAnsi="宋体" w:cs="宋体"/>
          <w:color w:val="000000"/>
          <w:highlight w:val="none"/>
        </w:rPr>
        <w:t xml:space="preserve">本合同项下所有款项均以人民币支付。 </w:t>
      </w:r>
    </w:p>
    <w:p w14:paraId="46C4DB03">
      <w:pPr>
        <w:autoSpaceDE w:val="0"/>
        <w:autoSpaceDN w:val="0"/>
        <w:spacing w:line="360" w:lineRule="auto"/>
        <w:ind w:firstLine="420" w:firstLineChars="200"/>
        <w:rPr>
          <w:rFonts w:ascii="宋体" w:hAnsi="宋体" w:cs="宋体"/>
          <w:color w:val="000000"/>
          <w:highlight w:val="none"/>
        </w:rPr>
      </w:pPr>
      <w:r>
        <w:rPr>
          <w:rFonts w:hint="eastAsia" w:ascii="宋体" w:hAnsi="宋体" w:cs="宋体"/>
          <w:color w:val="000000"/>
          <w:highlight w:val="none"/>
        </w:rPr>
        <w:t>10.2 本合同项下的采购资金由甲方支付，付款前乙方向甲方开具发票。</w:t>
      </w:r>
    </w:p>
    <w:p w14:paraId="0912D02B">
      <w:pPr>
        <w:pStyle w:val="3"/>
        <w:adjustRightInd w:val="0"/>
        <w:snapToGrid w:val="0"/>
        <w:spacing w:line="360" w:lineRule="auto"/>
        <w:ind w:firstLine="420" w:firstLineChars="200"/>
        <w:rPr>
          <w:rFonts w:hAnsi="宋体" w:cs="宋体"/>
          <w:color w:val="000000"/>
          <w:highlight w:val="none"/>
        </w:rPr>
      </w:pPr>
      <w:r>
        <w:rPr>
          <w:rFonts w:hint="eastAsia" w:hAnsi="宋体" w:cs="宋体"/>
          <w:highlight w:val="none"/>
        </w:rPr>
        <w:t>10.3</w:t>
      </w:r>
      <w:r>
        <w:rPr>
          <w:rFonts w:hint="eastAsia" w:hAnsi="宋体" w:cs="宋体"/>
          <w:color w:val="000000"/>
          <w:highlight w:val="none"/>
        </w:rPr>
        <w:t xml:space="preserve"> 甲方付款方式：</w:t>
      </w:r>
      <w:r>
        <w:rPr>
          <w:rFonts w:hint="eastAsia" w:hAnsi="宋体" w:cs="宋体"/>
          <w:color w:val="auto"/>
          <w:highlight w:val="none"/>
          <w:u w:val="single"/>
        </w:rPr>
        <w:t>合同签订后，甲方自收到发票10个工作日内支付合同总价的30%作为预付款，其余货款物资检验合格后，由财政一次性付清，不计利息。</w:t>
      </w:r>
    </w:p>
    <w:p w14:paraId="31C8BF70">
      <w:pPr>
        <w:pStyle w:val="3"/>
        <w:snapToGrid w:val="0"/>
        <w:spacing w:before="120" w:after="120" w:line="360" w:lineRule="auto"/>
        <w:ind w:firstLine="422" w:firstLineChars="200"/>
        <w:rPr>
          <w:rFonts w:hAnsi="宋体" w:cs="宋体"/>
          <w:b/>
          <w:bCs/>
          <w:highlight w:val="none"/>
        </w:rPr>
      </w:pPr>
      <w:r>
        <w:rPr>
          <w:rFonts w:hint="eastAsia" w:hAnsi="宋体" w:cs="宋体"/>
          <w:b/>
          <w:bCs/>
          <w:highlight w:val="none"/>
        </w:rPr>
        <w:t>十一、税费</w:t>
      </w:r>
    </w:p>
    <w:bookmarkEnd w:id="0"/>
    <w:p w14:paraId="7D64FFE7">
      <w:pPr>
        <w:pStyle w:val="3"/>
        <w:snapToGrid w:val="0"/>
        <w:spacing w:before="120" w:after="120" w:line="360" w:lineRule="auto"/>
        <w:ind w:firstLine="420" w:firstLineChars="200"/>
        <w:rPr>
          <w:rFonts w:hAnsi="宋体" w:cs="宋体"/>
          <w:highlight w:val="none"/>
        </w:rPr>
      </w:pPr>
      <w:r>
        <w:rPr>
          <w:rFonts w:hint="eastAsia" w:hAnsi="宋体" w:cs="宋体"/>
          <w:highlight w:val="none"/>
        </w:rPr>
        <w:t>11.1本合同执行中相关的一切税费均由乙方负担。</w:t>
      </w:r>
    </w:p>
    <w:p w14:paraId="26BA476B">
      <w:pPr>
        <w:pStyle w:val="3"/>
        <w:snapToGrid w:val="0"/>
        <w:spacing w:before="120" w:after="120" w:line="360" w:lineRule="auto"/>
        <w:ind w:firstLine="422" w:firstLineChars="200"/>
        <w:rPr>
          <w:rFonts w:hAnsi="宋体" w:cs="宋体"/>
          <w:b/>
          <w:bCs/>
          <w:highlight w:val="none"/>
        </w:rPr>
      </w:pPr>
      <w:r>
        <w:rPr>
          <w:rFonts w:hint="eastAsia" w:hAnsi="宋体" w:cs="宋体"/>
          <w:b/>
          <w:bCs/>
          <w:highlight w:val="none"/>
        </w:rPr>
        <w:t>十二、质量保证及售后服务</w:t>
      </w:r>
    </w:p>
    <w:p w14:paraId="53528925">
      <w:pPr>
        <w:pStyle w:val="3"/>
        <w:snapToGrid w:val="0"/>
        <w:spacing w:before="120" w:after="120" w:line="360" w:lineRule="auto"/>
        <w:ind w:firstLine="420" w:firstLineChars="200"/>
        <w:rPr>
          <w:rFonts w:hAnsi="宋体" w:cs="宋体"/>
          <w:highlight w:val="none"/>
        </w:rPr>
      </w:pPr>
      <w:r>
        <w:rPr>
          <w:rFonts w:hint="eastAsia" w:hAnsi="宋体" w:cs="宋体"/>
          <w:highlight w:val="none"/>
        </w:rPr>
        <w:t>12.1 乙方应按采购文件规定的货物及服务性能、技术要求、质量标准向甲方提供。</w:t>
      </w:r>
    </w:p>
    <w:p w14:paraId="20642FE7">
      <w:pPr>
        <w:pStyle w:val="3"/>
        <w:snapToGrid w:val="0"/>
        <w:spacing w:before="120" w:after="120" w:line="360" w:lineRule="auto"/>
        <w:ind w:firstLine="420" w:firstLineChars="200"/>
        <w:rPr>
          <w:rFonts w:hAnsi="宋体" w:cs="宋体"/>
          <w:highlight w:val="none"/>
        </w:rPr>
      </w:pPr>
      <w:r>
        <w:rPr>
          <w:rFonts w:hint="eastAsia" w:hAnsi="宋体" w:cs="宋体"/>
          <w:highlight w:val="none"/>
        </w:rPr>
        <w:t>12.2 乙方提供的货物及服务在质量期内因服务及产品本身的质量问题发生故障，乙方应负责免费更换。对达不到技术要求者，根据实际情况，经双方协商，可按以下办法处理：</w:t>
      </w:r>
    </w:p>
    <w:p w14:paraId="3E8E7421">
      <w:pPr>
        <w:pStyle w:val="3"/>
        <w:snapToGrid w:val="0"/>
        <w:spacing w:before="120" w:after="120" w:line="360" w:lineRule="auto"/>
        <w:ind w:firstLine="420" w:firstLineChars="200"/>
        <w:rPr>
          <w:rFonts w:hAnsi="宋体" w:cs="宋体"/>
          <w:highlight w:val="none"/>
        </w:rPr>
      </w:pPr>
      <w:r>
        <w:rPr>
          <w:rFonts w:hint="eastAsia" w:hAnsi="宋体" w:cs="宋体"/>
          <w:highlight w:val="none"/>
        </w:rPr>
        <w:t>⑴更换：由乙方承担所发生的全部费用。</w:t>
      </w:r>
    </w:p>
    <w:p w14:paraId="7A09ED34">
      <w:pPr>
        <w:pStyle w:val="3"/>
        <w:snapToGrid w:val="0"/>
        <w:spacing w:before="120" w:after="120" w:line="360" w:lineRule="auto"/>
        <w:ind w:firstLine="420" w:firstLineChars="200"/>
        <w:rPr>
          <w:rFonts w:hAnsi="宋体" w:cs="宋体"/>
          <w:highlight w:val="none"/>
        </w:rPr>
      </w:pPr>
      <w:r>
        <w:rPr>
          <w:rFonts w:hint="eastAsia" w:hAnsi="宋体" w:cs="宋体"/>
          <w:highlight w:val="none"/>
        </w:rPr>
        <w:t>⑵贬值处理：由甲乙双方合议定价。</w:t>
      </w:r>
    </w:p>
    <w:p w14:paraId="69DDCE36">
      <w:pPr>
        <w:pStyle w:val="3"/>
        <w:snapToGrid w:val="0"/>
        <w:spacing w:before="120" w:after="120" w:line="360" w:lineRule="auto"/>
        <w:ind w:firstLine="420" w:firstLineChars="200"/>
        <w:rPr>
          <w:rFonts w:hAnsi="宋体" w:cs="宋体"/>
          <w:highlight w:val="none"/>
        </w:rPr>
      </w:pPr>
      <w:r>
        <w:rPr>
          <w:rFonts w:hint="eastAsia" w:hAnsi="宋体" w:cs="宋体"/>
          <w:highlight w:val="none"/>
        </w:rPr>
        <w:t>⑶退还处理：乙方应退还甲方支付的合同款，同时应承担该货物及服务的直接费用（运输、保险、检验、款项利息及银行手续费等）。</w:t>
      </w:r>
    </w:p>
    <w:p w14:paraId="7D3CE43A">
      <w:pPr>
        <w:pStyle w:val="3"/>
        <w:snapToGrid w:val="0"/>
        <w:spacing w:before="120" w:after="120" w:line="360" w:lineRule="auto"/>
        <w:ind w:firstLine="420" w:firstLineChars="200"/>
        <w:rPr>
          <w:rFonts w:hAnsi="宋体" w:cs="宋体"/>
          <w:highlight w:val="none"/>
        </w:rPr>
      </w:pPr>
      <w:r>
        <w:rPr>
          <w:rFonts w:hint="eastAsia" w:hAnsi="宋体" w:cs="宋体"/>
          <w:highlight w:val="none"/>
        </w:rPr>
        <w:t>12.3 如在使用过程中发生质量问题，乙方在接到甲方通知后在</w:t>
      </w:r>
      <w:r>
        <w:rPr>
          <w:rFonts w:hint="eastAsia" w:hAnsi="宋体" w:cs="宋体"/>
          <w:highlight w:val="none"/>
          <w:u w:val="single"/>
          <w:lang w:val="en-US" w:eastAsia="zh-CN"/>
        </w:rPr>
        <w:t>1</w:t>
      </w:r>
      <w:r>
        <w:rPr>
          <w:rFonts w:hint="eastAsia" w:hAnsi="宋体" w:cs="宋体"/>
          <w:highlight w:val="none"/>
        </w:rPr>
        <w:t>小时内到达甲方现场。</w:t>
      </w:r>
    </w:p>
    <w:p w14:paraId="240C7384">
      <w:pPr>
        <w:pStyle w:val="3"/>
        <w:snapToGrid w:val="0"/>
        <w:spacing w:before="120" w:after="120" w:line="360" w:lineRule="auto"/>
        <w:ind w:firstLine="420" w:firstLineChars="200"/>
        <w:rPr>
          <w:rFonts w:hAnsi="宋体" w:cs="宋体"/>
          <w:highlight w:val="none"/>
        </w:rPr>
      </w:pPr>
      <w:r>
        <w:rPr>
          <w:rFonts w:hint="eastAsia" w:hAnsi="宋体" w:cs="宋体"/>
          <w:highlight w:val="none"/>
        </w:rPr>
        <w:t>12.4 在质保期内，乙方应对货物及服务出现的质量及安全问题负责处理解决并承担一切费用。</w:t>
      </w:r>
    </w:p>
    <w:p w14:paraId="0CB85EE8">
      <w:pPr>
        <w:pStyle w:val="3"/>
        <w:snapToGrid w:val="0"/>
        <w:spacing w:before="120" w:after="120" w:line="360" w:lineRule="auto"/>
        <w:ind w:firstLine="420" w:firstLineChars="200"/>
        <w:rPr>
          <w:rFonts w:hAnsi="宋体" w:cs="宋体"/>
          <w:highlight w:val="none"/>
        </w:rPr>
      </w:pPr>
      <w:r>
        <w:rPr>
          <w:rFonts w:hint="eastAsia" w:hAnsi="宋体" w:cs="宋体"/>
          <w:highlight w:val="none"/>
        </w:rPr>
        <w:t xml:space="preserve">12.5上述的货物及服务免费保修期为 </w:t>
      </w:r>
      <w:r>
        <w:rPr>
          <w:rFonts w:hint="eastAsia" w:hAnsi="宋体" w:cs="宋体"/>
          <w:highlight w:val="none"/>
          <w:u w:val="single"/>
        </w:rPr>
        <w:t xml:space="preserve">  </w:t>
      </w:r>
      <w:r>
        <w:rPr>
          <w:rFonts w:hint="eastAsia" w:hAnsi="宋体" w:cs="宋体"/>
          <w:highlight w:val="none"/>
          <w:u w:val="single"/>
          <w:lang w:val="en-US" w:eastAsia="zh-CN"/>
        </w:rPr>
        <w:t>2</w:t>
      </w:r>
      <w:r>
        <w:rPr>
          <w:rFonts w:hint="eastAsia" w:hAnsi="宋体" w:cs="宋体"/>
          <w:highlight w:val="none"/>
          <w:u w:val="single"/>
        </w:rPr>
        <w:t xml:space="preserve"> </w:t>
      </w:r>
      <w:r>
        <w:rPr>
          <w:rFonts w:hint="eastAsia" w:hAnsi="宋体" w:cs="宋体"/>
          <w:highlight w:val="none"/>
        </w:rPr>
        <w:t>年，因人为因素出现的故障不在免费保修范围内。超过保修期的机器设备，终</w:t>
      </w:r>
      <w:r>
        <w:rPr>
          <w:rFonts w:hint="eastAsia" w:hAnsi="宋体" w:cs="宋体"/>
          <w:highlight w:val="none"/>
          <w:lang w:val="en-US" w:eastAsia="zh-CN"/>
        </w:rPr>
        <w:t>身</w:t>
      </w:r>
      <w:r>
        <w:rPr>
          <w:rFonts w:hint="eastAsia" w:hAnsi="宋体" w:cs="宋体"/>
          <w:highlight w:val="none"/>
        </w:rPr>
        <w:t>维修，维修时只收部件成本费。</w:t>
      </w:r>
    </w:p>
    <w:p w14:paraId="181D967E">
      <w:pPr>
        <w:pStyle w:val="3"/>
        <w:snapToGrid w:val="0"/>
        <w:spacing w:before="120" w:after="120" w:line="360" w:lineRule="auto"/>
        <w:ind w:firstLine="422" w:firstLineChars="200"/>
        <w:rPr>
          <w:rFonts w:hAnsi="宋体" w:cs="宋体"/>
          <w:b/>
          <w:bCs/>
          <w:highlight w:val="none"/>
        </w:rPr>
      </w:pPr>
      <w:r>
        <w:rPr>
          <w:rFonts w:hint="eastAsia" w:hAnsi="宋体" w:cs="宋体"/>
          <w:b/>
          <w:bCs/>
          <w:highlight w:val="none"/>
        </w:rPr>
        <w:t>十三、调试和验收</w:t>
      </w:r>
    </w:p>
    <w:p w14:paraId="422319B1">
      <w:pPr>
        <w:pStyle w:val="3"/>
        <w:snapToGrid w:val="0"/>
        <w:spacing w:before="120" w:after="120" w:line="360" w:lineRule="auto"/>
        <w:ind w:firstLine="420" w:firstLineChars="200"/>
        <w:rPr>
          <w:rFonts w:hAnsi="宋体" w:cs="宋体"/>
          <w:highlight w:val="none"/>
        </w:rPr>
      </w:pPr>
      <w:r>
        <w:rPr>
          <w:rFonts w:hint="eastAsia" w:hAnsi="宋体" w:cs="宋体"/>
          <w:highlight w:val="none"/>
        </w:rPr>
        <w:t>13.1 甲方对乙方提交的货物及服务依据采购文件上的技术规格要求和国家有关质量标准进行现场初步验收，外观、说明书符合采购文件技术要求的，给予签收，初步验收不合格的不予签收。交付后，甲方需在五个工作日内验收。</w:t>
      </w:r>
    </w:p>
    <w:p w14:paraId="579D84CC">
      <w:pPr>
        <w:pStyle w:val="3"/>
        <w:snapToGrid w:val="0"/>
        <w:spacing w:before="120" w:after="120" w:line="360" w:lineRule="auto"/>
        <w:ind w:firstLine="420" w:firstLineChars="200"/>
        <w:rPr>
          <w:rFonts w:hAnsi="宋体" w:cs="宋体"/>
          <w:highlight w:val="none"/>
        </w:rPr>
      </w:pPr>
      <w:r>
        <w:rPr>
          <w:rFonts w:hint="eastAsia" w:hAnsi="宋体" w:cs="宋体"/>
          <w:highlight w:val="none"/>
        </w:rPr>
        <w:t>13.2 乙方交付前应对货物及服务作出全面检查和对验收文件进行整理，并列出清单，作为甲方交付验收和使用的技术条件依据，检验的结果应随货物及服务交甲方。</w:t>
      </w:r>
    </w:p>
    <w:p w14:paraId="50FC7CB8">
      <w:pPr>
        <w:pStyle w:val="3"/>
        <w:snapToGrid w:val="0"/>
        <w:spacing w:before="120" w:after="120" w:line="360" w:lineRule="auto"/>
        <w:ind w:firstLine="420" w:firstLineChars="200"/>
        <w:rPr>
          <w:rFonts w:hAnsi="宋体" w:cs="宋体"/>
          <w:highlight w:val="none"/>
        </w:rPr>
      </w:pPr>
      <w:r>
        <w:rPr>
          <w:rFonts w:hint="eastAsia" w:hAnsi="宋体" w:cs="宋体"/>
          <w:highlight w:val="none"/>
        </w:rPr>
        <w:t>13.3 甲方对乙方提供的货物及服务在使用前进行调试时，乙方需负责安装并培训甲方的使用操作人员，并协助甲方一起调试，直到符合技术要求，甲方才做最终验收。</w:t>
      </w:r>
    </w:p>
    <w:p w14:paraId="01498D4B">
      <w:pPr>
        <w:pStyle w:val="3"/>
        <w:keepNext w:val="0"/>
        <w:keepLines w:val="0"/>
        <w:pageBreakBefore w:val="0"/>
        <w:widowControl w:val="0"/>
        <w:kinsoku/>
        <w:wordWrap/>
        <w:overflowPunct/>
        <w:topLinePunct w:val="0"/>
        <w:bidi w:val="0"/>
        <w:snapToGrid w:val="0"/>
        <w:spacing w:line="360" w:lineRule="auto"/>
        <w:ind w:firstLine="422" w:firstLineChars="200"/>
        <w:textAlignment w:val="auto"/>
        <w:rPr>
          <w:rFonts w:hAnsi="宋体" w:cs="宋体"/>
          <w:b/>
          <w:bCs/>
          <w:highlight w:val="none"/>
        </w:rPr>
      </w:pPr>
      <w:r>
        <w:rPr>
          <w:rFonts w:hint="eastAsia" w:hAnsi="宋体" w:cs="宋体"/>
          <w:b/>
          <w:bCs/>
          <w:highlight w:val="none"/>
        </w:rPr>
        <w:t>13.4对技术复杂的货物及服务，甲方可请国家认可的专业检测机构进行检测，并由其出具质量检测报告，检测费用由乙方支付，抽样时甲乙双方须在现场。</w:t>
      </w:r>
    </w:p>
    <w:p w14:paraId="7DBE1FAE">
      <w:pPr>
        <w:pStyle w:val="3"/>
        <w:snapToGrid w:val="0"/>
        <w:spacing w:before="120" w:after="120" w:line="360" w:lineRule="auto"/>
        <w:ind w:firstLine="420" w:firstLineChars="200"/>
        <w:rPr>
          <w:rFonts w:hAnsi="宋体" w:cs="宋体"/>
          <w:highlight w:val="none"/>
        </w:rPr>
      </w:pPr>
      <w:r>
        <w:rPr>
          <w:rFonts w:hint="eastAsia" w:hAnsi="宋体" w:cs="宋体"/>
          <w:highlight w:val="none"/>
        </w:rPr>
        <w:t>13.5 验收时乙方必须在现场，验收完毕后作出验收结果报告；验收费用由甲乙双方协商解决。</w:t>
      </w:r>
    </w:p>
    <w:p w14:paraId="01D24137">
      <w:pPr>
        <w:pStyle w:val="3"/>
        <w:snapToGrid w:val="0"/>
        <w:spacing w:before="120" w:after="120" w:line="360" w:lineRule="auto"/>
        <w:ind w:firstLine="422" w:firstLineChars="200"/>
        <w:rPr>
          <w:rFonts w:hAnsi="宋体" w:cs="宋体"/>
          <w:b/>
          <w:bCs/>
          <w:highlight w:val="none"/>
        </w:rPr>
      </w:pPr>
      <w:r>
        <w:rPr>
          <w:rFonts w:hint="eastAsia" w:hAnsi="宋体" w:cs="宋体"/>
          <w:b/>
          <w:bCs/>
          <w:highlight w:val="none"/>
        </w:rPr>
        <w:t>十四、货物及服务包装、发运及运输</w:t>
      </w:r>
    </w:p>
    <w:p w14:paraId="7A1C8251">
      <w:pPr>
        <w:pStyle w:val="3"/>
        <w:snapToGrid w:val="0"/>
        <w:spacing w:before="120" w:after="120" w:line="360" w:lineRule="auto"/>
        <w:ind w:firstLine="420" w:firstLineChars="200"/>
        <w:rPr>
          <w:rFonts w:hAnsi="宋体" w:cs="宋体"/>
          <w:highlight w:val="none"/>
        </w:rPr>
      </w:pPr>
      <w:r>
        <w:rPr>
          <w:rFonts w:hint="eastAsia" w:hAnsi="宋体" w:cs="宋体"/>
          <w:highlight w:val="none"/>
        </w:rPr>
        <w:t>14.1 乙方应在货物及服务发运前对其进行满足运输距离、防潮、防震、防锈和防破损装卸等要求包装，以保证货物及服务安全运达甲方指定地点。</w:t>
      </w:r>
    </w:p>
    <w:p w14:paraId="32C04521">
      <w:pPr>
        <w:pStyle w:val="3"/>
        <w:snapToGrid w:val="0"/>
        <w:spacing w:before="120" w:after="120" w:line="360" w:lineRule="auto"/>
        <w:ind w:firstLine="420" w:firstLineChars="200"/>
        <w:rPr>
          <w:rFonts w:hAnsi="宋体" w:cs="宋体"/>
          <w:highlight w:val="none"/>
        </w:rPr>
      </w:pPr>
      <w:r>
        <w:rPr>
          <w:rFonts w:hint="eastAsia" w:hAnsi="宋体" w:cs="宋体"/>
          <w:highlight w:val="none"/>
        </w:rPr>
        <w:t>14.2 使用说明书、质量检验证明书、随配附件和工具以及清单一并交付甲方。</w:t>
      </w:r>
    </w:p>
    <w:p w14:paraId="1528DC88">
      <w:pPr>
        <w:pStyle w:val="3"/>
        <w:snapToGrid w:val="0"/>
        <w:spacing w:before="120" w:after="120" w:line="360" w:lineRule="auto"/>
        <w:ind w:firstLine="420" w:firstLineChars="200"/>
        <w:rPr>
          <w:rFonts w:hAnsi="宋体" w:cs="宋体"/>
          <w:highlight w:val="none"/>
        </w:rPr>
      </w:pPr>
      <w:r>
        <w:rPr>
          <w:rFonts w:hint="eastAsia" w:hAnsi="宋体" w:cs="宋体"/>
          <w:highlight w:val="none"/>
        </w:rPr>
        <w:t>14.3 乙方在货物及服务发运手续办理完毕后24小时内或交付到甲方48小时前通知甲方，以准备接受交付。</w:t>
      </w:r>
    </w:p>
    <w:p w14:paraId="5BA10334">
      <w:pPr>
        <w:pStyle w:val="3"/>
        <w:snapToGrid w:val="0"/>
        <w:spacing w:before="120" w:after="120" w:line="360" w:lineRule="auto"/>
        <w:ind w:firstLine="420" w:firstLineChars="200"/>
        <w:rPr>
          <w:rFonts w:hAnsi="宋体" w:cs="宋体"/>
          <w:highlight w:val="none"/>
        </w:rPr>
      </w:pPr>
      <w:r>
        <w:rPr>
          <w:rFonts w:hint="eastAsia" w:hAnsi="宋体" w:cs="宋体"/>
          <w:highlight w:val="none"/>
        </w:rPr>
        <w:t>14.4 货物在交付甲方前发生的风险均由乙方负责。</w:t>
      </w:r>
    </w:p>
    <w:p w14:paraId="4B04CBC4">
      <w:pPr>
        <w:pStyle w:val="3"/>
        <w:snapToGrid w:val="0"/>
        <w:spacing w:before="120" w:after="120" w:line="360" w:lineRule="auto"/>
        <w:ind w:firstLine="420" w:firstLineChars="200"/>
        <w:rPr>
          <w:rFonts w:hAnsi="宋体" w:cs="宋体"/>
          <w:highlight w:val="none"/>
        </w:rPr>
      </w:pPr>
      <w:r>
        <w:rPr>
          <w:rFonts w:hint="eastAsia" w:hAnsi="宋体" w:cs="宋体"/>
          <w:highlight w:val="none"/>
        </w:rPr>
        <w:t>14.5 货物及服务在规定的交付期限内由乙方送达甲方指定的地点视为交付，乙方同时需通知甲方货物及服务已送达。</w:t>
      </w:r>
    </w:p>
    <w:p w14:paraId="1209EAEF">
      <w:pPr>
        <w:pStyle w:val="3"/>
        <w:snapToGrid w:val="0"/>
        <w:spacing w:before="120" w:after="120" w:line="360" w:lineRule="auto"/>
        <w:ind w:firstLine="422" w:firstLineChars="200"/>
        <w:rPr>
          <w:rFonts w:hAnsi="宋体" w:cs="宋体"/>
          <w:b/>
          <w:bCs/>
          <w:highlight w:val="none"/>
        </w:rPr>
      </w:pPr>
      <w:r>
        <w:rPr>
          <w:rFonts w:hint="eastAsia" w:hAnsi="宋体" w:cs="宋体"/>
          <w:b/>
          <w:bCs/>
          <w:highlight w:val="none"/>
        </w:rPr>
        <w:t>十五、违约责任</w:t>
      </w:r>
    </w:p>
    <w:p w14:paraId="2186864D">
      <w:pPr>
        <w:pStyle w:val="3"/>
        <w:snapToGrid w:val="0"/>
        <w:spacing w:before="120" w:after="120" w:line="360" w:lineRule="auto"/>
        <w:ind w:firstLine="420" w:firstLineChars="200"/>
        <w:rPr>
          <w:rFonts w:hAnsi="宋体" w:cs="宋体"/>
          <w:highlight w:val="none"/>
        </w:rPr>
      </w:pPr>
      <w:r>
        <w:rPr>
          <w:rFonts w:hint="eastAsia" w:hAnsi="宋体" w:cs="宋体"/>
          <w:highlight w:val="none"/>
        </w:rPr>
        <w:t>15.1 甲方无正当理由拒收货物及服务的，甲方向乙方偿付拒收款项总值的百分之五违约金。</w:t>
      </w:r>
    </w:p>
    <w:p w14:paraId="40DB09A5">
      <w:pPr>
        <w:pStyle w:val="3"/>
        <w:snapToGrid w:val="0"/>
        <w:spacing w:before="120" w:after="120" w:line="360" w:lineRule="auto"/>
        <w:ind w:firstLine="420" w:firstLineChars="200"/>
        <w:rPr>
          <w:rFonts w:hAnsi="宋体" w:cs="宋体"/>
          <w:highlight w:val="none"/>
        </w:rPr>
      </w:pPr>
      <w:r>
        <w:rPr>
          <w:rFonts w:hint="eastAsia" w:hAnsi="宋体" w:cs="宋体"/>
          <w:highlight w:val="none"/>
        </w:rPr>
        <w:t>15.2 甲方无故逾期验收和办理款项支付手续的,甲方应按逾期付款总额每日万分之五向乙方支付违约金。</w:t>
      </w:r>
    </w:p>
    <w:p w14:paraId="2E0DD855">
      <w:pPr>
        <w:pStyle w:val="3"/>
        <w:snapToGrid w:val="0"/>
        <w:spacing w:before="120" w:after="120" w:line="360" w:lineRule="auto"/>
        <w:ind w:firstLine="420" w:firstLineChars="200"/>
        <w:rPr>
          <w:rFonts w:hAnsi="宋体" w:cs="宋体"/>
          <w:highlight w:val="none"/>
        </w:rPr>
      </w:pPr>
      <w:r>
        <w:rPr>
          <w:rFonts w:hint="eastAsia" w:hAnsi="宋体" w:cs="宋体"/>
          <w:highlight w:val="none"/>
        </w:rPr>
        <w:t xml:space="preserve">15.3 乙方逾期交付货物及服务的，乙方应按逾期交付总额每日千分之六向甲方支付违约金，由甲方从待付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431031A">
      <w:pPr>
        <w:pStyle w:val="3"/>
        <w:snapToGrid w:val="0"/>
        <w:spacing w:before="120" w:after="120" w:line="360" w:lineRule="auto"/>
        <w:ind w:firstLine="420" w:firstLineChars="200"/>
        <w:rPr>
          <w:rFonts w:hAnsi="宋体" w:cs="宋体"/>
          <w:highlight w:val="none"/>
        </w:rPr>
      </w:pPr>
      <w:r>
        <w:rPr>
          <w:rFonts w:hint="eastAsia" w:hAnsi="宋体" w:cs="宋体"/>
          <w:highlight w:val="none"/>
        </w:rPr>
        <w:t>15.4 乙方所交的货物及服务数量、质量不符合合同规定及采购文件规定标准的，甲方有权拒收该货物及服务，乙方愿意更换货物及服务但逾期交付的，按乙方逾期交付处理。乙方拒绝更换货物及服务的，甲方可单方面解除合同。</w:t>
      </w:r>
    </w:p>
    <w:p w14:paraId="4750EE90">
      <w:pPr>
        <w:pStyle w:val="3"/>
        <w:snapToGrid w:val="0"/>
        <w:spacing w:before="120" w:after="120" w:line="360" w:lineRule="auto"/>
        <w:ind w:firstLine="422" w:firstLineChars="200"/>
        <w:rPr>
          <w:rFonts w:hAnsi="宋体" w:cs="宋体"/>
          <w:b/>
          <w:bCs/>
          <w:highlight w:val="none"/>
        </w:rPr>
      </w:pPr>
      <w:r>
        <w:rPr>
          <w:rFonts w:hint="eastAsia" w:hAnsi="宋体" w:cs="宋体"/>
          <w:b/>
          <w:bCs/>
          <w:highlight w:val="none"/>
        </w:rPr>
        <w:t>十六、不可抗力事件处理</w:t>
      </w:r>
    </w:p>
    <w:p w14:paraId="06DCD64B">
      <w:pPr>
        <w:pStyle w:val="3"/>
        <w:snapToGrid w:val="0"/>
        <w:spacing w:before="120" w:after="120" w:line="360" w:lineRule="auto"/>
        <w:ind w:firstLine="420" w:firstLineChars="200"/>
        <w:rPr>
          <w:rFonts w:hAnsi="宋体" w:cs="宋体"/>
          <w:highlight w:val="none"/>
        </w:rPr>
      </w:pPr>
      <w:r>
        <w:rPr>
          <w:rFonts w:hint="eastAsia" w:hAnsi="宋体" w:cs="宋体"/>
          <w:highlight w:val="none"/>
        </w:rPr>
        <w:t>16.1 在合同有效期内，任何一方因不可抗力事件导致不能履行合同，则合同履行期可延长，其延长期与不可抗力影响期相同。</w:t>
      </w:r>
    </w:p>
    <w:p w14:paraId="6115B5C3">
      <w:pPr>
        <w:pStyle w:val="3"/>
        <w:snapToGrid w:val="0"/>
        <w:spacing w:before="120" w:after="120" w:line="360" w:lineRule="auto"/>
        <w:ind w:firstLine="420" w:firstLineChars="200"/>
        <w:rPr>
          <w:rFonts w:hAnsi="宋体" w:cs="宋体"/>
          <w:highlight w:val="none"/>
        </w:rPr>
      </w:pPr>
      <w:r>
        <w:rPr>
          <w:rFonts w:hint="eastAsia" w:hAnsi="宋体" w:cs="宋体"/>
          <w:highlight w:val="none"/>
        </w:rPr>
        <w:t>16.2 不可抗力事件发生后，应立即通知对方，并寄送有关权威机构出具的证明。</w:t>
      </w:r>
    </w:p>
    <w:p w14:paraId="18EAF4BA">
      <w:pPr>
        <w:pStyle w:val="3"/>
        <w:snapToGrid w:val="0"/>
        <w:spacing w:before="120" w:after="120" w:line="360" w:lineRule="auto"/>
        <w:ind w:firstLine="420" w:firstLineChars="200"/>
        <w:rPr>
          <w:rFonts w:hAnsi="宋体" w:cs="宋体"/>
          <w:highlight w:val="none"/>
        </w:rPr>
      </w:pPr>
      <w:r>
        <w:rPr>
          <w:rFonts w:hint="eastAsia" w:hAnsi="宋体" w:cs="宋体"/>
          <w:highlight w:val="none"/>
        </w:rPr>
        <w:t>16.3 不可抗力事件延续120天以上，双方应通过友好协商，确定是否继续履行合同。</w:t>
      </w:r>
    </w:p>
    <w:p w14:paraId="08BB32DB">
      <w:pPr>
        <w:pStyle w:val="3"/>
        <w:snapToGrid w:val="0"/>
        <w:spacing w:before="120" w:after="120" w:line="360" w:lineRule="auto"/>
        <w:ind w:firstLine="422" w:firstLineChars="200"/>
        <w:rPr>
          <w:rFonts w:hAnsi="宋体" w:cs="宋体"/>
          <w:b/>
          <w:bCs/>
          <w:highlight w:val="none"/>
        </w:rPr>
      </w:pPr>
      <w:r>
        <w:rPr>
          <w:rFonts w:hint="eastAsia" w:hAnsi="宋体" w:cs="宋体"/>
          <w:b/>
          <w:bCs/>
          <w:highlight w:val="none"/>
        </w:rPr>
        <w:t>十七、诉讼</w:t>
      </w:r>
    </w:p>
    <w:p w14:paraId="109AA047">
      <w:pPr>
        <w:pStyle w:val="3"/>
        <w:snapToGrid w:val="0"/>
        <w:spacing w:before="120" w:after="120" w:line="360" w:lineRule="auto"/>
        <w:ind w:firstLine="420" w:firstLineChars="200"/>
        <w:rPr>
          <w:rFonts w:hAnsi="宋体" w:cs="宋体"/>
          <w:highlight w:val="none"/>
        </w:rPr>
      </w:pPr>
      <w:r>
        <w:rPr>
          <w:rFonts w:hint="eastAsia" w:hAnsi="宋体" w:cs="宋体"/>
          <w:highlight w:val="none"/>
        </w:rPr>
        <w:t>17.1 双方在执行合同中所发生的一切争议，应通过协商解决。如协商不成，可向合同签订地法院起诉，合同签订地在此约定为扬州市。</w:t>
      </w:r>
    </w:p>
    <w:p w14:paraId="1703776C">
      <w:pPr>
        <w:spacing w:line="360" w:lineRule="auto"/>
        <w:ind w:firstLine="422" w:firstLineChars="200"/>
        <w:rPr>
          <w:rFonts w:ascii="宋体" w:hAnsi="宋体" w:cs="宋体"/>
          <w:highlight w:val="none"/>
        </w:rPr>
      </w:pPr>
      <w:r>
        <w:rPr>
          <w:rFonts w:hint="eastAsia" w:ascii="宋体" w:hAnsi="宋体" w:cs="宋体"/>
          <w:b/>
          <w:bCs/>
          <w:kern w:val="0"/>
          <w:highlight w:val="none"/>
        </w:rPr>
        <w:t>十八、</w:t>
      </w:r>
      <w:r>
        <w:rPr>
          <w:rFonts w:hint="eastAsia" w:ascii="宋体" w:hAnsi="宋体" w:cs="宋体"/>
          <w:kern w:val="0"/>
          <w:highlight w:val="none"/>
        </w:rPr>
        <w:t>为提升政府采购供应商的融资可得性，解决中小企业融资难问题，中国人民银行、市财政局、市公共资源交易中心推出了政府采购线上应收账款融资模式。各供应商如果有融资需求，可以凭借政府采购中标（成交）通知书或政府采购合同，通过中国人民银行征信中心“中征应收账款融资服务平台（https://www.crcrfsp.com/）”向参与政府采购融资业务的金融机构申请线上融资，相关事宜可向市人民银行咨询，联系电话：0514-87936653。</w:t>
      </w:r>
    </w:p>
    <w:p w14:paraId="7B09237A">
      <w:pPr>
        <w:pStyle w:val="3"/>
        <w:snapToGrid w:val="0"/>
        <w:spacing w:before="120" w:after="120" w:line="360" w:lineRule="auto"/>
        <w:ind w:firstLine="422" w:firstLineChars="200"/>
        <w:rPr>
          <w:rFonts w:hAnsi="宋体" w:cs="宋体"/>
          <w:b/>
          <w:bCs/>
          <w:highlight w:val="none"/>
        </w:rPr>
      </w:pPr>
      <w:r>
        <w:rPr>
          <w:rFonts w:hint="eastAsia" w:hAnsi="宋体" w:cs="宋体"/>
          <w:b/>
          <w:bCs/>
          <w:highlight w:val="none"/>
        </w:rPr>
        <w:t>十九、合同生效及其它</w:t>
      </w:r>
    </w:p>
    <w:p w14:paraId="28A2F6D5">
      <w:pPr>
        <w:pStyle w:val="3"/>
        <w:snapToGrid w:val="0"/>
        <w:spacing w:before="120" w:after="120" w:line="360" w:lineRule="auto"/>
        <w:ind w:firstLine="420" w:firstLineChars="200"/>
        <w:rPr>
          <w:rFonts w:hAnsi="宋体" w:cs="宋体"/>
          <w:highlight w:val="none"/>
        </w:rPr>
      </w:pPr>
      <w:r>
        <w:rPr>
          <w:rFonts w:hint="eastAsia" w:hAnsi="宋体" w:cs="宋体"/>
          <w:highlight w:val="none"/>
        </w:rPr>
        <w:t>19.1 合同经双方法定代表人签章并加盖单位公章，并经</w:t>
      </w:r>
      <w:r>
        <w:rPr>
          <w:rFonts w:hint="eastAsia" w:hAnsi="宋体" w:cs="宋体"/>
          <w:highlight w:val="none"/>
          <w:lang w:eastAsia="zh-CN"/>
        </w:rPr>
        <w:t>扬州博远工程咨询有限公司　</w:t>
      </w:r>
      <w:r>
        <w:rPr>
          <w:rFonts w:hint="eastAsia" w:hAnsi="宋体" w:cs="宋体"/>
          <w:highlight w:val="none"/>
        </w:rPr>
        <w:t>见证盖章后生效。</w:t>
      </w:r>
    </w:p>
    <w:p w14:paraId="0EE4186E">
      <w:pPr>
        <w:pStyle w:val="3"/>
        <w:snapToGrid w:val="0"/>
        <w:spacing w:before="120" w:after="120" w:line="360" w:lineRule="auto"/>
        <w:ind w:firstLine="420" w:firstLineChars="200"/>
        <w:rPr>
          <w:rFonts w:hAnsi="宋体" w:cs="宋体"/>
          <w:highlight w:val="none"/>
        </w:rPr>
      </w:pPr>
      <w:r>
        <w:rPr>
          <w:rFonts w:hint="eastAsia" w:hAnsi="宋体" w:cs="宋体"/>
          <w:highlight w:val="none"/>
        </w:rPr>
        <w:t>19.2本合同未尽事宜，遵照《中华人民共和国民法典》有关条文执行。</w:t>
      </w:r>
    </w:p>
    <w:p w14:paraId="5F89FFA3">
      <w:pPr>
        <w:pStyle w:val="3"/>
        <w:snapToGrid w:val="0"/>
        <w:spacing w:before="120" w:after="120" w:line="360" w:lineRule="auto"/>
        <w:ind w:firstLine="420" w:firstLineChars="200"/>
        <w:rPr>
          <w:rFonts w:hAnsi="宋体" w:cs="宋体"/>
          <w:highlight w:val="none"/>
        </w:rPr>
      </w:pPr>
      <w:r>
        <w:rPr>
          <w:rFonts w:hint="eastAsia" w:hAnsi="宋体" w:cs="宋体"/>
          <w:highlight w:val="none"/>
        </w:rPr>
        <w:t xml:space="preserve">19.3 本合同正本一式六份，具有同等法律效力，甲方、乙方各执两份，见证方及财政监管部门（仪征市财政局政府采购管理处）各执一份。  </w:t>
      </w:r>
    </w:p>
    <w:tbl>
      <w:tblPr>
        <w:tblStyle w:val="6"/>
        <w:tblW w:w="10049" w:type="dxa"/>
        <w:tblInd w:w="-315" w:type="dxa"/>
        <w:tblLayout w:type="fixed"/>
        <w:tblCellMar>
          <w:top w:w="0" w:type="dxa"/>
          <w:left w:w="108" w:type="dxa"/>
          <w:bottom w:w="0" w:type="dxa"/>
          <w:right w:w="108" w:type="dxa"/>
        </w:tblCellMar>
      </w:tblPr>
      <w:tblGrid>
        <w:gridCol w:w="5515"/>
        <w:gridCol w:w="4534"/>
      </w:tblGrid>
      <w:tr w14:paraId="1B477249">
        <w:tblPrEx>
          <w:tblCellMar>
            <w:top w:w="0" w:type="dxa"/>
            <w:left w:w="108" w:type="dxa"/>
            <w:bottom w:w="0" w:type="dxa"/>
            <w:right w:w="108" w:type="dxa"/>
          </w:tblCellMar>
        </w:tblPrEx>
        <w:trPr>
          <w:trHeight w:val="543" w:hRule="atLeast"/>
        </w:trPr>
        <w:tc>
          <w:tcPr>
            <w:tcW w:w="5515" w:type="dxa"/>
          </w:tcPr>
          <w:p w14:paraId="4C20FB96">
            <w:pPr>
              <w:pStyle w:val="3"/>
              <w:snapToGrid w:val="0"/>
              <w:spacing w:before="120" w:after="120" w:line="360" w:lineRule="auto"/>
              <w:rPr>
                <w:rFonts w:hAnsi="宋体" w:cs="宋体"/>
                <w:highlight w:val="none"/>
              </w:rPr>
            </w:pPr>
            <w:r>
              <w:rPr>
                <w:rFonts w:hint="eastAsia" w:hAnsi="宋体" w:cs="宋体"/>
                <w:highlight w:val="none"/>
              </w:rPr>
              <w:t>甲方：仪征市农业农村局（仪征市农业技术综合服务中心)</w:t>
            </w:r>
          </w:p>
        </w:tc>
        <w:tc>
          <w:tcPr>
            <w:tcW w:w="4534" w:type="dxa"/>
          </w:tcPr>
          <w:p w14:paraId="28608E7F">
            <w:pPr>
              <w:pStyle w:val="3"/>
              <w:snapToGrid w:val="0"/>
              <w:spacing w:before="120" w:after="120" w:line="360" w:lineRule="auto"/>
              <w:rPr>
                <w:rFonts w:hAnsi="宋体" w:cs="宋体"/>
                <w:highlight w:val="none"/>
              </w:rPr>
            </w:pPr>
            <w:r>
              <w:rPr>
                <w:rFonts w:hint="eastAsia" w:hAnsi="宋体" w:cs="宋体"/>
                <w:highlight w:val="none"/>
              </w:rPr>
              <w:t>乙方： 徐州裕米丰农业有限公司</w:t>
            </w:r>
          </w:p>
        </w:tc>
      </w:tr>
      <w:tr w14:paraId="54B41412">
        <w:tblPrEx>
          <w:tblCellMar>
            <w:top w:w="0" w:type="dxa"/>
            <w:left w:w="108" w:type="dxa"/>
            <w:bottom w:w="0" w:type="dxa"/>
            <w:right w:w="108" w:type="dxa"/>
          </w:tblCellMar>
        </w:tblPrEx>
        <w:trPr>
          <w:trHeight w:val="787" w:hRule="atLeast"/>
        </w:trPr>
        <w:tc>
          <w:tcPr>
            <w:tcW w:w="5515" w:type="dxa"/>
          </w:tcPr>
          <w:p w14:paraId="1EF80D53">
            <w:pPr>
              <w:pStyle w:val="3"/>
              <w:snapToGrid w:val="0"/>
              <w:spacing w:before="120" w:after="120" w:line="360" w:lineRule="auto"/>
              <w:rPr>
                <w:rFonts w:hint="eastAsia" w:hAnsi="宋体" w:cs="宋体" w:eastAsiaTheme="minorEastAsia"/>
                <w:highlight w:val="none"/>
                <w:lang w:eastAsia="zh-CN"/>
              </w:rPr>
            </w:pPr>
            <w:r>
              <w:rPr>
                <w:rFonts w:hint="eastAsia" w:hAnsi="宋体" w:cs="宋体"/>
                <w:highlight w:val="none"/>
              </w:rPr>
              <w:t>地址：仪征市真州东路55号</w:t>
            </w:r>
            <w:r>
              <w:rPr>
                <w:rFonts w:hint="eastAsia" w:hAnsi="宋体" w:cs="宋体"/>
                <w:highlight w:val="none"/>
                <w:lang w:eastAsia="zh-CN"/>
              </w:rPr>
              <w:t>（</w:t>
            </w:r>
            <w:r>
              <w:rPr>
                <w:rFonts w:hint="eastAsia" w:hAnsi="宋体" w:cs="宋体"/>
                <w:highlight w:val="none"/>
                <w:lang w:val="en-US" w:eastAsia="zh-CN"/>
              </w:rPr>
              <w:t>仪征市真州西路25号</w:t>
            </w:r>
            <w:r>
              <w:rPr>
                <w:rFonts w:hint="eastAsia" w:hAnsi="宋体" w:cs="宋体"/>
                <w:highlight w:val="none"/>
                <w:lang w:eastAsia="zh-CN"/>
              </w:rPr>
              <w:t>）</w:t>
            </w:r>
          </w:p>
        </w:tc>
        <w:tc>
          <w:tcPr>
            <w:tcW w:w="4534" w:type="dxa"/>
          </w:tcPr>
          <w:p w14:paraId="2D23E279">
            <w:pPr>
              <w:pStyle w:val="3"/>
              <w:snapToGrid w:val="0"/>
              <w:spacing w:before="120" w:after="120" w:line="360" w:lineRule="auto"/>
              <w:rPr>
                <w:rFonts w:hAnsi="宋体" w:cs="宋体"/>
                <w:highlight w:val="none"/>
              </w:rPr>
            </w:pPr>
            <w:r>
              <w:rPr>
                <w:rFonts w:hint="eastAsia" w:hAnsi="宋体" w:cs="宋体"/>
                <w:highlight w:val="none"/>
              </w:rPr>
              <w:t>地址：丰县欢口镇沙庄</w:t>
            </w:r>
          </w:p>
        </w:tc>
      </w:tr>
      <w:tr w14:paraId="6A01D3EB">
        <w:tblPrEx>
          <w:tblCellMar>
            <w:top w:w="0" w:type="dxa"/>
            <w:left w:w="108" w:type="dxa"/>
            <w:bottom w:w="0" w:type="dxa"/>
            <w:right w:w="108" w:type="dxa"/>
          </w:tblCellMar>
        </w:tblPrEx>
        <w:trPr>
          <w:trHeight w:val="655" w:hRule="atLeast"/>
        </w:trPr>
        <w:tc>
          <w:tcPr>
            <w:tcW w:w="5515" w:type="dxa"/>
          </w:tcPr>
          <w:p w14:paraId="1B72E7C2">
            <w:pPr>
              <w:pStyle w:val="3"/>
              <w:snapToGrid w:val="0"/>
              <w:spacing w:before="120" w:after="120" w:line="360" w:lineRule="auto"/>
              <w:rPr>
                <w:rFonts w:hAnsi="宋体" w:cs="宋体"/>
                <w:highlight w:val="none"/>
              </w:rPr>
            </w:pPr>
            <w:r>
              <w:rPr>
                <w:rFonts w:hint="eastAsia" w:hAnsi="宋体" w:cs="宋体"/>
                <w:highlight w:val="none"/>
              </w:rPr>
              <w:t>法定代表人或授权代表：</w:t>
            </w:r>
          </w:p>
        </w:tc>
        <w:tc>
          <w:tcPr>
            <w:tcW w:w="4534" w:type="dxa"/>
          </w:tcPr>
          <w:p w14:paraId="2231C290">
            <w:pPr>
              <w:pStyle w:val="3"/>
              <w:snapToGrid w:val="0"/>
              <w:spacing w:before="120" w:after="120" w:line="360" w:lineRule="auto"/>
              <w:rPr>
                <w:rFonts w:hAnsi="宋体" w:cs="宋体"/>
                <w:highlight w:val="none"/>
              </w:rPr>
            </w:pPr>
            <w:r>
              <w:rPr>
                <w:rFonts w:hint="eastAsia" w:hAnsi="宋体" w:cs="宋体"/>
                <w:highlight w:val="none"/>
              </w:rPr>
              <w:t>法定代表人或授权代表：</w:t>
            </w:r>
          </w:p>
        </w:tc>
      </w:tr>
      <w:tr w14:paraId="173DA59E">
        <w:tblPrEx>
          <w:tblCellMar>
            <w:top w:w="0" w:type="dxa"/>
            <w:left w:w="108" w:type="dxa"/>
            <w:bottom w:w="0" w:type="dxa"/>
            <w:right w:w="108" w:type="dxa"/>
          </w:tblCellMar>
        </w:tblPrEx>
        <w:trPr>
          <w:trHeight w:val="655" w:hRule="atLeast"/>
        </w:trPr>
        <w:tc>
          <w:tcPr>
            <w:tcW w:w="5515" w:type="dxa"/>
          </w:tcPr>
          <w:p w14:paraId="632BD4C2">
            <w:pPr>
              <w:pStyle w:val="3"/>
              <w:snapToGrid w:val="0"/>
              <w:spacing w:before="120" w:after="120" w:line="360" w:lineRule="auto"/>
              <w:rPr>
                <w:rFonts w:hAnsi="宋体" w:cs="宋体"/>
                <w:highlight w:val="none"/>
              </w:rPr>
            </w:pPr>
            <w:r>
              <w:rPr>
                <w:rFonts w:hint="eastAsia" w:hAnsi="宋体" w:cs="宋体"/>
                <w:highlight w:val="none"/>
              </w:rPr>
              <w:t>联系电话：</w:t>
            </w:r>
          </w:p>
        </w:tc>
        <w:tc>
          <w:tcPr>
            <w:tcW w:w="4534" w:type="dxa"/>
          </w:tcPr>
          <w:p w14:paraId="238DF005">
            <w:pPr>
              <w:pStyle w:val="3"/>
              <w:snapToGrid w:val="0"/>
              <w:spacing w:before="120" w:after="120" w:line="360" w:lineRule="auto"/>
              <w:rPr>
                <w:rFonts w:hAnsi="宋体" w:cs="宋体"/>
                <w:highlight w:val="none"/>
              </w:rPr>
            </w:pPr>
            <w:r>
              <w:rPr>
                <w:rFonts w:hint="eastAsia" w:hAnsi="宋体" w:cs="宋体"/>
                <w:highlight w:val="none"/>
              </w:rPr>
              <w:t>联系电话：</w:t>
            </w:r>
          </w:p>
        </w:tc>
      </w:tr>
      <w:tr w14:paraId="7302BA59">
        <w:tblPrEx>
          <w:tblCellMar>
            <w:top w:w="0" w:type="dxa"/>
            <w:left w:w="108" w:type="dxa"/>
            <w:bottom w:w="0" w:type="dxa"/>
            <w:right w:w="108" w:type="dxa"/>
          </w:tblCellMar>
        </w:tblPrEx>
        <w:trPr>
          <w:trHeight w:val="655" w:hRule="atLeast"/>
        </w:trPr>
        <w:tc>
          <w:tcPr>
            <w:tcW w:w="5515" w:type="dxa"/>
          </w:tcPr>
          <w:p w14:paraId="330761E9">
            <w:pPr>
              <w:pStyle w:val="3"/>
              <w:snapToGrid w:val="0"/>
              <w:spacing w:before="120" w:after="120" w:line="360" w:lineRule="auto"/>
              <w:rPr>
                <w:rFonts w:hAnsi="宋体" w:cs="宋体"/>
                <w:highlight w:val="none"/>
              </w:rPr>
            </w:pPr>
            <w:r>
              <w:rPr>
                <w:rFonts w:hint="eastAsia" w:hAnsi="宋体" w:cs="宋体"/>
                <w:highlight w:val="none"/>
              </w:rPr>
              <w:t xml:space="preserve">日期：      年    月    日  </w:t>
            </w:r>
          </w:p>
        </w:tc>
        <w:tc>
          <w:tcPr>
            <w:tcW w:w="4534" w:type="dxa"/>
          </w:tcPr>
          <w:p w14:paraId="3D43F45F">
            <w:pPr>
              <w:pStyle w:val="3"/>
              <w:snapToGrid w:val="0"/>
              <w:spacing w:before="120" w:after="120" w:line="360" w:lineRule="auto"/>
              <w:rPr>
                <w:rFonts w:hAnsi="宋体" w:cs="宋体"/>
                <w:highlight w:val="none"/>
              </w:rPr>
            </w:pPr>
            <w:r>
              <w:rPr>
                <w:rFonts w:hint="eastAsia" w:hAnsi="宋体" w:cs="宋体"/>
                <w:highlight w:val="none"/>
              </w:rPr>
              <w:t>日期：      年    月    日</w:t>
            </w:r>
          </w:p>
        </w:tc>
      </w:tr>
    </w:tbl>
    <w:p w14:paraId="2D18F0F5">
      <w:pPr>
        <w:pStyle w:val="3"/>
        <w:snapToGrid w:val="0"/>
        <w:spacing w:before="120" w:after="120" w:line="360" w:lineRule="auto"/>
        <w:rPr>
          <w:rFonts w:hAnsi="宋体" w:cs="宋体"/>
          <w:highlight w:val="none"/>
        </w:rPr>
      </w:pPr>
      <w:r>
        <w:rPr>
          <w:rFonts w:hint="eastAsia" w:hAnsi="宋体" w:cs="宋体"/>
          <w:highlight w:val="none"/>
        </w:rPr>
        <w:t xml:space="preserve"> </w:t>
      </w:r>
    </w:p>
    <w:p w14:paraId="0CA355C2">
      <w:pPr>
        <w:pStyle w:val="3"/>
        <w:snapToGrid w:val="0"/>
        <w:spacing w:before="120" w:after="120" w:line="360" w:lineRule="auto"/>
        <w:ind w:firstLine="210" w:firstLineChars="100"/>
        <w:rPr>
          <w:rFonts w:hint="eastAsia" w:hAnsi="宋体" w:cs="宋体"/>
          <w:highlight w:val="none"/>
        </w:rPr>
      </w:pPr>
      <w:r>
        <w:rPr>
          <w:rFonts w:hint="eastAsia" w:hAnsi="宋体" w:cs="宋体"/>
          <w:highlight w:val="none"/>
        </w:rPr>
        <w:t>见证方：</w:t>
      </w:r>
      <w:r>
        <w:rPr>
          <w:rFonts w:hint="eastAsia" w:hAnsi="宋体" w:cs="宋体"/>
          <w:highlight w:val="none"/>
          <w:lang w:eastAsia="zh-CN"/>
        </w:rPr>
        <w:t>扬州博远工程咨询有限公司　</w:t>
      </w:r>
    </w:p>
    <w:p w14:paraId="55B557E4">
      <w:pPr>
        <w:pStyle w:val="3"/>
        <w:snapToGrid w:val="0"/>
        <w:spacing w:before="120" w:after="120" w:line="360" w:lineRule="auto"/>
        <w:ind w:firstLine="210" w:firstLineChars="100"/>
      </w:pPr>
      <w:r>
        <w:rPr>
          <w:rFonts w:hint="eastAsia" w:hAnsi="宋体" w:cs="宋体"/>
          <w:highlight w:val="none"/>
        </w:rPr>
        <w:t>日期：     年   月   日</w:t>
      </w:r>
    </w:p>
    <w:sectPr>
      <w:footerReference r:id="rId3" w:type="default"/>
      <w:pgSz w:w="11906" w:h="16838"/>
      <w:pgMar w:top="1474" w:right="1814" w:bottom="1474" w:left="181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BF35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1F52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51F52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10F80"/>
    <w:rsid w:val="00B76380"/>
    <w:rsid w:val="01B6001E"/>
    <w:rsid w:val="05221F5B"/>
    <w:rsid w:val="058C3E4F"/>
    <w:rsid w:val="07216309"/>
    <w:rsid w:val="09924B8C"/>
    <w:rsid w:val="131C7D05"/>
    <w:rsid w:val="13496882"/>
    <w:rsid w:val="155E3547"/>
    <w:rsid w:val="15720785"/>
    <w:rsid w:val="18181F40"/>
    <w:rsid w:val="21E10F80"/>
    <w:rsid w:val="21FA090A"/>
    <w:rsid w:val="22DC45A7"/>
    <w:rsid w:val="24AC0501"/>
    <w:rsid w:val="26FE68FB"/>
    <w:rsid w:val="299E06CC"/>
    <w:rsid w:val="2C5355EA"/>
    <w:rsid w:val="32835127"/>
    <w:rsid w:val="36ED11B9"/>
    <w:rsid w:val="3C5F1353"/>
    <w:rsid w:val="3EFF6169"/>
    <w:rsid w:val="402409A3"/>
    <w:rsid w:val="40CF0DA0"/>
    <w:rsid w:val="40E01F8F"/>
    <w:rsid w:val="45A91ECE"/>
    <w:rsid w:val="481525BB"/>
    <w:rsid w:val="4C882F19"/>
    <w:rsid w:val="4DEA4CF4"/>
    <w:rsid w:val="51127590"/>
    <w:rsid w:val="53700BD6"/>
    <w:rsid w:val="579507B0"/>
    <w:rsid w:val="581475D5"/>
    <w:rsid w:val="598068D2"/>
    <w:rsid w:val="5A0E4B0D"/>
    <w:rsid w:val="5CA13427"/>
    <w:rsid w:val="5CF153C5"/>
    <w:rsid w:val="5E454658"/>
    <w:rsid w:val="5F1C5950"/>
    <w:rsid w:val="5F574EF1"/>
    <w:rsid w:val="5FCB18FA"/>
    <w:rsid w:val="60625F4B"/>
    <w:rsid w:val="63853B51"/>
    <w:rsid w:val="686A4209"/>
    <w:rsid w:val="68B57725"/>
    <w:rsid w:val="691C772D"/>
    <w:rsid w:val="6EC8547B"/>
    <w:rsid w:val="729B4339"/>
    <w:rsid w:val="74D270A4"/>
    <w:rsid w:val="7630738A"/>
    <w:rsid w:val="7BCF5BC6"/>
    <w:rsid w:val="7E333D55"/>
    <w:rsid w:val="7EA51013"/>
    <w:rsid w:val="7EB21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文本缩进11"/>
    <w:basedOn w:val="1"/>
    <w:next w:val="1"/>
    <w:unhideWhenUsed/>
    <w:qFormat/>
    <w:uiPriority w:val="99"/>
    <w:pPr>
      <w:spacing w:line="400" w:lineRule="exact"/>
      <w:ind w:firstLine="540"/>
    </w:pPr>
    <w:rPr>
      <w:sz w:val="24"/>
    </w:rPr>
  </w:style>
  <w:style w:type="paragraph" w:styleId="3">
    <w:name w:val="Plain Text"/>
    <w:basedOn w:val="1"/>
    <w:qFormat/>
    <w:uiPriority w:val="0"/>
    <w:rPr>
      <w:rFonts w:ascii="宋体" w:hAnsi="Courier New" w:eastAsiaTheme="minorEastAsia" w:cstheme="minorBidi"/>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2971</Words>
  <Characters>3183</Characters>
  <Lines>0</Lines>
  <Paragraphs>0</Paragraphs>
  <TotalTime>0</TotalTime>
  <ScaleCrop>false</ScaleCrop>
  <LinksUpToDate>false</LinksUpToDate>
  <CharactersWithSpaces>3288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2025-08-19T06:37:00Z</dcterms:created>
  <dc:creator>药石无医</dc:creator>
  <cp:lastModifiedBy>药石无医</cp:lastModifiedBy>
  <dcterms:modified xsi:type="dcterms:W3CDTF">2025-09-12T02:07:47Z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75A970D44967480DB382C05EC07AEDCE_13</vt:lpwstr>
  </property>
  <property fmtid="{D5CDD505-2E9C-101B-9397-08002B2CF9AE}" pid="4" name="KSOTemplateDocerSaveRecord">
    <vt:lpwstr>eyJoZGlkIjoiNTQ1NTIwYTQ3YjEzOTg0NjM0MDFkZmJlMTFmNDA4NzkiLCJ1c2VySWQiOiIzMDUxODA3NjcifQ==</vt:lpwstr>
  </property>
</Properties>
</file>