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pStyle w:val="893"/>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如皋市政府采购竞争性磋商文件</w:t>
      </w:r>
      <w:r/>
    </w:p>
    <w:p>
      <w:pPr>
        <w:pStyle w:val="893"/>
        <w:ind w:firstLine="0"/>
        <w:jc w:val="center"/>
        <w:spacing w:line="240" w:lineRule="auto"/>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893"/>
        <w:ind w:firstLine="2393"/>
        <w:spacing w:line="240" w:lineRule="auto"/>
        <w:rPr>
          <w:b/>
          <w:bCs/>
          <w:color w:val="auto"/>
          <w:sz w:val="32"/>
          <w:highlight w:val="none"/>
          <w:u w:val="none"/>
        </w:rPr>
      </w:pPr>
      <w:r>
        <w:rPr>
          <w:b/>
          <w:bCs/>
          <w:color w:val="auto"/>
          <w:sz w:val="32"/>
          <w:highlight w:val="none"/>
          <w:u w:val="none"/>
        </w:rPr>
        <w:t xml:space="preserve">项目名称：</w:t>
      </w:r>
      <w:r>
        <w:rPr>
          <w:rFonts w:hint="eastAsia"/>
          <w:b/>
          <w:bCs/>
          <w:color w:val="auto"/>
          <w:sz w:val="32"/>
          <w:highlight w:val="none"/>
          <w:u w:val="none"/>
          <w:lang w:eastAsia="zh-CN"/>
        </w:rPr>
        <w:t xml:space="preserve">2025年东陈镇测绘服务采购</w:t>
      </w:r>
      <w:r>
        <w:rPr>
          <w:rFonts w:hint="eastAsia"/>
          <w:b/>
          <w:bCs/>
          <w:color w:val="auto"/>
          <w:sz w:val="32"/>
          <w:highlight w:val="none"/>
          <w:u w:val="none"/>
        </w:rPr>
        <w:t xml:space="preserve"> </w:t>
      </w:r>
      <w:r/>
    </w:p>
    <w:p>
      <w:pPr>
        <w:pStyle w:val="893"/>
        <w:ind w:firstLine="2393"/>
        <w:spacing w:line="240" w:lineRule="auto"/>
        <w:rPr>
          <w:rFonts w:hint="default"/>
          <w:b/>
          <w:bCs/>
          <w:color w:val="auto"/>
          <w:sz w:val="32"/>
          <w:highlight w:val="none"/>
          <w:u w:val="none"/>
          <w:lang w:val="en-US"/>
        </w:rPr>
      </w:pPr>
      <w:r>
        <w:rPr>
          <w:rFonts w:hint="eastAsia"/>
          <w:b/>
          <w:bCs/>
          <w:color w:val="auto"/>
          <w:sz w:val="32"/>
          <w:highlight w:val="none"/>
          <w:u w:val="none"/>
        </w:rPr>
        <w:t xml:space="preserve">项目编号：</w:t>
      </w:r>
      <w:r>
        <w:rPr>
          <w:rFonts w:hint="eastAsia"/>
          <w:b/>
          <w:bCs/>
          <w:color w:val="auto"/>
          <w:sz w:val="32"/>
          <w:highlight w:val="none"/>
          <w:u w:val="none"/>
          <w:lang w:val="en-US" w:eastAsia="zh-CN"/>
        </w:rPr>
        <w:t xml:space="preserve">JSZC-320682-NTJW-C2025-0080</w:t>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0"/>
        <w:jc w:val="center"/>
        <w:spacing w:line="240" w:lineRule="auto"/>
        <w:rPr>
          <w:b/>
          <w:bCs/>
          <w:color w:val="auto"/>
          <w:sz w:val="32"/>
          <w:highlight w:val="none"/>
          <w:u w:val="none"/>
        </w:rPr>
      </w:pPr>
      <w:r>
        <w:rPr>
          <w:b/>
          <w:bCs/>
          <w:color w:val="auto"/>
          <w:sz w:val="32"/>
          <w:highlight w:val="none"/>
          <w:u w:val="none"/>
        </w:rPr>
      </w:r>
      <w:r/>
    </w:p>
    <w:p>
      <w:pPr>
        <w:pStyle w:val="893"/>
        <w:ind w:firstLine="851"/>
        <w:spacing w:line="240" w:lineRule="auto"/>
        <w:rPr>
          <w:b/>
          <w:bCs/>
          <w:color w:val="auto"/>
          <w:sz w:val="32"/>
          <w:highlight w:val="none"/>
          <w:u w:val="none"/>
        </w:rPr>
      </w:pPr>
      <w:r>
        <w:rPr>
          <w:rFonts w:hint="eastAsia"/>
          <w:b/>
          <w:bCs/>
          <w:color w:val="auto"/>
          <w:sz w:val="32"/>
          <w:highlight w:val="none"/>
          <w:u w:val="none"/>
        </w:rPr>
        <w:t xml:space="preserve">采购人名称：如皋市</w:t>
      </w:r>
      <w:r>
        <w:rPr>
          <w:rFonts w:hint="eastAsia"/>
          <w:b/>
          <w:bCs/>
          <w:color w:val="auto"/>
          <w:sz w:val="32"/>
          <w:highlight w:val="none"/>
          <w:u w:val="none"/>
          <w:lang w:val="en-US" w:eastAsia="zh-CN"/>
        </w:rPr>
        <w:t xml:space="preserve">东陈</w:t>
      </w:r>
      <w:r>
        <w:rPr>
          <w:rFonts w:hint="eastAsia"/>
          <w:b/>
          <w:bCs/>
          <w:color w:val="auto"/>
          <w:sz w:val="32"/>
          <w:highlight w:val="none"/>
          <w:u w:val="none"/>
        </w:rPr>
        <w:t xml:space="preserve">镇人民政府</w:t>
      </w:r>
      <w:r/>
    </w:p>
    <w:p>
      <w:pPr>
        <w:pStyle w:val="893"/>
        <w:ind w:firstLine="851"/>
        <w:spacing w:line="240" w:lineRule="auto"/>
        <w:rPr>
          <w:b/>
          <w:bCs/>
          <w:color w:val="auto"/>
          <w:sz w:val="32"/>
          <w:highlight w:val="none"/>
          <w:u w:val="single"/>
        </w:rPr>
      </w:pPr>
      <w:r>
        <w:rPr>
          <w:rFonts w:hint="eastAsia"/>
          <w:b/>
          <w:bCs/>
          <w:color w:val="auto"/>
          <w:sz w:val="32"/>
          <w:highlight w:val="none"/>
          <w:u w:val="none"/>
        </w:rPr>
        <w:t xml:space="preserve">采购代理机构名称：南通泾天纬地项目管理有限公司</w:t>
      </w:r>
      <w:r/>
    </w:p>
    <w:p>
      <w:pPr>
        <w:pStyle w:val="893"/>
        <w:ind w:firstLine="0"/>
        <w:jc w:val="center"/>
        <w:spacing w:line="240" w:lineRule="auto"/>
        <w:rPr>
          <w:rFonts w:ascii="方正小标宋简体" w:eastAsia="方正小标宋简体"/>
          <w:bCs/>
          <w:color w:val="auto"/>
          <w:sz w:val="32"/>
          <w:szCs w:val="32"/>
          <w:highlight w:val="none"/>
        </w:rPr>
      </w:pPr>
      <w:r>
        <w:rPr>
          <w:rFonts w:hint="eastAsia"/>
          <w:b/>
          <w:bCs/>
          <w:color w:val="auto"/>
          <w:sz w:val="32"/>
          <w:highlight w:val="none"/>
          <w:lang w:val="en-US" w:eastAsia="zh-CN"/>
        </w:rPr>
        <w:t xml:space="preserve">2025</w:t>
      </w:r>
      <w:r>
        <w:rPr>
          <w:rFonts w:hint="eastAsia"/>
          <w:b/>
          <w:bCs/>
          <w:color w:val="auto"/>
          <w:sz w:val="32"/>
          <w:highlight w:val="none"/>
        </w:rPr>
        <w:t xml:space="preserve">年</w:t>
      </w:r>
      <w:r>
        <w:rPr>
          <w:rFonts w:hint="eastAsia"/>
          <w:b/>
          <w:bCs/>
          <w:color w:val="auto"/>
          <w:sz w:val="32"/>
          <w:highlight w:val="none"/>
          <w:lang w:val="en-US" w:eastAsia="zh-CN"/>
        </w:rPr>
        <w:t xml:space="preserve">07</w:t>
      </w:r>
      <w:r>
        <w:rPr>
          <w:rFonts w:hint="eastAsia"/>
          <w:b/>
          <w:bCs/>
          <w:color w:val="auto"/>
          <w:sz w:val="32"/>
          <w:highlight w:val="none"/>
        </w:rPr>
        <w:t xml:space="preserve">月11</w:t>
      </w:r>
      <w:r>
        <w:rPr>
          <w:rFonts w:hint="eastAsia"/>
          <w:b/>
          <w:bCs/>
          <w:color w:val="auto"/>
          <w:sz w:val="32"/>
          <w:highlight w:val="none"/>
        </w:rPr>
        <w:t xml:space="preserve">日</w:t>
      </w:r>
      <w:r>
        <w:rPr>
          <w:b/>
          <w:bCs/>
          <w:color w:val="auto"/>
          <w:sz w:val="32"/>
          <w:highlight w:val="none"/>
        </w:rPr>
        <w:br w:type="page" w:clear="all"/>
      </w:r>
      <w:r>
        <w:rPr>
          <w:rFonts w:hint="eastAsia" w:ascii="方正小标宋简体" w:eastAsia="方正小标宋简体"/>
          <w:bCs/>
          <w:color w:val="auto"/>
          <w:sz w:val="32"/>
          <w:szCs w:val="32"/>
          <w:highlight w:val="none"/>
        </w:rPr>
        <w:t xml:space="preserve">第1章 竞争性磋商公告</w:t>
      </w:r>
      <w:r/>
    </w:p>
    <w:p>
      <w:pPr>
        <w:pStyle w:val="869"/>
        <w:ind w:firstLine="560"/>
        <w:spacing w:after="0" w:line="500" w:lineRule="exact"/>
        <w:rPr>
          <w:rFonts w:ascii="黑体" w:hAnsi="黑体" w:eastAsia="黑体"/>
          <w:color w:val="auto"/>
          <w:sz w:val="28"/>
          <w:szCs w:val="28"/>
          <w:highlight w:val="none"/>
        </w:rPr>
      </w:pPr>
      <w:r/>
      <w:bookmarkStart w:id="0" w:name="_Toc28359012"/>
      <w:r/>
      <w:bookmarkStart w:id="1" w:name="_Toc35393798"/>
      <w:r/>
      <w:bookmarkStart w:id="2" w:name="_Toc28359089"/>
      <w:r/>
      <w:bookmarkStart w:id="3" w:name="_Toc35393629"/>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eastAsia="zh-CN"/>
        </w:rPr>
        <w:t xml:space="preserve">2025年东陈镇测绘服务采购</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eastAsia="zh-CN"/>
        </w:rPr>
        <w:t xml:space="preserve">JSZC-320682-NTJW-C2025-0080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3.预算金额：人民币</w:t>
      </w:r>
      <w:r>
        <w:rPr>
          <w:rFonts w:hint="eastAsia" w:ascii="仿宋" w:hAnsi="仿宋" w:eastAsia="仿宋"/>
          <w:color w:val="auto"/>
          <w:sz w:val="28"/>
          <w:szCs w:val="28"/>
          <w:highlight w:val="none"/>
          <w:lang w:val="en-US" w:eastAsia="zh-CN"/>
        </w:rPr>
        <w:t xml:space="preserve">50</w:t>
      </w:r>
      <w:r>
        <w:rPr>
          <w:rFonts w:hint="eastAsia" w:ascii="仿宋" w:hAnsi="仿宋" w:eastAsia="仿宋"/>
          <w:color w:val="auto"/>
          <w:sz w:val="28"/>
          <w:szCs w:val="28"/>
          <w:highlight w:val="none"/>
        </w:rPr>
        <w:t xml:space="preserve">万元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4.最高限价：根据《</w:t>
      </w:r>
      <w:r>
        <w:rPr>
          <w:rFonts w:hint="eastAsia" w:ascii="仿宋" w:hAnsi="仿宋" w:eastAsia="仿宋" w:cs="仿宋"/>
          <w:color w:val="auto"/>
          <w:sz w:val="28"/>
          <w:szCs w:val="28"/>
          <w:highlight w:val="none"/>
          <w:shd w:val="clear" w:color="auto" w:fill="ffffff"/>
          <w:lang w:val="en-US" w:eastAsia="zh-CN"/>
        </w:rPr>
        <w:t xml:space="preserve">测绘生产成本费用定额</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及有关细则的通知</w:t>
      </w:r>
      <w:r>
        <w:rPr>
          <w:rFonts w:hint="eastAsia" w:ascii="仿宋" w:hAnsi="仿宋" w:eastAsia="仿宋"/>
          <w:color w:val="auto"/>
          <w:sz w:val="28"/>
          <w:szCs w:val="28"/>
          <w:highlight w:val="none"/>
        </w:rPr>
        <w:t xml:space="preserve">（财建〔2009〕17号）的收费指导价计费，响应供应商所</w:t>
      </w:r>
      <w:r>
        <w:rPr>
          <w:rFonts w:hint="eastAsia" w:ascii="仿宋" w:hAnsi="仿宋" w:eastAsia="仿宋"/>
          <w:color w:val="auto"/>
          <w:sz w:val="28"/>
          <w:szCs w:val="28"/>
          <w:highlight w:val="none"/>
          <w:lang w:val="en-US" w:eastAsia="zh-CN"/>
        </w:rPr>
        <w:t xml:space="preserve">报优惠</w:t>
      </w:r>
      <w:r>
        <w:rPr>
          <w:rFonts w:hint="eastAsia" w:ascii="仿宋" w:hAnsi="仿宋" w:eastAsia="仿宋"/>
          <w:color w:val="auto"/>
          <w:sz w:val="28"/>
          <w:szCs w:val="28"/>
          <w:highlight w:val="none"/>
        </w:rPr>
        <w:t xml:space="preserve">率不得</w:t>
      </w:r>
      <w:r>
        <w:rPr>
          <w:rFonts w:hint="eastAsia" w:ascii="仿宋" w:hAnsi="仿宋" w:eastAsia="仿宋"/>
          <w:color w:val="auto"/>
          <w:sz w:val="28"/>
          <w:szCs w:val="28"/>
          <w:highlight w:val="none"/>
          <w:lang w:val="en-US" w:eastAsia="zh-CN"/>
        </w:rPr>
        <w:t xml:space="preserve">低于</w:t>
      </w:r>
      <w:r>
        <w:rPr>
          <w:rFonts w:hint="eastAsia" w:ascii="仿宋" w:hAnsi="仿宋" w:eastAsia="仿宋"/>
          <w:color w:val="auto"/>
          <w:sz w:val="28"/>
          <w:szCs w:val="28"/>
          <w:highlight w:val="none"/>
        </w:rPr>
        <w:t xml:space="preserve">收费指导价的</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%，最终按实际工作量*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1-优惠率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进行结算，结算总额不超过</w:t>
      </w:r>
      <w:r>
        <w:rPr>
          <w:rFonts w:hint="eastAsia" w:ascii="仿宋" w:hAnsi="仿宋" w:eastAsia="仿宋"/>
          <w:color w:val="auto"/>
          <w:sz w:val="28"/>
          <w:szCs w:val="28"/>
          <w:highlight w:val="none"/>
          <w:lang w:val="en-US" w:eastAsia="zh-CN"/>
        </w:rPr>
        <w:t xml:space="preserve">50</w:t>
      </w:r>
      <w:r>
        <w:rPr>
          <w:rFonts w:hint="eastAsia" w:ascii="仿宋" w:hAnsi="仿宋" w:eastAsia="仿宋"/>
          <w:color w:val="auto"/>
          <w:sz w:val="28"/>
          <w:szCs w:val="28"/>
          <w:highlight w:val="none"/>
        </w:rPr>
        <w:t xml:space="preserve">万元，所报</w:t>
      </w:r>
      <w:r>
        <w:rPr>
          <w:rFonts w:hint="eastAsia" w:ascii="仿宋" w:hAnsi="仿宋" w:eastAsia="仿宋"/>
          <w:color w:val="auto"/>
          <w:sz w:val="28"/>
          <w:szCs w:val="28"/>
          <w:highlight w:val="none"/>
          <w:lang w:val="en-US" w:eastAsia="zh-CN"/>
        </w:rPr>
        <w:t xml:space="preserve">优惠率低于</w:t>
      </w:r>
      <w:r>
        <w:rPr>
          <w:rFonts w:hint="eastAsia" w:ascii="仿宋" w:hAnsi="仿宋" w:eastAsia="仿宋"/>
          <w:color w:val="auto"/>
          <w:sz w:val="28"/>
          <w:szCs w:val="28"/>
          <w:highlight w:val="none"/>
        </w:rPr>
        <w:t xml:space="preserve">最</w:t>
      </w:r>
      <w:r>
        <w:rPr>
          <w:rFonts w:hint="eastAsia" w:ascii="仿宋" w:hAnsi="仿宋" w:eastAsia="仿宋"/>
          <w:color w:val="auto"/>
          <w:sz w:val="28"/>
          <w:szCs w:val="28"/>
          <w:highlight w:val="none"/>
          <w:lang w:val="en-US" w:eastAsia="zh-CN"/>
        </w:rPr>
        <w:t xml:space="preserve">低优惠率</w:t>
      </w:r>
      <w:r>
        <w:rPr>
          <w:rFonts w:hint="eastAsia" w:ascii="仿宋" w:hAnsi="仿宋" w:eastAsia="仿宋"/>
          <w:color w:val="auto"/>
          <w:sz w:val="28"/>
          <w:szCs w:val="28"/>
          <w:highlight w:val="none"/>
        </w:rPr>
        <w:t xml:space="preserve">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eastAsia="zh-CN"/>
        </w:rPr>
        <w:t xml:space="preserve">2025年东陈镇测绘服务采购</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6.合同履行期限：自合同签订之日起</w:t>
      </w:r>
      <w:r>
        <w:rPr>
          <w:rFonts w:hint="eastAsia" w:ascii="仿宋" w:hAnsi="仿宋" w:eastAsia="仿宋"/>
          <w:color w:val="auto"/>
          <w:sz w:val="28"/>
          <w:szCs w:val="28"/>
          <w:highlight w:val="none"/>
          <w:lang w:val="en-US" w:eastAsia="zh-CN"/>
        </w:rPr>
        <w:t xml:space="preserve">一年或</w:t>
      </w:r>
      <w:r>
        <w:rPr>
          <w:rFonts w:hint="eastAsia" w:ascii="仿宋" w:hAnsi="仿宋" w:eastAsia="仿宋"/>
          <w:color w:val="auto"/>
          <w:sz w:val="28"/>
          <w:szCs w:val="28"/>
          <w:highlight w:val="none"/>
        </w:rPr>
        <w:t xml:space="preserve">至项目</w:t>
      </w:r>
      <w:r>
        <w:rPr>
          <w:rFonts w:hint="eastAsia" w:ascii="仿宋" w:hAnsi="仿宋" w:eastAsia="仿宋"/>
          <w:color w:val="auto"/>
          <w:sz w:val="28"/>
          <w:szCs w:val="28"/>
          <w:highlight w:val="none"/>
          <w:lang w:val="en-US" w:eastAsia="zh-CN"/>
        </w:rPr>
        <w:t xml:space="preserve">结算总额</w:t>
      </w:r>
      <w:r>
        <w:rPr>
          <w:rFonts w:hint="eastAsia" w:ascii="仿宋" w:hAnsi="仿宋" w:eastAsia="仿宋"/>
          <w:color w:val="auto"/>
          <w:sz w:val="28"/>
          <w:szCs w:val="28"/>
          <w:highlight w:val="none"/>
        </w:rPr>
        <w:t xml:space="preserve">达到</w:t>
      </w:r>
      <w:r>
        <w:rPr>
          <w:rFonts w:hint="eastAsia" w:ascii="仿宋" w:hAnsi="仿宋" w:eastAsia="仿宋"/>
          <w:color w:val="auto"/>
          <w:sz w:val="28"/>
          <w:szCs w:val="28"/>
          <w:highlight w:val="none"/>
          <w:lang w:val="en-US" w:eastAsia="zh-CN"/>
        </w:rPr>
        <w:t xml:space="preserve">50</w:t>
      </w:r>
      <w:r>
        <w:rPr>
          <w:rFonts w:hint="eastAsia" w:ascii="仿宋" w:hAnsi="仿宋" w:eastAsia="仿宋"/>
          <w:color w:val="auto"/>
          <w:sz w:val="28"/>
          <w:szCs w:val="28"/>
          <w:highlight w:val="none"/>
        </w:rPr>
        <w:t xml:space="preserve">万元合同解除，具体时间以采购人通知为准。</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9.项目类型：服务。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.项目所属行业：其</w:t>
      </w:r>
      <w:r>
        <w:rPr>
          <w:rFonts w:ascii="仿宋" w:hAnsi="仿宋" w:eastAsia="仿宋"/>
          <w:color w:val="auto"/>
          <w:sz w:val="28"/>
          <w:szCs w:val="28"/>
          <w:highlight w:val="none"/>
        </w:rPr>
        <w:t xml:space="preserve">他未列明行业。</w:t>
      </w:r>
      <w:r/>
    </w:p>
    <w:p>
      <w:pPr>
        <w:pStyle w:val="869"/>
        <w:ind w:firstLine="560"/>
        <w:spacing w:after="0" w:line="500" w:lineRule="exact"/>
        <w:rPr>
          <w:rFonts w:ascii="黑体" w:hAnsi="黑体" w:eastAsia="黑体"/>
          <w:color w:val="auto"/>
          <w:sz w:val="28"/>
          <w:szCs w:val="28"/>
          <w:highlight w:val="none"/>
        </w:rPr>
      </w:pPr>
      <w:r/>
      <w:bookmarkStart w:id="5" w:name="_Toc35393630"/>
      <w:r/>
      <w:bookmarkStart w:id="6" w:name="_Toc28359013"/>
      <w:r/>
      <w:bookmarkStart w:id="7" w:name="_Toc28359090"/>
      <w:r/>
      <w:bookmarkStart w:id="8" w:name="_Toc35393799"/>
      <w:r>
        <w:rPr>
          <w:rFonts w:hint="eastAsia" w:ascii="黑体" w:hAnsi="黑体" w:eastAsia="黑体"/>
          <w:color w:val="auto"/>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91"/>
      <w:r/>
      <w:bookmarkStart w:id="10" w:name="_Toc28359014"/>
      <w:r>
        <w:rPr>
          <w:rFonts w:hint="eastAsia" w:ascii="仿宋" w:hAnsi="仿宋" w:eastAsia="仿宋" w:cs="Times New Roman"/>
          <w:color w:val="auto"/>
          <w:sz w:val="28"/>
          <w:szCs w:val="28"/>
          <w:highlight w:val="none"/>
        </w:rPr>
        <w:t xml:space="preserve">（1）具有独立承担民事责任的能力;</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76"/>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76"/>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876"/>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876"/>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pStyle w:val="876"/>
        <w:ind w:firstLine="567"/>
        <w:spacing w:before="0" w:beforeAutospacing="0" w:after="0" w:afterAutospacing="0" w:line="500" w:lineRule="exact"/>
        <w:shd w:val="clear" w:color="auto" w:fill="ffff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1</w:t>
      </w:r>
      <w:r>
        <w:rPr>
          <w:rFonts w:hint="eastAsia" w:ascii="仿宋" w:hAnsi="仿宋" w:eastAsia="仿宋" w:cs="Times New Roman"/>
          <w:b/>
          <w:bCs/>
          <w:color w:val="auto"/>
          <w:sz w:val="28"/>
          <w:szCs w:val="28"/>
          <w:highlight w:val="none"/>
        </w:rPr>
        <w:t xml:space="preserve">）响应供应商须具备国家测绘主管部门颁发的测绘乙级及以上资质（专业范围包括工程测量）。</w:t>
      </w:r>
      <w:r/>
    </w:p>
    <w:p>
      <w:pPr>
        <w:pStyle w:val="876"/>
        <w:ind w:firstLine="567"/>
        <w:spacing w:before="0" w:beforeAutospacing="0" w:after="0" w:afterAutospacing="0" w:line="500" w:lineRule="exact"/>
        <w:shd w:val="clear" w:color="auto" w:fill="ffff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2</w:t>
      </w:r>
      <w:r>
        <w:rPr>
          <w:rFonts w:hint="eastAsia" w:ascii="仿宋" w:hAnsi="仿宋" w:eastAsia="仿宋" w:cs="Times New Roman"/>
          <w:b/>
          <w:bCs/>
          <w:color w:val="auto"/>
          <w:sz w:val="28"/>
          <w:szCs w:val="28"/>
          <w:highlight w:val="none"/>
        </w:rPr>
        <w:t xml:space="preserve">）响应供应商拟派项目负责人须具有测绘相关专业中级及以上职称。</w:t>
      </w:r>
      <w:r/>
    </w:p>
    <w:p>
      <w:pPr>
        <w:pStyle w:val="876"/>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6.未被“信用中国（www.creditchina.gov.cn）”网站列入失信被执行人或重大税收违法案件当事人名单或政府采购严重失信行为记录名单，查询结果以评审过程中现场网络截图为准。</w:t>
      </w:r>
      <w:r/>
    </w:p>
    <w:p>
      <w:pPr>
        <w:pStyle w:val="869"/>
        <w:ind w:firstLine="560"/>
        <w:spacing w:after="0" w:line="500" w:lineRule="exact"/>
        <w:rPr>
          <w:rFonts w:ascii="黑体" w:hAnsi="黑体" w:eastAsia="黑体"/>
          <w:color w:val="auto"/>
          <w:sz w:val="28"/>
          <w:szCs w:val="28"/>
          <w:highlight w:val="none"/>
        </w:rPr>
      </w:pPr>
      <w:r/>
      <w:bookmarkStart w:id="11" w:name="_Toc35393631"/>
      <w:r/>
      <w:bookmarkStart w:id="12" w:name="_Toc35393800"/>
      <w:r>
        <w:rPr>
          <w:rFonts w:hint="eastAsia" w:ascii="黑体" w:hAnsi="黑体" w:eastAsia="黑体"/>
          <w:color w:val="auto"/>
          <w:sz w:val="28"/>
          <w:szCs w:val="28"/>
          <w:highlight w:val="none"/>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时间：本公告发布之日起5个工作日内。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30"/>
          <w:highlight w:val="none"/>
        </w:rPr>
        <w:t xml:space="preserve">本项目采用“苏采云”系统网上注册登记方式，具体详见《江苏省政府采购管理交易系统（苏采云）投标人操作手册》。</w:t>
      </w:r>
      <w:r/>
    </w:p>
    <w:p>
      <w:pPr>
        <w:pStyle w:val="869"/>
        <w:ind w:firstLine="560"/>
        <w:spacing w:after="0" w:line="500" w:lineRule="exact"/>
        <w:rPr>
          <w:rFonts w:ascii="黑体" w:hAnsi="黑体" w:eastAsia="黑体"/>
          <w:color w:val="auto"/>
          <w:sz w:val="28"/>
          <w:szCs w:val="28"/>
          <w:highlight w:val="none"/>
        </w:rPr>
      </w:pPr>
      <w:r/>
      <w:bookmarkStart w:id="13" w:name="_Toc35393632"/>
      <w:r/>
      <w:bookmarkStart w:id="14" w:name="_Toc28359092"/>
      <w:r/>
      <w:bookmarkStart w:id="15" w:name="_Toc35393801"/>
      <w:r/>
      <w:bookmarkStart w:id="16" w:name="_Toc28359015"/>
      <w:r>
        <w:rPr>
          <w:rFonts w:hint="eastAsia" w:ascii="黑体" w:hAnsi="黑体" w:eastAsia="黑体"/>
          <w:color w:val="auto"/>
          <w:sz w:val="28"/>
          <w:szCs w:val="28"/>
          <w:highlight w:val="none"/>
        </w:rPr>
        <w:t xml:space="preserve">四、</w:t>
      </w:r>
      <w:bookmarkEnd w:id="13"/>
      <w:r/>
      <w:bookmarkEnd w:id="14"/>
      <w:r/>
      <w:bookmarkEnd w:id="15"/>
      <w:r/>
      <w:bookmarkEnd w:id="16"/>
      <w:r>
        <w:rPr>
          <w:rFonts w:hint="eastAsia" w:ascii="黑体" w:hAnsi="黑体" w:eastAsia="黑体"/>
          <w:color w:val="auto"/>
          <w:sz w:val="28"/>
          <w:szCs w:val="28"/>
          <w:highlight w:val="none"/>
        </w:rPr>
        <w:t xml:space="preserve">竞争性磋商响应文件提交和开启</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2025</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25</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2025</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25</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869"/>
        <w:ind w:firstLine="560"/>
        <w:spacing w:after="0" w:line="500" w:lineRule="exact"/>
        <w:rPr>
          <w:rFonts w:ascii="黑体" w:hAnsi="黑体" w:eastAsia="黑体"/>
          <w:color w:val="auto"/>
          <w:sz w:val="28"/>
          <w:szCs w:val="28"/>
          <w:highlight w:val="none"/>
        </w:rPr>
      </w:pPr>
      <w:r/>
      <w:bookmarkStart w:id="17" w:name="_Toc35393803"/>
      <w:r/>
      <w:bookmarkStart w:id="18" w:name="_Toc35393634"/>
      <w:r/>
      <w:bookmarkStart w:id="19" w:name="_Toc28359094"/>
      <w:r/>
      <w:bookmarkStart w:id="20" w:name="_Toc28359017"/>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869"/>
        <w:ind w:firstLine="560"/>
        <w:spacing w:after="0" w:line="500" w:lineRule="exact"/>
        <w:rPr>
          <w:rFonts w:ascii="黑体" w:hAnsi="黑体" w:eastAsia="黑体"/>
          <w:color w:val="auto"/>
          <w:sz w:val="28"/>
          <w:szCs w:val="28"/>
          <w:highlight w:val="none"/>
        </w:rPr>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79"/>
          <w:rFonts w:ascii="仿宋" w:hAnsi="仿宋" w:eastAsia="仿宋" w:cs="宋体"/>
          <w:bCs/>
          <w:color w:val="auto"/>
          <w:sz w:val="28"/>
          <w:szCs w:val="28"/>
          <w:highlight w:val="none"/>
        </w:rPr>
        <w:t xml:space="preserve">http://jsxcmm.com/help/gys.html</w:t>
      </w:r>
      <w:r>
        <w:rPr>
          <w:rStyle w:val="879"/>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869"/>
        <w:ind w:firstLine="560"/>
        <w:spacing w:after="0" w:line="500" w:lineRule="exact"/>
        <w:rPr>
          <w:rFonts w:ascii="黑体" w:hAnsi="黑体" w:eastAsia="黑体"/>
          <w:color w:val="auto"/>
          <w:sz w:val="28"/>
          <w:szCs w:val="28"/>
          <w:highlight w:val="none"/>
        </w:rPr>
      </w:pPr>
      <w:r/>
      <w:bookmarkStart w:id="23" w:name="_Toc28359018"/>
      <w:r/>
      <w:bookmarkStart w:id="24" w:name="_Toc35393636"/>
      <w:r/>
      <w:bookmarkStart w:id="25" w:name="_Toc28359095"/>
      <w:r/>
      <w:bookmarkStart w:id="26" w:name="_Toc35393805"/>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color w:val="auto"/>
          <w:sz w:val="28"/>
          <w:szCs w:val="28"/>
          <w:highlight w:val="none"/>
        </w:rPr>
      </w:pPr>
      <w:r/>
      <w:bookmarkStart w:id="27" w:name="_Toc35393637"/>
      <w:r/>
      <w:bookmarkStart w:id="28" w:name="_Toc28359096"/>
      <w:r/>
      <w:bookmarkStart w:id="29" w:name="_Toc35393806"/>
      <w:r/>
      <w:bookmarkStart w:id="30" w:name="_Toc28359019"/>
      <w:r/>
      <w:bookmarkStart w:id="31" w:name="_Toc28413"/>
      <w:r>
        <w:rPr>
          <w:rFonts w:hint="eastAsia" w:ascii="仿宋" w:hAnsi="仿宋" w:eastAsia="仿宋" w:cs="宋体"/>
          <w:color w:val="auto"/>
          <w:sz w:val="28"/>
          <w:szCs w:val="28"/>
          <w:highlight w:val="none"/>
        </w:rPr>
        <w:t xml:space="preserve">1. 采购人信息</w:t>
      </w:r>
      <w:bookmarkEnd w:id="27"/>
      <w:r/>
      <w:bookmarkEnd w:id="28"/>
      <w:r/>
      <w:bookmarkEnd w:id="29"/>
      <w:r/>
      <w:bookmarkEnd w:id="30"/>
      <w:r/>
      <w:bookmarkEnd w:id="31"/>
      <w:r/>
      <w:r/>
    </w:p>
    <w:p>
      <w:pPr>
        <w:ind w:left="1129" w:hanging="350"/>
        <w:jc w:val="left"/>
        <w:spacing w:line="500" w:lineRule="exact"/>
        <w:rPr>
          <w:rFonts w:ascii="仿宋" w:hAnsi="仿宋" w:eastAsia="仿宋"/>
          <w:color w:val="auto"/>
          <w:sz w:val="28"/>
          <w:szCs w:val="28"/>
          <w:highlight w:val="none"/>
        </w:rPr>
      </w:pPr>
      <w:r/>
      <w:bookmarkStart w:id="32" w:name="_Toc28359097"/>
      <w:r/>
      <w:bookmarkStart w:id="33" w:name="_Toc35393638"/>
      <w:r/>
      <w:bookmarkStart w:id="34" w:name="_Toc28359020"/>
      <w:r/>
      <w:bookmarkStart w:id="35" w:name="_Toc25544"/>
      <w:r/>
      <w:bookmarkStart w:id="36" w:name="_Toc35393807"/>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rPr>
        <w:t xml:space="preserve">　如皋市</w:t>
      </w:r>
      <w:r>
        <w:rPr>
          <w:rFonts w:hint="eastAsia" w:ascii="仿宋" w:hAnsi="仿宋" w:eastAsia="仿宋"/>
          <w:color w:val="auto"/>
          <w:sz w:val="28"/>
          <w:szCs w:val="28"/>
          <w:highlight w:val="none"/>
          <w:u w:val="single"/>
          <w:lang w:val="en-US" w:eastAsia="zh-CN"/>
        </w:rPr>
        <w:t xml:space="preserve">东陈</w:t>
      </w:r>
      <w:r>
        <w:rPr>
          <w:rFonts w:hint="eastAsia" w:ascii="仿宋" w:hAnsi="仿宋" w:eastAsia="仿宋"/>
          <w:color w:val="auto"/>
          <w:sz w:val="28"/>
          <w:szCs w:val="28"/>
          <w:highlight w:val="none"/>
          <w:u w:val="single"/>
        </w:rPr>
        <w:t xml:space="preserve">镇人民政府   </w:t>
      </w:r>
      <w:r/>
    </w:p>
    <w:p>
      <w:pPr>
        <w:ind w:left="1129" w:hanging="350"/>
        <w:jc w:val="left"/>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u w:val="single"/>
        </w:rPr>
        <w:t xml:space="preserve">　如皋市</w:t>
      </w:r>
      <w:r>
        <w:rPr>
          <w:rFonts w:hint="eastAsia" w:ascii="仿宋" w:hAnsi="仿宋" w:eastAsia="仿宋"/>
          <w:color w:val="auto"/>
          <w:sz w:val="28"/>
          <w:szCs w:val="28"/>
          <w:highlight w:val="none"/>
          <w:u w:val="single"/>
          <w:lang w:val="en-US" w:eastAsia="zh-CN"/>
        </w:rPr>
        <w:t xml:space="preserve">东陈</w:t>
      </w:r>
      <w:r>
        <w:rPr>
          <w:rFonts w:hint="eastAsia" w:ascii="仿宋" w:hAnsi="仿宋" w:eastAsia="仿宋"/>
          <w:color w:val="auto"/>
          <w:sz w:val="28"/>
          <w:szCs w:val="28"/>
          <w:highlight w:val="none"/>
          <w:u w:val="single"/>
        </w:rPr>
        <w:t xml:space="preserve">镇    　　</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赵然</w:t>
      </w:r>
      <w:r>
        <w:rPr>
          <w:rFonts w:hint="eastAsia" w:ascii="仿宋" w:hAnsi="仿宋" w:eastAsia="仿宋"/>
          <w:color w:val="auto"/>
          <w:sz w:val="28"/>
          <w:szCs w:val="28"/>
          <w:highlight w:val="none"/>
          <w:u w:val="single"/>
        </w:rPr>
        <w:t xml:space="preserve">        </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rPr>
        <w:tab/>
      </w:r>
      <w:r>
        <w:rPr>
          <w:rFonts w:hint="eastAsia" w:ascii="仿宋" w:hAnsi="仿宋" w:eastAsia="仿宋"/>
          <w:color w:val="auto"/>
          <w:sz w:val="28"/>
          <w:szCs w:val="28"/>
          <w:highlight w:val="none"/>
          <w:u w:val="single"/>
        </w:rPr>
        <w:t xml:space="preserve">15862761212</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采购代理机构信息（如有）</w:t>
      </w:r>
      <w:bookmarkEnd w:id="32"/>
      <w:r/>
      <w:bookmarkEnd w:id="33"/>
      <w:r/>
      <w:bookmarkEnd w:id="34"/>
      <w:r/>
      <w:bookmarkEnd w:id="35"/>
      <w:r/>
      <w:bookmarkEnd w:id="36"/>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rPr>
        <w:t xml:space="preserve">南通泾天纬地项目管理有限公司</w:t>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u w:val="single"/>
        </w:rPr>
        <w:t xml:space="preserve">如皋市如城街道惠政路269号纪庄大楼9层</w:t>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u w:val="single"/>
        </w:rPr>
        <w:t xml:space="preserve"> 纪巧丽； </w:t>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rPr>
        <w:t xml:space="preserve">0513-87610696</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893"/>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93"/>
        <w:ind w:firstLine="0"/>
        <w:jc w:val="center"/>
        <w:spacing w:line="240" w:lineRule="auto"/>
        <w:rPr>
          <w:rFonts w:ascii="方正小标宋简体" w:eastAsia="方正小标宋简体"/>
          <w:bCs/>
          <w:color w:val="auto"/>
          <w:sz w:val="32"/>
          <w:szCs w:val="32"/>
          <w:highlight w:val="none"/>
        </w:rPr>
      </w:pPr>
      <w:r>
        <w:rPr>
          <w:rFonts w:ascii="仿宋" w:hAnsi="仿宋" w:eastAsia="仿宋"/>
          <w:b/>
          <w:color w:val="auto"/>
          <w:sz w:val="28"/>
          <w:szCs w:val="28"/>
          <w:highlight w:val="none"/>
        </w:rPr>
        <w:br w:type="page" w:clear="all"/>
      </w:r>
      <w:r>
        <w:rPr>
          <w:rFonts w:hint="eastAsia" w:ascii="方正小标宋简体" w:eastAsia="方正小标宋简体"/>
          <w:bCs/>
          <w:color w:val="auto"/>
          <w:sz w:val="32"/>
          <w:szCs w:val="32"/>
          <w:highlight w:val="none"/>
        </w:rPr>
        <w:t xml:space="preserve">第2章 磋商须知</w:t>
      </w:r>
      <w:r/>
    </w:p>
    <w:p>
      <w:pPr>
        <w:ind w:firstLine="548"/>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 参加磋商费用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 磋商文件的约束力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3.响应文件编制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4.响应文件提交、撤回和修改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5. 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 有下列情形之一的，视为供应商串通，其响应无效：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5.14.1不同供应商的响应文件由同一单位或者个人编制；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5.15</w:t>
      </w:r>
      <w:r>
        <w:rPr>
          <w:rFonts w:hint="eastAsia" w:ascii="仿宋" w:hAnsi="仿宋" w:eastAsia="仿宋"/>
          <w:color w:val="auto"/>
          <w:sz w:val="28"/>
          <w:szCs w:val="28"/>
          <w:highlight w:val="none"/>
          <w:lang w:val="en-US" w:eastAsia="zh-CN"/>
        </w:rPr>
        <w:t xml:space="preserve">磋商小组认为响应供应商的报价明显低于其他通过符合性审查响应供应商的报价，有可能影响产品质量或者不能诚信履约的，</w:t>
      </w:r>
      <w:r>
        <w:rPr>
          <w:rFonts w:hint="eastAsia" w:ascii="仿宋" w:hAnsi="仿宋" w:eastAsia="仿宋"/>
          <w:color w:val="auto"/>
          <w:sz w:val="28"/>
          <w:szCs w:val="28"/>
          <w:highlight w:val="none"/>
          <w:lang w:val="en-US" w:eastAsia="zh-CN"/>
        </w:rPr>
        <w:t xml:space="preserve">可以通过视频会议，要求供应商在合理的时间内提供说明，必要时提交相关证明材料。当响应报价低于采购项目预算 50%或者低于采购项目最高限价 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r>
        <w:rPr>
          <w:rFonts w:hint="eastAsia" w:ascii="仿宋" w:hAnsi="仿宋" w:eastAsia="仿宋"/>
          <w:color w:val="auto"/>
          <w:sz w:val="28"/>
          <w:szCs w:val="28"/>
          <w:highlight w:val="none"/>
          <w:lang w:val="en-US" w:eastAsia="zh-CN"/>
        </w:rPr>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6.成交和合同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5%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4%的扣除；工程类采购项目，给予2%的扣除，用扣除后的价格参加评审。组成联合体或者接受分包的小微企业与联合体内其他企业、分包企业之间存在直接控股、管理关系的，不享受价格扣除优惠政策。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8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7.7.1商品包装层数不得超过</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7.7.5塑料材质商品包装上呈现的印刷颜色不得超过</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7.7.6纸质商品包装应使用</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7.8.1快递包装中重金属（铅、汞、镉、六价铬）总量应不大于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7.8.3快递包装中使用纸基材的包装材料，纸基材中的有机氯的含量应不大于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7.8.7快递中使用的集装袋应为单一材质制成，其重复使用次数应不小于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7.12商务技术分部分新增：</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8.无效响应和磋商活动终止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不具备竞争性磋商文件中规定的资格要求的。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响应文件未按照磋商文件要求加盖电子签章。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8.1.12其他法律、法规及本磋商文件规定的属无效响应的情形。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出现下列情形之一的，本次竞争性磋商采购活动将被终止：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8.2.5  因重大变故，采购任务取消的。</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val="en-US"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pStyle w:val="876"/>
        <w:ind w:firstLine="560"/>
        <w:spacing w:before="0" w:beforeAutospacing="0" w:after="0" w:afterAutospacing="0"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采购代理服务费收取标准：</w:t>
      </w:r>
      <w:r>
        <w:rPr>
          <w:rFonts w:hint="eastAsia" w:ascii="仿宋" w:hAnsi="仿宋" w:eastAsia="仿宋" w:cs="仿宋"/>
          <w:color w:val="auto"/>
          <w:sz w:val="28"/>
          <w:szCs w:val="28"/>
          <w:highlight w:val="none"/>
          <w:lang w:bidi="ar"/>
        </w:rPr>
        <w:t xml:space="preserve">采购代理服务费以成交价为基数，采用差额定率累进法（50万元</w:t>
      </w:r>
      <w:r>
        <w:rPr>
          <w:rFonts w:hint="eastAsia" w:ascii="仿宋" w:hAnsi="仿宋" w:eastAsia="仿宋" w:cs="仿宋"/>
          <w:color w:val="auto"/>
          <w:sz w:val="28"/>
          <w:szCs w:val="28"/>
          <w:highlight w:val="none"/>
          <w:lang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收款单位名称为：南通泾天纬地项目管理有限公司；</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账户号码：32050164723600005459；</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开户行：建设银行如皋支行，行号：105306200016；</w:t>
      </w:r>
      <w:bookmarkEnd w:id="4"/>
      <w:r/>
      <w:r/>
    </w:p>
    <w:p>
      <w:pPr>
        <w:pStyle w:val="893"/>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第3章 采购需求</w:t>
      </w:r>
      <w:r/>
    </w:p>
    <w:p>
      <w:pPr>
        <w:ind w:firstLine="562"/>
        <w:jc w:val="center"/>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93"/>
        <w:ind w:firstLine="562"/>
        <w:spacing w:line="240" w:lineRule="auto"/>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一、项目简介</w:t>
      </w:r>
      <w:r/>
    </w:p>
    <w:p>
      <w:pPr>
        <w:ind w:firstLine="560"/>
        <w:spacing w:line="500" w:lineRule="exact"/>
        <w:rPr>
          <w:rFonts w:hint="eastAsia" w:ascii="仿宋" w:hAnsi="仿宋" w:eastAsia="仿宋" w:cs="仿宋"/>
          <w:color w:val="auto"/>
          <w:sz w:val="28"/>
          <w:szCs w:val="28"/>
          <w:highlight w:val="none"/>
          <w:lang w:eastAsia="zh-CN" w:bidi="ar"/>
        </w:rPr>
      </w:pPr>
      <w:r>
        <w:rPr>
          <w:rFonts w:hint="eastAsia" w:ascii="仿宋" w:hAnsi="仿宋" w:eastAsia="仿宋" w:cs="仿宋"/>
          <w:color w:val="auto"/>
          <w:sz w:val="28"/>
          <w:szCs w:val="28"/>
          <w:highlight w:val="none"/>
          <w:lang w:eastAsia="zh-CN" w:bidi="ar"/>
        </w:rPr>
        <w:t xml:space="preserve">2025年东陈镇测绘服务采购</w:t>
      </w:r>
      <w:r>
        <w:rPr>
          <w:rFonts w:hint="eastAsia" w:ascii="仿宋" w:hAnsi="仿宋" w:eastAsia="仿宋" w:cs="仿宋"/>
          <w:color w:val="auto"/>
          <w:sz w:val="28"/>
          <w:szCs w:val="28"/>
          <w:highlight w:val="none"/>
          <w:lang w:bidi="ar"/>
        </w:rPr>
        <w:t xml:space="preserve">项目，拟采购一家</w:t>
      </w:r>
      <w:r>
        <w:rPr>
          <w:rFonts w:hint="eastAsia" w:ascii="仿宋" w:hAnsi="仿宋" w:eastAsia="仿宋" w:cs="仿宋"/>
          <w:color w:val="auto"/>
          <w:sz w:val="28"/>
          <w:szCs w:val="28"/>
          <w:highlight w:val="none"/>
          <w:lang w:val="en-US" w:eastAsia="zh-CN" w:bidi="ar"/>
        </w:rPr>
        <w:t xml:space="preserve">测绘</w:t>
      </w:r>
      <w:r>
        <w:rPr>
          <w:rFonts w:hint="eastAsia" w:ascii="仿宋" w:hAnsi="仿宋" w:eastAsia="仿宋" w:cs="仿宋"/>
          <w:color w:val="auto"/>
          <w:sz w:val="28"/>
          <w:szCs w:val="28"/>
          <w:highlight w:val="none"/>
          <w:lang w:bidi="ar"/>
        </w:rPr>
        <w:t xml:space="preserve">单位提供</w:t>
      </w:r>
      <w:r>
        <w:rPr>
          <w:rFonts w:hint="eastAsia" w:ascii="仿宋" w:hAnsi="仿宋" w:eastAsia="仿宋" w:cs="仿宋"/>
          <w:color w:val="auto"/>
          <w:sz w:val="28"/>
          <w:szCs w:val="28"/>
          <w:highlight w:val="none"/>
          <w:lang w:val="en-US" w:eastAsia="zh-CN" w:bidi="ar"/>
        </w:rPr>
        <w:t xml:space="preserve">测绘</w:t>
      </w:r>
      <w:r>
        <w:rPr>
          <w:rFonts w:hint="eastAsia" w:ascii="仿宋" w:hAnsi="仿宋" w:eastAsia="仿宋" w:cs="仿宋"/>
          <w:color w:val="auto"/>
          <w:sz w:val="28"/>
          <w:szCs w:val="28"/>
          <w:highlight w:val="none"/>
          <w:lang w:bidi="ar"/>
        </w:rPr>
        <w:t xml:space="preserve">服务</w:t>
      </w:r>
      <w:r>
        <w:rPr>
          <w:rFonts w:hint="eastAsia" w:ascii="仿宋" w:hAnsi="仿宋" w:eastAsia="仿宋" w:cs="仿宋"/>
          <w:color w:val="auto"/>
          <w:sz w:val="28"/>
          <w:szCs w:val="28"/>
          <w:highlight w:val="none"/>
          <w:lang w:eastAsia="zh-CN" w:bidi="ar"/>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二、采购内容</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全年规划和工业项目服务中的地形测量、用地红线定位放线、勘测定界、土地分宗、管线测量、市政工程测量、工程竣工测量等项目。</w:t>
      </w:r>
      <w:r/>
    </w:p>
    <w:p>
      <w:pPr>
        <w:ind w:firstLine="560"/>
        <w:spacing w:line="500" w:lineRule="exact"/>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镇域用地测量、规划测量、地形图、已建污（雨）水管线探测数据的入库、控制测量、水准测量、地形测量、建筑放线、变形测量（含沉降观测）、规划竣工测量、绿化面积测量、建筑高度、管线探测、管线竣工、土方测量、规划选址图编辑、零星测绘等内容。</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三、服务要求</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1.供应商应在合同签订后7日内完成技术设计书的编制，并交采购人审定。 </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2.供应商在收到采购人对技术设计书同意实施的审定意见之日起1日内组织测绘人员进场作业。</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3.供应商应当根据技术设计书、采购文件及合同要求确保测绘项目完成并提交成果文件。</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4.本项目测绘成果的所有权、使用权和著作权均归属于采购人。对涉密数据按照国家相关规定执行，供应商须做好技术人员的保密教育，确保资料成果不外泄。</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四、服务标准</w:t>
      </w:r>
      <w:r/>
    </w:p>
    <w:p>
      <w:pPr>
        <w:ind w:firstLine="560"/>
        <w:spacing w:line="500" w:lineRule="exact"/>
        <w:rPr>
          <w:rFonts w:hint="eastAsia" w:ascii="仿宋" w:hAnsi="仿宋" w:eastAsia="仿宋" w:cs="仿宋"/>
          <w:bCs/>
          <w:color w:val="auto"/>
          <w:sz w:val="28"/>
          <w:szCs w:val="28"/>
          <w:highlight w:val="none"/>
          <w:lang w:bidi="ar"/>
        </w:rPr>
      </w:pPr>
      <w:r/>
      <w:bookmarkStart w:id="37" w:name="_Toc24443"/>
      <w:r>
        <w:rPr>
          <w:rFonts w:hint="eastAsia" w:ascii="仿宋" w:hAnsi="仿宋" w:eastAsia="仿宋" w:cs="仿宋"/>
          <w:bCs/>
          <w:color w:val="auto"/>
          <w:sz w:val="28"/>
          <w:szCs w:val="28"/>
          <w:highlight w:val="none"/>
          <w:lang w:bidi="ar"/>
        </w:rPr>
        <w:t xml:space="preserve">（一）供应商所提供的服务及成果应符合国家及行业规定标准。</w:t>
      </w:r>
      <w:bookmarkEnd w:id="37"/>
      <w:r/>
      <w:r/>
    </w:p>
    <w:p>
      <w:pPr>
        <w:ind w:firstLine="560"/>
        <w:spacing w:line="500" w:lineRule="exact"/>
        <w:rPr>
          <w:rFonts w:hint="eastAsia" w:ascii="仿宋" w:hAnsi="仿宋" w:eastAsia="仿宋" w:cs="仿宋"/>
          <w:bCs/>
          <w:color w:val="auto"/>
          <w:sz w:val="28"/>
          <w:szCs w:val="28"/>
          <w:highlight w:val="none"/>
          <w:lang w:bidi="ar"/>
        </w:rPr>
      </w:pPr>
      <w:r/>
      <w:bookmarkStart w:id="38" w:name="_Toc16539"/>
      <w:r>
        <w:rPr>
          <w:rFonts w:hint="eastAsia" w:ascii="仿宋" w:hAnsi="仿宋" w:eastAsia="仿宋" w:cs="仿宋"/>
          <w:bCs/>
          <w:color w:val="auto"/>
          <w:sz w:val="28"/>
          <w:szCs w:val="28"/>
          <w:highlight w:val="none"/>
          <w:lang w:bidi="ar"/>
        </w:rPr>
        <w:t xml:space="preserve">（二）成交供应商应对工作中涉及到的涉密和敏感图文资料、电子数据严格执行保密的相关规定，不得以任何方式向任何第三人披露、泄露或许可第三人使用。</w:t>
      </w:r>
      <w:bookmarkEnd w:id="38"/>
      <w:r/>
      <w:r/>
    </w:p>
    <w:p>
      <w:pPr>
        <w:ind w:firstLine="560"/>
        <w:spacing w:line="500" w:lineRule="exact"/>
        <w:rPr>
          <w:rFonts w:hint="eastAsia" w:ascii="仿宋" w:hAnsi="仿宋" w:eastAsia="仿宋" w:cs="仿宋"/>
          <w:bCs/>
          <w:color w:val="auto"/>
          <w:sz w:val="28"/>
          <w:szCs w:val="28"/>
          <w:highlight w:val="none"/>
          <w:lang w:bidi="ar"/>
        </w:rPr>
      </w:pPr>
      <w:r/>
      <w:bookmarkStart w:id="39" w:name="_Toc11604"/>
      <w:r>
        <w:rPr>
          <w:rFonts w:hint="eastAsia" w:ascii="仿宋" w:hAnsi="仿宋" w:eastAsia="仿宋" w:cs="仿宋"/>
          <w:bCs/>
          <w:color w:val="auto"/>
          <w:sz w:val="28"/>
          <w:szCs w:val="28"/>
          <w:highlight w:val="none"/>
          <w:lang w:bidi="ar"/>
        </w:rPr>
        <w:t xml:space="preserve">（三）如发现成交供应商出现弄虚作假行为的，采购单位有权解除合同并追究其相关责任。</w:t>
      </w:r>
      <w:bookmarkEnd w:id="39"/>
      <w:r/>
      <w:r/>
    </w:p>
    <w:p>
      <w:pPr>
        <w:ind w:firstLine="560"/>
        <w:spacing w:line="500" w:lineRule="exact"/>
        <w:rPr>
          <w:rFonts w:hint="eastAsia" w:ascii="仿宋" w:hAnsi="仿宋" w:eastAsia="仿宋" w:cs="仿宋"/>
          <w:bCs/>
          <w:color w:val="auto"/>
          <w:sz w:val="28"/>
          <w:szCs w:val="28"/>
          <w:highlight w:val="none"/>
          <w:lang w:bidi="ar"/>
        </w:rPr>
      </w:pPr>
      <w:r/>
      <w:bookmarkStart w:id="40" w:name="_Toc14910"/>
      <w:r>
        <w:rPr>
          <w:rFonts w:hint="eastAsia" w:ascii="仿宋" w:hAnsi="仿宋" w:eastAsia="仿宋" w:cs="仿宋"/>
          <w:bCs/>
          <w:color w:val="auto"/>
          <w:sz w:val="28"/>
          <w:szCs w:val="28"/>
          <w:highlight w:val="none"/>
          <w:lang w:bidi="ar"/>
        </w:rPr>
        <w:t xml:space="preserve">（四）成交供应商应保证提供的成果不得侵犯第三方专利权、商标权和设计权、版权等。否则，中标供应商应负全部责任，并承担由此引起的一切后果。</w:t>
      </w:r>
      <w:bookmarkEnd w:id="40"/>
      <w:r/>
      <w:r/>
    </w:p>
    <w:p>
      <w:pPr>
        <w:ind w:firstLine="560"/>
        <w:spacing w:line="500" w:lineRule="exact"/>
        <w:rPr>
          <w:rFonts w:hint="eastAsia" w:ascii="仿宋" w:hAnsi="仿宋" w:eastAsia="仿宋" w:cs="仿宋"/>
          <w:bCs/>
          <w:color w:val="auto"/>
          <w:sz w:val="28"/>
          <w:szCs w:val="28"/>
          <w:highlight w:val="none"/>
          <w:lang w:bidi="ar"/>
        </w:rPr>
      </w:pPr>
      <w:r/>
      <w:bookmarkStart w:id="41" w:name="_Toc3729"/>
      <w:r>
        <w:rPr>
          <w:rFonts w:hint="eastAsia" w:ascii="仿宋" w:hAnsi="仿宋" w:eastAsia="仿宋" w:cs="仿宋"/>
          <w:bCs/>
          <w:color w:val="auto"/>
          <w:sz w:val="28"/>
          <w:szCs w:val="28"/>
          <w:highlight w:val="none"/>
          <w:lang w:bidi="ar"/>
        </w:rPr>
        <w:t xml:space="preserve">（五）成交人应采取必要的安全措施确保服务过程中的安全，并承担服务过程中产生的风险。</w:t>
      </w:r>
      <w:bookmarkEnd w:id="41"/>
      <w:r/>
      <w:r/>
    </w:p>
    <w:p>
      <w:pPr>
        <w:ind w:firstLine="560"/>
        <w:spacing w:line="500" w:lineRule="exact"/>
        <w:rPr>
          <w:rFonts w:hint="eastAsia" w:ascii="仿宋" w:hAnsi="仿宋" w:eastAsia="仿宋" w:cs="仿宋"/>
          <w:bCs/>
          <w:color w:val="auto"/>
          <w:sz w:val="28"/>
          <w:szCs w:val="28"/>
          <w:highlight w:val="none"/>
          <w:lang w:bidi="ar"/>
        </w:rPr>
      </w:pPr>
      <w:r/>
      <w:bookmarkStart w:id="42" w:name="_Toc14031"/>
      <w:r>
        <w:rPr>
          <w:rFonts w:hint="eastAsia" w:ascii="仿宋" w:hAnsi="仿宋" w:eastAsia="仿宋" w:cs="仿宋"/>
          <w:bCs/>
          <w:color w:val="auto"/>
          <w:sz w:val="28"/>
          <w:szCs w:val="28"/>
          <w:highlight w:val="none"/>
          <w:lang w:bidi="ar"/>
        </w:rPr>
        <w:t xml:space="preserve">（六）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bookmarkEnd w:id="42"/>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五、服务期限和地点</w:t>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bidi="ar"/>
        </w:rPr>
        <w:t xml:space="preserve">（一）</w:t>
      </w:r>
      <w:r>
        <w:rPr>
          <w:rFonts w:hint="eastAsia" w:ascii="仿宋" w:hAnsi="仿宋" w:eastAsia="仿宋"/>
          <w:color w:val="auto"/>
          <w:sz w:val="28"/>
          <w:szCs w:val="28"/>
          <w:highlight w:val="none"/>
        </w:rPr>
        <w:t xml:space="preserve">自合同签订之日起</w:t>
      </w:r>
      <w:r>
        <w:rPr>
          <w:rFonts w:hint="eastAsia" w:ascii="仿宋" w:hAnsi="仿宋" w:eastAsia="仿宋"/>
          <w:color w:val="auto"/>
          <w:sz w:val="28"/>
          <w:szCs w:val="28"/>
          <w:highlight w:val="none"/>
          <w:lang w:val="en-US" w:eastAsia="zh-CN"/>
        </w:rPr>
        <w:t xml:space="preserve">一年或</w:t>
      </w:r>
      <w:r>
        <w:rPr>
          <w:rFonts w:hint="eastAsia" w:ascii="仿宋" w:hAnsi="仿宋" w:eastAsia="仿宋"/>
          <w:color w:val="auto"/>
          <w:sz w:val="28"/>
          <w:szCs w:val="28"/>
          <w:highlight w:val="none"/>
        </w:rPr>
        <w:t xml:space="preserve">至项目</w:t>
      </w:r>
      <w:r>
        <w:rPr>
          <w:rFonts w:hint="eastAsia" w:ascii="仿宋" w:hAnsi="仿宋" w:eastAsia="仿宋"/>
          <w:color w:val="auto"/>
          <w:sz w:val="28"/>
          <w:szCs w:val="28"/>
          <w:highlight w:val="none"/>
          <w:lang w:val="en-US" w:eastAsia="zh-CN"/>
        </w:rPr>
        <w:t xml:space="preserve">结算总额</w:t>
      </w:r>
      <w:r>
        <w:rPr>
          <w:rFonts w:hint="eastAsia" w:ascii="仿宋" w:hAnsi="仿宋" w:eastAsia="仿宋"/>
          <w:color w:val="auto"/>
          <w:sz w:val="28"/>
          <w:szCs w:val="28"/>
          <w:highlight w:val="none"/>
        </w:rPr>
        <w:t xml:space="preserve">达到</w:t>
      </w:r>
      <w:r>
        <w:rPr>
          <w:rFonts w:hint="eastAsia" w:ascii="仿宋" w:hAnsi="仿宋" w:eastAsia="仿宋"/>
          <w:color w:val="auto"/>
          <w:sz w:val="28"/>
          <w:szCs w:val="28"/>
          <w:highlight w:val="none"/>
          <w:lang w:val="en-US" w:eastAsia="zh-CN"/>
        </w:rPr>
        <w:t xml:space="preserve">50</w:t>
      </w:r>
      <w:r>
        <w:rPr>
          <w:rFonts w:hint="eastAsia" w:ascii="仿宋" w:hAnsi="仿宋" w:eastAsia="仿宋"/>
          <w:color w:val="auto"/>
          <w:sz w:val="28"/>
          <w:szCs w:val="28"/>
          <w:highlight w:val="none"/>
        </w:rPr>
        <w:t xml:space="preserve">万元合同解除，具体时间以采购人通知为准。</w:t>
      </w:r>
      <w:r/>
    </w:p>
    <w:p>
      <w:pPr>
        <w:ind w:firstLine="560"/>
        <w:spacing w:line="500" w:lineRule="exact"/>
        <w:rPr>
          <w:rFonts w:hint="eastAsia" w:ascii="仿宋" w:hAnsi="仿宋" w:eastAsia="仿宋" w:cs="仿宋"/>
          <w:bCs/>
          <w:color w:val="auto"/>
          <w:sz w:val="28"/>
          <w:szCs w:val="28"/>
          <w:highlight w:val="none"/>
          <w:lang w:bidi="ar"/>
        </w:rPr>
      </w:pPr>
      <w:r>
        <w:rPr>
          <w:rFonts w:hint="eastAsia" w:ascii="仿宋" w:hAnsi="仿宋" w:eastAsia="仿宋" w:cs="仿宋"/>
          <w:bCs/>
          <w:color w:val="auto"/>
          <w:sz w:val="28"/>
          <w:szCs w:val="28"/>
          <w:highlight w:val="none"/>
          <w:lang w:bidi="ar"/>
        </w:rPr>
        <w:t xml:space="preserve">（二）服务地点：采购人指定地点。</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六、验收或者考核方案</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符合国家、江苏省现行规定标准，做到及时、科学、准确。</w:t>
      </w:r>
      <w:r/>
    </w:p>
    <w:p>
      <w:pPr>
        <w:ind w:firstLine="560"/>
        <w:spacing w:line="500" w:lineRule="exact"/>
        <w:rPr>
          <w:rFonts w:ascii="仿宋" w:hAnsi="仿宋" w:eastAsia="仿宋"/>
          <w:color w:val="auto"/>
          <w:sz w:val="28"/>
          <w:szCs w:val="28"/>
          <w:highlight w:val="none"/>
        </w:rPr>
        <w:outlineLvl w:val="0"/>
      </w:pPr>
      <w:r>
        <w:rPr>
          <w:rFonts w:hint="eastAsia" w:ascii="仿宋" w:hAnsi="仿宋" w:eastAsia="仿宋" w:cs="仿宋"/>
          <w:color w:val="auto"/>
          <w:sz w:val="28"/>
          <w:szCs w:val="28"/>
          <w:highlight w:val="none"/>
          <w:lang w:bidi="ar"/>
        </w:rPr>
        <w:t xml:space="preserve">采购人负责对各阶段成果进行审查，承接单位负责审查所必需的汇报资料和进行方案介绍。承接单位需配合制作本项目各阶段向上级领导专题汇报、会议汇报和对外交流等材料。</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七、付款方式</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根据实际工作量（以业主签字确认的工作量清单作为依据），按照合同约定的收费标准，在农历年底前根据结算的费用一次性付清。每次支付前，成交人均应出具在税务部门开具的正式税票。</w:t>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、其他要求</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rPr>
        <w:t xml:space="preserve">（一）报价要求：</w:t>
      </w:r>
      <w:r>
        <w:rPr>
          <w:rFonts w:hint="eastAsia" w:ascii="仿宋" w:hAnsi="仿宋" w:eastAsia="仿宋"/>
          <w:color w:val="auto"/>
          <w:sz w:val="28"/>
          <w:szCs w:val="28"/>
          <w:highlight w:val="none"/>
        </w:rPr>
        <w:t xml:space="preserve">根据《</w:t>
      </w:r>
      <w:r>
        <w:rPr>
          <w:rFonts w:hint="eastAsia" w:ascii="仿宋" w:hAnsi="仿宋" w:eastAsia="仿宋" w:cs="仿宋"/>
          <w:color w:val="auto"/>
          <w:sz w:val="28"/>
          <w:szCs w:val="28"/>
          <w:highlight w:val="none"/>
          <w:shd w:val="clear" w:color="auto" w:fill="ffffff"/>
          <w:lang w:val="en-US" w:eastAsia="zh-CN"/>
        </w:rPr>
        <w:t xml:space="preserve">测绘生产成本费用定额</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及有关细则的通知</w:t>
      </w:r>
      <w:r>
        <w:rPr>
          <w:rFonts w:hint="eastAsia" w:ascii="仿宋" w:hAnsi="仿宋" w:eastAsia="仿宋"/>
          <w:color w:val="auto"/>
          <w:sz w:val="28"/>
          <w:szCs w:val="28"/>
          <w:highlight w:val="none"/>
        </w:rPr>
        <w:t xml:space="preserve">（财建〔2009〕17号）的收费指导价计费，响应供应商所</w:t>
      </w:r>
      <w:r>
        <w:rPr>
          <w:rFonts w:hint="eastAsia" w:ascii="仿宋" w:hAnsi="仿宋" w:eastAsia="仿宋"/>
          <w:color w:val="auto"/>
          <w:sz w:val="28"/>
          <w:szCs w:val="28"/>
          <w:highlight w:val="none"/>
          <w:lang w:val="en-US" w:eastAsia="zh-CN"/>
        </w:rPr>
        <w:t xml:space="preserve">报优惠</w:t>
      </w:r>
      <w:r>
        <w:rPr>
          <w:rFonts w:hint="eastAsia" w:ascii="仿宋" w:hAnsi="仿宋" w:eastAsia="仿宋"/>
          <w:color w:val="auto"/>
          <w:sz w:val="28"/>
          <w:szCs w:val="28"/>
          <w:highlight w:val="none"/>
        </w:rPr>
        <w:t xml:space="preserve">率不得</w:t>
      </w:r>
      <w:r>
        <w:rPr>
          <w:rFonts w:hint="eastAsia" w:ascii="仿宋" w:hAnsi="仿宋" w:eastAsia="仿宋"/>
          <w:color w:val="auto"/>
          <w:sz w:val="28"/>
          <w:szCs w:val="28"/>
          <w:highlight w:val="none"/>
          <w:lang w:val="en-US" w:eastAsia="zh-CN"/>
        </w:rPr>
        <w:t xml:space="preserve">低于</w:t>
      </w:r>
      <w:r>
        <w:rPr>
          <w:rFonts w:hint="eastAsia" w:ascii="仿宋" w:hAnsi="仿宋" w:eastAsia="仿宋"/>
          <w:color w:val="auto"/>
          <w:sz w:val="28"/>
          <w:szCs w:val="28"/>
          <w:highlight w:val="none"/>
        </w:rPr>
        <w:t xml:space="preserve">收费指导价的</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%，最终按实际工作量*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1-优惠率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进行结算，结算总额不超过</w:t>
      </w:r>
      <w:r>
        <w:rPr>
          <w:rFonts w:hint="eastAsia" w:ascii="仿宋" w:hAnsi="仿宋" w:eastAsia="仿宋"/>
          <w:color w:val="auto"/>
          <w:sz w:val="28"/>
          <w:szCs w:val="28"/>
          <w:highlight w:val="none"/>
          <w:lang w:val="en-US" w:eastAsia="zh-CN"/>
        </w:rPr>
        <w:t xml:space="preserve">50</w:t>
      </w:r>
      <w:r>
        <w:rPr>
          <w:rFonts w:hint="eastAsia" w:ascii="仿宋" w:hAnsi="仿宋" w:eastAsia="仿宋"/>
          <w:color w:val="auto"/>
          <w:sz w:val="28"/>
          <w:szCs w:val="28"/>
          <w:highlight w:val="none"/>
        </w:rPr>
        <w:t xml:space="preserve">万元，所报</w:t>
      </w:r>
      <w:r>
        <w:rPr>
          <w:rFonts w:hint="eastAsia" w:ascii="仿宋" w:hAnsi="仿宋" w:eastAsia="仿宋"/>
          <w:color w:val="auto"/>
          <w:sz w:val="28"/>
          <w:szCs w:val="28"/>
          <w:highlight w:val="none"/>
          <w:lang w:val="en-US" w:eastAsia="zh-CN"/>
        </w:rPr>
        <w:t xml:space="preserve">优惠率低于</w:t>
      </w:r>
      <w:r>
        <w:rPr>
          <w:rFonts w:hint="eastAsia" w:ascii="仿宋" w:hAnsi="仿宋" w:eastAsia="仿宋"/>
          <w:color w:val="auto"/>
          <w:sz w:val="28"/>
          <w:szCs w:val="28"/>
          <w:highlight w:val="none"/>
        </w:rPr>
        <w:t xml:space="preserve">最</w:t>
      </w:r>
      <w:r>
        <w:rPr>
          <w:rFonts w:hint="eastAsia" w:ascii="仿宋" w:hAnsi="仿宋" w:eastAsia="仿宋"/>
          <w:color w:val="auto"/>
          <w:sz w:val="28"/>
          <w:szCs w:val="28"/>
          <w:highlight w:val="none"/>
          <w:lang w:val="en-US" w:eastAsia="zh-CN"/>
        </w:rPr>
        <w:t xml:space="preserve">低优惠率</w:t>
      </w:r>
      <w:r>
        <w:rPr>
          <w:rFonts w:hint="eastAsia" w:ascii="仿宋" w:hAnsi="仿宋" w:eastAsia="仿宋"/>
          <w:color w:val="auto"/>
          <w:sz w:val="28"/>
          <w:szCs w:val="28"/>
          <w:highlight w:val="none"/>
        </w:rPr>
        <w:t xml:space="preserve">为无效响应。响应供应</w:t>
      </w:r>
      <w:r>
        <w:rPr>
          <w:rFonts w:hint="eastAsia" w:ascii="仿宋" w:hAnsi="仿宋" w:eastAsia="仿宋" w:cs="仿宋"/>
          <w:color w:val="auto"/>
          <w:sz w:val="28"/>
          <w:szCs w:val="28"/>
          <w:highlight w:val="none"/>
          <w:lang w:bidi="ar"/>
        </w:rPr>
        <w:t xml:space="preserve">商报价应包含本项目所含直接成本、间接成本、税费、代理服务费等一切与之相关费用。</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二）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p>
      <w:pPr>
        <w:pStyle w:val="893"/>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第4章 合同文本</w:t>
      </w:r>
      <w:r/>
    </w:p>
    <w:p>
      <w:pPr>
        <w:jc w:val="center"/>
        <w:spacing w:before="19"/>
        <w:widowControl/>
        <w:rPr>
          <w:rFonts w:hint="eastAsia"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28"/>
          <w:szCs w:val="28"/>
          <w:highlight w:val="none"/>
          <w:lang w:eastAsia="zh-CN"/>
        </w:rPr>
        <w:t xml:space="preserve">2025年东陈镇测绘服务采购</w:t>
      </w:r>
      <w:r/>
    </w:p>
    <w:p>
      <w:pPr>
        <w:ind w:firstLine="640"/>
        <w:rPr>
          <w:rFonts w:hint="eastAsia" w:ascii="仿宋" w:hAnsi="仿宋" w:eastAsia="仿宋"/>
          <w:color w:val="auto"/>
          <w:sz w:val="32"/>
          <w:szCs w:val="32"/>
          <w:highlight w:val="none"/>
          <w:u w:val="single"/>
          <w:lang w:eastAsia="zh-CN"/>
        </w:rPr>
      </w:pPr>
      <w:r>
        <w:rPr>
          <w:rFonts w:hint="eastAsia" w:ascii="仿宋" w:hAnsi="仿宋" w:eastAsia="仿宋"/>
          <w:color w:val="auto"/>
          <w:sz w:val="32"/>
          <w:szCs w:val="32"/>
          <w:highlight w:val="none"/>
        </w:rPr>
        <w:t xml:space="preserve">项目编号：</w:t>
      </w:r>
      <w:r>
        <w:rPr>
          <w:rFonts w:hint="eastAsia" w:ascii="仿宋" w:hAnsi="仿宋" w:eastAsia="仿宋"/>
          <w:color w:val="auto"/>
          <w:sz w:val="32"/>
          <w:szCs w:val="32"/>
          <w:highlight w:val="none"/>
          <w:lang w:eastAsia="zh-CN"/>
        </w:rPr>
        <w:t xml:space="preserve">JSZC-320682-NTJW-C2025-0080</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甲方：</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乙方：</w:t>
      </w:r>
      <w:r/>
    </w:p>
    <w:p>
      <w:pPr>
        <w:rPr>
          <w:rFonts w:ascii="仿宋_GB2312" w:hAnsi="宋体" w:eastAsia="仿宋_GB2312"/>
          <w:color w:val="auto"/>
          <w:sz w:val="32"/>
          <w:szCs w:val="32"/>
          <w:highlight w:val="none"/>
        </w:rPr>
      </w:pPr>
      <w:r>
        <w:rPr>
          <w:rFonts w:ascii="仿宋_GB2312" w:hAnsi="宋体" w:eastAsia="仿宋_GB2312"/>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（甲方）（××项目）委托（代理机构名称，如有）进行了政府采购。按照评委会评审推荐、甲方确定乙方为成交单位。现甲乙双方协商同意签订本合同。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1.（××号）采购文件；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2.竞争性磋商响应文件；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3.乙方在参加采购活动时的书面承诺；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4.（××号）中标（成交）通知书；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5.合同补充条款或说明；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6.保密协议或条款；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7.相关附件、图纸及电子版资料。</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第二条  合同内容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服务名称：详见合同附件中《服务一览表》  </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第三条  合同总金额</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本合同服务总金额：￥元。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大写：元。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分项价款在《服务一览表》中有明确规定。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本合同总价款包括服务期间必须的日常易耗品、工具、调试费、培训费等相关费用。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第四条  权利义务和质量保证</w:t>
      </w:r>
      <w:r/>
    </w:p>
    <w:p>
      <w:pPr>
        <w:pStyle w:val="869"/>
        <w:ind w:firstLine="480"/>
        <w:spacing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69"/>
        <w:ind w:firstLine="480"/>
        <w:spacing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第五条  付款方式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2.乙方向甲方提交下列文件材料，经甲方审核无误后支付采购资金：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（1）经甲方确认的发票；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（2）经甲乙双方确认签订的《验收报告》（或按项目进度阶段性《验收报告》）；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（3）其他材料。</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3.根据实际工作量（以业主签字确认的工作量清单作为依据），按照合同约定的收费标准，在农历年底前根据结算的费用一次性付清。每次支付前，成交人均应出具在税务部门开具的正式税票。</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1.服务期限：  至 。</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服务地点： 。</w:t>
      </w:r>
      <w:r/>
    </w:p>
    <w:p>
      <w:pPr>
        <w:ind w:firstLine="720"/>
        <w:rPr>
          <w:rFonts w:ascii="仿宋" w:hAnsi="仿宋" w:eastAsia="仿宋"/>
          <w:color w:val="auto"/>
          <w:sz w:val="24"/>
          <w:highlight w:val="none"/>
          <w:u w:val="single"/>
        </w:rPr>
      </w:pPr>
      <w:r>
        <w:rPr>
          <w:rFonts w:hint="eastAsia" w:ascii="仿宋" w:hAnsi="仿宋" w:eastAsia="仿宋"/>
          <w:color w:val="auto"/>
          <w:sz w:val="24"/>
          <w:highlight w:val="none"/>
        </w:rPr>
        <w:t xml:space="preserve">验收时间： 。</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验收地点： 。</w:t>
      </w:r>
      <w:r/>
    </w:p>
    <w:p>
      <w:pPr>
        <w:pStyle w:val="869"/>
        <w:ind w:firstLine="480"/>
        <w:spacing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5.如项目实施情况需要分阶段验收，则根据实际情况分阶段出具《履约验收报告》。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第七条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72"/>
        <w:rPr>
          <w:rFonts w:ascii="仿宋" w:hAnsi="仿宋" w:eastAsia="仿宋"/>
          <w:b/>
          <w:color w:val="auto"/>
          <w:sz w:val="24"/>
          <w:highlight w:val="none"/>
        </w:rPr>
      </w:pPr>
      <w:r>
        <w:rPr>
          <w:rFonts w:hint="eastAsia" w:ascii="仿宋" w:hAnsi="仿宋" w:eastAsia="仿宋"/>
          <w:b/>
          <w:color w:val="auto"/>
          <w:sz w:val="24"/>
          <w:highlight w:val="none"/>
        </w:rPr>
        <w:t xml:space="preserve">第八条  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2.服务期内，乙方应提供相关服务支持。对甲方所反映的任何服务问题在</w:t>
      </w:r>
      <w:r>
        <w:rPr>
          <w:rFonts w:hint="eastAsia" w:ascii="仿宋" w:hAnsi="仿宋" w:eastAsia="仿宋"/>
          <w:color w:val="auto"/>
          <w:sz w:val="24"/>
          <w:highlight w:val="none"/>
          <w:u w:val="single"/>
        </w:rPr>
        <w:t xml:space="preserve">××</w:t>
      </w:r>
      <w:r>
        <w:rPr>
          <w:rFonts w:hint="eastAsia" w:ascii="仿宋" w:hAnsi="仿宋" w:eastAsia="仿宋"/>
          <w:color w:val="auto"/>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第九条  分包</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第十条  合同的生效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1.本合同经甲乙双方授权代表签字并加盖公章或合同专用章后生效。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2.生效后，除《政府采购法》第49条、第50条第二款规定的情形外，甲乙双方不得擅自变更、中止或终止合同。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第十一条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服务成果</w:t>
      </w:r>
      <w:r>
        <w:rPr>
          <w:rFonts w:ascii="仿宋" w:hAnsi="仿宋" w:eastAsia="仿宋"/>
          <w:color w:val="auto"/>
          <w:sz w:val="24"/>
          <w:highlight w:val="none"/>
        </w:rPr>
        <w:t xml:space="preserve">不符合</w:t>
      </w:r>
      <w:r>
        <w:rPr>
          <w:rFonts w:hint="eastAsia" w:ascii="仿宋" w:hAnsi="仿宋" w:eastAsia="仿宋"/>
          <w:color w:val="auto"/>
          <w:sz w:val="24"/>
          <w:highlight w:val="none"/>
        </w:rPr>
        <w:t xml:space="preserve">本</w:t>
      </w:r>
      <w:r>
        <w:rPr>
          <w:rFonts w:ascii="仿宋" w:hAnsi="仿宋" w:eastAsia="仿宋"/>
          <w:color w:val="auto"/>
          <w:sz w:val="24"/>
          <w:highlight w:val="none"/>
        </w:rPr>
        <w:t xml:space="preserve">合同规定的，甲方有权拒收</w:t>
      </w:r>
      <w:r>
        <w:rPr>
          <w:rFonts w:hint="eastAsia" w:ascii="仿宋" w:hAnsi="仿宋" w:eastAsia="仿宋"/>
          <w:color w:val="auto"/>
          <w:sz w:val="24"/>
          <w:highlight w:val="none"/>
        </w:rPr>
        <w:t xml:space="preserve">，乙方在得到甲方通知之日起个工作日内采取补救措施，逾期仍未采取有效措施的，乙方应向甲方支付合同总价％的违约金。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2.甲方无正当理由拒绝接收服务，甲方应向乙方偿付拒付服务费用 ％的违约金。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乙方无正当理由逾期</w:t>
      </w:r>
      <w:r>
        <w:rPr>
          <w:rFonts w:hint="eastAsia" w:ascii="仿宋" w:hAnsi="仿宋" w:eastAsia="仿宋"/>
          <w:color w:val="auto"/>
          <w:sz w:val="24"/>
          <w:highlight w:val="none"/>
        </w:rPr>
        <w:t xml:space="preserve">提供服务</w:t>
      </w:r>
      <w:r>
        <w:rPr>
          <w:rFonts w:ascii="仿宋" w:hAnsi="仿宋" w:eastAsia="仿宋"/>
          <w:color w:val="auto"/>
          <w:sz w:val="24"/>
          <w:highlight w:val="none"/>
        </w:rPr>
        <w:t xml:space="preserve">的，每逾期1天，乙方向甲方偿付</w:t>
      </w:r>
      <w:r>
        <w:rPr>
          <w:rFonts w:hint="eastAsia" w:ascii="仿宋" w:hAnsi="仿宋" w:eastAsia="仿宋"/>
          <w:color w:val="auto"/>
          <w:sz w:val="24"/>
          <w:highlight w:val="none"/>
        </w:rPr>
        <w:t xml:space="preserve">合同</w:t>
      </w:r>
      <w:r>
        <w:rPr>
          <w:rFonts w:ascii="仿宋" w:hAnsi="仿宋" w:eastAsia="仿宋"/>
          <w:color w:val="auto"/>
          <w:sz w:val="24"/>
          <w:highlight w:val="none"/>
        </w:rPr>
        <w:t xml:space="preserve">总额的‰的</w:t>
      </w:r>
      <w:r>
        <w:rPr>
          <w:rFonts w:hint="eastAsia" w:ascii="仿宋" w:hAnsi="仿宋" w:eastAsia="仿宋"/>
          <w:color w:val="auto"/>
          <w:sz w:val="24"/>
          <w:highlight w:val="none"/>
        </w:rPr>
        <w:t xml:space="preserve">违约</w:t>
      </w:r>
      <w:r>
        <w:rPr>
          <w:rFonts w:ascii="仿宋" w:hAnsi="仿宋" w:eastAsia="仿宋"/>
          <w:color w:val="auto"/>
          <w:sz w:val="24"/>
          <w:highlight w:val="none"/>
        </w:rPr>
        <w:t xml:space="preserve">金</w:t>
      </w:r>
      <w:r>
        <w:rPr>
          <w:rFonts w:hint="eastAsia" w:ascii="仿宋" w:hAnsi="仿宋" w:eastAsia="仿宋"/>
          <w:color w:val="auto"/>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5.其它未尽事宜，以《民法典》和《政府采购法》等有关法律法规规定为准，无相关规定的，双方协商解决。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第十三条  不可抗力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第十四条  争议的解决方式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2.在解释或者执行本合同的过程中发生争议时，双方应通过协商方式解决。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3.经协商不能解决的争议，双方可选择以下第种方式解决：</w:t>
      </w:r>
      <w:r/>
    </w:p>
    <w:p>
      <w:pPr>
        <w:ind w:firstLine="480"/>
        <w:rPr>
          <w:rFonts w:ascii="仿宋" w:hAnsi="仿宋" w:eastAsia="仿宋"/>
          <w:color w:val="auto"/>
          <w:sz w:val="24"/>
          <w:highlight w:val="none"/>
        </w:rPr>
      </w:pPr>
      <w:r>
        <w:rPr>
          <w:rFonts w:hint="eastAsia" w:ascii="仿宋" w:hAnsi="仿宋" w:eastAsia="仿宋" w:cs="仿宋_GB2312"/>
          <w:color w:val="auto"/>
          <w:sz w:val="24"/>
          <w:highlight w:val="none"/>
        </w:rPr>
        <w:t xml:space="preserve">①</w:t>
      </w:r>
      <w:r>
        <w:rPr>
          <w:rFonts w:hint="eastAsia" w:ascii="仿宋" w:hAnsi="仿宋" w:eastAsia="仿宋"/>
          <w:color w:val="auto"/>
          <w:sz w:val="24"/>
          <w:highlight w:val="none"/>
        </w:rPr>
        <w:t xml:space="preserve">向南通市有管辖权的法院提起诉讼；</w:t>
      </w:r>
      <w:r/>
    </w:p>
    <w:p>
      <w:pPr>
        <w:ind w:firstLine="480"/>
        <w:rPr>
          <w:rFonts w:ascii="仿宋" w:hAnsi="仿宋" w:eastAsia="仿宋"/>
          <w:color w:val="auto"/>
          <w:sz w:val="24"/>
          <w:highlight w:val="none"/>
        </w:rPr>
      </w:pPr>
      <w:r>
        <w:rPr>
          <w:rFonts w:hint="eastAsia" w:ascii="仿宋" w:hAnsi="仿宋" w:eastAsia="仿宋" w:cs="仿宋_GB2312"/>
          <w:color w:val="auto"/>
          <w:sz w:val="24"/>
          <w:highlight w:val="none"/>
        </w:rPr>
        <w:t xml:space="preserve">②</w:t>
      </w:r>
      <w:r>
        <w:rPr>
          <w:rFonts w:hint="eastAsia" w:ascii="仿宋" w:hAnsi="仿宋" w:eastAsia="仿宋"/>
          <w:color w:val="auto"/>
          <w:sz w:val="24"/>
          <w:highlight w:val="none"/>
        </w:rPr>
        <w:t xml:space="preserve">向南通市仲裁委员会提出仲裁。</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第十五条  其他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本合同一式份，甲、乙双方各执份。</w:t>
      </w:r>
      <w:r/>
    </w:p>
    <w:p>
      <w:pPr>
        <w:ind w:firstLine="480"/>
        <w:rPr>
          <w:rFonts w:ascii="仿宋" w:hAnsi="仿宋" w:eastAsia="仿宋"/>
          <w:color w:val="auto"/>
          <w:sz w:val="24"/>
          <w:highlight w:val="none"/>
        </w:rPr>
      </w:pPr>
      <w:r>
        <w:rPr>
          <w:rFonts w:ascii="仿宋" w:hAnsi="仿宋" w:eastAsia="仿宋"/>
          <w:color w:val="auto"/>
          <w:sz w:val="24"/>
          <w:highlight w:val="none"/>
        </w:rPr>
      </w:r>
      <w:r/>
    </w:p>
    <w:tbl>
      <w:tblPr>
        <w:tblStyle w:val="86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ind w:firstLine="480"/>
        <w:rPr>
          <w:rFonts w:ascii="仿宋_GB2312" w:hAnsi="宋体" w:eastAsia="仿宋_GB2312"/>
          <w:color w:val="auto"/>
          <w:sz w:val="24"/>
          <w:highlight w:val="none"/>
        </w:rPr>
      </w:pPr>
      <w:r>
        <w:rPr>
          <w:rFonts w:ascii="仿宋_GB2312" w:hAnsi="宋体" w:eastAsia="仿宋_GB2312"/>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附件</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服务明细项目一览表</w:t>
      </w:r>
      <w:r/>
    </w:p>
    <w:tbl>
      <w:tblPr>
        <w:tblStyle w:val="8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1270"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服务名称</w:t>
            </w:r>
            <w:r/>
          </w:p>
        </w:tc>
        <w:tc>
          <w:tcPr>
            <w:tcW w:w="2574"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服务内容</w:t>
            </w:r>
            <w:r/>
          </w:p>
        </w:tc>
        <w:tc>
          <w:tcPr>
            <w:tcW w:w="494"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计量单位</w:t>
            </w:r>
            <w:r/>
          </w:p>
        </w:tc>
        <w:tc>
          <w:tcPr>
            <w:tcW w:w="494"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工作量</w:t>
            </w:r>
            <w:r/>
          </w:p>
        </w:tc>
        <w:tc>
          <w:tcPr>
            <w:tcW w:w="856"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 价</w:t>
            </w:r>
            <w:r/>
          </w:p>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903"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总 价</w:t>
            </w:r>
            <w:r/>
          </w:p>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1232"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（视明细项目加行）</w:t>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jc w:val="center"/>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易耗品</w:t>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专用工具</w:t>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调试费</w:t>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培训费</w:t>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W w:w="903"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9"/>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gridSpan w:val="8"/>
            <w:tcW w:w="8522" w:type="dxa"/>
            <w:textDirection w:val="lrTb"/>
            <w:noWrap w:val="false"/>
          </w:tcPr>
          <w:p>
            <w:pPr>
              <w:pStyle w:val="869"/>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大写：                                           合同价：      元</w:t>
            </w:r>
            <w:r/>
          </w:p>
        </w:tc>
      </w:tr>
    </w:tbl>
    <w:p>
      <w:pPr>
        <w:pStyle w:val="893"/>
        <w:ind w:firstLine="560"/>
        <w:spacing w:line="24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3"/>
        <w:ind w:firstLine="0"/>
        <w:jc w:val="center"/>
        <w:spacing w:line="240" w:lineRule="auto"/>
        <w:rPr>
          <w:b/>
          <w:color w:val="auto"/>
          <w:highlight w:val="none"/>
        </w:rPr>
      </w:pPr>
      <w:r>
        <w:rPr>
          <w:rFonts w:ascii="黑体" w:hAnsi="黑体" w:eastAsia="黑体"/>
          <w:color w:val="auto"/>
          <w:sz w:val="28"/>
          <w:szCs w:val="28"/>
          <w:highlight w:val="none"/>
        </w:rPr>
        <w:br w:type="page" w:clear="all"/>
      </w:r>
      <w:r>
        <w:rPr>
          <w:rFonts w:hint="eastAsia" w:ascii="方正小标宋简体" w:eastAsia="方正小标宋简体"/>
          <w:bCs/>
          <w:color w:val="auto"/>
          <w:sz w:val="32"/>
          <w:szCs w:val="32"/>
          <w:highlight w:val="none"/>
        </w:rPr>
        <w:t xml:space="preserve">第5章 评审标准和方法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评分表范本</w:t>
      </w:r>
      <w:r/>
    </w:p>
    <w:tbl>
      <w:tblPr>
        <w:tblStyle w:val="862"/>
        <w:tblW w:w="95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43"/>
        <w:gridCol w:w="1579"/>
        <w:gridCol w:w="750"/>
        <w:gridCol w:w="6637"/>
      </w:tblGrid>
      <w:tr>
        <w:trPr>
          <w:jc w:val="center"/>
          <w:trHeight w:val="420"/>
        </w:trPr>
        <w:tc>
          <w:tcPr>
            <w:tcW w:w="543" w:type="dxa"/>
            <w:vAlign w:val="center"/>
            <w:textDirection w:val="lrTb"/>
            <w:noWrap w:val="false"/>
          </w:tcPr>
          <w:p>
            <w:pPr>
              <w:jc w:val="center"/>
              <w:rPr>
                <w:rFonts w:ascii="仿宋" w:hAnsi="仿宋" w:eastAsia="仿宋" w:cs="Times New Roman"/>
                <w:color w:val="auto"/>
                <w:sz w:val="24"/>
                <w:highlight w:val="none"/>
              </w:rPr>
            </w:pPr>
            <w:r/>
            <w:bookmarkStart w:id="43" w:name="_GoBack"/>
            <w:r>
              <w:rPr>
                <w:rFonts w:hint="eastAsia" w:ascii="仿宋" w:hAnsi="仿宋" w:eastAsia="仿宋" w:cs="Times New Roman"/>
                <w:color w:val="auto"/>
                <w:sz w:val="24"/>
                <w:highlight w:val="none"/>
              </w:rPr>
              <w:t xml:space="preserve">序号</w:t>
            </w:r>
            <w:r/>
          </w:p>
        </w:tc>
        <w:tc>
          <w:tcPr>
            <w:tcW w:w="1579"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评审因素</w:t>
            </w:r>
            <w:r/>
          </w:p>
        </w:tc>
        <w:tc>
          <w:tcPr>
            <w:tcW w:w="750"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分值</w:t>
            </w:r>
            <w:r/>
          </w:p>
        </w:tc>
        <w:tc>
          <w:tcPr>
            <w:tcW w:w="6637"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评审要求或标准</w:t>
            </w:r>
            <w:r/>
          </w:p>
        </w:tc>
      </w:tr>
      <w:tr>
        <w:trPr>
          <w:jc w:val="center"/>
          <w:trHeight w:val="1288"/>
        </w:trPr>
        <w:tc>
          <w:tcPr>
            <w:tcBorders>
              <w:bottom w:val="single" w:color="auto" w:sz="4" w:space="0"/>
            </w:tcBorders>
            <w:tcW w:w="543" w:type="dxa"/>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w:t>
            </w:r>
            <w:r/>
          </w:p>
        </w:tc>
        <w:tc>
          <w:tcPr>
            <w:tcBorders>
              <w:bottom w:val="single" w:color="auto" w:sz="4" w:space="0"/>
            </w:tcBorders>
            <w:tcW w:w="1579"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仿宋"/>
                <w:color w:val="auto"/>
                <w:spacing w:val="-6"/>
                <w:sz w:val="24"/>
                <w:highlight w:val="none"/>
                <w:lang w:val="zh-CN" w:bidi="zh-CN"/>
              </w:rPr>
              <w:t xml:space="preserve">项目管理</w:t>
            </w:r>
            <w:r/>
          </w:p>
        </w:tc>
        <w:tc>
          <w:tcPr>
            <w:tcBorders>
              <w:bottom w:val="single" w:color="auto" w:sz="4" w:space="0"/>
            </w:tcBorders>
            <w:tcW w:w="750"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仿宋"/>
                <w:color w:val="auto"/>
                <w:sz w:val="24"/>
                <w:szCs w:val="24"/>
                <w:highlight w:val="none"/>
                <w:lang w:val="en-US" w:eastAsia="zh-CN"/>
              </w:rPr>
              <w:t xml:space="preserve">5</w:t>
            </w:r>
            <w:r/>
          </w:p>
        </w:tc>
        <w:tc>
          <w:tcPr>
            <w:tcBorders>
              <w:bottom w:val="single" w:color="auto" w:sz="4" w:space="0"/>
            </w:tcBorders>
            <w:tcW w:w="6637" w:type="dxa"/>
            <w:vAlign w:val="center"/>
            <w:textDirection w:val="lrTb"/>
            <w:noWrap w:val="false"/>
          </w:tcPr>
          <w:p>
            <w:pPr>
              <w:jc w:val="left"/>
              <w:spacing w:line="280" w:lineRule="exact"/>
              <w:rPr>
                <w:rFonts w:hint="eastAsia" w:ascii="仿宋" w:hAnsi="仿宋" w:eastAsia="仿宋" w:cs="宋体"/>
                <w:color w:val="auto"/>
                <w:sz w:val="22"/>
                <w:szCs w:val="22"/>
                <w:highlight w:val="none"/>
              </w:rPr>
            </w:pPr>
            <w:r>
              <w:rPr>
                <w:rFonts w:hint="eastAsia" w:ascii="仿宋" w:hAnsi="仿宋" w:eastAsia="仿宋" w:cs="仿宋"/>
                <w:color w:val="auto"/>
                <w:spacing w:val="-6"/>
                <w:sz w:val="24"/>
                <w:highlight w:val="none"/>
                <w:lang w:val="en-US" w:bidi="zh-CN"/>
              </w:rPr>
              <w:t xml:space="preserve">提</w:t>
            </w:r>
            <w:r>
              <w:rPr>
                <w:rFonts w:hint="eastAsia" w:ascii="仿宋" w:hAnsi="仿宋" w:eastAsia="仿宋" w:cs="仿宋"/>
                <w:color w:val="auto"/>
                <w:sz w:val="24"/>
                <w:szCs w:val="24"/>
                <w:highlight w:val="none"/>
                <w:lang w:val="en-US" w:eastAsia="zh-CN"/>
              </w:rPr>
              <w:t xml:space="preserve">供</w:t>
            </w:r>
            <w:r>
              <w:rPr>
                <w:rFonts w:hint="eastAsia" w:ascii="仿宋" w:hAnsi="仿宋" w:eastAsia="仿宋" w:cs="仿宋"/>
                <w:color w:val="auto"/>
                <w:sz w:val="24"/>
                <w:szCs w:val="24"/>
                <w:highlight w:val="none"/>
                <w:lang w:val="zh-CN" w:eastAsia="zh-CN"/>
              </w:rPr>
              <w:t xml:space="preserve">单位组织机构设置，</w:t>
            </w:r>
            <w:r>
              <w:rPr>
                <w:rFonts w:hint="eastAsia" w:ascii="仿宋" w:hAnsi="仿宋" w:eastAsia="仿宋" w:cs="仿宋"/>
                <w:color w:val="auto"/>
                <w:sz w:val="24"/>
                <w:szCs w:val="24"/>
                <w:highlight w:val="none"/>
                <w:lang w:val="en-US" w:eastAsia="zh-CN"/>
              </w:rPr>
              <w:t xml:space="preserve">包含：项目实际情况的分析、</w:t>
            </w:r>
            <w:r>
              <w:rPr>
                <w:rFonts w:hint="eastAsia" w:ascii="仿宋" w:hAnsi="仿宋" w:eastAsia="仿宋" w:cs="仿宋"/>
                <w:color w:val="auto"/>
                <w:sz w:val="24"/>
                <w:szCs w:val="24"/>
                <w:highlight w:val="none"/>
                <w:lang w:val="zh-CN" w:eastAsia="zh-CN"/>
              </w:rPr>
              <w:t xml:space="preserve">各项制度是否健全、责任分工是否明确、是否成立调查项目组织、人员投入等情况。</w:t>
            </w:r>
            <w:r>
              <w:rPr>
                <w:rFonts w:hint="eastAsia" w:ascii="仿宋" w:hAnsi="仿宋" w:eastAsia="仿宋" w:cs="仿宋"/>
                <w:color w:val="auto"/>
                <w:sz w:val="24"/>
                <w:szCs w:val="24"/>
                <w:highlight w:val="none"/>
                <w:lang w:val="en-US" w:eastAsia="zh-CN"/>
              </w:rPr>
              <w:t xml:space="preserve">上述内容每有一处需求分析内容存在缺陷或不足的扣1分，扣完为止。本项最高得5分</w:t>
            </w:r>
            <w:r>
              <w:rPr>
                <w:rFonts w:hint="eastAsia" w:ascii="仿宋" w:hAnsi="仿宋" w:eastAsia="仿宋" w:cs="宋体"/>
                <w:color w:val="auto"/>
                <w:sz w:val="22"/>
                <w:szCs w:val="22"/>
                <w:highlight w:val="none"/>
              </w:rPr>
              <w:t xml:space="preserve">。</w:t>
            </w:r>
            <w:r/>
          </w:p>
          <w:p>
            <w:pPr>
              <w:ind w:firstLine="241"/>
              <w:rPr>
                <w:rFonts w:hint="eastAsia" w:ascii="仿宋" w:hAnsi="仿宋" w:eastAsia="仿宋" w:cs="宋体"/>
                <w:color w:val="auto"/>
                <w:sz w:val="22"/>
                <w:szCs w:val="22"/>
                <w:highlight w:val="none"/>
                <w:lang w:eastAsia="zh-CN"/>
              </w:rPr>
            </w:pPr>
            <w:r>
              <w:rPr>
                <w:rFonts w:hint="eastAsia" w:ascii="仿宋" w:hAnsi="仿宋" w:eastAsia="仿宋" w:cs="仿宋"/>
                <w:b/>
                <w:color w:val="auto"/>
                <w:sz w:val="24"/>
                <w:highlight w:val="none"/>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hint="eastAsia" w:ascii="仿宋" w:hAnsi="仿宋" w:eastAsia="仿宋" w:cs="仿宋"/>
                <w:b/>
                <w:color w:val="auto"/>
                <w:sz w:val="24"/>
                <w:highlight w:val="none"/>
                <w:lang w:eastAsia="zh-CN"/>
              </w:rPr>
              <w:t xml:space="preserve">。</w:t>
            </w:r>
            <w:r/>
          </w:p>
        </w:tc>
      </w:tr>
      <w:tr>
        <w:trPr>
          <w:jc w:val="center"/>
          <w:trHeight w:val="642"/>
        </w:trPr>
        <w:tc>
          <w:tcPr>
            <w:tcBorders>
              <w:top w:val="single" w:color="auto" w:sz="4" w:space="0"/>
              <w:bottom w:val="single" w:color="auto" w:sz="4" w:space="0"/>
            </w:tcBorders>
            <w:tcW w:w="543" w:type="dxa"/>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w:t>
            </w:r>
            <w:r/>
          </w:p>
        </w:tc>
        <w:tc>
          <w:tcPr>
            <w:tcBorders>
              <w:top w:val="single" w:color="auto" w:sz="4" w:space="0"/>
              <w:bottom w:val="single" w:color="auto" w:sz="4" w:space="0"/>
            </w:tcBorders>
            <w:tcW w:w="1579"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仿宋"/>
                <w:color w:val="auto"/>
                <w:spacing w:val="-6"/>
                <w:sz w:val="24"/>
                <w:highlight w:val="none"/>
                <w:lang w:val="zh-CN" w:bidi="zh-CN"/>
              </w:rPr>
              <w:t xml:space="preserve">进度安排</w:t>
            </w:r>
            <w:r/>
          </w:p>
        </w:tc>
        <w:tc>
          <w:tcPr>
            <w:tcBorders>
              <w:top w:val="single" w:color="auto" w:sz="4" w:space="0"/>
              <w:bottom w:val="single" w:color="auto" w:sz="4" w:space="0"/>
            </w:tcBorders>
            <w:tcW w:w="750"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仿宋"/>
                <w:color w:val="auto"/>
                <w:spacing w:val="-6"/>
                <w:sz w:val="24"/>
                <w:highlight w:val="none"/>
                <w:lang w:val="en-US" w:eastAsia="zh-CN" w:bidi="zh-CN"/>
              </w:rPr>
              <w:t xml:space="preserve">5</w:t>
            </w:r>
            <w:r/>
          </w:p>
        </w:tc>
        <w:tc>
          <w:tcPr>
            <w:tcBorders>
              <w:top w:val="single" w:color="auto" w:sz="4" w:space="0"/>
              <w:bottom w:val="single" w:color="auto" w:sz="4" w:space="0"/>
            </w:tcBorders>
            <w:tcW w:w="6637" w:type="dxa"/>
            <w:vAlign w:val="center"/>
            <w:textDirection w:val="lrTb"/>
            <w:noWrap w:val="false"/>
          </w:tcPr>
          <w:p>
            <w:pPr>
              <w:jc w:val="left"/>
              <w:spacing w:line="280" w:lineRule="exact"/>
              <w:rPr>
                <w:rFonts w:hint="eastAsia" w:ascii="仿宋" w:hAnsi="仿宋" w:eastAsia="仿宋" w:cs="宋体"/>
                <w:color w:val="auto"/>
                <w:sz w:val="22"/>
                <w:szCs w:val="22"/>
                <w:highlight w:val="none"/>
              </w:rPr>
            </w:pPr>
            <w:r>
              <w:rPr>
                <w:rFonts w:hint="eastAsia" w:ascii="仿宋" w:hAnsi="仿宋" w:eastAsia="仿宋" w:cs="仿宋"/>
                <w:color w:val="auto"/>
                <w:spacing w:val="-6"/>
                <w:sz w:val="24"/>
                <w:highlight w:val="none"/>
                <w:lang w:val="en-US" w:bidi="zh-CN"/>
              </w:rPr>
              <w:t xml:space="preserve">须针对本项目提供进度安排方案，包含</w:t>
            </w:r>
            <w:r>
              <w:rPr>
                <w:rFonts w:hint="eastAsia" w:ascii="仿宋" w:hAnsi="仿宋" w:eastAsia="仿宋" w:cs="仿宋"/>
                <w:color w:val="auto"/>
                <w:spacing w:val="-6"/>
                <w:sz w:val="24"/>
                <w:highlight w:val="none"/>
                <w:lang w:val="zh-CN" w:bidi="zh-CN"/>
              </w:rPr>
              <w:t xml:space="preserve">对项目进度安排合理性、工作衔接、工序管理措施科学性、工期滞后弥补办法、突发情况应急办法</w:t>
            </w:r>
            <w:r>
              <w:rPr>
                <w:rFonts w:hint="eastAsia" w:ascii="仿宋" w:hAnsi="仿宋" w:eastAsia="仿宋" w:cs="仿宋"/>
                <w:color w:val="auto"/>
                <w:spacing w:val="-6"/>
                <w:sz w:val="24"/>
                <w:highlight w:val="none"/>
                <w:lang w:val="en-US" w:bidi="zh-CN"/>
              </w:rPr>
              <w:t xml:space="preserve">等。上述内容</w:t>
            </w:r>
            <w:r>
              <w:rPr>
                <w:rFonts w:hint="eastAsia" w:ascii="仿宋" w:hAnsi="仿宋" w:eastAsia="仿宋" w:cs="仿宋"/>
                <w:color w:val="auto"/>
                <w:sz w:val="24"/>
                <w:szCs w:val="24"/>
                <w:highlight w:val="none"/>
                <w:lang w:val="en-US" w:eastAsia="zh-CN"/>
              </w:rPr>
              <w:t xml:space="preserve">每有一处需求分析内容存在缺陷或不足的扣1分，扣完为止。本项最高得5分</w:t>
            </w:r>
            <w:r>
              <w:rPr>
                <w:rFonts w:hint="eastAsia" w:ascii="仿宋" w:hAnsi="仿宋" w:eastAsia="仿宋" w:cs="宋体"/>
                <w:color w:val="auto"/>
                <w:sz w:val="22"/>
                <w:szCs w:val="22"/>
                <w:highlight w:val="none"/>
              </w:rPr>
              <w:t xml:space="preserve">。</w:t>
            </w:r>
            <w:r/>
          </w:p>
          <w:p>
            <w:pPr>
              <w:ind w:firstLine="241"/>
              <w:rPr>
                <w:rFonts w:hint="eastAsia" w:ascii="仿宋" w:hAnsi="仿宋" w:eastAsia="仿宋" w:cs="宋体"/>
                <w:color w:val="auto"/>
                <w:sz w:val="22"/>
                <w:szCs w:val="22"/>
                <w:highlight w:val="none"/>
              </w:rPr>
            </w:pPr>
            <w:r>
              <w:rPr>
                <w:rFonts w:hint="eastAsia" w:ascii="仿宋" w:hAnsi="仿宋" w:eastAsia="仿宋" w:cs="仿宋"/>
                <w:b/>
                <w:color w:val="auto"/>
                <w:sz w:val="24"/>
                <w:highlight w:val="none"/>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hint="eastAsia" w:ascii="仿宋" w:hAnsi="仿宋" w:eastAsia="仿宋" w:cs="仿宋"/>
                <w:b/>
                <w:color w:val="auto"/>
                <w:sz w:val="24"/>
                <w:highlight w:val="none"/>
                <w:lang w:eastAsia="zh-CN"/>
              </w:rPr>
              <w:t xml:space="preserve">。</w:t>
            </w:r>
            <w:r/>
          </w:p>
        </w:tc>
      </w:tr>
      <w:tr>
        <w:trPr>
          <w:jc w:val="center"/>
          <w:trHeight w:val="1278"/>
        </w:trPr>
        <w:tc>
          <w:tcPr>
            <w:tcBorders>
              <w:top w:val="single" w:color="auto" w:sz="4" w:space="0"/>
              <w:bottom w:val="single" w:color="auto" w:sz="4" w:space="0"/>
            </w:tcBorders>
            <w:tcW w:w="543"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3</w:t>
            </w:r>
            <w:r/>
          </w:p>
        </w:tc>
        <w:tc>
          <w:tcPr>
            <w:tcBorders>
              <w:top w:val="single" w:color="auto" w:sz="4" w:space="0"/>
              <w:bottom w:val="single" w:color="auto" w:sz="4" w:space="0"/>
            </w:tcBorders>
            <w:tcW w:w="1579"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仿宋"/>
                <w:color w:val="auto"/>
                <w:spacing w:val="-6"/>
                <w:sz w:val="24"/>
                <w:highlight w:val="none"/>
                <w:lang w:val="zh-CN" w:bidi="zh-CN"/>
              </w:rPr>
              <w:t xml:space="preserve">质量保证措施</w:t>
            </w:r>
            <w:r/>
          </w:p>
        </w:tc>
        <w:tc>
          <w:tcPr>
            <w:tcBorders>
              <w:top w:val="single" w:color="auto" w:sz="4" w:space="0"/>
              <w:bottom w:val="single" w:color="auto" w:sz="4" w:space="0"/>
            </w:tcBorders>
            <w:tcW w:w="750" w:type="dxa"/>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w:t>
            </w:r>
            <w:r/>
          </w:p>
        </w:tc>
        <w:tc>
          <w:tcPr>
            <w:tcBorders>
              <w:top w:val="single" w:color="auto" w:sz="4" w:space="0"/>
            </w:tcBorders>
            <w:tcW w:w="6637" w:type="dxa"/>
            <w:vAlign w:val="center"/>
            <w:textDirection w:val="lrTb"/>
            <w:noWrap w:val="false"/>
          </w:tcPr>
          <w:p>
            <w:pPr>
              <w:jc w:val="left"/>
              <w:spacing w:line="280" w:lineRule="exact"/>
              <w:rPr>
                <w:rFonts w:hint="eastAsia" w:ascii="仿宋" w:hAnsi="仿宋" w:eastAsia="仿宋" w:cs="仿宋"/>
                <w:color w:val="auto"/>
                <w:spacing w:val="-6"/>
                <w:sz w:val="24"/>
                <w:highlight w:val="none"/>
                <w:lang w:val="en-US" w:eastAsia="zh-CN" w:bidi="zh-CN"/>
              </w:rPr>
            </w:pPr>
            <w:r>
              <w:rPr>
                <w:rFonts w:hint="eastAsia" w:ascii="仿宋" w:hAnsi="仿宋" w:eastAsia="仿宋" w:cs="仿宋"/>
                <w:color w:val="auto"/>
                <w:spacing w:val="-6"/>
                <w:sz w:val="24"/>
                <w:highlight w:val="none"/>
                <w:lang w:val="en-US" w:bidi="zh-CN"/>
              </w:rPr>
              <w:t xml:space="preserve">针</w:t>
            </w:r>
            <w:r>
              <w:rPr>
                <w:rFonts w:hint="eastAsia" w:ascii="仿宋" w:hAnsi="仿宋" w:eastAsia="仿宋" w:cs="仿宋"/>
                <w:color w:val="auto"/>
                <w:sz w:val="24"/>
                <w:szCs w:val="24"/>
                <w:highlight w:val="none"/>
                <w:lang w:val="en-US" w:eastAsia="zh-CN"/>
              </w:rPr>
              <w:t xml:space="preserve">对本项目提供质量保证措施，包括：</w:t>
            </w:r>
            <w:r>
              <w:rPr>
                <w:rFonts w:hint="eastAsia" w:ascii="仿宋" w:hAnsi="仿宋" w:eastAsia="仿宋" w:cs="仿宋"/>
                <w:color w:val="auto"/>
                <w:sz w:val="24"/>
                <w:szCs w:val="24"/>
                <w:highlight w:val="none"/>
                <w:lang w:val="zh-CN" w:eastAsia="zh-CN"/>
              </w:rPr>
              <w:t xml:space="preserve">质量保证</w:t>
            </w:r>
            <w:r>
              <w:rPr>
                <w:rFonts w:hint="eastAsia" w:ascii="仿宋" w:hAnsi="仿宋" w:eastAsia="仿宋" w:cs="仿宋"/>
                <w:color w:val="auto"/>
                <w:sz w:val="24"/>
                <w:szCs w:val="24"/>
                <w:highlight w:val="none"/>
                <w:lang w:val="en-US" w:eastAsia="zh-CN"/>
              </w:rPr>
              <w:t xml:space="preserve">机构的设立、</w:t>
            </w:r>
            <w:r>
              <w:rPr>
                <w:rFonts w:hint="eastAsia" w:ascii="仿宋" w:hAnsi="仿宋" w:eastAsia="仿宋" w:cs="仿宋"/>
                <w:color w:val="auto"/>
                <w:sz w:val="24"/>
                <w:szCs w:val="24"/>
                <w:highlight w:val="none"/>
                <w:lang w:val="zh-CN" w:eastAsia="zh-CN"/>
              </w:rPr>
              <w:t xml:space="preserve">措施</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val="zh-CN" w:eastAsia="zh-CN"/>
              </w:rPr>
              <w:t xml:space="preserve">合理性、科学性、完备性、</w:t>
            </w:r>
            <w:r>
              <w:rPr>
                <w:rFonts w:hint="eastAsia" w:ascii="仿宋" w:hAnsi="仿宋" w:eastAsia="仿宋" w:cs="仿宋"/>
                <w:color w:val="auto"/>
                <w:sz w:val="24"/>
                <w:szCs w:val="24"/>
                <w:highlight w:val="none"/>
                <w:lang w:val="en-US" w:eastAsia="zh-CN"/>
              </w:rPr>
              <w:t xml:space="preserve">对</w:t>
            </w:r>
            <w:r>
              <w:rPr>
                <w:rFonts w:hint="eastAsia" w:ascii="仿宋" w:hAnsi="仿宋" w:eastAsia="仿宋" w:cs="仿宋"/>
                <w:color w:val="auto"/>
                <w:sz w:val="24"/>
                <w:szCs w:val="24"/>
                <w:highlight w:val="none"/>
                <w:lang w:val="zh-CN" w:eastAsia="zh-CN"/>
              </w:rPr>
              <w:t xml:space="preserve">本项目的重难点分析</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lang w:val="zh-CN" w:eastAsia="zh-CN"/>
              </w:rPr>
              <w:t xml:space="preserve">应对</w:t>
            </w:r>
            <w:r>
              <w:rPr>
                <w:rFonts w:hint="eastAsia" w:ascii="仿宋" w:hAnsi="仿宋" w:eastAsia="仿宋" w:cs="仿宋"/>
                <w:color w:val="auto"/>
                <w:sz w:val="24"/>
                <w:szCs w:val="24"/>
                <w:highlight w:val="none"/>
                <w:lang w:val="en-US" w:eastAsia="zh-CN"/>
              </w:rPr>
              <w:t xml:space="preserve">措施</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上述内容每有一处需求分析内容存在缺陷或不足的扣1分，扣完为止。本项最高得5分。</w:t>
            </w:r>
            <w:r/>
          </w:p>
          <w:p>
            <w:pPr>
              <w:ind w:firstLine="241"/>
              <w:rPr>
                <w:rFonts w:hint="eastAsia" w:ascii="仿宋" w:hAnsi="仿宋" w:eastAsia="仿宋" w:cs="仿宋"/>
                <w:color w:val="auto"/>
                <w:spacing w:val="-6"/>
                <w:sz w:val="24"/>
                <w:highlight w:val="none"/>
                <w:lang w:val="en-US" w:eastAsia="zh-CN" w:bidi="zh-CN"/>
              </w:rPr>
            </w:pPr>
            <w:r>
              <w:rPr>
                <w:rFonts w:hint="eastAsia" w:ascii="仿宋" w:hAnsi="仿宋" w:eastAsia="仿宋" w:cs="仿宋"/>
                <w:b/>
                <w:color w:val="auto"/>
                <w:sz w:val="24"/>
                <w:highlight w:val="none"/>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hint="eastAsia" w:ascii="仿宋" w:hAnsi="仿宋" w:eastAsia="仿宋" w:cs="仿宋"/>
                <w:b/>
                <w:color w:val="auto"/>
                <w:sz w:val="24"/>
                <w:highlight w:val="none"/>
                <w:lang w:eastAsia="zh-CN"/>
              </w:rPr>
              <w:t xml:space="preserve">。</w:t>
            </w:r>
            <w:r/>
          </w:p>
        </w:tc>
      </w:tr>
      <w:tr>
        <w:trPr>
          <w:jc w:val="center"/>
          <w:trHeight w:val="944"/>
        </w:trPr>
        <w:tc>
          <w:tcPr>
            <w:tcBorders>
              <w:top w:val="single" w:color="auto" w:sz="4" w:space="0"/>
              <w:bottom w:val="single" w:color="auto" w:sz="4" w:space="0"/>
            </w:tcBorders>
            <w:tcW w:w="543" w:type="dxa"/>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w:t>
            </w:r>
            <w:r/>
          </w:p>
        </w:tc>
        <w:tc>
          <w:tcPr>
            <w:tcBorders>
              <w:top w:val="single" w:color="auto" w:sz="4" w:space="0"/>
              <w:bottom w:val="single" w:color="auto" w:sz="4" w:space="0"/>
            </w:tcBorders>
            <w:tcW w:w="1579"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仿宋"/>
                <w:color w:val="auto"/>
                <w:spacing w:val="-6"/>
                <w:sz w:val="24"/>
                <w:highlight w:val="none"/>
                <w:lang w:val="zh-CN" w:bidi="zh-CN"/>
              </w:rPr>
              <w:t xml:space="preserve">技术方案</w:t>
            </w:r>
            <w:r/>
          </w:p>
        </w:tc>
        <w:tc>
          <w:tcPr>
            <w:tcBorders>
              <w:top w:val="single" w:color="auto" w:sz="4" w:space="0"/>
              <w:bottom w:val="single" w:color="auto" w:sz="4" w:space="0"/>
            </w:tcBorders>
            <w:tcW w:w="750" w:type="dxa"/>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w:t>
            </w:r>
            <w:r/>
          </w:p>
        </w:tc>
        <w:tc>
          <w:tcPr>
            <w:tcBorders>
              <w:top w:val="single" w:color="auto" w:sz="4" w:space="0"/>
            </w:tcBorders>
            <w:tcW w:w="6637" w:type="dxa"/>
            <w:vAlign w:val="center"/>
            <w:textDirection w:val="lrTb"/>
            <w:noWrap w:val="false"/>
          </w:tcPr>
          <w:p>
            <w:pPr>
              <w:ind w:firstLine="228"/>
              <w:rPr>
                <w:rFonts w:hint="eastAsia"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en-US" w:bidi="zh-CN"/>
              </w:rPr>
              <w:t xml:space="preserve">对</w:t>
            </w:r>
            <w:r>
              <w:rPr>
                <w:rFonts w:hint="eastAsia" w:ascii="仿宋" w:hAnsi="仿宋" w:eastAsia="仿宋" w:cs="仿宋"/>
                <w:color w:val="auto"/>
                <w:spacing w:val="-6"/>
                <w:sz w:val="24"/>
                <w:highlight w:val="none"/>
                <w:lang w:val="en-US" w:eastAsia="zh-CN" w:bidi="zh-CN"/>
              </w:rPr>
              <w:t xml:space="preserve">本项目提供技术方案：</w:t>
            </w:r>
            <w:r>
              <w:rPr>
                <w:rFonts w:hint="eastAsia" w:ascii="仿宋" w:hAnsi="仿宋" w:eastAsia="仿宋" w:cs="仿宋"/>
                <w:color w:val="auto"/>
                <w:spacing w:val="-6"/>
                <w:sz w:val="24"/>
                <w:highlight w:val="none"/>
                <w:lang w:val="zh-CN" w:eastAsia="zh-CN" w:bidi="zh-CN"/>
              </w:rPr>
              <w:t xml:space="preserve">技术先进、方案周密，思路清晰合理，有明确的工作程序，可操作性强。</w:t>
            </w:r>
            <w:r>
              <w:rPr>
                <w:rFonts w:hint="eastAsia" w:ascii="仿宋" w:hAnsi="仿宋" w:eastAsia="仿宋" w:cs="仿宋"/>
                <w:color w:val="auto"/>
                <w:spacing w:val="-6"/>
                <w:sz w:val="24"/>
                <w:highlight w:val="none"/>
                <w:lang w:val="en-US" w:eastAsia="zh-CN" w:bidi="zh-CN"/>
              </w:rPr>
              <w:t xml:space="preserve">上述内容每有一处需求分析内容存在缺陷或不足的扣1分，扣完为止。本项最高得5分</w:t>
            </w:r>
            <w:r>
              <w:rPr>
                <w:rFonts w:hint="eastAsia" w:ascii="仿宋" w:hAnsi="仿宋" w:eastAsia="仿宋" w:cs="仿宋"/>
                <w:color w:val="auto"/>
                <w:spacing w:val="-6"/>
                <w:sz w:val="24"/>
                <w:highlight w:val="none"/>
                <w:lang w:val="zh-CN" w:eastAsia="zh-CN" w:bidi="zh-CN"/>
              </w:rPr>
              <w:t xml:space="preserve">。</w:t>
            </w:r>
            <w:r/>
          </w:p>
          <w:p>
            <w:pPr>
              <w:ind w:firstLine="241"/>
              <w:rPr>
                <w:rFonts w:hint="eastAsia" w:ascii="仿宋" w:hAnsi="仿宋" w:eastAsia="仿宋" w:cs="仿宋"/>
                <w:color w:val="auto"/>
                <w:spacing w:val="-6"/>
                <w:sz w:val="24"/>
                <w:highlight w:val="none"/>
                <w:lang w:val="zh-CN" w:bidi="zh-CN"/>
              </w:rPr>
            </w:pPr>
            <w:r>
              <w:rPr>
                <w:rFonts w:hint="eastAsia" w:ascii="仿宋" w:hAnsi="仿宋" w:eastAsia="仿宋" w:cs="仿宋"/>
                <w:b/>
                <w:color w:val="auto"/>
                <w:sz w:val="24"/>
                <w:highlight w:val="none"/>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hint="eastAsia" w:ascii="仿宋" w:hAnsi="仿宋" w:eastAsia="仿宋" w:cs="仿宋"/>
                <w:b/>
                <w:color w:val="auto"/>
                <w:sz w:val="24"/>
                <w:highlight w:val="none"/>
                <w:lang w:eastAsia="zh-CN"/>
              </w:rPr>
              <w:t xml:space="preserve">。</w:t>
            </w:r>
            <w:r/>
          </w:p>
        </w:tc>
      </w:tr>
      <w:tr>
        <w:trPr>
          <w:jc w:val="center"/>
          <w:trHeight w:val="1603"/>
        </w:trPr>
        <w:tc>
          <w:tcPr>
            <w:tcBorders>
              <w:top w:val="single" w:color="auto" w:sz="4" w:space="0"/>
              <w:bottom w:val="single" w:color="auto" w:sz="4" w:space="0"/>
            </w:tcBorders>
            <w:tcW w:w="543"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5</w:t>
            </w:r>
            <w:r/>
          </w:p>
        </w:tc>
        <w:tc>
          <w:tcPr>
            <w:tcBorders>
              <w:top w:val="single" w:color="auto" w:sz="4" w:space="0"/>
              <w:bottom w:val="single" w:color="auto" w:sz="4" w:space="0"/>
            </w:tcBorders>
            <w:tcW w:w="1579"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仿宋"/>
                <w:color w:val="auto"/>
                <w:spacing w:val="-6"/>
                <w:sz w:val="24"/>
                <w:highlight w:val="none"/>
                <w:lang w:val="zh-CN" w:bidi="zh-CN"/>
              </w:rPr>
              <w:t xml:space="preserve">项目人员组成</w:t>
            </w:r>
            <w:r/>
          </w:p>
        </w:tc>
        <w:tc>
          <w:tcPr>
            <w:tcBorders>
              <w:top w:val="single" w:color="auto" w:sz="4" w:space="0"/>
              <w:bottom w:val="single" w:color="auto" w:sz="4" w:space="0"/>
            </w:tcBorders>
            <w:tcW w:w="750" w:type="dxa"/>
            <w:vAlign w:val="center"/>
            <w:textDirection w:val="lrTb"/>
            <w:noWrap w:val="false"/>
          </w:tcPr>
          <w:p>
            <w:pPr>
              <w:jc w:val="center"/>
              <w:rPr>
                <w:rFonts w:hint="default" w:ascii="仿宋" w:hAnsi="仿宋" w:eastAsia="仿宋" w:cs="Times New Roman"/>
                <w:color w:val="auto"/>
                <w:sz w:val="24"/>
                <w:highlight w:val="none"/>
                <w:lang w:val="en-US"/>
              </w:rPr>
            </w:pPr>
            <w:r>
              <w:rPr>
                <w:rFonts w:hint="eastAsia" w:ascii="仿宋" w:hAnsi="仿宋" w:eastAsia="仿宋" w:cs="Times New Roman"/>
                <w:color w:val="auto"/>
                <w:sz w:val="24"/>
                <w:highlight w:val="none"/>
                <w:lang w:val="en-US" w:eastAsia="zh-CN"/>
              </w:rPr>
              <w:t xml:space="preserve">20</w:t>
            </w:r>
            <w:r/>
          </w:p>
        </w:tc>
        <w:tc>
          <w:tcPr>
            <w:tcBorders>
              <w:top w:val="single" w:color="auto" w:sz="4" w:space="0"/>
            </w:tcBorders>
            <w:tcW w:w="6637" w:type="dxa"/>
            <w:vAlign w:val="center"/>
            <w:textDirection w:val="lrTb"/>
            <w:noWrap w:val="false"/>
          </w:tcPr>
          <w:p>
            <w:pPr>
              <w:jc w:val="left"/>
              <w:widowControl w:val="off"/>
              <w:rPr>
                <w:rFonts w:hint="eastAsia" w:ascii="仿宋" w:hAnsi="仿宋" w:eastAsia="仿宋" w:cs="仿宋"/>
                <w:color w:val="auto"/>
                <w:spacing w:val="-6"/>
                <w:sz w:val="24"/>
                <w:szCs w:val="24"/>
                <w:highlight w:val="none"/>
                <w:lang w:val="en-US" w:eastAsia="zh-CN" w:bidi="zh-CN"/>
              </w:rPr>
            </w:pPr>
            <w:r>
              <w:rPr>
                <w:rFonts w:hint="eastAsia" w:ascii="仿宋" w:hAnsi="仿宋" w:eastAsia="仿宋" w:cs="仿宋"/>
                <w:color w:val="auto"/>
                <w:spacing w:val="-6"/>
                <w:sz w:val="24"/>
                <w:szCs w:val="24"/>
                <w:highlight w:val="none"/>
                <w:lang w:val="en-US" w:eastAsia="zh-CN" w:bidi="zh-CN"/>
              </w:rPr>
              <w:t xml:space="preserve">（1）项目负责人具备测绘专业正高级职称的，得3分，高级职称的，得2分，中级职称的，得1分，不提供不得分。</w:t>
            </w:r>
            <w:r/>
          </w:p>
          <w:p>
            <w:pPr>
              <w:jc w:val="left"/>
              <w:widowControl w:val="off"/>
              <w:rPr>
                <w:rFonts w:hint="eastAsia" w:ascii="仿宋" w:hAnsi="仿宋" w:eastAsia="仿宋" w:cs="仿宋"/>
                <w:color w:val="auto"/>
                <w:spacing w:val="-6"/>
                <w:sz w:val="24"/>
                <w:szCs w:val="24"/>
                <w:highlight w:val="none"/>
                <w:lang w:val="en-US" w:eastAsia="zh-CN" w:bidi="zh-CN"/>
              </w:rPr>
            </w:pPr>
            <w:r>
              <w:rPr>
                <w:rFonts w:hint="eastAsia" w:ascii="仿宋" w:hAnsi="仿宋" w:eastAsia="仿宋" w:cs="仿宋"/>
                <w:color w:val="auto"/>
                <w:spacing w:val="-6"/>
                <w:sz w:val="24"/>
                <w:szCs w:val="24"/>
                <w:highlight w:val="none"/>
                <w:lang w:val="en-US" w:eastAsia="zh-CN" w:bidi="zh-CN"/>
              </w:rPr>
              <w:t xml:space="preserve">（2）技术负责人同时具备注册测绘师和测绘专业高级职称的，得3分；同时具备注册测绘师和测绘专业中级职称的得2分，不提供不得分。</w:t>
            </w:r>
            <w:r/>
          </w:p>
          <w:p>
            <w:pPr>
              <w:ind w:left="0" w:firstLine="0"/>
              <w:jc w:val="left"/>
              <w:widowControl w:val="off"/>
              <w:rPr>
                <w:rFonts w:hint="default" w:ascii="仿宋" w:hAnsi="仿宋" w:eastAsia="仿宋" w:cs="仿宋"/>
                <w:color w:val="auto"/>
                <w:spacing w:val="-6"/>
                <w:sz w:val="24"/>
                <w:szCs w:val="24"/>
                <w:highlight w:val="none"/>
                <w:lang w:val="en-US" w:eastAsia="zh-CN" w:bidi="zh-CN"/>
              </w:rPr>
            </w:pPr>
            <w:r>
              <w:rPr>
                <w:rFonts w:hint="eastAsia" w:ascii="仿宋" w:hAnsi="仿宋" w:eastAsia="仿宋" w:cs="仿宋"/>
                <w:color w:val="auto"/>
                <w:spacing w:val="-6"/>
                <w:sz w:val="24"/>
                <w:szCs w:val="24"/>
                <w:highlight w:val="none"/>
                <w:lang w:val="en-US" w:eastAsia="zh-CN" w:bidi="zh-CN"/>
              </w:rPr>
              <w:t xml:space="preserve">（3）项目负责人获得</w:t>
            </w:r>
            <w:r>
              <w:rPr>
                <w:rFonts w:hint="eastAsia" w:ascii="仿宋" w:hAnsi="仿宋" w:eastAsia="仿宋" w:cs="仿宋"/>
                <w:color w:val="auto"/>
                <w:spacing w:val="-6"/>
                <w:sz w:val="24"/>
                <w:highlight w:val="none"/>
                <w:lang w:val="en-US" w:eastAsia="zh-CN" w:bidi="zh-CN"/>
              </w:rPr>
              <w:t xml:space="preserve">省级及以上优秀科技工作者奖项</w:t>
            </w:r>
            <w:r>
              <w:rPr>
                <w:rFonts w:hint="eastAsia" w:ascii="仿宋" w:hAnsi="仿宋" w:eastAsia="仿宋" w:cs="仿宋"/>
                <w:color w:val="auto"/>
                <w:spacing w:val="-6"/>
                <w:sz w:val="24"/>
                <w:szCs w:val="24"/>
                <w:highlight w:val="none"/>
                <w:lang w:val="en-US" w:eastAsia="zh-CN" w:bidi="zh-CN"/>
              </w:rPr>
              <w:t xml:space="preserve">的，得2分；技术负责人获得省级测绘地理信息科技进步奖的，得2分，最多4分。</w:t>
            </w:r>
            <w:r/>
          </w:p>
          <w:p>
            <w:pPr>
              <w:jc w:val="left"/>
              <w:widowControl w:val="off"/>
              <w:rPr>
                <w:rFonts w:hint="eastAsia" w:ascii="仿宋" w:hAnsi="仿宋" w:eastAsia="仿宋" w:cs="仿宋"/>
                <w:color w:val="auto"/>
                <w:spacing w:val="-6"/>
                <w:sz w:val="24"/>
                <w:szCs w:val="24"/>
                <w:highlight w:val="none"/>
                <w:lang w:val="en-US" w:eastAsia="zh-CN" w:bidi="zh-CN"/>
              </w:rPr>
            </w:pPr>
            <w:r>
              <w:rPr>
                <w:rFonts w:hint="eastAsia" w:ascii="仿宋" w:hAnsi="仿宋" w:eastAsia="仿宋" w:cs="仿宋"/>
                <w:color w:val="auto"/>
                <w:spacing w:val="-6"/>
                <w:sz w:val="24"/>
                <w:szCs w:val="24"/>
                <w:highlight w:val="none"/>
                <w:lang w:val="en-US" w:eastAsia="zh-CN" w:bidi="zh-CN"/>
              </w:rPr>
              <w:t xml:space="preserve">（4）项目组成员同时（不包括项目负责人、技术负责人）具有中级工程师及以上职称和注册测绘师证书的，每提供1人得1分，最高得8分，不提供不得分。</w:t>
            </w:r>
            <w:r/>
          </w:p>
          <w:p>
            <w:pPr>
              <w:jc w:val="left"/>
              <w:rPr>
                <w:rFonts w:hint="eastAsia" w:ascii="仿宋" w:hAnsi="仿宋" w:eastAsia="仿宋" w:cs="仿宋"/>
                <w:color w:val="auto"/>
                <w:spacing w:val="-6"/>
                <w:sz w:val="24"/>
                <w:szCs w:val="24"/>
                <w:highlight w:val="none"/>
                <w:lang w:val="zh-CN" w:eastAsia="zh-CN" w:bidi="zh-CN"/>
              </w:rPr>
            </w:pPr>
            <w:r>
              <w:rPr>
                <w:rFonts w:hint="eastAsia" w:ascii="仿宋" w:hAnsi="仿宋" w:eastAsia="仿宋" w:cs="仿宋"/>
                <w:color w:val="auto"/>
                <w:spacing w:val="-6"/>
                <w:sz w:val="24"/>
                <w:szCs w:val="24"/>
                <w:highlight w:val="none"/>
                <w:lang w:val="zh-CN" w:eastAsia="zh-CN" w:bidi="zh-CN"/>
              </w:rPr>
              <w:t xml:space="preserve">（</w:t>
            </w:r>
            <w:r>
              <w:rPr>
                <w:rFonts w:hint="eastAsia" w:ascii="仿宋" w:hAnsi="仿宋" w:eastAsia="仿宋" w:cs="仿宋"/>
                <w:color w:val="auto"/>
                <w:spacing w:val="-6"/>
                <w:sz w:val="24"/>
                <w:szCs w:val="24"/>
                <w:highlight w:val="none"/>
                <w:lang w:val="en-US" w:eastAsia="zh-CN" w:bidi="zh-CN"/>
              </w:rPr>
              <w:t xml:space="preserve">5</w:t>
            </w:r>
            <w:r>
              <w:rPr>
                <w:rFonts w:hint="eastAsia" w:ascii="仿宋" w:hAnsi="仿宋" w:eastAsia="仿宋" w:cs="仿宋"/>
                <w:color w:val="auto"/>
                <w:spacing w:val="-6"/>
                <w:sz w:val="24"/>
                <w:szCs w:val="24"/>
                <w:highlight w:val="none"/>
                <w:lang w:val="zh-CN" w:eastAsia="zh-CN" w:bidi="zh-CN"/>
              </w:rPr>
              <w:t xml:space="preserve">）</w:t>
            </w:r>
            <w:r>
              <w:rPr>
                <w:rFonts w:hint="eastAsia" w:ascii="仿宋" w:hAnsi="仿宋" w:eastAsia="仿宋" w:cs="仿宋"/>
                <w:color w:val="auto"/>
                <w:spacing w:val="-6"/>
                <w:sz w:val="24"/>
                <w:highlight w:val="none"/>
                <w:lang w:val="en-US" w:eastAsia="zh-CN" w:bidi="zh-CN"/>
              </w:rPr>
              <w:t xml:space="preserve">项目组成员（不包括项目负责人、技术负责人）</w:t>
            </w:r>
            <w:r>
              <w:rPr>
                <w:rFonts w:hint="eastAsia" w:ascii="仿宋" w:hAnsi="仿宋" w:eastAsia="仿宋" w:cs="仿宋"/>
                <w:color w:val="auto"/>
                <w:spacing w:val="-6"/>
                <w:sz w:val="24"/>
                <w:highlight w:val="none"/>
                <w:lang w:val="zh-CN" w:eastAsia="zh-CN" w:bidi="zh-CN"/>
              </w:rPr>
              <w:t xml:space="preserve">具有</w:t>
            </w:r>
            <w:r>
              <w:rPr>
                <w:rFonts w:hint="eastAsia" w:ascii="仿宋" w:hAnsi="仿宋" w:eastAsia="仿宋" w:cs="仿宋"/>
                <w:color w:val="auto"/>
                <w:spacing w:val="-6"/>
                <w:sz w:val="24"/>
                <w:highlight w:val="none"/>
                <w:lang w:val="en-US" w:eastAsia="zh-CN" w:bidi="zh-CN"/>
              </w:rPr>
              <w:t xml:space="preserve">市政排水管道检测作业证的，每提供1人得1分，最高得2分，不提供证书不得分</w:t>
            </w:r>
            <w:r>
              <w:rPr>
                <w:rFonts w:hint="eastAsia" w:ascii="仿宋" w:hAnsi="仿宋" w:eastAsia="仿宋" w:cs="仿宋"/>
                <w:color w:val="auto"/>
                <w:spacing w:val="-6"/>
                <w:sz w:val="24"/>
                <w:szCs w:val="24"/>
                <w:highlight w:val="none"/>
                <w:lang w:val="en-US" w:eastAsia="zh-CN" w:bidi="zh-CN"/>
              </w:rPr>
              <w:t xml:space="preserve">。</w:t>
            </w:r>
            <w:r/>
          </w:p>
          <w:p>
            <w:pPr>
              <w:jc w:val="left"/>
              <w:rPr>
                <w:rFonts w:hint="eastAsia" w:ascii="仿宋" w:hAnsi="仿宋" w:eastAsia="仿宋" w:cs="仿宋"/>
                <w:b/>
                <w:bCs/>
                <w:color w:val="auto"/>
                <w:spacing w:val="-6"/>
                <w:sz w:val="24"/>
                <w:szCs w:val="24"/>
                <w:highlight w:val="none"/>
                <w:lang w:val="en-US" w:eastAsia="zh-CN" w:bidi="zh-CN"/>
              </w:rPr>
            </w:pPr>
            <w:r>
              <w:rPr>
                <w:rFonts w:hint="eastAsia" w:ascii="仿宋" w:hAnsi="仿宋" w:eastAsia="仿宋" w:cs="仿宋"/>
                <w:color w:val="auto"/>
                <w:spacing w:val="-6"/>
                <w:sz w:val="24"/>
                <w:szCs w:val="24"/>
                <w:highlight w:val="none"/>
                <w:lang w:val="zh-CN" w:eastAsia="zh-CN" w:bidi="zh-CN"/>
              </w:rPr>
              <w:t xml:space="preserve"> </w:t>
            </w:r>
            <w:r>
              <w:rPr>
                <w:rFonts w:hint="eastAsia" w:ascii="仿宋" w:hAnsi="仿宋" w:eastAsia="仿宋" w:cs="仿宋"/>
                <w:color w:val="auto"/>
                <w:spacing w:val="-6"/>
                <w:sz w:val="24"/>
                <w:szCs w:val="24"/>
                <w:highlight w:val="none"/>
                <w:lang w:val="en-US" w:eastAsia="zh-CN" w:bidi="zh-CN"/>
              </w:rPr>
              <w:t xml:space="preserve"> </w:t>
            </w:r>
            <w:r>
              <w:rPr>
                <w:rFonts w:hint="eastAsia" w:ascii="仿宋" w:hAnsi="仿宋" w:eastAsia="仿宋" w:cs="仿宋"/>
                <w:b/>
                <w:bCs/>
                <w:color w:val="auto"/>
                <w:spacing w:val="-6"/>
                <w:sz w:val="24"/>
                <w:szCs w:val="24"/>
                <w:highlight w:val="none"/>
                <w:lang w:val="en-US" w:eastAsia="zh-CN" w:bidi="zh-CN"/>
              </w:rPr>
              <w:t xml:space="preserve">注：（1）以上证书需提供复印件并</w:t>
            </w:r>
            <w:r>
              <w:rPr>
                <w:rFonts w:hint="eastAsia" w:ascii="仿宋" w:hAnsi="仿宋" w:eastAsia="仿宋" w:cs="仿宋"/>
                <w:b/>
                <w:bCs/>
                <w:color w:val="auto"/>
                <w:spacing w:val="-6"/>
                <w:sz w:val="24"/>
                <w:szCs w:val="24"/>
                <w:highlight w:val="none"/>
                <w:lang w:val="zh-CN" w:eastAsia="zh-CN" w:bidi="zh-CN"/>
              </w:rPr>
              <w:t xml:space="preserve">加盖单位公章</w:t>
            </w:r>
            <w:r>
              <w:rPr>
                <w:rFonts w:hint="eastAsia" w:ascii="仿宋" w:hAnsi="仿宋" w:eastAsia="仿宋" w:cs="仿宋"/>
                <w:b/>
                <w:bCs/>
                <w:color w:val="auto"/>
                <w:spacing w:val="-6"/>
                <w:sz w:val="24"/>
                <w:szCs w:val="24"/>
                <w:highlight w:val="none"/>
                <w:lang w:val="en-US" w:eastAsia="zh-CN" w:bidi="zh-CN"/>
              </w:rPr>
              <w:t xml:space="preserve">，否则不予得分；</w:t>
            </w:r>
            <w:r/>
          </w:p>
          <w:p>
            <w:pPr>
              <w:ind w:firstLine="229"/>
              <w:rPr>
                <w:rFonts w:hint="eastAsia" w:ascii="仿宋" w:hAnsi="仿宋" w:eastAsia="仿宋" w:cs="宋体"/>
                <w:color w:val="auto"/>
                <w:sz w:val="22"/>
                <w:szCs w:val="22"/>
                <w:highlight w:val="none"/>
              </w:rPr>
            </w:pPr>
            <w:r>
              <w:rPr>
                <w:rFonts w:hint="eastAsia" w:ascii="仿宋" w:hAnsi="仿宋" w:eastAsia="仿宋" w:cs="仿宋"/>
                <w:b/>
                <w:bCs/>
                <w:color w:val="auto"/>
                <w:spacing w:val="-6"/>
                <w:sz w:val="24"/>
                <w:szCs w:val="24"/>
                <w:highlight w:val="none"/>
                <w:lang w:val="en-US" w:eastAsia="zh-CN" w:bidi="zh-CN"/>
              </w:rPr>
              <w:t xml:space="preserve">（2）</w:t>
            </w:r>
            <w:r>
              <w:rPr>
                <w:rFonts w:hint="eastAsia" w:ascii="仿宋" w:hAnsi="仿宋" w:eastAsia="仿宋" w:cs="仿宋"/>
                <w:b/>
                <w:bCs/>
                <w:color w:val="auto"/>
                <w:spacing w:val="-6"/>
                <w:sz w:val="24"/>
                <w:szCs w:val="24"/>
                <w:highlight w:val="none"/>
                <w:lang w:val="en-US" w:eastAsia="zh-CN" w:bidi="ar"/>
              </w:rPr>
              <w:t xml:space="preserve">以上人员须为响应供应商的正式员工，并提供响应文件提交截止日前最近1个月响应供应商为其缴纳社保的证明；新成立企业距响应文件提交截止日期不足30日的，可不提供缴纳社保的证明（以新办企业营业执照发放日期为准）；事业编制人员需提供在本单位工作证明。</w:t>
            </w:r>
            <w:r/>
          </w:p>
        </w:tc>
      </w:tr>
      <w:tr>
        <w:trPr>
          <w:jc w:val="center"/>
          <w:trHeight w:val="420"/>
        </w:trPr>
        <w:tc>
          <w:tcPr>
            <w:tcBorders>
              <w:top w:val="single" w:color="auto" w:sz="4" w:space="0"/>
            </w:tcBorders>
            <w:tcW w:w="543"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6</w:t>
            </w:r>
            <w:r/>
          </w:p>
        </w:tc>
        <w:tc>
          <w:tcPr>
            <w:tcBorders>
              <w:top w:val="single" w:color="auto" w:sz="4" w:space="0"/>
            </w:tcBorders>
            <w:tcW w:w="1579"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仿宋"/>
                <w:color w:val="auto"/>
                <w:spacing w:val="-6"/>
                <w:sz w:val="24"/>
                <w:highlight w:val="none"/>
                <w:lang w:val="zh-CN" w:bidi="zh-CN"/>
              </w:rPr>
              <w:t xml:space="preserve">设备保障</w:t>
            </w:r>
            <w:r/>
          </w:p>
        </w:tc>
        <w:tc>
          <w:tcPr>
            <w:tcBorders>
              <w:top w:val="single" w:color="auto" w:sz="4" w:space="0"/>
            </w:tcBorders>
            <w:tcW w:w="750" w:type="dxa"/>
            <w:vAlign w:val="center"/>
            <w:textDirection w:val="lrTb"/>
            <w:noWrap w:val="false"/>
          </w:tcPr>
          <w:p>
            <w:pPr>
              <w:ind w:firstLine="220"/>
              <w:jc w:val="left"/>
              <w:widowControl/>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 xml:space="preserve">6</w:t>
            </w:r>
            <w:r/>
          </w:p>
        </w:tc>
        <w:tc>
          <w:tcPr>
            <w:tcW w:w="6637" w:type="dxa"/>
            <w:vAlign w:val="center"/>
            <w:textDirection w:val="lrTb"/>
            <w:noWrap w:val="false"/>
          </w:tcPr>
          <w:p>
            <w:pPr>
              <w:ind w:firstLine="456"/>
              <w:jc w:val="left"/>
              <w:rPr>
                <w:rFonts w:hint="eastAsia" w:ascii="仿宋" w:hAnsi="仿宋" w:eastAsia="仿宋" w:cs="仿宋"/>
                <w:color w:val="auto"/>
                <w:spacing w:val="-6"/>
                <w:sz w:val="24"/>
                <w:szCs w:val="24"/>
                <w:highlight w:val="none"/>
                <w:lang w:val="en-US" w:eastAsia="zh-CN" w:bidi="zh-CN"/>
              </w:rPr>
            </w:pPr>
            <w:r>
              <w:rPr>
                <w:rFonts w:hint="eastAsia" w:ascii="仿宋" w:hAnsi="仿宋" w:eastAsia="仿宋" w:cs="仿宋"/>
                <w:color w:val="auto"/>
                <w:spacing w:val="-6"/>
                <w:sz w:val="24"/>
                <w:szCs w:val="24"/>
                <w:highlight w:val="none"/>
                <w:lang w:val="en-US" w:eastAsia="zh-CN" w:bidi="zh-CN"/>
              </w:rPr>
              <w:t xml:space="preserve">供应商须保证项目实施过程中投入GNSS接收机、全站仪，无人机、无人船、管道检测机器人、探地雷达，能全部提供的得6分，不提供或提供不齐全不得分。</w:t>
            </w:r>
            <w:r/>
          </w:p>
          <w:p>
            <w:pPr>
              <w:jc w:val="lef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b/>
                <w:bCs/>
                <w:color w:val="auto"/>
                <w:sz w:val="24"/>
                <w:highlight w:val="none"/>
                <w:lang w:val="en-US" w:eastAsia="zh-CN"/>
              </w:rPr>
              <w:t xml:space="preserve">注：提供设备照片及对应购买发票的原件复印件，并加盖单位公章</w:t>
            </w:r>
            <w:r>
              <w:rPr>
                <w:rFonts w:hint="eastAsia" w:ascii="仿宋" w:hAnsi="仿宋" w:eastAsia="仿宋" w:cs="仿宋"/>
                <w:b/>
                <w:bCs/>
                <w:color w:val="auto"/>
                <w:spacing w:val="-6"/>
                <w:sz w:val="24"/>
                <w:szCs w:val="24"/>
                <w:highlight w:val="none"/>
                <w:lang w:val="en-US" w:eastAsia="zh-CN" w:bidi="zh-CN"/>
              </w:rPr>
              <w:t xml:space="preserve">，</w:t>
            </w:r>
            <w:r>
              <w:rPr>
                <w:rFonts w:hint="eastAsia" w:ascii="仿宋" w:hAnsi="仿宋" w:eastAsia="仿宋" w:cs="仿宋"/>
                <w:b/>
                <w:bCs/>
                <w:color w:val="auto"/>
                <w:spacing w:val="-6"/>
                <w:sz w:val="24"/>
                <w:szCs w:val="24"/>
                <w:highlight w:val="none"/>
                <w:lang w:val="zh-CN" w:eastAsia="zh-CN" w:bidi="zh-CN"/>
              </w:rPr>
              <w:t xml:space="preserve">否则不得分。</w:t>
            </w:r>
            <w:r/>
          </w:p>
        </w:tc>
      </w:tr>
      <w:tr>
        <w:trPr>
          <w:jc w:val="center"/>
          <w:trHeight w:val="420"/>
        </w:trPr>
        <w:tc>
          <w:tcPr>
            <w:tcW w:w="543" w:type="dxa"/>
            <w:vAlign w:val="center"/>
            <w:textDirection w:val="lrTb"/>
            <w:noWrap w:val="false"/>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val="en-US" w:eastAsia="zh-CN"/>
              </w:rPr>
              <w:t xml:space="preserve">7</w:t>
            </w:r>
            <w:r/>
          </w:p>
        </w:tc>
        <w:tc>
          <w:tcPr>
            <w:tcW w:w="1579"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资质证书</w:t>
            </w:r>
            <w:r/>
          </w:p>
        </w:tc>
        <w:tc>
          <w:tcPr>
            <w:tcW w:w="750" w:type="dxa"/>
            <w:vAlign w:val="center"/>
            <w:textDirection w:val="lrTb"/>
            <w:noWrap w:val="false"/>
          </w:tcPr>
          <w:p>
            <w:pPr>
              <w:jc w:val="center"/>
              <w:rPr>
                <w:rFonts w:hint="default" w:ascii="仿宋" w:hAnsi="仿宋" w:eastAsia="仿宋" w:cs="宋体"/>
                <w:color w:val="auto"/>
                <w:sz w:val="22"/>
                <w:szCs w:val="22"/>
                <w:highlight w:val="none"/>
                <w:lang w:val="en-US" w:eastAsia="zh-CN"/>
              </w:rPr>
            </w:pPr>
            <w:r>
              <w:rPr>
                <w:rFonts w:hint="eastAsia" w:ascii="仿宋" w:hAnsi="仿宋" w:eastAsia="仿宋" w:cs="Times New Roman"/>
                <w:color w:val="auto"/>
                <w:sz w:val="24"/>
                <w:highlight w:val="none"/>
                <w:lang w:val="en-US" w:eastAsia="zh-CN"/>
              </w:rPr>
              <w:t xml:space="preserve">13</w:t>
            </w:r>
            <w:r/>
          </w:p>
        </w:tc>
        <w:tc>
          <w:tcPr>
            <w:tcW w:w="6637" w:type="dxa"/>
            <w:vAlign w:val="center"/>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（1）供应商获得ISO9001质量管理体系认证、OHSAS18001健康体系认证、ISO14001环境体系认证，信息安全管理体系认证，四证齐全的得4分，每提供</w:t>
            </w:r>
            <w:r>
              <w:rPr>
                <w:rFonts w:hint="eastAsia" w:ascii="仿宋" w:hAnsi="仿宋" w:eastAsia="仿宋" w:cs="仿宋"/>
                <w:color w:val="auto"/>
                <w:spacing w:val="-6"/>
                <w:sz w:val="24"/>
                <w:szCs w:val="24"/>
                <w:highlight w:val="none"/>
                <w:lang w:val="en-US" w:eastAsia="zh-CN" w:bidi="zh-CN"/>
              </w:rPr>
              <w:t xml:space="preserve">一个</w:t>
            </w:r>
            <w:r>
              <w:rPr>
                <w:rFonts w:hint="eastAsia" w:ascii="仿宋" w:hAnsi="仿宋" w:eastAsia="仿宋" w:cs="Times New Roman"/>
                <w:color w:val="auto"/>
                <w:sz w:val="24"/>
                <w:highlight w:val="none"/>
                <w:lang w:val="en-US" w:eastAsia="zh-CN"/>
              </w:rPr>
              <w:t xml:space="preserve">认证</w:t>
            </w:r>
            <w:r>
              <w:rPr>
                <w:rFonts w:hint="eastAsia" w:ascii="仿宋" w:hAnsi="仿宋" w:eastAsia="仿宋" w:cs="仿宋"/>
                <w:color w:val="auto"/>
                <w:spacing w:val="-6"/>
                <w:sz w:val="24"/>
                <w:szCs w:val="24"/>
                <w:highlight w:val="none"/>
                <w:lang w:val="en-US" w:eastAsia="zh-CN" w:bidi="zh-CN"/>
              </w:rPr>
              <w:t xml:space="preserve">得1分，</w:t>
            </w:r>
            <w:r>
              <w:rPr>
                <w:rFonts w:hint="eastAsia" w:ascii="仿宋" w:hAnsi="仿宋" w:eastAsia="仿宋" w:cs="Times New Roman"/>
                <w:color w:val="auto"/>
                <w:sz w:val="24"/>
                <w:highlight w:val="none"/>
                <w:lang w:val="en-US" w:eastAsia="zh-CN"/>
              </w:rPr>
              <w:t xml:space="preserve">不提供不得分；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（2）供应商为高新技术企业的得3分，不提供不得分；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（3）供应商具备CMA 检测资质的，得3分，不提</w:t>
            </w:r>
            <w:r>
              <w:rPr>
                <w:rFonts w:hint="eastAsia" w:ascii="仿宋" w:hAnsi="仿宋" w:eastAsia="仿宋" w:cs="仿宋"/>
                <w:color w:val="auto"/>
                <w:spacing w:val="-6"/>
                <w:sz w:val="24"/>
                <w:highlight w:val="none"/>
                <w:lang w:val="en-US" w:eastAsia="zh-CN" w:bidi="zh-CN"/>
              </w:rPr>
              <w:t xml:space="preserve">供不得分；</w:t>
            </w:r>
            <w:r>
              <w:rPr>
                <w:rFonts w:hint="eastAsia" w:ascii="仿宋" w:hAnsi="仿宋" w:eastAsia="仿宋" w:cs="Times New Roman"/>
                <w:color w:val="auto"/>
                <w:sz w:val="24"/>
                <w:highlight w:val="none"/>
                <w:lang w:val="en-US" w:eastAsia="zh-CN"/>
              </w:rPr>
              <w:t xml:space="preserve">（4）供应商获得2024年度行业协会颁发的测绘诚信单位荣誉证书的，得3分，不提</w:t>
            </w:r>
            <w:r>
              <w:rPr>
                <w:rFonts w:hint="eastAsia" w:ascii="仿宋" w:hAnsi="仿宋" w:eastAsia="仿宋" w:cs="仿宋"/>
                <w:color w:val="auto"/>
                <w:spacing w:val="-6"/>
                <w:sz w:val="24"/>
                <w:highlight w:val="none"/>
                <w:lang w:val="en-US" w:eastAsia="zh-CN" w:bidi="zh-CN"/>
              </w:rPr>
              <w:t xml:space="preserve">供不得分；</w:t>
            </w:r>
            <w:r/>
          </w:p>
          <w:p>
            <w:pPr>
              <w:pStyle w:val="863"/>
              <w:ind w:left="0" w:firstLine="0"/>
              <w:jc w:val="both"/>
              <w:keepLines w:val="0"/>
              <w:keepNext w:val="0"/>
              <w:pageBreakBefore w:val="0"/>
              <w:spacing w:line="300" w:lineRule="exact"/>
              <w:widowControl w:val="off"/>
              <w:rPr>
                <w:rFonts w:hint="default" w:ascii="Times New Roman" w:hAnsi="Times New Roman" w:eastAsia="宋体" w:cs="Times New Roman"/>
                <w:color w:val="auto"/>
                <w:sz w:val="21"/>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注：以上材料须提供复印件并加盖响应供应商公章，否则不得分。</w:t>
            </w:r>
            <w:r/>
          </w:p>
        </w:tc>
      </w:tr>
      <w:tr>
        <w:trPr>
          <w:jc w:val="center"/>
          <w:trHeight w:val="420"/>
        </w:trPr>
        <w:tc>
          <w:tcPr>
            <w:tcW w:w="543" w:type="dxa"/>
            <w:vAlign w:val="center"/>
            <w:textDirection w:val="lrTb"/>
            <w:noWrap w:val="false"/>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val="en-US" w:eastAsia="zh-CN"/>
              </w:rPr>
              <w:t xml:space="preserve">8</w:t>
            </w:r>
            <w:r/>
          </w:p>
        </w:tc>
        <w:tc>
          <w:tcPr>
            <w:tcW w:w="1579"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荣誉奖项</w:t>
            </w:r>
            <w:r/>
          </w:p>
        </w:tc>
        <w:tc>
          <w:tcPr>
            <w:tcW w:w="750" w:type="dxa"/>
            <w:vAlign w:val="center"/>
            <w:textDirection w:val="lrTb"/>
            <w:noWrap w:val="false"/>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1</w:t>
            </w:r>
            <w:r>
              <w:rPr>
                <w:rFonts w:hint="eastAsia" w:ascii="仿宋" w:hAnsi="仿宋" w:eastAsia="仿宋" w:cs="Times New Roman"/>
                <w:color w:val="auto"/>
                <w:sz w:val="24"/>
                <w:highlight w:val="none"/>
                <w:lang w:val="en-US" w:eastAsia="zh-CN"/>
              </w:rPr>
              <w:t xml:space="preserve">2</w:t>
            </w:r>
            <w:r/>
          </w:p>
        </w:tc>
        <w:tc>
          <w:tcPr>
            <w:tcW w:w="6637" w:type="dxa"/>
            <w:vAlign w:val="center"/>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（1）供应商自2021年1月1日以来，获得国家级“地理信息产业优秀工程”，提供一个得2分，最高4分;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（2）供应商自2021年1月1日以来，获得省级“优秀测绘地理信息工程”奖项的，提供一个得2分，最高4分;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（3）响应供应商2021年以来连续两年获得省测绘地理信息行业协会颁发的“诚信单位”荣誉称号的得2分;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（4）供应商自2021年1月1日以来，获得省级及以上测绘“科技进步奖”的，得2分。</w:t>
            </w:r>
            <w:r/>
          </w:p>
          <w:p>
            <w:pPr>
              <w:jc w:val="left"/>
              <w:rPr>
                <w:rFonts w:hint="eastAsia" w:ascii="仿宋" w:hAnsi="仿宋" w:eastAsia="仿宋" w:cs="Times New Roman"/>
                <w:b/>
                <w:color w:val="auto"/>
                <w:sz w:val="24"/>
                <w:highlight w:val="none"/>
              </w:rPr>
            </w:pPr>
            <w:r>
              <w:rPr>
                <w:rFonts w:hint="eastAsia" w:ascii="仿宋" w:hAnsi="仿宋" w:eastAsia="仿宋" w:cs="Times New Roman"/>
                <w:b/>
                <w:bCs/>
                <w:color w:val="auto"/>
                <w:sz w:val="24"/>
                <w:highlight w:val="none"/>
                <w:lang w:val="en-US" w:eastAsia="zh-CN"/>
              </w:rPr>
              <w:t xml:space="preserve">注：以上需提供的获奖证书以颁发的时间为准，证书需提供复印件</w:t>
            </w:r>
            <w:r>
              <w:rPr>
                <w:rFonts w:hint="eastAsia" w:ascii="仿宋" w:hAnsi="仿宋" w:eastAsia="仿宋" w:cs="Times New Roman"/>
                <w:b/>
                <w:bCs/>
                <w:color w:val="auto"/>
                <w:sz w:val="24"/>
                <w:highlight w:val="none"/>
              </w:rPr>
              <w:t xml:space="preserve">加盖单位公章</w:t>
            </w:r>
            <w:r>
              <w:rPr>
                <w:rFonts w:hint="eastAsia" w:ascii="仿宋" w:hAnsi="仿宋" w:eastAsia="仿宋" w:cs="Times New Roman"/>
                <w:b/>
                <w:bCs/>
                <w:color w:val="auto"/>
                <w:sz w:val="24"/>
                <w:highlight w:val="none"/>
                <w:lang w:val="en-US" w:eastAsia="zh-CN"/>
              </w:rPr>
              <w:t xml:space="preserve">，否则不予得分。</w:t>
            </w:r>
            <w:r/>
          </w:p>
        </w:tc>
      </w:tr>
      <w:tr>
        <w:trPr>
          <w:jc w:val="center"/>
          <w:trHeight w:val="420"/>
        </w:trPr>
        <w:tc>
          <w:tcPr>
            <w:tcW w:w="543"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9</w:t>
            </w:r>
            <w:r/>
          </w:p>
        </w:tc>
        <w:tc>
          <w:tcPr>
            <w:tcW w:w="1579" w:type="dxa"/>
            <w:vAlign w:val="center"/>
            <w:textDirection w:val="lrTb"/>
            <w:noWrap w:val="false"/>
          </w:tcPr>
          <w:p>
            <w:pPr>
              <w:jc w:val="center"/>
              <w:rPr>
                <w:rFonts w:hint="eastAsia" w:ascii="仿宋" w:hAnsi="仿宋" w:eastAsia="仿宋" w:cs="宋体"/>
                <w:color w:val="auto"/>
                <w:sz w:val="22"/>
                <w:szCs w:val="22"/>
                <w:highlight w:val="none"/>
              </w:rPr>
            </w:pPr>
            <w:r>
              <w:rPr>
                <w:rFonts w:hint="eastAsia" w:ascii="仿宋" w:hAnsi="仿宋" w:eastAsia="仿宋" w:cs="Times New Roman"/>
                <w:color w:val="auto"/>
                <w:sz w:val="24"/>
                <w:highlight w:val="none"/>
              </w:rPr>
              <w:t xml:space="preserve">业绩</w:t>
            </w:r>
            <w:r/>
          </w:p>
        </w:tc>
        <w:tc>
          <w:tcPr>
            <w:tcW w:w="750" w:type="dxa"/>
            <w:vAlign w:val="center"/>
            <w:textDirection w:val="lrTb"/>
            <w:noWrap w:val="false"/>
          </w:tcPr>
          <w:p>
            <w:pPr>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 xml:space="preserve">14</w:t>
            </w:r>
            <w:r/>
          </w:p>
        </w:tc>
        <w:tc>
          <w:tcPr>
            <w:tcW w:w="6637" w:type="dxa"/>
            <w:vAlign w:val="center"/>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（1）供应商自2020年1月1日以来与政府签订的综合测绘合同（合同中需包含市政道路纵断面测量、市政道路横断面测量、地形图勘界等内容），有一份得2分，最高得6分；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w:t>
            </w:r>
            <w:r>
              <w:rPr>
                <w:rFonts w:hint="eastAsia" w:ascii="仿宋" w:hAnsi="仿宋" w:eastAsia="仿宋" w:cs="仿宋"/>
                <w:color w:val="auto"/>
                <w:spacing w:val="-6"/>
                <w:sz w:val="24"/>
                <w:highlight w:val="none"/>
                <w:lang w:val="en-US" w:eastAsia="zh-CN" w:bidi="zh-CN"/>
              </w:rPr>
              <w:t xml:space="preserve">供应商自2021年1月1日以来具有多测合一类业绩的（业绩合同中需同时包含选址测绘、征地勘界、供地勘界、拔地测量、地籍调查的），有一例得2分，最高8分</w:t>
            </w:r>
            <w:r>
              <w:rPr>
                <w:rFonts w:hint="eastAsia" w:ascii="仿宋" w:hAnsi="仿宋" w:eastAsia="仿宋" w:cs="Times New Roman"/>
                <w:color w:val="auto"/>
                <w:sz w:val="24"/>
                <w:highlight w:val="none"/>
                <w:lang w:val="en-US" w:eastAsia="zh-CN"/>
              </w:rPr>
              <w:t xml:space="preserve">；</w:t>
            </w:r>
            <w:r/>
          </w:p>
          <w:p>
            <w:pPr>
              <w:contextualSpacing/>
              <w:spacing w:line="320" w:lineRule="exact"/>
              <w:rPr>
                <w:rFonts w:hint="eastAsia" w:ascii="仿宋" w:hAnsi="仿宋" w:eastAsia="仿宋" w:cs="宋体"/>
                <w:color w:val="auto"/>
                <w:sz w:val="22"/>
                <w:szCs w:val="22"/>
                <w:highlight w:val="none"/>
              </w:rPr>
            </w:pPr>
            <w:r>
              <w:rPr>
                <w:rFonts w:hint="eastAsia" w:ascii="仿宋" w:hAnsi="仿宋" w:eastAsia="仿宋" w:cs="Times New Roman"/>
                <w:b/>
                <w:bCs/>
                <w:color w:val="auto"/>
                <w:sz w:val="24"/>
                <w:highlight w:val="none"/>
                <w:lang w:val="en-US" w:eastAsia="zh-CN"/>
              </w:rPr>
              <w:t xml:space="preserve">注：</w:t>
            </w:r>
            <w:r>
              <w:rPr>
                <w:rFonts w:hint="eastAsia" w:ascii="仿宋" w:hAnsi="仿宋" w:eastAsia="仿宋" w:cs="Times New Roman"/>
                <w:b/>
                <w:bCs/>
                <w:color w:val="auto"/>
                <w:sz w:val="24"/>
                <w:highlight w:val="none"/>
              </w:rPr>
              <w:t xml:space="preserve">提供测绘合同</w:t>
            </w:r>
            <w:r>
              <w:rPr>
                <w:rFonts w:hint="eastAsia" w:ascii="仿宋" w:hAnsi="仿宋" w:eastAsia="仿宋" w:cs="Times New Roman"/>
                <w:b/>
                <w:bCs/>
                <w:color w:val="auto"/>
                <w:sz w:val="24"/>
                <w:highlight w:val="none"/>
                <w:lang w:val="en-US" w:eastAsia="zh-CN"/>
              </w:rPr>
              <w:t xml:space="preserve">原件复印件，并加盖单位公章</w:t>
            </w:r>
            <w:r>
              <w:rPr>
                <w:rFonts w:hint="eastAsia" w:ascii="仿宋" w:hAnsi="仿宋" w:eastAsia="仿宋" w:cs="Times New Roman"/>
                <w:b/>
                <w:bCs/>
                <w:color w:val="auto"/>
                <w:sz w:val="24"/>
                <w:highlight w:val="none"/>
              </w:rPr>
              <w:t xml:space="preserve">，否则该项不得分。</w:t>
            </w:r>
            <w:r/>
          </w:p>
        </w:tc>
      </w:tr>
      <w:tr>
        <w:trPr>
          <w:jc w:val="center"/>
          <w:trHeight w:val="420"/>
        </w:trPr>
        <w:tc>
          <w:tcPr>
            <w:tcW w:w="543" w:type="dxa"/>
            <w:vAlign w:val="center"/>
            <w:textDirection w:val="lrTb"/>
            <w:noWrap w:val="false"/>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10</w:t>
            </w:r>
            <w:r/>
          </w:p>
        </w:tc>
        <w:tc>
          <w:tcPr>
            <w:tcW w:w="1579"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价格</w:t>
            </w:r>
            <w:r/>
          </w:p>
        </w:tc>
        <w:tc>
          <w:tcPr>
            <w:tcW w:w="750" w:type="dxa"/>
            <w:vAlign w:val="center"/>
            <w:textDirection w:val="lrTb"/>
            <w:noWrap w:val="false"/>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15</w:t>
            </w:r>
            <w:r/>
          </w:p>
        </w:tc>
        <w:tc>
          <w:tcPr>
            <w:tcW w:w="6637" w:type="dxa"/>
            <w:vAlign w:val="center"/>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价格分应当采用低价优先法计算，即满足磋商文件要求且最后报价最低的供应商的价格为磋商基准价，其价格分为满分。其他响应供应商的价格分统一按照下列公式计算：</w:t>
            </w:r>
            <w:r/>
          </w:p>
          <w:p>
            <w:pPr>
              <w:jc w:val="left"/>
              <w:rPr>
                <w:rFonts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磋商报价得分=(磋商基准价／最后磋商报价)×价格分分值</w:t>
            </w:r>
            <w:r/>
          </w:p>
        </w:tc>
      </w:tr>
      <w:tr>
        <w:trPr>
          <w:jc w:val="center"/>
          <w:trHeight w:val="420"/>
        </w:trPr>
        <w:tc>
          <w:tcPr>
            <w:gridSpan w:val="2"/>
            <w:tcW w:w="2122"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合计</w:t>
            </w:r>
            <w:r/>
          </w:p>
        </w:tc>
        <w:tc>
          <w:tcPr>
            <w:tcW w:w="750" w:type="dxa"/>
            <w:vAlign w:val="center"/>
            <w:textDirection w:val="lrTb"/>
            <w:noWrap w:val="false"/>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100</w:t>
            </w:r>
            <w:r/>
          </w:p>
        </w:tc>
        <w:tc>
          <w:tcPr>
            <w:tcW w:w="6637" w:type="dxa"/>
            <w:vAlign w:val="center"/>
            <w:textDirection w:val="lrTb"/>
            <w:noWrap w:val="false"/>
          </w:tcPr>
          <w:p>
            <w:pPr>
              <w:jc w:val="center"/>
              <w:rPr>
                <w:rFonts w:ascii="仿宋" w:hAnsi="仿宋" w:eastAsia="仿宋" w:cs="Times New Roman"/>
                <w:color w:val="auto"/>
                <w:sz w:val="24"/>
                <w:highlight w:val="none"/>
              </w:rPr>
            </w:pPr>
            <w:r>
              <w:rPr>
                <w:rFonts w:ascii="仿宋" w:hAnsi="仿宋" w:eastAsia="仿宋" w:cs="Times New Roman"/>
                <w:color w:val="auto"/>
                <w:sz w:val="24"/>
                <w:highlight w:val="none"/>
              </w:rPr>
            </w:r>
            <w:bookmarkEnd w:id="43"/>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中所提供的相关证书等证明材料如有有效期的均须在有效期内。</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中所提供的相关合同业绩、获奖证书、获奖文件、证明及报告等必须与原件一致。</w:t>
      </w:r>
      <w:r>
        <w:rPr>
          <w:rFonts w:hint="eastAsia" w:ascii="仿宋" w:hAnsi="仿宋" w:eastAsia="仿宋"/>
          <w:color w:val="auto"/>
          <w:sz w:val="28"/>
          <w:szCs w:val="28"/>
          <w:highlight w:val="none"/>
          <w:lang w:val="en-US" w:eastAsia="zh-CN"/>
        </w:rPr>
        <w:t xml:space="preserve">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.本项目商务技术评分标准中须提供的相关得分佐证材料较多，</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需有序放置于相应</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自行承担。</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3"/>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第6章 竞争性磋商响应文件组成</w:t>
      </w:r>
      <w:r/>
    </w:p>
    <w:p>
      <w:pPr>
        <w:pStyle w:val="893"/>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cs="Times New Roman"/>
          <w:b/>
          <w:color w:val="auto"/>
          <w:sz w:val="32"/>
          <w:szCs w:val="32"/>
          <w:highlight w:val="none"/>
          <w:lang w:eastAsia="zh-CN"/>
        </w:rPr>
        <w:t xml:space="preserve">2025年东陈镇测绘服务采购</w:t>
      </w:r>
      <w:r/>
    </w:p>
    <w:p>
      <w:pPr>
        <w:ind w:firstLine="2072"/>
        <w:rPr>
          <w:rFonts w:hint="eastAsia" w:ascii="宋体" w:hAnsi="宋体" w:eastAsia="宋体"/>
          <w:b/>
          <w:color w:val="auto"/>
          <w:sz w:val="32"/>
          <w:szCs w:val="32"/>
          <w:highlight w:val="none"/>
          <w:u w:val="single"/>
          <w:lang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JSZC-320682-NTJW-C2025-0080</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69"/>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69"/>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日</w:t>
      </w:r>
      <w:r/>
    </w:p>
    <w:p>
      <w:pPr>
        <w:ind w:firstLine="954"/>
        <w:rPr>
          <w:rFonts w:ascii="宋体" w:hAnsi="宋体"/>
          <w:b/>
          <w:color w:val="auto"/>
          <w:sz w:val="24"/>
          <w:highlight w:val="none"/>
        </w:rPr>
      </w:pPr>
      <w:r>
        <w:rPr>
          <w:rFonts w:ascii="宋体" w:hAnsi="宋体"/>
          <w:b/>
          <w:color w:val="auto"/>
          <w:sz w:val="24"/>
          <w:highlight w:val="none"/>
        </w:rPr>
      </w:r>
      <w:r/>
    </w:p>
    <w:p>
      <w:pPr>
        <w:ind w:firstLine="560"/>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一、资格证明文件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（六）法定代表人身份证明及身份证复印件</w:t>
      </w:r>
      <w:r/>
    </w:p>
    <w:p>
      <w:pPr>
        <w:ind w:firstLine="562"/>
        <w:jc w:val="center"/>
        <w:spacing w:before="50" w:after="156"/>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rPr>
          <w:rFonts w:hint="eastAsia" w:ascii="仿宋" w:hAnsi="仿宋" w:eastAsia="仿宋"/>
          <w:color w:val="auto"/>
          <w:sz w:val="28"/>
          <w:szCs w:val="28"/>
          <w:highlight w:val="none"/>
          <w:u w:val="single"/>
        </w:rPr>
        <w:t xml:space="preserve">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rPr>
          <w:rFonts w:hint="eastAsia" w:ascii="仿宋" w:hAnsi="仿宋" w:eastAsia="仿宋"/>
          <w:color w:val="auto"/>
          <w:sz w:val="28"/>
          <w:szCs w:val="28"/>
          <w:highlight w:val="none"/>
          <w:u w:val="single"/>
        </w:rPr>
        <w:t xml:space="preserve">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性别： </w:t>
      </w:r>
      <w:r>
        <w:rPr>
          <w:rFonts w:hint="eastAsia" w:ascii="仿宋" w:hAnsi="仿宋" w:eastAsia="仿宋"/>
          <w:color w:val="auto"/>
          <w:sz w:val="28"/>
          <w:szCs w:val="28"/>
          <w:highlight w:val="none"/>
          <w:u w:val="single"/>
        </w:rPr>
        <w:t xml:space="preserve">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年龄：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系</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（供应商名称）的法定代表人。 特此证明。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              </w:t>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日期：   年   月   日</w:t>
      </w:r>
      <w:r>
        <w:rPr>
          <w:rFonts w:ascii="仿宋" w:hAnsi="仿宋" w:eastAsia="仿宋"/>
          <w:color w:val="auto"/>
          <w:sz w:val="28"/>
          <w:szCs w:val="28"/>
          <w:highlight w:val="none"/>
        </w:rPr>
        <w:br w:type="page" w:clear="all"/>
      </w:r>
      <w:r/>
    </w:p>
    <w:p>
      <w:pPr>
        <w:jc w:val="lef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9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_（供应商名称）授权________（代理人的姓名）为我方就项目名称：</w:t>
      </w:r>
      <w:r>
        <w:rPr>
          <w:rFonts w:hint="eastAsia" w:ascii="仿宋" w:hAnsi="仿宋" w:eastAsia="仿宋"/>
          <w:color w:val="auto"/>
          <w:sz w:val="28"/>
          <w:szCs w:val="28"/>
          <w:highlight w:val="none"/>
          <w:u w:val="single"/>
          <w:lang w:eastAsia="zh-CN"/>
        </w:rPr>
        <w:t xml:space="preserve">2025年东陈镇测绘服务采购</w:t>
      </w:r>
      <w:r>
        <w:rPr>
          <w:rFonts w:hint="eastAsia" w:ascii="仿宋" w:hAnsi="仿宋" w:eastAsia="仿宋"/>
          <w:color w:val="auto"/>
          <w:sz w:val="28"/>
          <w:szCs w:val="28"/>
          <w:highlight w:val="none"/>
          <w:u w:val="single"/>
        </w:rPr>
        <w:t xml:space="preserve">项目，</w:t>
      </w:r>
      <w:r>
        <w:rPr>
          <w:rFonts w:hint="eastAsia" w:ascii="仿宋" w:hAnsi="仿宋" w:eastAsia="仿宋"/>
          <w:color w:val="auto"/>
          <w:sz w:val="28"/>
          <w:szCs w:val="28"/>
          <w:highlight w:val="none"/>
        </w:rPr>
        <w:t xml:space="preserve">编号:</w:t>
      </w:r>
      <w:r>
        <w:rPr>
          <w:rFonts w:hint="eastAsia" w:ascii="仿宋" w:hAnsi="仿宋" w:eastAsia="仿宋"/>
          <w:color w:val="auto"/>
          <w:sz w:val="28"/>
          <w:szCs w:val="28"/>
          <w:highlight w:val="none"/>
          <w:u w:val="single"/>
          <w:lang w:eastAsia="zh-CN"/>
        </w:rPr>
        <w:t xml:space="preserve">320682-2025-06-0020</w:t>
      </w:r>
      <w:r>
        <w:rPr>
          <w:rFonts w:hint="eastAsia" w:ascii="仿宋" w:hAnsi="仿宋" w:eastAsia="仿宋"/>
          <w:color w:val="auto"/>
          <w:sz w:val="28"/>
          <w:szCs w:val="28"/>
          <w:highlight w:val="none"/>
        </w:rPr>
        <w:t xml:space="preserve">_采购活动的合法代理人，以本公司名义全权处理一切与该项目采购有关的事务。</w:t>
      </w:r>
      <w:r/>
    </w:p>
    <w:p>
      <w:pPr>
        <w:pStyle w:val="89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9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5"/>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9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95"/>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9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9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9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9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5"/>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95"/>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9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6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法定代表人身份证复印件</w:t>
      </w:r>
      <w:r/>
    </w:p>
    <w:p>
      <w:pPr>
        <w:pStyle w:val="865"/>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65"/>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65"/>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pStyle w:val="865"/>
        <w:rPr>
          <w:rFonts w:ascii="宋体" w:hAnsi="宋体"/>
          <w:color w:val="auto"/>
          <w:sz w:val="24"/>
          <w:highlight w:val="none"/>
        </w:rPr>
      </w:pPr>
      <w:r>
        <w:rPr>
          <w:rFonts w:ascii="宋体" w:hAnsi="宋体"/>
          <w:color w:val="auto"/>
          <w:sz w:val="24"/>
          <w:highlight w:val="none"/>
        </w:rPr>
      </w:r>
      <w:r/>
    </w:p>
    <w:p>
      <w:pPr>
        <w:ind w:firstLine="480"/>
        <w:jc w:val="left"/>
        <w:spacing w:before="50" w:after="156"/>
        <w:rPr>
          <w:rFonts w:ascii="仿宋" w:hAnsi="仿宋" w:eastAsia="仿宋"/>
          <w:color w:val="auto"/>
          <w:sz w:val="24"/>
          <w:highlight w:val="none"/>
        </w:rPr>
      </w:pPr>
      <w:r>
        <w:rPr>
          <w:rFonts w:ascii="仿宋" w:hAnsi="仿宋" w:eastAsia="仿宋"/>
          <w:color w:val="auto"/>
          <w:sz w:val="24"/>
          <w:highlight w:val="none"/>
        </w:rPr>
      </w:r>
      <w:r/>
    </w:p>
    <w:p>
      <w:pPr>
        <w:ind w:firstLine="480"/>
        <w:jc w:val="left"/>
        <w:spacing w:before="50" w:after="156"/>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（八）</w:t>
      </w:r>
      <w:r>
        <w:rPr>
          <w:rFonts w:hint="eastAsia" w:ascii="仿宋" w:hAnsi="仿宋" w:eastAsia="仿宋" w:cs="Arial"/>
          <w:color w:val="auto"/>
          <w:sz w:val="28"/>
          <w:szCs w:val="28"/>
          <w:highlight w:val="none"/>
        </w:rPr>
        <w:t xml:space="preserve">磋商响应函</w:t>
      </w:r>
      <w:r/>
    </w:p>
    <w:p>
      <w:pPr>
        <w:jc w:val="center"/>
        <w:spacing w:before="50" w:after="156"/>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竞争性磋商响应函</w:t>
      </w:r>
      <w:r/>
    </w:p>
    <w:p>
      <w:pPr>
        <w:pStyle w:val="895"/>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致：如皋市</w:t>
      </w:r>
      <w:r>
        <w:rPr>
          <w:rFonts w:hint="eastAsia" w:ascii="仿宋" w:hAnsi="仿宋" w:eastAsia="仿宋"/>
          <w:color w:val="auto"/>
          <w:sz w:val="28"/>
          <w:szCs w:val="28"/>
          <w:highlight w:val="none"/>
          <w:lang w:val="en-US" w:eastAsia="zh-CN"/>
        </w:rPr>
        <w:t xml:space="preserve">东陈</w:t>
      </w:r>
      <w:r>
        <w:rPr>
          <w:rFonts w:hint="eastAsia" w:ascii="仿宋" w:hAnsi="仿宋" w:eastAsia="仿宋"/>
          <w:color w:val="auto"/>
          <w:sz w:val="28"/>
          <w:szCs w:val="28"/>
          <w:highlight w:val="none"/>
        </w:rPr>
        <w:t xml:space="preserve">镇人民政府</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eastAsia="zh-CN"/>
        </w:rPr>
        <w:t xml:space="preserve">2025年东陈镇测绘服务采购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320682-2025-06-0020</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89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89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9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9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9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9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jc w:val="left"/>
        <w:spacing w:before="50" w:after="156"/>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ind w:firstLine="560"/>
        <w:jc w:val="left"/>
        <w:spacing w:before="50" w:after="15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（九）其他资格证明材料（应当根据本项目供应商资格要求，详细列出需要提供的证明材料名称）</w:t>
      </w:r>
      <w:r/>
    </w:p>
    <w:p>
      <w:pPr>
        <w:pStyle w:val="876"/>
        <w:ind w:firstLine="567"/>
        <w:spacing w:before="0" w:beforeAutospacing="0" w:after="0" w:afterAutospacing="0" w:line="500" w:lineRule="exact"/>
        <w:shd w:val="clear" w:color="auto" w:fill="ffff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1</w:t>
      </w:r>
      <w:r>
        <w:rPr>
          <w:rFonts w:hint="eastAsia" w:ascii="仿宋" w:hAnsi="仿宋" w:eastAsia="仿宋" w:cs="Times New Roman"/>
          <w:b/>
          <w:bCs/>
          <w:color w:val="auto"/>
          <w:sz w:val="28"/>
          <w:szCs w:val="28"/>
          <w:highlight w:val="none"/>
        </w:rPr>
        <w:t xml:space="preserve">）响应供应商须具备国家测绘主管部门颁发的测绘乙级及以上资质（专业范围包括工程测量）。</w:t>
      </w:r>
      <w:r/>
    </w:p>
    <w:p>
      <w:pPr>
        <w:pStyle w:val="876"/>
        <w:ind w:firstLine="567"/>
        <w:spacing w:before="0" w:beforeAutospacing="0" w:after="0" w:afterAutospacing="0" w:line="500" w:lineRule="exact"/>
        <w:shd w:val="clear" w:color="auto" w:fill="ffff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2</w:t>
      </w:r>
      <w:r>
        <w:rPr>
          <w:rFonts w:hint="eastAsia" w:ascii="仿宋" w:hAnsi="仿宋" w:eastAsia="仿宋" w:cs="Times New Roman"/>
          <w:b/>
          <w:bCs/>
          <w:color w:val="auto"/>
          <w:sz w:val="28"/>
          <w:szCs w:val="28"/>
          <w:highlight w:val="none"/>
        </w:rPr>
        <w:t xml:space="preserve">）响应供应商拟派项目负责人须具有测绘相关专业中级及以上职称。</w:t>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pStyle w:val="900"/>
        <w:ind w:left="0" w:firstLine="0"/>
        <w:rPr>
          <w:color w:val="auto"/>
          <w:highlight w:val="none"/>
        </w:rPr>
      </w:pPr>
      <w:r>
        <w:rPr>
          <w:color w:val="auto"/>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二、商务技术文件</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（一）评分索引表</w:t>
      </w:r>
      <w:r/>
    </w:p>
    <w:p>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评分索引表</w:t>
      </w:r>
      <w:r/>
    </w:p>
    <w:p>
      <w:pPr>
        <w:ind w:firstLine="641"/>
        <w:jc w:val="center"/>
        <w:rPr>
          <w:color w:val="auto"/>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线上评审项目无需提供</w:t>
      </w:r>
      <w:r>
        <w:rPr>
          <w:rFonts w:hint="eastAsia" w:ascii="仿宋" w:hAnsi="仿宋" w:eastAsia="仿宋"/>
          <w:color w:val="auto"/>
          <w:sz w:val="28"/>
          <w:szCs w:val="28"/>
          <w:highlight w:val="none"/>
        </w:rPr>
        <w:t xml:space="preserve">）</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pPr>
      <w:r>
        <w:rPr>
          <w:rFonts w:hint="eastAsia" w:ascii="仿宋" w:hAnsi="仿宋" w:eastAsia="仿宋"/>
          <w:color w:val="auto"/>
          <w:szCs w:val="21"/>
          <w:highlight w:val="none"/>
        </w:rPr>
        <w:t xml:space="preserve">注：按照竞争性磋商文件要求详细填列，可增减行。</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numPr>
          <w:ilvl w:val="0"/>
          <w:numId w:val="2"/>
        </w:numPr>
        <w:ind w:firstLine="560"/>
        <w:rPr>
          <w:rFonts w:hint="eastAsia" w:eastAsia="宋体"/>
          <w:color w:val="auto"/>
          <w:highlight w:val="none"/>
          <w:lang w:val="en-US" w:eastAsia="zh-CN"/>
        </w:rPr>
      </w:pPr>
      <w:r>
        <w:rPr>
          <w:rFonts w:hint="eastAsia" w:ascii="仿宋" w:hAnsi="仿宋" w:eastAsia="仿宋"/>
          <w:bCs/>
          <w:color w:val="auto"/>
          <w:sz w:val="28"/>
          <w:szCs w:val="28"/>
          <w:highlight w:val="none"/>
        </w:rPr>
        <w:t xml:space="preserve">符合技术要求或者服务要求的相关证明材料</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无。</w:t>
      </w:r>
      <w:r/>
    </w:p>
    <w:p>
      <w:pPr>
        <w:pStyle w:val="864"/>
        <w:rPr>
          <w:color w:val="auto"/>
          <w:highlight w:val="none"/>
        </w:rPr>
      </w:pPr>
      <w:r>
        <w:rPr>
          <w:color w:val="auto"/>
          <w:highlight w:val="none"/>
        </w:rPr>
      </w:r>
      <w:r/>
    </w:p>
    <w:p>
      <w:pPr>
        <w:pStyle w:val="863"/>
        <w:rPr>
          <w:color w:val="auto"/>
          <w:highlight w:val="none"/>
        </w:rPr>
      </w:pPr>
      <w:r>
        <w:rPr>
          <w:color w:val="auto"/>
          <w:highlight w:val="none"/>
        </w:rPr>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（三）技术部分正负偏离表</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tbl>
      <w:tblPr>
        <w:tblStyle w:val="8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服务</w:t>
            </w:r>
            <w:r>
              <w:rPr>
                <w:rFonts w:hint="eastAsia" w:ascii="仿宋" w:hAnsi="仿宋" w:eastAsia="仿宋"/>
                <w:color w:val="auto"/>
                <w:sz w:val="24"/>
                <w:highlight w:val="none"/>
              </w:rPr>
              <w:t xml:space="preserve">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rPr>
          <w:rFonts w:hint="default" w:ascii="仿宋" w:hAnsi="仿宋" w:eastAsia="仿宋"/>
          <w:color w:val="auto"/>
          <w:szCs w:val="21"/>
          <w:highlight w:val="none"/>
          <w:lang w:val="en-US" w:eastAsia="zh-CN"/>
        </w:rPr>
      </w:pPr>
      <w:r>
        <w:rPr>
          <w:rFonts w:hint="eastAsia" w:ascii="仿宋" w:hAnsi="仿宋" w:eastAsia="仿宋"/>
          <w:color w:val="auto"/>
          <w:sz w:val="28"/>
          <w:szCs w:val="28"/>
          <w:highlight w:val="none"/>
          <w:lang w:val="en-US" w:eastAsia="zh-CN"/>
        </w:rPr>
        <w:t xml:space="preserve">注：服务类项目提供空白视为完全响应采购文件规定服务要求。</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（四）商务部分正负偏离表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86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1"/>
        <w:gridCol w:w="867"/>
        <w:gridCol w:w="5233"/>
        <w:gridCol w:w="1017"/>
        <w:gridCol w:w="1367"/>
        <w:gridCol w:w="635"/>
      </w:tblGrid>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default" w:ascii="仿宋" w:hAnsi="仿宋" w:eastAsia="仿宋"/>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5233"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自合同签订之日起一年或至项目结算总额达到50万元合同解除，具体时间以采购人通知为准。</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63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default" w:ascii="仿宋" w:hAnsi="仿宋" w:eastAsia="仿宋"/>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5233"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63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验收标准</w:t>
            </w:r>
            <w:r/>
          </w:p>
        </w:tc>
        <w:tc>
          <w:tcPr>
            <w:tcBorders>
              <w:top w:val="single" w:color="auto" w:sz="4" w:space="0"/>
              <w:left w:val="single" w:color="auto" w:sz="4" w:space="0"/>
              <w:bottom w:val="single" w:color="auto" w:sz="4" w:space="0"/>
              <w:right w:val="single" w:color="auto" w:sz="4" w:space="0"/>
            </w:tcBorders>
            <w:tcW w:w="5233" w:type="dxa"/>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rPr>
              <w:t xml:space="preserve">符合国家、江苏省现行规定标准，做到及时、科学、准确。</w:t>
            </w:r>
            <w:r/>
          </w:p>
          <w:p>
            <w:pPr>
              <w:rPr>
                <w:rFonts w:ascii="仿宋" w:hAnsi="仿宋" w:eastAsia="仿宋"/>
                <w:color w:val="auto"/>
                <w:sz w:val="24"/>
                <w:highlight w:val="none"/>
              </w:rPr>
            </w:pPr>
            <w:r>
              <w:rPr>
                <w:rFonts w:hint="eastAsia" w:ascii="仿宋" w:hAnsi="仿宋" w:eastAsia="仿宋"/>
                <w:color w:val="auto"/>
                <w:sz w:val="24"/>
                <w:highlight w:val="none"/>
              </w:rPr>
              <w:t xml:space="preserve">采购人负责对各阶段成果进行审查，承接单位负责审查所必需的汇报资料和进行方案介绍。承接单位需配合制作本项目各阶段向上级领导专题汇报、会议汇报和对外交流等材料。</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63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报价货币</w:t>
            </w:r>
            <w:r/>
          </w:p>
        </w:tc>
        <w:tc>
          <w:tcPr>
            <w:tcBorders>
              <w:top w:val="single" w:color="auto" w:sz="4" w:space="0"/>
              <w:left w:val="single" w:color="auto" w:sz="4" w:space="0"/>
              <w:bottom w:val="single" w:color="auto" w:sz="4" w:space="0"/>
              <w:right w:val="single" w:color="auto" w:sz="4" w:space="0"/>
            </w:tcBorders>
            <w:tcW w:w="5233" w:type="dxa"/>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63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left="0" w:right="0"/>
              <w:jc w:val="center"/>
              <w:keepLines w:val="0"/>
              <w:keepNext w:val="0"/>
              <w:spacing w:before="0" w:beforeAutospacing="0" w:after="0" w:afterAutospacing="0"/>
              <w:rPr>
                <w:rFonts w:ascii="仿宋" w:hAnsi="仿宋" w:eastAsia="仿宋"/>
                <w:color w:val="auto"/>
                <w:sz w:val="24"/>
                <w:highlight w:val="none"/>
              </w:rPr>
              <w:suppressLineNumbers w:val="0"/>
            </w:pPr>
            <w:r>
              <w:rPr>
                <w:rFonts w:hint="default" w:ascii="仿宋" w:hAnsi="仿宋" w:eastAsia="仿宋"/>
                <w:color w:val="auto"/>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5233"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根据实际工作量（以业主签字确认的工作量清单作为依据），按照合同约定的收费标准，在农历年底前根据结算的费用一次性付清。每次支付前，成交人均应出具在税务部门开具的正式税票。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63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5233" w:type="dxa"/>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rPr>
              <w:t xml:space="preserve">（一）报价要求：根据《测绘生产成本费用定额》及有关细则的通知（财建〔2009〕17号）的收费指导价计费，响应供应商所</w:t>
            </w:r>
            <w:r>
              <w:rPr>
                <w:rFonts w:hint="eastAsia" w:ascii="仿宋" w:hAnsi="仿宋" w:eastAsia="仿宋"/>
                <w:color w:val="auto"/>
                <w:sz w:val="24"/>
                <w:highlight w:val="none"/>
                <w:lang w:val="en-US" w:eastAsia="zh-CN"/>
              </w:rPr>
              <w:t xml:space="preserve">报</w:t>
            </w:r>
            <w:r>
              <w:rPr>
                <w:rFonts w:hint="eastAsia" w:ascii="仿宋" w:hAnsi="仿宋" w:eastAsia="仿宋"/>
                <w:color w:val="auto"/>
                <w:sz w:val="24"/>
                <w:highlight w:val="none"/>
              </w:rPr>
              <w:t xml:space="preserve">优惠率不得低于收费指导价的20%，最终按实际工作量*（1-优惠率）进行结算，结算总额不超过50万元，所报优惠率低于最低优惠率为无效响应。响应供应商报价应包含本项目所含直接成本、间接成本、税费、代理服务费等一切与之相关费用。</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二）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63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注：按照竞争性磋商文件要求详细填列，可增减行。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numPr>
          <w:ilvl w:val="0"/>
          <w:numId w:val="3"/>
        </w:num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竞争性磋商文件规定提交的其他材料</w:t>
      </w:r>
      <w:r/>
    </w:p>
    <w:p>
      <w:pPr>
        <w:pStyle w:val="895"/>
        <w:ind w:firstLine="560"/>
        <w:spacing w:line="50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val="zh-CN" w:eastAsia="zh-CN"/>
        </w:rPr>
        <w:t xml:space="preserve">项目管理</w:t>
      </w:r>
      <w:r/>
    </w:p>
    <w:p>
      <w:pPr>
        <w:pStyle w:val="895"/>
        <w:ind w:firstLine="560"/>
        <w:spacing w:line="50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val="zh-CN" w:eastAsia="zh-CN"/>
        </w:rPr>
        <w:t xml:space="preserve">进度安排</w:t>
      </w:r>
      <w:r/>
    </w:p>
    <w:p>
      <w:pPr>
        <w:pStyle w:val="895"/>
        <w:ind w:firstLine="560"/>
        <w:spacing w:line="50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val="zh-CN" w:eastAsia="zh-CN"/>
        </w:rPr>
        <w:t xml:space="preserve">质量保证措施</w:t>
      </w:r>
      <w:r/>
    </w:p>
    <w:p>
      <w:pPr>
        <w:pStyle w:val="895"/>
        <w:ind w:firstLine="560"/>
        <w:spacing w:line="50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val="zh-CN" w:eastAsia="zh-CN"/>
        </w:rPr>
        <w:t xml:space="preserve">技术方案</w:t>
      </w:r>
      <w:r/>
    </w:p>
    <w:p>
      <w:pPr>
        <w:pStyle w:val="895"/>
        <w:ind w:firstLine="560"/>
        <w:spacing w:line="50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val="zh-CN" w:eastAsia="zh-CN"/>
        </w:rPr>
        <w:t xml:space="preserve">项目人员组成</w:t>
      </w:r>
      <w:r/>
    </w:p>
    <w:p>
      <w:pPr>
        <w:pStyle w:val="895"/>
        <w:ind w:firstLine="560"/>
        <w:spacing w:line="50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val="zh-CN" w:eastAsia="zh-CN"/>
        </w:rPr>
        <w:t xml:space="preserve">设备保障</w:t>
      </w:r>
      <w:r/>
    </w:p>
    <w:p>
      <w:pPr>
        <w:pStyle w:val="895"/>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7.资质证书</w:t>
      </w:r>
      <w:r/>
    </w:p>
    <w:p>
      <w:pPr>
        <w:pStyle w:val="895"/>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8.荣誉奖项</w:t>
      </w:r>
      <w:r/>
    </w:p>
    <w:p>
      <w:pPr>
        <w:pStyle w:val="864"/>
        <w:rPr>
          <w:rFonts w:hint="eastAsia"/>
          <w:color w:val="auto"/>
          <w:highlight w:val="none"/>
        </w:rPr>
      </w:pPr>
      <w:r>
        <w:rPr>
          <w:rFonts w:hint="eastAsia"/>
          <w:color w:val="auto"/>
          <w:highlight w:val="none"/>
        </w:rPr>
      </w:r>
      <w:r/>
    </w:p>
    <w:p>
      <w:pPr>
        <w:pStyle w:val="863"/>
        <w:rPr>
          <w:rFonts w:hint="eastAsia"/>
          <w:color w:val="auto"/>
          <w:highlight w:val="none"/>
        </w:rPr>
      </w:pPr>
      <w:r>
        <w:rPr>
          <w:rFonts w:hint="eastAsia"/>
          <w:color w:val="auto"/>
          <w:highlight w:val="none"/>
        </w:rPr>
      </w:r>
      <w:r/>
    </w:p>
    <w:p>
      <w:pPr>
        <w:pStyle w:val="863"/>
        <w:numPr>
          <w:ilvl w:val="0"/>
          <w:numId w:val="0"/>
        </w:numPr>
        <w:rPr>
          <w:color w:val="auto"/>
          <w:highlight w:val="none"/>
        </w:rPr>
      </w:pPr>
      <w:r>
        <w:rPr>
          <w:color w:val="auto"/>
          <w:highlight w:val="none"/>
        </w:rPr>
      </w:r>
      <w:r/>
    </w:p>
    <w:p>
      <w:pPr>
        <w:jc w:val="left"/>
        <w:widowControl/>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ind w:firstLine="560"/>
        <w:rPr>
          <w:rFonts w:ascii="黑体" w:hAnsi="黑体" w:eastAsia="黑体"/>
          <w:bCs/>
          <w:color w:val="auto"/>
          <w:sz w:val="28"/>
          <w:szCs w:val="28"/>
          <w:highlight w:val="none"/>
        </w:rPr>
      </w:pPr>
      <w:r>
        <w:rPr>
          <w:rFonts w:hint="eastAsia" w:ascii="黑体" w:hAnsi="黑体" w:eastAsia="黑体"/>
          <w:color w:val="auto"/>
          <w:sz w:val="28"/>
          <w:szCs w:val="28"/>
          <w:highlight w:val="none"/>
        </w:rPr>
        <w:t xml:space="preserve">三、报价文件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（一）竞争性磋商响应报价表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竞争性磋商响应报价表</w:t>
      </w:r>
      <w:r/>
    </w:p>
    <w:tbl>
      <w:tblPr>
        <w:tblStyle w:val="862"/>
        <w:tblW w:w="9157" w:type="dxa"/>
        <w:tblInd w:w="0" w:type="dxa"/>
        <w:tblLayout w:type="fixed"/>
        <w:tblCellMar>
          <w:left w:w="108" w:type="dxa"/>
          <w:top w:w="0" w:type="dxa"/>
          <w:right w:w="108" w:type="dxa"/>
          <w:bottom w:w="0" w:type="dxa"/>
        </w:tblCellMar>
        <w:tblLook w:val="04A0" w:firstRow="1" w:lastRow="0" w:firstColumn="1" w:lastColumn="0" w:noHBand="0" w:noVBand="1"/>
      </w:tblPr>
      <w:tblGrid>
        <w:gridCol w:w="95"/>
        <w:gridCol w:w="904"/>
        <w:gridCol w:w="2692"/>
        <w:gridCol w:w="2711"/>
        <w:gridCol w:w="2500"/>
        <w:gridCol w:w="255"/>
      </w:tblGrid>
      <w:tr>
        <w:trPr>
          <w:gridAfter w:val="1"/>
          <w:gridBefore w:val="1"/>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gridAfter w:val="1"/>
          <w:gridBefore w:val="1"/>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eastAsia="zh-CN"/>
              </w:rPr>
              <w:t xml:space="preserve">2025年东陈镇测绘服务采购</w:t>
            </w:r>
            <w:r/>
          </w:p>
        </w:tc>
      </w:tr>
      <w:tr>
        <w:trPr>
          <w:gridAfter w:val="1"/>
          <w:gridBefore w:val="1"/>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eastAsia="zh-CN"/>
              </w:rPr>
              <w:t xml:space="preserve">JSZC-320682-NTJW-C2025-0080</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r>
      <w:tr>
        <w:trPr>
          <w:cantSplit/>
          <w:jc w:val="center"/>
          <w:trHeight w:val="1105"/>
        </w:trPr>
        <w:tc>
          <w:tcPr>
            <w:gridSpan w:val="2"/>
            <w:tcW w:w="999" w:type="dxa"/>
            <w:vAlign w:val="center"/>
            <w:textDirection w:val="lrTb"/>
            <w:noWrap w:val="false"/>
          </w:tcPr>
          <w:p>
            <w:pPr>
              <w:pStyle w:val="869"/>
              <w:jc w:val="center"/>
              <w:spacing w:after="0" w:line="24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2692" w:type="dxa"/>
            <w:vAlign w:val="center"/>
            <w:textDirection w:val="lrTb"/>
            <w:noWrap w:val="false"/>
          </w:tcPr>
          <w:p>
            <w:pPr>
              <w:pStyle w:val="869"/>
              <w:jc w:val="center"/>
              <w:spacing w:after="0" w:line="24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服务名称</w:t>
            </w:r>
            <w:r/>
          </w:p>
        </w:tc>
        <w:tc>
          <w:tcPr>
            <w:gridSpan w:val="3"/>
            <w:tcW w:w="5466" w:type="dxa"/>
            <w:vAlign w:val="center"/>
            <w:textDirection w:val="lrTb"/>
            <w:noWrap w:val="false"/>
          </w:tcPr>
          <w:p>
            <w:pPr>
              <w:pStyle w:val="869"/>
              <w:jc w:val="center"/>
              <w:spacing w:after="0" w:line="24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优惠率</w:t>
            </w:r>
            <w:r>
              <w:rPr>
                <w:rFonts w:hint="eastAsia" w:ascii="仿宋" w:hAnsi="仿宋" w:eastAsia="仿宋"/>
                <w:color w:val="auto"/>
                <w:sz w:val="24"/>
                <w:szCs w:val="24"/>
                <w:highlight w:val="none"/>
              </w:rPr>
              <w:t xml:space="preserve">（%）</w:t>
            </w:r>
            <w:r/>
          </w:p>
        </w:tc>
      </w:tr>
      <w:tr>
        <w:trPr>
          <w:cantSplit/>
          <w:jc w:val="center"/>
          <w:trHeight w:val="1278"/>
        </w:trPr>
        <w:tc>
          <w:tcPr>
            <w:gridSpan w:val="2"/>
            <w:tcW w:w="999" w:type="dxa"/>
            <w:vAlign w:val="center"/>
            <w:textDirection w:val="lrTb"/>
            <w:noWrap w:val="false"/>
          </w:tcPr>
          <w:p>
            <w:pPr>
              <w:pStyle w:val="869"/>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W w:w="2692" w:type="dxa"/>
            <w:vAlign w:val="center"/>
            <w:textDirection w:val="lrTb"/>
            <w:noWrap w:val="false"/>
          </w:tcPr>
          <w:p>
            <w:pPr>
              <w:pStyle w:val="869"/>
              <w:jc w:val="center"/>
              <w:spacing w:after="0" w:line="24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2025年东陈镇测绘服务采购</w:t>
            </w:r>
            <w:r/>
          </w:p>
        </w:tc>
        <w:tc>
          <w:tcPr>
            <w:gridSpan w:val="3"/>
            <w:tcW w:w="5466" w:type="dxa"/>
            <w:vAlign w:val="center"/>
            <w:textDirection w:val="lrTb"/>
            <w:noWrap w:val="false"/>
          </w:tcPr>
          <w:p>
            <w:pPr>
              <w:pStyle w:val="869"/>
              <w:jc w:val="both"/>
              <w:spacing w:after="0" w:line="24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小写：</w:t>
            </w:r>
            <w:r>
              <w:rPr>
                <w:rFonts w:hint="eastAsia" w:ascii="仿宋" w:hAnsi="仿宋" w:eastAsia="仿宋"/>
                <w:color w:val="auto"/>
                <w:sz w:val="24"/>
                <w:szCs w:val="24"/>
                <w:highlight w:val="none"/>
                <w:lang w:val="en-US" w:eastAsia="zh-CN"/>
              </w:rPr>
              <w:t xml:space="preserve">优惠率</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w:t>
            </w:r>
            <w:r/>
          </w:p>
          <w:p>
            <w:pPr>
              <w:pStyle w:val="869"/>
              <w:jc w:val="both"/>
              <w:spacing w:after="0" w:line="24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大写：</w:t>
            </w:r>
            <w:r>
              <w:rPr>
                <w:rFonts w:hint="eastAsia" w:ascii="仿宋" w:hAnsi="仿宋" w:eastAsia="仿宋"/>
                <w:color w:val="auto"/>
                <w:sz w:val="24"/>
                <w:szCs w:val="24"/>
                <w:highlight w:val="none"/>
                <w:lang w:val="en-US" w:eastAsia="zh-CN"/>
              </w:rPr>
              <w:t xml:space="preserve">优惠率</w:t>
            </w:r>
            <w:r>
              <w:rPr>
                <w:rFonts w:hint="eastAsia" w:ascii="仿宋" w:hAnsi="仿宋" w:eastAsia="仿宋" w:cs="宋体"/>
                <w:color w:val="auto"/>
                <w:sz w:val="24"/>
                <w:highlight w:val="none"/>
              </w:rPr>
              <w:t xml:space="preserve">百分之</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p>
        </w:tc>
      </w:tr>
    </w:tbl>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）中小企业声明函</w:t>
      </w:r>
      <w:r/>
    </w:p>
    <w:p>
      <w:pPr>
        <w:jc w:val="center"/>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r>
      <w:r/>
    </w:p>
    <w:p>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中小企业声明函（工程、服务）</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（如皋市东陈镇人民政府）</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eastAsia="zh-CN"/>
        </w:rPr>
        <w:t xml:space="preserve">2025年东陈镇测绘服务采购</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eastAsia="zh-CN"/>
        </w:rPr>
        <w:t xml:space="preserve">2025年东陈镇测绘服务采购</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其他未列明</w:t>
      </w:r>
      <w:r>
        <w:rPr>
          <w:rFonts w:hint="eastAsia" w:ascii="仿宋" w:hAnsi="仿宋" w:eastAsia="仿宋"/>
          <w:i/>
          <w:color w:val="auto"/>
          <w:sz w:val="32"/>
          <w:szCs w:val="32"/>
          <w:highlight w:val="none"/>
          <w:u w:val="single"/>
        </w:rPr>
        <w:t xml:space="preserve">行业）</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残疾人福利性单位声明函</w:t>
      </w:r>
      <w:r>
        <w:rPr>
          <w:rFonts w:hint="eastAsia" w:ascii="仿宋" w:hAnsi="仿宋" w:eastAsia="仿宋"/>
          <w:color w:val="auto"/>
          <w:sz w:val="28"/>
          <w:szCs w:val="28"/>
          <w:highlight w:val="none"/>
        </w:rPr>
        <w:t xml:space="preserve">（根据响应供应商具体情况而定，如不属于可删除）</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如皋市东陈镇人民政府</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eastAsia="zh-CN"/>
        </w:rPr>
        <w:t xml:space="preserve">JSZC-320682-NTJW-C2025-0080</w:t>
      </w:r>
      <w:r>
        <w:rPr>
          <w:rFonts w:hint="eastAsia" w:ascii="仿宋" w:hAnsi="仿宋" w:eastAsia="仿宋"/>
          <w:color w:val="auto"/>
          <w:sz w:val="28"/>
          <w:szCs w:val="28"/>
          <w:highlight w:val="none"/>
        </w:rPr>
        <w:t xml:space="preserve">的</w:t>
      </w:r>
      <w:r>
        <w:rPr>
          <w:rFonts w:hint="eastAsia" w:ascii="仿宋" w:hAnsi="仿宋" w:eastAsia="仿宋"/>
          <w:i/>
          <w:color w:val="auto"/>
          <w:sz w:val="32"/>
          <w:szCs w:val="32"/>
          <w:highlight w:val="none"/>
          <w:u w:val="single"/>
          <w:lang w:eastAsia="zh-CN"/>
        </w:rPr>
        <w:t xml:space="preserve">2025年东陈镇测绘服务采购</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color w:val="auto"/>
          <w:szCs w:val="21"/>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78"/>
      </w:rPr>
      <w:framePr w:wrap="around" w:vAnchor="text" w:hAnchor="margin" w:xAlign="center" w:y="1"/>
    </w:pPr>
    <w:r>
      <w:fldChar w:fldCharType="begin"/>
    </w:r>
    <w:r>
      <w:rPr>
        <w:rStyle w:val="878"/>
      </w:rPr>
      <w:instrText xml:space="preserve">PAGE  </w:instrText>
    </w:r>
    <w:r>
      <w:fldChar w:fldCharType="separate"/>
    </w:r>
    <w:r>
      <w:rPr>
        <w:rStyle w:val="878"/>
      </w:rPr>
      <w:t xml:space="preserve">9</w:t>
    </w:r>
    <w:r>
      <w:fldChar w:fldCharType="end"/>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78"/>
      </w:rPr>
      <w:framePr w:wrap="around" w:vAnchor="text" w:hAnchor="margin" w:xAlign="center" w:y="1"/>
    </w:pPr>
    <w:r>
      <w:fldChar w:fldCharType="begin"/>
    </w:r>
    <w:r>
      <w:rPr>
        <w:rStyle w:val="878"/>
      </w:rPr>
      <w:instrText xml:space="preserve">PAGE  </w:instrTex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7"/>
    <w:uiPriority w:val="9"/>
    <w:rPr>
      <w:rFonts w:ascii="Arial" w:hAnsi="Arial" w:eastAsia="Arial" w:cs="Arial"/>
      <w:sz w:val="40"/>
      <w:szCs w:val="40"/>
    </w:rPr>
  </w:style>
  <w:style w:type="character" w:styleId="688">
    <w:name w:val="Heading 2 Char"/>
    <w:basedOn w:val="861"/>
    <w:link w:val="858"/>
    <w:uiPriority w:val="9"/>
    <w:rPr>
      <w:rFonts w:ascii="Arial" w:hAnsi="Arial" w:eastAsia="Arial" w:cs="Arial"/>
      <w:sz w:val="34"/>
    </w:rPr>
  </w:style>
  <w:style w:type="character" w:styleId="689">
    <w:name w:val="Heading 3 Char"/>
    <w:basedOn w:val="861"/>
    <w:link w:val="859"/>
    <w:uiPriority w:val="9"/>
    <w:rPr>
      <w:rFonts w:ascii="Arial" w:hAnsi="Arial" w:eastAsia="Arial" w:cs="Arial"/>
      <w:sz w:val="30"/>
      <w:szCs w:val="30"/>
    </w:rPr>
  </w:style>
  <w:style w:type="character" w:styleId="690">
    <w:name w:val="Heading 4 Char"/>
    <w:basedOn w:val="861"/>
    <w:link w:val="860"/>
    <w:uiPriority w:val="9"/>
    <w:rPr>
      <w:rFonts w:ascii="Arial" w:hAnsi="Arial" w:eastAsia="Arial" w:cs="Arial"/>
      <w:b/>
      <w:bCs/>
      <w:sz w:val="26"/>
      <w:szCs w:val="26"/>
    </w:rPr>
  </w:style>
  <w:style w:type="paragraph" w:styleId="691">
    <w:name w:val="Heading 5"/>
    <w:basedOn w:val="856"/>
    <w:next w:val="856"/>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1"/>
    <w:link w:val="691"/>
    <w:uiPriority w:val="9"/>
    <w:rPr>
      <w:rFonts w:ascii="Arial" w:hAnsi="Arial" w:eastAsia="Arial" w:cs="Arial"/>
      <w:b/>
      <w:bCs/>
      <w:sz w:val="24"/>
      <w:szCs w:val="24"/>
    </w:rPr>
  </w:style>
  <w:style w:type="paragraph" w:styleId="693">
    <w:name w:val="Heading 6"/>
    <w:basedOn w:val="856"/>
    <w:next w:val="856"/>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1"/>
    <w:link w:val="693"/>
    <w:uiPriority w:val="9"/>
    <w:rPr>
      <w:rFonts w:ascii="Arial" w:hAnsi="Arial" w:eastAsia="Arial" w:cs="Arial"/>
      <w:b/>
      <w:bCs/>
      <w:sz w:val="22"/>
      <w:szCs w:val="22"/>
    </w:rPr>
  </w:style>
  <w:style w:type="paragraph" w:styleId="695">
    <w:name w:val="Heading 7"/>
    <w:basedOn w:val="856"/>
    <w:next w:val="856"/>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6"/>
    <w:next w:val="856"/>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6"/>
    <w:next w:val="856"/>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List Paragraph"/>
    <w:basedOn w:val="856"/>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6"/>
    <w:next w:val="856"/>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6"/>
    <w:next w:val="856"/>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6"/>
    <w:next w:val="856"/>
    <w:link w:val="708"/>
    <w:uiPriority w:val="29"/>
    <w:qFormat/>
    <w:pPr>
      <w:ind w:left="720" w:right="720"/>
    </w:pPr>
    <w:rPr>
      <w:i/>
    </w:rPr>
  </w:style>
  <w:style w:type="character" w:styleId="708">
    <w:name w:val="Quote Char"/>
    <w:link w:val="707"/>
    <w:uiPriority w:val="29"/>
    <w:rPr>
      <w:i/>
    </w:rPr>
  </w:style>
  <w:style w:type="paragraph" w:styleId="709">
    <w:name w:val="Intense Quote"/>
    <w:basedOn w:val="856"/>
    <w:next w:val="856"/>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74"/>
    <w:uiPriority w:val="99"/>
  </w:style>
  <w:style w:type="character" w:styleId="712">
    <w:name w:val="Footer Char"/>
    <w:basedOn w:val="861"/>
    <w:link w:val="873"/>
    <w:uiPriority w:val="99"/>
  </w:style>
  <w:style w:type="paragraph" w:styleId="713">
    <w:name w:val="Caption"/>
    <w:basedOn w:val="856"/>
    <w:next w:val="856"/>
    <w:uiPriority w:val="35"/>
    <w:semiHidden/>
    <w:unhideWhenUsed/>
    <w:qFormat/>
    <w:pPr>
      <w:spacing w:line="276" w:lineRule="auto"/>
    </w:pPr>
    <w:rPr>
      <w:b/>
      <w:bCs/>
      <w:color w:val="4f81bd" w:themeColor="accent1"/>
      <w:sz w:val="18"/>
      <w:szCs w:val="18"/>
    </w:rPr>
  </w:style>
  <w:style w:type="character" w:styleId="714">
    <w:name w:val="Caption Char"/>
    <w:basedOn w:val="713"/>
    <w:link w:val="873"/>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6"/>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1"/>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1"/>
    <w:uiPriority w:val="99"/>
    <w:semiHidden/>
    <w:unhideWhenUsed/>
    <w:rPr>
      <w:vertAlign w:val="superscript"/>
    </w:rPr>
  </w:style>
  <w:style w:type="paragraph" w:styleId="846">
    <w:name w:val="toc 1"/>
    <w:basedOn w:val="856"/>
    <w:next w:val="856"/>
    <w:uiPriority w:val="39"/>
    <w:unhideWhenUsed/>
    <w:pPr>
      <w:ind w:left="0"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3"/>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uiPriority w:val="0"/>
    <w:qFormat/>
    <w:pPr>
      <w:keepLines/>
      <w:keepNext/>
      <w:spacing w:before="340" w:after="330" w:line="578" w:lineRule="auto"/>
      <w:outlineLvl w:val="0"/>
    </w:pPr>
    <w:rPr>
      <w:b/>
      <w:bCs/>
      <w:sz w:val="44"/>
      <w:szCs w:val="44"/>
    </w:rPr>
  </w:style>
  <w:style w:type="paragraph" w:styleId="858">
    <w:name w:val="Heading 2"/>
    <w:basedOn w:val="856"/>
    <w:next w:val="856"/>
    <w:link w:val="899"/>
    <w:uiPriority w:val="0"/>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65"/>
    <w:link w:val="884"/>
    <w:uiPriority w:val="0"/>
    <w:qFormat/>
    <w:pPr>
      <w:keepLines/>
      <w:keepNext/>
      <w:spacing w:before="260" w:after="260" w:line="416" w:lineRule="auto"/>
      <w:outlineLvl w:val="2"/>
    </w:pPr>
    <w:rPr>
      <w:b/>
      <w:sz w:val="32"/>
      <w:szCs w:val="20"/>
    </w:rPr>
  </w:style>
  <w:style w:type="paragraph" w:styleId="860">
    <w:name w:val="Heading 4"/>
    <w:basedOn w:val="856"/>
    <w:next w:val="856"/>
    <w:link w:val="885"/>
    <w:uiPriority w:val="0"/>
    <w:qFormat/>
    <w:pPr>
      <w:keepLines/>
      <w:keepNext/>
      <w:spacing w:before="280" w:after="290" w:line="376" w:lineRule="auto"/>
      <w:outlineLvl w:val="3"/>
    </w:pPr>
    <w:rPr>
      <w:rFonts w:ascii="Arial" w:hAnsi="Arial" w:eastAsia="黑体"/>
      <w:b/>
      <w:bCs/>
      <w:sz w:val="28"/>
      <w:szCs w:val="28"/>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Body Text"/>
    <w:basedOn w:val="856"/>
    <w:next w:val="864"/>
    <w:uiPriority w:val="0"/>
    <w:qFormat/>
    <w:pPr>
      <w:ind w:firstLine="560"/>
      <w:jc w:val="left"/>
      <w:spacing w:afterAutospacing="0" w:line="360" w:lineRule="auto"/>
    </w:pPr>
    <w:rPr>
      <w:rFonts w:ascii="宋体" w:hAnsi="宋体" w:eastAsia="宋体"/>
      <w:sz w:val="24"/>
      <w:szCs w:val="28"/>
    </w:rPr>
  </w:style>
  <w:style w:type="paragraph" w:styleId="864">
    <w:name w:val="Body Text 2"/>
    <w:basedOn w:val="856"/>
    <w:next w:val="863"/>
    <w:uiPriority w:val="0"/>
    <w:qFormat/>
    <w:pPr>
      <w:spacing w:after="120" w:line="480" w:lineRule="auto"/>
    </w:pPr>
  </w:style>
  <w:style w:type="paragraph" w:styleId="865">
    <w:name w:val="Normal Indent"/>
    <w:basedOn w:val="856"/>
    <w:link w:val="890"/>
    <w:uiPriority w:val="0"/>
    <w:qFormat/>
    <w:pPr>
      <w:ind w:firstLine="420"/>
    </w:pPr>
  </w:style>
  <w:style w:type="paragraph" w:styleId="866">
    <w:name w:val="Document Map"/>
    <w:basedOn w:val="856"/>
    <w:uiPriority w:val="0"/>
    <w:semiHidden/>
    <w:qFormat/>
    <w:pPr>
      <w:shd w:val="clear" w:color="auto" w:fill="000080"/>
    </w:pPr>
  </w:style>
  <w:style w:type="paragraph" w:styleId="867">
    <w:name w:val="Body Text Indent"/>
    <w:basedOn w:val="856"/>
    <w:next w:val="868"/>
    <w:uiPriority w:val="0"/>
    <w:qFormat/>
    <w:pPr>
      <w:ind w:left="420"/>
      <w:spacing w:after="120"/>
    </w:pPr>
  </w:style>
  <w:style w:type="paragraph" w:styleId="868">
    <w:name w:val="envelope return"/>
    <w:basedOn w:val="856"/>
    <w:uiPriority w:val="99"/>
    <w:unhideWhenUsed/>
    <w:qFormat/>
    <w:rPr>
      <w:rFonts w:ascii="Arial" w:hAnsi="Arial"/>
    </w:rPr>
  </w:style>
  <w:style w:type="paragraph" w:styleId="869">
    <w:name w:val="Plain Text"/>
    <w:basedOn w:val="856"/>
    <w:next w:val="870"/>
    <w:link w:val="889"/>
    <w:uiPriority w:val="0"/>
    <w:qFormat/>
    <w:pPr>
      <w:jc w:val="left"/>
      <w:spacing w:after="200" w:line="252" w:lineRule="auto"/>
      <w:widowControl/>
    </w:pPr>
    <w:rPr>
      <w:rFonts w:ascii="宋体" w:hAnsi="Courier New"/>
      <w:szCs w:val="20"/>
    </w:rPr>
  </w:style>
  <w:style w:type="paragraph" w:styleId="870">
    <w:name w:val="toc 2"/>
    <w:basedOn w:val="856"/>
    <w:next w:val="856"/>
    <w:uiPriority w:val="0"/>
    <w:qFormat/>
    <w:pPr>
      <w:ind w:left="420"/>
    </w:pPr>
  </w:style>
  <w:style w:type="paragraph" w:styleId="871">
    <w:name w:val="Date"/>
    <w:basedOn w:val="856"/>
    <w:next w:val="856"/>
    <w:link w:val="880"/>
    <w:uiPriority w:val="0"/>
    <w:qFormat/>
    <w:rPr>
      <w:sz w:val="24"/>
      <w:szCs w:val="20"/>
    </w:rPr>
  </w:style>
  <w:style w:type="paragraph" w:styleId="872">
    <w:name w:val="Balloon Text"/>
    <w:basedOn w:val="856"/>
    <w:link w:val="882"/>
    <w:uiPriority w:val="0"/>
    <w:qFormat/>
    <w:rPr>
      <w:sz w:val="18"/>
      <w:szCs w:val="18"/>
    </w:rPr>
  </w:style>
  <w:style w:type="paragraph" w:styleId="873">
    <w:name w:val="Footer"/>
    <w:basedOn w:val="856"/>
    <w:uiPriority w:val="0"/>
    <w:qFormat/>
    <w:pPr>
      <w:jc w:val="left"/>
      <w:tabs>
        <w:tab w:val="center" w:pos="4153" w:leader="none"/>
        <w:tab w:val="right" w:pos="8306" w:leader="none"/>
      </w:tabs>
    </w:pPr>
    <w:rPr>
      <w:sz w:val="18"/>
      <w:szCs w:val="18"/>
    </w:rPr>
  </w:style>
  <w:style w:type="paragraph" w:styleId="874">
    <w:name w:val="Header"/>
    <w:basedOn w:val="856"/>
    <w:link w:val="891"/>
    <w:uiPriority w:val="99"/>
    <w:qFormat/>
    <w:pPr>
      <w:jc w:val="center"/>
      <w:tabs>
        <w:tab w:val="center" w:pos="4153" w:leader="none"/>
        <w:tab w:val="right" w:pos="8306" w:leader="none"/>
      </w:tabs>
      <w:pBdr>
        <w:bottom w:val="single" w:color="auto" w:sz="6" w:space="1"/>
      </w:pBdr>
    </w:pPr>
    <w:rPr>
      <w:sz w:val="18"/>
      <w:szCs w:val="18"/>
    </w:rPr>
  </w:style>
  <w:style w:type="paragraph" w:styleId="875">
    <w:name w:val="Body Text Indent 3"/>
    <w:basedOn w:val="856"/>
    <w:link w:val="881"/>
    <w:uiPriority w:val="0"/>
    <w:qFormat/>
    <w:pPr>
      <w:ind w:left="420"/>
      <w:spacing w:after="120"/>
    </w:pPr>
    <w:rPr>
      <w:sz w:val="16"/>
      <w:szCs w:val="16"/>
    </w:rPr>
  </w:style>
  <w:style w:type="paragraph" w:styleId="876">
    <w:name w:val="Normal (Web)"/>
    <w:basedOn w:val="856"/>
    <w:uiPriority w:val="99"/>
    <w:unhideWhenUsed/>
    <w:qFormat/>
    <w:pPr>
      <w:jc w:val="left"/>
      <w:spacing w:before="100" w:beforeAutospacing="1" w:after="100" w:afterAutospacing="1"/>
      <w:widowControl/>
    </w:pPr>
    <w:rPr>
      <w:rFonts w:ascii="宋体" w:hAnsi="宋体" w:cs="宋体"/>
      <w:sz w:val="24"/>
    </w:rPr>
  </w:style>
  <w:style w:type="table" w:styleId="877">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page number"/>
    <w:basedOn w:val="861"/>
    <w:uiPriority w:val="0"/>
    <w:qFormat/>
  </w:style>
  <w:style w:type="character" w:styleId="879">
    <w:name w:val="Hyperlink"/>
    <w:basedOn w:val="861"/>
    <w:uiPriority w:val="0"/>
    <w:qFormat/>
    <w:rPr>
      <w:color w:val="0000ff"/>
      <w:u w:val="single"/>
    </w:rPr>
  </w:style>
  <w:style w:type="character" w:styleId="880" w:customStyle="1">
    <w:name w:val="日期 Char"/>
    <w:basedOn w:val="861"/>
    <w:link w:val="871"/>
    <w:uiPriority w:val="0"/>
    <w:qFormat/>
    <w:rPr>
      <w:sz w:val="24"/>
    </w:rPr>
  </w:style>
  <w:style w:type="character" w:styleId="881" w:customStyle="1">
    <w:name w:val="正文文本缩进 3 Char"/>
    <w:basedOn w:val="861"/>
    <w:link w:val="875"/>
    <w:uiPriority w:val="0"/>
    <w:qFormat/>
    <w:rPr>
      <w:sz w:val="16"/>
      <w:szCs w:val="16"/>
    </w:rPr>
  </w:style>
  <w:style w:type="character" w:styleId="882" w:customStyle="1">
    <w:name w:val="批注框文本 Char"/>
    <w:basedOn w:val="861"/>
    <w:link w:val="872"/>
    <w:uiPriority w:val="0"/>
    <w:qFormat/>
    <w:rPr>
      <w:sz w:val="18"/>
      <w:szCs w:val="18"/>
    </w:rPr>
  </w:style>
  <w:style w:type="character" w:styleId="883" w:customStyle="1">
    <w:name w:val="纯文本 Char"/>
    <w:uiPriority w:val="99"/>
    <w:qFormat/>
    <w:rPr>
      <w:rFonts w:ascii="宋体" w:hAnsi="Courier New"/>
      <w:sz w:val="21"/>
    </w:rPr>
  </w:style>
  <w:style w:type="character" w:styleId="884" w:customStyle="1">
    <w:name w:val="标题 3 Char"/>
    <w:basedOn w:val="861"/>
    <w:link w:val="859"/>
    <w:uiPriority w:val="0"/>
    <w:qFormat/>
    <w:rPr>
      <w:b/>
      <w:sz w:val="32"/>
    </w:rPr>
  </w:style>
  <w:style w:type="character" w:styleId="885" w:customStyle="1">
    <w:name w:val="标题 4 Char"/>
    <w:basedOn w:val="861"/>
    <w:link w:val="860"/>
    <w:uiPriority w:val="0"/>
    <w:qFormat/>
    <w:rPr>
      <w:rFonts w:ascii="Arial" w:hAnsi="Arial" w:eastAsia="黑体"/>
      <w:b/>
      <w:bCs/>
      <w:sz w:val="28"/>
      <w:szCs w:val="28"/>
    </w:rPr>
  </w:style>
  <w:style w:type="character" w:styleId="886" w:customStyle="1">
    <w:name w:val="正文缩进2格 Char"/>
    <w:link w:val="887"/>
    <w:uiPriority w:val="0"/>
    <w:qFormat/>
    <w:rPr>
      <w:rFonts w:ascii="仿宋_GB2312" w:hAnsi="宋体" w:eastAsia="仿宋_GB2312"/>
      <w:sz w:val="31"/>
      <w:szCs w:val="28"/>
      <w:lang w:bidi="ar-SA"/>
    </w:rPr>
  </w:style>
  <w:style w:type="paragraph" w:styleId="887" w:customStyle="1">
    <w:name w:val="正文缩进2格"/>
    <w:basedOn w:val="856"/>
    <w:link w:val="886"/>
    <w:uiPriority w:val="0"/>
    <w:qFormat/>
    <w:pPr>
      <w:ind w:firstLine="639"/>
      <w:spacing w:line="600" w:lineRule="exact"/>
    </w:pPr>
    <w:rPr>
      <w:rFonts w:ascii="仿宋_GB2312" w:hAnsi="宋体" w:eastAsia="仿宋_GB2312"/>
      <w:sz w:val="31"/>
      <w:szCs w:val="28"/>
    </w:rPr>
  </w:style>
  <w:style w:type="character" w:styleId="888" w:customStyle="1">
    <w:name w:val="纯文本 Char2"/>
    <w:basedOn w:val="861"/>
    <w:uiPriority w:val="0"/>
    <w:qFormat/>
    <w:rPr>
      <w:rFonts w:ascii="宋体" w:hAnsi="Courier New" w:eastAsia="宋体"/>
      <w:sz w:val="24"/>
      <w:lang w:val="en-US" w:eastAsia="zh-CN" w:bidi="ar-SA"/>
    </w:rPr>
  </w:style>
  <w:style w:type="character" w:styleId="889" w:customStyle="1">
    <w:name w:val="纯文本 Char1"/>
    <w:basedOn w:val="861"/>
    <w:link w:val="869"/>
    <w:uiPriority w:val="0"/>
    <w:qFormat/>
    <w:rPr>
      <w:rFonts w:ascii="宋体" w:hAnsi="Courier New" w:cs="Courier New"/>
      <w:sz w:val="21"/>
      <w:szCs w:val="21"/>
    </w:rPr>
  </w:style>
  <w:style w:type="character" w:styleId="890" w:customStyle="1">
    <w:name w:val="正文缩进 Char"/>
    <w:link w:val="865"/>
    <w:uiPriority w:val="0"/>
    <w:qFormat/>
    <w:rPr>
      <w:rFonts w:eastAsia="宋体"/>
      <w:sz w:val="21"/>
      <w:szCs w:val="24"/>
      <w:lang w:val="en-US" w:eastAsia="zh-CN" w:bidi="ar-SA"/>
    </w:rPr>
  </w:style>
  <w:style w:type="character" w:styleId="891" w:customStyle="1">
    <w:name w:val="页眉 Char"/>
    <w:link w:val="874"/>
    <w:uiPriority w:val="99"/>
    <w:qFormat/>
    <w:rPr>
      <w:sz w:val="18"/>
      <w:szCs w:val="18"/>
    </w:rPr>
  </w:style>
  <w:style w:type="paragraph" w:styleId="892" w:customStyle="1">
    <w:name w:val="Char"/>
    <w:basedOn w:val="866"/>
    <w:uiPriority w:val="0"/>
    <w:qFormat/>
    <w:rPr>
      <w:rFonts w:ascii="Tahoma" w:hAnsi="Tahoma"/>
      <w:sz w:val="24"/>
    </w:rPr>
  </w:style>
  <w:style w:type="paragraph" w:styleId="893" w:customStyle="1">
    <w:name w:val="普通正文"/>
    <w:basedOn w:val="856"/>
    <w:uiPriority w:val="0"/>
    <w:qFormat/>
    <w:pPr>
      <w:ind w:firstLine="480"/>
      <w:jc w:val="left"/>
      <w:spacing w:before="120" w:after="120" w:line="360" w:lineRule="auto"/>
    </w:pPr>
    <w:rPr>
      <w:rFonts w:ascii="Arial" w:hAnsi="Arial"/>
      <w:sz w:val="24"/>
    </w:rPr>
  </w:style>
  <w:style w:type="paragraph" w:styleId="894" w:customStyle="1">
    <w:name w:val="msonormalcxspmiddle"/>
    <w:basedOn w:val="856"/>
    <w:uiPriority w:val="0"/>
    <w:qFormat/>
    <w:pPr>
      <w:jc w:val="left"/>
      <w:spacing w:before="100" w:beforeAutospacing="1" w:after="100" w:afterAutospacing="1"/>
      <w:widowControl/>
    </w:pPr>
    <w:rPr>
      <w:rFonts w:ascii="宋体" w:hAnsi="宋体" w:cs="宋体"/>
      <w:sz w:val="24"/>
    </w:rPr>
  </w:style>
  <w:style w:type="paragraph" w:styleId="895" w:customStyle="1">
    <w:name w:val="Char1"/>
    <w:basedOn w:val="856"/>
    <w:uiPriority w:val="0"/>
    <w:qFormat/>
    <w:pPr>
      <w:tabs>
        <w:tab w:val="left" w:pos="360" w:leader="none"/>
      </w:tabs>
    </w:pPr>
    <w:rPr>
      <w:color w:val="000000"/>
      <w:sz w:val="24"/>
    </w:rPr>
  </w:style>
  <w:style w:type="paragraph" w:styleId="896" w:customStyle="1">
    <w:name w:val="Char Char Char Char"/>
    <w:basedOn w:val="866"/>
    <w:uiPriority w:val="0"/>
    <w:qFormat/>
    <w:pPr>
      <w:spacing w:line="360" w:lineRule="auto"/>
    </w:pPr>
    <w:rPr>
      <w:szCs w:val="20"/>
    </w:rPr>
  </w:style>
  <w:style w:type="character" w:styleId="897" w:customStyle="1">
    <w:name w:val="p0 Char"/>
    <w:link w:val="898"/>
    <w:uiPriority w:val="0"/>
    <w:qFormat/>
    <w:rPr>
      <w:sz w:val="21"/>
      <w:szCs w:val="21"/>
    </w:rPr>
  </w:style>
  <w:style w:type="paragraph" w:styleId="898" w:customStyle="1">
    <w:name w:val="p0"/>
    <w:basedOn w:val="856"/>
    <w:link w:val="897"/>
    <w:uiPriority w:val="0"/>
    <w:qFormat/>
    <w:pPr>
      <w:widowControl/>
    </w:pPr>
    <w:rPr>
      <w:szCs w:val="21"/>
    </w:rPr>
  </w:style>
  <w:style w:type="character" w:styleId="899" w:customStyle="1">
    <w:name w:val="标题 2 Char"/>
    <w:link w:val="858"/>
    <w:uiPriority w:val="0"/>
    <w:qFormat/>
    <w:rPr>
      <w:rFonts w:ascii="Arial" w:hAnsi="Arial" w:eastAsia="黑体"/>
      <w:b/>
      <w:bCs/>
      <w:sz w:val="32"/>
      <w:szCs w:val="32"/>
    </w:rPr>
  </w:style>
  <w:style w:type="paragraph" w:styleId="900" w:customStyle="1">
    <w:name w:val="正文首行缩进 21"/>
    <w:basedOn w:val="867"/>
    <w:uiPriority w:val="99"/>
    <w:unhideWhenUsed/>
    <w:qFormat/>
    <w:pPr>
      <w:ind w:firstLine="200"/>
    </w:p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纪巧丽</cp:lastModifiedBy>
  <cp:revision>20</cp:revision>
  <dcterms:created xsi:type="dcterms:W3CDTF">2023-07-31T00:19:00Z</dcterms:created>
  <dcterms:modified xsi:type="dcterms:W3CDTF">2025-07-14T04:44:23Z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BB17F7FFC4A7408D8F548ED85AB8777C</vt:lpwstr>
  </property>
</Properties>
</file>