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spacing w:before="120" w:beforeAutospacing="0" w:after="120" w:afterAutospacing="0" w:line="360" w:lineRule="auto"/>
        <w:rPr>
          <w:color w:val="auto"/>
          <w:highlight w:val="none"/>
        </w:rPr>
      </w:pPr>
      <w:r>
        <w:rPr>
          <w:color w:val="auto"/>
          <w:highlight w:val="none"/>
        </w:rPr>
        <w:t xml:space="preserve"> </w:t>
      </w:r>
      <w:r/>
    </w:p>
    <w:p>
      <w:pPr>
        <w:pStyle w:val="762"/>
        <w:spacing w:before="120" w:beforeAutospacing="0" w:after="120" w:afterAutospacing="0" w:line="360" w:lineRule="auto"/>
        <w:rPr>
          <w:color w:val="auto"/>
          <w:highlight w:val="none"/>
        </w:rPr>
      </w:pPr>
      <w:r>
        <w:rPr>
          <w:color w:val="auto"/>
          <w:highlight w:val="none"/>
        </w:rPr>
      </w:r>
      <w:r/>
    </w:p>
    <w:p>
      <w:pPr>
        <w:pStyle w:val="762"/>
        <w:spacing w:before="120" w:beforeAutospacing="0" w:after="120" w:afterAutospacing="0" w:line="360" w:lineRule="auto"/>
        <w:rPr>
          <w:color w:val="auto"/>
          <w:highlight w:val="none"/>
        </w:rPr>
      </w:pPr>
      <w:r>
        <w:rPr>
          <w:color w:val="auto"/>
          <w:highlight w:val="none"/>
        </w:rPr>
      </w:r>
      <w:r/>
    </w:p>
    <w:p>
      <w:pPr>
        <w:pStyle w:val="762"/>
        <w:spacing w:before="120" w:beforeAutospacing="0" w:after="120" w:afterAutospacing="0" w:line="360" w:lineRule="auto"/>
        <w:rPr>
          <w:color w:val="auto"/>
          <w:highlight w:val="none"/>
        </w:rPr>
      </w:pPr>
      <w:r>
        <w:rPr>
          <w:color w:val="auto"/>
          <w:highlight w:val="none"/>
        </w:rPr>
      </w:r>
      <w:r/>
    </w:p>
    <w:p>
      <w:pPr>
        <w:pStyle w:val="762"/>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62"/>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62"/>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62"/>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62"/>
        <w:ind w:firstLine="964"/>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盐城市公安局盐南高新区分局智慧安防村居建设项目</w:t>
      </w:r>
      <w:r/>
    </w:p>
    <w:p>
      <w:pPr>
        <w:pStyle w:val="762"/>
        <w:ind w:firstLine="964"/>
        <w:jc w:val="both"/>
        <w:spacing w:beforeAutospacing="0" w:afterAutospacing="0"/>
        <w:rPr>
          <w:color w:val="auto"/>
          <w:highlight w:val="none"/>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rPr>
        <w:t xml:space="preserve">JSZC-320992-JZCG-G2025-0001</w:t>
      </w:r>
      <w:r/>
    </w:p>
    <w:p>
      <w:pPr>
        <w:pStyle w:val="762"/>
        <w:spacing w:beforeAutospacing="0" w:afterAutospacing="0" w:line="360" w:lineRule="auto"/>
        <w:rPr>
          <w:color w:val="auto"/>
          <w:highlight w:val="none"/>
        </w:rPr>
      </w:pPr>
      <w:r>
        <w:rPr>
          <w:color w:val="auto"/>
          <w:highlight w:val="none"/>
        </w:rPr>
        <w:t xml:space="preserve"> </w:t>
      </w:r>
      <w:r/>
    </w:p>
    <w:p>
      <w:pPr>
        <w:pStyle w:val="762"/>
        <w:spacing w:beforeAutospacing="0" w:afterAutospacing="0" w:line="360" w:lineRule="auto"/>
        <w:rPr>
          <w:color w:val="auto"/>
          <w:highlight w:val="none"/>
        </w:rPr>
      </w:pPr>
      <w:r>
        <w:rPr>
          <w:color w:val="auto"/>
          <w:highlight w:val="none"/>
        </w:rPr>
        <w:t xml:space="preserve"> </w:t>
      </w:r>
      <w:r/>
    </w:p>
    <w:p>
      <w:pPr>
        <w:pStyle w:val="762"/>
        <w:spacing w:beforeAutospacing="0" w:afterAutospacing="0" w:line="360" w:lineRule="auto"/>
        <w:rPr>
          <w:color w:val="auto"/>
          <w:highlight w:val="none"/>
        </w:rPr>
      </w:pPr>
      <w:r>
        <w:rPr>
          <w:color w:val="auto"/>
          <w:highlight w:val="none"/>
        </w:rPr>
        <w:t xml:space="preserve"> </w:t>
      </w:r>
      <w:r/>
    </w:p>
    <w:p>
      <w:pPr>
        <w:pStyle w:val="762"/>
        <w:spacing w:beforeAutospacing="0" w:afterAutospacing="0" w:line="360" w:lineRule="auto"/>
        <w:rPr>
          <w:color w:val="auto"/>
          <w:highlight w:val="none"/>
        </w:rPr>
      </w:pPr>
      <w:r>
        <w:rPr>
          <w:color w:val="auto"/>
          <w:highlight w:val="none"/>
        </w:rPr>
        <w:t xml:space="preserve"> </w:t>
      </w:r>
      <w:r/>
    </w:p>
    <w:p>
      <w:pPr>
        <w:pStyle w:val="762"/>
        <w:spacing w:beforeAutospacing="0" w:afterAutospacing="0" w:line="360" w:lineRule="auto"/>
        <w:rPr>
          <w:color w:val="auto"/>
          <w:highlight w:val="none"/>
        </w:rPr>
      </w:pPr>
      <w:r>
        <w:rPr>
          <w:color w:val="auto"/>
          <w:highlight w:val="none"/>
        </w:rPr>
      </w:r>
      <w:r/>
    </w:p>
    <w:p>
      <w:pPr>
        <w:pStyle w:val="762"/>
        <w:spacing w:beforeAutospacing="0" w:afterAutospacing="0" w:line="360" w:lineRule="auto"/>
        <w:rPr>
          <w:color w:val="auto"/>
          <w:highlight w:val="none"/>
        </w:rPr>
      </w:pPr>
      <w:r>
        <w:rPr>
          <w:color w:val="auto"/>
          <w:highlight w:val="none"/>
        </w:rPr>
        <w:t xml:space="preserve"> </w:t>
      </w:r>
      <w:r/>
    </w:p>
    <w:p>
      <w:pPr>
        <w:pStyle w:val="762"/>
        <w:spacing w:beforeAutospacing="0" w:afterAutospacing="0" w:line="360" w:lineRule="auto"/>
        <w:rPr>
          <w:color w:val="auto"/>
          <w:highlight w:val="none"/>
        </w:rPr>
      </w:pPr>
      <w:r>
        <w:rPr>
          <w:color w:val="auto"/>
          <w:highlight w:val="none"/>
        </w:rPr>
        <w:t xml:space="preserve"> </w:t>
      </w:r>
      <w:r/>
    </w:p>
    <w:p>
      <w:pPr>
        <w:pStyle w:val="762"/>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盐城市公安局盐南高新区分局</w:t>
      </w:r>
      <w:r/>
    </w:p>
    <w:p>
      <w:pPr>
        <w:pStyle w:val="762"/>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2025</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2</w:t>
      </w:r>
      <w:r>
        <w:rPr>
          <w:rFonts w:hint="eastAsia" w:ascii="宋体" w:hAnsi="宋体" w:eastAsia="宋体" w:cs="宋体"/>
          <w:b/>
          <w:color w:val="auto"/>
          <w:sz w:val="32"/>
          <w:szCs w:val="32"/>
          <w:highlight w:val="none"/>
        </w:rPr>
        <w:t xml:space="preserve">月</w:t>
      </w:r>
      <w:r/>
    </w:p>
    <w:p>
      <w:pPr>
        <w:pStyle w:val="762"/>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62"/>
        <w:jc w:val="center"/>
        <w:spacing w:beforeAutospacing="0" w:afterAutospacing="0" w:line="480" w:lineRule="auto"/>
        <w:rPr>
          <w:rFonts w:ascii="Times New Roman" w:hAnsi="Times New Roman"/>
          <w:color w:val="auto"/>
          <w:sz w:val="21"/>
          <w:szCs w:val="21"/>
          <w:highlight w:val="none"/>
        </w:rPr>
      </w:pPr>
      <w:r/>
      <w:bookmarkStart w:id="0" w:name="_Toc523127445"/>
      <w:r/>
      <w:bookmarkStart w:id="1" w:name="_Toc513029200"/>
      <w:r/>
      <w:bookmarkStart w:id="2" w:name="_Toc16938516"/>
      <w:r/>
      <w:bookmarkStart w:id="3" w:name="_Toc479757206"/>
      <w:r/>
      <w:bookmarkStart w:id="4" w:name="_Toc20823272"/>
      <w:r/>
      <w:bookmarkStart w:id="5" w:name="_Toc120614210"/>
      <w:r>
        <w:rPr>
          <w:rFonts w:ascii="Times New Roman" w:hAnsi="Times New Roman"/>
          <w:color w:val="auto"/>
          <w:sz w:val="21"/>
          <w:szCs w:val="21"/>
          <w:highlight w:val="none"/>
        </w:rPr>
        <w:t xml:space="preserve">  </w:t>
      </w:r>
      <w:r/>
    </w:p>
    <w:p>
      <w:pPr>
        <w:shd w:val="nil" w:color="auto"/>
        <w:rPr>
          <w:color w:val="auto"/>
          <w:highlight w:val="none"/>
        </w:rPr>
      </w:pPr>
      <w:r>
        <w:rPr>
          <w:highlight w:val="none"/>
        </w:rPr>
        <w:br w:type="page" w:clear="all"/>
      </w:r>
      <w:r>
        <w:rPr>
          <w:highlight w:val="none"/>
        </w:rPr>
      </w:r>
      <w:r/>
    </w:p>
    <w:p>
      <w:pPr>
        <w:pStyle w:val="762"/>
        <w:jc w:val="center"/>
        <w:spacing w:beforeAutospacing="0" w:afterAutospacing="0" w:line="480" w:lineRule="auto"/>
        <w:rPr>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62"/>
        <w:jc w:val="both"/>
        <w:spacing w:beforeAutospacing="0" w:afterAutospacing="0" w:line="480" w:lineRule="auto"/>
        <w:rPr>
          <w:color w:val="auto"/>
          <w:highlight w:val="none"/>
        </w:rPr>
      </w:pPr>
      <w:r>
        <w:rPr>
          <w:color w:val="auto"/>
          <w:highlight w:val="none"/>
        </w:rPr>
        <w:t xml:space="preserve"> </w:t>
      </w:r>
      <w:r/>
    </w:p>
    <w:p>
      <w:pPr>
        <w:pStyle w:val="762"/>
        <w:jc w:val="both"/>
        <w:spacing w:beforeAutospacing="0" w:afterAutospacing="0" w:line="480" w:lineRule="auto"/>
        <w:rPr>
          <w:color w:val="auto"/>
          <w:highlight w:val="none"/>
        </w:rPr>
      </w:pPr>
      <w:r>
        <w:rPr>
          <w:color w:val="auto"/>
          <w:highlight w:val="none"/>
        </w:rPr>
      </w:r>
      <w:r/>
    </w:p>
    <w:p>
      <w:pPr>
        <w:pStyle w:val="762"/>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03</w:t>
      </w:r>
      <w:r/>
    </w:p>
    <w:p>
      <w:pPr>
        <w:pStyle w:val="762"/>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07</w:t>
      </w:r>
      <w:r/>
    </w:p>
    <w:p>
      <w:pPr>
        <w:pStyle w:val="762"/>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eastAsia="zh-CN"/>
        </w:rPr>
        <w:t xml:space="preserve">合同条款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18</w:t>
      </w:r>
      <w:r/>
    </w:p>
    <w:p>
      <w:pPr>
        <w:pStyle w:val="762"/>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43</w:t>
      </w:r>
      <w:r/>
    </w:p>
    <w:p>
      <w:pPr>
        <w:pStyle w:val="762"/>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91</w:t>
      </w:r>
      <w:r/>
    </w:p>
    <w:p>
      <w:pPr>
        <w:pStyle w:val="762"/>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97</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both"/>
        <w:spacing w:beforeAutospacing="0" w:afterAutospacing="0"/>
        <w:rPr>
          <w:color w:val="auto"/>
          <w:highlight w:val="none"/>
        </w:rPr>
      </w:pPr>
      <w:r>
        <w:rPr>
          <w:color w:val="auto"/>
          <w:highlight w:val="none"/>
        </w:rPr>
        <w:t xml:space="preserve"> </w:t>
      </w:r>
      <w:r/>
    </w:p>
    <w:p>
      <w:pPr>
        <w:pStyle w:val="762"/>
        <w:jc w:val="center"/>
        <w:spacing w:beforeAutospacing="0" w:afterAutospacing="0"/>
        <w:rPr>
          <w:rFonts w:hint="default" w:eastAsia="黑体"/>
          <w:color w:val="auto"/>
          <w:highlight w:val="none"/>
          <w:lang w:val="en-US" w:eastAsia="zh-CN"/>
        </w:rPr>
      </w:pPr>
      <w:r>
        <w:rPr>
          <w:rFonts w:hint="eastAsia" w:ascii="黑体" w:hAnsi="黑体" w:eastAsia="黑体" w:cs="黑体"/>
          <w:color w:val="auto"/>
          <w:sz w:val="44"/>
          <w:szCs w:val="44"/>
          <w:highlight w:val="none"/>
        </w:rPr>
        <w:t xml:space="preserve">第一章</w:t>
      </w:r>
      <w:r>
        <w:rPr>
          <w:rFonts w:hint="eastAsia" w:ascii="黑体" w:hAnsi="黑体" w:eastAsia="黑体" w:cs="黑体"/>
          <w:color w:val="auto"/>
          <w:sz w:val="44"/>
          <w:szCs w:val="44"/>
          <w:highlight w:val="none"/>
          <w:lang w:val="en-US" w:eastAsia="zh-CN"/>
        </w:rPr>
        <w:t xml:space="preserve"> 招标公告</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62"/>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盐城市公安局盐南高新区分局智慧安防村居建设项目</w:t>
      </w:r>
      <w:r>
        <w:rPr>
          <w:rFonts w:hint="eastAsia" w:ascii="宋体" w:hAnsi="宋体" w:eastAsia="宋体" w:cs="宋体"/>
          <w:color w:val="auto"/>
          <w:sz w:val="24"/>
          <w:szCs w:val="24"/>
          <w:highlight w:val="none"/>
          <w:u w:val="single"/>
          <w:lang w:val="en-US" w:eastAsia="zh-CN"/>
        </w:rPr>
        <w:t xml:space="preserve"> JSZC-320992-JZCG-G2025-0001 </w:t>
      </w:r>
      <w:r>
        <w:rPr>
          <w:rFonts w:hint="eastAsia" w:ascii="宋体" w:hAnsi="宋体" w:eastAsia="宋体" w:cs="宋体"/>
          <w:color w:val="auto"/>
          <w:sz w:val="24"/>
          <w:szCs w:val="24"/>
          <w:highlight w:val="none"/>
        </w:rPr>
        <w:t xml:space="preserve">招标项目的潜在投标人可在“苏采云”系统内免费下载（投标人必须在苏采云系统中获取采购文件，方能参与政府采购项目）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762"/>
        <w:ind w:firstLine="482"/>
        <w:jc w:val="left"/>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6" w:name="_Toc35393621"/>
      <w:r/>
      <w:bookmarkStart w:id="7" w:name="_Toc28359079"/>
      <w:r/>
      <w:bookmarkStart w:id="8" w:name="_Toc35393790"/>
      <w:r/>
      <w:bookmarkStart w:id="9" w:name="_Toc38985263"/>
      <w:r/>
      <w:bookmarkStart w:id="10" w:name="_Hlk24379207"/>
      <w:r/>
      <w:bookmarkStart w:id="11" w:name="_Toc28359002"/>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sz w:val="24"/>
          <w:szCs w:val="24"/>
          <w:highlight w:val="none"/>
        </w:rPr>
        <w:t xml:space="preserve">项目编号：JSZC-320992-JZCG-G2025-0001</w:t>
      </w:r>
      <w:r>
        <w:rPr>
          <w:rFonts w:hint="eastAsia" w:ascii="宋体" w:hAnsi="宋体" w:eastAsia="宋体" w:cs="宋体"/>
          <w:color w:val="auto"/>
          <w:sz w:val="24"/>
          <w:szCs w:val="24"/>
          <w:highlight w:val="none"/>
          <w:lang w:eastAsia="zh-CN"/>
        </w:rPr>
        <w:t xml:space="preserve"> </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盐城市公安局盐南高新区分局智慧安防村居建设项目</w:t>
      </w:r>
      <w:r/>
    </w:p>
    <w:p>
      <w:pPr>
        <w:pStyle w:val="762"/>
        <w:ind w:firstLine="480"/>
        <w:jc w:val="left"/>
        <w:pageBreakBefore w:val="0"/>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3.采购方式：公开招标</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shd w:val="clear" w:color="auto" w:fill="ffff00"/>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sz w:val="24"/>
          <w:szCs w:val="24"/>
          <w:highlight w:val="none"/>
        </w:rPr>
        <w:t xml:space="preserve">预算金额：1000万</w:t>
      </w:r>
      <w:r>
        <w:rPr>
          <w:rFonts w:hint="eastAsia" w:ascii="宋体" w:hAnsi="宋体" w:eastAsia="宋体" w:cs="宋体"/>
          <w:color w:val="auto"/>
          <w:sz w:val="24"/>
          <w:szCs w:val="24"/>
          <w:highlight w:val="none"/>
          <w:lang w:val="en-US" w:eastAsia="zh-CN"/>
        </w:rPr>
        <w:t xml:space="preserve">元</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shd w:val="clear" w:color="auto" w:fill="ffff00"/>
        </w:rPr>
      </w:pPr>
      <w:r>
        <w:rPr>
          <w:rFonts w:hint="eastAsia" w:ascii="宋体" w:hAnsi="宋体" w:eastAsia="宋体" w:cs="宋体"/>
          <w:color w:val="auto"/>
          <w:highlight w:val="none"/>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Theme="minorEastAsia" w:hAnsiTheme="minorEastAsia" w:cstheme="minorEastAsia"/>
          <w:color w:val="auto"/>
          <w:highlight w:val="none"/>
          <w:lang w:val="en-US" w:eastAsia="zh-CN"/>
        </w:rPr>
        <w:t xml:space="preserve">人民币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959.78万元，投标报价高于最高限价的作无效投标处理。</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盐城市公安局盐南高新区分局智慧安防村居建设项目及其配套的软硬件采购、生产、供应、运输、安装、调试等相关伴随服务，</w:t>
      </w:r>
      <w:r>
        <w:rPr>
          <w:rFonts w:hint="eastAsia" w:ascii="宋体" w:hAnsi="宋体" w:eastAsia="宋体" w:cs="宋体"/>
          <w:color w:val="auto"/>
          <w:sz w:val="24"/>
          <w:szCs w:val="24"/>
          <w:highlight w:val="none"/>
        </w:rPr>
        <w:t xml:space="preserve">详细内容见本招标文件第四章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仿宋" w:hAnsi="仿宋" w:eastAsia="仿宋" w:cs="仿宋"/>
          <w:color w:val="auto"/>
          <w:sz w:val="28"/>
          <w:szCs w:val="28"/>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自合同签订之日起90个日历日达到试运行(含联调)的标准。合同签订后1个月内完成设备采购。</w:t>
      </w:r>
      <w:r/>
    </w:p>
    <w:p>
      <w:pPr>
        <w:pStyle w:val="762"/>
        <w:ind w:firstLine="480"/>
        <w:jc w:val="left"/>
        <w:pageBreakBefore w:val="0"/>
        <w:spacing w:beforeAutospacing="0" w:afterAutospacing="0" w:line="360" w:lineRule="auto"/>
        <w:rPr>
          <w:rFonts w:hint="default" w:ascii="宋体" w:hAnsi="宋体" w:eastAsia="宋体" w:cs="宋体"/>
          <w:color w:val="auto"/>
          <w:sz w:val="24"/>
          <w:szCs w:val="24"/>
          <w:highlight w:val="none"/>
          <w:shd w:val="clear" w:color="auto" w:fill="ffff00"/>
          <w:lang w:val="en-US"/>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本项目（是/否）接受联合体投标：否</w:t>
      </w:r>
      <w:r/>
    </w:p>
    <w:p>
      <w:pPr>
        <w:pStyle w:val="762"/>
        <w:ind w:firstLine="482"/>
        <w:jc w:val="left"/>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12" w:name="_Toc28359080"/>
      <w:r/>
      <w:bookmarkStart w:id="13" w:name="_Toc38985264"/>
      <w:r/>
      <w:bookmarkStart w:id="14" w:name="_Toc28359003"/>
      <w:r/>
      <w:bookmarkStart w:id="15" w:name="_Toc35393622"/>
      <w:r/>
      <w:bookmarkStart w:id="16" w:name="_Toc35393791"/>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1.3具备履行合同所必需的设备和专业技术能力的书面声明；</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1.8单位负责人为同一人或者存在直接控股、管理关系的不同供应商，不得参加同一合同项下的政府采购活动。</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（二）落实政府采购政策需满足的资格要求：无。</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（三）本项目的特定资格要求：</w:t>
      </w:r>
      <w:r/>
    </w:p>
    <w:p>
      <w:pPr>
        <w:pStyle w:val="762"/>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必须是在中国境内注册，具有国家工信部颁发的基础电信业务经营许可证的运营商或具备上述条件的运营商设立的分（支）公司；或具有“广播电视传输网络建设、改造、经营、维护和管理”能力的网络运行商或其分（支）公司。</w:t>
      </w:r>
      <w:r/>
    </w:p>
    <w:p>
      <w:pPr>
        <w:pStyle w:val="762"/>
        <w:ind w:firstLine="482"/>
        <w:jc w:val="left"/>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1.时间：自招标文件公告发布之日起5个工作日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2.地点：“苏采云”系统内免费下载（投标人必须在苏采云系统中获取采购文件，方能参与政府采购项目）；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3.方式：本项目采用网上注册登记方式。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4.售价：0元</w:t>
      </w:r>
      <w:r/>
    </w:p>
    <w:p>
      <w:pPr>
        <w:pStyle w:val="762"/>
        <w:ind w:firstLine="482"/>
        <w:jc w:val="left"/>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bookmarkStart w:id="17" w:name="_Toc35393794"/>
      <w:r/>
      <w:bookmarkStart w:id="18" w:name="_Toc28359084"/>
      <w:r/>
      <w:bookmarkStart w:id="19" w:name="_Toc38985267"/>
      <w:r/>
      <w:bookmarkStart w:id="20" w:name="_Toc28359007"/>
      <w:r/>
      <w:bookmarkStart w:id="21" w:name="_Toc35393625"/>
      <w:r>
        <w:rPr>
          <w:rFonts w:hint="eastAsia" w:ascii="宋体" w:hAnsi="宋体" w:eastAsia="宋体" w:cs="宋体"/>
          <w:color w:val="auto"/>
          <w:sz w:val="24"/>
          <w:szCs w:val="24"/>
          <w:highlight w:val="none"/>
          <w:u w:val="none"/>
          <w:lang w:val="en-US" w:eastAsia="zh-CN"/>
        </w:rPr>
        <w:t xml:space="preserve">1.时间：2025年3月12日9:00时（北京时间）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2.地点：苏采云“不见面”开标大厅 。</w:t>
      </w:r>
      <w:r/>
    </w:p>
    <w:p>
      <w:pPr>
        <w:pStyle w:val="762"/>
        <w:ind w:firstLine="482"/>
        <w:jc w:val="left"/>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w:t>
      </w:r>
      <w:bookmarkEnd w:id="17"/>
      <w:r/>
      <w:bookmarkEnd w:id="18"/>
      <w:r/>
      <w:bookmarkEnd w:id="19"/>
      <w:r/>
      <w:bookmarkEnd w:id="20"/>
      <w:r/>
      <w:bookmarkEnd w:id="21"/>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795"/>
      <w:r/>
      <w:bookmarkStart w:id="23" w:name="_Toc38985268"/>
      <w:r/>
      <w:bookmarkStart w:id="24"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762"/>
        <w:ind w:firstLine="482"/>
        <w:jc w:val="left"/>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2.潜在供应商访问电子招标响应交易平台的网络地址和方法： </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3.有关本次招标的事项若存在变动或修改，敬请及时关注盐城市政府采购中心在“中国政府采购网”、“江苏政府采购网”、“盐城市政府采购网”发布的更正公告。</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5.供应商中标后打印纸质投标文件（正本壹份、副本贰份），在领取中标通知书前与用普通光盘或U盘拷贝的电子投标文件一并送至采购人。</w:t>
      </w:r>
      <w:r/>
    </w:p>
    <w:p>
      <w:pPr>
        <w:pStyle w:val="730"/>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25"/>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6"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pageBreakBefore w:val="0"/>
        <w:spacing w:line="360" w:lineRule="auto"/>
        <w:widowControl/>
        <w:rPr>
          <w:rStyle w:val="926"/>
          <w:rFonts w:hint="eastAsia" w:ascii="宋体" w:hAnsi="宋体" w:eastAsia="宋体" w:cs="Times New Roman"/>
          <w:color w:val="auto"/>
          <w:sz w:val="24"/>
          <w:szCs w:val="24"/>
          <w:highlight w:val="none"/>
        </w:rPr>
      </w:pPr>
      <w:r>
        <w:rPr>
          <w:rStyle w:val="926"/>
          <w:rFonts w:hint="eastAsia" w:ascii="宋体" w:hAnsi="宋体" w:eastAsia="宋体" w:cs="Times New Roman"/>
          <w:color w:val="auto"/>
          <w:sz w:val="24"/>
          <w:szCs w:val="24"/>
          <w:highlight w:val="none"/>
        </w:rPr>
        <w:t xml:space="preserve">单位名称：</w:t>
      </w:r>
      <w:r>
        <w:rPr>
          <w:rStyle w:val="926"/>
          <w:rFonts w:hint="eastAsia" w:ascii="宋体" w:hAnsi="宋体" w:eastAsia="宋体" w:cs="Times New Roman"/>
          <w:color w:val="auto"/>
          <w:sz w:val="24"/>
          <w:szCs w:val="24"/>
          <w:highlight w:val="none"/>
          <w:lang w:val="en-US" w:eastAsia="zh-CN"/>
        </w:rPr>
        <w:t xml:space="preserve">盐城市公安局盐南高新区分局</w:t>
      </w:r>
      <w:r/>
    </w:p>
    <w:p>
      <w:pPr>
        <w:ind w:firstLine="480"/>
        <w:pageBreakBefore w:val="0"/>
        <w:spacing w:line="360" w:lineRule="auto"/>
        <w:widowControl/>
        <w:rPr>
          <w:rStyle w:val="926"/>
          <w:rFonts w:hint="eastAsia" w:ascii="宋体" w:hAnsi="宋体" w:eastAsia="宋体" w:cs="Times New Roman"/>
          <w:color w:val="auto"/>
          <w:sz w:val="24"/>
          <w:szCs w:val="24"/>
          <w:highlight w:val="none"/>
        </w:rPr>
      </w:pPr>
      <w:r>
        <w:rPr>
          <w:rStyle w:val="926"/>
          <w:rFonts w:hint="eastAsia" w:ascii="宋体" w:hAnsi="宋体" w:eastAsia="宋体" w:cs="Times New Roman"/>
          <w:color w:val="auto"/>
          <w:sz w:val="24"/>
          <w:szCs w:val="24"/>
          <w:highlight w:val="none"/>
        </w:rPr>
        <w:t xml:space="preserve">单位地址：</w:t>
      </w:r>
      <w:r>
        <w:rPr>
          <w:rStyle w:val="926"/>
          <w:rFonts w:hint="eastAsia" w:ascii="宋体" w:hAnsi="宋体" w:eastAsia="宋体" w:cs="Times New Roman"/>
          <w:color w:val="auto"/>
          <w:sz w:val="24"/>
          <w:szCs w:val="24"/>
          <w:highlight w:val="none"/>
          <w:lang w:val="en-US" w:eastAsia="zh-CN"/>
        </w:rPr>
        <w:t xml:space="preserve">盐城市人民南路新龙广场8号楼</w:t>
      </w:r>
      <w:r/>
    </w:p>
    <w:p>
      <w:pPr>
        <w:ind w:firstLine="480"/>
        <w:pageBreakBefore w:val="0"/>
        <w:spacing w:line="360" w:lineRule="auto"/>
        <w:widowControl/>
        <w:rPr>
          <w:rStyle w:val="926"/>
          <w:rFonts w:hint="eastAsia" w:ascii="宋体" w:hAnsi="宋体" w:eastAsia="宋体" w:cs="Times New Roman"/>
          <w:color w:val="auto"/>
          <w:sz w:val="24"/>
          <w:szCs w:val="24"/>
          <w:highlight w:val="none"/>
        </w:rPr>
      </w:pPr>
      <w:r>
        <w:rPr>
          <w:rStyle w:val="926"/>
          <w:rFonts w:hint="eastAsia" w:ascii="宋体" w:hAnsi="宋体" w:eastAsia="宋体" w:cs="Times New Roman"/>
          <w:color w:val="auto"/>
          <w:sz w:val="24"/>
          <w:szCs w:val="24"/>
          <w:highlight w:val="none"/>
        </w:rPr>
        <w:t xml:space="preserve">联</w:t>
      </w:r>
      <w:r>
        <w:rPr>
          <w:rStyle w:val="926"/>
          <w:rFonts w:hint="eastAsia" w:ascii="宋体" w:hAnsi="宋体" w:eastAsia="宋体" w:cs="Times New Roman"/>
          <w:color w:val="auto"/>
          <w:sz w:val="24"/>
          <w:szCs w:val="24"/>
          <w:highlight w:val="none"/>
          <w:lang w:val="en-US" w:eastAsia="zh-CN"/>
        </w:rPr>
        <w:t xml:space="preserve"> </w:t>
      </w:r>
      <w:r>
        <w:rPr>
          <w:rStyle w:val="926"/>
          <w:rFonts w:hint="eastAsia" w:ascii="宋体" w:hAnsi="宋体" w:eastAsia="宋体" w:cs="Times New Roman"/>
          <w:color w:val="auto"/>
          <w:sz w:val="24"/>
          <w:szCs w:val="24"/>
          <w:highlight w:val="none"/>
        </w:rPr>
        <w:t xml:space="preserve">系</w:t>
      </w:r>
      <w:r>
        <w:rPr>
          <w:rStyle w:val="926"/>
          <w:rFonts w:hint="eastAsia" w:ascii="宋体" w:hAnsi="宋体" w:eastAsia="宋体" w:cs="Times New Roman"/>
          <w:color w:val="auto"/>
          <w:sz w:val="24"/>
          <w:szCs w:val="24"/>
          <w:highlight w:val="none"/>
          <w:lang w:val="en-US" w:eastAsia="zh-CN"/>
        </w:rPr>
        <w:t xml:space="preserve"> </w:t>
      </w:r>
      <w:r>
        <w:rPr>
          <w:rStyle w:val="926"/>
          <w:rFonts w:hint="eastAsia" w:ascii="宋体" w:hAnsi="宋体" w:eastAsia="宋体" w:cs="Times New Roman"/>
          <w:color w:val="auto"/>
          <w:sz w:val="24"/>
          <w:szCs w:val="24"/>
          <w:highlight w:val="none"/>
        </w:rPr>
        <w:t xml:space="preserve">人：</w:t>
      </w:r>
      <w:r>
        <w:rPr>
          <w:rStyle w:val="926"/>
          <w:rFonts w:hint="eastAsia" w:ascii="宋体" w:hAnsi="宋体" w:eastAsia="宋体" w:cs="Times New Roman"/>
          <w:color w:val="auto"/>
          <w:sz w:val="24"/>
          <w:szCs w:val="24"/>
          <w:highlight w:val="none"/>
          <w:lang w:val="en-US"/>
        </w:rPr>
        <w:t xml:space="preserve">杭先生</w:t>
      </w:r>
      <w:r>
        <w:rPr>
          <w:rStyle w:val="926"/>
          <w:rFonts w:hint="eastAsia" w:ascii="宋体" w:hAnsi="宋体" w:eastAsia="宋体" w:cs="Times New Roman"/>
          <w:color w:val="auto"/>
          <w:sz w:val="24"/>
          <w:szCs w:val="24"/>
          <w:highlight w:val="none"/>
          <w:lang w:val="en-US" w:eastAsia="zh-CN"/>
        </w:rPr>
        <w:t xml:space="preserve"> </w:t>
      </w:r>
      <w:r/>
    </w:p>
    <w:p>
      <w:pPr>
        <w:ind w:firstLine="480"/>
        <w:pageBreakBefore w:val="0"/>
        <w:spacing w:line="360" w:lineRule="auto"/>
        <w:widowControl/>
        <w:rPr>
          <w:rFonts w:hint="default" w:ascii="宋体" w:hAnsi="宋体" w:eastAsia="宋体" w:cs="宋体"/>
          <w:i w:val="0"/>
          <w:iCs w:val="0"/>
          <w:caps w:val="0"/>
          <w:color w:val="auto"/>
          <w:spacing w:val="0"/>
          <w:sz w:val="24"/>
          <w:szCs w:val="24"/>
          <w:highlight w:val="none"/>
          <w:shd w:val="clear" w:color="auto" w:fill="ffffff"/>
          <w:lang w:val="en-US" w:eastAsia="zh-CN"/>
        </w:rPr>
      </w:pPr>
      <w:r>
        <w:rPr>
          <w:rStyle w:val="926"/>
          <w:rFonts w:hint="eastAsia" w:ascii="宋体" w:hAnsi="宋体" w:eastAsia="宋体" w:cs="Times New Roman"/>
          <w:color w:val="auto"/>
          <w:sz w:val="24"/>
          <w:szCs w:val="24"/>
          <w:highlight w:val="none"/>
        </w:rPr>
        <w:t xml:space="preserve">联系电话：</w:t>
      </w:r>
      <w:r>
        <w:rPr>
          <w:rStyle w:val="926"/>
          <w:rFonts w:hint="eastAsia" w:ascii="宋体" w:hAnsi="宋体" w:eastAsia="宋体" w:cs="Times New Roman"/>
          <w:color w:val="auto"/>
          <w:sz w:val="24"/>
          <w:szCs w:val="24"/>
          <w:highlight w:val="none"/>
          <w:lang w:val="en-US"/>
        </w:rPr>
        <w:t xml:space="preserve">18751427548</w:t>
      </w:r>
      <w:r>
        <w:rPr>
          <w:rStyle w:val="926"/>
          <w:rFonts w:hint="eastAsia" w:ascii="宋体" w:hAnsi="宋体" w:eastAsia="宋体" w:cs="Times New Roman"/>
          <w:color w:val="auto"/>
          <w:sz w:val="24"/>
          <w:szCs w:val="24"/>
          <w:highlight w:val="none"/>
          <w:lang w:val="en-US" w:eastAsia="zh-CN"/>
        </w:rPr>
        <w:t xml:space="preserve"> </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ind w:firstLine="480"/>
        <w:pageBreakBefore w:val="0"/>
        <w:spacing w:line="360" w:lineRule="auto"/>
        <w:widowControl/>
        <w:rPr>
          <w:rStyle w:val="926"/>
          <w:rFonts w:hint="eastAsia" w:ascii="宋体" w:hAnsi="宋体" w:eastAsia="宋体" w:cs="Times New Roman"/>
          <w:color w:val="auto"/>
          <w:sz w:val="24"/>
          <w:szCs w:val="24"/>
          <w:highlight w:val="none"/>
          <w:lang w:eastAsia="zh-CN"/>
        </w:rPr>
      </w:pPr>
      <w:r/>
      <w:bookmarkStart w:id="27" w:name="_Toc28359010"/>
      <w:r/>
      <w:bookmarkStart w:id="28" w:name="_Toc28359087"/>
      <w:r>
        <w:rPr>
          <w:rStyle w:val="926"/>
          <w:rFonts w:hint="eastAsia" w:ascii="宋体" w:hAnsi="宋体" w:eastAsia="宋体" w:cs="Times New Roman"/>
          <w:color w:val="auto"/>
          <w:sz w:val="24"/>
          <w:szCs w:val="24"/>
          <w:highlight w:val="none"/>
        </w:rPr>
        <w:t xml:space="preserve">单位名称：</w:t>
      </w:r>
      <w:r>
        <w:rPr>
          <w:rStyle w:val="926"/>
          <w:rFonts w:hint="eastAsia" w:ascii="宋体" w:hAnsi="宋体" w:eastAsia="宋体" w:cs="Times New Roman"/>
          <w:color w:val="auto"/>
          <w:sz w:val="24"/>
          <w:szCs w:val="24"/>
          <w:highlight w:val="none"/>
          <w:lang w:eastAsia="zh-CN"/>
        </w:rPr>
        <w:t xml:space="preserve">江苏省盐南高新技术产业开发区政务服务中心</w:t>
      </w:r>
      <w:r/>
    </w:p>
    <w:p>
      <w:pPr>
        <w:ind w:firstLine="480"/>
        <w:pageBreakBefore w:val="0"/>
        <w:spacing w:line="360" w:lineRule="auto"/>
        <w:widowControl/>
        <w:rPr>
          <w:rStyle w:val="926"/>
          <w:rFonts w:hint="eastAsia" w:ascii="宋体" w:hAnsi="宋体" w:eastAsia="宋体" w:cs="Times New Roman"/>
          <w:color w:val="auto"/>
          <w:sz w:val="24"/>
          <w:szCs w:val="24"/>
          <w:highlight w:val="none"/>
          <w:lang w:eastAsia="zh-CN"/>
        </w:rPr>
      </w:pPr>
      <w:r>
        <w:rPr>
          <w:rStyle w:val="926"/>
          <w:rFonts w:hint="eastAsia" w:ascii="宋体" w:hAnsi="宋体" w:eastAsia="宋体" w:cs="Times New Roman"/>
          <w:color w:val="auto"/>
          <w:sz w:val="24"/>
          <w:szCs w:val="24"/>
          <w:highlight w:val="none"/>
        </w:rPr>
        <w:t xml:space="preserve">单位地址：</w:t>
      </w:r>
      <w:r>
        <w:rPr>
          <w:rStyle w:val="926"/>
          <w:rFonts w:hint="eastAsia" w:ascii="宋体" w:hAnsi="宋体" w:eastAsia="宋体" w:cs="Times New Roman"/>
          <w:color w:val="auto"/>
          <w:sz w:val="24"/>
          <w:szCs w:val="24"/>
          <w:highlight w:val="none"/>
          <w:lang w:eastAsia="zh-CN"/>
        </w:rPr>
        <w:t xml:space="preserve">盐城市人民南路38号 新龙广场7号楼</w:t>
      </w:r>
      <w:r/>
    </w:p>
    <w:p>
      <w:pPr>
        <w:ind w:firstLine="480"/>
        <w:pageBreakBefore w:val="0"/>
        <w:spacing w:line="360" w:lineRule="auto"/>
        <w:widowControl/>
        <w:rPr>
          <w:rStyle w:val="926"/>
          <w:rFonts w:hint="eastAsia" w:ascii="宋体" w:hAnsi="宋体" w:eastAsia="宋体" w:cs="Times New Roman"/>
          <w:color w:val="auto"/>
          <w:sz w:val="24"/>
          <w:szCs w:val="24"/>
          <w:highlight w:val="none"/>
        </w:rPr>
      </w:pPr>
      <w:r>
        <w:rPr>
          <w:rStyle w:val="926"/>
          <w:rFonts w:hint="eastAsia" w:ascii="宋体" w:hAnsi="宋体" w:eastAsia="宋体" w:cs="Times New Roman"/>
          <w:color w:val="auto"/>
          <w:sz w:val="24"/>
          <w:szCs w:val="24"/>
          <w:highlight w:val="none"/>
        </w:rPr>
        <w:t xml:space="preserve">联</w:t>
      </w:r>
      <w:r>
        <w:rPr>
          <w:rStyle w:val="926"/>
          <w:rFonts w:hint="eastAsia" w:ascii="宋体" w:hAnsi="宋体" w:eastAsia="宋体" w:cs="Times New Roman"/>
          <w:color w:val="auto"/>
          <w:sz w:val="24"/>
          <w:szCs w:val="24"/>
          <w:highlight w:val="none"/>
          <w:lang w:val="en-US" w:eastAsia="zh-CN"/>
        </w:rPr>
        <w:t xml:space="preserve"> </w:t>
      </w:r>
      <w:r>
        <w:rPr>
          <w:rStyle w:val="926"/>
          <w:rFonts w:hint="eastAsia" w:ascii="宋体" w:hAnsi="宋体" w:eastAsia="宋体" w:cs="Times New Roman"/>
          <w:color w:val="auto"/>
          <w:sz w:val="24"/>
          <w:szCs w:val="24"/>
          <w:highlight w:val="none"/>
        </w:rPr>
        <w:t xml:space="preserve">系</w:t>
      </w:r>
      <w:r>
        <w:rPr>
          <w:rStyle w:val="926"/>
          <w:rFonts w:hint="eastAsia" w:ascii="宋体" w:hAnsi="宋体" w:eastAsia="宋体" w:cs="Times New Roman"/>
          <w:color w:val="auto"/>
          <w:sz w:val="24"/>
          <w:szCs w:val="24"/>
          <w:highlight w:val="none"/>
          <w:lang w:val="en-US" w:eastAsia="zh-CN"/>
        </w:rPr>
        <w:t xml:space="preserve"> </w:t>
      </w:r>
      <w:r>
        <w:rPr>
          <w:rStyle w:val="926"/>
          <w:rFonts w:hint="eastAsia" w:ascii="宋体" w:hAnsi="宋体" w:eastAsia="宋体" w:cs="Times New Roman"/>
          <w:color w:val="auto"/>
          <w:sz w:val="24"/>
          <w:szCs w:val="24"/>
          <w:highlight w:val="none"/>
        </w:rPr>
        <w:t xml:space="preserve">人：</w:t>
      </w:r>
      <w:r>
        <w:rPr>
          <w:rStyle w:val="926"/>
          <w:rFonts w:hint="eastAsia" w:ascii="宋体" w:hAnsi="宋体" w:eastAsia="宋体" w:cs="Times New Roman"/>
          <w:color w:val="auto"/>
          <w:sz w:val="24"/>
          <w:szCs w:val="24"/>
          <w:highlight w:val="none"/>
          <w:lang w:val="en-US" w:eastAsia="zh-CN"/>
        </w:rPr>
        <w:t xml:space="preserve">江苏伟业项目管理有限公司 </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Style w:val="926"/>
          <w:rFonts w:hint="eastAsia" w:ascii="宋体" w:hAnsi="宋体" w:eastAsia="宋体" w:cs="Times New Roman"/>
          <w:color w:val="auto"/>
          <w:sz w:val="24"/>
          <w:szCs w:val="24"/>
          <w:highlight w:val="none"/>
        </w:rPr>
        <w:t xml:space="preserve">联系</w:t>
      </w:r>
      <w:bookmarkEnd w:id="27"/>
      <w:r/>
      <w:bookmarkEnd w:id="28"/>
      <w:r>
        <w:rPr>
          <w:rStyle w:val="926"/>
          <w:rFonts w:hint="eastAsia" w:ascii="宋体" w:hAnsi="宋体" w:eastAsia="宋体" w:cs="Times New Roman"/>
          <w:color w:val="auto"/>
          <w:sz w:val="24"/>
          <w:szCs w:val="24"/>
          <w:highlight w:val="none"/>
        </w:rPr>
        <w:t xml:space="preserve">电话：</w:t>
      </w:r>
      <w:r>
        <w:rPr>
          <w:rStyle w:val="926"/>
          <w:rFonts w:hint="eastAsia" w:ascii="宋体" w:hAnsi="宋体" w:eastAsia="宋体" w:cs="Times New Roman"/>
          <w:color w:val="auto"/>
          <w:sz w:val="24"/>
          <w:szCs w:val="24"/>
          <w:highlight w:val="none"/>
          <w:lang w:val="en-US" w:eastAsia="zh-CN"/>
        </w:rPr>
        <w:t xml:space="preserve">15366586996</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2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w:t>
      </w:r>
      <w:r>
        <w:rPr>
          <w:rStyle w:val="926"/>
          <w:rFonts w:hint="eastAsia" w:ascii="宋体" w:hAnsi="宋体" w:eastAsia="宋体" w:cs="Times New Roman"/>
          <w:color w:val="auto"/>
          <w:sz w:val="24"/>
          <w:szCs w:val="24"/>
          <w:highlight w:val="none"/>
          <w:lang w:val="en-US" w:eastAsia="zh-CN"/>
        </w:rPr>
        <w:t xml:space="preserve">江苏伟业项目管理有限公司</w:t>
      </w:r>
      <w:r/>
    </w:p>
    <w:p>
      <w:pPr>
        <w:pStyle w:val="76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话：15366586996</w:t>
      </w:r>
      <w:r/>
    </w:p>
    <w:p>
      <w:pPr>
        <w:rPr>
          <w:color w:val="auto"/>
          <w:highlight w:val="none"/>
        </w:rPr>
      </w:pPr>
      <w:r>
        <w:rPr>
          <w:color w:val="auto"/>
          <w:highlight w:val="none"/>
        </w:rPr>
        <w:t xml:space="preserve"> </w:t>
      </w:r>
      <w:r/>
    </w:p>
    <w:p>
      <w:pPr>
        <w:pStyle w:val="762"/>
        <w:ind w:right="840"/>
        <w:jc w:val="center"/>
        <w:spacing w:beforeAutospacing="0" w:afterAutospacing="0"/>
        <w:rPr>
          <w:rFonts w:hint="eastAsia" w:ascii="黑体" w:hAnsi="黑体" w:eastAsia="黑体" w:cs="黑体"/>
          <w:color w:val="auto"/>
          <w:sz w:val="44"/>
          <w:szCs w:val="44"/>
          <w:highlight w:val="none"/>
          <w:lang w:val="en-US" w:eastAsia="zh-CN"/>
        </w:rPr>
      </w:pPr>
      <w:r>
        <w:rPr>
          <w:rFonts w:hint="eastAsia" w:ascii="宋体" w:hAnsi="宋体" w:eastAsia="宋体" w:cs="宋体"/>
          <w:color w:val="auto"/>
          <w:highlight w:val="none"/>
        </w:rPr>
        <w:br w:type="page" w:clear="all"/>
      </w:r>
      <w:bookmarkStart w:id="30" w:name="_Toc120614211"/>
      <w:r>
        <w:rPr>
          <w:rFonts w:hint="eastAsia" w:ascii="黑体" w:hAnsi="黑体" w:eastAsia="黑体" w:cs="黑体"/>
          <w:color w:val="auto"/>
          <w:sz w:val="44"/>
          <w:szCs w:val="44"/>
          <w:highlight w:val="none"/>
          <w:lang w:val="en-US" w:eastAsia="zh-CN"/>
        </w:rPr>
        <w:t xml:space="preserve">第二章</w:t>
      </w:r>
      <w:bookmarkEnd w:id="30"/>
      <w:r/>
      <w:bookmarkStart w:id="31" w:name="_Toc513029202"/>
      <w:r/>
      <w:bookmarkStart w:id="32" w:name="_Toc120614213"/>
      <w:r/>
      <w:bookmarkStart w:id="33" w:name="_Toc20823274"/>
      <w:r/>
      <w:bookmarkStart w:id="34" w:name="_Toc16938518"/>
      <w:r>
        <w:rPr>
          <w:rFonts w:hint="eastAsia" w:ascii="黑体" w:hAnsi="黑体" w:eastAsia="黑体" w:cs="黑体"/>
          <w:color w:val="auto"/>
          <w:sz w:val="44"/>
          <w:szCs w:val="44"/>
          <w:highlight w:val="none"/>
          <w:lang w:val="en-US" w:eastAsia="zh-CN"/>
        </w:rPr>
        <w:t xml:space="preserve"> 投标人须知</w:t>
      </w:r>
      <w:bookmarkEnd w:id="31"/>
      <w:r/>
      <w:bookmarkEnd w:id="32"/>
      <w:r/>
      <w:bookmarkEnd w:id="33"/>
      <w:r/>
      <w:bookmarkEnd w:id="34"/>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5" w:name="_Toc16938519"/>
      <w:r/>
      <w:bookmarkStart w:id="36" w:name="_Toc120614214"/>
      <w:r/>
      <w:bookmarkStart w:id="37" w:name="_Toc20823275"/>
      <w:r/>
      <w:bookmarkStart w:id="38" w:name="_Toc513029203"/>
      <w:r>
        <w:rPr>
          <w:rFonts w:hint="eastAsia" w:ascii="宋体" w:hAnsi="宋体" w:eastAsia="宋体" w:cs="宋体"/>
          <w:b/>
          <w:color w:val="auto"/>
          <w:sz w:val="24"/>
          <w:szCs w:val="24"/>
          <w:highlight w:val="none"/>
        </w:rPr>
        <w:t xml:space="preserve">一、总则</w:t>
      </w:r>
      <w:bookmarkEnd w:id="35"/>
      <w:r/>
      <w:bookmarkEnd w:id="36"/>
      <w:r/>
      <w:bookmarkEnd w:id="37"/>
      <w:r/>
      <w:bookmarkEnd w:id="38"/>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9" w:name="_Toc16938520"/>
      <w:r/>
      <w:bookmarkStart w:id="40" w:name="_Toc513029204"/>
      <w:r/>
      <w:bookmarkStart w:id="41" w:name="_Toc458694821"/>
      <w:r/>
      <w:bookmarkStart w:id="42" w:name="_Toc20823276"/>
      <w:r/>
      <w:bookmarkStart w:id="43" w:name="_Hlt16619475"/>
      <w:r>
        <w:rPr>
          <w:rFonts w:hint="eastAsia" w:ascii="宋体" w:hAnsi="宋体" w:eastAsia="宋体" w:cs="宋体"/>
          <w:color w:val="auto"/>
          <w:sz w:val="24"/>
          <w:szCs w:val="24"/>
          <w:highlight w:val="none"/>
        </w:rPr>
        <w:t xml:space="preserve">1</w:t>
      </w:r>
      <w:bookmarkEnd w:id="39"/>
      <w:r>
        <w:rPr>
          <w:rFonts w:hint="eastAsia" w:ascii="宋体" w:hAnsi="宋体" w:eastAsia="宋体" w:cs="宋体"/>
          <w:color w:val="auto"/>
          <w:sz w:val="24"/>
          <w:szCs w:val="24"/>
          <w:highlight w:val="none"/>
        </w:rPr>
        <w:t xml:space="preserve">、招标方式</w:t>
      </w:r>
      <w:bookmarkEnd w:id="40"/>
      <w:r/>
      <w:bookmarkEnd w:id="41"/>
      <w:r/>
      <w:bookmarkEnd w:id="42"/>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4" w:name="_Toc20823277"/>
      <w:r/>
      <w:bookmarkStart w:id="45" w:name="_Toc16938521"/>
      <w:r/>
      <w:bookmarkStart w:id="46" w:name="_Toc513029205"/>
      <w:r>
        <w:rPr>
          <w:rFonts w:hint="eastAsia" w:ascii="宋体" w:hAnsi="宋体" w:eastAsia="宋体" w:cs="宋体"/>
          <w:color w:val="auto"/>
          <w:sz w:val="24"/>
          <w:szCs w:val="24"/>
          <w:highlight w:val="none"/>
        </w:rPr>
        <w:t xml:space="preserve">2、合格的投标人</w:t>
      </w:r>
      <w:bookmarkEnd w:id="44"/>
      <w:r/>
      <w:bookmarkEnd w:id="45"/>
      <w:r/>
      <w:bookmarkEnd w:id="46"/>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7" w:name="_Toc513029206"/>
      <w:r/>
      <w:bookmarkStart w:id="48" w:name="_Toc16938522"/>
      <w:r/>
      <w:bookmarkStart w:id="49" w:name="_Toc20823278"/>
      <w:r>
        <w:rPr>
          <w:rFonts w:hint="eastAsia" w:ascii="宋体" w:hAnsi="宋体" w:eastAsia="宋体" w:cs="宋体"/>
          <w:color w:val="auto"/>
          <w:sz w:val="24"/>
          <w:szCs w:val="24"/>
          <w:highlight w:val="none"/>
        </w:rPr>
        <w:t xml:space="preserve">3、适用法律</w:t>
      </w:r>
      <w:bookmarkEnd w:id="47"/>
      <w:r/>
      <w:bookmarkEnd w:id="48"/>
      <w:r/>
      <w:bookmarkEnd w:id="49"/>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0" w:name="_Toc513029207"/>
      <w:r/>
      <w:bookmarkStart w:id="51" w:name="_Toc16938523"/>
      <w:r/>
      <w:bookmarkStart w:id="52" w:name="_Toc20823279"/>
      <w:r/>
      <w:bookmarkStart w:id="53" w:name="_Toc462564067"/>
      <w:r>
        <w:rPr>
          <w:rFonts w:hint="eastAsia" w:ascii="宋体" w:hAnsi="宋体" w:eastAsia="宋体" w:cs="宋体"/>
          <w:color w:val="auto"/>
          <w:sz w:val="24"/>
          <w:szCs w:val="24"/>
          <w:highlight w:val="none"/>
        </w:rPr>
        <w:t xml:space="preserve">4、投标费用</w:t>
      </w:r>
      <w:bookmarkEnd w:id="50"/>
      <w:r/>
      <w:bookmarkEnd w:id="51"/>
      <w:r/>
      <w:bookmarkEnd w:id="52"/>
      <w:r/>
      <w:bookmarkEnd w:id="53"/>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江苏省盐南高新技术产业开发区政务服务中心（以下简称代理机构）</w:t>
      </w:r>
      <w:r>
        <w:rPr>
          <w:rFonts w:hint="eastAsia" w:ascii="宋体" w:hAnsi="宋体" w:eastAsia="宋体" w:cs="宋体"/>
          <w:color w:val="auto"/>
          <w:sz w:val="24"/>
          <w:szCs w:val="24"/>
          <w:highlight w:val="none"/>
        </w:rPr>
        <w:t xml:space="preserve">在任何情况下均无义务和责任承担这些费用。</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代理机构和</w:t>
      </w:r>
      <w:r>
        <w:rPr>
          <w:rFonts w:hint="eastAsia" w:ascii="宋体" w:hAnsi="宋体" w:eastAsia="宋体" w:cs="宋体"/>
          <w:color w:val="auto"/>
          <w:sz w:val="24"/>
          <w:szCs w:val="24"/>
          <w:highlight w:val="none"/>
        </w:rPr>
        <w:t xml:space="preserve">采购人不收取标书工本费与中标服务费。</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pPr>
      <w:r/>
      <w:bookmarkStart w:id="54" w:name="_Toc16938525"/>
      <w:r/>
      <w:bookmarkStart w:id="55" w:name="_Toc20823281"/>
      <w:r/>
      <w:bookmarkStart w:id="56" w:name="_Toc513029209"/>
      <w:r/>
      <w:bookmarkStart w:id="57" w:name="_Toc120614215"/>
      <w:r>
        <w:rPr>
          <w:rFonts w:hint="eastAsia" w:ascii="宋体" w:hAnsi="宋体" w:eastAsia="宋体" w:cs="宋体"/>
          <w:b/>
          <w:color w:val="auto"/>
          <w:sz w:val="24"/>
          <w:szCs w:val="24"/>
          <w:highlight w:val="none"/>
        </w:rPr>
        <w:t xml:space="preserve">二、招标文件</w:t>
      </w:r>
      <w:bookmarkEnd w:id="54"/>
      <w:r/>
      <w:bookmarkEnd w:id="55"/>
      <w:r/>
      <w:bookmarkEnd w:id="56"/>
      <w:r/>
      <w:bookmarkEnd w:id="57"/>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8" w:name="_Toc513029210"/>
      <w:r/>
      <w:bookmarkStart w:id="59" w:name="_Toc20823282"/>
      <w:r/>
      <w:bookmarkStart w:id="60" w:name="_Toc16938526"/>
      <w:r>
        <w:rPr>
          <w:rFonts w:hint="eastAsia" w:ascii="宋体" w:hAnsi="宋体" w:eastAsia="宋体" w:cs="宋体"/>
          <w:color w:val="auto"/>
          <w:sz w:val="24"/>
          <w:szCs w:val="24"/>
          <w:highlight w:val="none"/>
        </w:rPr>
        <w:t xml:space="preserve">6、招标文件构成</w:t>
      </w:r>
      <w:bookmarkEnd w:id="58"/>
      <w:r/>
      <w:bookmarkEnd w:id="59"/>
      <w:r/>
      <w:bookmarkEnd w:id="60"/>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合同条款</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政务服务中心</w:t>
      </w:r>
      <w:r>
        <w:rPr>
          <w:rFonts w:hint="eastAsia" w:ascii="宋体" w:hAnsi="宋体" w:eastAsia="宋体" w:cs="宋体"/>
          <w:color w:val="auto"/>
          <w:sz w:val="24"/>
          <w:szCs w:val="24"/>
          <w:highlight w:val="none"/>
        </w:rPr>
        <w:t xml:space="preserve">联系解决。</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7、招标文件的澄清</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8、招标文件的修改</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可以对招标文件进行修改。</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有权按照法定的要求推迟投标截止日期和开标日期。</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招标文件的修改将在中国政府采购网、江苏政府采购网、盐城市政府采购网公布，补充文件将作为招标文件的组成部分，并对投标人具有约束力。</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pPr>
      <w:r/>
      <w:bookmarkStart w:id="61" w:name="_Toc462564072"/>
      <w:r/>
      <w:bookmarkStart w:id="62" w:name="_Toc16938529"/>
      <w:r/>
      <w:bookmarkStart w:id="63" w:name="_Toc513029213"/>
      <w:r/>
      <w:bookmarkStart w:id="64" w:name="_Toc120614216"/>
      <w:r/>
      <w:bookmarkStart w:id="65" w:name="_Toc20823285"/>
      <w:r>
        <w:rPr>
          <w:rFonts w:hint="eastAsia" w:ascii="宋体" w:hAnsi="宋体" w:eastAsia="宋体" w:cs="宋体"/>
          <w:b/>
          <w:color w:val="auto"/>
          <w:sz w:val="24"/>
          <w:szCs w:val="24"/>
          <w:highlight w:val="none"/>
        </w:rPr>
        <w:t xml:space="preserve">三、投标文件的编制</w:t>
      </w:r>
      <w:bookmarkEnd w:id="61"/>
      <w:r/>
      <w:bookmarkEnd w:id="62"/>
      <w:r/>
      <w:bookmarkEnd w:id="63"/>
      <w:r/>
      <w:bookmarkEnd w:id="64"/>
      <w:r/>
      <w:bookmarkEnd w:id="65"/>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6" w:name="_Hlt26670373"/>
      <w:r/>
      <w:bookmarkStart w:id="67" w:name="_Hlt26954844"/>
      <w:r/>
      <w:bookmarkStart w:id="68" w:name="_Hlt26670399"/>
      <w:r/>
      <w:bookmarkStart w:id="69" w:name="_Hlt26954850"/>
      <w:r/>
      <w:bookmarkStart w:id="70" w:name="_Hlt26954842"/>
      <w:r/>
      <w:bookmarkStart w:id="71" w:name="_Hlt26670425"/>
      <w:r/>
      <w:bookmarkStart w:id="72" w:name="_Hlt26954848"/>
      <w:r/>
      <w:bookmarkStart w:id="73" w:name="_Hlt26954840"/>
      <w:r/>
      <w:bookmarkStart w:id="74" w:name="_Hlt26668983"/>
      <w:r/>
      <w:bookmarkStart w:id="75" w:name="_Hlt26954838"/>
      <w:r/>
      <w:bookmarkStart w:id="76" w:name="_Hlt26670489"/>
      <w:r/>
      <w:bookmarkStart w:id="77" w:name="_Hlt26670403"/>
      <w:r/>
      <w:bookmarkStart w:id="78" w:name="_Hlt26668975"/>
      <w:r/>
      <w:bookmarkStart w:id="79" w:name="_Hlt26954734"/>
      <w:r/>
      <w:bookmarkStart w:id="80" w:name="_Hlt26670482"/>
      <w:r/>
      <w:bookmarkStart w:id="81" w:name="_Hlt26954846"/>
      <w:r/>
      <w:bookmarkStart w:id="82" w:name="_Hlt26670486"/>
      <w:r/>
      <w:bookmarkStart w:id="83" w:name="_Hlt26954731"/>
      <w:r/>
      <w:bookmarkStart w:id="84" w:name="_Hlt26670360"/>
      <w:r>
        <w:rPr>
          <w:rFonts w:hint="eastAsia" w:ascii="宋体" w:hAnsi="宋体" w:eastAsia="宋体" w:cs="宋体"/>
          <w:color w:val="auto"/>
          <w:sz w:val="24"/>
          <w:szCs w:val="24"/>
          <w:highlight w:val="none"/>
        </w:rPr>
        <w:t xml:space="preserve">9、投标文件的语言及度量衡单位</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就有关投标的所有来往通知、函件和文件均应使用简体中文。</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10、投标文件构成</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11、证明投标人及投标标的符合招标文件规定的文件</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12.3投标人应按照第六章投标文件格式完整地填写投标分项报价表，说明其拟提供服务的名称、服务内容、数量、价格等，采购人要求投标人明确填写的相关内容的，也应填写。</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12.4每项服务内容只允许有一个报价，任何有选择的报价将不予接受。</w:t>
      </w:r>
      <w:r/>
    </w:p>
    <w:p>
      <w:pPr>
        <w:pStyle w:val="762"/>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报价应包括投标人为完成本项目达到使用功能满足验收要求的人工费、材料费、保险费、差旅费、管理费、措施费、利润、规费、建安税金（9%）、文明施工措施费（包含安全文明施工（安装工程：基本费1.5%，扬尘污染防治增加费0.21%，环境保护税0.1%）等一切费用。投标人应充分考虑项目的规模、性质、施工期间的市场风险和国家政策性调整风险系数以及招标人对工程范围、工期、质量等的要求，并计入报价中，最终全费用合单价不作调整。</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投标人需根据招标文件要求提供所投标的的主要组成部分、功能设计、实现思路及关键技术等。</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15、投标函和开标一览表</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color w:val="auto"/>
          <w:sz w:val="24"/>
          <w:szCs w:val="24"/>
          <w:highlight w:val="none"/>
          <w:lang w:val="en-US" w:eastAsia="zh-CN"/>
        </w:rPr>
        <w:t xml:space="preserve">九十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0）天。投标有效期比规定短的将被视为未实质性响应招标文件而予以拒绝。</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pPr>
      <w:r/>
      <w:bookmarkStart w:id="85" w:name="_Toc513029224"/>
      <w:r/>
      <w:bookmarkStart w:id="86" w:name="_Toc16938540"/>
      <w:r/>
      <w:bookmarkStart w:id="87" w:name="_Toc120614217"/>
      <w:r/>
      <w:bookmarkStart w:id="88" w:name="_Toc20823296"/>
      <w:r/>
      <w:bookmarkStart w:id="89" w:name="_Hlt26954852"/>
      <w:r/>
      <w:bookmarkStart w:id="90" w:name="_Hlt26954739"/>
      <w:r>
        <w:rPr>
          <w:rFonts w:hint="eastAsia" w:ascii="宋体" w:hAnsi="宋体" w:eastAsia="宋体" w:cs="宋体"/>
          <w:b/>
          <w:color w:val="auto"/>
          <w:sz w:val="24"/>
          <w:szCs w:val="24"/>
          <w:highlight w:val="none"/>
        </w:rPr>
        <w:t xml:space="preserve">四、投标文件的递交</w:t>
      </w:r>
      <w:bookmarkEnd w:id="85"/>
      <w:r/>
      <w:bookmarkEnd w:id="86"/>
      <w:r/>
      <w:bookmarkEnd w:id="87"/>
      <w:r/>
      <w:bookmarkEnd w:id="88"/>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1" w:name="_Toc20823297"/>
      <w:r/>
      <w:bookmarkStart w:id="92" w:name="_Toc513029225"/>
      <w:r/>
      <w:bookmarkStart w:id="93" w:name="_Toc462564084"/>
      <w:r/>
      <w:bookmarkStart w:id="94" w:name="_Toc16938541"/>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bookmarkEnd w:id="91"/>
      <w:r/>
      <w:bookmarkEnd w:id="92"/>
      <w:r/>
      <w:bookmarkEnd w:id="93"/>
      <w:r/>
      <w:bookmarkEnd w:id="94"/>
      <w:r>
        <w:rPr>
          <w:rFonts w:hint="eastAsia" w:ascii="宋体" w:hAnsi="宋体" w:eastAsia="宋体" w:cs="宋体"/>
          <w:color w:val="auto"/>
          <w:sz w:val="24"/>
          <w:szCs w:val="24"/>
          <w:highlight w:val="none"/>
        </w:rPr>
        <w:t xml:space="preserve">电子投标文件的递交</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.1投标人应当按照《操作手册》规定，在投标截止时间前制作并上传电子投标文件。</w:t>
      </w:r>
      <w:bookmarkStart w:id="95" w:name="_Toc20823298"/>
      <w:r/>
      <w:bookmarkEnd w:id="95"/>
      <w:r/>
      <w:bookmarkStart w:id="96" w:name="_Toc16938542"/>
      <w:r/>
      <w:bookmarkEnd w:id="96"/>
      <w:r/>
      <w:bookmarkStart w:id="97" w:name="_Toc513029226"/>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、投标截止时间</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w:t>
      </w:r>
      <w:r>
        <w:rPr>
          <w:rFonts w:hint="eastAsia" w:ascii="宋体" w:hAnsi="宋体" w:eastAsia="宋体" w:cs="宋体"/>
          <w:i/>
          <w:color w:val="auto"/>
          <w:sz w:val="24"/>
          <w:szCs w:val="24"/>
          <w:highlight w:val="none"/>
          <w:u w:val="single"/>
          <w:lang w:val="en-US" w:eastAsia="zh-CN"/>
        </w:rPr>
        <w:t xml:space="preserve">9</w:t>
      </w:r>
      <w:r>
        <w:rPr>
          <w:rFonts w:hint="eastAsia" w:ascii="宋体" w:hAnsi="宋体" w:eastAsia="宋体" w:cs="宋体"/>
          <w:i/>
          <w:color w:val="auto"/>
          <w:sz w:val="24"/>
          <w:szCs w:val="24"/>
          <w:highlight w:val="none"/>
          <w:u w:val="single"/>
        </w:rPr>
        <w:t xml:space="preserve">.1投标人上传电子投标文件的时间不得迟于招标公告中规定的投标截止时间。</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w:t>
      </w:r>
      <w:r>
        <w:rPr>
          <w:rFonts w:hint="eastAsia" w:ascii="宋体" w:hAnsi="宋体" w:eastAsia="宋体" w:cs="宋体"/>
          <w:b/>
          <w:bCs/>
          <w:color w:val="auto"/>
          <w:sz w:val="24"/>
          <w:szCs w:val="24"/>
          <w:highlight w:val="none"/>
        </w:rPr>
        <w:t xml:space="preserve">26.1.2</w:t>
      </w:r>
      <w:r>
        <w:rPr>
          <w:rFonts w:hint="eastAsia" w:ascii="宋体" w:hAnsi="宋体" w:eastAsia="宋体" w:cs="宋体"/>
          <w:color w:val="auto"/>
          <w:sz w:val="24"/>
          <w:szCs w:val="24"/>
          <w:highlight w:val="none"/>
        </w:rPr>
        <w:t xml:space="preserve">条规定做无效投标处理。</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20、投标文件的拒收</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政务服务中心拒绝接收在其规定的投标截止时间后上传的任何投标文件。</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21、投标文件的撤回和修改</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 投标文件的撤回</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21.1.1 电子投标文件的撤回</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投标人可在投标截止时间前，撤回其电子投标文件，具体操作方法见《操作手册》。</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21.1.2 投标人撤回电子投标文件，则认为其不再参与本项目投标活动。</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 投标文件的修改</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21.2.1投标人可在投标截止时间前，对其电子投标文件进行修改，具体操作方法见《操作手册》。</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21.2.2 在投标截止时间之后，投标人不得对其电子投标文件作任何修改。</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 在投标截止时间至招标文件中规定的投标有效期满之间的这段时间内，投标人不得撤回其投标。</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pPr>
      <w:r/>
      <w:bookmarkStart w:id="98" w:name="_Toc120614218"/>
      <w:r/>
      <w:bookmarkStart w:id="99" w:name="_Toc16938545"/>
      <w:r/>
      <w:bookmarkStart w:id="100" w:name="_Toc513029229"/>
      <w:r/>
      <w:bookmarkStart w:id="101" w:name="_Toc20823301"/>
      <w:r>
        <w:rPr>
          <w:rFonts w:hint="eastAsia" w:ascii="宋体" w:hAnsi="宋体" w:eastAsia="宋体" w:cs="宋体"/>
          <w:b/>
          <w:color w:val="auto"/>
          <w:sz w:val="24"/>
          <w:szCs w:val="24"/>
          <w:highlight w:val="none"/>
        </w:rPr>
        <w:t xml:space="preserve">五、开标与评标</w:t>
      </w:r>
      <w:bookmarkEnd w:id="98"/>
      <w:r/>
      <w:bookmarkEnd w:id="99"/>
      <w:r/>
      <w:bookmarkEnd w:id="100"/>
      <w:r/>
      <w:bookmarkEnd w:id="101"/>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2" w:name="_Toc120614219"/>
      <w:r>
        <w:rPr>
          <w:rFonts w:hint="eastAsia" w:ascii="宋体" w:hAnsi="宋体" w:eastAsia="宋体" w:cs="宋体"/>
          <w:color w:val="auto"/>
          <w:sz w:val="24"/>
          <w:szCs w:val="24"/>
          <w:highlight w:val="none"/>
        </w:rPr>
        <w:t xml:space="preserve">22、开标</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23、评标委员会</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将立即组织评标委员会（以下简称评委会）进行评标。</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23.3评委会独立工作，负责评审所有投标文件并确定中标侯选人。</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均不得向投标人或与评标无关的其他人员透露。</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25．投标文件的澄清</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将不再告知未通过资格审查或符合性审查的原因。</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及评标委员会联系。</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27.1无效投标条款</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iCs/>
          <w:color w:val="auto"/>
          <w:sz w:val="24"/>
          <w:szCs w:val="24"/>
          <w:highlight w:val="none"/>
          <w:u w:val="single"/>
        </w:rPr>
        <w:t xml:space="preserve">本招标文件中斜体且有下划线部分为实质性要求和条件</w:t>
      </w:r>
      <w:r>
        <w:rPr>
          <w:rFonts w:hint="eastAsia" w:ascii="宋体" w:hAnsi="宋体" w:eastAsia="宋体" w:cs="宋体"/>
          <w:color w:val="auto"/>
          <w:sz w:val="24"/>
          <w:szCs w:val="24"/>
          <w:highlight w:val="none"/>
        </w:rPr>
        <w:t xml:space="preserve">）。</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因苏采云系统系统故障原因造成开标不成功的。</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62"/>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六、定标</w:t>
      </w:r>
      <w:bookmarkEnd w:id="102"/>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3" w:name="_Toc20823310"/>
      <w:r/>
      <w:bookmarkStart w:id="104" w:name="_Toc513029238"/>
      <w:r/>
      <w:bookmarkStart w:id="105" w:name="_Toc16938554"/>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bookmarkEnd w:id="103"/>
      <w:r>
        <w:rPr>
          <w:rFonts w:hint="eastAsia" w:ascii="宋体" w:hAnsi="宋体" w:eastAsia="宋体" w:cs="宋体"/>
          <w:color w:val="auto"/>
          <w:sz w:val="24"/>
          <w:szCs w:val="24"/>
          <w:highlight w:val="none"/>
        </w:rPr>
        <w:t xml:space="preserve">确定</w:t>
      </w:r>
      <w:bookmarkEnd w:id="104"/>
      <w:r/>
      <w:bookmarkEnd w:id="105"/>
      <w:r>
        <w:rPr>
          <w:rFonts w:hint="eastAsia" w:ascii="宋体" w:hAnsi="宋体" w:eastAsia="宋体" w:cs="宋体"/>
          <w:color w:val="auto"/>
          <w:sz w:val="24"/>
          <w:szCs w:val="24"/>
          <w:highlight w:val="none"/>
        </w:rPr>
        <w:t xml:space="preserve">中标单位</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将在中国政府采购网”、“江苏政府采购网”、“盐城市政府采购网”发布中标公告，公告期限为1个工作日。</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行贿或者提供其他不正当利益的。</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28.5有下列情形之一的，视为投标人串通投标，投标无效：</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、质疑处理</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或采购人提出质疑。上述应知其权益受到损害之日，是指：</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、采购人将只对供应商第一次质疑作出答复。</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负责答复。</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不接受未填写快递运单的快件。质疑接收部门联系地址：</w:t>
      </w:r>
      <w:r>
        <w:rPr>
          <w:rStyle w:val="926"/>
          <w:rFonts w:hint="eastAsia" w:ascii="宋体" w:hAnsi="宋体" w:eastAsia="宋体" w:cs="Times New Roman"/>
          <w:color w:val="auto"/>
          <w:sz w:val="24"/>
          <w:szCs w:val="24"/>
          <w:highlight w:val="none"/>
          <w:lang w:val="en-US" w:eastAsia="zh-CN"/>
        </w:rPr>
        <w:t xml:space="preserve">盐城市人民南路新龙广场8号楼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15366586996；</w:t>
      </w:r>
      <w:r>
        <w:rPr>
          <w:rStyle w:val="926"/>
          <w:rFonts w:hint="eastAsia" w:ascii="宋体" w:hAnsi="宋体" w:eastAsia="宋体" w:cs="Times New Roman"/>
          <w:color w:val="auto"/>
          <w:sz w:val="24"/>
          <w:szCs w:val="24"/>
          <w:highlight w:val="none"/>
          <w:lang w:val="en-US"/>
        </w:rPr>
        <w:t xml:space="preserve">18751427548</w:t>
      </w:r>
      <w:r>
        <w:rPr>
          <w:rFonts w:hint="eastAsia" w:ascii="宋体" w:hAnsi="宋体" w:eastAsia="宋体" w:cs="宋体"/>
          <w:color w:val="auto"/>
          <w:sz w:val="24"/>
          <w:szCs w:val="24"/>
          <w:highlight w:val="none"/>
        </w:rPr>
        <w:t xml:space="preserve">。</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、中标通知书</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l中标结果确定后，政务服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62"/>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62"/>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七、授予合同</w:t>
      </w:r>
      <w:r/>
    </w:p>
    <w:p>
      <w:pPr>
        <w:pStyle w:val="762"/>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6" w:name="_Toc20823309"/>
      <w:r/>
      <w:bookmarkStart w:id="107" w:name="_Toc16938553"/>
      <w:r/>
      <w:bookmarkStart w:id="108" w:name="_Toc513029237"/>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.签订合同</w:t>
      </w:r>
      <w:bookmarkEnd w:id="106"/>
      <w:r/>
      <w:bookmarkEnd w:id="107"/>
      <w:r/>
      <w:bookmarkEnd w:id="108"/>
      <w:r/>
      <w:r/>
    </w:p>
    <w:p>
      <w:pPr>
        <w:pStyle w:val="762"/>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62"/>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62"/>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62"/>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、货物（包含与货物相关的服务）的追加</w:t>
      </w:r>
      <w:r/>
    </w:p>
    <w:p>
      <w:pPr>
        <w:pStyle w:val="762"/>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33.政府采购政策功能落实</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33.1政府采购线上合同信用融资政策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33.2进口产品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33.3中小企业、监狱企业及残疾人福利性单位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33.3.1中小企业定义：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33.3.2供应商提供的货物、工程或者服务符合下列情形的，享受中小企业扶持政策：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33.3.2.1在货物采购项目中，货物由中小企业制造，即货物由中小企业生产且使用该中小企业商号或者注册商标；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33.3.2.2在工程采购项目中，工程由中小企业承建，即工程施工单位为中小企业；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33.3.2.3在服务采购项目中，服务由中小企业承接，即提供服务的人员为中小企业依照《中华人民共和国劳动合同法》订立劳动合同的从业人员。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33.3.3在货物采购项目中，供应商提供的货物既有中小企业制造货物，也有大型企业制造货物的，不享受中小企业扶持政策。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33.3.4以联合体形式参加政府采购活动，联合体各方均为中小企业的，联合体视同中小企业。其中，联合体各方均为小微企业的，联合体视同小微企业。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33.3.6残疾人福利单位定义：享受政府采购支持政策的残疾人福利性单位应当同时满足以下条件：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33.3.6.1安置的残疾人占本单位在职职工人数的比例不低于25%（含25%），并且安置的残疾人人数不少于10 人（含10 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33.3.6.2依法与安置的每位残疾人签订了一年以上（含一年）的劳动合同或服务协议；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33.3.6.3为安置的每位残疾人按月足额缴纳了基本养老保险、基本医疗保险、失业保险、工伤保险和生育保险等社会保险费；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33.3.6.4通过银行等金融机构向安置的每位残疾人，按月支付了不低于单位所在区县适用的经省级人民政府批准的月最低工资标准的工资；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33.3.7本项目是否专门面向中小企业预留采购份额见第一章《招标公告》。</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33.3.8采购标的对应的中小企业划分标准所属行业见第四章《采购需求》。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33.3.9小微企业价格评审优惠的政策：见第五章《评标方法和评标标准》。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33.4政府采购节能产品、环境标志产品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33.5绿色包装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33.6政府采购创新产品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33.7绿色数据中心政策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33.8履约保证金政策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确需收取履约保证金的，履约保证金的缴纳形式：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如以履约保函（保险）形式缴纳履约保证金，供应商可通过政府采购电子履约保函（保险）平台（www.jsdzbh.com）在线申请履约保函（保险）。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Style w:val="738"/>
          <w:rFonts w:hint="default" w:ascii="宋体" w:hAnsi="宋体" w:eastAsia="宋体" w:cs="宋体"/>
          <w:color w:val="auto"/>
          <w:sz w:val="24"/>
          <w:szCs w:val="24"/>
          <w:highlight w:val="none"/>
          <w:lang w:val="en-US" w:eastAsia="zh-CN" w:bidi="ar-SA"/>
        </w:rPr>
        <w:t xml:space="preserve">本项目约定为降低履约保证金缴纳比例，为合同价的5%。</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预付款制度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 30 </w:t>
      </w:r>
      <w:r>
        <w:rPr>
          <w:rFonts w:hint="eastAsia" w:ascii="宋体" w:hAnsi="宋体" w:eastAsia="宋体" w:cs="宋体"/>
          <w:color w:val="auto"/>
          <w:sz w:val="24"/>
          <w:szCs w:val="24"/>
          <w:highlight w:val="none"/>
        </w:rPr>
        <w:t xml:space="preserve">%。在签订合同时，中标、成交供应商明确书面表示无需预付款或者主动要求降低预付款比例的，采购人可就预付款比例作相应调整。</w:t>
      </w:r>
      <w:r/>
    </w:p>
    <w:p>
      <w:pPr>
        <w:pStyle w:val="762"/>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黑体" w:hAnsi="黑体" w:eastAsia="黑体" w:cs="黑体"/>
          <w:color w:val="auto"/>
          <w:sz w:val="44"/>
          <w:szCs w:val="44"/>
          <w:highlight w:val="none"/>
          <w:lang w:val="en-US" w:eastAsia="zh-CN"/>
        </w:rPr>
      </w:pPr>
      <w:r>
        <w:rPr>
          <w:color w:val="auto"/>
          <w:highlight w:val="none"/>
        </w:rPr>
        <w:t xml:space="preserve"> </w:t>
      </w:r>
      <w:bookmarkStart w:id="109" w:name="_Toc120614244"/>
      <w:r/>
      <w:bookmarkStart w:id="110" w:name="_Toc20823346"/>
      <w:r/>
      <w:bookmarkStart w:id="111" w:name="_Toc462564139"/>
      <w:r/>
      <w:bookmarkStart w:id="112" w:name="_Toc16938590"/>
      <w:r/>
      <w:bookmarkStart w:id="113" w:name="_Toc479757211"/>
      <w:r/>
      <w:bookmarkStart w:id="114" w:name="_Hlt16619350"/>
      <w:r/>
      <w:bookmarkStart w:id="115" w:name="_Hlt16619369"/>
      <w:r/>
      <w:r/>
    </w:p>
    <w:p>
      <w:pPr>
        <w:shd w:val="nil" w:color="auto"/>
        <w:rPr>
          <w:rFonts w:hint="eastAsia" w:ascii="黑体" w:hAnsi="黑体" w:eastAsia="黑体" w:cs="黑体"/>
          <w:color w:val="auto"/>
          <w:sz w:val="44"/>
          <w:szCs w:val="44"/>
          <w:highlight w:val="none"/>
          <w:lang w:val="en-US" w:eastAsia="zh-CN"/>
        </w:rPr>
      </w:pPr>
      <w:r>
        <w:rPr>
          <w:rFonts w:hint="eastAsia" w:ascii="黑体" w:hAnsi="黑体" w:eastAsia="黑体" w:cs="黑体"/>
          <w:color w:val="auto"/>
          <w:sz w:val="44"/>
          <w:szCs w:val="44"/>
          <w:highlight w:val="none"/>
          <w:lang w:val="en-US" w:eastAsia="zh-CN"/>
        </w:rPr>
        <w:br w:type="page" w:clear="all"/>
      </w:r>
      <w:r>
        <w:rPr>
          <w:rFonts w:hint="eastAsia" w:ascii="黑体" w:hAnsi="黑体" w:eastAsia="黑体" w:cs="黑体"/>
          <w:color w:val="auto"/>
          <w:sz w:val="44"/>
          <w:szCs w:val="44"/>
          <w:highlight w:val="none"/>
          <w:lang w:val="en-US" w:eastAsia="zh-CN"/>
        </w:rPr>
      </w:r>
      <w:r/>
    </w:p>
    <w:p>
      <w:pPr>
        <w:pStyle w:val="762"/>
        <w:ind w:right="0"/>
        <w:jc w:val="center"/>
        <w:keepLines w:val="0"/>
        <w:keepNext w:val="0"/>
        <w:pageBreakBefore w:val="0"/>
        <w:spacing w:beforeAutospacing="0" w:afterAutospacing="0"/>
        <w:widowControl w:val="off"/>
        <w:rPr>
          <w:rFonts w:hint="eastAsia" w:ascii="黑体" w:hAnsi="黑体" w:eastAsia="黑体" w:cs="黑体"/>
          <w:color w:val="auto"/>
          <w:sz w:val="44"/>
          <w:szCs w:val="44"/>
          <w:highlight w:val="none"/>
          <w:lang w:val="en-US" w:eastAsia="zh-CN"/>
        </w:rPr>
      </w:pPr>
      <w:r>
        <w:rPr>
          <w:rFonts w:hint="eastAsia" w:ascii="黑体" w:hAnsi="黑体" w:eastAsia="黑体" w:cs="黑体"/>
          <w:color w:val="auto"/>
          <w:sz w:val="44"/>
          <w:szCs w:val="44"/>
          <w:highlight w:val="none"/>
          <w:lang w:val="en-US" w:eastAsia="zh-CN"/>
        </w:rPr>
        <w:t xml:space="preserve">第三章 合同条款</w:t>
      </w:r>
      <w:r/>
    </w:p>
    <w:p>
      <w:pPr>
        <w:pStyle w:val="744"/>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44"/>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44"/>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44"/>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44"/>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44"/>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44"/>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44"/>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w:t>
      </w:r>
      <w:r>
        <w:rPr>
          <w:rFonts w:hint="eastAsia" w:ascii="宋体" w:hAnsi="宋体" w:cs="宋体"/>
          <w:b/>
          <w:bCs/>
          <w:color w:val="auto"/>
          <w:spacing w:val="-20"/>
          <w:sz w:val="48"/>
          <w:szCs w:val="48"/>
          <w:highlight w:val="none"/>
        </w:rPr>
        <w:t xml:space="preserve">合同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lang w:eastAsia="zh-CN"/>
        </w:rPr>
        <w:t xml:space="preserve">盐城市公安局盐南高新区分局智慧安防村居建设项目</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rFonts w:hint="eastAsia"/>
          <w:color w:val="auto"/>
          <w:sz w:val="32"/>
          <w:szCs w:val="32"/>
          <w:highlight w:val="none"/>
          <w:u w:val="single"/>
          <w:lang w:eastAsia="zh-CN"/>
        </w:rPr>
      </w:pPr>
      <w:r>
        <w:rPr>
          <w:rFonts w:hint="eastAsia"/>
          <w:color w:val="auto"/>
          <w:sz w:val="32"/>
          <w:szCs w:val="32"/>
          <w:highlight w:val="none"/>
        </w:rPr>
        <w:t xml:space="preserve">甲    方：</w:t>
      </w:r>
      <w:r>
        <w:rPr>
          <w:rFonts w:hint="eastAsia"/>
          <w:color w:val="auto"/>
          <w:sz w:val="32"/>
          <w:szCs w:val="32"/>
          <w:highlight w:val="none"/>
          <w:u w:val="single"/>
          <w:lang w:eastAsia="zh-CN"/>
        </w:rPr>
        <w:t xml:space="preserve">盐城市公安局盐南高新区分局</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2025年  月  日</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ind w:firstLine="480"/>
        <w:jc w:val="left"/>
        <w:spacing w:line="360" w:lineRule="auto"/>
        <w:widowControl w:val="off"/>
        <w:tabs>
          <w:tab w:val="left" w:pos="1560" w:leader="none"/>
          <w:tab w:val="left" w:pos="2552" w:leader="none"/>
        </w:tabs>
        <w:rPr>
          <w:rStyle w:val="738"/>
          <w:rFonts w:hint="default" w:ascii="Calibri" w:hAnsi="Calibri" w:eastAsia="宋体" w:cs="Times New Roman"/>
          <w:color w:val="auto"/>
          <w:sz w:val="24"/>
          <w:szCs w:val="24"/>
          <w:highlight w:val="none"/>
          <w:lang w:val="en-US" w:eastAsia="zh-CN" w:bidi="ar-SA"/>
        </w:rPr>
      </w:pPr>
      <w:r>
        <w:rPr>
          <w:rStyle w:val="738"/>
          <w:rFonts w:hint="default" w:ascii="Times New Roman" w:hAnsi="Times New Roman" w:eastAsia="宋体" w:cs="Times New Roman"/>
          <w:color w:val="auto"/>
          <w:sz w:val="24"/>
          <w:szCs w:val="24"/>
          <w:highlight w:val="none"/>
          <w:lang w:val="en-US" w:eastAsia="zh-CN" w:bidi="ar-SA"/>
        </w:rPr>
        <w:t xml:space="preserve">根据我国</w:t>
      </w:r>
      <w:r>
        <w:rPr>
          <w:rStyle w:val="738"/>
          <w:rFonts w:hint="default" w:ascii="Times New Roman" w:hAnsi="Times New Roman" w:eastAsia="宋体" w:cs="Times New Roman"/>
          <w:b/>
          <w:bCs/>
          <w:color w:val="auto"/>
          <w:sz w:val="24"/>
          <w:szCs w:val="24"/>
          <w:highlight w:val="none"/>
          <w:lang w:val="en-US" w:eastAsia="zh-CN" w:bidi="ar-SA"/>
        </w:rPr>
        <w:t xml:space="preserve">《</w:t>
      </w:r>
      <w:r>
        <w:rPr>
          <w:rStyle w:val="738"/>
          <w:rFonts w:hint="default" w:ascii="宋体" w:hAnsi="宋体" w:eastAsia="宋体" w:cs="宋体"/>
          <w:b/>
          <w:bCs/>
          <w:color w:val="auto"/>
          <w:sz w:val="24"/>
          <w:szCs w:val="24"/>
          <w:highlight w:val="none"/>
          <w:lang w:val="en-US" w:eastAsia="zh-CN" w:bidi="ar-SA"/>
        </w:rPr>
        <w:t xml:space="preserve">中华人民共和国民法典</w:t>
      </w:r>
      <w:r>
        <w:rPr>
          <w:rStyle w:val="738"/>
          <w:rFonts w:hint="default" w:ascii="Times New Roman" w:hAnsi="Times New Roman" w:eastAsia="宋体" w:cs="Times New Roman"/>
          <w:b/>
          <w:bCs/>
          <w:color w:val="auto"/>
          <w:sz w:val="24"/>
          <w:szCs w:val="24"/>
          <w:highlight w:val="none"/>
          <w:lang w:val="en-US" w:eastAsia="zh-CN" w:bidi="ar-SA"/>
        </w:rPr>
        <w:t xml:space="preserve">》</w:t>
      </w:r>
      <w:r>
        <w:rPr>
          <w:rStyle w:val="738"/>
          <w:rFonts w:hint="default" w:ascii="Times New Roman" w:hAnsi="Times New Roman" w:eastAsia="宋体" w:cs="Times New Roman"/>
          <w:color w:val="auto"/>
          <w:sz w:val="24"/>
          <w:szCs w:val="24"/>
          <w:highlight w:val="none"/>
          <w:lang w:val="en-US" w:eastAsia="zh-CN" w:bidi="ar-SA"/>
        </w:rPr>
        <w:t xml:space="preserve">及</w:t>
      </w:r>
      <w:r>
        <w:rPr>
          <w:rStyle w:val="738"/>
          <w:rFonts w:hint="eastAsia" w:ascii="Times New Roman" w:hAnsi="Times New Roman" w:eastAsia="宋体" w:cs="Times New Roman"/>
          <w:color w:val="auto"/>
          <w:sz w:val="24"/>
          <w:szCs w:val="24"/>
          <w:highlight w:val="none"/>
          <w:lang w:val="en-US" w:eastAsia="zh-CN" w:bidi="ar-SA"/>
        </w:rPr>
        <w:t xml:space="preserve">其他法律法规</w:t>
      </w:r>
      <w:r>
        <w:rPr>
          <w:rStyle w:val="738"/>
          <w:rFonts w:hint="default" w:ascii="Times New Roman" w:hAnsi="Times New Roman" w:eastAsia="宋体" w:cs="Times New Roman"/>
          <w:color w:val="auto"/>
          <w:sz w:val="24"/>
          <w:szCs w:val="24"/>
          <w:highlight w:val="none"/>
          <w:lang w:val="en-US" w:eastAsia="zh-CN" w:bidi="ar-SA"/>
        </w:rPr>
        <w:t xml:space="preserve">有关规定，为明确甲、乙双方</w:t>
      </w:r>
      <w:r>
        <w:rPr>
          <w:rStyle w:val="738"/>
          <w:rFonts w:hint="eastAsia" w:ascii="Times New Roman" w:hAnsi="Times New Roman" w:eastAsia="宋体" w:cs="Times New Roman"/>
          <w:color w:val="auto"/>
          <w:sz w:val="24"/>
          <w:szCs w:val="24"/>
          <w:highlight w:val="none"/>
          <w:u w:val="single"/>
          <w:lang w:val="en-US" w:eastAsia="zh-CN" w:bidi="ar-SA"/>
        </w:rPr>
        <w:t xml:space="preserve">盐城市公安局盐南高新区分局智慧安防村居建设项目</w:t>
      </w:r>
      <w:r>
        <w:rPr>
          <w:rStyle w:val="738"/>
          <w:rFonts w:hint="default" w:ascii="Times New Roman" w:hAnsi="Times New Roman" w:eastAsia="宋体" w:cs="Times New Roman"/>
          <w:color w:val="auto"/>
          <w:sz w:val="24"/>
          <w:szCs w:val="24"/>
          <w:highlight w:val="none"/>
          <w:lang w:val="en-US" w:eastAsia="zh-CN" w:bidi="ar-SA"/>
        </w:rPr>
        <w:t xml:space="preserve">(以下简称“项目”)过程中的权利、义务和经济责任，经甲、乙双方协商同意签订本合同。</w:t>
      </w:r>
      <w:r/>
    </w:p>
    <w:p>
      <w:pPr>
        <w:numPr>
          <w:ilvl w:val="0"/>
          <w:numId w:val="1"/>
        </w:numPr>
        <w:ind w:right="139" w:firstLine="482"/>
        <w:jc w:val="both"/>
        <w:spacing w:line="360" w:lineRule="auto"/>
        <w:widowControl w:val="off"/>
        <w:rPr>
          <w:rStyle w:val="738"/>
          <w:rFonts w:hint="default" w:ascii="Calibri" w:hAnsi="Calibri" w:eastAsia="宋体" w:cs="Times New Roman"/>
          <w:b/>
          <w:bCs/>
          <w:color w:val="auto"/>
          <w:sz w:val="24"/>
          <w:szCs w:val="24"/>
          <w:highlight w:val="none"/>
          <w:lang w:val="en-US" w:eastAsia="zh-CN" w:bidi="ar-SA"/>
        </w:rPr>
      </w:pPr>
      <w:r>
        <w:rPr>
          <w:rStyle w:val="738"/>
          <w:rFonts w:hint="eastAsia" w:ascii="Times New Roman" w:hAnsi="Times New Roman" w:eastAsia="宋体" w:cs="Times New Roman"/>
          <w:b/>
          <w:bCs/>
          <w:color w:val="auto"/>
          <w:sz w:val="24"/>
          <w:szCs w:val="24"/>
          <w:highlight w:val="none"/>
          <w:lang w:val="en-US" w:eastAsia="zh-CN" w:bidi="ar-SA"/>
        </w:rPr>
        <w:t xml:space="preserve">合同内容</w:t>
      </w:r>
      <w:r/>
    </w:p>
    <w:p>
      <w:pPr>
        <w:ind w:right="139" w:firstLine="480"/>
        <w:jc w:val="both"/>
        <w:spacing w:line="360" w:lineRule="auto"/>
        <w:widowControl w:val="off"/>
        <w:rPr>
          <w:rStyle w:val="738"/>
          <w:rFonts w:hint="default" w:ascii="Calibri" w:hAnsi="Calibri"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1.1标的名称：</w:t>
      </w:r>
      <w:r>
        <w:rPr>
          <w:rStyle w:val="738"/>
          <w:rFonts w:hint="eastAsia" w:ascii="Times New Roman" w:hAnsi="Times New Roman" w:eastAsia="宋体" w:cs="Times New Roman"/>
          <w:color w:val="auto"/>
          <w:sz w:val="24"/>
          <w:szCs w:val="24"/>
          <w:highlight w:val="none"/>
          <w:u w:val="single"/>
          <w:lang w:val="en-US" w:eastAsia="zh-CN" w:bidi="ar-SA"/>
        </w:rPr>
        <w:t xml:space="preserve">盐城市公安局盐南高新区分局智慧安防村居建设项目</w:t>
      </w:r>
      <w:r/>
    </w:p>
    <w:p>
      <w:pPr>
        <w:ind w:right="139" w:firstLine="480"/>
        <w:jc w:val="both"/>
        <w:spacing w:line="360" w:lineRule="auto"/>
        <w:widowControl w:val="off"/>
        <w:rPr>
          <w:rStyle w:val="738"/>
          <w:rFonts w:hint="default" w:ascii="Calibri" w:hAnsi="Calibri"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1.2标的质量：盐城市盐南高新区内。</w:t>
      </w:r>
      <w:r/>
    </w:p>
    <w:p>
      <w:pPr>
        <w:ind w:right="139" w:firstLine="480"/>
        <w:jc w:val="both"/>
        <w:spacing w:line="360" w:lineRule="auto"/>
        <w:widowControl w:val="off"/>
        <w:rPr>
          <w:rStyle w:val="738"/>
          <w:rFonts w:hint="default" w:ascii="Times New Roman" w:hAnsi="Times New Roman"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1.3履行时间：自合同签订之日起90个日历日达到试运行(含联调)的标准。合同签订后1个月内完成设备采购。具体服从招标人要求。</w:t>
      </w:r>
      <w:r/>
    </w:p>
    <w:p>
      <w:pPr>
        <w:ind w:right="139" w:firstLine="482"/>
        <w:jc w:val="both"/>
        <w:spacing w:line="360" w:lineRule="auto"/>
        <w:widowControl w:val="off"/>
        <w:rPr>
          <w:rStyle w:val="738"/>
          <w:rFonts w:hint="eastAsia" w:ascii="Times New Roman" w:hAnsi="Times New Roman" w:eastAsia="宋体" w:cs="Times New Roman"/>
          <w:color w:val="auto"/>
          <w:sz w:val="24"/>
          <w:szCs w:val="24"/>
          <w:highlight w:val="none"/>
          <w:lang w:val="en-US" w:eastAsia="zh-CN" w:bidi="ar-SA"/>
        </w:rPr>
      </w:pPr>
      <w:r>
        <w:rPr>
          <w:rStyle w:val="738"/>
          <w:rFonts w:hint="default" w:ascii="Times New Roman" w:hAnsi="Times New Roman" w:eastAsia="宋体" w:cs="Times New Roman"/>
          <w:b/>
          <w:bCs/>
          <w:color w:val="auto"/>
          <w:sz w:val="24"/>
          <w:szCs w:val="24"/>
          <w:highlight w:val="none"/>
          <w:lang w:val="en-US" w:eastAsia="zh-CN" w:bidi="ar-SA"/>
        </w:rPr>
        <w:t xml:space="preserve">2、合同价：</w:t>
      </w:r>
      <w:r>
        <w:rPr>
          <w:rStyle w:val="738"/>
          <w:rFonts w:hint="eastAsia" w:ascii="Times New Roman" w:hAnsi="Times New Roman" w:eastAsia="宋体" w:cs="Times New Roman"/>
          <w:b/>
          <w:bCs/>
          <w:color w:val="auto"/>
          <w:sz w:val="24"/>
          <w:szCs w:val="24"/>
          <w:highlight w:val="none"/>
          <w:lang w:val="en-US" w:eastAsia="zh-CN" w:bidi="ar-SA"/>
        </w:rPr>
        <w:t xml:space="preserve">含税</w:t>
      </w:r>
      <w:r>
        <w:rPr>
          <w:rStyle w:val="738"/>
          <w:rFonts w:hint="default" w:ascii="Times New Roman" w:hAnsi="Times New Roman" w:eastAsia="宋体" w:cs="Times New Roman"/>
          <w:b/>
          <w:bCs/>
          <w:color w:val="auto"/>
          <w:sz w:val="24"/>
          <w:szCs w:val="24"/>
          <w:highlight w:val="none"/>
          <w:lang w:val="en-US" w:eastAsia="zh-CN" w:bidi="ar-SA"/>
        </w:rPr>
        <w:t xml:space="preserve">总价</w:t>
      </w:r>
      <w:r>
        <w:rPr>
          <w:rStyle w:val="738"/>
          <w:rFonts w:hint="default" w:ascii="Times New Roman" w:hAnsi="Times New Roman" w:eastAsia="宋体" w:cs="Times New Roman"/>
          <w:color w:val="auto"/>
          <w:sz w:val="24"/>
          <w:szCs w:val="24"/>
          <w:highlight w:val="none"/>
          <w:lang w:val="en-US" w:eastAsia="zh-CN" w:bidi="ar-SA"/>
        </w:rPr>
        <w:t xml:space="preserve">为</w:t>
      </w:r>
      <w:r>
        <w:rPr>
          <w:rStyle w:val="738"/>
          <w:rFonts w:hint="eastAsia" w:ascii="Times New Roman" w:hAnsi="Times New Roman" w:eastAsia="宋体" w:cs="Times New Roman"/>
          <w:color w:val="auto"/>
          <w:sz w:val="24"/>
          <w:szCs w:val="24"/>
          <w:highlight w:val="none"/>
          <w:u w:val="single"/>
          <w:lang w:val="en-US" w:eastAsia="zh-CN" w:bidi="ar-SA"/>
        </w:rPr>
        <w:t xml:space="preserve">       </w:t>
      </w:r>
      <w:r>
        <w:rPr>
          <w:rStyle w:val="738"/>
          <w:rFonts w:hint="default" w:ascii="Times New Roman" w:hAnsi="Times New Roman" w:eastAsia="宋体" w:cs="Times New Roman"/>
          <w:color w:val="auto"/>
          <w:sz w:val="24"/>
          <w:szCs w:val="24"/>
          <w:highlight w:val="none"/>
          <w:lang w:val="en-US" w:eastAsia="zh-CN" w:bidi="ar-SA"/>
        </w:rPr>
        <w:t xml:space="preserve">元（¥</w:t>
      </w:r>
      <w:r>
        <w:rPr>
          <w:rStyle w:val="738"/>
          <w:rFonts w:hint="eastAsia" w:ascii="Times New Roman" w:hAnsi="Times New Roman" w:eastAsia="宋体" w:cs="Times New Roman"/>
          <w:color w:val="auto"/>
          <w:sz w:val="24"/>
          <w:szCs w:val="24"/>
          <w:highlight w:val="none"/>
          <w:u w:val="single"/>
          <w:lang w:val="en-US" w:eastAsia="zh-CN" w:bidi="ar-SA"/>
        </w:rPr>
        <w:t xml:space="preserve">      </w:t>
      </w:r>
      <w:r>
        <w:rPr>
          <w:rStyle w:val="738"/>
          <w:rFonts w:hint="default" w:ascii="Times New Roman" w:hAnsi="Times New Roman" w:eastAsia="宋体" w:cs="Times New Roman"/>
          <w:color w:val="auto"/>
          <w:sz w:val="24"/>
          <w:szCs w:val="24"/>
          <w:highlight w:val="none"/>
          <w:lang w:val="en-US" w:eastAsia="zh-CN" w:bidi="ar-SA"/>
        </w:rPr>
        <w:t xml:space="preserve">）。本合同价</w:t>
      </w:r>
      <w:r>
        <w:rPr>
          <w:rStyle w:val="738"/>
          <w:rFonts w:hint="eastAsia" w:ascii="Times New Roman" w:hAnsi="Times New Roman" w:eastAsia="宋体" w:cs="Times New Roman"/>
          <w:color w:val="auto"/>
          <w:sz w:val="24"/>
          <w:szCs w:val="24"/>
          <w:highlight w:val="none"/>
          <w:lang w:val="en-US" w:eastAsia="zh-CN" w:bidi="ar-SA"/>
        </w:rPr>
        <w:t xml:space="preserve">是指乙方</w:t>
      </w:r>
      <w:r>
        <w:rPr>
          <w:rStyle w:val="738"/>
          <w:rFonts w:hint="default" w:ascii="Times New Roman" w:hAnsi="Times New Roman" w:eastAsia="宋体" w:cs="Times New Roman"/>
          <w:color w:val="auto"/>
          <w:sz w:val="24"/>
          <w:szCs w:val="24"/>
          <w:highlight w:val="none"/>
          <w:lang w:val="en-US" w:eastAsia="zh-CN" w:bidi="ar-SA"/>
        </w:rPr>
        <w:t xml:space="preserve">为完成本项目内容及技术服务而涵盖的所有费用。报价应包括投标人为完成本项目达到使用功能满足验收要求的人工费、材料费、保险费、差旅费、管理费、措施费、利润、规费、建安税金（9%）、文明施工措施费（包含安全文明施工（安装工程：基本费1.5%，扬尘污染防治增加费0.21%，环境保护税0.1%）等一切费用。投标人应充分考虑项目的规模、性质、施工期间的市场风险和国家政策性调整风险系数以及招标人对工程范围、工期、质量等的要求，并计入报价中，最终全费用合单价不作调整。</w:t>
      </w:r>
      <w:r>
        <w:rPr>
          <w:rStyle w:val="738"/>
          <w:rFonts w:hint="eastAsia" w:ascii="Times New Roman" w:hAnsi="Times New Roman" w:eastAsia="宋体" w:cs="Times New Roman"/>
          <w:color w:val="auto"/>
          <w:sz w:val="24"/>
          <w:szCs w:val="24"/>
          <w:highlight w:val="none"/>
          <w:lang w:val="en-US" w:eastAsia="zh-CN" w:bidi="ar-SA"/>
        </w:rPr>
        <w:t xml:space="preserve">凡漏项或少计均视为优惠，招标人不另行增加费用。各类风险和政策性调整等风险已包括在投标报价中，最终结算时除合同约定调整外一律不予调整。</w:t>
      </w:r>
      <w:r/>
    </w:p>
    <w:p>
      <w:pPr>
        <w:ind w:right="139" w:firstLine="482"/>
        <w:jc w:val="both"/>
        <w:spacing w:line="360" w:lineRule="auto"/>
        <w:widowControl w:val="off"/>
        <w:rPr>
          <w:rStyle w:val="738"/>
          <w:rFonts w:hint="default" w:ascii="Calibri" w:hAnsi="Calibri" w:eastAsia="宋体" w:cs="Times New Roman"/>
          <w:bCs/>
          <w:color w:val="auto"/>
          <w:sz w:val="24"/>
          <w:szCs w:val="24"/>
          <w:highlight w:val="none"/>
          <w:lang w:val="en-US" w:eastAsia="zh-CN" w:bidi="ar-SA"/>
        </w:rPr>
      </w:pPr>
      <w:r>
        <w:rPr>
          <w:rStyle w:val="738"/>
          <w:rFonts w:hint="default" w:ascii="Times New Roman" w:hAnsi="Times New Roman" w:eastAsia="宋体" w:cs="Times New Roman"/>
          <w:b/>
          <w:bCs/>
          <w:color w:val="auto"/>
          <w:sz w:val="24"/>
          <w:szCs w:val="24"/>
          <w:highlight w:val="none"/>
          <w:lang w:val="en-US" w:eastAsia="zh-CN" w:bidi="ar-SA"/>
        </w:rPr>
        <w:t xml:space="preserve">3、技术要求：</w:t>
      </w:r>
      <w:r>
        <w:rPr>
          <w:rStyle w:val="738"/>
          <w:rFonts w:hint="default" w:ascii="Times New Roman" w:hAnsi="Times New Roman" w:eastAsia="宋体" w:cs="Times New Roman"/>
          <w:bCs/>
          <w:color w:val="auto"/>
          <w:sz w:val="24"/>
          <w:szCs w:val="24"/>
          <w:highlight w:val="none"/>
          <w:lang w:val="en-US" w:eastAsia="zh-CN" w:bidi="ar-SA"/>
        </w:rPr>
        <w:t xml:space="preserve">详见</w:t>
      </w:r>
      <w:r>
        <w:rPr>
          <w:rStyle w:val="738"/>
          <w:rFonts w:hint="eastAsia" w:ascii="Times New Roman" w:hAnsi="Times New Roman" w:eastAsia="宋体" w:cs="Times New Roman"/>
          <w:color w:val="auto"/>
          <w:sz w:val="24"/>
          <w:szCs w:val="24"/>
          <w:highlight w:val="none"/>
          <w:lang w:val="en-US" w:eastAsia="zh-CN" w:bidi="ar-SA"/>
        </w:rPr>
        <w:t xml:space="preserve">招标文件及投标承诺</w:t>
      </w:r>
      <w:r>
        <w:rPr>
          <w:rStyle w:val="738"/>
          <w:rFonts w:hint="default" w:ascii="Times New Roman" w:hAnsi="Times New Roman" w:eastAsia="宋体" w:cs="Times New Roman"/>
          <w:bCs/>
          <w:color w:val="auto"/>
          <w:sz w:val="24"/>
          <w:szCs w:val="24"/>
          <w:highlight w:val="none"/>
          <w:lang w:val="en-US" w:eastAsia="zh-CN" w:bidi="ar-SA"/>
        </w:rPr>
        <w:t xml:space="preserve">。</w:t>
      </w:r>
      <w:r/>
    </w:p>
    <w:p>
      <w:pPr>
        <w:numPr>
          <w:ilvl w:val="0"/>
          <w:numId w:val="0"/>
        </w:numPr>
        <w:ind w:firstLine="482"/>
        <w:jc w:val="left"/>
        <w:keepLines/>
        <w:keepNext/>
        <w:spacing w:before="120" w:after="120" w:line="360" w:lineRule="auto"/>
        <w:widowControl w:val="off"/>
        <w:rPr>
          <w:rStyle w:val="738"/>
          <w:rFonts w:ascii="Times New Roman" w:hAnsi="Times New Roman" w:eastAsia="宋体" w:cs="Times New Roman"/>
          <w:b/>
          <w:bCs/>
          <w:color w:val="auto"/>
          <w:sz w:val="24"/>
          <w:szCs w:val="24"/>
          <w:highlight w:val="none"/>
          <w:lang w:val="en-US" w:eastAsia="zh-CN" w:bidi="ar-SA"/>
        </w:rPr>
        <w:outlineLvl w:val="0"/>
      </w:pPr>
      <w:r/>
      <w:bookmarkStart w:id="116" w:name="_Toc12870"/>
      <w:r>
        <w:rPr>
          <w:rStyle w:val="738"/>
          <w:rFonts w:hint="eastAsia" w:ascii="Times New Roman" w:hAnsi="Times New Roman" w:eastAsia="宋体" w:cs="Times New Roman"/>
          <w:b/>
          <w:bCs/>
          <w:color w:val="auto"/>
          <w:sz w:val="24"/>
          <w:szCs w:val="24"/>
          <w:highlight w:val="none"/>
          <w:lang w:val="en-US" w:eastAsia="zh-CN" w:bidi="ar-SA"/>
        </w:rPr>
        <w:t xml:space="preserve">4、服务要求</w:t>
      </w:r>
      <w:bookmarkEnd w:id="116"/>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本项目建设期考核要求包括安全生产考核、建设期考核、运维期考核及其他考核指标，由盐南高新区公安分局科技信息化科组织项目考核，考核扣款结果按月度统计汇总，考核扣款金额在质保金支付时扣除。</w:t>
      </w:r>
      <w:r/>
    </w:p>
    <w:p>
      <w:pPr>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4.1安全生产考核</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4.1.1建设期与运维期安全生产要求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中标人必须认真贯彻执行国家制定的安全生产政策、法律、法规，建设期应确保工程施工安全，违反相关安全规定造成的一切后果均由中标人承担。安全生产要求包括但不限于：</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1、中标人施工、开工、运行时是安全生产的直接责任人，必须严格执行有关安全生产的规定、制度，按规定在现场设置警示标识和障碍物；施工现场，须有专职安全员和安全管理人员全程监督和检查。</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中标人负责为所有安装、开工、运行施工人员办理医疗及工伤社会保险，并根据需要为从事危险工作的人员购买适当的人身意外伤害保险，在施工过程中如发生人身伤亡事故或财产损失，由中标人全权承担责任；</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3、中标人应对现场安装、开工、运行施工的行为完全负责，安装施工人员不得违章作业，冒险作业，不能疲劳作业，并按规定做好保护工作；</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4、中标人在施工现场人员必须有配备齐全的安全防护用品，不能满足安全施工需要时，人员不得进入施工现场；</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5、中标人对从事特种作业人员严禁无证上岗或不具备资质的行为；</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6、班组作业必须戴安全帽；</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7、班前不得喝酒，在禁止吸烟的区域不得吸烟；</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8、现场内不得赤脚，不得穿拖鞋、高跟鞋，高空作业需佩戴安全防护设施，不得穿皮鞋和带钉易滑鞋；</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9、未经相关单位负责人批准，不得随便拆除已架设的安全防护设施及安全装置和安全标牌；</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10、施工用电要按照施工安全规范要求设置配电箱等安全设备，并有专业电工负责施工用电，确保用电安全，避免触电伤人事故。不得私自乱接乱拉电线，保护工地上临时用电电缆及配电箱的完好，禁止用材料、工具等压砸电缆电线，确保用电安全；</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11、未经业主方许可不得在施工现场动火；</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12、不得从高处向下抛扔任何物资、材料，堆放时不得超过支撑限重的70%；</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13、不得在高处临边一米范围内堆放活动材料；</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14、不得在操作面上及高处临边竖立放置工具和线材；</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15、生产施工过程中必须严格遵守安全操作规程；</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16、合格的基坑在开挖当天完成浇筑，所有开挖坑洞必须设立护栏（或围挡）、警示标识；</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17、不得从雨水井、污水井中敷设电缆；</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18、夜间作业要求穿反光衣，必须采取必要的照明措施；</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19、所有特殊作业人员必须持有效证件上岗；</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20、施工现场设立防撞锥、警示牌，施工材料和机具按章堆放，不影响交通；</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21、施工人员必须当天对垃圾、渣土进行清理，开挖产生的垃圾、渣土，必须当天清理和外运，运输渣土时按照市级与各区城管、市政要求，采用环保封闭渣土车进行运输。开挖结束后必须用围挡防护；</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22、中标人应编制可操作性和针对性强的安全文明施工组织设计及安全类专项安全施工方案，在实际施工过程中应严格按照审批后的安全方案组织施工；</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23、施工作业期间，中标人应为本项目配置专职安全员，专职安全员必须每日驻守现场，保持通讯畅通，认真进行现场安全隐患排查。专职安全员因特殊情况需离岗的，必须报经监理单位或业主方批准；</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24、现场指挥和作业人员必须遵照安全技术规范和操作规程文明施工，不得有违章指挥、违章操作和不服从管理等不文明行为。</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4.1.2违规处罚</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1、对于违反上述规定要求，经业主方或监理方检查发现或中标人违章施工，违反安全管理要求，不服从安全管理等，业主方有权根据事件的影响程度进行处罚（每次1000元到20000元不等）；</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2、由于中标人没有尽到自身安全责任，违反国家和行业安全管理规定的行为造成安全事故，由中标人承担全部责任；</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3、中标人安装施工人员违章违纪作业造成安全事故的，中标人负全部责任，并由中标人承担造成的经济损失和刑事责任，每发生一次安全事故扣款10万元。</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4.2验收要求</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4.2.1验收流程说明</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本项目验收流程按照包括试运行、初验、第三方检测、竣工验收。</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1、试运行标准要求</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试运行期不低于1个月。启动试运行条件为项目、建设完工，并经业主方认可。前端系统建设数量不得低于95%，智慧安防村居补盲、公寓智慧管控、行业网联网平台建成并投入应用。</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2、初验标准要求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初验条件为试运行合格，并符合以下条件：</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前端采集系统建设因市政工程建设影响遗留摄像机不得超过总数量的5%，并须明确具体施工计划和时间节点；前端摄像机总体在线率须达到98%以上。</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3、竣工验收要求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初验合格并稳定运行30天以上，经建设单位同意，由建设单位按照信息化项目管理办法组织项目验收。如验收不能通过，实施单位应在验收会议规定的整改期限内对存在问题进行整改，直至系统合格，方能再次组织验收。验收、检测、测评等所需费用由投标人承担。</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建设单位所有验收意见将以书面形式做出并加盖招标人公章，因此除非书面明示通过验收，否则任何其他行为（包括但不限于建设单位对单个、多个模块或整个系统接收、发布、上线、使用、测试、付款等行为）均不代表已验收合格。</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4.2.2验收要求说明</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具体验收要求包括但不限于如下：</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1、本项目城区所有供电与供网线缆不允许飞线。如因特殊原因无法地埋的，需经业主方及监理方书面确认后可以架空。如未经甲方认可，该点位不予验收。</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2、竣工前，中标人必须完成业主方要求的相关培训工作，终验前须提供下列图纸和资料（书面材料一式五份，电子光盘一式三份）：</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3、图纸：包括但不限于：系统设计图、系统施工图、设备安装图、机房布置图、特殊附件安装图、设备安装接线图、竣工图等；</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4、前端点位资源台账：通过信息化工具采集的前端点位资源台账；</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（1）产品出厂检验合格证书与质保书；</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（2）设备现场调试技术标准及实施方案；</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（3）设备安装、使用说明书；</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（4）系统操作手册；</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（5）系统维护手册；</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（6）系统测试数据；</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（7）变更确认资料；</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（8）全套设备、材料、装置的使用手册、产品技术说明书等相关资料；</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（9）其他技术服务所需的资料。</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t xml:space="preserve">5</w:t>
      </w:r>
      <w:r>
        <w:rPr>
          <w:rFonts w:hint="eastAsia" w:ascii="Calibri" w:hAnsi="Calibri" w:eastAsia="宋体" w:cs="Times New Roman"/>
          <w:color w:val="auto"/>
          <w:sz w:val="24"/>
          <w:szCs w:val="24"/>
          <w:highlight w:val="none"/>
          <w:lang w:val="en-US" w:eastAsia="zh-CN" w:bidi="ar-SA"/>
        </w:rPr>
        <w:t xml:space="preserve">、验收前资料准备工作：</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（1）项目应交付的所有过程性文档（包括但不限于软件开发类文档、系统维护类文档、项目验收类文档等）；</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（2）所有项目全过程文件材料及验收材料需按照相关要求进行档案收集、整理和归档工作。</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4.3建设期考核指标</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4.3.1建设期人员考核</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项目建设期须按照中标方案提供的人员负责项目建设。具体考核要求如下：</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项目人员（项目经理、项目技术负责人、项目工程师）必须和投标提供的人员一致，不可变更，不得兼职。如出现人员变更情形：</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实际到场人员资质与投标文件不一致的，按照下列标准扣款。</w:t>
      </w:r>
      <w:r/>
    </w:p>
    <w:tbl>
      <w:tblPr>
        <w:tblStyle w:val="739"/>
        <w:tblW w:w="8581" w:type="dxa"/>
        <w:jc w:val="center"/>
        <w:tblLayout w:type="fixed"/>
        <w:tblCellMar>
          <w:left w:w="108" w:type="dxa"/>
          <w:top w:w="0" w:type="dxa"/>
          <w:right w:w="108" w:type="dxa"/>
          <w:bottom w:w="0" w:type="dxa"/>
        </w:tblCellMar>
        <w:tblLook w:val="04A0" w:firstRow="1" w:lastRow="0" w:firstColumn="1" w:lastColumn="0" w:noHBand="0" w:noVBand="1"/>
      </w:tblPr>
      <w:tblGrid>
        <w:gridCol w:w="1958"/>
        <w:gridCol w:w="1797"/>
        <w:gridCol w:w="2732"/>
        <w:gridCol w:w="2094"/>
      </w:tblGrid>
      <w:tr>
        <w:trPr>
          <w:jc w:val="center"/>
          <w:trHeight w:val="749"/>
        </w:trPr>
        <w:tc>
          <w:tcPr>
            <w:tcBorders>
              <w:top w:val="single" w:color="000000" w:sz="4" w:space="0"/>
              <w:left w:val="single" w:color="000000" w:sz="4" w:space="0"/>
              <w:right w:val="single" w:color="000000" w:sz="4" w:space="0"/>
            </w:tcBorders>
            <w:tcW w:w="1958" w:type="dxa"/>
            <w:vAlign w:val="center"/>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岗位名称</w:t>
            </w:r>
            <w:r/>
          </w:p>
        </w:tc>
        <w:tc>
          <w:tcPr>
            <w:tcBorders>
              <w:top w:val="single" w:color="000000" w:sz="4" w:space="0"/>
              <w:left w:val="single" w:color="000000" w:sz="4" w:space="0"/>
              <w:right w:val="single" w:color="000000" w:sz="4" w:space="0"/>
            </w:tcBorders>
            <w:tcW w:w="1797" w:type="dxa"/>
            <w:vAlign w:val="center"/>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擅自更换人员（每人次）</w:t>
            </w:r>
            <w:r/>
          </w:p>
        </w:tc>
        <w:tc>
          <w:tcPr>
            <w:tcBorders>
              <w:top w:val="single" w:color="000000" w:sz="4" w:space="0"/>
              <w:left w:val="single" w:color="000000" w:sz="4" w:space="0"/>
              <w:right w:val="single" w:color="000000" w:sz="4" w:space="0"/>
            </w:tcBorders>
            <w:tcW w:w="2732" w:type="dxa"/>
            <w:vAlign w:val="center"/>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因不能胜任当前岗位工作业主方要求更换人员而拒绝更换（每人次）</w:t>
            </w:r>
            <w:r/>
          </w:p>
        </w:tc>
        <w:tc>
          <w:tcPr>
            <w:tcBorders>
              <w:top w:val="single" w:color="000000" w:sz="4" w:space="0"/>
              <w:left w:val="single" w:color="000000" w:sz="4" w:space="0"/>
              <w:right w:val="single" w:color="000000" w:sz="4" w:space="0"/>
            </w:tcBorders>
            <w:tcW w:w="2094" w:type="dxa"/>
            <w:vAlign w:val="center"/>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擅自离岗违约金标准（元/天·人次）</w:t>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10万元</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5万元</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0.4万元</w:t>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项目技术负责人</w:t>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5万元</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2万元</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0.3万元</w:t>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项目工程师</w:t>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3万元</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0.5万元</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0.2万元</w:t>
            </w:r>
            <w:r/>
          </w:p>
        </w:tc>
      </w:tr>
      <w:tr>
        <w:trPr>
          <w:jc w:val="center"/>
          <w:trHeight w:val="477"/>
        </w:trPr>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项目运维经理</w:t>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1万元</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0.2万元</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0.1万元</w:t>
            </w:r>
            <w:r/>
          </w:p>
        </w:tc>
      </w:tr>
    </w:tbl>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4.3.2建设期进度考核</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工期具体为自合同签订之日起90个日历日达到试运行(含联调)的标准。合同签订后1个月内完成设备采购。未按期完成该部分设备采购，扣除总合同款项的1%。</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超出建设工期的，按照每超出一天扣款项目合同价的0.1%，超期6个月未竣工交付的，招标人有权取消项目合同，并追究中标人相关法律责任。</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在项目进入下一道工序前必须通知监理及甲方现场检查，对不符合项目要求的进行整改，合格后方可进入下一阶段。若未按照上述规定，除继续履行相关规定外，按5000元/次罚款。</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中标人在开工前，应编制施工总进度计划及根据总工期、关键节点形象进度控制要求，分解编制月进度计划，并报业主方及监理方审核通过后执行，严格执行月进度计划服从总进度计划的原则。施工总进度计划与开工报告一起提交，月进度计划在每月25日前提交。违反此规定者，按5000元/次罚款。进度计划编制不合理的，按5000元/次罚款。</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4.4运维期考核指标</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4.4.1运维保障服务要求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建立完善的运维保障机制，组织开展以下运维保障服务工作：</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1、运维期内提供包括巡检、维护、维修、故障排除、系统优化、配合软件升级、应急服务、数据容灾在内的多项服务。</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2、设备巡检、维护：维保期间，投标人应提供不少于每季度一次的后端设备巡检以及不少于每半年一次的前端设备巡检；故障自动告警后主动响应时间不得超过10分钟；日常巡检应在完成后3日内提供巡检报告。</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3、故障处理：应能实时响应系统故障自动告警，维修人员应在合同约定的时限内完成修复。</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4、电话支持：提供7×24小时电话技术指导和现场咨询服务。</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5、系统优化：根据巡检报告及用户需求提供优化方案，经招标人认可后执行系统优化。</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6、技术培训：须提供一般工作人员的操作培训和技术人员的原厂技术培训，使其具备数字视频系统操作管理维护能力。培训应分类进行，包括技术人员培训，操作员培训等，具体培训计划及时间、地点由双方商定。</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7、备品备件：投标人应提供备品备件，提供的备品备件应满足项目日常维护需求。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8、应急保障服务：特殊重大活动期间，按招标人要求提供现场保障服务。</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二、运维保障人员要求</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系统运维期内，建设运维服务商负责配置相应的运维人员进行服务，确保运维响应迅速、高效。在服务期内提供报修电话，提供7 X 24小时服务。如出现故障，响应时间小于1小时，必须在2小时内到达现场处理，一般故障12小时内修复，重大故障在24小时内修复。</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4.4.2前端在线率要求</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一、工作目标</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运维期内建设运维服务商应积极保障前端点位的设备安全、供电稳定以及网络链路状况良好，确保前端在线率指标达到考核要求。</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二、考核要求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在线率说明：</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摄像机故障是指前端设备离线以及前端设备在线但实际图像因镜头污损、图像模糊、异物遮挡、控制故障、枪机画面严重偏离监控有效区域等图像，不能达到有效使用效果的情况。摄像机故障在合同约定的时限内完成修复的，故障时间不计入在线率考核；若在规定时间内没有完成修复，扣除该摄像机故障时长。</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因市政建设、城市改造、供电公司计划性及区域临时性停电等不可预见因素造成前端故障、设备遗失、线路破坏等，建设运维服务商在遇到以上情况后，需及时书面通知业主方，提供证明材料，提出整改措施并取得业主方确认。建设运维服务商应在整改期内对上述故障点位进行修复，整改期不计入故障考核时间。</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具体考核要求如下：</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5"/>
        <w:gridCol w:w="2760"/>
        <w:gridCol w:w="3485"/>
        <w:gridCol w:w="1215"/>
      </w:tblGrid>
      <w:tr>
        <w:trPr>
          <w:jc w:val="center"/>
        </w:trPr>
        <w:tc>
          <w:tcPr>
            <w:tcW w:w="1445" w:type="dxa"/>
            <w:vAlign w:val="top"/>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考核名称</w:t>
            </w:r>
            <w:r/>
          </w:p>
        </w:tc>
        <w:tc>
          <w:tcPr>
            <w:tcW w:w="2760" w:type="dxa"/>
            <w:vAlign w:val="top"/>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考核内容说明</w:t>
            </w:r>
            <w:r/>
          </w:p>
        </w:tc>
        <w:tc>
          <w:tcPr>
            <w:tcW w:w="3485" w:type="dxa"/>
            <w:vAlign w:val="top"/>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扣款标准</w:t>
            </w:r>
            <w:r/>
          </w:p>
        </w:tc>
        <w:tc>
          <w:tcPr>
            <w:tcW w:w="1215" w:type="dxa"/>
            <w:vAlign w:val="top"/>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考核周期</w:t>
            </w:r>
            <w:r/>
          </w:p>
        </w:tc>
      </w:tr>
      <w:tr>
        <w:trPr>
          <w:jc w:val="center"/>
        </w:trPr>
        <w:tc>
          <w:tcPr>
            <w:tcW w:w="1445" w:type="dxa"/>
            <w:vAlign w:val="center"/>
            <w:vMerge w:val="restart"/>
            <w:textDirection w:val="lrTb"/>
            <w:noWrap w:val="false"/>
          </w:tcPr>
          <w:p>
            <w:pPr>
              <w:ind w:left="0" w:right="0" w:firstLine="0"/>
              <w:jc w:val="both"/>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前端在线率</w:t>
            </w:r>
            <w:r/>
          </w:p>
        </w:tc>
        <w:tc>
          <w:tcPr>
            <w:tcW w:w="2760"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平均在线率≥98%</w:t>
            </w:r>
            <w:r/>
          </w:p>
        </w:tc>
        <w:tc>
          <w:tcPr>
            <w:tcW w:w="3485" w:type="dxa"/>
            <w:vAlign w:val="center"/>
            <w:textDirection w:val="lrTb"/>
            <w:noWrap w:val="false"/>
          </w:tcPr>
          <w:p>
            <w:pPr>
              <w:spacing w:line="360" w:lineRule="exact"/>
              <w:rPr>
                <w:rFonts w:hint="eastAsia" w:ascii="Times New Roman" w:hAnsi="Times New Roman" w:eastAsia="宋体" w:cs="Times New Roman"/>
                <w:color w:val="auto"/>
                <w:sz w:val="24"/>
                <w:szCs w:val="21"/>
                <w:highlight w:val="none"/>
                <w:lang w:eastAsia="zh-CN"/>
              </w:rPr>
            </w:pPr>
            <w:r>
              <w:rPr>
                <w:rFonts w:hint="default" w:ascii="Times New Roman" w:hAnsi="Times New Roman" w:eastAsia="宋体" w:cs="Times New Roman"/>
                <w:color w:val="auto"/>
                <w:sz w:val="24"/>
                <w:szCs w:val="21"/>
                <w:highlight w:val="none"/>
              </w:rPr>
              <w:t xml:space="preserve">满足不扣款</w:t>
            </w:r>
            <w:r>
              <w:rPr>
                <w:rFonts w:hint="eastAsia" w:ascii="Times New Roman" w:hAnsi="Times New Roman" w:eastAsia="宋体" w:cs="Times New Roman"/>
                <w:color w:val="auto"/>
                <w:sz w:val="24"/>
                <w:szCs w:val="21"/>
                <w:highlight w:val="none"/>
                <w:lang w:eastAsia="zh-CN"/>
              </w:rPr>
              <w:t xml:space="preserve">。</w:t>
            </w:r>
            <w:r/>
          </w:p>
        </w:tc>
        <w:tc>
          <w:tcPr>
            <w:tcW w:w="1215" w:type="dxa"/>
            <w:vAlign w:val="center"/>
            <w:vMerge w:val="restart"/>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1"/>
                <w:highlight w:val="none"/>
                <w:lang w:val="en-US" w:eastAsia="zh-CN"/>
              </w:rPr>
            </w:pPr>
            <w:r>
              <w:rPr>
                <w:rFonts w:hint="eastAsia" w:ascii="Times New Roman" w:hAnsi="Times New Roman" w:eastAsia="宋体" w:cs="Times New Roman"/>
                <w:color w:val="auto"/>
                <w:sz w:val="24"/>
                <w:szCs w:val="21"/>
                <w:highlight w:val="none"/>
                <w:lang w:val="en-US" w:eastAsia="zh-CN"/>
              </w:rPr>
              <w:t xml:space="preserve">月度</w:t>
            </w:r>
            <w:r/>
          </w:p>
        </w:tc>
      </w:tr>
      <w:tr>
        <w:trPr>
          <w:jc w:val="center"/>
        </w:trPr>
        <w:tc>
          <w:tcPr>
            <w:tcW w:w="1445" w:type="dxa"/>
            <w:vAlign w:val="top"/>
            <w:vMerge w:val="continue"/>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tc>
        <w:tc>
          <w:tcPr>
            <w:tcW w:w="2760"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95%≤平均在线率&lt;98%</w:t>
            </w:r>
            <w:r/>
          </w:p>
        </w:tc>
        <w:tc>
          <w:tcPr>
            <w:tcW w:w="3485"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 xml:space="preserve">每低一个百分点扣款2000元</w:t>
            </w:r>
            <w:r>
              <w:rPr>
                <w:rFonts w:hint="default" w:ascii="Times New Roman" w:hAnsi="Times New Roman" w:eastAsia="宋体" w:cs="Times New Roman"/>
                <w:color w:val="auto"/>
                <w:sz w:val="24"/>
                <w:szCs w:val="21"/>
                <w:highlight w:val="none"/>
              </w:rPr>
              <w:t xml:space="preserve">。</w:t>
            </w:r>
            <w:r/>
          </w:p>
        </w:tc>
        <w:tc>
          <w:tcPr>
            <w:tcW w:w="1215" w:type="dxa"/>
            <w:vAlign w:val="top"/>
            <w:vMerge w:val="continue"/>
            <w:textDirection w:val="lrTb"/>
            <w:noWrap w:val="false"/>
          </w:tcPr>
          <w:p>
            <w:pPr>
              <w:ind w:firstLine="480"/>
              <w:spacing w:before="156" w:after="156" w:line="360" w:lineRule="auto"/>
              <w:rPr>
                <w:rFonts w:hint="default" w:ascii="Times New Roman" w:hAnsi="Times New Roman" w:eastAsia="宋体" w:cs="Times New Roman"/>
                <w:bCs/>
                <w:color w:val="auto"/>
                <w:sz w:val="24"/>
                <w:szCs w:val="21"/>
                <w:highlight w:val="none"/>
                <w:lang w:val="zh-CN"/>
              </w:rPr>
            </w:pPr>
            <w:r>
              <w:rPr>
                <w:rFonts w:hint="default" w:ascii="Times New Roman" w:hAnsi="Times New Roman" w:eastAsia="宋体" w:cs="Times New Roman"/>
                <w:bCs/>
                <w:color w:val="auto"/>
                <w:sz w:val="24"/>
                <w:szCs w:val="21"/>
                <w:highlight w:val="none"/>
                <w:lang w:val="zh-CN"/>
              </w:rPr>
            </w:r>
            <w:r/>
          </w:p>
        </w:tc>
      </w:tr>
      <w:tr>
        <w:trPr>
          <w:jc w:val="center"/>
        </w:trPr>
        <w:tc>
          <w:tcPr>
            <w:tcW w:w="1445" w:type="dxa"/>
            <w:vAlign w:val="top"/>
            <w:vMerge w:val="continue"/>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tc>
        <w:tc>
          <w:tcPr>
            <w:tcW w:w="2760"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90%≤平均在线率&lt;95%</w:t>
            </w:r>
            <w:r/>
          </w:p>
        </w:tc>
        <w:tc>
          <w:tcPr>
            <w:tcW w:w="3485"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 xml:space="preserve">每低一个百分点扣款3000元</w:t>
            </w:r>
            <w:r>
              <w:rPr>
                <w:rFonts w:hint="default" w:ascii="Times New Roman" w:hAnsi="Times New Roman" w:eastAsia="宋体" w:cs="Times New Roman"/>
                <w:color w:val="auto"/>
                <w:sz w:val="24"/>
                <w:szCs w:val="21"/>
                <w:highlight w:val="none"/>
              </w:rPr>
              <w:t xml:space="preserve">。</w:t>
            </w:r>
            <w:r/>
          </w:p>
        </w:tc>
        <w:tc>
          <w:tcPr>
            <w:tcW w:w="1215" w:type="dxa"/>
            <w:vAlign w:val="top"/>
            <w:vMerge w:val="continue"/>
            <w:textDirection w:val="lrTb"/>
            <w:noWrap w:val="false"/>
          </w:tcPr>
          <w:p>
            <w:pPr>
              <w:ind w:firstLine="480"/>
              <w:spacing w:before="156" w:after="156" w:line="360" w:lineRule="auto"/>
              <w:rPr>
                <w:rFonts w:hint="default" w:ascii="Times New Roman" w:hAnsi="Times New Roman" w:eastAsia="宋体" w:cs="Times New Roman"/>
                <w:bCs/>
                <w:color w:val="auto"/>
                <w:sz w:val="24"/>
                <w:szCs w:val="21"/>
                <w:highlight w:val="none"/>
                <w:lang w:val="zh-CN"/>
              </w:rPr>
            </w:pPr>
            <w:r>
              <w:rPr>
                <w:rFonts w:hint="default" w:ascii="Times New Roman" w:hAnsi="Times New Roman" w:eastAsia="宋体" w:cs="Times New Roman"/>
                <w:bCs/>
                <w:color w:val="auto"/>
                <w:sz w:val="24"/>
                <w:szCs w:val="21"/>
                <w:highlight w:val="none"/>
                <w:lang w:val="zh-CN"/>
              </w:rPr>
            </w:r>
            <w:r/>
          </w:p>
        </w:tc>
      </w:tr>
      <w:tr>
        <w:trPr>
          <w:jc w:val="center"/>
        </w:trPr>
        <w:tc>
          <w:tcPr>
            <w:tcW w:w="1445" w:type="dxa"/>
            <w:vAlign w:val="top"/>
            <w:vMerge w:val="continue"/>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tc>
        <w:tc>
          <w:tcPr>
            <w:tcW w:w="2760"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平均在线率&lt;90%</w:t>
            </w:r>
            <w:r/>
          </w:p>
        </w:tc>
        <w:tc>
          <w:tcPr>
            <w:tcW w:w="3485"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 xml:space="preserve">每低一个百分点扣款4000元</w:t>
            </w:r>
            <w:r>
              <w:rPr>
                <w:rFonts w:hint="default" w:ascii="Times New Roman" w:hAnsi="Times New Roman" w:eastAsia="宋体" w:cs="Times New Roman"/>
                <w:color w:val="auto"/>
                <w:sz w:val="24"/>
                <w:szCs w:val="21"/>
                <w:highlight w:val="none"/>
              </w:rPr>
              <w:t xml:space="preserve">。</w:t>
            </w:r>
            <w:r/>
          </w:p>
        </w:tc>
        <w:tc>
          <w:tcPr>
            <w:tcW w:w="1215" w:type="dxa"/>
            <w:vAlign w:val="top"/>
            <w:vMerge w:val="continue"/>
            <w:textDirection w:val="lrTb"/>
            <w:noWrap w:val="false"/>
          </w:tcPr>
          <w:p>
            <w:pPr>
              <w:ind w:firstLine="480"/>
              <w:spacing w:before="156" w:after="156" w:line="360" w:lineRule="auto"/>
              <w:rPr>
                <w:rFonts w:hint="default" w:ascii="Times New Roman" w:hAnsi="Times New Roman" w:eastAsia="宋体" w:cs="Times New Roman"/>
                <w:bCs/>
                <w:color w:val="auto"/>
                <w:sz w:val="24"/>
                <w:szCs w:val="21"/>
                <w:highlight w:val="none"/>
                <w:lang w:val="zh-CN"/>
              </w:rPr>
            </w:pPr>
            <w:r>
              <w:rPr>
                <w:rFonts w:hint="default" w:ascii="Times New Roman" w:hAnsi="Times New Roman" w:eastAsia="宋体" w:cs="Times New Roman"/>
                <w:bCs/>
                <w:color w:val="auto"/>
                <w:sz w:val="24"/>
                <w:szCs w:val="21"/>
                <w:highlight w:val="none"/>
                <w:lang w:val="zh-CN"/>
              </w:rPr>
            </w:r>
            <w:r/>
          </w:p>
        </w:tc>
      </w:tr>
    </w:tbl>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扣款额保留小数点后2位，对于推送省公安厅、市公安局考核的重点监控点位需达到100%在线，被上级通报离线且无正当说明的，每点位每次扣款5000元。</w:t>
      </w:r>
      <w:r/>
    </w:p>
    <w:p>
      <w:pPr>
        <w:ind w:right="139" w:firstLine="482"/>
        <w:jc w:val="both"/>
        <w:spacing w:line="360" w:lineRule="auto"/>
        <w:widowControl w:val="off"/>
        <w:rPr>
          <w:rStyle w:val="738"/>
          <w:rFonts w:hint="default" w:ascii="Calibri" w:hAnsi="Calibri" w:eastAsia="宋体" w:cs="Times New Roman"/>
          <w:b/>
          <w:bCs/>
          <w:color w:val="auto"/>
          <w:sz w:val="24"/>
          <w:szCs w:val="24"/>
          <w:highlight w:val="none"/>
          <w:lang w:val="en-US" w:eastAsia="zh-CN" w:bidi="ar-SA"/>
        </w:rPr>
      </w:pPr>
      <w:r>
        <w:rPr>
          <w:rStyle w:val="738"/>
          <w:rFonts w:hint="eastAsia" w:ascii="Times New Roman" w:hAnsi="Times New Roman" w:eastAsia="宋体" w:cs="Times New Roman"/>
          <w:b/>
          <w:bCs/>
          <w:color w:val="auto"/>
          <w:sz w:val="24"/>
          <w:szCs w:val="24"/>
          <w:highlight w:val="none"/>
          <w:lang w:val="en-US" w:eastAsia="zh-CN" w:bidi="ar-SA"/>
        </w:rPr>
        <w:t xml:space="preserve">5、专利权和货物相关的更改要求</w:t>
      </w:r>
      <w:r/>
    </w:p>
    <w:p>
      <w:pPr>
        <w:ind w:right="139" w:firstLine="480"/>
        <w:jc w:val="both"/>
        <w:spacing w:line="360" w:lineRule="auto"/>
        <w:widowControl w:val="off"/>
        <w:rPr>
          <w:rStyle w:val="738"/>
          <w:rFonts w:hint="eastAsia" w:ascii="Times New Roman" w:hAnsi="Times New Roman"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5.1乙方应保护甲方在使用该货物时不受第三方提出侵犯专利权、商标权或工业设计权的指控。如果任何第三方提出侵权指控，乙方须与第三方交涉并承担可能发生的一切法律责任和费用。</w:t>
      </w:r>
      <w:r/>
    </w:p>
    <w:p>
      <w:pPr>
        <w:ind w:right="139" w:firstLine="480"/>
        <w:jc w:val="both"/>
        <w:spacing w:line="360" w:lineRule="auto"/>
        <w:widowControl w:val="off"/>
        <w:rPr>
          <w:rStyle w:val="738"/>
          <w:rFonts w:hint="eastAsia" w:ascii="Times New Roman" w:hAnsi="Times New Roman"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5.2乙方应保证投标文件、资料及合同的履行均未侵犯他人的知识产权，否则必须承担全部责任。若乙方使用了他人的专利、专有技术，涉及的费用由乙方承担。</w:t>
      </w:r>
      <w:r/>
    </w:p>
    <w:p>
      <w:pPr>
        <w:ind w:right="139" w:firstLine="480"/>
        <w:jc w:val="both"/>
        <w:spacing w:line="360" w:lineRule="auto"/>
        <w:widowControl w:val="off"/>
        <w:rPr>
          <w:rStyle w:val="738"/>
          <w:rFonts w:hint="eastAsia" w:ascii="Times New Roman" w:hAnsi="Times New Roman"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5.3本次供应的货物应为完整的货物及所相关的功能，乙方应无条件提供，由于设计及其他原因所造成的额外费用由乙方自行承担。如果甲方要求删除部分货物、功能及其服务，乙方应予在合同总价中扣除该部分的价格。甲方就部分货物及其功能作修改时，乙方应予以充分配合。</w:t>
      </w:r>
      <w:r/>
    </w:p>
    <w:p>
      <w:pPr>
        <w:ind w:right="139" w:firstLine="480"/>
        <w:jc w:val="both"/>
        <w:spacing w:line="360" w:lineRule="auto"/>
        <w:widowControl w:val="off"/>
        <w:rPr>
          <w:rStyle w:val="738"/>
          <w:rFonts w:hint="eastAsia" w:ascii="Times New Roman" w:hAnsi="Times New Roman"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5.4在合同执行过程中，如果国家相应的技术规范作出调整，或货物的技术有了较大的更新，乙方应相应地更改所供货物的相应部件，所发生的费用应予以相应的增减。</w:t>
      </w:r>
      <w:r/>
    </w:p>
    <w:p>
      <w:pPr>
        <w:ind w:right="139" w:firstLine="480"/>
        <w:jc w:val="both"/>
        <w:spacing w:line="360" w:lineRule="auto"/>
        <w:widowControl w:val="off"/>
        <w:rPr>
          <w:rStyle w:val="738"/>
          <w:rFonts w:hint="default" w:ascii="Times New Roman" w:hAnsi="Times New Roman"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5.5保密及版权要求，由于该项目涉及到大量的公安系统及数据，中标人在与招标人签订合同时，必须对合作过程中涉及的公安工作秘密、业务需求、协议、技术成果等内容和相关事务保密并与甲方签订保密协议。</w:t>
      </w:r>
      <w:r/>
    </w:p>
    <w:p>
      <w:pPr>
        <w:ind w:firstLine="492"/>
        <w:jc w:val="both"/>
        <w:spacing w:line="360" w:lineRule="auto"/>
        <w:widowControl w:val="off"/>
        <w:tabs>
          <w:tab w:val="left" w:pos="632" w:leader="none"/>
          <w:tab w:val="left" w:pos="1422" w:leader="none"/>
        </w:tabs>
        <w:rPr>
          <w:rStyle w:val="738"/>
          <w:rFonts w:hint="default" w:ascii="Calibri" w:hAnsi="Calibri" w:eastAsia="宋体" w:cs="Times New Roman"/>
          <w:b/>
          <w:bCs/>
          <w:color w:val="auto"/>
          <w:sz w:val="24"/>
          <w:szCs w:val="24"/>
          <w:highlight w:val="none"/>
          <w:lang w:val="en-US" w:eastAsia="zh-CN" w:bidi="ar-SA"/>
        </w:rPr>
      </w:pPr>
      <w:r>
        <w:rPr>
          <w:rStyle w:val="738"/>
          <w:rFonts w:hint="eastAsia" w:ascii="Times New Roman" w:hAnsi="Times New Roman" w:eastAsia="宋体" w:cs="Times New Roman"/>
          <w:b/>
          <w:bCs/>
          <w:color w:val="auto"/>
          <w:sz w:val="24"/>
          <w:szCs w:val="24"/>
          <w:highlight w:val="none"/>
          <w:lang w:val="en-US" w:eastAsia="zh-CN" w:bidi="ar-SA"/>
        </w:rPr>
        <w:t xml:space="preserve">6</w:t>
      </w:r>
      <w:r>
        <w:rPr>
          <w:rStyle w:val="738"/>
          <w:rFonts w:hint="default" w:ascii="Times New Roman" w:hAnsi="Times New Roman" w:eastAsia="宋体" w:cs="Times New Roman"/>
          <w:b/>
          <w:bCs/>
          <w:color w:val="auto"/>
          <w:sz w:val="24"/>
          <w:szCs w:val="24"/>
          <w:highlight w:val="none"/>
          <w:lang w:val="en-US" w:eastAsia="zh-CN" w:bidi="ar-SA"/>
        </w:rPr>
        <w:t xml:space="preserve">、工期</w:t>
      </w:r>
      <w:r>
        <w:rPr>
          <w:rStyle w:val="738"/>
          <w:rFonts w:hint="eastAsia" w:ascii="Times New Roman" w:hAnsi="Times New Roman" w:eastAsia="宋体" w:cs="Times New Roman"/>
          <w:b/>
          <w:bCs/>
          <w:color w:val="auto"/>
          <w:sz w:val="24"/>
          <w:szCs w:val="24"/>
          <w:highlight w:val="none"/>
          <w:lang w:val="en-US" w:eastAsia="zh-CN" w:bidi="ar-SA"/>
        </w:rPr>
        <w:t xml:space="preserve">及质保要求</w:t>
      </w:r>
      <w:r/>
    </w:p>
    <w:p>
      <w:pPr>
        <w:ind w:right="139" w:firstLine="480"/>
        <w:jc w:val="both"/>
        <w:spacing w:line="360" w:lineRule="auto"/>
        <w:widowControl w:val="off"/>
        <w:rPr>
          <w:rStyle w:val="738"/>
          <w:rFonts w:hint="eastAsia" w:ascii="Times New Roman" w:hAnsi="Times New Roman"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6.1工期具体为自合同签订之日起90个日历日达到试运行(含联调)的标准。合同签订后1个月内完成设备采购。</w:t>
      </w:r>
      <w:r/>
    </w:p>
    <w:p>
      <w:pPr>
        <w:ind w:right="139" w:firstLine="480"/>
        <w:jc w:val="both"/>
        <w:spacing w:line="360" w:lineRule="auto"/>
        <w:widowControl w:val="off"/>
        <w:rPr>
          <w:rStyle w:val="738"/>
          <w:rFonts w:hint="eastAsia" w:ascii="Times New Roman" w:hAnsi="Times New Roman"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6.2乙方在接到甲方书面通知之日起三日内，派有关技术人员勘测本合同项目的货物安装现场。</w:t>
      </w:r>
      <w:r/>
    </w:p>
    <w:p>
      <w:pPr>
        <w:ind w:right="139" w:firstLine="480"/>
        <w:jc w:val="both"/>
        <w:spacing w:line="360" w:lineRule="auto"/>
        <w:widowControl w:val="off"/>
        <w:rPr>
          <w:rStyle w:val="738"/>
          <w:rFonts w:hint="eastAsia" w:ascii="Times New Roman" w:hAnsi="Times New Roman"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6.3根据招标文件要求和投标承诺，待合同所供货物由乙方按期、按质、按量供货及安装、调试（含试运行）完毕，经过验收合格（达到甲方可投入使用条件）并提供相关文件后，甲、乙双方办理正式移交手续并以次日起开始计算。</w:t>
      </w:r>
      <w:r/>
    </w:p>
    <w:p>
      <w:pPr>
        <w:ind w:right="139" w:firstLine="480"/>
        <w:jc w:val="both"/>
        <w:spacing w:line="360" w:lineRule="auto"/>
        <w:widowControl w:val="off"/>
        <w:rPr>
          <w:rStyle w:val="738"/>
          <w:rFonts w:hint="eastAsia" w:ascii="Times New Roman" w:hAnsi="Times New Roman" w:eastAsia="宋体" w:cs="Times New Roman"/>
          <w:color w:val="auto"/>
          <w:sz w:val="24"/>
          <w:szCs w:val="24"/>
          <w:highlight w:val="none"/>
          <w:lang w:val="en-US" w:eastAsia="zh-CN" w:bidi="ar-SA"/>
        </w:rPr>
      </w:pPr>
      <w:r>
        <w:rPr>
          <w:rStyle w:val="738"/>
          <w:rFonts w:hint="eastAsia" w:ascii="Times New Roman" w:hAnsi="Times New Roman" w:eastAsia="宋体" w:cs="Times New Roman"/>
          <w:color w:val="auto"/>
          <w:sz w:val="24"/>
          <w:szCs w:val="24"/>
          <w:highlight w:val="none"/>
          <w:lang w:val="en-US" w:eastAsia="zh-CN" w:bidi="ar-SA"/>
        </w:rPr>
        <w:t xml:space="preserve">所有设备和系统维护相应质保期</w:t>
      </w:r>
      <w:r>
        <w:rPr>
          <w:rStyle w:val="738"/>
          <w:rFonts w:hint="eastAsia" w:ascii="Times New Roman" w:hAnsi="Times New Roman" w:eastAsia="宋体" w:cs="Times New Roman"/>
          <w:color w:val="auto"/>
          <w:sz w:val="24"/>
          <w:szCs w:val="24"/>
          <w:highlight w:val="none"/>
          <w:lang w:val="en-US" w:eastAsia="zh-CN" w:bidi="ar-SA"/>
        </w:rPr>
        <w:t xml:space="preserve">为工程验收合格后3年。期间，投标人应无条件免费确保设备正常工作、系统正常运行，并预留系统长期正常运行所需的备品备件；包括不可抗力之外的外场设备意外受损(如交通事故、撞击、被盗等意外)、道路维修等均由投标人负责免费增补、更换和修复。凡设备和系统运行等出现故障，维护人员应在4小时内到达现场，不得推托(紧急情况，在2小时内到达现场)，24小时内排除故障(特殊情况除外)，否则招标人将自行采取必要措施，由此产生的风险和费用由投标人承担。应7×24小时全天候开通服务热线，确保前端设备和系统运行遇有异常情况及时进行处置。</w:t>
      </w:r>
      <w:r/>
    </w:p>
    <w:p>
      <w:pPr>
        <w:ind w:firstLine="482"/>
        <w:jc w:val="both"/>
        <w:spacing w:line="360" w:lineRule="auto"/>
        <w:widowControl w:val="off"/>
        <w:tabs>
          <w:tab w:val="left" w:pos="632" w:leader="none"/>
          <w:tab w:val="left" w:pos="2828" w:leader="none"/>
        </w:tabs>
        <w:rPr>
          <w:rStyle w:val="738"/>
          <w:rFonts w:hint="default" w:ascii="Calibri" w:hAnsi="Calibri" w:eastAsia="宋体" w:cs="Times New Roman"/>
          <w:b/>
          <w:color w:val="auto"/>
          <w:sz w:val="24"/>
          <w:szCs w:val="24"/>
          <w:highlight w:val="none"/>
          <w:lang w:val="en-US" w:eastAsia="zh-CN" w:bidi="ar-SA"/>
        </w:rPr>
      </w:pPr>
      <w:r>
        <w:rPr>
          <w:rStyle w:val="738"/>
          <w:rFonts w:hint="eastAsia" w:ascii="Times New Roman" w:hAnsi="Times New Roman" w:eastAsia="宋体" w:cs="Times New Roman"/>
          <w:b/>
          <w:color w:val="auto"/>
          <w:sz w:val="24"/>
          <w:szCs w:val="24"/>
          <w:highlight w:val="none"/>
          <w:lang w:val="en-US" w:eastAsia="zh-CN" w:bidi="ar-SA"/>
        </w:rPr>
        <w:t xml:space="preserve">7</w:t>
      </w:r>
      <w:r>
        <w:rPr>
          <w:rStyle w:val="738"/>
          <w:rFonts w:hint="default" w:ascii="Times New Roman" w:hAnsi="Times New Roman" w:eastAsia="宋体" w:cs="Times New Roman"/>
          <w:b/>
          <w:color w:val="auto"/>
          <w:sz w:val="24"/>
          <w:szCs w:val="24"/>
          <w:highlight w:val="none"/>
          <w:lang w:val="en-US" w:eastAsia="zh-CN" w:bidi="ar-SA"/>
        </w:rPr>
        <w:t xml:space="preserve">、付款方式</w:t>
      </w:r>
      <w:r/>
    </w:p>
    <w:p>
      <w:pPr>
        <w:ind w:right="29" w:firstLine="41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合同签订后10</w:t>
      </w:r>
      <w:r>
        <w:rPr>
          <w:rStyle w:val="738"/>
          <w:rFonts w:hint="eastAsia" w:ascii="宋体" w:hAnsi="宋体" w:eastAsia="宋体" w:cs="宋体"/>
          <w:color w:val="auto"/>
          <w:sz w:val="24"/>
          <w:szCs w:val="24"/>
          <w:highlight w:val="none"/>
          <w:lang w:val="en-US" w:eastAsia="zh-CN" w:bidi="ar-SA"/>
        </w:rPr>
        <w:t xml:space="preserve">个</w:t>
      </w:r>
      <w:r>
        <w:rPr>
          <w:rStyle w:val="738"/>
          <w:rFonts w:hint="default" w:ascii="宋体" w:hAnsi="宋体" w:eastAsia="宋体" w:cs="宋体"/>
          <w:color w:val="auto"/>
          <w:sz w:val="24"/>
          <w:szCs w:val="24"/>
          <w:highlight w:val="none"/>
          <w:lang w:val="en-US" w:eastAsia="zh-CN" w:bidi="ar-SA"/>
        </w:rPr>
        <w:t xml:space="preserve">工作日内（自收到发票之日起），甲方支付乙方合同总价的30％作为预付款；</w:t>
      </w:r>
      <w:r/>
    </w:p>
    <w:p>
      <w:pPr>
        <w:ind w:right="29" w:firstLine="41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w:t>
      </w:r>
      <w:r>
        <w:rPr>
          <w:rStyle w:val="738"/>
          <w:rFonts w:hint="eastAsia" w:ascii="宋体" w:hAnsi="宋体" w:eastAsia="宋体" w:cs="宋体"/>
          <w:color w:val="auto"/>
          <w:sz w:val="24"/>
          <w:szCs w:val="24"/>
          <w:highlight w:val="none"/>
          <w:lang w:val="en-US" w:eastAsia="zh-CN" w:bidi="ar-SA"/>
        </w:rPr>
        <w:t xml:space="preserve">项目供货完毕，安装、调试结束并通过甲方验收合格后</w:t>
      </w:r>
      <w:r>
        <w:rPr>
          <w:rStyle w:val="738"/>
          <w:rFonts w:hint="default" w:ascii="宋体" w:hAnsi="宋体" w:eastAsia="宋体" w:cs="宋体"/>
          <w:color w:val="auto"/>
          <w:sz w:val="24"/>
          <w:szCs w:val="24"/>
          <w:highlight w:val="none"/>
          <w:lang w:val="en-US" w:eastAsia="zh-CN" w:bidi="ar-SA"/>
        </w:rPr>
        <w:t xml:space="preserve">，</w:t>
      </w:r>
      <w:r>
        <w:rPr>
          <w:rStyle w:val="738"/>
          <w:rFonts w:hint="eastAsia" w:ascii="宋体" w:hAnsi="宋体" w:eastAsia="宋体" w:cs="宋体"/>
          <w:color w:val="auto"/>
          <w:sz w:val="24"/>
          <w:szCs w:val="24"/>
          <w:highlight w:val="none"/>
          <w:lang w:val="en-US" w:eastAsia="zh-CN" w:bidi="ar-SA"/>
        </w:rPr>
        <w:t xml:space="preserve">可按合同款的60%付款</w:t>
      </w:r>
      <w:r>
        <w:rPr>
          <w:rStyle w:val="738"/>
          <w:rFonts w:hint="default" w:ascii="宋体" w:hAnsi="宋体" w:eastAsia="宋体" w:cs="宋体"/>
          <w:color w:val="auto"/>
          <w:sz w:val="24"/>
          <w:szCs w:val="24"/>
          <w:highlight w:val="none"/>
          <w:lang w:val="en-US" w:eastAsia="zh-CN" w:bidi="ar-SA"/>
        </w:rPr>
        <w:t xml:space="preserve">，项目变更减少的按实际完成工程量付款，增加工程量变更、签证部分在审计结论出具之前暂不付款。</w:t>
      </w:r>
      <w:r/>
    </w:p>
    <w:p>
      <w:pPr>
        <w:ind w:right="29" w:firstLine="41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3）竣工验收合格后，区里相关部门实施一审，按审定价的70%支付，余款待区里相关审计部门二审结束后或盐城市审计局政府审计结束后，可按审计价的97%付款。质保金待质保期满经移交验收合格后，根据考核条款扣除相关考核金（扣完为止）最终结清。</w:t>
      </w:r>
      <w:r/>
    </w:p>
    <w:p>
      <w:pPr>
        <w:ind w:right="29" w:firstLine="41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（4）对盐城市审计局未出具政府审计报告但已出具经复核结束《审计结果函》，且明确提出建设单位可按审计结果办理相关价款结算的，视同最终政府审计报告办理结算。</w:t>
      </w:r>
      <w:r/>
    </w:p>
    <w:p>
      <w:pPr>
        <w:ind w:right="29" w:firstLine="41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对市审计局未出具政府审计报告但已出具未经复核《审计结果函》的，按市审计局的付款建议且不高于80%付款。</w:t>
      </w:r>
      <w:r/>
    </w:p>
    <w:p>
      <w:pPr>
        <w:ind w:right="29" w:firstLine="41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每次付款前乙方需开具合法有效的增值税发票（开具付款金额）给采购人，以上付款均无银行利息，一律通过银行结转。</w:t>
      </w:r>
      <w:r/>
    </w:p>
    <w:p>
      <w:pPr>
        <w:pStyle w:val="944"/>
        <w:ind w:right="34" w:firstLine="476"/>
        <w:spacing w:line="440" w:lineRule="exact"/>
        <w:rPr>
          <w:rStyle w:val="738"/>
          <w:rFonts w:ascii="宋体" w:hAnsi="宋体" w:eastAsia="宋体" w:cs="宋体"/>
          <w:b w:val="0"/>
          <w:color w:val="auto"/>
          <w:sz w:val="24"/>
          <w:highlight w:val="none"/>
          <w:lang w:val="en-US" w:eastAsia="zh-CN" w:bidi="ar-SA"/>
        </w:rPr>
      </w:pPr>
      <w:r>
        <w:rPr>
          <w:rStyle w:val="738"/>
          <w:rFonts w:ascii="宋体" w:hAnsi="宋体" w:eastAsia="宋体" w:cs="宋体"/>
          <w:b w:val="0"/>
          <w:color w:val="auto"/>
          <w:spacing w:val="-1"/>
          <w:sz w:val="24"/>
          <w:szCs w:val="22"/>
          <w:highlight w:val="none"/>
          <w:lang w:val="en-US" w:eastAsia="zh-CN" w:bidi="ar-SA"/>
        </w:rPr>
        <w:t xml:space="preserve">8、结算方式</w:t>
      </w:r>
      <w:r/>
    </w:p>
    <w:p>
      <w:pPr>
        <w:pStyle w:val="944"/>
        <w:ind w:left="40" w:firstLine="460"/>
        <w:keepLines w:val="0"/>
        <w:keepNext w:val="0"/>
        <w:pageBreakBefore w:val="0"/>
        <w:spacing w:line="480" w:lineRule="exact"/>
        <w:widowControl w:val="off"/>
        <w:rPr>
          <w:rStyle w:val="738"/>
          <w:rFonts w:ascii="宋体" w:hAnsi="宋体" w:eastAsia="宋体" w:cs="宋体"/>
          <w:b w:val="0"/>
          <w:color w:val="auto"/>
          <w:sz w:val="24"/>
          <w:highlight w:val="none"/>
          <w:lang w:val="en-US" w:eastAsia="zh-CN" w:bidi="ar-SA"/>
        </w:rPr>
      </w:pPr>
      <w:r>
        <w:rPr>
          <w:rStyle w:val="738"/>
          <w:rFonts w:ascii="宋体" w:hAnsi="宋体" w:eastAsia="宋体" w:cs="宋体"/>
          <w:b w:val="0"/>
          <w:color w:val="auto"/>
          <w:spacing w:val="-5"/>
          <w:sz w:val="24"/>
          <w:szCs w:val="22"/>
          <w:highlight w:val="none"/>
          <w:lang w:val="en-US" w:eastAsia="zh-CN" w:bidi="ar-SA"/>
        </w:rPr>
        <w:t xml:space="preserve">8.1本项目采用“全费用固定单价”合同。</w:t>
      </w:r>
      <w:r>
        <w:rPr>
          <w:rStyle w:val="738"/>
          <w:rFonts w:hint="eastAsia" w:ascii="宋体" w:hAnsi="宋体" w:eastAsia="宋体" w:cs="宋体"/>
          <w:b w:val="0"/>
          <w:color w:val="auto"/>
          <w:spacing w:val="-5"/>
          <w:sz w:val="24"/>
          <w:szCs w:val="22"/>
          <w:highlight w:val="none"/>
          <w:lang w:val="en-US" w:eastAsia="zh-CN" w:bidi="ar-SA"/>
        </w:rPr>
        <w:t xml:space="preserve">项目结算时，工程量按实结算，除合同约定调整外，一律不调整中标全费用综合单价。</w:t>
      </w:r>
      <w:r/>
    </w:p>
    <w:p>
      <w:pPr>
        <w:pStyle w:val="944"/>
        <w:ind w:firstLine="480"/>
        <w:keepLines w:val="0"/>
        <w:keepNext w:val="0"/>
        <w:pageBreakBefore w:val="0"/>
        <w:spacing w:line="480" w:lineRule="exact"/>
        <w:widowControl w:val="off"/>
        <w:rPr>
          <w:rStyle w:val="738"/>
          <w:rFonts w:ascii="宋体" w:hAnsi="宋体" w:eastAsia="宋体" w:cs="宋体"/>
          <w:b w:val="0"/>
          <w:color w:val="auto"/>
          <w:sz w:val="24"/>
          <w:highlight w:val="none"/>
          <w:lang w:val="en-US" w:eastAsia="zh-CN" w:bidi="ar-SA"/>
        </w:rPr>
      </w:pPr>
      <w:r>
        <w:rPr>
          <w:rStyle w:val="738"/>
          <w:rFonts w:ascii="宋体" w:hAnsi="宋体" w:eastAsia="宋体" w:cs="宋体"/>
          <w:b w:val="0"/>
          <w:color w:val="auto"/>
          <w:sz w:val="24"/>
          <w:szCs w:val="22"/>
          <w:highlight w:val="none"/>
          <w:lang w:val="en-US" w:eastAsia="zh-CN" w:bidi="ar-SA"/>
        </w:rPr>
        <w:t xml:space="preserve">项目结算总价=∑中标</w:t>
      </w:r>
      <w:r>
        <w:rPr>
          <w:rStyle w:val="738"/>
          <w:rFonts w:hint="eastAsia" w:ascii="宋体" w:hAnsi="宋体" w:eastAsia="宋体" w:cs="宋体"/>
          <w:b w:val="0"/>
          <w:color w:val="auto"/>
          <w:sz w:val="24"/>
          <w:szCs w:val="22"/>
          <w:highlight w:val="none"/>
          <w:lang w:val="en-US" w:eastAsia="zh-CN" w:bidi="ar-SA"/>
        </w:rPr>
        <w:t xml:space="preserve">全费用</w:t>
      </w:r>
      <w:r>
        <w:rPr>
          <w:rStyle w:val="738"/>
          <w:rFonts w:ascii="宋体" w:hAnsi="宋体" w:eastAsia="宋体" w:cs="宋体"/>
          <w:b w:val="0"/>
          <w:color w:val="auto"/>
          <w:sz w:val="24"/>
          <w:szCs w:val="22"/>
          <w:highlight w:val="none"/>
          <w:lang w:val="en-US" w:eastAsia="zh-CN" w:bidi="ar-SA"/>
        </w:rPr>
        <w:t xml:space="preserve">综合单价×实际合格工程量±设计变更或甲方调整项目内容或合同约定调整价</w:t>
      </w:r>
      <w:r>
        <w:rPr>
          <w:rStyle w:val="738"/>
          <w:rFonts w:ascii="宋体" w:hAnsi="宋体" w:eastAsia="宋体" w:cs="宋体"/>
          <w:b w:val="0"/>
          <w:color w:val="auto"/>
          <w:spacing w:val="-4"/>
          <w:sz w:val="24"/>
          <w:szCs w:val="22"/>
          <w:highlight w:val="none"/>
          <w:lang w:val="en-US" w:eastAsia="zh-CN" w:bidi="ar-SA"/>
        </w:rPr>
        <w:t xml:space="preserve">款；其中中标</w:t>
      </w:r>
      <w:r>
        <w:rPr>
          <w:rStyle w:val="738"/>
          <w:rFonts w:hint="eastAsia" w:ascii="宋体" w:hAnsi="宋体" w:eastAsia="宋体" w:cs="宋体"/>
          <w:b w:val="0"/>
          <w:color w:val="auto"/>
          <w:spacing w:val="-4"/>
          <w:sz w:val="24"/>
          <w:szCs w:val="22"/>
          <w:highlight w:val="none"/>
          <w:lang w:val="en-US" w:eastAsia="zh-CN" w:bidi="ar-SA"/>
        </w:rPr>
        <w:t xml:space="preserve">的全费用</w:t>
      </w:r>
      <w:r>
        <w:rPr>
          <w:rStyle w:val="738"/>
          <w:rFonts w:ascii="宋体" w:hAnsi="宋体" w:eastAsia="宋体" w:cs="宋体"/>
          <w:b w:val="0"/>
          <w:color w:val="auto"/>
          <w:spacing w:val="-4"/>
          <w:sz w:val="24"/>
          <w:szCs w:val="22"/>
          <w:highlight w:val="none"/>
          <w:lang w:val="en-US" w:eastAsia="zh-CN" w:bidi="ar-SA"/>
        </w:rPr>
        <w:t xml:space="preserve">综合单价结算时一律不予调整（除设计变更或甲方调整项目内容或合同约定调整外</w:t>
      </w:r>
      <w:r>
        <w:rPr>
          <w:rStyle w:val="738"/>
          <w:rFonts w:ascii="宋体" w:hAnsi="宋体" w:eastAsia="宋体" w:cs="宋体"/>
          <w:b w:val="0"/>
          <w:color w:val="auto"/>
          <w:spacing w:val="-54"/>
          <w:sz w:val="24"/>
          <w:szCs w:val="22"/>
          <w:highlight w:val="none"/>
          <w:lang w:val="en-US" w:eastAsia="zh-CN" w:bidi="ar-SA"/>
        </w:rPr>
        <w:t xml:space="preserve">），</w:t>
      </w:r>
      <w:r>
        <w:rPr>
          <w:rStyle w:val="738"/>
          <w:rFonts w:ascii="宋体" w:hAnsi="宋体" w:eastAsia="宋体" w:cs="宋体"/>
          <w:b w:val="0"/>
          <w:color w:val="auto"/>
          <w:spacing w:val="-4"/>
          <w:sz w:val="24"/>
          <w:szCs w:val="22"/>
          <w:highlight w:val="none"/>
          <w:lang w:val="en-US" w:eastAsia="zh-CN" w:bidi="ar-SA"/>
        </w:rPr>
        <w:t xml:space="preserve">工程</w:t>
      </w:r>
      <w:r>
        <w:rPr>
          <w:rStyle w:val="738"/>
          <w:rFonts w:ascii="宋体" w:hAnsi="宋体" w:eastAsia="宋体" w:cs="宋体"/>
          <w:b w:val="0"/>
          <w:color w:val="auto"/>
          <w:spacing w:val="-2"/>
          <w:sz w:val="24"/>
          <w:szCs w:val="22"/>
          <w:highlight w:val="none"/>
          <w:lang w:val="en-US" w:eastAsia="zh-CN" w:bidi="ar-SA"/>
        </w:rPr>
        <w:t xml:space="preserve">量按实结算。</w:t>
      </w:r>
      <w:r/>
    </w:p>
    <w:p>
      <w:pPr>
        <w:pStyle w:val="944"/>
        <w:ind w:firstLine="476"/>
        <w:keepLines w:val="0"/>
        <w:keepNext w:val="0"/>
        <w:pageBreakBefore w:val="0"/>
        <w:spacing w:line="480" w:lineRule="exact"/>
        <w:widowControl w:val="off"/>
        <w:rPr>
          <w:rStyle w:val="738"/>
          <w:rFonts w:ascii="宋体" w:hAnsi="宋体" w:eastAsia="宋体" w:cs="宋体"/>
          <w:b w:val="0"/>
          <w:color w:val="auto"/>
          <w:sz w:val="24"/>
          <w:highlight w:val="none"/>
          <w:lang w:val="en-US" w:eastAsia="zh-CN" w:bidi="ar-SA"/>
        </w:rPr>
      </w:pPr>
      <w:r>
        <w:rPr>
          <w:rStyle w:val="738"/>
          <w:rFonts w:ascii="宋体" w:hAnsi="宋体" w:eastAsia="宋体" w:cs="宋体"/>
          <w:b w:val="0"/>
          <w:color w:val="auto"/>
          <w:spacing w:val="-1"/>
          <w:sz w:val="24"/>
          <w:szCs w:val="22"/>
          <w:highlight w:val="none"/>
          <w:lang w:val="en-US" w:eastAsia="zh-CN" w:bidi="ar-SA"/>
        </w:rPr>
        <w:t xml:space="preserve">8.2设计变更或甲方调整项目内容或合同约定调整价款的确定：</w:t>
      </w:r>
      <w:r/>
    </w:p>
    <w:p>
      <w:pPr>
        <w:pStyle w:val="944"/>
        <w:ind w:firstLine="460"/>
        <w:keepLines w:val="0"/>
        <w:keepNext w:val="0"/>
        <w:pageBreakBefore w:val="0"/>
        <w:spacing w:line="480" w:lineRule="exact"/>
        <w:widowControl w:val="off"/>
        <w:rPr>
          <w:rStyle w:val="738"/>
          <w:rFonts w:ascii="宋体" w:hAnsi="宋体" w:eastAsia="宋体" w:cs="宋体"/>
          <w:b w:val="0"/>
          <w:color w:val="auto"/>
          <w:sz w:val="24"/>
          <w:highlight w:val="none"/>
          <w:lang w:val="en-US" w:eastAsia="zh-CN" w:bidi="ar-SA"/>
        </w:rPr>
      </w:pPr>
      <w:r>
        <w:rPr>
          <w:rStyle w:val="738"/>
          <w:rFonts w:ascii="宋体" w:hAnsi="宋体" w:eastAsia="宋体" w:cs="宋体"/>
          <w:b w:val="0"/>
          <w:color w:val="auto"/>
          <w:spacing w:val="-5"/>
          <w:sz w:val="24"/>
          <w:szCs w:val="22"/>
          <w:highlight w:val="none"/>
          <w:lang w:val="en-US" w:eastAsia="zh-CN" w:bidi="ar-SA"/>
        </w:rPr>
        <w:t xml:space="preserve">1）在投标报价书中有相同单价的，执行投标报价书中的单价；</w:t>
      </w:r>
      <w:r/>
    </w:p>
    <w:p>
      <w:pPr>
        <w:pStyle w:val="944"/>
        <w:ind w:firstLine="464"/>
        <w:keepLines w:val="0"/>
        <w:keepNext w:val="0"/>
        <w:pageBreakBefore w:val="0"/>
        <w:spacing w:line="480" w:lineRule="exact"/>
        <w:widowControl w:val="off"/>
        <w:rPr>
          <w:rStyle w:val="738"/>
          <w:rFonts w:ascii="宋体" w:hAnsi="宋体" w:eastAsia="宋体" w:cs="宋体"/>
          <w:b w:val="0"/>
          <w:color w:val="auto"/>
          <w:sz w:val="24"/>
          <w:highlight w:val="none"/>
          <w:lang w:val="en-US" w:eastAsia="zh-CN" w:bidi="ar-SA"/>
        </w:rPr>
      </w:pPr>
      <w:r>
        <w:rPr>
          <w:rStyle w:val="738"/>
          <w:rFonts w:ascii="宋体" w:hAnsi="宋体" w:eastAsia="宋体" w:cs="宋体"/>
          <w:b w:val="0"/>
          <w:color w:val="auto"/>
          <w:spacing w:val="-4"/>
          <w:sz w:val="24"/>
          <w:szCs w:val="22"/>
          <w:highlight w:val="none"/>
          <w:lang w:val="en-US" w:eastAsia="zh-CN" w:bidi="ar-SA"/>
        </w:rPr>
        <w:t xml:space="preserve">2）在投标报价书中有类似单价的，参照投标报价书中的类似单价执行；</w:t>
      </w:r>
      <w:r/>
    </w:p>
    <w:p>
      <w:pPr>
        <w:pStyle w:val="944"/>
        <w:ind w:firstLine="464"/>
        <w:keepLines w:val="0"/>
        <w:keepNext w:val="0"/>
        <w:pageBreakBefore w:val="0"/>
        <w:spacing w:line="480" w:lineRule="exact"/>
        <w:widowControl w:val="off"/>
        <w:rPr>
          <w:rStyle w:val="738"/>
          <w:rFonts w:ascii="宋体" w:hAnsi="宋体" w:eastAsia="宋体" w:cs="宋体"/>
          <w:b w:val="0"/>
          <w:color w:val="auto"/>
          <w:sz w:val="24"/>
          <w:highlight w:val="none"/>
          <w:lang w:val="en-US" w:eastAsia="zh-CN" w:bidi="ar-SA"/>
        </w:rPr>
      </w:pPr>
      <w:r>
        <w:rPr>
          <w:rStyle w:val="738"/>
          <w:rFonts w:ascii="宋体" w:hAnsi="宋体" w:eastAsia="宋体" w:cs="宋体"/>
          <w:b w:val="0"/>
          <w:color w:val="auto"/>
          <w:spacing w:val="-4"/>
          <w:sz w:val="24"/>
          <w:szCs w:val="22"/>
          <w:highlight w:val="none"/>
          <w:lang w:val="en-US" w:eastAsia="zh-CN" w:bidi="ar-SA"/>
        </w:rPr>
        <w:t xml:space="preserve">3）在投标报价书中没有单价或类似单价的，其单价由乙方提出，经甲方认可后执行。</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8.3因乙方自身原因造成工程量增加的，乙方无权要求任何补偿。承包人的结算价=中标价（扣除暂列金额、专业项目暂估价、发包人供应的材料或设备价格及上述三项的规费和税金）±变更项目量×中标全费用综合单价±招标文件及合同约定可以调整的价格并计取相应规费和税金+承包人实施的专业项目结算价。</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（1）上式中“变更项目量”是指由于项目量清单有误或设计变更等非承包人原因引起的清单项目量±15%以内的项目量增减。</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（2）上式中“招标文件及合同约定调整的价格”包括以下①-⑥种情况：</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①招标人签证使用的暂列金额、承包人实施的专业项目实际发包价。</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②经发包人认可的《材料暂估价格表》（如有）中的材料价格调整。</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③因招标清单漏项或非承包人原因的项目变更，造成结算时增加新的项目量清单时，需通过区级项目会办会研究同意其后，最终以签证形式对变更事项予以确认。对应的综合单价按下列方法确定：</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相应综合单价按招标文件约定的计价程序并经发包人确认（套相应计价定额组价并按中标下浮率下浮）后进行结算。如无适用定额的（异地补充定额原则上不执行，结算时仅可参考）或定额套用严重偏离市场价的，则按市场询价后进行结算。</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中标下浮率计算公式如下：</w:t>
      </w:r>
      <w:r/>
    </w:p>
    <w:p>
      <w:pPr>
        <w:pStyle w:val="944"/>
        <w:ind w:left="0" w:right="0" w:firstLine="0"/>
        <w:jc w:val="center"/>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中标价（扣除预算价中暂列金额、专业项目暂估价、暂估材</w:t>
      </w:r>
      <w:r/>
    </w:p>
    <w:p>
      <w:pPr>
        <w:pStyle w:val="944"/>
        <w:ind w:left="0" w:right="0" w:firstLine="0"/>
        <w:jc w:val="center"/>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料总价、发包人供应材料总价及上述四项的规费、税金）</w:t>
      </w:r>
      <w:r/>
    </w:p>
    <w:p>
      <w:pPr>
        <w:pStyle w:val="944"/>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下浮率=（1-―――――――――――――――――――――――――――――）×100%</w:t>
      </w:r>
      <w:r/>
    </w:p>
    <w:p>
      <w:pPr>
        <w:pStyle w:val="944"/>
        <w:ind w:left="0" w:right="0" w:firstLine="0"/>
        <w:jc w:val="center"/>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项目预算价（扣除预算价中暂列金额、专业项目暂估价、</w:t>
      </w:r>
      <w:r/>
    </w:p>
    <w:p>
      <w:pPr>
        <w:pStyle w:val="944"/>
        <w:ind w:left="0" w:right="0" w:firstLine="0"/>
        <w:jc w:val="center"/>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暂估材料总价、发包人供应材料总价及上述四项的规费、税金）</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注：上式中的暂估材料总价、发包人供应材料总价以招标人公布的数据为准（项目预算价中相应数据）。</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④在招标清单±15%以内的清单项目量，结算单价按中标单价执行。对超过±15%以外的清单项目量，根据我区相关会办制度研究同意后，最终以签证形式予以确认。其结算综合单价按下面2种情况确定：</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1）因非承包人原因引起的项目变更、招标清单项目量计算有误、或承包人对设计图纸设计错误或设计不合理提出合理建议并经发包人确认的，当中标单价不存在不平衡报价时（不平衡分析办法参照《江苏省盐南高新区政府投资建设工程结算审计、询价定价等若干问题处理办法（试行）》盐南高新办〔2022〕8号执行，下同），增加/减少超过15%项目量按原中标单价执行；当中标单价存在不平衡报价时，按以下结算办法执行：</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A.招标清单内项目量增加超过15%时。结算价=招标量*1.15*中标价+（实际量-招标量*1.15）*重新组价并下浮后的单价。</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B.招标清单内项目量减少超过15%时。结算价=招标量*0.85*中标价-（招标量*0.85-实际量）*重新组价并下浮后的单价。</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2)除上述1）以外情况的，因承包人原因引起的项目变更，按不利于承包人原则进行结算，即：</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A.招标清单内项目量增加超过15%时。结算价=招标量*1.15*中标价+（实际量-招标量*1.15）*（重新组价并下浮后的单价、中标单价、市场询价三者的低值）。</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B.招标清单内项目量减少超过15%时。结算价=招标量*0.85*中标价-（招标量*0.85-实际量）*（重新组价并下浮后的单价、中标单价、市场询价三者的高值）。</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备注：1.以上1）和2）重新组价如无适用定额或定额套用严重偏离市场价的，则市场询价。同时为有效控制不平衡报价，规范招投标行为，不平衡报价可调增、调减甚至倒扣，但原则上不平衡分析总体不核增。投标人在投标报价时充分考虑以上因素。</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2.现场安全文明施工措施费，结算时须提供考评手续；未提供的，结算时须按照《费用定额》标准倒扣基本费。由于非承包人原因，导致承包人无法办理现场安全文明措施费核定时，由发包人出具无法办理现场安全文明措施费核定的书面情况说明，并确认承包人在施工期间未发生任何安全事故且安全文明施工措施足额投入后，审计部门按现场安全文明措施费基本费率的60%结算(投入费率)。</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⑤人工工资单价、材料价格及税金方面的约定:人工工资单价、材料价格均不调整。</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税金调整方法：按照合同约定的税金税率进行结算，因政策性税金税率调整时按文件规定执行。</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⑥合同采购清单中没有的项目，供货双方共同询价确定采购单价后，招标人方可供货，否则招标人有权拒绝支付此部分货款。</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8.4发包人要求承包人自行对项目施工现场和周围环境进行踏勘，以充分了解工地位置、情况、道路、储存空间、装卸限制以及任何其他足以影响承包价的情况，任何因忽视或误解工地情况而导致的索赔或工期延长申请将不被批准。</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8.5本项目承包人须负责施工现场垃圾清运，承包人自身造成道路、桥梁、路牙、交通设施、市政绿 化等损坏的，均由承包人负责及时修复至原状，上述费用承包人已在投标报价中充分考虑。</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8.6项目结算审计时，现场审计与图纸、清单做法不符处理原则。原则上取样厚度在现行规范允许范 围内的合格项目，不扣除相应实体费用（清单中另有要求的除外）。负偏差超出验收规范范围的项目，实际取样与设计厚度的差值应予以核减，合同中另有其它处罚条款的也需执行。如出现不合格项目，由招标人按合同约定处理，并将明确处理意见报审计部门，审计按招标人的处理意见进行结算，并在报告或审定单反映该问题。</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8.7关于安全管理、配备、做法、处罚条款、文明施工、方案、相关费用、备案、围墙（档）施工、安全帽、措施等的要求（相关费用在投标报价综合考虑，发包人不再增加任何费用）：</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(1)承包人提供给建设单位足够数量的红色安全帽，每顶安全帽按发包人要求印制专用logo，费用承包人已在项目投标报价中考虑。</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(2)施工前，承包单位自行到建设、城管、绿化等主管部门办理各类手续、缴纳押金和办理备案，费用等已含在项目投标报价内。</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(3)承包人已自行勘察现场，本项目施工过程中遇到的一切施工矛盾、地方矛盾及由此发生的费用与招标人无涉，均由承包人自行负责，并已在投标报价中考虑。</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(4)本关于有关施工相应的费用计取要求：本项目各种方案评审费用、各种验收费用、产品考察费用、资料入档费用按相关规定确认承担方。</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8.8承包人在施工现场不得就近取土，如发生，发包人有权要求承包人立即用耕植土回填到位，并处所挖土方的1倍投标价格（且不低于市场价）罚款，如果未及时回填到位或回填土质不是耕植土的，按（回填所需耕植土费用+机械挖土费用+5km内运输费用+回填费用）×2倍投标价格（且不低于市场价）处罚，从工程款中扣除。</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8.9单位工程招标工程量清单中土方挖或填(石)方工程量无论是否超过5000m3，只要挖或填(石)方结算工程量超过招标工程量清单15%以上且总工程量超过5000m3以上时，超15%以上的工程量单独按大型土石方取费。</w:t>
      </w:r>
      <w:r/>
    </w:p>
    <w:p>
      <w:pPr>
        <w:pStyle w:val="944"/>
        <w:ind w:firstLine="472"/>
        <w:spacing w:line="440" w:lineRule="exact"/>
        <w:rPr>
          <w:rStyle w:val="738"/>
          <w:rFonts w:hint="default"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8.10单体调试、联合调试费凭有效的调试报验资料按实结算。凡供电设备回路系统中不含“需要调试的元件”(如断路器保护定值数据整定和试验)，则一律不计取调试费。</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8.11承包人应在发包人确认的完工日之日起及时编制并向发包人报送项目结算，发包人根据审计要求，对资料的真实性、完整性进行审核，具备审计条件后，由区审计部门或市审计局及时安排造价咨询单位进行审核。</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8.12本项目提交审计时，承包人应在发包人约定的时间内完成资料整理，并积极配合，要求资料齐全、计算准确，不得虚报，要求与审计价差距不得超出5%。</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（1）若承包人的结算报审价与最终审定价≤5%，审计费由发包人承担。</w:t>
      </w:r>
      <w:r/>
    </w:p>
    <w:p>
      <w:pPr>
        <w:pStyle w:val="944"/>
        <w:ind w:firstLine="472"/>
        <w:spacing w:line="440" w:lineRule="exact"/>
        <w:rPr>
          <w:rStyle w:val="738"/>
          <w:rFonts w:hint="eastAsia" w:ascii="宋体" w:hAnsi="宋体" w:eastAsia="宋体" w:cs="宋体"/>
          <w:b w:val="0"/>
          <w:color w:val="auto"/>
          <w:spacing w:val="-2"/>
          <w:sz w:val="24"/>
          <w:szCs w:val="22"/>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2）若承包人的结算报审价与最终审定价＞5%，本工程结算审计费用由承包人承担。由区级审计部门实施的项目，一审审计费收取标准按（核增额+核减额）×6%计取；二审审计费收取标准按（核增额+核减额）×15%计取，一审和二审最低收费标准均为2000元。当一审核减率未超过5%，一审和二审总核减率超过5%时，由二审单位补扣一审审计费，同时扣除二审审计费。由市审计局实施政府决算审计的项目，审计费收取标准按区级二审标准执行。以上审计费均在审定价款中予以扣减。</w:t>
      </w:r>
      <w:r/>
    </w:p>
    <w:p>
      <w:pPr>
        <w:pStyle w:val="944"/>
        <w:ind w:firstLine="472"/>
        <w:spacing w:line="440" w:lineRule="exact"/>
        <w:rPr>
          <w:rStyle w:val="738"/>
          <w:rFonts w:ascii="宋体" w:hAnsi="宋体" w:eastAsia="宋体" w:cs="宋体"/>
          <w:b w:val="0"/>
          <w:color w:val="auto"/>
          <w:sz w:val="24"/>
          <w:highlight w:val="none"/>
          <w:lang w:val="en-US" w:eastAsia="zh-CN" w:bidi="ar-SA"/>
        </w:rPr>
      </w:pPr>
      <w:r>
        <w:rPr>
          <w:rStyle w:val="738"/>
          <w:rFonts w:hint="eastAsia" w:ascii="宋体" w:hAnsi="宋体" w:eastAsia="宋体" w:cs="宋体"/>
          <w:b w:val="0"/>
          <w:color w:val="auto"/>
          <w:spacing w:val="-2"/>
          <w:sz w:val="24"/>
          <w:szCs w:val="22"/>
          <w:highlight w:val="none"/>
          <w:lang w:val="en-US" w:eastAsia="zh-CN" w:bidi="ar-SA"/>
        </w:rPr>
        <w:t xml:space="preserve">8.13未尽事宜按照《江苏省盐南高新区政府投资建设工程结算审计、询价定价等若干问题处理办法（试行）》盐南高新办〔2022〕8号执行。</w:t>
      </w:r>
      <w:r/>
    </w:p>
    <w:p>
      <w:pPr>
        <w:ind w:left="421"/>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9、检验与验收</w:t>
      </w:r>
      <w:r/>
    </w:p>
    <w:p>
      <w:pPr>
        <w:ind w:left="17" w:right="70" w:firstLine="403"/>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9.1  在交货前，乙方应对货物的质量、性能、规格型号、技术要求、品牌、数量等进行详细而全面的检验，并出具一份能说明货物符合合同规定的证明。</w:t>
      </w:r>
      <w:r/>
    </w:p>
    <w:p>
      <w:pPr>
        <w:ind w:right="68" w:firstLine="421"/>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9.2 货物运抵现场后，甲方将对货物的质量、性能、规格型</w:t>
      </w:r>
      <w:r>
        <w:rPr>
          <w:rStyle w:val="738"/>
          <w:rFonts w:hint="default" w:ascii="宋体" w:hAnsi="宋体" w:eastAsia="宋体" w:cs="宋体"/>
          <w:color w:val="auto"/>
          <w:sz w:val="24"/>
          <w:szCs w:val="24"/>
          <w:highlight w:val="none"/>
          <w:lang w:val="en-US" w:eastAsia="zh-CN" w:bidi="ar-SA"/>
        </w:rPr>
        <w:t xml:space="preserve">号、技术要求、品牌、数量等进行初步检验 (或取样送检) ，如发现货物的质量、性能、规格型号、技术要求、品牌、数量等与招标文件要求及投标承诺、国家现行的相关规范标准及有关部门最新颁布的相应的最新标准不符时 (或检测不合格时) ，乙方应按甲方规定的时间内将货物运出安装场地，重新采购符合要求的货物，并承担由此发生的一切损失和责任，由此延误的工期不予顺延【如乙方不服从或拒绝按甲方要求的时间运出安装场地，甲方有权单独采购符合要求的货物，其一切费用均在乙方款项中扣除】。甲方根据当地质检部门出具的检验证书向乙方提出索赔。</w:t>
      </w:r>
      <w:r/>
    </w:p>
    <w:p>
      <w:pPr>
        <w:ind w:left="1" w:right="68" w:firstLine="42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9.3 货物到现场， 甲方如认为质量不合格，可委托具备该货物检测能力的检测机构对其质量进行检测。如检测结果合格，其检测费由甲方承担；如检测结果不合格，其检测费由乙方承担，同时乙方承担本合同规定的其他责任。</w:t>
      </w:r>
      <w:r/>
    </w:p>
    <w:p>
      <w:pPr>
        <w:ind w:left="1" w:right="68" w:firstLine="42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9.4 货物的最终验收待项目安装、调试完毕， 由甲方组织有关单位和部门共同负责验收工作。</w:t>
      </w:r>
      <w:r/>
    </w:p>
    <w:p>
      <w:pPr>
        <w:ind w:right="58" w:firstLine="42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9.</w:t>
      </w:r>
      <w:r>
        <w:rPr>
          <w:rStyle w:val="738"/>
          <w:rFonts w:hint="eastAsia" w:ascii="宋体" w:hAnsi="宋体" w:eastAsia="宋体" w:cs="宋体"/>
          <w:color w:val="auto"/>
          <w:sz w:val="24"/>
          <w:szCs w:val="24"/>
          <w:highlight w:val="none"/>
          <w:lang w:val="en-US" w:eastAsia="zh-CN" w:bidi="ar-SA"/>
        </w:rPr>
        <w:t xml:space="preserve">5</w:t>
      </w:r>
      <w:r>
        <w:rPr>
          <w:rStyle w:val="738"/>
          <w:rFonts w:hint="default" w:ascii="宋体" w:hAnsi="宋体" w:eastAsia="宋体" w:cs="宋体"/>
          <w:color w:val="auto"/>
          <w:sz w:val="24"/>
          <w:szCs w:val="24"/>
          <w:highlight w:val="none"/>
          <w:lang w:val="en-US" w:eastAsia="zh-CN" w:bidi="ar-SA"/>
        </w:rPr>
        <w:t xml:space="preserve">安装、调试完毕后，提供安装、调试报告，报告中要有各项检测数据和详细的验收标准、验收手册，乙方并无偿借用验收仪器。</w:t>
      </w:r>
      <w:r/>
    </w:p>
    <w:p>
      <w:pPr>
        <w:ind w:firstLine="480"/>
        <w:jc w:val="both"/>
        <w:spacing w:line="460" w:lineRule="exact"/>
        <w:widowControl w:val="off"/>
        <w:rPr>
          <w:rStyle w:val="738"/>
          <w:rFonts w:hint="eastAsia" w:ascii="宋体" w:hAnsi="宋体" w:eastAsia="宋体" w:cs="Times New Roman"/>
          <w:bCs/>
          <w:color w:val="auto"/>
          <w:sz w:val="24"/>
          <w:szCs w:val="24"/>
          <w:highlight w:val="none"/>
          <w:lang w:val="en-US" w:eastAsia="zh-CN" w:bidi="ar-SA"/>
        </w:rPr>
      </w:pPr>
      <w:r>
        <w:rPr>
          <w:rStyle w:val="738"/>
          <w:rFonts w:hint="eastAsia" w:ascii="宋体" w:hAnsi="宋体" w:eastAsia="宋体" w:cs="Times New Roman"/>
          <w:bCs/>
          <w:color w:val="auto"/>
          <w:sz w:val="24"/>
          <w:szCs w:val="24"/>
          <w:highlight w:val="none"/>
          <w:lang w:val="en-US" w:eastAsia="zh-CN" w:bidi="ar-SA"/>
        </w:rPr>
        <w:t xml:space="preserve">10、安装与调试</w:t>
      </w:r>
      <w:r/>
    </w:p>
    <w:p>
      <w:pPr>
        <w:ind w:firstLine="480"/>
        <w:jc w:val="both"/>
        <w:spacing w:line="460" w:lineRule="exact"/>
        <w:widowControl w:val="off"/>
        <w:rPr>
          <w:rStyle w:val="738"/>
          <w:rFonts w:hint="eastAsia" w:ascii="宋体" w:hAnsi="宋体" w:eastAsia="宋体" w:cs="Times New Roman"/>
          <w:bCs/>
          <w:color w:val="auto"/>
          <w:sz w:val="24"/>
          <w:szCs w:val="24"/>
          <w:highlight w:val="none"/>
          <w:lang w:val="en-US" w:eastAsia="zh-CN" w:bidi="ar-SA"/>
        </w:rPr>
      </w:pPr>
      <w:r>
        <w:rPr>
          <w:rStyle w:val="738"/>
          <w:rFonts w:hint="eastAsia" w:ascii="宋体" w:hAnsi="宋体" w:eastAsia="宋体" w:cs="Times New Roman"/>
          <w:bCs/>
          <w:color w:val="auto"/>
          <w:sz w:val="24"/>
          <w:szCs w:val="24"/>
          <w:highlight w:val="none"/>
          <w:lang w:val="en-US" w:eastAsia="zh-CN" w:bidi="ar-SA"/>
        </w:rPr>
        <w:t xml:space="preserve">10.1安装地点：盐城市盐南高新区。</w:t>
      </w:r>
      <w:r/>
    </w:p>
    <w:p>
      <w:pPr>
        <w:ind w:firstLine="480"/>
        <w:jc w:val="both"/>
        <w:spacing w:line="460" w:lineRule="exact"/>
        <w:widowControl w:val="off"/>
        <w:rPr>
          <w:rStyle w:val="738"/>
          <w:rFonts w:hint="eastAsia" w:ascii="宋体" w:hAnsi="宋体" w:eastAsia="宋体" w:cs="Times New Roman"/>
          <w:bCs/>
          <w:color w:val="auto"/>
          <w:sz w:val="24"/>
          <w:szCs w:val="24"/>
          <w:highlight w:val="none"/>
          <w:lang w:val="en-US" w:eastAsia="zh-CN" w:bidi="ar-SA"/>
        </w:rPr>
      </w:pPr>
      <w:r>
        <w:rPr>
          <w:rStyle w:val="738"/>
          <w:rFonts w:hint="eastAsia" w:ascii="宋体" w:hAnsi="宋体" w:eastAsia="宋体" w:cs="Times New Roman"/>
          <w:bCs/>
          <w:color w:val="auto"/>
          <w:sz w:val="24"/>
          <w:szCs w:val="24"/>
          <w:highlight w:val="none"/>
          <w:lang w:val="en-US" w:eastAsia="zh-CN" w:bidi="ar-SA"/>
        </w:rPr>
        <w:t xml:space="preserve">10.2安装人员： 由乙方直接派相关人员组织安装。</w:t>
      </w:r>
      <w:r/>
    </w:p>
    <w:p>
      <w:pPr>
        <w:ind w:firstLine="480"/>
        <w:jc w:val="both"/>
        <w:spacing w:line="460" w:lineRule="exact"/>
        <w:widowControl w:val="off"/>
        <w:rPr>
          <w:rStyle w:val="738"/>
          <w:rFonts w:hint="eastAsia" w:ascii="宋体" w:hAnsi="宋体" w:eastAsia="宋体" w:cs="Times New Roman"/>
          <w:bCs/>
          <w:color w:val="auto"/>
          <w:sz w:val="24"/>
          <w:szCs w:val="24"/>
          <w:highlight w:val="none"/>
          <w:lang w:val="en-US" w:eastAsia="zh-CN" w:bidi="ar-SA"/>
        </w:rPr>
      </w:pPr>
      <w:r>
        <w:rPr>
          <w:rStyle w:val="738"/>
          <w:rFonts w:hint="eastAsia" w:ascii="宋体" w:hAnsi="宋体" w:eastAsia="宋体" w:cs="Times New Roman"/>
          <w:bCs/>
          <w:color w:val="auto"/>
          <w:sz w:val="24"/>
          <w:szCs w:val="24"/>
          <w:highlight w:val="none"/>
          <w:lang w:val="en-US" w:eastAsia="zh-CN" w:bidi="ar-SA"/>
        </w:rPr>
        <w:t xml:space="preserve">10.3乙方应在准备部署本货物 1 周前，向甲方提供安装、调试的进度计划表和安装作业措施计划。</w:t>
      </w:r>
      <w:r/>
    </w:p>
    <w:p>
      <w:pPr>
        <w:ind w:firstLine="480"/>
        <w:jc w:val="both"/>
        <w:spacing w:line="460" w:lineRule="exact"/>
        <w:widowControl w:val="off"/>
        <w:rPr>
          <w:rStyle w:val="738"/>
          <w:rFonts w:hint="eastAsia" w:ascii="宋体" w:hAnsi="宋体" w:eastAsia="宋体" w:cs="Times New Roman"/>
          <w:bCs/>
          <w:color w:val="auto"/>
          <w:sz w:val="24"/>
          <w:szCs w:val="24"/>
          <w:highlight w:val="none"/>
          <w:lang w:val="en-US" w:eastAsia="zh-CN" w:bidi="ar-SA"/>
        </w:rPr>
      </w:pPr>
      <w:r>
        <w:rPr>
          <w:rStyle w:val="738"/>
          <w:rFonts w:hint="eastAsia" w:ascii="宋体" w:hAnsi="宋体" w:eastAsia="宋体" w:cs="Times New Roman"/>
          <w:bCs/>
          <w:color w:val="auto"/>
          <w:sz w:val="24"/>
          <w:szCs w:val="24"/>
          <w:highlight w:val="none"/>
          <w:lang w:val="en-US" w:eastAsia="zh-CN" w:bidi="ar-SA"/>
        </w:rPr>
        <w:t xml:space="preserve">10.4安装、调试（含试运行）期间，乙方负责组织专业技术人员进行货物安装、调试（含试运行），软件需将源代码部署在甲方提供的代码服务器上并提供相关文档，甲方将提供必须的基本条件和专人配合，保证各项安装工作顺利进行。</w:t>
      </w:r>
      <w:r/>
    </w:p>
    <w:p>
      <w:pPr>
        <w:ind w:firstLine="480"/>
        <w:jc w:val="both"/>
        <w:spacing w:line="460" w:lineRule="exact"/>
        <w:widowControl w:val="off"/>
        <w:rPr>
          <w:rStyle w:val="738"/>
          <w:rFonts w:hint="eastAsia" w:ascii="宋体" w:hAnsi="宋体" w:eastAsia="宋体" w:cs="Times New Roman"/>
          <w:bCs/>
          <w:color w:val="auto"/>
          <w:sz w:val="24"/>
          <w:szCs w:val="24"/>
          <w:highlight w:val="none"/>
          <w:lang w:val="en-US" w:eastAsia="zh-CN" w:bidi="ar-SA"/>
        </w:rPr>
      </w:pPr>
      <w:r>
        <w:rPr>
          <w:rStyle w:val="738"/>
          <w:rFonts w:hint="eastAsia" w:ascii="宋体" w:hAnsi="宋体" w:eastAsia="宋体" w:cs="Times New Roman"/>
          <w:bCs/>
          <w:color w:val="auto"/>
          <w:sz w:val="24"/>
          <w:szCs w:val="24"/>
          <w:highlight w:val="none"/>
          <w:lang w:val="en-US" w:eastAsia="zh-CN" w:bidi="ar-SA"/>
        </w:rPr>
        <w:t xml:space="preserve">10.5乙方负责货物的安装，承担与安装项目相关的一切费用 (包括食宿等费用)。</w:t>
      </w:r>
      <w:r/>
    </w:p>
    <w:p>
      <w:pPr>
        <w:ind w:firstLine="480"/>
        <w:jc w:val="both"/>
        <w:spacing w:line="460" w:lineRule="exact"/>
        <w:widowControl w:val="off"/>
        <w:rPr>
          <w:rStyle w:val="738"/>
          <w:rFonts w:hint="eastAsia" w:ascii="宋体" w:hAnsi="宋体" w:eastAsia="宋体" w:cs="Times New Roman"/>
          <w:bCs/>
          <w:color w:val="auto"/>
          <w:sz w:val="24"/>
          <w:szCs w:val="24"/>
          <w:highlight w:val="none"/>
          <w:lang w:val="en-US" w:eastAsia="zh-CN" w:bidi="ar-SA"/>
        </w:rPr>
      </w:pPr>
      <w:r>
        <w:rPr>
          <w:rStyle w:val="738"/>
          <w:rFonts w:hint="eastAsia" w:ascii="宋体" w:hAnsi="宋体" w:eastAsia="宋体" w:cs="Times New Roman"/>
          <w:bCs/>
          <w:color w:val="auto"/>
          <w:sz w:val="24"/>
          <w:szCs w:val="24"/>
          <w:highlight w:val="none"/>
          <w:lang w:val="en-US" w:eastAsia="zh-CN" w:bidi="ar-SA"/>
        </w:rPr>
        <w:t xml:space="preserve">10.6安装完毕的货物及其环境应清理干净。</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Times New Roman"/>
          <w:bCs/>
          <w:color w:val="auto"/>
          <w:sz w:val="24"/>
          <w:szCs w:val="24"/>
          <w:highlight w:val="none"/>
          <w:lang w:val="en-US" w:eastAsia="zh-CN" w:bidi="ar-SA"/>
        </w:rPr>
        <w:t xml:space="preserve">10.7乙方详细进行技术交底，详细讲解图纸、工艺流程、操作规程、货物性能及有关注意事项等。</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11、质量保证和售后服务</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11.1按合同定期到货和安装，安装前乙方需把货物技术文件资料 (含安装说明书及使用说明书) 报甲方审核。乙方应保证其提供的货物技术文件资料完整清晰、准确无误，并能满足货物的检验、安装、调试、验收试验、运行和维护的需要以及本合同的规定。</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11.2 在质量保修期内，除责任事故外，货物实行“三包”，免费质量保修期为三年(采购清单报价表中有关货物如有规定质量保修期年限的，按规定质量保修期年限执行)；乙方对货物出现的各类故障应及时提供免费维护服务，对非人为破坏造成的零部件损坏，应及时免费更换。</w:t>
      </w:r>
      <w:r/>
    </w:p>
    <w:p>
      <w:pPr>
        <w:ind w:left="1" w:right="21" w:firstLine="434"/>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11.3在质量保修期内的工作应包括乙方对所有货物每季度至少 1 次的常规检查。</w:t>
      </w:r>
      <w:r/>
    </w:p>
    <w:p>
      <w:pPr>
        <w:ind w:left="1" w:right="21" w:firstLine="434"/>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11.4货物质量等级为“合格”，并符合招标文件中技术要求、国家现行的相关规范标准及有关部门最新颁布的相应的最新标准；否则，乙方应无条件更换。项目确保按规范和标准验收，且达国家合格标准；否则，乙方应无条件整改。</w:t>
      </w:r>
      <w:r/>
    </w:p>
    <w:p>
      <w:pPr>
        <w:ind w:left="1" w:right="21" w:firstLine="434"/>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11.5所有货物、器材、材料及配件，必须是优质品，要求有厂家出具的质量合格证(或权威部门检测报告)和证明书。</w:t>
      </w:r>
      <w:r/>
    </w:p>
    <w:p>
      <w:pPr>
        <w:ind w:right="9" w:firstLine="436"/>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11.6乙方应保证所提供的货物、材料是完整的、全新的、未使用过的、技术上先进和成熟的、是用一流的工艺和最佳材料制造而成的，并完全符合招标文件要求及投标承诺、国家现行的相关规范标准、有关部门最新颁布的相应的最新标准及合同规定的质量、性能、规格型号、技术要求、品牌的要求。乙方应保证所提供的货物经正确安装、正常运行和保养在其使用寿命期内应具有满意的性能。在质量保修期及租赁期内，乙方应对由于货物的工艺、材料和制造原因产生的缺陷而发生的任何不足或故障负责。</w:t>
      </w:r>
      <w:r/>
    </w:p>
    <w:p>
      <w:pPr>
        <w:ind w:right="9" w:firstLine="436"/>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11.7如果货物的质量、性能、规格型号、技术要求、品牌、数量等与合同不符，或在规定的质量保修期内证实货物是有缺陷的，包括潜在的缺陷或使用不符合要求的材料等，甲方应尽快以书面形式通知乙方，并提出索赔。</w:t>
      </w:r>
      <w:r/>
    </w:p>
    <w:p>
      <w:pPr>
        <w:ind w:right="9" w:firstLine="436"/>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11.8乙方须具备较高的售后服务能力，货物出现故障时，乙方须积极响应。在质量保修期内，乙方须建立24小时报修电话。如果出现质量、技术问题， 甲方通过电话通知乙方，乙方接到报修电话后，在10分钟内作出响应，在6小时内派遣有经验的维修工程师到现场提供免费维修服务，并尽快修复故障。一般问题应在6小时内解决，重大故障应启动应急备用方案，最长不超过 24 小时解决。</w:t>
      </w:r>
      <w:r/>
    </w:p>
    <w:p>
      <w:pPr>
        <w:ind w:right="11" w:firstLine="421"/>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注：在质量保修期内，乙方应免费向甲方提供所有货物维保和升级的服务 (如软件部分的功能要求需进行适当调整，乙方须无条件完成) ，在货物维保和升级时，乙方应派遣专业技术人员到现场提供服务；在质量保修期满后，实行有偿终身上门维保和升级服务，可合理收取相关费用 (乙方和甲方将在双方的合作情况的基础上协商确定) 。</w:t>
      </w:r>
      <w:r/>
    </w:p>
    <w:p>
      <w:pPr>
        <w:ind w:left="13" w:right="9" w:firstLine="423"/>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11.9由于乙方责任并按合同要求乙方进行现场服务时，若乙方未能在规定时间内到达现场，或乙方在接到甲方电话通知后 12 小时内未反应 (超过12小时起，即按一天计算) ，则每推迟一天乙方向甲方支付人民币 2000 元的违约金。</w:t>
      </w:r>
      <w:r/>
    </w:p>
    <w:p>
      <w:pPr>
        <w:ind w:left="13" w:right="9" w:firstLine="423"/>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11.10若货物在质量保修期内因乙方责任出现十分严重的缺陷，则质量保修期将自该缺陷修复后开始重新计算。</w:t>
      </w:r>
      <w:r/>
    </w:p>
    <w:p>
      <w:pPr>
        <w:ind w:left="13" w:right="9" w:firstLine="423"/>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11.11在质量保修期内，如发现乙方提供的货物有缺陷，不符合合同规定时，则甲方有权向乙方提出索赔。乙方在接到甲方索赔文件后，应立即修复或更换货物，最长不超过两周，并承担由此产生的货物费、安装费 (含运费) 、保险费等一切费用和按合同有关条款的规定进行赔偿。</w:t>
      </w:r>
      <w:r/>
    </w:p>
    <w:p>
      <w:pPr>
        <w:ind w:left="434"/>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11.12本项目运维人员应具备信息技术中级工程师证书。</w:t>
      </w:r>
      <w:r/>
    </w:p>
    <w:p>
      <w:pPr>
        <w:ind w:firstLine="480"/>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11.13为甲方的技术人员、操作人员及维护保养人员免费提供货物培训，并免费提供详细的培训资料。</w:t>
      </w:r>
      <w:r/>
    </w:p>
    <w:p>
      <w:pPr>
        <w:ind w:firstLine="480"/>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11.14为了保证项目的质量，提高投资经济效益，乙方可对本项目设计不合理的部分做优化设计，但优化方案和价格均需征得甲方同意和认可。</w:t>
      </w:r>
      <w:r/>
    </w:p>
    <w:p>
      <w:pPr>
        <w:ind w:firstLine="480"/>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11.15货物供应到现场后，经甲方验收合格后，方可安装。 甲方有权取样送检，如检测不合格，应无条件退场，乙方承担一切经济损失和检测费用。</w:t>
      </w:r>
      <w:r/>
    </w:p>
    <w:p>
      <w:pPr>
        <w:ind w:firstLine="480"/>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11.16乙方免费派遣至少2名有工作经验、身体健康和称职的技术人员到现场提供技术服务，并安排甲方技术人员、操作人员及维护保养人员在货物运行地点、安装和调试现场进行技术培训 (包括操作、保养、维护等)。</w:t>
      </w:r>
      <w:r/>
    </w:p>
    <w:p>
      <w:pPr>
        <w:ind w:left="434"/>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11.17非甲方原因，质量整改所发生的费用不予增加，工期也不予顺延。</w:t>
      </w:r>
      <w:r/>
    </w:p>
    <w:p>
      <w:pPr>
        <w:ind w:firstLine="480"/>
        <w:jc w:val="both"/>
        <w:spacing w:line="460" w:lineRule="exact"/>
        <w:widowControl w:val="off"/>
        <w:rPr>
          <w:rStyle w:val="738"/>
          <w:rFonts w:hint="eastAsia"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11.18乙方必须保持与用户的联系，随时交流系统的应用情况，成立专门工作小组为用户解决遇到的问题。</w:t>
      </w:r>
      <w:r/>
    </w:p>
    <w:p>
      <w:pPr>
        <w:ind w:left="434"/>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11.19 所有货物必须都有厂家铭牌，货物必须与铭牌一致， 甲方拒绝贴牌货物。</w:t>
      </w:r>
      <w:r/>
    </w:p>
    <w:p>
      <w:pPr>
        <w:ind w:left="434"/>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12、培训</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12.1</w:t>
      </w:r>
      <w:r>
        <w:rPr>
          <w:rStyle w:val="738"/>
          <w:rFonts w:hint="eastAsia" w:ascii="宋体" w:hAnsi="宋体" w:eastAsia="宋体" w:cs="宋体"/>
          <w:color w:val="auto"/>
          <w:sz w:val="24"/>
          <w:szCs w:val="24"/>
          <w:highlight w:val="none"/>
          <w:lang w:val="en-US" w:eastAsia="zh-CN" w:bidi="ar-SA"/>
        </w:rPr>
        <w:t xml:space="preserve">人员培训是本项目实施的一个重要环节。乙方须为本项目所涉及的相关业务人员与技术管理人员提供技术培训，时间和内容是使其能够掌握本项目应用系统的操作和维护工作，并提供相应的培训计划 (包括但不限于：1) 培训的类别；2) 培训人员与人数；3) 培训的课程，培训至少包括系统使用培训，系统运维培训等；4) 培训方式；5) 培训教材安排；6) 师资安排) </w:t>
      </w:r>
      <w:r>
        <w:rPr>
          <w:rStyle w:val="738"/>
          <w:rFonts w:hint="default" w:ascii="宋体" w:hAnsi="宋体" w:eastAsia="宋体" w:cs="宋体"/>
          <w:color w:val="auto"/>
          <w:sz w:val="24"/>
          <w:szCs w:val="24"/>
          <w:highlight w:val="none"/>
          <w:lang w:val="en-US" w:eastAsia="zh-CN" w:bidi="ar-SA"/>
        </w:rPr>
        <w:t xml:space="preserve"> 。</w:t>
      </w:r>
      <w:r/>
    </w:p>
    <w:p>
      <w:pPr>
        <w:ind w:left="434"/>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12.2本项目人员培训应达到相应的质量目标，保证系统顺利上线和运维。</w:t>
      </w:r>
      <w:r/>
    </w:p>
    <w:p>
      <w:pPr>
        <w:ind w:right="45"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12.3为确保货物的顺利实施，并能够稳定、高效地运行，乙方应针对软件特点、人员状况，关键项目实施计划等，制订可行的培训计划、提供全方位多层次的培训服务。软件的培训对象主要包括本项目所涉及的相关业务人员与技术管理人员等，培训内容包括应用培训、技术类培训和维护类培训。乙方提供的培训分为项目专题培训和项目现场培训。</w:t>
      </w:r>
      <w:r/>
    </w:p>
    <w:p>
      <w:pPr>
        <w:ind w:left="434"/>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12.3.1项目专题培训</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项目专题培训将贯穿于整个项目实施过程，采取集中培训的方式进行。培训主要包括以下类型的培训：</w:t>
      </w:r>
      <w:r/>
    </w:p>
    <w:p>
      <w:pPr>
        <w:ind w:right="53" w:firstLine="421"/>
        <w:jc w:val="both"/>
        <w:spacing w:line="460" w:lineRule="exact"/>
        <w:widowControl w:val="off"/>
        <w:rPr>
          <w:rStyle w:val="738"/>
          <w:rFonts w:hint="default" w:ascii="宋体" w:hAnsi="宋体" w:eastAsia="宋体" w:cs="Times New Roman"/>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首先是货物安装以及货物运行管理相关的培训，目的使他们能够从整体上了解和掌握与货物的相关知识。</w:t>
      </w:r>
      <w:r/>
    </w:p>
    <w:p>
      <w:pPr>
        <w:ind w:left="422"/>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其次是货物安装、运行管理方法培训，使之掌握项目管理技能。</w:t>
      </w:r>
      <w:r/>
    </w:p>
    <w:p>
      <w:pPr>
        <w:ind w:left="1" w:right="69" w:firstLine="42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其三是专业技术培训，对货物中使用到的相关技术和设备、软件的使用进行培训，使用户能够掌握货物的基本原理、安装配置及运行维护等方面的技术。培训完成后，用户要能够维护货物，保障货物安全、高效的运行。</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项目专题培训中的专业技术培训分为货物技术管理人员培训和货物相关业务人员培训；</w:t>
      </w:r>
      <w:r/>
    </w:p>
    <w:p>
      <w:pPr>
        <w:ind w:left="1" w:right="84" w:firstLine="437"/>
        <w:jc w:val="both"/>
        <w:spacing w:line="460" w:lineRule="exact"/>
        <w:widowControl w:val="off"/>
        <w:tabs>
          <w:tab w:val="left" w:pos="111" w:leader="none"/>
        </w:tabs>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乙方派出的培训教员应至少具有相同课程的教学经验，且培训教员均要求具有三年以上的教学经验；所有的培训教员必须用中文授课，除非有其它的协议规定。培训时间、地点由乙方与甲方共同商议确定。 (培训教员名单连同培训计划一并提交用户，用户认为培训教员不合适可要求更换)</w:t>
      </w:r>
      <w:r/>
    </w:p>
    <w:p>
      <w:pPr>
        <w:ind w:left="437"/>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12.3.2 项目现场培训</w:t>
      </w:r>
      <w:r/>
    </w:p>
    <w:p>
      <w:pPr>
        <w:ind w:right="69" w:firstLine="437"/>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乙方的安装、调试 (含试运行) 工程师在安装现场负责完成培训任务。培训时间、地点由乙方与甲方共同商议确定。</w:t>
      </w:r>
      <w:r/>
    </w:p>
    <w:p>
      <w:pPr>
        <w:ind w:left="5" w:right="72" w:firstLine="431"/>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12.4 乙方应负责甲方技术人员或甲方指定的后期运营单位的相关培训工作，同时提出相关人员所需具备的素质要求。</w:t>
      </w:r>
      <w:r/>
    </w:p>
    <w:p>
      <w:pPr>
        <w:ind w:left="2" w:firstLine="434"/>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12.5 乙方应该在系统安装、调试 (含试运行) 过程中，向甲方或甲方指定的运营单位做好系统开发、维护、运营等相关技术的知识转移。其中，系统操作培训应包括所提供货物的原理和技术性能、操作维护方法、安装调测、排除故障及货物结构等各个方面, 并提供全套培训教材(中文或英文)和培训课程计划表。</w:t>
      </w:r>
      <w:r/>
    </w:p>
    <w:p>
      <w:pPr>
        <w:ind w:left="2" w:right="71" w:firstLine="434"/>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12.6 本项目实施全程培训不少于 3 场，培训所发生的租用教学场地、相关学习条件的费用及其它所有培训费用均已包含在合同价中， 甲方不再另行支付。</w:t>
      </w:r>
      <w:r/>
    </w:p>
    <w:p>
      <w:pPr>
        <w:ind w:right="72" w:firstLine="437"/>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12.7 乙方应在现场安装、调试 (含试运行) 完成后，根据甲方需求进行现场培训，拟定详细的培训大纲，在培训前 2 周提交甲方，并征得甲方同意。现场培训主要讲解操作方法和故障检测技能，并辅导进行操作实习。</w:t>
      </w:r>
      <w:r/>
    </w:p>
    <w:p>
      <w:pPr>
        <w:ind w:left="437"/>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12.8 乙方必须为所有被培训人员提供培训用文字资料和讲义等相关用品。</w:t>
      </w:r>
      <w:r/>
    </w:p>
    <w:p>
      <w:pPr>
        <w:ind w:left="42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13、索赔</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13.1如对照国家标准或当地质检部门出具的质检证书证实其货物的质量不合格或达不到招标要求的，甲方有权根据国家检验标准或当地质检部门出具的检验结果向乙方提出索赔。</w:t>
      </w:r>
      <w:r/>
    </w:p>
    <w:p>
      <w:pPr>
        <w:ind w:left="17" w:right="30" w:firstLine="418"/>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13.2在根据合同规定的检验期和质量保修期内，如证实乙方对甲方提出的索赔和差异负有责任的，乙方应按照甲方同意的下列一种或多种方式解决索赔事宜：</w:t>
      </w:r>
      <w:r/>
    </w:p>
    <w:p>
      <w:pPr>
        <w:ind w:left="10" w:right="2" w:firstLine="425"/>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13.2.1乙方配合退货退款，并按合同规定的同种货币将货款全额退还给甲方，并承担由此发生的一切损失和费用，包括利息、银行手续费、运费、保险费、检验费、仓储费、装卸费、误工费以及为保证退回货物所需的其他必要费用。</w:t>
      </w:r>
      <w:r/>
    </w:p>
    <w:p>
      <w:pPr>
        <w:ind w:left="436"/>
        <w:jc w:val="left"/>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13.2.2根据货物低劣程度、损坏程度以及甲方所遭受损失的数额，经甲、乙双方商定降低货物的价格。</w:t>
      </w:r>
      <w:r/>
    </w:p>
    <w:p>
      <w:pPr>
        <w:ind w:left="3" w:firstLine="432"/>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13.2.3用符合质量、规格型号、品牌、技术要求和性能要求的新零件、部件或货物来更换有缺陷的部分或修补缺陷部分，乙方应承担一切费用和风险，并负担甲方所发生的一切直接费用。甲方应按合同规定，相应延长修补或更换件的质量保修期。</w:t>
      </w:r>
      <w:r/>
    </w:p>
    <w:p>
      <w:pPr>
        <w:ind w:right="2" w:firstLine="436"/>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13.3如果在甲方发生索赔通知后</w:t>
      </w:r>
      <w:r>
        <w:rPr>
          <w:rStyle w:val="738"/>
          <w:rFonts w:hint="eastAsia" w:ascii="宋体" w:hAnsi="宋体" w:eastAsia="宋体" w:cs="宋体"/>
          <w:color w:val="auto"/>
          <w:sz w:val="24"/>
          <w:szCs w:val="24"/>
          <w:highlight w:val="none"/>
          <w:lang w:val="en-US" w:eastAsia="zh-CN" w:bidi="ar-SA"/>
        </w:rPr>
        <w:t xml:space="preserve">7</w:t>
      </w:r>
      <w:r>
        <w:rPr>
          <w:rStyle w:val="738"/>
          <w:rFonts w:hint="default" w:ascii="宋体" w:hAnsi="宋体" w:eastAsia="宋体" w:cs="宋体"/>
          <w:color w:val="auto"/>
          <w:sz w:val="24"/>
          <w:szCs w:val="24"/>
          <w:highlight w:val="none"/>
          <w:lang w:val="en-US" w:eastAsia="zh-CN" w:bidi="ar-SA"/>
        </w:rPr>
        <w:t xml:space="preserve">天内，乙方未作书面答复，上述索赔应视为已被乙方接受。如乙方未能在甲方提出索赔通知后</w:t>
      </w:r>
      <w:r>
        <w:rPr>
          <w:rStyle w:val="738"/>
          <w:rFonts w:hint="eastAsia" w:ascii="宋体" w:hAnsi="宋体" w:eastAsia="宋体" w:cs="宋体"/>
          <w:color w:val="auto"/>
          <w:sz w:val="24"/>
          <w:szCs w:val="24"/>
          <w:highlight w:val="none"/>
          <w:lang w:val="en-US" w:eastAsia="zh-CN" w:bidi="ar-SA"/>
        </w:rPr>
        <w:t xml:space="preserve">7</w:t>
      </w:r>
      <w:r>
        <w:rPr>
          <w:rStyle w:val="738"/>
          <w:rFonts w:hint="default" w:ascii="宋体" w:hAnsi="宋体" w:eastAsia="宋体" w:cs="宋体"/>
          <w:color w:val="auto"/>
          <w:sz w:val="24"/>
          <w:szCs w:val="24"/>
          <w:highlight w:val="none"/>
          <w:lang w:val="en-US" w:eastAsia="zh-CN" w:bidi="ar-SA"/>
        </w:rPr>
        <w:t xml:space="preserve">天内或甲方同意的更长时间内，按照本合同第 13.2 条规定的任何一种方法解决索赔事宜，甲方将从未付款中扣回索赔金额。如果这些金额不足以补偿索赔金额，甲方有权向乙方提出不足部分的补偿。</w:t>
      </w:r>
      <w:r/>
    </w:p>
    <w:p>
      <w:pPr>
        <w:ind w:left="42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14、违约赔偿</w:t>
      </w:r>
      <w:r/>
    </w:p>
    <w:p>
      <w:pPr>
        <w:ind w:left="5" w:firstLine="43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14.1除合同第 6.2 条、15条规定外，如果乙方没有按照合同规定的时间竣工和提供服务，甲方可从货款中扣除违约赔偿费【按每拖延一日，承担货物合同价的</w:t>
      </w:r>
      <w:r>
        <w:rPr>
          <w:rStyle w:val="738"/>
          <w:rFonts w:hint="eastAsia" w:ascii="宋体" w:hAnsi="宋体" w:eastAsia="宋体" w:cs="宋体"/>
          <w:b/>
          <w:bCs/>
          <w:color w:val="auto"/>
          <w:sz w:val="24"/>
          <w:szCs w:val="24"/>
          <w:highlight w:val="none"/>
          <w:lang w:val="en-US" w:eastAsia="zh-CN" w:bidi="ar-SA"/>
        </w:rPr>
        <w:t xml:space="preserve">1</w:t>
      </w:r>
      <w:r>
        <w:rPr>
          <w:rStyle w:val="738"/>
          <w:rFonts w:hint="default" w:ascii="宋体" w:hAnsi="宋体" w:eastAsia="宋体" w:cs="宋体"/>
          <w:b/>
          <w:bCs/>
          <w:color w:val="auto"/>
          <w:sz w:val="24"/>
          <w:szCs w:val="24"/>
          <w:highlight w:val="none"/>
          <w:lang w:val="en-US" w:eastAsia="zh-CN" w:bidi="ar-SA"/>
        </w:rPr>
        <w:t xml:space="preserve">%</w:t>
      </w:r>
      <w:r>
        <w:rPr>
          <w:rStyle w:val="738"/>
          <w:rFonts w:hint="default" w:ascii="宋体" w:hAnsi="宋体" w:eastAsia="宋体" w:cs="宋体"/>
          <w:color w:val="auto"/>
          <w:sz w:val="24"/>
          <w:szCs w:val="24"/>
          <w:highlight w:val="none"/>
          <w:lang w:val="en-US" w:eastAsia="zh-CN" w:bidi="ar-SA"/>
        </w:rPr>
        <w:t xml:space="preserve">金额赔偿费计算】。但违约赔偿费的最高限额为货物合同价的</w:t>
      </w:r>
      <w:r>
        <w:rPr>
          <w:rStyle w:val="738"/>
          <w:rFonts w:hint="eastAsia" w:ascii="宋体" w:hAnsi="宋体" w:eastAsia="宋体" w:cs="宋体"/>
          <w:b/>
          <w:bCs/>
          <w:color w:val="auto"/>
          <w:sz w:val="24"/>
          <w:szCs w:val="24"/>
          <w:highlight w:val="none"/>
          <w:lang w:val="en-US" w:eastAsia="zh-CN" w:bidi="ar-SA"/>
        </w:rPr>
        <w:t xml:space="preserve">30</w:t>
      </w:r>
      <w:r>
        <w:rPr>
          <w:rStyle w:val="738"/>
          <w:rFonts w:hint="default" w:ascii="宋体" w:hAnsi="宋体" w:eastAsia="宋体" w:cs="宋体"/>
          <w:b/>
          <w:bCs/>
          <w:color w:val="auto"/>
          <w:sz w:val="24"/>
          <w:szCs w:val="24"/>
          <w:highlight w:val="none"/>
          <w:lang w:val="en-US" w:eastAsia="zh-CN" w:bidi="ar-SA"/>
        </w:rPr>
        <w:t xml:space="preserve">%</w:t>
      </w:r>
      <w:r>
        <w:rPr>
          <w:rStyle w:val="738"/>
          <w:rFonts w:hint="default" w:ascii="宋体" w:hAnsi="宋体" w:eastAsia="宋体" w:cs="宋体"/>
          <w:color w:val="auto"/>
          <w:sz w:val="24"/>
          <w:szCs w:val="24"/>
          <w:highlight w:val="none"/>
          <w:lang w:val="en-US" w:eastAsia="zh-CN" w:bidi="ar-SA"/>
        </w:rPr>
        <w:t xml:space="preserve">。如果乙方在达到最高限额后仍不能竣工和提供服务，甲方可考虑终止合同。</w:t>
      </w:r>
      <w:r/>
    </w:p>
    <w:p>
      <w:pPr>
        <w:ind w:left="5" w:firstLine="43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14.2 甲、乙双方均应遵守本合同约定，若任何一方违约，违约方应按《中华人民共和国民法典》和本合同的约定承担其违约责任，赔偿因其违约给守约方造成的损失。</w:t>
      </w:r>
      <w:r/>
    </w:p>
    <w:p>
      <w:pPr>
        <w:ind w:left="5" w:firstLine="43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14.3 若乙方延迟竣工和提供服务时间超过十五日，或经安装、调试、修正后，乙方提供的货物不能正常使用或达不到乙方货物说明书中的描述的技术功能和技术标准，甲方有权解除合同；解除合同不影响违约金条款执行及损害赔偿的追索。</w:t>
      </w:r>
      <w:r/>
    </w:p>
    <w:p>
      <w:pPr>
        <w:ind w:left="5" w:firstLine="43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15、不可抗力</w:t>
      </w:r>
      <w:r/>
    </w:p>
    <w:p>
      <w:pPr>
        <w:ind w:left="5" w:firstLine="43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15.1  如果甲、乙双方中任何一方由于战争、严重火灾、水灾、台风和地震以及其他经甲、乙双方同意属于不可抗力的事故，致使合同履行受阻时，履行合同的期限应予延长，延长的期限应相当于事故所影响的时间。</w:t>
      </w:r>
      <w:r/>
    </w:p>
    <w:p>
      <w:pPr>
        <w:ind w:left="5" w:firstLine="43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15.2  受事故影响的一方应在不可抗力的事故发生后尽快以电报或电传通知另一方。如果不可抗力影响时间延续 120 天以上的，甲、乙双方应通过友好协商在合理的时间内达成进一步履行合同的协议。</w:t>
      </w:r>
      <w:r/>
    </w:p>
    <w:p>
      <w:pPr>
        <w:ind w:left="42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16、履约保证</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16</w:t>
      </w:r>
      <w:r>
        <w:rPr>
          <w:rStyle w:val="738"/>
          <w:rFonts w:hint="default" w:ascii="宋体" w:hAnsi="宋体" w:eastAsia="宋体" w:cs="宋体"/>
          <w:color w:val="auto"/>
          <w:sz w:val="24"/>
          <w:szCs w:val="24"/>
          <w:highlight w:val="none"/>
          <w:lang w:val="en-US" w:eastAsia="zh-CN" w:bidi="ar-SA"/>
        </w:rPr>
        <w:t xml:space="preserve">.1乙方交纳人民币_________元作为本合同的履约保证金。</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备注：不得超过合同金额的10%，采购人应当对AA评级及以上政府采购供应商（需提供信用管理部门备案的第三方信用报告）免收履约保证金或降低履约保证金缴纳比例，本项目约定为降低履约保证金缴纳比例，为合同价的5%。）</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6.2确需收取履约保证金的，履约保证金的缴纳形式：</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6.2.2 如以履约保函（保险）形式缴纳履约保证金，供应商可通过政府采购电子履约保函（保险）平台（www.jsdzbh.com）在线申请履约保函（保险）。</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6.3合同履行结束后，甲方应及时退还交纳的履约保证金。</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6.4履约保证金的退还：</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6.4.1方式：</w:t>
      </w:r>
      <w:r>
        <w:rPr>
          <w:rStyle w:val="738"/>
          <w:rFonts w:hint="default" w:ascii="宋体" w:hAnsi="宋体" w:eastAsia="宋体" w:cs="宋体"/>
          <w:b/>
          <w:bCs/>
          <w:color w:val="auto"/>
          <w:sz w:val="24"/>
          <w:szCs w:val="24"/>
          <w:highlight w:val="none"/>
          <w:lang w:val="en-US" w:eastAsia="zh-CN" w:bidi="ar-SA"/>
        </w:rPr>
        <w:t xml:space="preserve">投标人无违约行为的情况下退还</w:t>
      </w:r>
      <w:r>
        <w:rPr>
          <w:rStyle w:val="738"/>
          <w:rFonts w:hint="default" w:ascii="宋体" w:hAnsi="宋体" w:eastAsia="宋体" w:cs="宋体"/>
          <w:color w:val="auto"/>
          <w:sz w:val="24"/>
          <w:szCs w:val="24"/>
          <w:highlight w:val="none"/>
          <w:lang w:val="en-US" w:eastAsia="zh-CN" w:bidi="ar-SA"/>
        </w:rPr>
        <w:t xml:space="preserve">至投标人缴纳履约保证金的账户。如为保函，在到期时自行失效。</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6.4.2时间：验收合格且采购人收到发票后30日内。</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6.4.3条件：按合同要求全部履约完成并经采购人验收合格，且采购人收到中标人出具的发票。</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6.4.4不予退还情形：</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除不可抗力情况外，投标人出现下列情形之一的，其履约保证金，招标人将视情节决定不予退还或部分不予退还。</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（1）中标人无正当理由拒绝签订合同的，或者在签订合同时向采购人提出附加条件或者更改合同实质性内容要求的；</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（2）中标人不履行与采购人订立的合同的；</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（3）中标人所供货物或服务不符合招标文件规定要求的；</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（4）中标人采取欺骗、弄虚作假方式投标的或与其它投标人串通投标的；</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（5）中标人将合同内容转包、违法分包的；</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（6）中标人故意捏造事实或伪造证明材料，进行虚假恶意投诉或反映的。</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eastAsia" w:ascii="宋体" w:hAnsi="宋体" w:eastAsia="宋体" w:cs="宋体"/>
          <w:color w:val="auto"/>
          <w:sz w:val="24"/>
          <w:szCs w:val="24"/>
          <w:highlight w:val="none"/>
          <w:lang w:val="en-US" w:eastAsia="zh-CN" w:bidi="ar-SA"/>
        </w:rPr>
        <w:t xml:space="preserve">1</w:t>
      </w:r>
      <w:r>
        <w:rPr>
          <w:rStyle w:val="738"/>
          <w:rFonts w:hint="default" w:ascii="宋体" w:hAnsi="宋体" w:eastAsia="宋体" w:cs="宋体"/>
          <w:color w:val="auto"/>
          <w:sz w:val="24"/>
          <w:szCs w:val="24"/>
          <w:highlight w:val="none"/>
          <w:lang w:val="en-US" w:eastAsia="zh-CN" w:bidi="ar-SA"/>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left="42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17、争议</w:t>
      </w:r>
      <w:r/>
    </w:p>
    <w:p>
      <w:pPr>
        <w:ind w:left="5" w:right="69" w:firstLine="431"/>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17.1甲、乙双方应通过友好协商，解决在执行本合同中所发生的或与本合同有关的一切争议，如协商仍得不到解决，任何一方均可依法向</w:t>
      </w:r>
      <w:r>
        <w:rPr>
          <w:rStyle w:val="738"/>
          <w:rFonts w:hint="eastAsia" w:ascii="宋体" w:hAnsi="宋体" w:eastAsia="宋体" w:cs="宋体"/>
          <w:color w:val="auto"/>
          <w:sz w:val="24"/>
          <w:szCs w:val="24"/>
          <w:highlight w:val="none"/>
          <w:lang w:val="en-US" w:eastAsia="zh-CN" w:bidi="ar-SA"/>
        </w:rPr>
        <w:t xml:space="preserve">甲方</w:t>
      </w:r>
      <w:r>
        <w:rPr>
          <w:rStyle w:val="738"/>
          <w:rFonts w:hint="default" w:ascii="宋体" w:hAnsi="宋体" w:eastAsia="宋体" w:cs="宋体"/>
          <w:color w:val="auto"/>
          <w:sz w:val="24"/>
          <w:szCs w:val="24"/>
          <w:highlight w:val="none"/>
          <w:lang w:val="en-US" w:eastAsia="zh-CN" w:bidi="ar-SA"/>
        </w:rPr>
        <w:t xml:space="preserve">所在地人民法院起诉。</w:t>
      </w:r>
      <w:r/>
    </w:p>
    <w:p>
      <w:pPr>
        <w:ind w:left="42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18、违约终止合同</w:t>
      </w:r>
      <w:r/>
    </w:p>
    <w:p>
      <w:pPr>
        <w:ind w:left="437"/>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18.1甲方在乙方违约的情况下，如果：</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18.1.1乙方未能在合同规定的限期或甲方同意延长的限期内完成项目调试并交付甲方验收。</w:t>
      </w:r>
      <w:r/>
    </w:p>
    <w:p>
      <w:pPr>
        <w:ind w:firstLine="48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18.1.2如果乙方未能履行合同规定的其他义务，乙方在收到甲方发出的违约通知后15 天内，或经甲方书面认可延长的时间内未能纠正其过失。甲方可向乙方发出书面通知，终止部分或全部合同。在这种情况下，并不影响甲方向乙方提出的索赔。</w:t>
      </w:r>
      <w:r/>
    </w:p>
    <w:p>
      <w:pPr>
        <w:ind w:left="2" w:right="71" w:firstLine="434"/>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18.2在甲方根据上述第 18.1 条规定，终止了全部或部分合同，甲方可以依其认为适当的条件和方法购买与未交货物类似的货物，乙方应对购买类似货物所超出的费用负责。而且乙方还应继续执行合同中未终止的部分。</w:t>
      </w:r>
      <w:r/>
    </w:p>
    <w:p>
      <w:pPr>
        <w:ind w:left="429"/>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19、转让与分包</w:t>
      </w:r>
      <w:r/>
    </w:p>
    <w:p>
      <w:pPr>
        <w:ind w:left="8" w:firstLine="428"/>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19.1 甲方不允许乙方将本项目转包和分包给任何第三方，如发现乙方有转包或分包行为，限令改正。否则，甲方有权立即终止合同，乙方负违约责任，向甲方支付违约金，从到期的工程款中扣除。</w:t>
      </w:r>
      <w:r/>
    </w:p>
    <w:p>
      <w:pPr>
        <w:ind w:left="424"/>
        <w:jc w:val="both"/>
        <w:spacing w:line="460" w:lineRule="exact"/>
        <w:widowControl w:val="off"/>
        <w:rPr>
          <w:rStyle w:val="738"/>
          <w:rFonts w:hint="default" w:ascii="宋体" w:hAnsi="宋体" w:eastAsia="宋体" w:cs="Times New Roman"/>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20、其他</w:t>
      </w:r>
      <w:r/>
    </w:p>
    <w:p>
      <w:pPr>
        <w:ind w:left="2" w:firstLine="42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20.1货物在安装过程中，乙方应负责现有资源的整合、调试，还应负责对货物进行免费维保、升级等服务，确保系统顺利运行。</w:t>
      </w:r>
      <w:r/>
    </w:p>
    <w:p>
      <w:pPr>
        <w:ind w:left="2" w:firstLine="42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20.2货物在安装、调试、整合、正常运行及升级过程中，乙方必须确保信息的安全性和保密性，如因乙方提供的货物在安装、调试、整合，正常运行及升级过程中造成了信息泄密，一切责任 (经济和法律责任) 均由乙方承担，甲方有权无条件终止合同，由此给甲方造成损失的或其他负面社会影响的，甲方将依法追究乙方的法律责任。</w:t>
      </w:r>
      <w:r/>
    </w:p>
    <w:p>
      <w:pPr>
        <w:ind w:left="2" w:firstLine="42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20.3 乙方自行协调解决本项目实施过程中发生的各种矛盾，甲方不承担任何费用和责任，工期不顺延；乙方已到工地踏勘以充分了解项目位置、情况、道路及任何其他影响承包价的情况，任何因忽视或误解项目情况而导致的索赔或工期延长申请不被批准。</w:t>
      </w:r>
      <w:r/>
    </w:p>
    <w:p>
      <w:pPr>
        <w:ind w:left="2" w:firstLine="42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20.4乙方应向甲方进行技术交底。</w:t>
      </w:r>
      <w:r/>
    </w:p>
    <w:p>
      <w:pPr>
        <w:ind w:left="2" w:firstLine="420"/>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20.5安装期间所有安全、消防、市容保洁、环境噪声、成品保护、治安保卫、文明安装均由乙方负责，非甲方原因发生的一切问题和责任与甲方无关，费用由乙方自理。</w:t>
      </w:r>
      <w:r/>
    </w:p>
    <w:p>
      <w:pPr>
        <w:ind w:right="2" w:firstLine="423"/>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20.6乙方在竣工验收之前所有货物及材料的自行保护。乙方不得擅自外运任何置于工地现场或周转场地的货物及材料，否则由此造成的一切损失及后果均由乙方承担。</w:t>
      </w:r>
      <w:r/>
    </w:p>
    <w:p>
      <w:pPr>
        <w:ind w:left="5" w:firstLine="418"/>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20.7 乙方在安装过程中必须确保安全，如造成各种人身伤害、财产损失或其他事故，均由乙方负责处理和经济赔偿， 甲方不承担任何责任。</w:t>
      </w:r>
      <w:r/>
    </w:p>
    <w:p>
      <w:pPr>
        <w:ind w:firstLine="422"/>
        <w:jc w:val="both"/>
        <w:spacing w:line="46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20.8 乙方进场后，必须服从甲方的统一调度和指挥。如出现不服从管理现象的，甲方将视情节轻重认定乙方是否违约，并根据情况要求乙方承担违约责任，支付违约金。</w:t>
      </w:r>
      <w:r/>
    </w:p>
    <w:p>
      <w:pPr>
        <w:ind w:left="423"/>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20.9本项目价款一律通过银行非现金结算，实行专款专用。</w:t>
      </w:r>
      <w:r/>
    </w:p>
    <w:p>
      <w:pPr>
        <w:ind w:left="423"/>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20.10招标文件和投标文件作为本合同的组成部分。</w:t>
      </w:r>
      <w:r/>
    </w:p>
    <w:p>
      <w:pPr>
        <w:ind w:firstLine="424"/>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20.11 在本合同履行过程中，如乙方发生如下情形之一， 甲方将视乙方严重违约，立即解除合同，冻结专户资金，乙方承担违约责任并承担由此造成的一切损失，乙方在现场的人员无条件退场，乙方在现场的货物和材料无条件供甲方使用，其货物和材料价值待人民法院判决后，如有剩余，在判决生效后 7 天内支付。</w:t>
      </w:r>
      <w:r/>
    </w:p>
    <w:p>
      <w:pPr>
        <w:ind w:left="414"/>
        <w:jc w:val="both"/>
        <w:spacing w:line="450" w:lineRule="exact"/>
        <w:widowControl w:val="off"/>
        <w:rPr>
          <w:rStyle w:val="738"/>
          <w:rFonts w:hint="default" w:ascii="宋体" w:hAnsi="宋体" w:eastAsia="宋体" w:cs="宋体"/>
          <w:color w:val="auto"/>
          <w:position w:val="1"/>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A、不同意本项目合同条件；</w:t>
      </w:r>
      <w:r/>
    </w:p>
    <w:p>
      <w:pPr>
        <w:ind w:left="416"/>
        <w:jc w:val="both"/>
        <w:spacing w:line="450" w:lineRule="exact"/>
        <w:widowControl w:val="off"/>
        <w:rPr>
          <w:rStyle w:val="738"/>
          <w:rFonts w:hint="default" w:ascii="宋体" w:hAnsi="宋体" w:eastAsia="宋体" w:cs="宋体"/>
          <w:color w:val="auto"/>
          <w:position w:val="1"/>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B、停工或拖延安装进度或影响安装质量；</w:t>
      </w:r>
      <w:r/>
    </w:p>
    <w:p>
      <w:pPr>
        <w:ind w:left="419"/>
        <w:jc w:val="both"/>
        <w:spacing w:line="450" w:lineRule="exact"/>
        <w:widowControl w:val="off"/>
        <w:rPr>
          <w:rStyle w:val="738"/>
          <w:rFonts w:hint="default" w:ascii="宋体" w:hAnsi="宋体" w:eastAsia="宋体" w:cs="Times New Roman"/>
          <w:color w:val="auto"/>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C、要挟甲方提高合同价款；</w:t>
      </w:r>
      <w:r/>
    </w:p>
    <w:p>
      <w:pPr>
        <w:ind w:left="419"/>
        <w:jc w:val="both"/>
        <w:spacing w:line="450" w:lineRule="exact"/>
        <w:widowControl w:val="off"/>
        <w:rPr>
          <w:rStyle w:val="738"/>
          <w:rFonts w:hint="default" w:ascii="宋体" w:hAnsi="宋体" w:eastAsia="宋体" w:cs="宋体"/>
          <w:color w:val="auto"/>
          <w:position w:val="1"/>
          <w:sz w:val="24"/>
          <w:szCs w:val="24"/>
          <w:highlight w:val="none"/>
          <w:lang w:val="en-US" w:eastAsia="zh-CN" w:bidi="ar-SA"/>
        </w:rPr>
      </w:pPr>
      <w:r>
        <w:rPr>
          <w:rStyle w:val="738"/>
          <w:rFonts w:hint="default" w:ascii="宋体" w:hAnsi="宋体" w:eastAsia="宋体" w:cs="宋体"/>
          <w:color w:val="auto"/>
          <w:position w:val="1"/>
          <w:sz w:val="24"/>
          <w:szCs w:val="24"/>
          <w:highlight w:val="none"/>
          <w:lang w:val="en-US" w:eastAsia="zh-CN" w:bidi="ar-SA"/>
        </w:rPr>
        <w:t xml:space="preserve">D、要挟甲方给予某种补偿；</w:t>
      </w:r>
      <w:r/>
    </w:p>
    <w:p>
      <w:pPr>
        <w:ind w:left="418"/>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E、 自认合同付款比例和时间。</w:t>
      </w:r>
      <w:r/>
    </w:p>
    <w:p>
      <w:pPr>
        <w:ind w:right="2" w:firstLine="422"/>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20.12 所有货物及材料均由乙方自行组织采购，凡由乙方采购的货物及材料，乙方应按照设计和有关标准、招标文件要求采购，向甲方提供质量保证书、出厂合格证及现场抽样报告等证明材料，对货物及材料质量负责。如不符合质量及相关规定要求或规格有差异的，应禁止使用。</w:t>
      </w:r>
      <w:r/>
    </w:p>
    <w:p>
      <w:pPr>
        <w:ind w:firstLine="480"/>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20.13 本项目质量确保达到国家合格标准，且要求一次检测合格，检测不合格者，必须无偿修复至合格，非甲方原因，质量整改期间工期不顺延。</w:t>
      </w:r>
      <w:r/>
    </w:p>
    <w:p>
      <w:pPr>
        <w:ind w:firstLine="480"/>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20.14合同修改：欲对合同条款进行任何改动，均须由甲、乙双方签署书面的合同修改书。</w:t>
      </w:r>
      <w:r/>
    </w:p>
    <w:p>
      <w:pPr>
        <w:ind w:left="423"/>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20.15合同生效及其他：</w:t>
      </w:r>
      <w:r/>
    </w:p>
    <w:p>
      <w:pPr>
        <w:ind w:firstLine="424"/>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20.15.1 本合同共页，壹式拾份，以中文书写，甲方伍份 (盖章留存壹份，政务服务管理办公室备案壹份，工管委办公室存档壹份，责任主体单位存档贰份) ，乙方伍份，经甲、乙双方签字盖章后生效。</w:t>
      </w:r>
      <w:r/>
    </w:p>
    <w:p>
      <w:pPr>
        <w:ind w:left="17" w:right="2" w:firstLine="405"/>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20.15.2如需补充合同内容，经协商， 甲、乙双方应签署书面补充合同协议，该协议将作为本合同的一个组成部分。</w:t>
      </w:r>
      <w:r/>
    </w:p>
    <w:p>
      <w:pPr>
        <w:ind w:left="17" w:right="37" w:firstLine="405"/>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20.15.3 合同未尽事宜，按《中华人民共和国民法典》和国家其他相关法律法规的有关规定及甲、乙双方协商解决。</w:t>
      </w:r>
      <w:r/>
    </w:p>
    <w:p>
      <w:pPr>
        <w:ind w:left="17" w:right="37" w:firstLine="405"/>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20.15.4 签订时间：202</w:t>
      </w:r>
      <w:r>
        <w:rPr>
          <w:rStyle w:val="738"/>
          <w:rFonts w:hint="eastAsia" w:ascii="宋体" w:hAnsi="宋体" w:eastAsia="宋体" w:cs="宋体"/>
          <w:color w:val="auto"/>
          <w:sz w:val="24"/>
          <w:szCs w:val="24"/>
          <w:highlight w:val="none"/>
          <w:lang w:val="en-US" w:eastAsia="zh-CN" w:bidi="ar-SA"/>
        </w:rPr>
        <w:t xml:space="preserve">5</w:t>
      </w:r>
      <w:r>
        <w:rPr>
          <w:rStyle w:val="738"/>
          <w:rFonts w:hint="default" w:ascii="宋体" w:hAnsi="宋体" w:eastAsia="宋体" w:cs="宋体"/>
          <w:color w:val="auto"/>
          <w:sz w:val="24"/>
          <w:szCs w:val="24"/>
          <w:highlight w:val="none"/>
          <w:lang w:val="en-US" w:eastAsia="zh-CN" w:bidi="ar-SA"/>
        </w:rPr>
        <w:t xml:space="preserve"> 年</w:t>
      </w:r>
      <w:r>
        <w:rPr>
          <w:rStyle w:val="738"/>
          <w:rFonts w:hint="eastAsia" w:ascii="宋体" w:hAnsi="宋体" w:eastAsia="宋体" w:cs="宋体"/>
          <w:color w:val="auto"/>
          <w:sz w:val="24"/>
          <w:szCs w:val="24"/>
          <w:highlight w:val="none"/>
          <w:lang w:val="en-US" w:eastAsia="zh-CN" w:bidi="ar-SA"/>
        </w:rPr>
        <w:t xml:space="preserve">   </w:t>
      </w:r>
      <w:r>
        <w:rPr>
          <w:rStyle w:val="738"/>
          <w:rFonts w:hint="default" w:ascii="宋体" w:hAnsi="宋体" w:eastAsia="宋体" w:cs="宋体"/>
          <w:color w:val="auto"/>
          <w:sz w:val="24"/>
          <w:szCs w:val="24"/>
          <w:highlight w:val="none"/>
          <w:lang w:val="en-US" w:eastAsia="zh-CN" w:bidi="ar-SA"/>
        </w:rPr>
        <w:t xml:space="preserve">月 日</w:t>
      </w:r>
      <w:r/>
    </w:p>
    <w:p>
      <w:pPr>
        <w:ind w:right="3033" w:firstLine="1440"/>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签订地点：</w:t>
      </w:r>
      <w:r/>
    </w:p>
    <w:p>
      <w:pPr>
        <w:ind w:left="1050" w:right="3033" w:firstLine="480"/>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32"/>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19"/>
        <w:jc w:val="both"/>
        <w:spacing w:line="450" w:lineRule="exact"/>
        <w:widowControl w:val="off"/>
        <w:rPr>
          <w:rStyle w:val="738"/>
          <w:rFonts w:hint="default" w:ascii="宋体" w:hAnsi="宋体" w:eastAsia="宋体" w:cs="宋体"/>
          <w:color w:val="auto"/>
          <w:sz w:val="24"/>
          <w:szCs w:val="24"/>
          <w:highlight w:val="none"/>
          <w:lang w:val="en-US" w:eastAsia="zh-CN" w:bidi="ar-SA"/>
        </w:rPr>
      </w:pPr>
      <w:r/>
      <w:bookmarkStart w:id="117" w:name="_bookmark3"/>
      <w:r/>
      <w:bookmarkEnd w:id="117"/>
      <w:r/>
      <w:bookmarkStart w:id="118" w:name="_bookmark4"/>
      <w:r/>
      <w:bookmarkEnd w:id="118"/>
      <w:r>
        <w:rPr>
          <w:rStyle w:val="738"/>
          <w:rFonts w:hint="default" w:ascii="宋体" w:hAnsi="宋体" w:eastAsia="宋体" w:cs="宋体"/>
          <w:color w:val="auto"/>
          <w:sz w:val="24"/>
          <w:szCs w:val="24"/>
          <w:highlight w:val="none"/>
          <w:lang w:val="en-US" w:eastAsia="zh-CN" w:bidi="ar-SA"/>
        </w:rPr>
        <w:t xml:space="preserve">  甲方：                 乙方： </w:t>
      </w:r>
      <w:r/>
    </w:p>
    <w:p>
      <w:pPr>
        <w:ind w:left="19"/>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  地址：                 地址： </w:t>
      </w:r>
      <w:r/>
    </w:p>
    <w:p>
      <w:pPr>
        <w:ind w:left="19"/>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  法定代表人或授权代表：          法定代表人或授权代表：</w:t>
      </w:r>
      <w:r/>
    </w:p>
    <w:p>
      <w:pPr>
        <w:ind w:left="420" w:firstLine="0"/>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联系电话：               </w:t>
      </w:r>
      <w:r>
        <w:rPr>
          <w:rStyle w:val="738"/>
          <w:rFonts w:hint="eastAsia" w:ascii="宋体" w:hAnsi="宋体" w:eastAsia="宋体" w:cs="宋体"/>
          <w:color w:val="auto"/>
          <w:sz w:val="24"/>
          <w:szCs w:val="24"/>
          <w:highlight w:val="none"/>
          <w:lang w:val="en-US" w:eastAsia="zh-CN" w:bidi="ar-SA"/>
        </w:rPr>
        <w:t xml:space="preserve">   </w:t>
      </w:r>
      <w:r>
        <w:rPr>
          <w:rStyle w:val="738"/>
          <w:rFonts w:hint="default" w:ascii="宋体" w:hAnsi="宋体" w:eastAsia="宋体" w:cs="宋体"/>
          <w:color w:val="auto"/>
          <w:sz w:val="24"/>
          <w:szCs w:val="24"/>
          <w:highlight w:val="none"/>
          <w:lang w:val="en-US" w:eastAsia="zh-CN" w:bidi="ar-SA"/>
        </w:rPr>
        <w:t xml:space="preserve">联系电话：          </w:t>
      </w:r>
      <w:r/>
    </w:p>
    <w:p>
      <w:pPr>
        <w:ind w:left="420" w:firstLine="0"/>
        <w:jc w:val="both"/>
        <w:spacing w:line="450" w:lineRule="exact"/>
        <w:widowControl w:val="off"/>
        <w:rPr>
          <w:rStyle w:val="738"/>
          <w:rFonts w:hint="default" w:ascii="宋体" w:hAnsi="宋体" w:eastAsia="宋体" w:cs="宋体"/>
          <w:color w:val="auto"/>
          <w:sz w:val="24"/>
          <w:szCs w:val="24"/>
          <w:highlight w:val="none"/>
          <w:lang w:val="en-US" w:eastAsia="zh-CN" w:bidi="ar-SA"/>
        </w:rPr>
      </w:pPr>
      <w:r>
        <w:rPr>
          <w:rStyle w:val="738"/>
          <w:rFonts w:hint="default" w:ascii="宋体" w:hAnsi="宋体" w:eastAsia="宋体" w:cs="宋体"/>
          <w:color w:val="auto"/>
          <w:sz w:val="24"/>
          <w:szCs w:val="24"/>
          <w:highlight w:val="none"/>
          <w:lang w:val="en-US" w:eastAsia="zh-CN" w:bidi="ar-SA"/>
        </w:rPr>
        <w:t xml:space="preserve">签订日期：      年    月   日</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right="-34"/>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廉政合同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为切实加强工程建设领域党风廉政建设，有效预防违法违纪违规行为和腐败问题的发生，根据国家有关工程建设、廉政建设的规定，建设工程的发包人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（以下简称“甲方”）与承包人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（含承包人按法律法规规定和招标文件约定允许分包的各专业承包人）（以下简称“乙方”），订立如下合同。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一、甲方的权利和义务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（1）严格执行党的政策纪律、国家法律法规和各项规章制度，建立并落实廉政责任制。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建立健全廉政教育制度，设立廉政告示牌，公布举报电话， 监督并严肃查处违法违纪行为。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在一至三年内进入盐城市场，涉嫌犯罪的，移送司法机关依法处理。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及其工作人员和受甲方委托从事本项目招标代理、监理、跟踪审计等单位的人员不得索要或接受乙方的礼金、礼品、有价证券及回扣、好处费、感谢费等；不得在乙方报销任何应由甲方或其相关工作人员应当个人支付的费用；不得参加乙方安排的宴请、健身、旅游</w:t>
      </w:r>
      <w:r>
        <w:rPr>
          <w:rFonts w:hint="eastAsia" w:ascii="宋体" w:hAnsi="宋体" w:eastAsia="宋体" w:cs="宋体"/>
          <w:color w:val="auto"/>
          <w:sz w:val="24"/>
          <w:szCs w:val="24"/>
          <w:highlight w:val="none"/>
        </w:rPr>
        <w:t xml:space="preserve">及娱乐等活动；不得接受乙方提供的通讯工具、交通工具、高档办公用品以及通信充值卡、加油卡等；不得要求或者接受乙方为其汽车或住房装修，不得要求或者接受乙方为其婚丧嫁娶、配偶子女的工作安排以及出国出境、旅游等提供方便；不得利用职权、职务影响或工作便利从事与本项目有关的有偿中介、材料设备供应、工程分包、劳务等经济活动；不得违规为本人、亲友、身边工作人员和特定关系人承接或投资、入股重大工程项目相关的业务；不准违规进行变更签证或以虚假计量等手段虚报高报工程量；不准与相关工程单位发生借贷、租赁或合伙经营等个人经济关系。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二、乙方的权利和义务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（1）有权依照国家法律、法规和规章制度，开展生产经营活动。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建设过程中，如发现甲方及其工作人员和受甲方委托从事招标代理、监理、跟踪审计等单位的人员存在“吃拿卡要”等违法违纪违规行为，有权在第一时间向盐南高新区纪工委口头或书面反映并要求告知处理结果。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（3）严格执行党的政策纪律、国家法律法规和各项规章制度，建立并落实廉政责任制，严格遵守职业道德。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（4）建立健全廉政教育制度，定期开展廉政警示教育活动，教育引导自身工作人员遵守行为规范。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（5）不得以任何理由向甲</w:t>
      </w:r>
      <w:r>
        <w:rPr>
          <w:rFonts w:hint="eastAsia" w:ascii="宋体" w:hAnsi="宋体" w:eastAsia="宋体" w:cs="宋体"/>
          <w:color w:val="auto"/>
          <w:sz w:val="24"/>
          <w:szCs w:val="24"/>
          <w:highlight w:val="none"/>
        </w:rPr>
        <w:t xml:space="preserve">方及其工作人员和受甲方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乙方如违反以上要求，发生违纪违规违法等行为，须无条件接受甲方给予的处罚。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三、本合同有效期为甲乙双方签署之日起至该项目工程款全部拨付完成后止。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四、本合同作为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工程合同的附件，与工程施工合同具有同等的法律效力。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五、本合同作为主合同附件，正本和副本份数与本主合同的约定相同。由双方法定代表人或其授权的代理人签名与加盖公章后生效。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&lt;以下无正文&gt;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甲方：（盖公章）                       乙方：（盖公章）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合同签订地址：</w:t>
      </w:r>
      <w:r/>
    </w:p>
    <w:p>
      <w:pPr>
        <w:pStyle w:val="945"/>
        <w:ind w:firstLine="480"/>
        <w:rPr>
          <w:rFonts w:ascii="Times New Roman" w:hAnsi="Times New Roman" w:eastAsia="宋体" w:cs="Times New Roman"/>
          <w:color w:val="auto"/>
          <w:highlight w:val="none"/>
        </w:rPr>
      </w:pPr>
      <w:r>
        <w:rPr>
          <w:rFonts w:hint="eastAsia" w:ascii="宋体" w:hAnsi="宋体" w:eastAsia="宋体" w:cs="宋体"/>
          <w:color w:val="auto"/>
          <w:sz w:val="24"/>
          <w:szCs w:val="24"/>
          <w:highlight w:val="none"/>
        </w:rPr>
        <w:t xml:space="preserve">签订时间：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签订时间：      年   月   日</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jc w:val="center"/>
        <w:spacing w:line="440" w:lineRule="exact"/>
        <w:rPr>
          <w:rFonts w:hint="default" w:ascii="宋体" w:hAnsi="宋体" w:eastAsia="宋体" w:cs="宋体"/>
          <w:b/>
          <w:bCs/>
          <w:color w:val="auto"/>
          <w:sz w:val="36"/>
          <w:szCs w:val="36"/>
          <w:highlight w:val="none"/>
        </w:rPr>
        <w:outlineLvl w:val="1"/>
      </w:pPr>
      <w:r>
        <w:rPr>
          <w:rFonts w:hint="eastAsia" w:ascii="宋体" w:hAnsi="宋体" w:eastAsia="宋体" w:cs="宋体"/>
          <w:b/>
          <w:bCs/>
          <w:color w:val="auto"/>
          <w:sz w:val="36"/>
          <w:szCs w:val="36"/>
          <w:highlight w:val="none"/>
        </w:rPr>
        <w:t xml:space="preserve">安全生产合同</w:t>
      </w:r>
      <w:r/>
    </w:p>
    <w:p>
      <w:pPr>
        <w:jc w:val="center"/>
        <w:spacing w:line="440" w:lineRule="exact"/>
        <w:rPr>
          <w:rFonts w:hint="default" w:ascii="宋体" w:hAnsi="宋体" w:eastAsia="宋体" w:cs="宋体"/>
          <w:b/>
          <w:bCs/>
          <w:color w:val="auto"/>
          <w:sz w:val="36"/>
          <w:szCs w:val="36"/>
          <w:highlight w:val="none"/>
        </w:rPr>
      </w:pPr>
      <w:r>
        <w:rPr>
          <w:rFonts w:hint="default" w:ascii="宋体" w:hAnsi="宋体" w:eastAsia="宋体" w:cs="宋体"/>
          <w:b/>
          <w:bCs/>
          <w:color w:val="auto"/>
          <w:sz w:val="36"/>
          <w:szCs w:val="36"/>
          <w:highlight w:val="none"/>
        </w:rPr>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项目合同的实施过程中创造安全、高效的施工环境，切实搞好本项目的安全管理工作，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（以下简称“甲方”）与承包人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（以下简称“乙方”）特此签订安全生产合同：</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一、甲方职责</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1、严格遵守国家有关安全生产的法律法规，认真执行项目承包合同中的有关安全要求。</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2、按照“安全第一、预防为主”和坚持“管生产必须管安全”的原则进行安全生产管理，做到生产与安全工作同时计划、布置、检查、总结和评比。</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3、重要的安全设施必须坚持与主体项目“三同时”的原则，即：同时设计，审批，同时施工，同时验收，投入使用。</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4、定期召开安全生产调度会，及时传达中央及地方有关安全生产的精神。</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5、组织对乙方施工现场安全生产检查，监督乙方及时处理发现的各种安全隐患。</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二、乙方职责</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1、严格遵守国家有关安全生产的法律法规有关安全生产的规定，认真执行项目承包合同中的有关安全要求。</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练和遵守本条款的各项规定。做到生产与安全工作同时计划、布置、检查、总结和评比。</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4、乙方在任何时候都应采取各种合理的预防措施，防止其员工发生任何违法、违禁、暴力或妨碍治安的行为。</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三、违约责任</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如因甲方或乙方违约造成安全事故，将依法追究责任。</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本合同作为主合同附件，合同份数与本主合同的约定相同，与施工合同具有同等的法律效力，由双方法定代表人或其授权的代理人签署与加盖公章后生效，全部项目竣工验收后失效。</w:t>
      </w:r>
      <w:r/>
    </w:p>
    <w:p>
      <w:pPr>
        <w:ind w:firstLine="480"/>
        <w:spacing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                    乙方单位：（盖章）</w:t>
      </w:r>
      <w:r/>
    </w:p>
    <w:p>
      <w:pPr>
        <w:ind w:left="479"/>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479"/>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                  法定代表人：（签名）</w:t>
      </w:r>
      <w:r/>
    </w:p>
    <w:p>
      <w:pPr>
        <w:ind w:firstLine="480"/>
        <w:spacing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或委托代理人：(签名)                  或委托代理人：(签名)</w:t>
      </w:r>
      <w:r/>
    </w:p>
    <w:p>
      <w:pPr>
        <w:spacing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bookmarkEnd w:id="109"/>
      <w:r/>
      <w:bookmarkEnd w:id="110"/>
      <w:r/>
      <w:bookmarkEnd w:id="111"/>
      <w:r/>
      <w:bookmarkEnd w:id="112"/>
      <w:r/>
      <w:bookmarkEnd w:id="113"/>
      <w:r/>
      <w:bookmarkEnd w:id="114"/>
      <w:r/>
      <w:r/>
    </w:p>
    <w:p>
      <w:pPr>
        <w:ind w:firstLine="480"/>
        <w:jc w:val="center"/>
        <w:spacing w:line="440" w:lineRule="exact"/>
        <w:rPr>
          <w:rFonts w:hint="default" w:ascii="宋体" w:hAnsi="宋体" w:eastAsia="宋体" w:cs="宋体"/>
          <w:color w:val="auto"/>
          <w:sz w:val="24"/>
          <w:szCs w:val="24"/>
          <w:highlight w:val="none"/>
        </w:rPr>
      </w:pPr>
      <w:r/>
      <w:bookmarkStart w:id="119" w:name="_Toc26763"/>
      <w:r>
        <w:rPr>
          <w:rFonts w:hint="eastAsia" w:ascii="宋体" w:hAnsi="宋体" w:eastAsia="宋体" w:cs="宋体"/>
          <w:color w:val="auto"/>
          <w:sz w:val="24"/>
          <w:szCs w:val="24"/>
          <w:highlight w:val="none"/>
        </w:rPr>
        <w:t xml:space="preserve">                               日期：      年    月    日</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pStyle w:val="762"/>
        <w:ind w:right="0"/>
        <w:jc w:val="center"/>
        <w:keepLines w:val="0"/>
        <w:keepNext w:val="0"/>
        <w:pageBreakBefore w:val="0"/>
        <w:spacing w:beforeAutospacing="0" w:afterAutospacing="0"/>
        <w:widowControl w:val="off"/>
        <w:rPr>
          <w:rFonts w:hint="eastAsia" w:ascii="黑体" w:hAnsi="黑体" w:eastAsia="黑体" w:cs="黑体"/>
          <w:color w:val="auto"/>
          <w:sz w:val="44"/>
          <w:szCs w:val="44"/>
          <w:highlight w:val="none"/>
          <w:lang w:val="en-US" w:eastAsia="zh-CN"/>
        </w:rPr>
      </w:pPr>
      <w:r>
        <w:rPr>
          <w:rFonts w:hint="eastAsia" w:ascii="黑体" w:hAnsi="黑体" w:eastAsia="黑体" w:cs="黑体"/>
          <w:color w:val="auto"/>
          <w:sz w:val="44"/>
          <w:szCs w:val="44"/>
          <w:highlight w:val="none"/>
          <w:lang w:val="en-US" w:eastAsia="zh-CN"/>
        </w:rPr>
        <w:t xml:space="preserve">第四章 采购需求</w:t>
      </w:r>
      <w:r/>
    </w:p>
    <w:p>
      <w:pPr>
        <w:pStyle w:val="762"/>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rPr>
      </w:pPr>
      <w:r/>
      <w:bookmarkStart w:id="120" w:name="_Toc26554093"/>
      <w:r/>
      <w:bookmarkStart w:id="121" w:name="_Toc49090575"/>
      <w:r>
        <w:rPr>
          <w:rFonts w:hint="eastAsia" w:asciiTheme="minorEastAsia" w:hAnsiTheme="minorEastAsia" w:eastAsiaTheme="minorEastAsia" w:cstheme="minorEastAsia"/>
          <w:color w:val="auto"/>
          <w:highlight w:val="none"/>
        </w:rPr>
        <w:t xml:space="preserve">项目属性</w:t>
      </w:r>
      <w:r>
        <w:rPr>
          <w:rFonts w:hint="eastAsia" w:asciiTheme="minorEastAsia" w:hAnsiTheme="minorEastAsia" w:cstheme="minorEastAsia"/>
          <w:color w:val="auto"/>
          <w:highlight w:val="none"/>
          <w:lang w:eastAsia="zh-CN"/>
        </w:rPr>
        <w:t xml:space="preserve">：</w:t>
      </w:r>
      <w:r>
        <w:rPr>
          <w:rFonts w:hint="eastAsia" w:asciiTheme="minorEastAsia" w:hAnsiTheme="minorEastAsia" w:cstheme="minorEastAsia"/>
          <w:color w:val="auto"/>
          <w:highlight w:val="none"/>
          <w:lang w:val="en-US" w:eastAsia="zh-CN"/>
        </w:rPr>
        <w:t xml:space="preserve">货物</w:t>
      </w:r>
      <w:r>
        <w:rPr>
          <w:rFonts w:hint="eastAsia" w:asciiTheme="minorEastAsia" w:hAnsiTheme="minorEastAsia" w:eastAsiaTheme="minorEastAsia" w:cstheme="minorEastAsia"/>
          <w:color w:val="auto"/>
          <w:highlight w:val="none"/>
        </w:rPr>
        <w:t xml:space="preserve">类项目。</w:t>
      </w:r>
      <w:bookmarkEnd w:id="120"/>
      <w:r/>
      <w:bookmarkEnd w:id="121"/>
      <w:r/>
      <w:r/>
    </w:p>
    <w:p>
      <w:pPr>
        <w:pStyle w:val="762"/>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一、项目概述</w:t>
      </w:r>
      <w:r/>
    </w:p>
    <w:p>
      <w:pPr>
        <w:pStyle w:val="762"/>
        <w:ind w:firstLine="48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bookmarkStart w:id="122" w:name="_Toc97295831"/>
      <w:r>
        <w:rPr>
          <w:rFonts w:hint="eastAsia" w:ascii="宋体" w:hAnsi="宋体" w:eastAsia="宋体" w:cs="宋体"/>
          <w:color w:val="auto"/>
          <w:highlight w:val="none"/>
          <w:lang w:val="en-US" w:eastAsia="zh-CN"/>
        </w:rPr>
        <w:t xml:space="preserve">1.1项目名称</w:t>
      </w:r>
      <w:bookmarkEnd w:id="122"/>
      <w:r>
        <w:rPr>
          <w:rFonts w:hint="eastAsia" w:ascii="宋体" w:hAnsi="宋体" w:eastAsia="宋体" w:cs="宋体"/>
          <w:color w:val="auto"/>
          <w:highlight w:val="none"/>
          <w:lang w:val="en-US" w:eastAsia="zh-CN"/>
        </w:rPr>
        <w:t xml:space="preserve">：盐城市公安局盐南高新区分局智慧安防村居建设项目</w:t>
      </w:r>
      <w:r/>
    </w:p>
    <w:p>
      <w:pPr>
        <w:pStyle w:val="762"/>
        <w:ind w:firstLine="480"/>
        <w:jc w:val="left"/>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1.2预算金额：人民币1000万元</w:t>
      </w:r>
      <w:r/>
    </w:p>
    <w:p>
      <w:pPr>
        <w:pStyle w:val="762"/>
        <w:ind w:firstLine="480"/>
        <w:jc w:val="left"/>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1.3最高限价：人民币959.78万元，投标报价高于最高限价的作无效投标处理。</w:t>
      </w:r>
      <w:r/>
    </w:p>
    <w:p>
      <w:pPr>
        <w:pStyle w:val="762"/>
        <w:ind w:firstLine="480"/>
        <w:jc w:val="both"/>
        <w:keepLines w:val="0"/>
        <w:keepNext w:val="0"/>
        <w:pageBreakBefore w:val="0"/>
        <w:spacing w:beforeAutospacing="0" w:afterAutospacing="0"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lang w:val="zh-CN" w:eastAsia="zh-CN"/>
        </w:rPr>
        <w:t xml:space="preserve">清单：</w:t>
      </w:r>
      <w:r/>
    </w:p>
    <w:p>
      <w:pPr>
        <w:keepLines w:val="0"/>
        <w:keepNext w:val="0"/>
        <w:pageBreakBefore w:val="0"/>
        <w:spacing w:before="157" w:after="157"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视频监控补盲</w:t>
      </w:r>
      <w:r/>
    </w:p>
    <w:tbl>
      <w:tblPr>
        <w:tblStyle w:val="739"/>
        <w:tblW w:w="97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1"/>
        <w:gridCol w:w="1260"/>
        <w:gridCol w:w="6150"/>
        <w:gridCol w:w="810"/>
        <w:gridCol w:w="816"/>
      </w:tblGrid>
      <w:tr>
        <w:trPr>
          <w:trHeight w:val="728"/>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数量</w:t>
            </w:r>
            <w:r/>
          </w:p>
        </w:tc>
      </w:tr>
      <w:tr>
        <w:trPr>
          <w:trHeight w:val="728"/>
        </w:trPr>
        <w:tc>
          <w:tcPr>
            <w:gridSpan w:val="3"/>
            <w:shd w:val="clear" w:color="auto" w:fill="auto"/>
            <w:tcBorders>
              <w:top w:val="single" w:color="000000" w:sz="4" w:space="0"/>
              <w:left w:val="single" w:color="000000" w:sz="4" w:space="0"/>
              <w:bottom w:val="single" w:color="000000" w:sz="4" w:space="0"/>
              <w:right w:val="single" w:color="000000" w:sz="4" w:space="0"/>
            </w:tcBorders>
            <w:tcW w:w="811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一、41个十字路口前端建设点位清单</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728"/>
        </w:trPr>
        <w:tc>
          <w:tcPr>
            <w:gridSpan w:val="3"/>
            <w:shd w:val="clear" w:color="auto" w:fill="auto"/>
            <w:tcBorders>
              <w:top w:val="single" w:color="000000" w:sz="4" w:space="0"/>
              <w:left w:val="single" w:color="000000" w:sz="4" w:space="0"/>
              <w:bottom w:val="single" w:color="000000" w:sz="4" w:space="0"/>
              <w:right w:val="single" w:color="000000" w:sz="4" w:space="0"/>
            </w:tcBorders>
            <w:tcW w:w="811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1、前端监控设备</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双目相机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1、设备双镜头均采用不低于400万像素1/1.8英寸CMOS图像传感器，内置GPU芯片；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2、双通道分辨率均不低于2688×1520；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3、最低照度：彩色：0.001Lux，黑白：0.0001Lux；</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4、内置不少于6颗混合补光灯；</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5、双通道均支持电动变焦，镜头焦距：8mm~32mm；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6、双通道均支持机动车、非机动车、人脸、人员等目标的抓拍和属性识别；</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7、支持绊线入侵、区域入侵、物品遗留、快速移动、停车检测、人员聚集、物品搬移、徘徊检测等行为分析；</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8、两路通道均支持独立电动云台控制，通道1支持水平：0°~355°旋转；垂直:-5°~30°旋转；通道2垂直：-5°~30°旋转,水平-13°～13°旋转；</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9、可通过IE浏览器自定义旋转角度,可一键调节云台至设置的角度；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10、支持人脸检测、跟踪、优选、抓拍、上报最优的人脸抓图；</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可对目标(行人、非动车、机动车)进行跟踪,并显示抓拍图片，可将人脸与人体、车牌与车辆、非机动车与车牌、非机动车人脸与车牌、非机动车人体与车牌进行关联显示;交持实时分析并显示目标(行人、非动车、机动车)属性信息;可将属性信息叠加在抓拍的图片上；</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12、在IE浏览器下,具有交通拥堵、卡口、非机动车逆行、有车占道等设置选项；</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13、内置扬声器和双MIC；</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14、支持3路报警输入，2路报警输出，2路音频输入，1路音频输出；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15、支持IP67防护等级；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16、支持DC12V供电方式；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17、支持GB35114 A级加密。其他说明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123</w:t>
            </w:r>
            <w:r/>
          </w:p>
        </w:tc>
      </w:tr>
      <w:tr>
        <w:trPr>
          <w:trHeight w:val="493"/>
        </w:trPr>
        <w:tc>
          <w:tcPr>
            <w:gridSpan w:val="3"/>
            <w:shd w:val="clear" w:color="auto" w:fill="auto"/>
            <w:tcBorders>
              <w:top w:val="single" w:color="000000" w:sz="4" w:space="0"/>
              <w:left w:val="single" w:color="000000" w:sz="4" w:space="0"/>
              <w:bottom w:val="single" w:color="000000" w:sz="4" w:space="0"/>
              <w:right w:val="single" w:color="000000" w:sz="4" w:space="0"/>
            </w:tcBorders>
            <w:tcW w:w="811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2、其他及配套材料</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4833"/>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监控立杆（含横臂）</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主杆杆体材料为镀锌锥形八角钢，高度3.5m,上口径≥127mm，下口径≥127mm，主杆壁厚度≥3mm，横臂1-2m，梢径≥60mm，根径≥60mm，厚度≥2mm，立杆连接选用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2.杆体与法兰连接处采用双面焊接,外焊加强筋，杆件应一次成型；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3.热镀锌喷塑灰色，杆体表面全部热浸镀锌（要求双面镀锌）,构件热镀锌之前必须进行酸洗除锈，锌层厚度不小于90μm,偏差应小于10µｍ，表面无发黑、粗糙、流痕、锌粒、锌渣现象；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4.支持定制化喷漆，根据业主需求喷涂或粘贴防撞反光条；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5.外表面采用室外耐候性纯聚酯粉末，经高压静电喷涂，要求表面颜色一致、光滑、无微粒、无桔皮现象，塑层平均厚度在70µｍ以上，无粉化、脱落、剥离现象；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6.锌层厚度大于80微米，喷塑厚度大于100微米；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7.杆件设计抗风能力45米/秒(抗风能力≥14级)，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8.立杆抗震设防烈度为≥7度设计；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9.要求横臂末端承重不小于25Kg；</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10.地笼采用4-M20X800高强度螺栓，表面热镀锌处理，采用双螺母自锁方式锁紧，螺丝、螺母等配件必须使用镀锌材料，并做防锈处理；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11.上法兰尺寸：250*250mm，厚度≥8mm，下法兰尺寸：350mm×350mm，厚度≥12mm及法兰盘。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121</w:t>
            </w:r>
            <w:r/>
          </w:p>
        </w:tc>
      </w:tr>
      <w:tr>
        <w:trPr>
          <w:trHeight w:val="89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抱杆横臂</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横臂1.5米-2米，含不锈钢且喷塑抱箍，无单独立杆处摄像机安装于其他物体(墙壁、灯杆等)，根据实际情况定制的支架，借件安装（含供电等杆件），自行协调。</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r>
      <w:tr>
        <w:trPr>
          <w:trHeight w:val="80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基础（600mm×600mm×800mm），C25混凝土，满足公安社会面监控标准。含市政、绿化、园林及政府相关部门费用，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121</w:t>
            </w:r>
            <w:r/>
          </w:p>
        </w:tc>
      </w:tr>
      <w:tr>
        <w:trPr>
          <w:trHeight w:val="909"/>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手井由水泥砖结构制成；</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尺寸：450mm*450mm*500mm；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井盖由水泥砂石结构制成。（井盖上注有“盐南公安”标识）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121</w:t>
            </w:r>
            <w:r/>
          </w:p>
        </w:tc>
      </w:tr>
      <w:tr>
        <w:trPr>
          <w:trHeight w:val="89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防雷与接地</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根据公安标准，接地电阻不大于4欧姆，采用Ф50毫米的钢管或50×50×5mm的角钢作为接地极，同时用镀锌扁钢把接地极焊接形成接地网的一部分，再此接地网与法兰盘进行焊接。</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121</w:t>
            </w:r>
            <w:r/>
          </w:p>
        </w:tc>
      </w:tr>
      <w:tr>
        <w:trPr>
          <w:trHeight w:val="298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抱杆设备箱</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规格：设备箱具备防雨、防尘、通风散热、抗紫外线（耐老化）、防盗、防锈；箱体具有明显标识；箱体采用≥1.2mm镀锌钢板，箱体尺寸≥400(宽)*550(高)*220(深)mm，箱体颜色需经采购方确认；</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工作环境：监控箱工作温度范围-55℃～85℃，防护等级IP65，工作湿度≤90%RH，工作电压范围AC145～AC275V，外壳防护等级≥IP65.设备通过盐雾检测，盐雾环境：浓度：（5±0.1)%,温度：（35±2）℃；喷雾时间：每隔45min喷雾15min,共96h；盐雾沉降量：1.0ml/h.80cm²-2.0ml/h.80cm²，试验后样板表面无黄斑且不生锈；</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集中供电功能：内置1个32A空开，不少于3个五口国标插座，防雷保护模块：220V电源防雷;最大通流容量：40kA,标称通流容量：20kA,电压保护水平：≤1.7kV ；五位接地铜排.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123</w:t>
            </w:r>
            <w:r/>
          </w:p>
        </w:tc>
      </w:tr>
      <w:tr>
        <w:trPr>
          <w:trHeight w:val="2217"/>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网络电源二合一防雷器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1、RJ45接口网络防雷器；</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2、要求采用串联式结构设计，具有多级保护功能；</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3、信号部分要求采用电子开关接地方式，能有效消除因共地而对传输信号产生的各种干扰；</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4、220V 20A防雷模块；</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5、NPE型的防雷模块，适用于不同电网制式，保护更全面；</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6、高雷电通流能力，ns级相应速度；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7、网络接口防雷模块接口数量≥1个                                               8、功能通过检测。</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123</w:t>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光纤终端盒</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4口、国标，满足现场使用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123</w:t>
            </w:r>
            <w:r/>
          </w:p>
        </w:tc>
      </w:tr>
      <w:tr>
        <w:trPr>
          <w:trHeight w:val="1865"/>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支持8个10/100/1000Base-X电口，交换容量16G，全线速转发，MAC地址4K，卡轨式波纹型材机壳，尺寸150mm*107.5mm*38mm，双电源冗余输入，5.08mm工业端子电源接口，供电范围DC12V~57V，IP40保护等级，符合EMC工业四级要求，工作温度-40~85℃；</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符合EMC工业四级设计，波纹板机壳，IP40防护等级，低功耗无风扇设计，卡轨式安装；</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KI05防撞等级。</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123</w:t>
            </w:r>
            <w:r/>
          </w:p>
        </w:tc>
      </w:tr>
      <w:tr>
        <w:trPr>
          <w:trHeight w:val="819"/>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链路</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包含新建链路所需全部费用及租赁运营商通讯链路（包含三年链路使用费且不低于百兆带宽，链路使用费自项目验收合格之日起计算三年）</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123</w:t>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国标，主电缆RVV2*1.5、分支线缆RVV2*1.0、室外超五类防水网线</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施工恢复</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埋设管道：（1）部位:绿化带、人行道下（含路面破除恢复）；（2）材质: PE32管；（3）敷设方式:地埋敷设，以及现场破坏后恢复；土石方开挖和清运。</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728"/>
        </w:trPr>
        <w:tc>
          <w:tcPr>
            <w:gridSpan w:val="3"/>
            <w:shd w:val="clear" w:color="auto" w:fill="auto"/>
            <w:tcBorders>
              <w:top w:val="single" w:color="000000" w:sz="4" w:space="0"/>
              <w:left w:val="single" w:color="000000" w:sz="4" w:space="0"/>
              <w:bottom w:val="single" w:color="000000" w:sz="4" w:space="0"/>
              <w:right w:val="single" w:color="000000" w:sz="4" w:space="0"/>
            </w:tcBorders>
            <w:tcW w:w="811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二、市区前端建设点位清单</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728"/>
        </w:trPr>
        <w:tc>
          <w:tcPr>
            <w:gridSpan w:val="3"/>
            <w:shd w:val="clear" w:color="auto" w:fill="auto"/>
            <w:tcBorders>
              <w:top w:val="single" w:color="000000" w:sz="4" w:space="0"/>
              <w:left w:val="single" w:color="000000" w:sz="4" w:space="0"/>
              <w:bottom w:val="single" w:color="000000" w:sz="4" w:space="0"/>
              <w:right w:val="single" w:color="000000" w:sz="4" w:space="0"/>
            </w:tcBorders>
            <w:tcW w:w="811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1、前端监控设备</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6881"/>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双目相机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1、设备双镜头均采用不低于400万像素1/1.8英寸CMOS图像传感器，内置GPU芯片；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2、双通道分辨率均不低于2688×1520；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3、最低照度：彩色：0.001Lux，黑白：0.0001Lux；</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4、内置不少于6颗混合补光灯；</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5、双通道均支持电动变焦，镜头焦距：8mm~32mm；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6、双通道均支持机动车、非机动车、人脸、人员等目标的抓拍和属性识别；</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7、支持绊线入侵、区域入侵、物品遗留、快速移动、停车检测、人员聚集、物品搬移、徘徊检测等行为分析；</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8、两路通道均支持独立电动云台控制，通道1支持水平：0°~355°旋转；垂直:-5°~30°旋转；通道2垂直：-5°~30°旋转,水平-13°～13°旋转；</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9、可通过IE浏览器自定义旋转角度,可一键调节云台至设置的角度；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10、支持人脸检测、跟踪、优选、抓拍、上报最优的人脸抓图；</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可对目标(行人、非动车、机动车)进行跟踪,并显示抓拍图片，可将人脸与人体、车牌与车辆、非机动车与车牌、非机动车人脸与车牌、非机动车人体与车牌进行关联显示;交持实时分析并显示目标(行人、非动车、机动车)属性信息;可将属性信息叠加在抓拍的图片上；</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12、在IE浏览器下,具有交通拥堵、卡口、非机动车逆行、有车占道等设置选项；</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13、内置扬声器和双MIC；</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14、支持3路报警输入，2路报警输出，2路音频输入，1路音频输出；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15、支持IP67防护等级；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16、支持DC12V供电方式；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17、支持GB35114 A级加密。其他说明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16</w:t>
            </w:r>
            <w:r/>
          </w:p>
        </w:tc>
      </w:tr>
      <w:tr>
        <w:trPr>
          <w:trHeight w:val="7779"/>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1、设备采用三镜头一体化设计，通道1采用不低于800万像素1/1.2英寸CMOS图像传感器，通道2和通道3采用不低于400万像素1/1.8英寸CMOS图像传感器，内置GPU芯片；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2、最大分辨率不低于3840×2160；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3、最低照度：0.001Lux（彩色模式）；0.0001Lux（黑白模式）；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4、设备内置12颗混合补光灯，支持白光和混合补光模式。在白光模式下，只开启白光灯；在混合补光模式下，可开启白光灯和红外灯;补光灯强度可调节；</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5、支持机动车、非机动车、人脸、人员等目标的抓拍和属性识别；</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6、支持正向/背向行驶车辆抓拍，支持车牌、车牌颜色、车标、车系、车身颜色、车辆类型；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7、支持人脸检测、跟踪、优选、抓拍、上报最优的人脸抓图；</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8、设备的细节摄像机2可通过电动控制实现光路轴向土15°的旋转,实现图像矫正,保持图像水平；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9、具有景深扩展模式选项,在相同图像参数、光圈设置的情况下,开启景深扩展功能,可使设备景深变大,使前后边缘处看到的景象更清晰,开启景深扩展功能,可使设备景深纵深至最大化50m；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10、在手动分区补光模式下,可手动调节视频画面8个区域的补光强度；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11、内置扬声器和双MIC；</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12、支持3路报警输入，2路报警输出，2路音频输入，1路音频输出；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13、支持玻璃加热；</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14、支持IP67防护等级；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15、支持DC12V供电方式；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16、支持GB35114 A级加密。其他说明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w:t>
            </w:r>
            <w:r/>
          </w:p>
        </w:tc>
      </w:tr>
      <w:tr>
        <w:trPr>
          <w:trHeight w:val="200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四目相机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1、设备由2个全景摄像机和2个细节摄像机组成，2路全景采用不低于400万像素1/1.8英寸CMOS传感器，2路细节采用不低于800万像素1/1.2英寸CMOS传感器，内置4个算力共为20TOPS的GPU芯片；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2、全景最大分辨率不低于2688×1520，细节最大分辨率不低于3840×2160；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3、最低照度：彩色：0.0005lux，黑白：0.0001lux；</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4、内置不少于10颗补光灯；</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5、两路细节焦距≥60mm，全景焦距≥4mm；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5、双通道均支持视频结构化抓拍，可同时对监视区域内不同运动方向的行人、非机动车、机动车进行监视、跟踪、筛选、框选提示并抓拍存储图片；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6、支持机动车抓拍、机动车属性提取，支持非机动车抓拍、非机动车属性提取，支持人体抓拍、人体属性提取，支持人脸抓拍、人脸属性提取，支持机非人数量统计；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7、支持绊线入侵、区域入侵、穿越围栏、徘徊、物品遗留、物品搬移、快速移动、停车、人员聚集检测；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8、设备不少于2个云台，云台支持水平方向：0°-180°；垂直方向：-5° - 30°旋转；</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9、支持人脸检测、优选、抓拍、上报最优的人脸抓图；</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10、内置2个麦克风、1个扬声器；</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11、内置水平尺；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12、设备支持双边摄像机互为180°角度进行监控；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13、具有1个RJ45网络接口、2路音频输入、1路音频输出、3路报警输入、2路报警输出、1个RS485接口、1个模拟视频CVBS输出接口、1个复位按钮、1个SD卡槽；</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14、支持DC36V/AC24V/POE供电；</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15、支持IP67防护等级；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16、支持GB35114 A级加密。其他说明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1600万180° 无盲区球型鹰眼，全景采用4个F1.0大光圈全彩镜头拼接而成，可输出180°大场景拼接画面</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全景画面可支持关注区域畸变矫正，细节内置40倍变焦镜头</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全景智能：Smart事件、人员密度、车辆拥堵；细节智能：全结构化、Smart事件、普通监控（高帧率）；更好助力平安城市公共安全管理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4个1/1.8＂ 4MP Progressive Scan CMOS，最高分辨率及帧率可达6072x2640@30fps</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视场角：水平180°，垂直110°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细节摄像机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1/1.8＂ 4MP Progressive Scan CMOS，最高分辨率及帧率可达2688x1520@30fps</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星光级超低照度，0.0005Lux/F1.2（彩色），0.0001Lux/F1.2（黑白），0 Lux with IR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40倍光学变倍，16倍数字变倍</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水平360°连续旋转，垂直-15°-90°（自动翻转）</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采用高效红外阵列，低功耗，照射距离最远可达300m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支持点击联动功能，通过在客户端点击或者框选全景摄像机画面任意位置，细节跟踪摄像机可自动通过云台调整与变焦，将该区域置于画面中心。</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支持目标自动跟踪功能，通过设置智能事件规则，对设定区域内触发事件的运动目标在设定的跟踪时间内进行持续稳定跟踪。并可在跟踪过程中手动切换跟踪目标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支持手动选择跟踪目标，在设定跟踪时间内进行持续稳定跟踪</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光口（FC）+电口(RJ-45)网络接口设计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支持GB35114A级安全加密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支持北斗卫星定位,其他说明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10</w:t>
            </w:r>
            <w:r/>
          </w:p>
        </w:tc>
      </w:tr>
      <w:tr>
        <w:trPr>
          <w:trHeight w:val="533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结构化球机</w:t>
            </w:r>
            <w:r/>
          </w:p>
        </w:tc>
        <w:tc>
          <w:tcPr>
            <w:shd w:val="clear" w:color="auto" w:fill="auto"/>
            <w:tcBorders>
              <w:top w:val="single" w:color="000000" w:sz="4" w:space="0"/>
              <w:left w:val="single" w:color="000000" w:sz="4" w:space="0"/>
              <w:bottom w:val="non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200万+400万25倍臻全彩枪球一体机_DC12V</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全景采用1个F1.0大光圈全彩镜头，可输出90°大场景画面</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支持多种智能资源切换：【全景】Smart事件；【细节】全抓拍、道路监控、Smart事件</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支持AR功能，摄像机的实时视频画面中添加最多500个AR标签，且可实现标签与标签联动的功能</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适用于城市道路、路口、路段、广场、操场、服务区、停车场、景区、江面、湖面等</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Smart事件：支持全景路对设定区域进行布防，当检测到目标时联动细节摄像机对目标进行跟踪及报警，实现周界布防，全景Smart事件检测距离50米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内置喇叭，支持声光警戒，报警联动白光闪烁报警和声音报警，声音内容可选</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全抓拍：细节支持人、非机动车、车辆混行检测，可同时对人、非机动车、车辆进行抓拍并可对车牌识别提取</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道路监控：细节支持车辆检测（支持车牌识别，车型/车身颜色/车牌颜色识别）和混行检测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细节采用高效红外阵列补光，照射距离最远可达200m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全景采用暖白光补光，补光距离30m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支持点击全景画面联动特写镜头，手动跟踪运动目标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支持GB35114 A级安全加密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IP67; 6000V 防雷、防浪涌、防突波，符合GB/T17626.2/3/4/5/6四级标准。其他说明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50</w:t>
            </w:r>
            <w:r/>
          </w:p>
        </w:tc>
      </w:tr>
      <w:tr>
        <w:trPr>
          <w:trHeight w:val="540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non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传感器类型：【全景】1/1.8" Progressive Scan CMOS，【细节】1/2.8" Progressive Scan CMOS</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最低照度：【全景】彩色：0.0005 Lux @（F1.0，AGC ON）【细节】彩色:0.005 Lux @ (F1.6, AGC ON)</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黑白:0.001 Lux @ (F1.6, AGC ON) ，0 Lux with IR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焦距：【全景】4 mm；【细节】4.8-120mm，25倍光学变倍</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视场角：【全景】90；【细节】H:55.01-2.73</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V:31.53-1.55</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D:62.39-3.1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补光灯距离：【全景】30 m；【细节】200 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SD卡扩展：内置Micro SD卡插槽,支持Micro SD/Micro SDHC/Micro SDXC卡,最大支持512GB</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报警：2路报警输入 1路报警输出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音频：1路音频输入，1路音频输出；音频峰值：2~2.4 V[p-p]，输入阻抗：1 kΩ ± 10%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恢复出厂设置：支持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电源：12V| 5A</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除雾：支持</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网页客户端语言：中文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功耗：最大功耗：54 W（其中【全景】补光灯3.6 W；【细节】补光灯8.8 W）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防护：IP67；6000 V防雷、防浪涌、防突波，符合GB/T17626.2/3/4/5/6四级标准。其他说明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7779"/>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人脸枪型摄像机</w:t>
            </w:r>
            <w:r/>
          </w:p>
        </w:tc>
        <w:tc>
          <w:tcPr>
            <w:shd w:val="clear" w:color="auto" w:fill="auto"/>
            <w:tcBorders>
              <w:top w:val="single" w:color="000000" w:sz="4" w:space="0"/>
              <w:left w:val="single" w:color="000000" w:sz="4" w:space="0"/>
              <w:bottom w:val="non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网络摄像机用深度学习算法，以海量图片及视频资源为路基，通过机器自身提取目标特征，形成深层可供学习的图像。极大的提升了算法的检出率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支持智能资源模式切换：人脸抓拍、道路监控、Smart事件、人数统计、热度图</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人脸抓拍模式：支持对运动人脸进行检测、抓拍，最多同时检测30张，支持快速抓拍模式和优选抓拍模式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Smar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人数统计模式：a)人员统计：支持实时报警，人数变化报警和拥堵等级变化报警，并支持人数异常和停留时间异常报警，b)异常行为识别：支持离岗检测，以及在离岗检测报警，c)区域关注度：支持区域人数检测、停留时长检测、实时数据上传，并支持区域人数分析和队列状态分析展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设备内置电动变焦镜头，操作便易，变焦过程平稳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设备内置2个麦克风，内置1个扬声器</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支持标准的512 GB MicroSD/MicroSDHC/MicroSDXC卡存储，支持10 M/100 M自适应网口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最高分辨率可达400万像素，并在此分辨率下可输出60 fps实时图像，图像更流畅，支持透雾、电子防抖，支持宽动态120 dB，</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37</w:t>
            </w:r>
            <w:r/>
          </w:p>
        </w:tc>
      </w:tr>
      <w:tr>
        <w:trPr>
          <w:trHeight w:val="500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non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音频：2路输入，1路输出；报警：3路输入，2路输出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支持开放型网络视频接口，ISAPI，GB/T28181-2016，OTAP，ISUP5.0，视图库</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支持三码流技术，支持同时20路取流</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支持三级用户权限管理，支持授权的用户和密码，支持IP地址过滤</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防护等级：IP67</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宽动态：120 dB</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焦距&amp;视场角：2.7~13.5 mm：水平视场角：107.3°~39.8°，垂直视场角：55.9°~22.3°，对角视场角：129.9°~45.7°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补光灯类型：鳞镜补光，默认红外850 nm，可切换至暖白光，4颗灯珠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补光距离：红外普通监控：50 m，人脸抓拍/识别：7 m；白光普通监控：30 m，人脸抓拍/识别：5 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供电方式：DC：12 V ± 20%，支持防反接保护</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PoE：802.3at，Type 2，Class 4</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电源接口类型：3芯接口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防护：IP67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728"/>
        </w:trPr>
        <w:tc>
          <w:tcPr>
            <w:gridSpan w:val="3"/>
            <w:shd w:val="clear" w:color="auto" w:fill="auto"/>
            <w:tcBorders>
              <w:top w:val="single" w:color="000000" w:sz="4" w:space="0"/>
              <w:left w:val="single" w:color="000000" w:sz="4" w:space="0"/>
              <w:bottom w:val="single" w:color="000000" w:sz="4" w:space="0"/>
              <w:right w:val="single" w:color="000000" w:sz="4" w:space="0"/>
            </w:tcBorders>
            <w:tcW w:w="811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2、其他及配套材料</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6071"/>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监控立杆（含横臂）</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主杆杆体材料为镀锌锥形八角钢，高度3.5m,上口径≥127mm，下口径≥127mm，主杆壁厚度≥3mm，横臂1-2m，梢径≥60mm，根径≥60mm，厚度≥2mm，立杆连接选用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2.杆体与法兰连接处采用双面焊接,外焊加强筋，杆件应一次成型；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3.热镀锌喷塑灰色，杆体表面全部热浸镀锌（要求双面镀锌）,构件热镀锌之前必须进行酸洗除锈，锌层厚度不小于90μm,偏差应小于10µｍ，表面无发黑、粗糙、流痕、锌粒、锌渣现象；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4.支持定制化喷漆，根据业主需求喷涂或粘贴防撞反光条；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5.外表面采用室外耐候性纯聚酯粉末，经高压静电喷涂，要求表面颜色一致、光滑、无微粒、无桔皮现象，塑层平均厚度在70µｍ以上，无粉化、脱落、剥离现象；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6.锌层厚度大于80微米，喷塑厚度大于100微米；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7.杆件设计抗风能力45米/秒(抗风能力≥14级)，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8.立杆抗震设防烈度为≥7度设计；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9.要求横臂末端承重不小于25Kg；</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10.地笼采用4-M20X800高强度螺栓，表面热镀锌处理，采用双螺母自锁方式锁紧，螺丝、螺母等配件必须使用镀锌材料，并做防锈处理；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11.上法兰尺寸：250*250mm，厚度≥8mm，下法兰尺寸：350mm×350mm，厚度≥12mm及法兰盘。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20</w:t>
            </w:r>
            <w:r/>
          </w:p>
        </w:tc>
      </w:tr>
      <w:tr>
        <w:trPr>
          <w:trHeight w:val="5441"/>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监控立杆（含横臂）</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主杆杆体材料为镀锌锥形八角钢，高度6.5m,上口径≥127mm，下口径≥127mm，主杆壁厚度≥3mm，横臂1-2m，梢径≥60mm，根径≥60mm，厚度≥2mm，立杆连接选用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2.杆体与法兰连接处采用双面焊接,外焊加强筋，杆件应一次成型；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3.热镀锌喷塑灰色，杆体表面全部热浸镀锌（要求双面镀锌）,构件热镀锌之前必须进行酸洗除锈，锌层厚度不小于90μm,偏差应小于10µｍ，表面无发黑、粗糙、流痕、锌粒、锌渣现象；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4.支持定制化喷漆，根据业主需求喷涂或粘贴防撞反光条；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5.外表面采用室外耐候性纯聚酯粉末，经高压静电喷涂，要求表面颜色一致、光滑、无微粒、无桔皮现象，塑层平均厚度在70µｍ以上，无粉化、脱落、剥离现象；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6.锌层厚度大于80微米，喷塑厚度大于100微米；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7.杆件设计抗风能力45米/秒(抗风能力≥14级)，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8.立杆抗震设防烈度为≥7度设计；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9.要求横臂末端承重不小于25Kg；</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10.地笼采用4-M20X800高强度螺栓，表面热镀锌处理，采用双螺母自锁方式锁紧，螺丝、螺母等配件必须使用镀锌材料，并做防锈处理；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11.上法兰尺寸：250*250mm，厚度≥8mm，下法兰尺寸：350mm×350mm，厚度≥12mm及法兰盘。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18</w:t>
            </w:r>
            <w:r/>
          </w:p>
        </w:tc>
      </w:tr>
      <w:tr>
        <w:trPr>
          <w:trHeight w:val="533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监控立杆（含横臂）</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主杆杆体材料为镀锌锥形十二角钢，高度25.0m,上口径≥280mm，下口径≥580mm，主杆壁厚度≥6/6/8mm，横臂0.5m，梢径≥60mm，根径≥60mm，厚度≥3mm，立杆连接选用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2.杆体与法兰连接处采用双面焊接,外焊加强筋，杆件应一次成型；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3.热镀锌喷塑白色，杆体表面全部热浸镀锌（要求双面镀锌）,构件热镀锌之前必须进行酸洗除锈，锌层厚度不小于90μm,偏差应小于10µｍ，表面无发黑、粗糙、流痕、锌粒、锌渣现象；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4.支持定制化喷漆，根据业主需求喷涂或粘贴防撞反光条；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5.外表面采用室外耐候性纯聚酯粉末，经高压静电喷涂，要求表面颜色一致、光滑、无微粒、无桔皮现象，塑层平均厚度在70µｍ以上，无粉化、脱落、剥离现象；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6.锌层厚度大于80微米，喷塑厚度大于100微米；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7.杆件设计抗风能力45米/秒(抗风能力≥14级)，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8.立杆抗震设防烈度为≥7度设计；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9.要求横臂末端承重不小于25Kg；</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10.地笼采用4-M20X800高强度螺栓，表面热镀锌处理，采用双螺母自锁方式锁紧，螺丝、螺母等配件必须使用镀锌材料，并做防锈处理；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11.下法兰尺寸：φ850mm，厚度≥25mm及法兰盘；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抱杆横臂</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横臂1.5米-2米，含不锈钢且喷塑抱箍，无单独立杆处摄像机安装于其他物体(墙壁、灯杆等)，根据实际情况定制的支架，借件安装（含供电等杆件），自行协调。</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11</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基础（1000mm×1000mm×1400mm），C25混凝土，满足公安社会面监控标准。含市政、绿化、园林及政府相关部门费用，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38</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基础（2200mm×2200mm×2200mm），12个2000mm长M36钢筋绑扎，牙长120mm，C25混凝土，满足公安社会面监控标准。含市政、绿化、园林及政府相关部门费用。（详见25米监控塔图纸）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35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手井由水泥砖结构制成；</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尺寸：450mm*450mm*500mm；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井盖由水泥砂石结构制成。（井盖上注有“盐南公安”标识）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38</w:t>
            </w:r>
            <w:r/>
          </w:p>
        </w:tc>
      </w:tr>
      <w:tr>
        <w:trPr>
          <w:trHeight w:val="95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防雷与接地</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根据公安标准，接地电阻不大于4欧姆，采用Ф50毫米的钢管或50×50×5mm的角钢作为接地极，同时用镀锌扁钢把接地极焊接形成接地网的一部分，再此接地网与法兰盘进行焊接。</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抱杆设备箱</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规格：设备箱具备防雨、防尘、通风散热、抗紫外线（耐老化）、防盗、防锈；箱体具有明显标识；箱体采用≥1.2mm镀锌钢板，箱体尺寸≥400(宽)*550(高)*220(深)mm，箱体颜色需经采购方确认；</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工作环境：监控箱工作温度范围-55℃～85℃，防护等级IP65，工作湿度≤90%RH，工作电压范围AC145～AC275V，外壳防护等级≥IP65.设备通过盐雾检测，盐雾环境：浓度：（5±0.1)%,温度：（35±2）℃；喷雾时间：每隔45min喷雾15min,共96h；盐雾沉降量：1.0ml/h.80cm²-2.0ml/h.80cm²，试验后样板表面无黄斑且不生锈；</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集中供电功能：内置1个32A空开，不少于3个五口国标插座，防雷保护模块：220V电源防雷;最大通流容量：40kA,标称通流容量：20kA,电压保护水平：≤1.7kV ;  五位接地铜排.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86</w:t>
            </w:r>
            <w:r/>
          </w:p>
        </w:tc>
      </w:tr>
      <w:tr>
        <w:trPr>
          <w:trHeight w:val="1992"/>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网络电源二合一防雷器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1、RJ45接口网络防雷器；</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2、要求采用串联式结构设计，具有多级保护功能；</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3、信号部分要求采用电子开关接地方式，能有效消除因共地而对传输信号产生的各种干扰；</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4、220V 20A防雷模块；</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5、NPE型的防雷模块，适用于不同电网制式，保护更全面；</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6、高雷电通流能力，ns级相应速度；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7、网络接口防雷模块接口数量≥1个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8、功能通过检测。</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86</w:t>
            </w:r>
            <w:r/>
          </w:p>
        </w:tc>
      </w:tr>
      <w:tr>
        <w:trPr>
          <w:trHeight w:val="728"/>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光纤终端盒</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4口、国标，满足现场使用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86</w:t>
            </w:r>
            <w:r/>
          </w:p>
        </w:tc>
      </w:tr>
      <w:tr>
        <w:trPr>
          <w:trHeight w:val="156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支持8个10/100/1000Base-X电口，交换容量16G，全线速转发，MAC地址4K，卡轨式波纹型材机壳，尺寸150mm*107.5mm*38mm，双电源冗余输入，5.08mm工业端子电源接口，供电范围DC12V~57V，IP40保护等级，符合EMC工业四级要求，工作温度-40~85℃；</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符合EMC工业四级设计，波纹板机壳，IP40防护等级，低功耗无风扇设计，卡轨式安装；</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KI05防撞等级。</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86</w:t>
            </w:r>
            <w:r/>
          </w:p>
        </w:tc>
      </w:tr>
      <w:tr>
        <w:trPr>
          <w:trHeight w:val="59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链路</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包含新建链路所需全部费用及租赁运营商通讯链路（包含三年链路使用费且不低于百兆带宽，链路使用费自项目验收合格之日起计算三年）</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86</w: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国标，主电缆RVV2*1.5、分支线缆RVV2*1.0、室外超五类防水网线</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53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施工恢复</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埋设管道：（1）部位:绿化带、人行道下（含路面破除恢复）；（2）材质: PE32管；（3）敷设方式:地埋敷设，以及现场破坏后恢复；土石方开挖和清运</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728"/>
        </w:trPr>
        <w:tc>
          <w:tcPr>
            <w:gridSpan w:val="3"/>
            <w:shd w:val="clear" w:color="auto" w:fill="auto"/>
            <w:tcBorders>
              <w:top w:val="single" w:color="000000" w:sz="4" w:space="0"/>
              <w:left w:val="single" w:color="000000" w:sz="4" w:space="0"/>
              <w:bottom w:val="single" w:color="000000" w:sz="4" w:space="0"/>
              <w:right w:val="single" w:color="000000" w:sz="4" w:space="0"/>
            </w:tcBorders>
            <w:tcW w:w="811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三、伍佑前端建设点位清单</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728"/>
        </w:trPr>
        <w:tc>
          <w:tcPr>
            <w:gridSpan w:val="3"/>
            <w:shd w:val="clear" w:color="auto" w:fill="auto"/>
            <w:tcBorders>
              <w:top w:val="single" w:color="000000" w:sz="4" w:space="0"/>
              <w:left w:val="single" w:color="000000" w:sz="4" w:space="0"/>
              <w:bottom w:val="single" w:color="000000" w:sz="4" w:space="0"/>
              <w:right w:val="single" w:color="000000" w:sz="4" w:space="0"/>
            </w:tcBorders>
            <w:tcW w:w="811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1、前端监控设备</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双目相机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1、设备双镜头均采用不低于400万像素1/1.8英寸CMOS图像传感器，内置GPU芯片；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2、双通道分辨率均不低于2688×1520；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3、最低照度：彩色：0.001Lux，黑白：0.0001Lux；</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4、内置不少于6颗混合补光灯；</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5、双通道均支持电动变焦，镜头焦距：8mm~32mm；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6、双通道均支持机动车、非机动车、人脸、人员等目标的抓拍和属性识别；</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7、支持绊线入侵、区域入侵、物品遗留、快速移动、停车检测、人员聚集、物品搬移、徘徊检测等行为分析；</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8、两路通道均支持独立电动云台控制，通道1支持水平：0°~355°旋转；垂直:-5°~30°旋转；通道2垂直：-5°~30°旋转,水平-13°～13°旋转；</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9、可通过IE浏览器自定义旋转角度,可一键调节云台至设置的角度；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10、支持人脸检测、跟踪、优选、抓拍、上报最优的人脸抓图；</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可对目标(行人、非动车、机动车)进行跟踪,并显示抓拍图片，可将人脸与人体、车牌与车辆、非机动车与车牌、非机动车人脸与车牌、非机动车人体与车牌进行关联显示;交持实时分析并显示目标(行人、非动车、机动车)属性信息;可将属性信息叠加在抓拍的图片上；</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12、在IE浏览器下,具有交通拥堵、卡口、非机动车逆行、有车占道等设置选项；</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13、内置扬声器和双MIC；</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14、支持3路报警输入，2路报警输出，2路音频输入，1路音频输出；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15、支持IP67防护等级；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16、支持DC12V供电方式；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17、支持GB35114 A级加密。其他说明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90</w:t>
            </w:r>
            <w:r/>
          </w:p>
        </w:tc>
      </w:tr>
      <w:tr>
        <w:trPr>
          <w:trHeight w:val="6357"/>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1、设备采用三镜头一体化设计，通道1采用不低于800万像素1/1.2英寸CMOS图像传感器，通道2和通道3采用不低于400万像素1/1.8英寸CMOS图像传感器，内置GPU芯片；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2、最大分辨率不低于3840×2160；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3、最低照度：0.001Lux（彩色模式）；0.0001Lux（黑白模式）；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4、设备内置12颗混合补光灯，支持白光和混合补光模式。在白光模式下，只开启白光灯；在混合补光模式下，可开启白光灯和红外灯;补光灯强度可调节；</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5、支持机动车、非机动车、人脸、人员等目标的抓拍和属性识别；</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6、支持正向/背向行驶车辆抓拍，支持车牌、车牌颜色、车标、车系、车身颜色、车辆类型；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7、支持人脸检测、跟踪、优选、抓拍、上报最优的人脸抓图；</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8、设备的细节摄像机2可通过电动控制实现光路轴向土15°的旋转,实现图像矫正,保持图像水平；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9、具有景深扩展模式选项,在相同图像参数、光圈设置的情况下,开启景深扩展功能,可使设备景深变大,使前后边缘处看到的景象更清晰,开启景深扩展功能,可使设备景深纵深至最大化50m；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10、在手动分区补光模式下,可手动调节视频画面8个区域的补光强度；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11、内置扬声器和双MIC；</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12、支持3路报警输入，2路报警输出，2路音频输入，1路音频输出；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13、支持玻璃加热；</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14、支持IP67防护等级；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15、支持DC12V供电方式；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16、支持GB35114 A级加密。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18</w:t>
            </w:r>
            <w:r/>
          </w:p>
        </w:tc>
      </w:tr>
      <w:tr>
        <w:trPr>
          <w:trHeight w:val="7301"/>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四目相机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1、设备由2个全景摄像机和2个细节摄像机组成，2路全景采用不低于400万像素1/1.8英寸CMOS传感器，2路细节采用不低于800万像素1/1.2英寸CMOS传感器，内置4个算力共为20TOPS的GPU芯片；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2、全景最大分辨率不低于2688×1520，细节最大分辨率不低于3840×2160；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3、最低照度：彩色：0.0005lux，黑白：0.0001lux；</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4、内置不少于10颗补光灯；</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5、两路细节焦距≥60mm，全景焦距≥4mm；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5、双通道均支持视频结构化抓拍，可同时对监视区域内不同运动方向的行人、非机动车、机动车进行监视、跟踪、筛选、框选提示并抓拍存储图片；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6、支持机动车抓拍、机动车属性提取，支持非机动车抓拍、非机动车属性提取，支持人体抓拍、人体属性提取，支持人脸抓拍、人脸属性提取，支持机非人数量统计；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7、支持绊线入侵、区域入侵、穿越围栏、徘徊、物品遗留、物品搬移、快速移动、停车、人员聚集检测；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8、设备不少于2个云台，云台支持水平方向：0°-180°；垂直方向：-5° - 30°旋转；</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9、支持人脸检测、优选、抓拍、上报最优的人脸抓图；</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10、内置2个麦克风、1个扬声器；</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11、内置水平尺；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12、设备支持双边摄像机互为180°角度进行监控；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13、具有1个RJ45网络接口、2路音频输入、1路音频输出、3路报警输入、2路报警输出、1个RS485接口、1个模拟视频CVBS输出接口、1个复位按钮、1个SD卡槽；</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14、支持DC36V/AC24V/POE供电；</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15、支持IP67防护等级；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16、支持GB35114 A级加密。其他说明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14</w:t>
            </w:r>
            <w:r/>
          </w:p>
        </w:tc>
      </w:tr>
      <w:tr>
        <w:trPr>
          <w:trHeight w:val="6065"/>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枪球结构化</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枪球联动摄像机集合定点看全景、动点看细节的优势，采用一体化设计，由双镜头相机与高性能GPU模块组成</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支持人员自动检测并联动动点镜头进行快速锁定抓拍，提供满足人脸比对的图片，并进行人体人脸关联</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人体最远检测距离可达40米，人脸最远检测距离可达30米，车辆最远检测距离15米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支持智能资源模式切换：【全景】全结构化；【细节】全结构化，混合目标比对</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全结构化模式</w:t>
            </w:r>
            <w:r>
              <w:rPr>
                <w:rFonts w:hint="eastAsia" w:ascii="宋体" w:hAnsi="宋体" w:eastAsia="宋体" w:cs="宋体"/>
                <w:b w:val="0"/>
                <w:bCs w:val="0"/>
                <w:color w:val="auto"/>
                <w:sz w:val="20"/>
                <w:szCs w:val="20"/>
                <w:lang w:val="en-US" w:eastAsia="zh-CN"/>
              </w:rPr>
              <w:t xml:space="preserve">：a)抓拍人脸：支持性别、年龄、年龄段、戴眼镜、戴口罩、表情、戴帽子等7种属性识别；b)抓拍人体：支持运动方向、上衣颜色、下装颜色、性别、戴眼镜、背包、拎东西、戴帽子、戴口罩、发型、上衣类型、下装类型等12种属性识别；c)抓拍非机动车：支持上衣颜色、下装颜色、性别、戴眼镜、年龄段、背包、拎东西、戴帽子、戴口罩、发型、上衣类型、下装类型、非机动车类型、车牌号码、车牌颜色、帽子款式、逆行、载人等18种属性识别；d)抓拍机动车：支持车牌识别并抓拍，支持车身颜色、车辆类型、车辆类型、车牌颜色、车牌类型等6种属性识别</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支持GB35114安全加密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焦距：【全景】定焦6 mm，【细节】13 mm~52 mm，4倍光学变倍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红外照射距离：暖白补光，【全景】50 m监控；【细节】30 m人脸</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主码流帧率分辨率：50 Hz：25 fps（2688×1520，2560 × 1440，1920 × 1080，1280 × 960，1280 × 720）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60 Hz：30 fps（2688×1520，2560 × 1440，1920 × 1080，1280 × 960，1280 × 720）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SD卡扩展：内置Micro SD卡插槽;最大支持512GB</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报警输入：1路报警输入</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音频输入：1路音频输入，音频峰值：2-2.4V[p-p]，输入阻抗：1 kΩ±10%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供电方式：DC：36 V ± 25%</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工作温湿度：-40℃-70℃；湿度小于90%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除雾：加热除雾。其他说明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w:t>
            </w:r>
            <w:r/>
          </w:p>
        </w:tc>
      </w:tr>
      <w:tr>
        <w:trPr>
          <w:trHeight w:val="7351"/>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人脸枪型摄像机</w:t>
            </w:r>
            <w:r/>
          </w:p>
        </w:tc>
        <w:tc>
          <w:tcPr>
            <w:shd w:val="clear" w:color="auto" w:fill="auto"/>
            <w:tcBorders>
              <w:top w:val="single" w:color="000000" w:sz="4" w:space="0"/>
              <w:left w:val="single" w:color="000000" w:sz="4" w:space="0"/>
              <w:bottom w:val="non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网络摄像机用深度学习算法，以海量图片及视频资源为路基，通过机器自身提取目标特征，形成深层可供学习的图像。极大的提升了算法的检出率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支持智能资源模式切换：人脸抓拍、道路监控、Smart事件、人数统计、热度图</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人脸抓拍模式：支持对运动人脸进行检测、抓拍，最多同时检测30张，支持快速抓拍模式和优选抓拍模式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Smar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人数统计模式：a)人员统计：支持实时报警，人数变化报警和拥堵等级变化报警，并支持人数异常和停留时间异常报警，b)异常行为识别：支持离岗检测，以及在离岗检测报警，c)区域关注度：支持区域人数检测、停留时长检测、实时数据上传，并支持区域人数分析和队列状态分析展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设备内置电动变焦镜头，操作便易，变焦过程平稳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设备内置2个麦克风，内置1个扬声器</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支持标准的512 GB MicroSD/MicroSDHC/MicroSDXC卡存储，支持10 M/100 M自适应网口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最高分辨率可达400万像素，并在此分辨率下可输出60 fps实时图像，图像更流畅，支持透雾、电子防抖，支持宽动态120 dB</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w:t>
            </w:r>
            <w:r/>
          </w:p>
        </w:tc>
      </w:tr>
      <w:tr>
        <w:trPr>
          <w:trHeight w:val="5151"/>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non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音频：2路输入，1路输出；报警：3路输入，2路输出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支持开放型网络视频接口，ISAPI，GB/T28181-2016，OTAP，ISUP5.0，视图库</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支持三码流技术，支持同时20路取流</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支持三级用户权限管理，支持授权的用户和密码，支持IP地址过滤</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防护等级：IP67</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宽动态：120 dB</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焦距&amp;视场角：2.7~13.5 mm：水平视场角：107.3°~39.8°，垂直视场角：55.9°~22.3°，对角视场角：129.9°~45.7°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补光灯类型：鳞镜补光，默认红外850 nm，可切换至暖白光，4颗灯珠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补光距离：红外普通监控：50 m，人脸抓拍/识别：7 m；白光普通监控：30 m，人脸抓拍/识别：5 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供电方式：DC：12 V ± 20%，支持防反接保护</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PoE：802.3at，Type 2，Class 4</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电源接口类型：3芯接口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防护：IP67。其他说明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7552"/>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1600万180° 无盲区球型鹰眼，全景采用4个F1.0大光圈全彩镜头拼接而成，可输出180°大场景拼接画面</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全景画面可支持关注区域畸变矫正，细节内置40倍变焦镜头</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全景智能：Smart事件、人员密度、车辆拥堵；细节智能：全结构化、Smart事件、普通监控（高帧率）；更好助力平安城市公共安全管理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4个1/1.8＂ 4MP Progressive Scan CMOS，最高分辨率及帧率可达6072x2640@30fps</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视场角：水平180°，垂直110°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细节摄像机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1/1.8＂ 4MP Progressive Scan CMOS，最高分辨率及帧率可达2688x1520@30fps</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星光级超低照度，0.0005Lux/F1.2（彩色），0.0001Lux/F1.2（黑白），0 Lux with IR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40倍光学变倍，16倍数字变倍</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水平360°连续旋转，垂直-15°-90°（自动翻转）</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采用高效红外阵列，低功耗，照射距离最远可达300m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支持点击联动功能，通过在客户端点击或者框选全景摄像机画面任意位置，细节跟踪摄像机可自动通过云台调整与变焦，将该区域置于画面中心。</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支持目标自动跟踪功能，通过设置智能事件规则，对设定区域内触发事件的运动目标在设定的跟踪时间内进行持续稳定跟踪。并可在跟踪过程中手动切换跟踪目标</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支持手动选择跟踪目标，在设定跟踪时间内进行持续稳定跟踪</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光口（FC）+电口(RJ-45)网络接口设计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支持GB35114A级安全加密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支持北斗卫星定位。其他说明 ：由投标人自行考虑现场接电，在接电过程中涉及的所有费用（含所需开户、挂表、架杆等），必须符合供电规范，三年服务期。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w:t>
            </w:r>
            <w:r/>
          </w:p>
        </w:tc>
      </w:tr>
      <w:tr>
        <w:trPr>
          <w:trHeight w:val="728"/>
        </w:trPr>
        <w:tc>
          <w:tcPr>
            <w:gridSpan w:val="3"/>
            <w:shd w:val="clear" w:color="auto" w:fill="auto"/>
            <w:tcBorders>
              <w:top w:val="single" w:color="000000" w:sz="4" w:space="0"/>
              <w:left w:val="single" w:color="000000" w:sz="4" w:space="0"/>
              <w:bottom w:val="single" w:color="000000" w:sz="4" w:space="0"/>
              <w:right w:val="single" w:color="000000" w:sz="4" w:space="0"/>
            </w:tcBorders>
            <w:tcW w:w="811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2、其他及配套材料</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监控立杆（含横臂）</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主杆杆体材料为镀锌锥形八角钢，高度3.5m,上口径≥127mm，下口径≥127mm，主杆壁厚度≥3mm，横臂1-2m，梢径≥60mm，根径≥60mm，厚度≥2mm，立杆连接选用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2.杆体与法兰连接处采用双面焊接,外焊加强筋，杆件应一次成型；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3.热镀锌喷塑灰色，杆体表面全部热浸镀锌（要求双面镀锌）,构件热镀锌之前必须进行酸洗除锈，锌层厚度不小于90μm,偏差应小于10µｍ，表面无发黑、粗糙、流痕、锌粒、锌渣现象；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4.支持定制化喷漆，根据业主需求喷涂或粘贴防撞反光条；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5.外表面采用室外耐候性纯聚酯粉末，经高压静电喷涂，要求表面颜色一致、光滑、无微粒、无桔皮现象，塑层平均厚度在70µｍ以上，无粉化、脱落、剥离现象；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6.锌层厚度大于80微米，喷塑厚度大于100微米；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7.杆件设计抗风能力45米/秒(抗风能力≥14级)，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8.立杆抗震设防烈度为≥7度设计；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9.要求横臂末端承重不小于25Kg；</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10.地笼采用4-M20X800高强度螺栓，表面热镀锌处理，采用双螺母自锁方式锁紧，螺丝、螺母等配件必须使用镀锌材料，并做防锈处理；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11.上法兰尺寸：250*250mm，厚度≥8mm，下法兰尺寸：350mm×350mm，厚度≥12mm及法兰盘。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56</w:t>
            </w:r>
            <w:r/>
          </w:p>
        </w:tc>
      </w:tr>
      <w:tr>
        <w:trPr>
          <w:trHeight w:val="1511"/>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监控立杆（含横臂）</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主杆杆体材料为镀锌锥形八角钢，高度6.5m,上口径≥127mm，下口径≥127mm，主杆壁厚度≥3mm，横臂1-2m，梢径≥60mm，根径≥60mm，厚度≥2mm，立杆连接选用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2.杆体与法兰连接处采用双面焊接,外焊加强筋，杆件应一次成型；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3.热镀锌喷塑灰色，杆体表面全部热浸镀锌（要求双面镀锌）,构件热镀锌之前必须进行酸洗除锈，锌层厚度不小于90μm,偏差应小于10µｍ，表面无发黑、粗糙、流痕、锌粒、锌渣现象；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4.支持定制化喷漆，根据业主需求喷涂或粘贴防撞反光条；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5.外表面采用室外耐候性纯聚酯粉末，经高压静电喷涂，要求表面颜色一致、光滑、无微粒、无桔皮现象，塑层平均厚度在70µｍ以上，无粉化、脱落、剥离现象；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6.锌层厚度大于80微米，喷塑厚度大于100微米；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7.杆件设计抗风能力45米/秒(抗风能力≥14级)，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8.立杆抗震设防烈度为≥7度设计；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9.要求横臂末端承重不小于25Kg；</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10.地笼采用4-M20X800高强度螺栓，表面热镀锌处理，采用双螺母自锁方式锁紧，螺丝、螺母等配件必须使用镀锌材料，并做防锈处理；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11.上法兰尺寸：250*250mm，厚度≥8mm，下法兰尺寸：350mm×350mm，厚度≥12mm及法兰盘。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45</w:t>
            </w:r>
            <w:r/>
          </w:p>
        </w:tc>
      </w:tr>
      <w:tr>
        <w:trPr>
          <w:trHeight w:val="83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抱杆横臂</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横臂1.5米-2米，含不锈钢且喷塑抱箍，无单独立杆处摄像机安装于其他物体(墙壁、灯杆等)，根据实际情况定制的支架，借件安装（含供电等杆件），自行协调。</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34</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基础（1000mm×1000mm×1400mm），C25混凝土，满足公安社会面监控标准。含市政、绿化、园林及政府相关部门费用，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101</w:t>
            </w:r>
            <w:r/>
          </w:p>
        </w:tc>
      </w:tr>
      <w:tr>
        <w:trPr>
          <w:trHeight w:val="819"/>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手井由水泥砖结构制成；</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尺寸：450mm*450mm*500mm；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井盖由水泥砂石结构制成。（井盖上注有“盐南公安”标识）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101</w:t>
            </w:r>
            <w:r/>
          </w:p>
        </w:tc>
      </w:tr>
      <w:tr>
        <w:trPr>
          <w:trHeight w:val="80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防雷与接地</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根据公安标准，接地电阻不大于4欧姆，采用Ф50毫米的钢管或50×50×5mm的角钢作为接地极，同时用镀锌扁钢把接地极焊接形成接地网的一部分，再此接地网与法兰盘进行焊接。</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101</w:t>
            </w:r>
            <w:r/>
          </w:p>
        </w:tc>
      </w:tr>
      <w:tr>
        <w:trPr>
          <w:trHeight w:val="3477"/>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抱杆设备箱</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规格：设备箱具备防雨、防尘、通风散热、抗紫外线（耐老化）、防盗、防锈；箱体具有明显标识；箱体采用≥1.2mm镀锌钢板，箱体尺寸≥400(宽)*550(高)*220(深)mm，箱体颜色需经采购方确认；</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工作环境：监控箱工作温度范围-55℃～85℃，防护等级IP65，工作湿度≤90%RH，工作电压范围AC145～AC275V，外壳防护等级≥IP65.设备通过盐雾检测，盐雾环境：浓度：（5±0.1)%,温度：（35±2）℃；喷雾时间：每隔45min喷雾15min,共96h；盐雾沉降量：1.0ml/h.80cm²-2.0ml/h.80cm²，试验后样板表面无黄斑且不生锈；</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集中供电功能：内置1个32A空开，不少于3个五口国标插座，防雷保护模块：220V电源防雷；最大通流容量：40kA,标称通流容量：20kA,电压保护水平：≤1.7kV；五位接地铜排。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135</w:t>
            </w:r>
            <w:r/>
          </w:p>
        </w:tc>
      </w:tr>
      <w:tr>
        <w:trPr>
          <w:trHeight w:val="2472"/>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网络电源二合一防雷器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1、RJ45接口网络防雷器；</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2、要求采用串联式结构设计，具有多级保护功能；</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3、信号部分要求采用电子开关接地方式，能有效消除因共地而对传输信号产生的各种干扰；</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4、220V 20A防雷模块；</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5、NPE型的防雷模块，适用于不同电网制式，保护更全面；</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6、高雷电通流能力，ns级相应速度；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7、网络接口防雷模块接口数量≥1个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8、功能通过检测。</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135</w:t>
            </w:r>
            <w:r/>
          </w:p>
        </w:tc>
      </w:tr>
      <w:tr>
        <w:trPr>
          <w:trHeight w:val="728"/>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光纤终端盒</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4口、国标，满足现场使用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135</w:t>
            </w:r>
            <w:r/>
          </w:p>
        </w:tc>
      </w:tr>
      <w:tr>
        <w:trPr>
          <w:trHeight w:val="1309"/>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支持8个10/100/1000Base-X电口，交换容量16G，全线速转发，MAC地址4K，卡轨式波纹型材机壳，尺寸150mm*107.5mm*38mm，双电源冗余输入，5.08mm工业端子电源接口，供电范围DC12V~57V，IP40保护等级，符合EMC工业四级要求，工作温度-40~85℃；</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符合EMC工业四级设计，波纹板机壳，IP40防护等级，低功耗无风扇设计，卡轨式安装；</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KI05防撞等级。</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135</w:t>
            </w:r>
            <w:r/>
          </w:p>
        </w:tc>
      </w:tr>
      <w:tr>
        <w:trPr>
          <w:trHeight w:val="77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链路</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包含新建链路所需全部费用及租赁运营商通讯链路（包含三年链路使用费且不低于百兆带宽，链路使用费自项目验收合格之日起计算三年）</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135</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国标，主电缆RVV2*1.5、分支线缆RVV2*1.0、室外超五类防水网线</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121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施工恢复</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埋设管道：（1）部位:绿化带、人行道下（含路面破除恢复）；（2）材质: PE32管；（3）敷设方式:地埋敷设，以及现场破坏后恢复；土石方开挖和清运</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bl>
    <w:p>
      <w:pPr>
        <w:keepLines w:val="0"/>
        <w:keepNext w:val="0"/>
        <w:pageBreakBefore w:val="0"/>
        <w:spacing w:before="157" w:after="157"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keepLines w:val="0"/>
        <w:keepNext w:val="0"/>
        <w:pageBreakBefore w:val="0"/>
        <w:spacing w:before="157" w:after="157"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公寓智慧管控</w:t>
      </w:r>
      <w:r/>
    </w:p>
    <w:tbl>
      <w:tblPr>
        <w:tblStyle w:val="739"/>
        <w:tblW w:w="973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1"/>
        <w:gridCol w:w="1260"/>
        <w:gridCol w:w="6405"/>
        <w:gridCol w:w="735"/>
        <w:gridCol w:w="630"/>
      </w:tblGrid>
      <w:tr>
        <w:trPr>
          <w:trHeight w:val="1109"/>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数量</w:t>
            </w:r>
            <w:r/>
          </w:p>
        </w:tc>
      </w:tr>
      <w:tr>
        <w:trPr>
          <w:trHeight w:val="90"/>
        </w:trPr>
        <w:tc>
          <w:tcPr>
            <w:gridSpan w:val="5"/>
            <w:shd w:val="clear" w:color="auto" w:fill="auto"/>
            <w:tcBorders>
              <w:top w:val="single" w:color="000000" w:sz="4" w:space="0"/>
              <w:left w:val="single" w:color="000000" w:sz="4" w:space="0"/>
              <w:bottom w:val="single" w:color="000000" w:sz="4" w:space="0"/>
              <w:right w:val="none" w:color="000000" w:sz="4" w:space="0"/>
            </w:tcBorders>
            <w:tcW w:w="973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1、宝龙公寓（1号+2号楼）5-24层，每层4个全彩半球+2个人脸半球</w:t>
            </w:r>
            <w:r/>
          </w:p>
        </w:tc>
      </w:tr>
      <w:tr>
        <w:trPr>
          <w:trHeight w:val="685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人脸半球</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具有不小于1/1.8"靶面尺寸。像元尺寸不小于2.9um×2.9um。内置2个麦克风、1个扬声器。支持MD5、SHA256加密算法。</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最低照度彩色不大于0.0002 lx，黑白不大于0.0001 lx。宽动态能力不小于120dB。红外补光距离不小于50米。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需支持三码流技术，主码流最高2560x1440@25fps，子码流704x576@25fps，第三码流最大分辨率为1920x1080@25fps。</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信噪比不小于58dB。</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周界防范功能，当区域入侵、越界侦测、进入区域、离开区域报警布防开启后，出现行人、非机动车、机动车目标时能触发报警，当检测区域中篮球滚动、小狗移动、树叶晃动及光线明暗变化时不会触发报警。（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支持侧脸过滤功能，可过滤上下、左右角度达到预设值的人脸。</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采用金属外壳。需支持IK10防暴等级。需支持IP67防护等级。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需支持本地SD卡存储，最大支持128G。具有1个RJ45网络接口，2路音频输入，1路音频输出，3路报警输入，2路报警输出，1个RS485接口，1个DC12V输出接口。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固件安全检验功能，摄像机uboot应采用加密存储，通过离线烧写存储器方式写入的uboot执行程序，不能被硬件微引导程序加载执行。（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在IE浏览器下，具有设备重启和布防动态报警数据感知与记录功能，布防动态报警数据包括异常掉线、历史布防、实时布防3种类型；可记录报警的开始时间、结束时间、布防类型、报警链路地址、端口、链路续传。（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★支持通过IE浏览器设置登录超时时间，当登录后无操作时长达到设置阈值后，设备自动退出并重新进入登录界面。（提供国家认可的第三方检测机构出具的检测报告复印件并加盖投标人公章）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80</w:t>
            </w:r>
            <w:r/>
          </w:p>
        </w:tc>
      </w:tr>
      <w:tr>
        <w:trPr>
          <w:trHeight w:val="4398"/>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400万高清全彩半球</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400万全彩海螺型网络摄像机，采用全彩级高灵敏度传感器，F1.0超大光圈镜头，最高分辨率可达400万像素，并在此分辨率下可输出25 fps实时图像，提供更清晰与流畅的视频流输入</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支持区域入侵侦测，越界侦测，进入区域侦测，离开区域侦测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支持背光补偿，强光抑制，3D数字降噪，120 dB宽动态，适应不同环境</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支持柔光灯补光，照射距离最远可达30 m</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支持1个RJ45 10 M/100 M自适应以太网口，1个内置麦克风</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符合IP67防尘防水设计，可靠性高</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传感器类型：1/1.8" Progressive Scan CMOS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最低照度：彩色：0.0005 Lux</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宽动态：120 dB</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调节角度：水平：0°~360°，垂直：0°~75°，旋转：0°~360°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补光灯类型：柔光灯</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防补光过曝：支持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最大图像尺寸：2560 × 1440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视频压缩标准：主码流：H.265/H.264，支持超级智能编码</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供电方式：DC：12 V ± 25%，支持防反接保护</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PoE：IEEE 802.3af，CLASS 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160</w:t>
            </w:r>
            <w:r/>
          </w:p>
        </w:tc>
      </w:tr>
      <w:tr>
        <w:trPr>
          <w:trHeight w:val="742"/>
        </w:trPr>
        <w:tc>
          <w:tcPr>
            <w:gridSpan w:val="5"/>
            <w:shd w:val="clear" w:color="auto" w:fill="auto"/>
            <w:tcBorders>
              <w:top w:val="single" w:color="000000" w:sz="4" w:space="0"/>
              <w:left w:val="single" w:color="000000" w:sz="4" w:space="0"/>
              <w:bottom w:val="single" w:color="000000" w:sz="4" w:space="0"/>
              <w:right w:val="none" w:color="000000" w:sz="4" w:space="0"/>
            </w:tcBorders>
            <w:tcW w:w="973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2、魔力月光-北楼（4-23层，每层8个频次统计相机+2个人脸半球，24-25层，6个频次统计相机+2个人脸半球）</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数量</w:t>
            </w:r>
            <w:r/>
          </w:p>
        </w:tc>
      </w:tr>
      <w:tr>
        <w:trPr>
          <w:trHeight w:val="5994"/>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进出门频次分析半球</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分辨率设置为1920×1080@30fps，分辨力不小于1100TVL。均具有不小于1/2.7"靶面尺寸，内置1个麦克风，具有1个RJ45网口，1个报警输入接口，1个报警输出接口，1个音频输入接口，1个音频输出接口，1个SD卡卡槽，采用AC220V转DC12V电源适配器或POE供电</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★光圈大小为F1.0（提供国家认可的第三方检测机构出具的检测报告复印件并加盖投标人公章）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最低照度彩色：0.0005 lx，黑白:0.0001 lx，最大亮度鉴别等级（灰度等级）不小于11级。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两路通道需支持三码流技术，通道1：主码流最高≥1920x1080@25fps；子码流≥704x480@25fps；第三码流最高≥1920x1080@25fps。通道2：主码流最高≥1920x1080@25fps；子码流≥704x480@25fps；第三码流最高≥1920x1080@25fps（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通道1：水平视场角≥61.8°，垂直视场角≥32.9°；通道2：水平视场角≥106.1°，垂直视场角≥56.8°</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★夜间白光灯开启，可识别至少30米处人体（提供国家认可的第三方检测机构出具的检测报告复印件并加盖投标人公章）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支持H.264、H.265、MJPEG视频编码格式，且具有High Profile编码能力。同一场景相同图像质量下，设备在H.264或H.265编码方式时，开启智能编码功能和不开启智能编码相比，码率节约80%。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★需具备智能分析抗干扰功能，当篮球、小狗、树摇晃等情况经过检测区域时，不会触发报警。（提供国家认可的第三方检测机构出具的检测报告复印件并加盖投标人公章）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不低于IP67防尘防水等级。射频电磁场辐射抗扰度应符合GB/T 17626.3-2006中试验等级3的规定。传导骚扰极限值应符合GB/T 9254-2008中等级A的规定辐射骚扰限值应符合GB/T 9254-2008中等级A的规定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172</w:t>
            </w:r>
            <w:r/>
          </w:p>
        </w:tc>
      </w:tr>
      <w:tr>
        <w:trPr>
          <w:trHeight w:val="1297"/>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人脸半球</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具有不小于1/1.8"靶面尺寸。像元尺寸不小于2.9um×2.9um。内置2个麦克风、1个扬声器。支持MD5、SHA256加密算法。</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最低照度彩色不大于0.0002 lx，黑白不大于0.0001 lx。宽动态能力不小于120dB。红外补光距离不小于50米。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需支持三码流技术，主码流最高2560x1440@25fps，子码流704x576@25fps，第三码流最大分辨率为1920x1080@25fps。</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信噪比不小于58dB。</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周界防范功能，当区域入侵、越界侦测、进入区域、离开区域报警布防开启后，出现行人、非机动车、机动车目标时能触发报警，当检测区域中篮球滚动、小狗移动、树叶晃动及光线明暗变化时不会触发报警。（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支持侧脸过滤功能，可过滤上下、左右角度达到预设值的人脸。</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采用金属外壳。需支持IK10防暴等级。需支持IP67防护等级。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需支持本地SD卡存储，最大支持128G。具有1个RJ45网络接口，2路音频输入，1路音频输出，3路报警输入，2路报警输出，1个RS485接口，1个DC12V输出接口。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固件安全检验功能，摄像机uboot应采用加密存储，通过离线烧写存储器方式写入的uboot执行程序，不能被硬件微引导程序加载执行。（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在IE浏览器下，具有设备重启和布防动态报警数据感知与记录功能，布防动态报警数据包括异常掉线、历史布防、实时布防3种类型；可记录报警的开始时间、结束时间、布防类型、报警链路地址、端口、链路续传。（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★支持通过IE浏览器设置登录超时时间，当登录后无操作时长达到设置阈值后，设备自动退出并重新进入登录界面。（提供国家认可的第三方检测机构出具的检测报告复印件并加盖投标人公章）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44</w:t>
            </w:r>
            <w:r/>
          </w:p>
        </w:tc>
      </w:tr>
      <w:tr>
        <w:trPr>
          <w:trHeight w:val="742"/>
        </w:trPr>
        <w:tc>
          <w:tcPr>
            <w:gridSpan w:val="5"/>
            <w:shd w:val="clear" w:color="auto" w:fill="auto"/>
            <w:tcBorders>
              <w:top w:val="single" w:color="000000" w:sz="4" w:space="0"/>
              <w:left w:val="single" w:color="000000" w:sz="4" w:space="0"/>
              <w:bottom w:val="single" w:color="000000" w:sz="4" w:space="0"/>
              <w:right w:val="none" w:color="000000" w:sz="4" w:space="0"/>
            </w:tcBorders>
            <w:tcW w:w="973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3、魔力月光-南楼（8-23层，每层8个频次统计相机+2个人脸半球，24层，6个频次统计相机+2个人脸半球）</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数量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进出门频次分析半球</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分辨率设置为1920×1080@30fps，分辨力不小于1100TVL。均具有不小于1/2.7"靶面尺寸，内置1个麦克风，具有1个RJ45网口，1个报警输入接口，1个报警输出接口，1个音频输入接口，1个音频输出接口，1个SD卡卡槽，采用AC220V转DC12V电源适配器或POE供电</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★光圈大小为F1.0（提供国家认可的第三方检测机构出具的检测报告复印件并加盖投标人公章）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最低照度彩色：0.0005 lx，黑白:0.0001 lx，最大亮度鉴别等级（灰度等级）不小于11级。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两路通道需支持三码流技术，通道1：主码流最高≥1920x1080@25fps；子码流≥704x480@25fps；第三码流最高≥1920x1080@25fps。通道2：主码流最高≥1920x1080@25fps；子码流≥704x480@25fps；第三码流最高≥1920x1080@25fps（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通道1：水平视场角≥61.8°，垂直视场角≥32.9°；通道2：水平视场角≥106.1°，垂直视场角≥56.8°</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★夜间白光灯开启，可识别至少30米处人体（提供国家认可的第三方检测机构出具的检测报告复印件并加盖投标人公章）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支持H.264、H.265、MJPEG视频编码格式，且具有High Profile编码能力。同一场景相同图像质量下，设备在H.264或H.265编码方式时，开启智能编码功能和不开启智能编码相比，码率节约80%。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★需具备智能分析抗干扰功能，当篮球、小狗、树摇晃等情况经过检测区域时，不会触发报警。（提供国家认可的第三方检测机构出具的检测报告复印件并加盖投标人公章）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不低于IP67防尘防水等级。射频电磁场辐射抗扰度应符合GB/T 17626.3-2006中试验等级3的规定。传导骚扰极限值应符合GB/T 9254-2008中等级A的规定辐射骚扰限值应符合GB/T 9254-2008中等级A的规定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134</w:t>
            </w:r>
            <w:r/>
          </w:p>
        </w:tc>
      </w:tr>
      <w:tr>
        <w:trPr>
          <w:trHeight w:val="689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人脸半球</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具有不小于1/1.8"靶面尺寸。像元尺寸不小于2.9um×2.9um。内置2个麦克风、1个扬声器。支持MD5、SHA256加密算法。</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最低照度彩色不大于0.0002 lx，黑白不大于0.0001 lx。宽动态能力不小于120dB。红外补光距离不小于50米。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需支持三码流技术，主码流最高2560x1440@25fps，子码流704x576@25fps，第三码流最大分辨率为1920x1080@25fps。</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信噪比不小于58dB。</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周界防范功能，当区域入侵、越界侦测、进入区域、离开区域报警布防开启后，出现行人、非机动车、机动车目标时能触发报警，当检测区域中篮球滚动、小狗移动、树叶晃动及光线明暗变化时不会触发报警。（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支持侧脸过滤功能，可过滤上下、左右角度达到预设值的人脸。</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采用金属外壳。需支持IK10防暴等级。需支持IP67防护等级。</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需支持本地SD卡存储，最大支持128G。具有1个RJ45网络接口，2路音频输入，1路音频输出，3路报警输入，2路报警输出，1个RS485接口，1个DC12V输出接口。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固件安全检验功能，摄像机uboot应采用加密存储，通过离线烧写存储器方式写入的uboot执行程序，不能被硬件微引导程序加载执行。（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在IE浏览器下，具有设备重启和布防动态报警数据感知与记录功能，布防动态报警数据包括异常掉线、历史布防、实时布防3种类型；可记录报警的开始时间、结束时间、布防类型、报警链路地址、端口、链路续传。（提供国家认可的第三方检测机构出具的检测报告复印件并加盖投标人公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★支持通过IE浏览器设置登录超时时间，当登录后无操作时长达到设置阈值后，设备自动退出并重新进入登录界面。（提供国家认可的第三方检测机构出具的检测报告复印件并加盖投标人公章）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34</w:t>
            </w:r>
            <w:r/>
          </w:p>
        </w:tc>
      </w:tr>
      <w:tr>
        <w:trPr>
          <w:trHeight w:val="522"/>
        </w:trPr>
        <w:tc>
          <w:tcPr>
            <w:gridSpan w:val="5"/>
            <w:shd w:val="clear" w:color="auto" w:fill="auto"/>
            <w:tcBorders>
              <w:top w:val="single" w:color="000000" w:sz="4" w:space="0"/>
              <w:left w:val="single" w:color="000000" w:sz="4" w:space="0"/>
              <w:bottom w:val="single" w:color="000000" w:sz="4" w:space="0"/>
              <w:right w:val="none" w:color="000000" w:sz="4" w:space="0"/>
            </w:tcBorders>
            <w:tcW w:w="973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后端设备</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数量</w:t>
            </w:r>
            <w:r/>
          </w:p>
        </w:tc>
      </w:tr>
      <w:tr>
        <w:trPr>
          <w:trHeight w:val="142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移动工作站</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cpu：不低于 i7 13代；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内存：不低于16G 第五代;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硬盘：不低于1TB 固态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屏幕刷新率：不低于165HZ、屏幕色域100%RGB;</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显卡：不低于 4060-8G DDR6；</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USB-A接口数量不低于3个；</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USB-C接口数量不低于1个；</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显示端口HDMI 接口数量不低于1个。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w:t>
            </w:r>
            <w:r/>
          </w:p>
        </w:tc>
      </w:tr>
      <w:tr>
        <w:trPr>
          <w:trHeight w:val="1045"/>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移动工作站</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cpu：不低于 Ultra 1代；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内存：不低于16G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硬盘：不低于1TB 固态 ;</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屏幕刷新率：不低于120HZ屏幕色域100%RGB;</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屏幕类型：不低于OLED;</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USB-A接口数量不低于2个；</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USB-C接口数量不低于1个；</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显示端口HDMI 接口数量不低于1个。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链路</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包含新建链路所需全部费用及租赁运营商通讯链路（包含三年链路使用费且不低于百兆带宽，链路使用费自项目验收合格之日起计算三年）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79</w:t>
            </w:r>
            <w:r/>
          </w:p>
        </w:tc>
      </w:tr>
      <w:tr>
        <w:trPr>
          <w:trHeight w:val="3518"/>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提供16个百兆PoE电口，1个千兆电口，1个千兆光电复用口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交换容量：7.2 Gbps</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包转发率：5.36 Mpps</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支持IEEE 802.3at/af</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端口最大供电功率：30 W</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整机最大供电功率：130 W</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支持IEEE 802.3、IEEE 802.3u、IEEE 802.3x</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支持红口保障，高优先级端口（红口）：端口1~8</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支持最远250 m传输，远距离传输端口：端口 9~16</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支持6 KV防浪涌（PoE口）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支持POE输出功率管理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线速转发、无阻塞设计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存储转发交换方式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坚固式高强度金属外壳</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安装方式：机架式（1U高，19英寸宽）</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工作温度：0℃~45℃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79</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壁装机柜</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400mm*600mm*500mm壁装机柜（含断路器和三个五孔插排）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79</w:t>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管线</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超五类网线、2*1.0电源线、20pvc管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4349"/>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公寓管控模块</w:t>
            </w:r>
            <w:r/>
          </w:p>
        </w:tc>
        <w:tc>
          <w:tcPr>
            <w:shd w:val="clear" w:color="auto" w:fill="auto"/>
            <w:tcBorders>
              <w:top w:val="none" w:color="000000" w:sz="4" w:space="0"/>
              <w:left w:val="none" w:color="000000" w:sz="4" w:space="0"/>
              <w:bottom w:val="none" w:color="000000" w:sz="4" w:space="0"/>
              <w:right w:val="non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房间出入人员抓拍</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支持按照房间号、是否关注房间、标签、时间范围、楼幢、单元、楼层、置信度查询人员进出记录；</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展示全部房间抓拍情况，以房间的人员进出记录时间顺序展示，包括进入时间、进出状态、进出照片、事件分析的置信度信息；</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支持展示公寓中各房间人员进出记录，包括进出时间、进出状态、进出照片、事件分析的置信度信息；</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支持按照日期倒序排列单个房间的人员进出记录，支持按照倒序排列每个房间每天的人员进出记录；</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支持创建人员进出记录数据导出任务，支持查看已创建的导出任务并支持下载和删除导出文件。</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抓拍详情查看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对房间人员进出的抓拍，支持查看大图详情。</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支持查看抓拍详情大图及房间号、进出时间、进/出状态、置信度信息；</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支持快速切换前后抓拍图片详情；</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支持同一房间的其他进出抓拍图缩略展示。</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抓拍关联视频查看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根据录像计划进行录像，查看存储在本地、中心的录像文件，方便回溯监控录像画面，展示房间人员进出时抓拍的图片，并关联预览人员进出前后视频片段。</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支持大图切换为录像回放，查看事件点前后10s的录像；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支持开启连续播放视频能力，自动切换事件回放，进行查看；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录像回放支持查看时间轴播放位置，支持手动调整时间轴播放位置；</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支持对应进出关联录像的下载。</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686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none" w:color="000000" w:sz="4" w:space="0"/>
              <w:left w:val="none" w:color="000000" w:sz="4" w:space="0"/>
              <w:bottom w:val="single" w:color="000000" w:sz="4" w:space="0"/>
              <w:right w:val="non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异常预警查看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系统根据配置的异常房间规则，对房间进出人员频次进行分析，超过规则的房间即产生异常预警；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支持预警类型分为频繁出入、频繁夜间出入两种预警模式；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支持按照公寓楼进行筛选查询预警信息；</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支持按照时间维度（当日、近两天、近三天）展示单个房间频繁出入异常预警；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支持按照日期维度展示单个房间频繁夜间出入异常预警；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支持按照列表方式展示历史所有房间频繁出入异常预警和频繁夜间出入异常预警。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投标人所投公寓管控应用系统须与盐南分局现有视频联网平台无缝对接，对接过程中产生的额外费用有投标人自行承担。</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异常预警详情查看</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支持查看单个房间预警详情，并可查看现场抓拍图及对应的进出录像；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支持显示单个房间频繁出入预警时间段内的进出抓拍次数统计，并且可以在时间轴上展示所有进入记录的时间点，进而判断房间人员进出的密集度；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支持显示单个房间频繁夜间出入预警每日的进出抓拍次数统计。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房间布控预警</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支持布控指定房间的人员进出，实现对人员进出该房间的实时弹窗提醒；</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支持查看已布控房间列表；</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支持查看单个已布控房间的人员进出频次，点击后可查看房间出入详情，可查看所有进出记录和对应的进出录像。</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应用配置</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应用配置是实现公寓异常房间监测与管控的基础配置，包括预警规则配置、频次夜间出入规则配置、房间标签管理。</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频繁出入规则：按照n小时内出入房间大于m次；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频繁夜间出入规则：近n天的x-y时段内出入大于m天；</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房间标签管理：自定义设置“网约房”“住家户”“商户”等标签；</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r>
    </w:tbl>
    <w:p>
      <w:pPr>
        <w:keepLines w:val="0"/>
        <w:keepNext w:val="0"/>
        <w:pageBreakBefore w:val="0"/>
        <w:spacing w:before="157" w:after="157"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行业网联网平台及备件采购</w:t>
      </w:r>
      <w:r/>
    </w:p>
    <w:tbl>
      <w:tblPr>
        <w:tblStyle w:val="739"/>
        <w:tblW w:w="97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1"/>
        <w:gridCol w:w="1260"/>
        <w:gridCol w:w="6405"/>
        <w:gridCol w:w="735"/>
        <w:gridCol w:w="696"/>
      </w:tblGrid>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ind w:left="0" w:right="0" w:firstLine="0"/>
              <w:jc w:val="cente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数量</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797"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行业网视频联网平台</w:t>
            </w:r>
            <w:r/>
          </w:p>
        </w:tc>
      </w:tr>
      <w:tr>
        <w:trPr>
          <w:trHeight w:val="1777"/>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行业网视频联网平台</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提供系统业务应用依赖的基础资源，包括用户管理、权限管理、部门管理、门户管理，统一管理了组织、权限、用户、物联设备等资源，并提供门户、录像计划等配置能力，支持按照场所或单位类目以及来源建立“一单位一档、一场所一档”，能够标注接入方式、运维单位、联系方式等要素并进行点位集合，按照单位或场所的经纬度上图展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142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基于标准协议与外域平台互联互通，支持视频通用标准协议（GB/T28181-2011,GB/T28181-2016,DB33/T629-2011）、以及行业视频标准协议。主要业务功能包括：域间注册与心跳、资源同步、实时预览、录像回放与控制、录像下载、设备控制等。</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142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视频应用提供视频管理服务，支持编码设备通过海康设备网络SDK协议、海康Ehome协议、海康ISUP5.0协议、GB28181协议、ONVIF协议、大华设备网络SDK协议，实现视频预览、录像回放、视频上墙、电子地图、视频事件监控服务能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3307"/>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对接入平台的视频设备进行在线巡检，及时发现故障设备和掉线设备，使运维工作更加高效，便利。支持监控摄像机、编码设备、存储设备、解码设备等物联设备在线状态、工作状态、硬盘状态、指标采集。支持监控点通道的在线状态、录制</w:t>
            </w:r>
            <w:r>
              <w:rPr>
                <w:rFonts w:hint="eastAsia" w:ascii="宋体" w:hAnsi="宋体" w:eastAsia="宋体" w:cs="宋体"/>
                <w:b w:val="0"/>
                <w:bCs w:val="0"/>
                <w:color w:val="auto"/>
                <w:sz w:val="20"/>
                <w:szCs w:val="20"/>
                <w:lang w:val="en-US" w:eastAsia="zh-CN"/>
              </w:rPr>
              <w:t xml:space="preserve">状态、录像完整性、录像保存天数指标检测。支持告警信息统计展现。支持下级联网平台离线时长和情况统计，支持对监控点、编码设备、解码设备、视频综合矩阵、NVR/CVR、云储存的告警阈值进行配置。提供视频运维报表统计能力，能够按日、月、年或自定义时间段输出报表，包含区域综合排名统计、录像完整性统计、录像存储达标统计、在线状态统计、离线时长统计报表。支持巡检计划配置，可以按照类型和资源以及自定义的巡检周期进行巡检计划配置。支持海康SDK、大华SDK、ehome、isup5.0、GB28181、萤石、ISAPI协议等。</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1308"/>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本次建设的视频联网汇聚平台必须考虑与盐城市公安局、盐南高新区公安分局现有视频联网汇聚平台关系，须与盐城市局现有视频联网汇聚平台无缝对接，满足实际使用需求,对接过程中产生的其他费用由投标人自行承担。</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279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行业网视图数据摆渡服务</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1.支持通过GA/T 1400及扩展协议级联人体、人脸、车辆、设备、车辆违法、非机动车等数据。</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2.支持上下级视图库进行注册、保活，支持查看上下级在线情况。</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3.支持订阅、取消订阅和修改订阅时间。</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4.支持多个下级视图库的联网接入。</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5.支持联网接入多个上级视图库。</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6.支持设置人脸、人体、车辆、非机动车、违法过车等数据的过滤和填充规则，下级视图库根据规则将数据级联到上级视图库。</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7.支持以采集接口方式接收下级推送的采集设备、人脸采集数据、车辆采集数据和人体采集数据。</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2548"/>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视图数据摆渡服务器</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U机架式24盘位网络存</w:t>
            </w:r>
            <w:r>
              <w:rPr>
                <w:rFonts w:hint="eastAsia" w:ascii="宋体" w:hAnsi="宋体" w:eastAsia="宋体" w:cs="宋体"/>
                <w:b w:val="0"/>
                <w:bCs w:val="0"/>
                <w:color w:val="auto"/>
                <w:sz w:val="20"/>
                <w:szCs w:val="20"/>
                <w:lang w:val="en-US" w:eastAsia="zh-CN"/>
              </w:rPr>
              <w:t xml:space="preserve">储设备，搭载64位多核处理器，1+1冗余电源、冗余风扇，实现7×24小时稳定运行。处理器：1颗64位多核处理器，系统内存：16GB，系统盘：1×240GB SSD，存储接口：24个SATA接口，支持硬盘热插拔，已配置24块8TB硬盘，网络接口：4个千兆数据网口，1个千兆管理口，视频性能：最大支持接入500路（最大接入带宽1000Mbps），图片性能：最大支持写250张/秒（单张图片500KB），内置视频云存储软件（含授权），支持视频流、图片流直存 ，支持ONVIF、GB/T 28181、RTSP等标准协议。</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797"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备件采购</w:t>
            </w:r>
            <w:r/>
          </w:p>
        </w:tc>
      </w:tr>
      <w:tr>
        <w:trPr>
          <w:trHeight w:val="3787"/>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移动警务终端</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1、屏幕：尺寸≥6.6英寸，分辨率≥2500 x 1080。</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2、摄像镜头：后置摄像头：最高主摄不低于5000万像素，前置摄像头：不低于1300万像素。</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3、内存：运行内存≥12G，机身内存≥512G，并能支持存储卡进行扩容。</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4、电池：电池容量≥5200mAh，支持不低于66W有线超级快充，支持无线快充。</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5、防尘防水：支持在GB/T 4208-2017（国内）标准下达到 IP68 级防尘抗水能力。</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6、操作系统基于安卓13或国产系统。运行在不同ROM空间，独立运行，完全隔离.</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7、双系统可同时在线，公共APN和专属APN可同时接入、同时在线。</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8、质保：提供不少于1年的终端产品质保。</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30</w:t>
            </w:r>
            <w:r/>
          </w:p>
        </w:tc>
      </w:tr>
      <w:tr>
        <w:trPr>
          <w:trHeight w:val="1028"/>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加密卡</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1、贴膜卡</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2、根据终端机型所配置的加密卡，实现加密业务功能，且必须与盐城现有移动警务系统进行兼容。</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30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原有计算节点内存扩容</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DDR4 32G内存（要求适配分局互联网云计算平台现有机器，含人工改配费用）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80</w:t>
            </w:r>
            <w:r/>
          </w:p>
        </w:tc>
      </w:tr>
      <w:tr>
        <w:trPr>
          <w:trHeight w:val="3317"/>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4G执法记录仪</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1、符合GA/T947.2-2015《单警执法视音频记录系统第2部分：执法记录仪》和GA/T 947.4-2015《单警执法视音频记录系统第4部分：数据接口》。</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2、操作系统为安卓系统11.0或以上，存储容量不低于64G，支持Type-C接口，含流量卡3年。</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3、外形尺寸（背夹、外接设备除外）：应≤120mm×80mm×40mm(长×宽×高)。</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4、无线图传：可接入移动、联通和电信的4G/5G SIM卡，实现无线传输功能，在视频图传分辨率2K条件下，分辨力不低于1200线。</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5、支持国产化定位系统。</w:t>
            </w:r>
            <w:r>
              <w:rPr>
                <w:rFonts w:hint="eastAsia" w:ascii="宋体" w:hAnsi="宋体" w:eastAsia="宋体" w:cs="宋体"/>
                <w:b w:val="0"/>
                <w:bCs w:val="0"/>
                <w:color w:val="auto"/>
                <w:sz w:val="20"/>
                <w:szCs w:val="20"/>
                <w:lang w:val="en-US" w:eastAsia="zh-CN"/>
              </w:rPr>
              <w:br/>
            </w:r>
            <w:r>
              <w:rPr>
                <w:rFonts w:hint="eastAsia" w:ascii="宋体" w:hAnsi="宋体" w:eastAsia="宋体" w:cs="宋体"/>
                <w:b w:val="0"/>
                <w:bCs w:val="0"/>
                <w:color w:val="auto"/>
                <w:sz w:val="20"/>
                <w:szCs w:val="20"/>
                <w:lang w:val="en-US" w:eastAsia="zh-CN"/>
              </w:rPr>
              <w:t xml:space="preserve">7、可无缝接入分局现有执法记录仪指挥调度管理平台系统，对接中所产生的一切沟通事宜、费用均由投标人自行承担。</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keepLines w:val="0"/>
              <w:keepNext w:val="0"/>
              <w:pageBreakBefore w:val="0"/>
              <w:spacing w:before="157" w:after="157" w:line="240" w:lineRule="auto"/>
              <w:widowControl w:val="off"/>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 xml:space="preserve">20</w:t>
            </w:r>
            <w:r/>
          </w:p>
        </w:tc>
      </w:tr>
    </w:tbl>
    <w:p>
      <w:pPr>
        <w:keepLines w:val="0"/>
        <w:keepNext w:val="0"/>
        <w:pageBreakBefore w:val="0"/>
        <w:spacing w:before="157" w:after="157"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r>
      <w:bookmarkEnd w:id="119"/>
      <w:r/>
      <w:r/>
    </w:p>
    <w:p>
      <w:pPr>
        <w:pStyle w:val="762"/>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sectPr>
          <w:headerReference w:type="default" r:id="rId9"/>
          <w:footerReference w:type="default" r:id="rId11"/>
          <w:footnotePr/>
          <w:endnotePr/>
          <w:type w:val="nextPage"/>
          <w:pgSz w:w="11906" w:h="16838" w:orient="portrait"/>
          <w:pgMar w:top="1440" w:right="1083" w:bottom="1440" w:left="1083" w:header="851" w:footer="992" w:gutter="0"/>
          <w:cols w:num="1" w:sep="0" w:space="0" w:equalWidth="1"/>
          <w:docGrid w:linePitch="360"/>
        </w:sectPr>
      </w:pPr>
      <w:r>
        <w:rPr>
          <w:rFonts w:hint="eastAsia" w:asciiTheme="minorEastAsia" w:hAnsiTheme="minorEastAsia" w:eastAsiaTheme="minorEastAsia" w:cstheme="minorEastAsia"/>
          <w:b/>
          <w:bCs/>
          <w:color w:val="auto"/>
          <w:highlight w:val="none"/>
          <w:lang w:val="en-US" w:eastAsia="zh-CN"/>
        </w:rPr>
      </w:r>
      <w:r/>
    </w:p>
    <w:tbl>
      <w:tblPr>
        <w:tblStyle w:val="739"/>
        <w:tblW w:w="217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8"/>
        <w:gridCol w:w="2518"/>
        <w:gridCol w:w="1507"/>
        <w:gridCol w:w="1500"/>
        <w:gridCol w:w="1166"/>
        <w:gridCol w:w="1166"/>
        <w:gridCol w:w="1708"/>
        <w:gridCol w:w="1290"/>
        <w:gridCol w:w="1887"/>
        <w:gridCol w:w="1665"/>
        <w:gridCol w:w="636"/>
        <w:gridCol w:w="979"/>
        <w:gridCol w:w="934"/>
        <w:gridCol w:w="702"/>
        <w:gridCol w:w="702"/>
        <w:gridCol w:w="2814"/>
      </w:tblGrid>
      <w:tr>
        <w:trPr>
          <w:jc w:val="center"/>
          <w:trHeight w:val="760"/>
        </w:trPr>
        <w:tc>
          <w:tcPr>
            <w:gridSpan w:val="16"/>
            <w:shd w:val="clear" w:color="auto" w:fill="auto"/>
            <w:tcBorders>
              <w:top w:val="none" w:color="000000" w:sz="4" w:space="0"/>
              <w:left w:val="none" w:color="000000" w:sz="4" w:space="0"/>
              <w:bottom w:val="none" w:color="000000" w:sz="4" w:space="0"/>
              <w:right w:val="none" w:color="000000" w:sz="4" w:space="0"/>
            </w:tcBorders>
            <w:tcW w:w="21732"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32"/>
                <w:szCs w:val="32"/>
                <w:highlight w:val="none"/>
                <w:lang w:val="en-US" w:eastAsia="zh-CN"/>
              </w:rPr>
              <w:t xml:space="preserve">智慧安防村居补盲点位</w:t>
            </w:r>
            <w:r/>
          </w:p>
        </w:tc>
      </w:tr>
      <w:tr>
        <w:trPr>
          <w:jc w:val="center"/>
          <w:trHeight w:val="596"/>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经度</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纬度</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杆件数量</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杆件高度</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杆件建设类型</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横臂长度</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摄像机类型</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摄像机朝向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摄像机数量</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防水箱</w:t>
            </w:r>
            <w:r/>
          </w:p>
        </w:tc>
        <w:tc>
          <w:tcPr>
            <w:shd w:val="clear" w:color="auto" w:fill="auto"/>
            <w:tcBorders>
              <w:top w:val="single" w:color="000000" w:sz="4" w:space="0"/>
              <w:left w:val="single" w:color="000000" w:sz="4" w:space="0"/>
              <w:bottom w:val="none" w:color="000000" w:sz="4" w:space="0"/>
              <w:right w:val="single" w:color="000000" w:sz="4" w:space="0"/>
            </w:tcBorders>
            <w:tcW w:w="702"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电源</w:t>
            </w:r>
            <w:r/>
          </w:p>
        </w:tc>
        <w:tc>
          <w:tcPr>
            <w:shd w:val="clear" w:color="auto" w:fill="auto"/>
            <w:tcBorders>
              <w:top w:val="single" w:color="000000" w:sz="4" w:space="0"/>
              <w:left w:val="single" w:color="000000" w:sz="4" w:space="0"/>
              <w:bottom w:val="none" w:color="000000" w:sz="4" w:space="0"/>
              <w:right w:val="single" w:color="000000" w:sz="4" w:space="0"/>
            </w:tcBorders>
            <w:tcW w:w="702" w:type="dxa"/>
            <w:vAlign w:val="center"/>
            <w:textDirection w:val="lrTb"/>
            <w:noWrap/>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网络</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tc>
      </w:tr>
      <w:tr>
        <w:trPr>
          <w:jc w:val="center"/>
          <w:trHeight w:val="42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世纪大道和华夏路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120.147543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33.345212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借红绿灯杆件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36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利用云眼三期杆件补盲方向</w:t>
            </w:r>
            <w:r/>
          </w:p>
        </w:tc>
      </w:tr>
      <w:tr>
        <w:trPr>
          <w:jc w:val="center"/>
          <w:trHeight w:val="626"/>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聚亨路和解放路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120.160155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33.338286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36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利旧原有电信社会面监控，拆除替换</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海阔路和解放路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120.170624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33.326254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36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新增球机补向北方向，路口无球机</w:t>
            </w:r>
            <w:r/>
          </w:p>
        </w:tc>
      </w:tr>
      <w:tr>
        <w:trPr>
          <w:jc w:val="center"/>
          <w:trHeight w:val="566"/>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科教路转盘北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120.164159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33.323425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36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新增球机补向西方向，路口有社会面项目球机</w:t>
            </w:r>
            <w:r/>
          </w:p>
        </w:tc>
      </w:tr>
      <w:tr>
        <w:trPr>
          <w:jc w:val="center"/>
          <w:trHeight w:val="81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科教路分叉口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120.165956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33.321899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36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新增球机补其他方向，杆件上只有云眼三期两个普通枪机</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滨河路锦盛豪庭</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120.187689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33.336948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晶曜上东西北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120.183916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33.350689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借红绿灯杆件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西伏河桥西南侧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120.195061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33.348767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借红绿灯杆件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西伏何桥西北侧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120.194668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33.348881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文港南路公交站台</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120.174057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33.367616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文港南路金水湾公交站台</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120.171270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33.371117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借用雪亮工程项目杆件，补方向</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五星路财富广场东南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120.168736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33.376063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34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科教路盐渎路西南朝东北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120.160508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33.328233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 ，南，西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借用社会面项目杆件，该点位未上线</w:t>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日月路福裕路东北角</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120.154315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33.330549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58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永源园</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120.177573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33.350745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借用公交站台租赁项目杆件，补方向</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香苑西园高空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120.178629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33.331213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中海世纪公馆东北角</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120.155421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33.335540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借交警杆件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 ，南，西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重新勘察</w:t>
            </w:r>
            <w:r/>
          </w:p>
        </w:tc>
      </w:tr>
      <w:tr>
        <w:trPr>
          <w:jc w:val="center"/>
          <w:trHeight w:val="47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日月路聚亨路交叉口西南角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120.151808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33.333296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借交警杆件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移到桥西卡口杆件</w:t>
            </w:r>
            <w:r/>
          </w:p>
        </w:tc>
      </w:tr>
      <w:tr>
        <w:trPr>
          <w:jc w:val="center"/>
          <w:trHeight w:val="56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华夏路福裕路交叉口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120.158405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33.333057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借用雪亮工程项目杆件，补方向</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文港路与伏榆路T字路口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120.180231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33.361001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新怡别墅区西侧涵洞2</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120.186472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33.367405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借雪亮工程杆件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382"/>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新怡别墅区西侧涵洞1</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120.184077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33.368700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借限高杆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重新立杆</w:t>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新怡别墅区西侧涵洞</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120.185054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33.369087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借雪亮工程杆件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重新立杆</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海洋路与范公路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120.206561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33.336734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新业别墅大门口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120.190493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33.338601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重新立杆</w:t>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东进三组</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120.203374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33.331485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借用公交站台租赁项目杆件，补方向</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二号小区T字路口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120.183481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33.365435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借交警杆件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重新勘察</w:t>
            </w:r>
            <w:r/>
          </w:p>
        </w:tc>
      </w:tr>
      <w:tr>
        <w:trPr>
          <w:jc w:val="center"/>
          <w:trHeight w:val="79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一号小区中心巷子南侧中间</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120.172754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33.360978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79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一号小区中心巷子北侧中间</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120.172001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33.362058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9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一号小区中心巷与新河路T字路口南侧朝北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120.173837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33.359335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借红绿灯杆件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3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纳海路与人民路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120.187983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33.322191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借用技防城三期项目杆件，补方向</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解放路与纳海路西侧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120.178740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33.317485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胜利路与纳海路东侧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120.184081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33.319785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阅海路与戴庄路西侧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120.188104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33.324452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 ，南，西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铁军路与阅海路东侧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120.192887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33.326370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四目相机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开发大道与通济路西北角人脸</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120.222584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33.309479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福裕小区南区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120.155047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33.328794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福裕小区南区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120.154404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33.327852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福裕小区南区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120.153173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33.327143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福裕小区11</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120.151654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33.328832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福裕小区11</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120.152134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33.329083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福裕小区11</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120.153137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33.329706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福裕小区11</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120.153753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33.330088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福裕小区10</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120.153171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33.330843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福裕小区10</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120.152573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33.331393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福裕小区9</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120.152252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33.332182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福裕小区9</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120.151608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33.332895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福裕小区9</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120.149476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33.331522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 ，南，西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福裕小区8</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120.149999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33.33075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海洋路串场河大桥东侧球机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120.200986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33.333317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28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伍东中路西伏河桥西向东照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120.218750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33.317034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需要对杆件进行修整，并拆除广告灯箱</w:t>
            </w:r>
            <w:r/>
          </w:p>
        </w:tc>
      </w:tr>
      <w:tr>
        <w:trPr>
          <w:jc w:val="center"/>
          <w:trHeight w:val="79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伍东中路西伏河桥西向东照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120.219516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33.317395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锦盛豪庭东区滨河路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120.190473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33.333765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恒大帝景西北区西侧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120.176530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33.348088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盐渎路盐城路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120.161312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33.329388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盐渎路盐城路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120.160836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33.330041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热美公寓一层电梯口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120.181483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33.330643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壁装/吊装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海阔路水元素丁字路口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120.187236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33.334193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财富港北门丁字路口西侧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120.165992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33.321609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借红绿灯抓拍相机杆件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利用云眼三期杆件补盲方向</w:t>
            </w:r>
            <w:r/>
          </w:p>
        </w:tc>
      </w:tr>
      <w:tr>
        <w:trPr>
          <w:jc w:val="center"/>
          <w:trHeight w:val="79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新苑店尚酷电竞技馆门口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120.173176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33.361206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借用雪亮工程项目杆件，补方向</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新怡别墅涵洞东侧电线杆</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120.185363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33.369531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重新立杆</w:t>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开放大道范公路向南100米</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120.212137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33.323172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借用公交站台租赁项目杆件，补方向</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新河嘉园西南角西伏河边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120.181289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33.362797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金地中心东侧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120.177694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33.350415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借用公交站台租赁项目杆件，补方向</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聚龙湖西公交站南5米</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120.159678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33.342296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按照1球两人脸枪改造</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华夏路，世纪大道东侧50米</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120.148139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33.345692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恒大帝景南区35栋楼顶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120.180273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33.345128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金地中心6栋楼顶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120.176747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33.347681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新悦城26栋楼顶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120.193662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33.333182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金融城16号楼高空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120.183247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33.350556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恒大帝景18号楼高空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120.206324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33.337262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中江嘉城</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120.220341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33.312682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四季金辉</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120.196282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33.331703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海棠金茂府</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120.214351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33.301039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花样年华</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120.220250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33.318031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范公路与伏榆路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120.184826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33.364270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新都路小学东北角</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120.170541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33.353057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阳光北路与滨河路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120.168658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33.355212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世纪大道串场河大桥西侧球机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120.164476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33.358984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需要用6.5米杆件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世纪大道串场河大桥东侧球机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120.165285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33.359472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需要用6.5米杆件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伍佑派出所球机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120.223503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33.307051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新建横臂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79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聚亨路串场河大桥东侧球机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120.177383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33.346651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需要用6.5米杆件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盐渎路串场河桥西侧球机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120.179809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33.340813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需要用6.5米杆件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盐渎路串场河桥东侧球机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120.182012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33.341382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需要用6.5米杆件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开放大道与园区路西</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120.235076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33.291661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四目相机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开放大道与园区路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120.235843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33.29179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四目相机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开放大道与新盐路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120.230409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33.297857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开放大道与构港东</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120.242114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33.289923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构港一组与盐通高速铁路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120.23197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33.302497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四目相机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伍东二组</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120.229132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33.317668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伍东中路与南环路南侧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120.22483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33.322678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开放大道与伍东隧道</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120.220072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33.31777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四目相机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伍东村一组大闸河</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120.233966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33.310914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民兵训练基地</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120.242012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33.306274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79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盐南新盐道与雷达部队交界</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120.240333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33.303012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锦绣花园北门东侧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120.224621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33.309959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生生超市</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120.222679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33.309948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四目相机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锦绣花园北门东河边东</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120.19071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33.312534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伍东村村部北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120.199192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33.324508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伍东村三组南环路北侧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120.192056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33.326157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构港村六组</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120.179775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33.271467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伍佑卫生院北侧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120.223188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33.308432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人脸抓拍（洋桥小区）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120.221522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33.310030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枪球结构化</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盐南玉带路串场河边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120.215041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33.306560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盐南串场河珠溪浴室</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120.214309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33.30764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盐南开放大道与顺喜宾馆</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120.223056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33.307784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盐南顺喜宾馆与开放大道</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120.222272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33.307452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盐南新东南路盐通高速铁路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120.220375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33.307951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开放大道中国石油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120.227986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33.299956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公铭路与橡胶厂南侧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120.226299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33.296901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盐南开放大道与公铭路交界口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120.229088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33.298555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盐南老人民路南端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120.218568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33.283650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解放路与伍冈路交界口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120.202244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33.285337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79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盐南解放路与伍冈路交界口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120.202289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33.285476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盐南解放路南端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120.203777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33.283679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伍佑西路与湖滨路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120.210929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33.299469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盐南龙湖美墅</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120.228883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33.299909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盐洛高速与伍冈路南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120.198693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33.280564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枪球结构化</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盐南武林生产河桥</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120.225913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33.255347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借公安杆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利用云眼三期杆件补盲方向</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盐南武林高产河桥</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120.212485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33.255428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借公安杆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枪球结构化</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利用云眼三期杆件补盲方向</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盐南宏心村五组</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120.226104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33.264506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盐南宏心大干河桥</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120.230466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33.259997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方舱医院东</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120.214036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33.277202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枪球结构化</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富民路与宏心五组交界</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120.223743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33.266713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盐南宏心九组告诉往南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120.236195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33.282325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珠溪路与永民路交界</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120225023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33.282096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借公安杆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枪球结构化</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盐南永明8组</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120.219718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33.278619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盐南大干河东与伍西交界</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120.215822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33.276297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借公安杆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枪球结构化</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盐南公荡九组与亭湖交界</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120.211115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33.238857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借公安杆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公荡村公汤大队</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120.19673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33.247672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严家七组</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120.188292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33.249947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四目相机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严家公墓西南角</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120.185028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33.247661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严家公墓西头</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120.181571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33.251437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严家公墓停车场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120.183321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33.252907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球机照停车场，结构化照东，西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壹书邻里北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120.227335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33.307675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西，东北路口</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壹书邻里 伍佑港桥</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120.228337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33.307429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枪机往南，球机照东北路口</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伍佑港与新场线交界</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120.231706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33.309023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东，西北路口</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秋实路与玉棠路交界西</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120.210483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33.301824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结构化往北，球机往南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秋实路与玉棠路交界东</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120.210623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33.302001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结构化往北，球机往南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黄巷四组与开放大道交界</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120.2629E</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33.2675N</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盐南黄巷村居委会</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120.2607E</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33.2693N</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借公安杆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142</w:t>
            </w:r>
            <w:r/>
          </w:p>
        </w:tc>
        <w:tc>
          <w:tcPr>
            <w:shd w:val="clear" w:color="auto" w:fill="auto"/>
            <w:tcBorders>
              <w:top w:val="single" w:color="000000" w:sz="4" w:space="0"/>
              <w:left w:val="single" w:color="000000" w:sz="4" w:space="0"/>
              <w:bottom w:val="non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盐南黄巷四组与开放大道</w:t>
            </w:r>
            <w:r/>
          </w:p>
        </w:tc>
        <w:tc>
          <w:tcPr>
            <w:shd w:val="clear" w:color="auto" w:fill="auto"/>
            <w:tcBorders>
              <w:top w:val="single" w:color="000000" w:sz="4" w:space="0"/>
              <w:left w:val="single" w:color="000000" w:sz="4" w:space="0"/>
              <w:bottom w:val="non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120.2626E</w:t>
            </w:r>
            <w:r/>
          </w:p>
        </w:tc>
        <w:tc>
          <w:tcPr>
            <w:shd w:val="clear" w:color="auto" w:fill="auto"/>
            <w:tcBorders>
              <w:top w:val="single" w:color="000000" w:sz="4" w:space="0"/>
              <w:left w:val="single" w:color="000000" w:sz="4" w:space="0"/>
              <w:bottom w:val="non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33.2672N</w:t>
            </w:r>
            <w:r/>
          </w:p>
        </w:tc>
        <w:tc>
          <w:tcPr>
            <w:shd w:val="clear" w:color="auto" w:fill="auto"/>
            <w:tcBorders>
              <w:top w:val="single" w:color="000000" w:sz="4" w:space="0"/>
              <w:left w:val="single" w:color="000000" w:sz="4" w:space="0"/>
              <w:bottom w:val="non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non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借公安杆</w:t>
            </w:r>
            <w:r/>
          </w:p>
        </w:tc>
        <w:tc>
          <w:tcPr>
            <w:shd w:val="clear" w:color="auto" w:fill="auto"/>
            <w:tcBorders>
              <w:top w:val="single" w:color="000000" w:sz="4" w:space="0"/>
              <w:left w:val="single" w:color="000000" w:sz="4" w:space="0"/>
              <w:bottom w:val="non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借臂</w:t>
            </w:r>
            <w:r/>
          </w:p>
        </w:tc>
        <w:tc>
          <w:tcPr>
            <w:shd w:val="clear" w:color="auto" w:fill="auto"/>
            <w:tcBorders>
              <w:top w:val="single" w:color="000000" w:sz="4" w:space="0"/>
              <w:left w:val="single" w:color="000000" w:sz="4" w:space="0"/>
              <w:bottom w:val="non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non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民主社区居委会</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120.218598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33.301138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枪球结构化</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西北方向照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堂子巷南端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120.219182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33.299951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non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冶匠巷南端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120.217337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33.299983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西，北，球机往东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韦家巷南端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120.217856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33.30028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一个北，一个照东边巷口</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野鸡巷南端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120.216843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33.300124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往北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串场河南端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120.215863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33.300252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野鸡巷中段</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120.216442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33.30093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冶匠巷中段</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120.216941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33.301098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韦家巷中段</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120.217539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33.301166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卫前巷中段</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120.217915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33.301151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冶匠巷棋牌室</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120.217244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33.300498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富民巷停车场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120.218058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33.301520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南，球机照停车场</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伍佑消防站门口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120.225206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33.304184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公铭路北端与东包厂东钉子路口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120.224602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33.301855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龙王滩停车场西侧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120.222943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33.302444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白虎桥东侧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120.221321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33.301419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铁绳桥停车场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120.220616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33.299516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经贸学院对面马路西</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120.226226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33.302068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照西北方向佳家小厨门口</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南海流量经济港南侧楼西南角</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120.211429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33.292892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高空定制支架</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照西南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南海流量经济港北侧楼东北角</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120.212679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33.294146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高空定制支架</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照东北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珠溪铭苑16号楼顶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120.220991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33.286581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高空定制支架</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照北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永明悦来府16号楼顶西北角</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120.218793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33.286369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高空定制支架</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高空全景相机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照西北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福兴7组与西环路交界</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120.194979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33.264521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 借公安杆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福兴7组</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120.193555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33.263677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福兴7组与富民路交界</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120.192476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33.262939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福兴7组永严河桥西侧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120.191463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33.260295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福兴7组严家团结河北机耕桥东侧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120.188316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33.258359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 借公安杆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福兴7组与新204交界路口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120.185286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33.256218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福兴8组蟹塘东侧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120.179598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33.252748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福兴3组老村部西侧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120.195418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33.243054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新长线东侧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120.228601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33.312482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伍东村一组农庄河桥北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120.229880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33.316809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南，球机往北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伍东村2组花木场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120.226170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33.321135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 借公安杆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球机往东南照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伍佑派出所南侧伍佑中学公交站台北侧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120.223922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33.306198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伍佑中学东门口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120.223182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33.304752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枪球结构化</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玉带路与北街交叉口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120.218657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33.305916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球机北，枪机东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玉带路与场曙巷岔口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120.218785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33.303319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球机照东南，枪机照东北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联瑞巷10号门口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120.217584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33.303498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人脸枪型摄像机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球机往北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虹桥路27号门口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120.216052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33.303086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球机往西，枪机往东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玉带路与邮局机房交叉处</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120.218941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33.302631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育才路30号门口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120.218269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33.302534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北街34号门口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120.219213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33.303353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滩子边3#公厕</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120.219964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33.304823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借电线杆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1米抱杆装横臂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谭正江西侧路口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120.2528273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33.27429322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枪机往西，球机往东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187</w:t>
            </w:r>
            <w:r/>
          </w:p>
        </w:tc>
        <w:tc>
          <w:tcPr>
            <w:shd w:val="clear" w:color="auto" w:fill="auto"/>
            <w:tcBorders>
              <w:top w:val="non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公路西河与排污河交界处</w:t>
            </w:r>
            <w:r/>
          </w:p>
        </w:tc>
        <w:tc>
          <w:tcPr>
            <w:shd w:val="clear" w:color="auto" w:fill="auto"/>
            <w:tcBorders>
              <w:top w:val="non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120.2513536</w:t>
            </w:r>
            <w:r/>
          </w:p>
        </w:tc>
        <w:tc>
          <w:tcPr>
            <w:shd w:val="clear" w:color="auto" w:fill="auto"/>
            <w:tcBorders>
              <w:top w:val="non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33.2761467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两个枪机一个球机东西北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开放大道与草莓园交界处北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120.2492034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33.27782191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 </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草莓园南入口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120.2485339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33.27455673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一个球机南，一个枪机朝北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343国道与旅游公路交界处</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120.2458008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33.27673476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343国道与开放大道交界处</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120.2487993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33.27892109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易腐垃圾处理站</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120.2490593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33.28254576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黄港二组铁路涵洞</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120.2509704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33.28382077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黄港二组东伏河东农庄路杨存义门口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120.2571939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33.28424322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二组赵迎东门口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120.2577118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33.28455678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王国存屋后</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120.2596735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33.28140883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排涝河闸口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120.2626929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33.28305567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一组涵洞</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120.2573433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33.27907346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柏汉松十字路口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120.2538979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33.27699799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陈书华门口</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120.2629956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33.27305182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水产黄水河桥北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120.2658965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33.27542461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伍佑水产村部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120.2665898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33.27632731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四组王秋明门口</w:t>
            </w:r>
            <w:r/>
          </w:p>
        </w:tc>
        <w:tc>
          <w:tcPr>
            <w:shd w:val="clear" w:color="auto" w:fill="auto"/>
            <w:tcBorders>
              <w:top w:val="none" w:color="000000" w:sz="4" w:space="0"/>
              <w:left w:val="none" w:color="000000" w:sz="4" w:space="0"/>
              <w:bottom w:val="none" w:color="000000" w:sz="4" w:space="0"/>
              <w:right w:val="non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120.262253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33.26742575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胜利河北与生产河北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120.2582624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33.26426605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旅游公路驿站南</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120.2472803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33.27393363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经贸高级职业学校</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120.2257368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33.30326087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高港村六组水厂西侧</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120.2449315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33.29968189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构港伍龙河桥</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120.2422408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33.30341939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构港老六组伍龙桥</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120.2418622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33.30240439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 借公安杆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借臂</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构港一组中心路柏宝权田</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120.2489362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33.29401378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四目相机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十四总与东伏河两河交界</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120.2515133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33.29084996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构港盐洛高速变道路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120.2438429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33.28418545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构港园区路南头</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120.239421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33.29055792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构港老十组农庄路柏汉军</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120.235318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33.3100478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构港生产河桥</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120.2391375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33.30688524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伍佑港闸</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120.2371764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33.31212648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构港村安置区</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33.31212648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33.29399321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园区路西路西头</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120.2350873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33.29136592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范公路(中心路西）</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120.2388667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33.2873591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6.5米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三目相机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康居路，长海路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120.20452  120.205889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33.315132  33.319333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人民南路，华师路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120.209333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33.305155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人民南路，玉棠路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120.209270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33.304723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解放南路，盐仓路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120.193856 </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120.193761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120.194713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120.194500 </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33.297461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33.296916</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33.296928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33.297522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科技路，盐仓路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120.188962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120.191213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120.188274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120.188304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33.295245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33.298486</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33.294645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33.295249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博师路，盐仓路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120.185393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120.185434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120.184764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120.184733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33.293864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33.293303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33.293318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33.293878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科城西路，盐仓路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120.182367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120.182373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120.181785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120.181715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33.29217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33.292749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33.292189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33.292734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育才路，长海路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120.174824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120.194977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33.310337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33.310379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人民路，长海路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120.197142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120.197251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120.196481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120.196436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33.311914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33.311491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33.311483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33.311928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人民南路，济棠路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120.198639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33.310180 </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吉安路，人民南路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120.199371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120.200203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33.307774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33.308370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吉安路，康庄路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120.204168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120.196857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33.310007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33.315929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步湖路，康居路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120.210096</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120.210088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120.209401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33.308367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33.308535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33.309003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人民南路，步湖路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120.202562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120.210250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120.202218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33.306272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33.307904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33.305708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育才路，步湖路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120.198581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120.199047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120.198596</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120.198348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33.304622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33.304253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33.304310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33.305114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胜利路，步湖路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120.196989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120.196207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33.303389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33.303960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解放南路，步湖路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120.19163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120.191710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120.185945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120.190900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33.301908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33.301298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33.308808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33.301753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科技路，步湖路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120.186098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120.186124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120.190492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120.182717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33.299522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33.299018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33.302998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33.296399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科技路，博师路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120.182679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120.182908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120.182451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120.182338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33.297824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33.296155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33.297333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33.296648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环城西路，步湖路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120.179845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120.179410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120.179978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33.296425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33.295834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33.295914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解放南路，新跃路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120.197066</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120.197052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120.196270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120.196282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33.29402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33.293579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33.293487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33.293947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科技路，新跃路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120.191509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120.191583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120.192782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120.190967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33.291449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33.291060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33.289319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33.291442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博师路，新跃路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120.188107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120.188071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120.187553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120.187542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33.289889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33.289453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33.289349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33.289852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科城西路，新跃路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120.185034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120.185193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120.184542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33.288492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33.288001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33.288568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79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科城西路，润海路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120.186975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120.190211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33.285680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33.286417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博师路，润海路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120.190042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120.190529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120.190855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120.189464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33.286978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33.287164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33.286419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33.287036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科技路，润海路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120.193525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120.193558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120.193020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120.193101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33.288651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33.288371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33.288267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33.288593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解放南路，吉安路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120.189902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120.189912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120.189035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120.190098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33.304364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33.303875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33.303772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33.303809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科技路，吉安路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120.184431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120.190033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120.183893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120.191442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33.30195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33.303744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33.301413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33.298645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博师路，吉安路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120.180967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120.191442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120.174449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120.180366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33.300338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33.298645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33.305220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33.300322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73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科教路，长海路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120.18234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33.304438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73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科技路，长海路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120.181228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33.30453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73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八营路，南环路辅道</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120.210045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33.319202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八营路，金海路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120.209021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120.208898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120.209143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33.322113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33.321567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33.321415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八营路，学海路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120.207724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120.206670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120.207385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33.323372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33.323315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33.324057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八营路，蓝海路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120.205212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120.204813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120.204705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33.325969</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33.326028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33.326583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八营路，纳海路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120.201925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120.201440</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120.201388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33.328535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33.328345</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33.328978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八营路，阅海路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120.199478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120.199112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120.198943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33.329847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33.329767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33.330355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滨河路，蔚蓝水岸南侧支路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120.177573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120.177468</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120.177393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33.344052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33.344013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33.344264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新建/借公安杆件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滨河路，海缘路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120.17343</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120.173486</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120.173088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33.349232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33.349206</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33.349459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新建/共用杆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r>
        <w:trPr>
          <w:jc w:val="center"/>
          <w:trHeight w:val="159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滨河路，鹿鸣路</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120.16052</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120.160347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120.160131</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120.160334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33.362394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33.362324</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33.362617</w:t>
            </w:r>
            <w:r>
              <w:rPr>
                <w:rFonts w:hint="eastAsia" w:ascii="宋体" w:hAnsi="宋体" w:eastAsia="宋体" w:cs="宋体"/>
                <w:b w:val="0"/>
                <w:bCs w:val="0"/>
                <w:color w:val="auto"/>
                <w:sz w:val="20"/>
                <w:szCs w:val="20"/>
                <w:highlight w:val="none"/>
                <w:lang w:val="en-US" w:eastAsia="zh-CN"/>
              </w:rPr>
              <w:br/>
            </w:r>
            <w:r>
              <w:rPr>
                <w:rFonts w:hint="eastAsia" w:ascii="宋体" w:hAnsi="宋体" w:eastAsia="宋体" w:cs="宋体"/>
                <w:b w:val="0"/>
                <w:bCs w:val="0"/>
                <w:color w:val="auto"/>
                <w:sz w:val="20"/>
                <w:szCs w:val="20"/>
                <w:highlight w:val="none"/>
                <w:lang w:val="en-US" w:eastAsia="zh-CN"/>
              </w:rPr>
              <w:t xml:space="preserve">33.362586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1708"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0.5米</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二目相机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东，南，西，北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开户</w:t>
            </w:r>
            <w:r/>
          </w:p>
        </w:tc>
        <w:tc>
          <w:tcPr>
            <w:shd w:val="clear" w:color="auto" w:fill="auto"/>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762"/>
              <w:jc w:val="both"/>
              <w:keepLines w:val="0"/>
              <w:keepNext w:val="0"/>
              <w:pageBreakBefore w:val="0"/>
              <w:spacing w:beforeAutospacing="0" w:afterAutospacing="0" w:line="400" w:lineRule="exact"/>
              <w:widowControl w:val="off"/>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r>
            <w:r/>
          </w:p>
        </w:tc>
      </w:tr>
    </w:tbl>
    <w:p>
      <w:pPr>
        <w:pStyle w:val="762"/>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sectPr>
          <w:footnotePr/>
          <w:endnotePr/>
          <w:type w:val="nextPage"/>
          <w:pgSz w:w="23811" w:h="16838" w:orient="landscape"/>
          <w:pgMar w:top="1083" w:right="1440" w:bottom="1083" w:left="1440" w:header="851" w:footer="992" w:gutter="0"/>
          <w:cols w:num="1" w:sep="0" w:space="0" w:equalWidth="1"/>
          <w:docGrid w:linePitch="360"/>
        </w:sectPr>
      </w:pPr>
      <w:r>
        <w:rPr>
          <w:rFonts w:hint="eastAsia" w:asciiTheme="minorEastAsia" w:hAnsiTheme="minorEastAsia" w:eastAsiaTheme="minorEastAsia" w:cstheme="minorEastAsia"/>
          <w:b/>
          <w:bCs/>
          <w:color w:val="auto"/>
          <w:highlight w:val="none"/>
          <w:lang w:val="en-US" w:eastAsia="zh-CN"/>
        </w:rPr>
      </w:r>
      <w:r/>
    </w:p>
    <w:p>
      <w:pPr>
        <w:pStyle w:val="762"/>
        <w:jc w:val="both"/>
        <w:keepLines w:val="0"/>
        <w:keepNext w:val="0"/>
        <w:pageBreakBefore w:val="0"/>
        <w:spacing w:beforeAutospacing="0" w:afterAutospacing="0" w:line="360" w:lineRule="auto"/>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二、服务要求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本项目建设期考核要求包括安全生产考核、建设期考核、运维期考核及其他考核指标，由盐南高新区公安分局科技信息化科组织项目考核，考核扣款结果按月度统计汇总，考核扣款金额在质保金支付时扣除。</w:t>
      </w:r>
      <w:r/>
    </w:p>
    <w:p>
      <w:pPr>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1、安全生产考核</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1.1建设期与运维期安全生产要求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中标人必须认真贯彻执行国家制定的安全生产政策、法律、法规，建设期应确保工程施工安全，违反相关安全规定造成的一切后果均由中标人承担。安全生产要求包括但不限于：</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1、中标人施工、开工、运行时是安全生产的直接责任人，必须严格执行有关安全生产的规定、制度，按规定在现场设置警示标识和障碍物；施工现场，须有专职安全员和安全管理人员全程监督和检查。</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中标人负责为所有安装、开工、运行施工人员办理医疗及工伤社会保险，并根据需要为从事危险工作的人员购买适当的人身意外伤害保险，在施工过程中如发生人身伤亡事故或财产损失，由中标人全权承担责任；</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3、中标人应对现场安装、开工、运行施工的行为完全负责，安装施工人员不得违章作业，冒险作业，不能疲劳作业，并按规定做好保护工作；</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4、中标人在施工现场人员必须有配备齐全的安全防护用品，不能满足安全施工需要时，人员不得进入施工现场；</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5、中标人对从事特种作业人员严禁无证上岗或不具备资质的行为；</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6、班组作业必须戴安全帽；</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7、班前不得喝酒，在禁止吸烟的区域不得吸烟；</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8、现场内不得赤脚，不得穿拖鞋、高跟鞋，高空作业需佩戴安全防护设施，不得穿皮鞋和带钉易滑鞋；</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9、未经相关单位负责人批准，不得随便拆除已架设的安全防护设施及安全装置和安全标牌；</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10、施工用电要按照施工安全规范要求设置配电箱等安全设备，并有专业电工负责施工用电，确保用电安全，避免触电伤人事故。不得私自乱接乱拉电线，保护工地上临时用电电缆及配电箱的完好，禁止用材料、工具等压砸电缆电线，确保用电安全；</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11、未经业主方许可不得在施工现场动火；</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12、不得从高处向下抛扔任何物资、材料，堆放时不得超过支撑限重的70%；</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13、不得在高处临边一米范围内堆放活动材料；</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14、不得在操作面上及高处临边竖立放置工具和线材；</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15、生产施工过程中必须严格遵守安全操作规程；</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16、合格的基坑在开挖当天完成浇筑，所有开挖坑洞必须设立护栏（或围挡）、警示标识；</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17、不得从雨水井、污水井中敷设电缆；</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18、夜间作业要求穿反光衣，必须采取必要的照明措施；</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19、所有特殊作业人员必须持有效证件上岗；</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20、施工现场设立防撞锥、警示牌，施工材料和机具按章堆放，不影响交通；</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21、施工人员必须当天对垃圾、渣土进行清理，开挖产生的垃圾、渣土，必须当天清理和外运，运输渣土时按照市级与各区城管、市政要求，采用环保封闭渣土车进行运输。开挖结束后必须用围挡防护；</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22、中标人应编制可操作性和针对性强的安全文明施工组织设计及安全类专项安全施工方案，在实际施工过程中应严格按照审批后的安全方案组织施工；</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23、施工作业期间，中标人应为本项目配置专职安全员，专职安全员必须每日驻守现场，保持通讯畅通，认真进行现场安全隐患排查。专职安全员因特殊情况需离岗的，必须报经监理单位或业主方批准；</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24、现场指挥和作业人员必须遵照安全技术规范和操作规程文明施工，不得有违章指挥、违章操作和不服从管理等不文明行为。</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1.2违规处罚</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1、对于违反上述规定要求，经业主方或监理方检查发现或中标人违章施工，违反安全管理要求，不服从安全管理等，业主方有权根据事件的影响程度进行处罚（每次1000元到20000元不等）；</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2、由于中标人没有尽到自身安全责任，违反国家和行业安全管理规定的行为造成安全事故，由中标人承担全部责任；</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3、中标人安装施工人员违章违纪作业造成安全事故的，中标人负全部责任，并由中标人承担造成的经济损失和刑事责任，每发生一次安全事故扣款10万元。</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1.3验收要求</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1.3.1验收流程说明</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本项目验收流程按照包括试运行、初验、第三方检测、竣工验收。</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1、试运行标准要求</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试运行期不低于1个月。启动试运行条件为项目、建设完工，并经业主方认可。前端系统建设数量不得低于95%，智慧安防村居补盲、公寓智慧管控、行业网联网平台建成并投入应用。</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2、初验标准要求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初验条件为试运行合格，并符合以下条件：</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前端采集系统建设因市政工程建设影响遗留摄像机不得超过总数量的5%，并须明确具体施工计划和时间节点；前端摄像机总体在线率须达到98%以上。</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3、竣工验收要求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初验合格并稳定运行30天以上，经建设单位同意，由建设单位按照信息化项目管理办法组织项目验收。如验收不能通过，实施单位应在验收会议规定的整改期限内对存在问题进行整改，直至系统合格，方能再次组织验收。验收、检测、测评等所需费用由投标人承担。</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建设单位所有验收意见将以书面形式做出并加盖招标人公章，因此除非书面明示通过验收，否则任何其他行为（包括但不限于建设单位对单个、多个模块或整个系统接收、发布、上线、使用、测试、付款等行为）均不代表已验收合格。</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1.3.2验收要求说明</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具体验收要求包括但不限于如下：</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1、本项目城区所有供电与供网线缆不允许飞线。如因特殊原因无法地埋的，需经业主方及监理方书面确认后可以架空。如未经甲方认可，该点位不予验收。</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2、竣工前，中标人必须完成业主方要求的相关培训工作，终验前须提供下列图纸和资料（书面材料一式五份，电子光盘一式三份）：</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3、图纸：包括但不限于：系统设计图、系统施工图、设备安装图、机房布置图、特殊附件安装图、设备安装接线图、竣工图等；</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4、前端点位资源台账：通过信息化工具采集的前端点位资源台账；</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（1）产品出厂检验合格证书与质保书；</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（2）设备现场调试技术标准及实施方案；</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（3）设备安装、使用说明书；</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（4）系统操作手册；</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（5）系统维护手册；</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（6）系统测试数据；</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（7）变更确认资料；</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（8）全套设备、材料、装置的使用手册、产品技术说明书等相关资料；</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（9）其他技术服务所需的资料。</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t xml:space="preserve">5</w:t>
      </w:r>
      <w:r>
        <w:rPr>
          <w:rFonts w:hint="eastAsia" w:ascii="Calibri" w:hAnsi="Calibri" w:eastAsia="宋体" w:cs="Times New Roman"/>
          <w:color w:val="auto"/>
          <w:sz w:val="24"/>
          <w:szCs w:val="24"/>
          <w:highlight w:val="none"/>
          <w:lang w:val="en-US" w:eastAsia="zh-CN" w:bidi="ar-SA"/>
        </w:rPr>
        <w:t xml:space="preserve">、验收前资料准备工作：</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（1）项目应交付的所有过程性文档（包括但不限于软件开发类文档、系统维护类文档、项目验收类文档等）；</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（2）所有项目全过程文件材料及验收材料需按照相关要求进行档案收集、整理和归档工作。</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2、建设期考核指标</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2.1建设期人员考核</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项目建设期须按照中标方案提供的人员负责项目建设。具体考核要求如下：</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项目人员（项目经理、项目技术负责人、项目工程师）必须和投标提供的人员一致，不可变更，不得兼职。如出现人员变更情形：</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实际到场人员资质与投标文件不一致的，按照下列标准扣款。</w:t>
      </w:r>
      <w:r/>
    </w:p>
    <w:tbl>
      <w:tblPr>
        <w:tblStyle w:val="739"/>
        <w:tblW w:w="8581" w:type="dxa"/>
        <w:jc w:val="center"/>
        <w:tblLayout w:type="fixed"/>
        <w:tblCellMar>
          <w:left w:w="108" w:type="dxa"/>
          <w:top w:w="0" w:type="dxa"/>
          <w:right w:w="108" w:type="dxa"/>
          <w:bottom w:w="0" w:type="dxa"/>
        </w:tblCellMar>
        <w:tblLook w:val="04A0" w:firstRow="1" w:lastRow="0" w:firstColumn="1" w:lastColumn="0" w:noHBand="0" w:noVBand="1"/>
      </w:tblPr>
      <w:tblGrid>
        <w:gridCol w:w="1958"/>
        <w:gridCol w:w="1797"/>
        <w:gridCol w:w="2732"/>
        <w:gridCol w:w="2094"/>
      </w:tblGrid>
      <w:tr>
        <w:trPr>
          <w:jc w:val="center"/>
          <w:trHeight w:val="749"/>
        </w:trPr>
        <w:tc>
          <w:tcPr>
            <w:tcBorders>
              <w:top w:val="single" w:color="000000" w:sz="4" w:space="0"/>
              <w:left w:val="single" w:color="000000" w:sz="4" w:space="0"/>
              <w:right w:val="single" w:color="000000" w:sz="4" w:space="0"/>
            </w:tcBorders>
            <w:tcW w:w="1958" w:type="dxa"/>
            <w:vAlign w:val="center"/>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岗位名称</w:t>
            </w:r>
            <w:r/>
          </w:p>
        </w:tc>
        <w:tc>
          <w:tcPr>
            <w:tcBorders>
              <w:top w:val="single" w:color="000000" w:sz="4" w:space="0"/>
              <w:left w:val="single" w:color="000000" w:sz="4" w:space="0"/>
              <w:right w:val="single" w:color="000000" w:sz="4" w:space="0"/>
            </w:tcBorders>
            <w:tcW w:w="1797" w:type="dxa"/>
            <w:vAlign w:val="center"/>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擅自更换人员（每人次）</w:t>
            </w:r>
            <w:r/>
          </w:p>
        </w:tc>
        <w:tc>
          <w:tcPr>
            <w:tcBorders>
              <w:top w:val="single" w:color="000000" w:sz="4" w:space="0"/>
              <w:left w:val="single" w:color="000000" w:sz="4" w:space="0"/>
              <w:right w:val="single" w:color="000000" w:sz="4" w:space="0"/>
            </w:tcBorders>
            <w:tcW w:w="2732" w:type="dxa"/>
            <w:vAlign w:val="center"/>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因不能胜任当前岗位工作业主方要求更换人员而拒绝更换（每人次）</w:t>
            </w:r>
            <w:r/>
          </w:p>
        </w:tc>
        <w:tc>
          <w:tcPr>
            <w:tcBorders>
              <w:top w:val="single" w:color="000000" w:sz="4" w:space="0"/>
              <w:left w:val="single" w:color="000000" w:sz="4" w:space="0"/>
              <w:right w:val="single" w:color="000000" w:sz="4" w:space="0"/>
            </w:tcBorders>
            <w:tcW w:w="2094" w:type="dxa"/>
            <w:vAlign w:val="center"/>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擅自离岗违约金标准（元/天·人次）</w:t>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10万元</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5万元</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0.4万元</w:t>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项目技术负责人</w:t>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5万元</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2万元</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0.3万元</w:t>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项目工程师</w:t>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3万元</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0.5万元</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0.2万元</w:t>
            </w:r>
            <w:r/>
          </w:p>
        </w:tc>
      </w:tr>
      <w:tr>
        <w:trPr>
          <w:jc w:val="center"/>
          <w:trHeight w:val="477"/>
        </w:trPr>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项目运维经理</w:t>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1万元</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0.2万元</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0.1万元</w:t>
            </w:r>
            <w:r/>
          </w:p>
        </w:tc>
      </w:tr>
    </w:tbl>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2.2建设期进度考核</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工期具体为自合同签订之日起90个日历日达到试运行(含联调)的标准。合同签订后1个月内完成设备采购。未按期完成该部分设备采购，扣除总合同款项的1%。</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超出建设工期的，按照每超出一天扣款项目合同价的0.1%，超期6个月未竣工交付的，招标人有权取消项目合同，并追究中标人相关法律责任。</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在项目进入下一道工序前必须通知监理及甲方现场检查，对不符合项目要求的进行整改，合格后方可进入下一阶段。若未按照上述规定，除继续履行相关规定外，按5000元/次罚款。</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中标人在开工前，应编制施工总进度计划及根据总工期、关键节点形象进度控制要求，分解编制月进度计划，并报业主方及监理方审核通过后执行，严格执行月进度计划服从总进度计划的原则。施工总进度计划与开工报告一起提交，月进度计划在每月25日前提交。违反此规定者，按5000元/次罚款。进度计划编制不合理的，按5000元/次罚款。</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3、运维期考核指标</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3.1运维保障服务要求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建立完善的运维保障机制，组织开展以下运维保障服务工作：</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1、运维期内提供包括巡检、维护、维修、故障排除、系统优化、配合软件升级、应急服务、数据容灾在内的多项服务。</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2、设备巡检、维护：维保期间，投标人应提供不少于每季度一次的后端设备巡检以及不少于每半年一次的前端设备巡检；故障自动告警后主动响应时间不得超过10分钟；日常巡检应在完成后3日内提供巡检报告。</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3、故障处理：应能实时响应系统故障自动告警，维修人员应在合同约定的时限内完成修复。</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4、电话支持：提供7×24小时电话技术指导和现场咨询服务。</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5、系统优化：根据巡检报告及用户需求提供优化方案，经招标人认可后执行系统优化。</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6、技术培训：须提供一般工作人员的操作培训和技术人员的原厂技术培训，使其具备数字视频系统操作管理维护能力。培训应分类进行，包括技术人员培训，操作员培训等，具体培训计划及时间、地点由双方商定。</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7、备品备件：投标人应提供备品备件，提供的备品备件应满足项目日常维护需求。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8、应急保障服务：特殊重大活动期间，按招标人要求提供现场保障服务。</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二、运维保障人员要求</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系统运维期内，建设运维服务商负责配置相应的运维人员进行服务，确保运维响应迅速、高效。在服务期内提供报修电话，提供7 X 24小时服务。如出现故障，响应时间小于1小时，必须在2小时内到达现场处理，一般故障12小时内修复，重大故障在24小时内修复。</w:t>
      </w:r>
      <w:r/>
    </w:p>
    <w:p>
      <w:pPr>
        <w:numPr>
          <w:ilvl w:val="1"/>
          <w:numId w:val="0"/>
        </w:numPr>
        <w:ind w:left="578" w:hanging="578"/>
        <w:jc w:val="left"/>
        <w:keepLines/>
        <w:keepNext/>
        <w:spacing w:before="120" w:after="120" w:line="360" w:lineRule="auto"/>
        <w:widowControl w:val="off"/>
        <w:rPr>
          <w:rFonts w:hint="eastAsia" w:ascii="Calibri" w:hAnsi="Calibri" w:eastAsia="宋体" w:cs="Times New Roman"/>
          <w:color w:val="auto"/>
          <w:sz w:val="24"/>
          <w:szCs w:val="24"/>
          <w:highlight w:val="none"/>
          <w:lang w:val="en-US" w:eastAsia="zh-CN" w:bidi="ar-SA"/>
        </w:rPr>
        <w:outlineLvl w:val="1"/>
      </w:pPr>
      <w:r>
        <w:rPr>
          <w:rFonts w:hint="eastAsia" w:ascii="Calibri" w:hAnsi="Calibri" w:eastAsia="宋体" w:cs="Times New Roman"/>
          <w:color w:val="auto"/>
          <w:sz w:val="24"/>
          <w:szCs w:val="24"/>
          <w:highlight w:val="none"/>
          <w:lang w:val="en-US" w:eastAsia="zh-CN" w:bidi="ar-SA"/>
        </w:rPr>
        <w:t xml:space="preserve">3.2前端在线率要求</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一、工作目标</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运维期内建设运维服务商应积极保障前端点位的设备安全、供电稳定以及网络链路状况良好，确保前端在线率指标达到考核要求。</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二、考核要求</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在线率说明：</w:t>
      </w:r>
      <w:r/>
    </w:p>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摄像机故障是指前端设备离线以及前端设备在线但实际图像因镜头污损、图像模糊、异物遮挡、控制故障、枪机画面严重偏离监控有效区域等图像，不能达到有效使用效果的情况。摄像机故障在合同约定的时限内完成修复的，故障时间不计入在线率考核；若在规定时间内没有完成修复，扣除该摄像机故障时长。</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因市政建设、城市改造、供电公司计划性及区域临时性停电等不可预见因素造成前端故障、设备遗失、线路破坏等，建设运维服务商在遇到以上情况后，需及时书面通知业主方，提供证明材料，提出整改措施并取得业主方确认。建设运维服务商应在整改期内对上述故障点位进行修复，整改期不计入故障考核时间。</w:t>
      </w:r>
      <w:r/>
    </w:p>
    <w:p>
      <w:pPr>
        <w:ind w:firstLine="480"/>
        <w:jc w:val="left"/>
        <w:spacing w:line="360" w:lineRule="auto"/>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具体考核要求如下：</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5"/>
        <w:gridCol w:w="2760"/>
        <w:gridCol w:w="3485"/>
        <w:gridCol w:w="1215"/>
      </w:tblGrid>
      <w:tr>
        <w:trPr>
          <w:jc w:val="center"/>
        </w:trPr>
        <w:tc>
          <w:tcPr>
            <w:tcW w:w="1445" w:type="dxa"/>
            <w:vAlign w:val="top"/>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考核名称</w:t>
            </w:r>
            <w:r/>
          </w:p>
        </w:tc>
        <w:tc>
          <w:tcPr>
            <w:tcW w:w="2760" w:type="dxa"/>
            <w:vAlign w:val="top"/>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考核内容说明</w:t>
            </w:r>
            <w:r/>
          </w:p>
        </w:tc>
        <w:tc>
          <w:tcPr>
            <w:tcW w:w="3485" w:type="dxa"/>
            <w:vAlign w:val="top"/>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扣款标准</w:t>
            </w:r>
            <w:r/>
          </w:p>
        </w:tc>
        <w:tc>
          <w:tcPr>
            <w:tcW w:w="1215" w:type="dxa"/>
            <w:vAlign w:val="top"/>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考核周期</w:t>
            </w:r>
            <w:r/>
          </w:p>
        </w:tc>
      </w:tr>
      <w:tr>
        <w:trPr>
          <w:jc w:val="center"/>
        </w:trPr>
        <w:tc>
          <w:tcPr>
            <w:tcW w:w="1445" w:type="dxa"/>
            <w:vAlign w:val="center"/>
            <w:vMerge w:val="restart"/>
            <w:textDirection w:val="lrTb"/>
            <w:noWrap w:val="false"/>
          </w:tcPr>
          <w:p>
            <w:pPr>
              <w:ind w:left="0" w:right="0" w:firstLine="0"/>
              <w:jc w:val="both"/>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前端在线率</w:t>
            </w:r>
            <w:r/>
          </w:p>
        </w:tc>
        <w:tc>
          <w:tcPr>
            <w:tcW w:w="2760"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平均在线率≥98%</w:t>
            </w:r>
            <w:r/>
          </w:p>
        </w:tc>
        <w:tc>
          <w:tcPr>
            <w:tcW w:w="3485" w:type="dxa"/>
            <w:vAlign w:val="center"/>
            <w:textDirection w:val="lrTb"/>
            <w:noWrap w:val="false"/>
          </w:tcPr>
          <w:p>
            <w:pPr>
              <w:spacing w:line="360" w:lineRule="exact"/>
              <w:rPr>
                <w:rFonts w:hint="eastAsia" w:ascii="Times New Roman" w:hAnsi="Times New Roman" w:eastAsia="宋体" w:cs="Times New Roman"/>
                <w:color w:val="auto"/>
                <w:sz w:val="24"/>
                <w:szCs w:val="21"/>
                <w:highlight w:val="none"/>
                <w:lang w:eastAsia="zh-CN"/>
              </w:rPr>
            </w:pPr>
            <w:r>
              <w:rPr>
                <w:rFonts w:hint="default" w:ascii="Times New Roman" w:hAnsi="Times New Roman" w:eastAsia="宋体" w:cs="Times New Roman"/>
                <w:color w:val="auto"/>
                <w:sz w:val="24"/>
                <w:szCs w:val="21"/>
                <w:highlight w:val="none"/>
              </w:rPr>
              <w:t xml:space="preserve">满足不扣款</w:t>
            </w:r>
            <w:r>
              <w:rPr>
                <w:rFonts w:hint="eastAsia" w:ascii="Times New Roman" w:hAnsi="Times New Roman" w:eastAsia="宋体" w:cs="Times New Roman"/>
                <w:color w:val="auto"/>
                <w:sz w:val="24"/>
                <w:szCs w:val="21"/>
                <w:highlight w:val="none"/>
                <w:lang w:eastAsia="zh-CN"/>
              </w:rPr>
              <w:t xml:space="preserve">。</w:t>
            </w:r>
            <w:r/>
          </w:p>
        </w:tc>
        <w:tc>
          <w:tcPr>
            <w:tcW w:w="1215" w:type="dxa"/>
            <w:vAlign w:val="center"/>
            <w:vMerge w:val="restart"/>
            <w:textDirection w:val="lrTb"/>
            <w:noWrap w:val="false"/>
          </w:tcPr>
          <w:p>
            <w:pPr>
              <w:ind w:left="0" w:right="0" w:firstLine="0"/>
              <w:jc w:val="center"/>
              <w:spacing w:line="360" w:lineRule="exact"/>
              <w:rPr>
                <w:rFonts w:hint="default" w:ascii="Times New Roman" w:hAnsi="Times New Roman" w:eastAsia="宋体" w:cs="Times New Roman"/>
                <w:color w:val="auto"/>
                <w:sz w:val="24"/>
                <w:szCs w:val="21"/>
                <w:highlight w:val="none"/>
                <w:lang w:val="en-US" w:eastAsia="zh-CN"/>
              </w:rPr>
            </w:pPr>
            <w:r>
              <w:rPr>
                <w:rFonts w:hint="eastAsia" w:ascii="Times New Roman" w:hAnsi="Times New Roman" w:eastAsia="宋体" w:cs="Times New Roman"/>
                <w:color w:val="auto"/>
                <w:sz w:val="24"/>
                <w:szCs w:val="21"/>
                <w:highlight w:val="none"/>
                <w:lang w:val="en-US" w:eastAsia="zh-CN"/>
              </w:rPr>
              <w:t xml:space="preserve">月度</w:t>
            </w:r>
            <w:r/>
          </w:p>
        </w:tc>
      </w:tr>
      <w:tr>
        <w:trPr>
          <w:jc w:val="center"/>
        </w:trPr>
        <w:tc>
          <w:tcPr>
            <w:tcW w:w="1445" w:type="dxa"/>
            <w:vAlign w:val="top"/>
            <w:vMerge w:val="continue"/>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tc>
        <w:tc>
          <w:tcPr>
            <w:tcW w:w="2760"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95%≤平均在线率&lt;98%</w:t>
            </w:r>
            <w:r/>
          </w:p>
        </w:tc>
        <w:tc>
          <w:tcPr>
            <w:tcW w:w="3485"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 xml:space="preserve">每低一个百分点扣款2000元</w:t>
            </w:r>
            <w:r>
              <w:rPr>
                <w:rFonts w:hint="default" w:ascii="Times New Roman" w:hAnsi="Times New Roman" w:eastAsia="宋体" w:cs="Times New Roman"/>
                <w:color w:val="auto"/>
                <w:sz w:val="24"/>
                <w:szCs w:val="21"/>
                <w:highlight w:val="none"/>
              </w:rPr>
              <w:t xml:space="preserve">。</w:t>
            </w:r>
            <w:r/>
          </w:p>
        </w:tc>
        <w:tc>
          <w:tcPr>
            <w:tcW w:w="1215" w:type="dxa"/>
            <w:vAlign w:val="top"/>
            <w:vMerge w:val="continue"/>
            <w:textDirection w:val="lrTb"/>
            <w:noWrap w:val="false"/>
          </w:tcPr>
          <w:p>
            <w:pPr>
              <w:ind w:firstLine="480"/>
              <w:spacing w:before="156" w:after="156" w:line="360" w:lineRule="auto"/>
              <w:rPr>
                <w:rFonts w:hint="default" w:ascii="Times New Roman" w:hAnsi="Times New Roman" w:eastAsia="宋体" w:cs="Times New Roman"/>
                <w:bCs/>
                <w:color w:val="auto"/>
                <w:sz w:val="24"/>
                <w:szCs w:val="21"/>
                <w:highlight w:val="none"/>
                <w:lang w:val="zh-CN"/>
              </w:rPr>
            </w:pPr>
            <w:r>
              <w:rPr>
                <w:rFonts w:hint="default" w:ascii="Times New Roman" w:hAnsi="Times New Roman" w:eastAsia="宋体" w:cs="Times New Roman"/>
                <w:bCs/>
                <w:color w:val="auto"/>
                <w:sz w:val="24"/>
                <w:szCs w:val="21"/>
                <w:highlight w:val="none"/>
                <w:lang w:val="zh-CN"/>
              </w:rPr>
            </w:r>
            <w:r/>
          </w:p>
        </w:tc>
      </w:tr>
      <w:tr>
        <w:trPr>
          <w:jc w:val="center"/>
        </w:trPr>
        <w:tc>
          <w:tcPr>
            <w:tcW w:w="1445" w:type="dxa"/>
            <w:vAlign w:val="top"/>
            <w:vMerge w:val="continue"/>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tc>
        <w:tc>
          <w:tcPr>
            <w:tcW w:w="2760"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90%≤平均在线率&lt;95%</w:t>
            </w:r>
            <w:r/>
          </w:p>
        </w:tc>
        <w:tc>
          <w:tcPr>
            <w:tcW w:w="3485"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 xml:space="preserve">每低一个百分点扣款3000元</w:t>
            </w:r>
            <w:r>
              <w:rPr>
                <w:rFonts w:hint="default" w:ascii="Times New Roman" w:hAnsi="Times New Roman" w:eastAsia="宋体" w:cs="Times New Roman"/>
                <w:color w:val="auto"/>
                <w:sz w:val="24"/>
                <w:szCs w:val="21"/>
                <w:highlight w:val="none"/>
              </w:rPr>
              <w:t xml:space="preserve">。</w:t>
            </w:r>
            <w:r/>
          </w:p>
        </w:tc>
        <w:tc>
          <w:tcPr>
            <w:tcW w:w="1215" w:type="dxa"/>
            <w:vAlign w:val="top"/>
            <w:vMerge w:val="continue"/>
            <w:textDirection w:val="lrTb"/>
            <w:noWrap w:val="false"/>
          </w:tcPr>
          <w:p>
            <w:pPr>
              <w:ind w:firstLine="480"/>
              <w:spacing w:before="156" w:after="156" w:line="360" w:lineRule="auto"/>
              <w:rPr>
                <w:rFonts w:hint="default" w:ascii="Times New Roman" w:hAnsi="Times New Roman" w:eastAsia="宋体" w:cs="Times New Roman"/>
                <w:bCs/>
                <w:color w:val="auto"/>
                <w:sz w:val="24"/>
                <w:szCs w:val="21"/>
                <w:highlight w:val="none"/>
                <w:lang w:val="zh-CN"/>
              </w:rPr>
            </w:pPr>
            <w:r>
              <w:rPr>
                <w:rFonts w:hint="default" w:ascii="Times New Roman" w:hAnsi="Times New Roman" w:eastAsia="宋体" w:cs="Times New Roman"/>
                <w:bCs/>
                <w:color w:val="auto"/>
                <w:sz w:val="24"/>
                <w:szCs w:val="21"/>
                <w:highlight w:val="none"/>
                <w:lang w:val="zh-CN"/>
              </w:rPr>
            </w:r>
            <w:r/>
          </w:p>
        </w:tc>
      </w:tr>
      <w:tr>
        <w:trPr>
          <w:jc w:val="center"/>
        </w:trPr>
        <w:tc>
          <w:tcPr>
            <w:tcW w:w="1445" w:type="dxa"/>
            <w:vAlign w:val="top"/>
            <w:vMerge w:val="continue"/>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tc>
        <w:tc>
          <w:tcPr>
            <w:tcW w:w="2760"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平均在线率&lt;90%</w:t>
            </w:r>
            <w:r/>
          </w:p>
        </w:tc>
        <w:tc>
          <w:tcPr>
            <w:tcW w:w="3485" w:type="dxa"/>
            <w:vAlign w:val="center"/>
            <w:textDirection w:val="lrTb"/>
            <w:noWrap w:val="false"/>
          </w:tcPr>
          <w:p>
            <w:pPr>
              <w:spacing w:line="360" w:lineRule="exact"/>
              <w:rPr>
                <w:rFonts w:hint="default"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 xml:space="preserve">每低一个百分点扣款4000元</w:t>
            </w:r>
            <w:r>
              <w:rPr>
                <w:rFonts w:hint="default" w:ascii="Times New Roman" w:hAnsi="Times New Roman" w:eastAsia="宋体" w:cs="Times New Roman"/>
                <w:color w:val="auto"/>
                <w:sz w:val="24"/>
                <w:szCs w:val="21"/>
                <w:highlight w:val="none"/>
              </w:rPr>
              <w:t xml:space="preserve">。</w:t>
            </w:r>
            <w:r/>
          </w:p>
        </w:tc>
        <w:tc>
          <w:tcPr>
            <w:tcW w:w="1215" w:type="dxa"/>
            <w:vAlign w:val="top"/>
            <w:vMerge w:val="continue"/>
            <w:textDirection w:val="lrTb"/>
            <w:noWrap w:val="false"/>
          </w:tcPr>
          <w:p>
            <w:pPr>
              <w:ind w:firstLine="480"/>
              <w:spacing w:before="156" w:after="156" w:line="360" w:lineRule="auto"/>
              <w:rPr>
                <w:rFonts w:hint="default" w:ascii="Times New Roman" w:hAnsi="Times New Roman" w:eastAsia="宋体" w:cs="Times New Roman"/>
                <w:bCs/>
                <w:color w:val="auto"/>
                <w:sz w:val="24"/>
                <w:szCs w:val="21"/>
                <w:highlight w:val="none"/>
                <w:lang w:val="zh-CN"/>
              </w:rPr>
            </w:pPr>
            <w:r>
              <w:rPr>
                <w:rFonts w:hint="default" w:ascii="Times New Roman" w:hAnsi="Times New Roman" w:eastAsia="宋体" w:cs="Times New Roman"/>
                <w:bCs/>
                <w:color w:val="auto"/>
                <w:sz w:val="24"/>
                <w:szCs w:val="21"/>
                <w:highlight w:val="none"/>
                <w:lang w:val="zh-CN"/>
              </w:rPr>
            </w:r>
            <w:r/>
          </w:p>
        </w:tc>
      </w:tr>
    </w:tbl>
    <w:p>
      <w:pPr>
        <w:ind w:firstLine="480"/>
        <w:jc w:val="left"/>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pStyle w:val="762"/>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pPr>
      <w:r>
        <w:rPr>
          <w:rFonts w:hint="eastAsia" w:ascii="Calibri" w:hAnsi="Calibri" w:eastAsia="宋体" w:cs="Times New Roman"/>
          <w:color w:val="auto"/>
          <w:sz w:val="24"/>
          <w:szCs w:val="24"/>
          <w:highlight w:val="none"/>
          <w:lang w:val="en-US" w:eastAsia="zh-CN" w:bidi="ar-SA"/>
        </w:rPr>
        <w:t xml:space="preserve">扣款额保留小数点后2位，对于推送省公安厅、市公安局考核的重点监控点位需达到100%在线，被上级通报离线且无正当说明的，每点位每次扣款5000元。</w:t>
      </w:r>
      <w:r/>
    </w:p>
    <w:p>
      <w:pPr>
        <w:pStyle w:val="775"/>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lang w:val="en-US" w:eastAsia="zh-CN"/>
        </w:rPr>
        <w:t xml:space="preserve">商务要求</w:t>
      </w:r>
      <w:r/>
    </w:p>
    <w:p>
      <w:pPr>
        <w:pStyle w:val="775"/>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（一）</w:t>
      </w:r>
      <w:r>
        <w:rPr>
          <w:rFonts w:hint="eastAsia" w:asciiTheme="minorEastAsia" w:hAnsiTheme="minorEastAsia" w:eastAsiaTheme="minorEastAsia" w:cstheme="minorEastAsia"/>
          <w:color w:val="auto"/>
          <w:sz w:val="24"/>
          <w:szCs w:val="24"/>
          <w:highlight w:val="none"/>
          <w:lang w:val="en-US" w:eastAsia="zh-CN"/>
        </w:rPr>
        <w:t xml:space="preserve">供货期（合同履行期限）：自合同签订之日起90个日历日达到试运行(含联调)的标准。合同签订后1个月内完成设备采购。</w:t>
      </w:r>
      <w:r/>
    </w:p>
    <w:p>
      <w:pPr>
        <w:pStyle w:val="775"/>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val="zh-CN" w:eastAsia="zh-CN"/>
        </w:rPr>
        <w:t xml:space="preserve">）质量要求：未经使用的全新产品。</w:t>
      </w:r>
      <w:r/>
    </w:p>
    <w:p>
      <w:pPr>
        <w:pStyle w:val="775"/>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val="zh-CN" w:eastAsia="zh-CN"/>
        </w:rPr>
        <w:t xml:space="preserve">）交货地点：采购人指定地点</w:t>
      </w:r>
      <w:r>
        <w:rPr>
          <w:rFonts w:hint="eastAsia" w:asciiTheme="minorEastAsia" w:hAnsiTheme="minorEastAsia" w:eastAsiaTheme="minorEastAsia" w:cstheme="minorEastAsia"/>
          <w:color w:val="auto"/>
          <w:sz w:val="24"/>
          <w:szCs w:val="24"/>
          <w:highlight w:val="none"/>
          <w:lang w:val="en-US" w:eastAsia="zh-CN"/>
        </w:rPr>
        <w:t xml:space="preserve">。</w:t>
      </w:r>
      <w:r/>
    </w:p>
    <w:p>
      <w:pPr>
        <w:pStyle w:val="775"/>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zh-CN" w:eastAsia="zh-CN"/>
        </w:rPr>
        <w:t xml:space="preserve">）付款</w:t>
      </w:r>
      <w:r>
        <w:rPr>
          <w:rFonts w:hint="eastAsia" w:asciiTheme="minorEastAsia" w:hAnsiTheme="minorEastAsia" w:eastAsiaTheme="minorEastAsia" w:cstheme="minorEastAsia"/>
          <w:color w:val="auto"/>
          <w:sz w:val="24"/>
          <w:szCs w:val="24"/>
          <w:highlight w:val="none"/>
          <w:lang w:val="en-US" w:eastAsia="zh-CN"/>
        </w:rPr>
        <w:t xml:space="preserve">方式</w:t>
      </w:r>
      <w:r>
        <w:rPr>
          <w:rFonts w:hint="eastAsia" w:asciiTheme="minorEastAsia" w:hAnsiTheme="minorEastAsia" w:eastAsiaTheme="minorEastAsia" w:cstheme="minorEastAsia"/>
          <w:color w:val="auto"/>
          <w:sz w:val="24"/>
          <w:szCs w:val="24"/>
          <w:highlight w:val="none"/>
          <w:lang w:val="zh-CN" w:eastAsia="zh-CN"/>
        </w:rPr>
        <w:t xml:space="preserve">：</w:t>
      </w:r>
      <w:r/>
    </w:p>
    <w:p>
      <w:pPr>
        <w:pStyle w:val="775"/>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（1）合同签订后10工作日内（自收到发票之日起），甲方支付乙方合同总价的30％作为预付款；</w:t>
      </w:r>
      <w:r/>
    </w:p>
    <w:p>
      <w:pPr>
        <w:pStyle w:val="775"/>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（2）项目供货完毕，安装、调试结束并通过甲方验收合格后，可按合同款的60%付款，项目变更减少的按实际完成工程量付款，增加工程量变更、签证部分在审计结论出具之前暂不付款。</w:t>
      </w:r>
      <w:r/>
    </w:p>
    <w:p>
      <w:pPr>
        <w:pStyle w:val="775"/>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3）竣工验收合格后，区里相关部门实施一审，按审定价的70%支付，余款待区里相关审计部门二审结束后或盐城市审计局政府审计结束后，可按审计价的97%付款。质保金待质保期满经移交验收合格后，根据考核条款扣除相关考核金（扣完为止）最终结清。</w:t>
      </w:r>
      <w:r/>
    </w:p>
    <w:p>
      <w:pPr>
        <w:pStyle w:val="775"/>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（4）对盐城市审计局未出具政府审计报告但已出具经复核结束《审计结果函》，且明确提出建设单位可按审计结果办理相关价款结算的，视同最终政府审计报告办理结算。</w:t>
      </w:r>
      <w:r/>
    </w:p>
    <w:p>
      <w:pPr>
        <w:pStyle w:val="775"/>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对市审计局未出具政府审计报告但已出具未经复核《审计结果函》的，按市审计局的付款建议且不高于80%付款。</w:t>
      </w:r>
      <w:r/>
    </w:p>
    <w:p>
      <w:pPr>
        <w:pStyle w:val="775"/>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每次付款前乙方需开具合法有效的增值税发票（开具付款金额）给采购人，以上付款均无银行利息，一律通过银行结转。</w:t>
      </w:r>
      <w:r/>
    </w:p>
    <w:p>
      <w:pPr>
        <w:pStyle w:val="775"/>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zh-CN" w:eastAsia="zh-CN"/>
        </w:rPr>
        <w:t xml:space="preserve">）售后服务</w:t>
      </w:r>
      <w:r>
        <w:rPr>
          <w:rFonts w:hint="eastAsia" w:ascii="宋体" w:hAnsi="宋体" w:eastAsia="宋体" w:cs="宋体"/>
          <w:color w:val="auto"/>
          <w:sz w:val="24"/>
          <w:szCs w:val="24"/>
          <w:highlight w:val="none"/>
          <w:lang w:val="en-US" w:eastAsia="zh-CN"/>
        </w:rPr>
        <w:t xml:space="preserve">内容、要求和期限：</w:t>
      </w:r>
      <w:r/>
    </w:p>
    <w:p>
      <w:pPr>
        <w:pStyle w:val="775"/>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（1）乙方应按采购文件规定的货物性能、技术要求、质量标准向甲方提供未经使用的全新产品。</w:t>
      </w:r>
      <w:r/>
    </w:p>
    <w:p>
      <w:pPr>
        <w:pStyle w:val="775"/>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（2）乙方提供的货物在质保期内因货物本身的质量问题发生故障，乙方应负责免费更换。对达不到技术要求者，根据实际情况，经双方协商，可按以下办法处理：</w:t>
      </w:r>
      <w:r/>
    </w:p>
    <w:p>
      <w:pPr>
        <w:pStyle w:val="775"/>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⑴更换：由乙方承担所发生的全部费用。</w:t>
      </w:r>
      <w:r/>
    </w:p>
    <w:p>
      <w:pPr>
        <w:pStyle w:val="775"/>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⑵贬值处理：由甲乙双方合议定价。</w:t>
      </w:r>
      <w:r/>
    </w:p>
    <w:p>
      <w:pPr>
        <w:pStyle w:val="775"/>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⑶退货处理：乙方应退还甲方支付的合同款，同时应承担该货物的直接费用（运输、保险、检验、贷款利息及银行手续费等）。</w:t>
      </w:r>
      <w:r/>
    </w:p>
    <w:p>
      <w:pPr>
        <w:pStyle w:val="775"/>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（3）如在使用过程中发生质量问题，乙方在接到甲方通知后在24小时（时间以供应商具体承诺为准）内到达甲方现场。</w:t>
      </w:r>
      <w:r/>
    </w:p>
    <w:p>
      <w:pPr>
        <w:pStyle w:val="775"/>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（4）在质保期内，乙方应对货物出现的质量及安全问题负责处理解决并承担一切费用。</w:t>
      </w:r>
      <w:r/>
    </w:p>
    <w:p>
      <w:pPr>
        <w:pStyle w:val="775"/>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货物免费质保期为3年（自交货验收合格之日起计，期限以供应商具体承诺为准），因人为因素出现的故障不在免费保修范围内。超过免费质量保修期的机器设备，终身维修（除采购人不再要求继续维修外），维修时只收部件成本费。</w:t>
      </w:r>
      <w:r/>
    </w:p>
    <w:p>
      <w:pPr>
        <w:ind w:firstLine="480"/>
        <w:jc w:val="left"/>
        <w:keepLines w:val="0"/>
        <w:keepNext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zh-CN" w:eastAsia="zh-CN"/>
        </w:rPr>
        <w:t xml:space="preserve">）其他</w:t>
      </w:r>
      <w:r/>
    </w:p>
    <w:p>
      <w:pPr>
        <w:ind w:firstLine="480"/>
        <w:jc w:val="left"/>
        <w:keepLines w:val="0"/>
        <w:keepNext w:val="0"/>
        <w:spacing w:before="0" w:after="0"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1、保险：供应商的工作人员保险由供应商负责。</w:t>
      </w:r>
      <w:r/>
    </w:p>
    <w:p>
      <w:pPr>
        <w:ind w:firstLine="480"/>
        <w:jc w:val="left"/>
        <w:keepLines w:val="0"/>
        <w:keepNext w:val="0"/>
        <w:spacing w:before="0" w:after="0"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包装和运输：本项目所涉及的包装和运输均由供应商负责。</w:t>
      </w:r>
      <w:r/>
    </w:p>
    <w:p>
      <w:pPr>
        <w:ind w:firstLine="480"/>
        <w:jc w:val="left"/>
        <w:keepLines w:val="0"/>
        <w:keepNext w:val="0"/>
        <w:spacing w:before="0" w:after="0"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、验收标准：全部货物安装调试完毕后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日内，由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zh-CN" w:eastAsia="zh-CN"/>
        </w:rPr>
        <w:t xml:space="preserve">组织相关人员，按照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文件的要求和现行技术标准、强制性标准对所供货物的技术性能、技术参数等进行验收，并形成验收意见。</w:t>
      </w:r>
      <w:r/>
    </w:p>
    <w:p>
      <w:pPr>
        <w:ind w:firstLine="480"/>
        <w:jc w:val="left"/>
        <w:keepLines w:val="0"/>
        <w:keepNext w:val="0"/>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本项目核心产品为：公寓异常管控模块。</w:t>
      </w:r>
      <w:r/>
    </w:p>
    <w:p>
      <w:pPr>
        <w:pStyle w:val="775"/>
        <w:keepLines w:val="0"/>
        <w:keepNext w:val="0"/>
        <w:pageBreakBefore w:val="0"/>
        <w:spacing w:line="360" w:lineRule="auto"/>
        <w:widowControl w:val="off"/>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三、演示要求</w:t>
      </w:r>
      <w:r/>
    </w:p>
    <w:p>
      <w:pPr>
        <w:pStyle w:val="775"/>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演示方式  上传视频演示</w:t>
      </w:r>
      <w:r/>
    </w:p>
    <w:p>
      <w:pPr>
        <w:pStyle w:val="775"/>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775"/>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2.演示内容如下：</w:t>
      </w:r>
      <w:r/>
    </w:p>
    <w:p>
      <w:pPr>
        <w:pStyle w:val="775"/>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为确保本次采购的公寓人员管控系统前、后端设备满足对公寓走廊视频画面中人员进出房间情况的识别和统计，投标人需在魔力月光公寓楼，安装前端摄像机并搭建后端测试环境，投标时提供模拟人员出入房间频次分析完整系统功能的视频演示，视频中需在公寓人员管控应用系统展示魔力月光公寓楼至少1个房间的1条人员进出记录，能够详情查看抓拍大图、进出时间、进出状态等信息以及事件点前后10s的视频录像文件，另外需要在平台中展示至少1条异常房间预警记录，在预警详情中能够以时间轴的形式展示进出记录，并支持查看现场抓拍图、视频录像）。</w:t>
      </w:r>
      <w:r/>
    </w:p>
    <w:p>
      <w:pPr>
        <w:pStyle w:val="775"/>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四、采购标的对应的中小企业划分标准所属行业一览表</w:t>
      </w:r>
      <w:r/>
    </w:p>
    <w:tbl>
      <w:tblPr>
        <w:tblStyle w:val="739"/>
        <w:tblW w:w="5000" w:type="pct"/>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5"/>
        <w:gridCol w:w="6128"/>
        <w:gridCol w:w="3143"/>
      </w:tblGrid>
      <w:tr>
        <w:trPr>
          <w:jc w:val="center"/>
          <w:tblCellSpacing w:w="0" w:type="dxa"/>
          <w:trHeight w:val="957"/>
        </w:trPr>
        <w:tc>
          <w:tcPr>
            <w:shd w:val="clear" w:color="auto" w:fill="auto"/>
            <w:tcBorders>
              <w:top w:val="single" w:color="000000" w:sz="2" w:space="0"/>
              <w:left w:val="single" w:color="000000" w:sz="2" w:space="0"/>
              <w:bottom w:val="single" w:color="000000" w:sz="2" w:space="0"/>
              <w:right w:val="single" w:color="000000" w:sz="2" w:space="0"/>
            </w:tcBorders>
            <w:tcW w:w="349" w:type="pct"/>
            <w:vAlign w:val="center"/>
            <w:textDirection w:val="lrTb"/>
            <w:noWrap w:val="false"/>
          </w:tcPr>
          <w:p>
            <w:pPr>
              <w:pStyle w:val="762"/>
              <w:jc w:val="center"/>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3073" w:type="pct"/>
            <w:vAlign w:val="center"/>
            <w:textDirection w:val="lrTb"/>
            <w:noWrap w:val="false"/>
          </w:tcPr>
          <w:p>
            <w:pPr>
              <w:pStyle w:val="762"/>
              <w:jc w:val="center"/>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w:t>
            </w:r>
            <w:r/>
          </w:p>
        </w:tc>
        <w:tc>
          <w:tcPr>
            <w:shd w:val="clear" w:color="auto" w:fill="auto"/>
            <w:tcBorders>
              <w:top w:val="single" w:color="000000" w:sz="2" w:space="0"/>
              <w:left w:val="single" w:color="000000" w:sz="2" w:space="0"/>
              <w:bottom w:val="single" w:color="000000" w:sz="2" w:space="0"/>
              <w:right w:val="single" w:color="000000" w:sz="2" w:space="0"/>
            </w:tcBorders>
            <w:tcW w:w="1576" w:type="pct"/>
            <w:vAlign w:val="center"/>
            <w:textDirection w:val="lrTb"/>
            <w:noWrap w:val="false"/>
          </w:tcPr>
          <w:p>
            <w:pPr>
              <w:pStyle w:val="762"/>
              <w:jc w:val="center"/>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对应中小企业划分标准所属行业</w:t>
            </w:r>
            <w:r/>
          </w:p>
        </w:tc>
      </w:tr>
      <w:tr>
        <w:trPr>
          <w:jc w:val="center"/>
          <w:tblCellSpacing w:w="0" w:type="dxa"/>
          <w:trHeight w:val="1022"/>
        </w:trPr>
        <w:tc>
          <w:tcPr>
            <w:shd w:val="clear" w:color="auto" w:fill="auto"/>
            <w:tcBorders>
              <w:top w:val="single" w:color="000000" w:sz="2" w:space="0"/>
              <w:left w:val="single" w:color="000000" w:sz="2" w:space="0"/>
              <w:bottom w:val="single" w:color="000000" w:sz="2" w:space="0"/>
              <w:right w:val="single" w:color="000000" w:sz="2" w:space="0"/>
            </w:tcBorders>
            <w:tcW w:w="349"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307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盐城市公安局盐南高新区分局智慧安防村居建设项目</w:t>
            </w:r>
            <w:r/>
          </w:p>
        </w:tc>
        <w:tc>
          <w:tcPr>
            <w:shd w:val="clear" w:color="auto" w:fill="auto"/>
            <w:tcBorders>
              <w:top w:val="single" w:color="000000" w:sz="2" w:space="0"/>
              <w:left w:val="single" w:color="000000" w:sz="2" w:space="0"/>
              <w:bottom w:val="single" w:color="000000" w:sz="2" w:space="0"/>
              <w:right w:val="single" w:color="000000" w:sz="2" w:space="0"/>
            </w:tcBorders>
            <w:tcW w:w="1576" w:type="pct"/>
            <w:vAlign w:val="center"/>
            <w:textDirection w:val="lrTb"/>
            <w:noWrap w:val="false"/>
          </w:tcPr>
          <w:p>
            <w:pPr>
              <w:pStyle w:val="762"/>
              <w:jc w:val="center"/>
              <w:keepLines w:val="0"/>
              <w:keepNext w:val="0"/>
              <w:pageBreakBefore w:val="0"/>
              <w:spacing w:beforeAutospacing="0" w:afterAutospacing="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软件和信息技术服务业</w:t>
            </w:r>
            <w:r/>
          </w:p>
        </w:tc>
      </w:tr>
    </w:tbl>
    <w:p>
      <w:pPr>
        <w:rPr>
          <w:color w:val="auto"/>
          <w:highlight w:val="none"/>
        </w:rPr>
      </w:pPr>
      <w:r>
        <w:rPr>
          <w:color w:val="auto"/>
          <w:highlight w:val="none"/>
        </w:rPr>
      </w:r>
      <w:r/>
    </w:p>
    <w:p>
      <w:pPr>
        <w:rPr>
          <w:rFonts w:hint="eastAsia" w:ascii="黑体" w:hAnsi="黑体" w:eastAsia="黑体" w:cs="黑体"/>
          <w:color w:val="auto"/>
          <w:sz w:val="44"/>
          <w:szCs w:val="44"/>
          <w:highlight w:val="none"/>
          <w:lang w:val="en-US" w:eastAsia="zh-CN" w:bidi="ar-SA"/>
        </w:rPr>
      </w:pPr>
      <w:r/>
      <w:bookmarkStart w:id="123" w:name="_Toc120614281"/>
      <w:r>
        <w:rPr>
          <w:rFonts w:hint="eastAsia" w:ascii="黑体" w:hAnsi="黑体" w:eastAsia="黑体" w:cs="黑体"/>
          <w:color w:val="auto"/>
          <w:sz w:val="44"/>
          <w:szCs w:val="44"/>
          <w:highlight w:val="none"/>
          <w:lang w:val="en-US" w:eastAsia="zh-CN" w:bidi="ar-SA"/>
        </w:rPr>
        <w:br w:type="page" w:clear="all"/>
      </w:r>
      <w:r/>
    </w:p>
    <w:p>
      <w:pPr>
        <w:pStyle w:val="762"/>
        <w:ind w:right="0"/>
        <w:jc w:val="center"/>
        <w:keepLines w:val="0"/>
        <w:keepNext w:val="0"/>
        <w:pageBreakBefore w:val="0"/>
        <w:spacing w:beforeAutospacing="0" w:afterAutospacing="0"/>
        <w:widowControl w:val="off"/>
        <w:rPr>
          <w:rFonts w:hint="eastAsia" w:ascii="黑体" w:hAnsi="黑体" w:eastAsia="黑体" w:cs="黑体"/>
          <w:color w:val="auto"/>
          <w:sz w:val="44"/>
          <w:szCs w:val="44"/>
          <w:highlight w:val="none"/>
          <w:lang w:val="en-US" w:eastAsia="zh-CN"/>
        </w:rPr>
      </w:pPr>
      <w:r>
        <w:rPr>
          <w:rFonts w:hint="eastAsia" w:ascii="黑体" w:hAnsi="黑体" w:eastAsia="黑体" w:cs="黑体"/>
          <w:color w:val="auto"/>
          <w:sz w:val="44"/>
          <w:szCs w:val="44"/>
          <w:highlight w:val="none"/>
          <w:lang w:val="en-US" w:eastAsia="zh-CN"/>
        </w:rPr>
        <w:t xml:space="preserve">第五章 评标方法与评标标准</w:t>
      </w:r>
      <w:r/>
    </w:p>
    <w:p>
      <w:pPr>
        <w:spacing w:line="360" w:lineRule="auto"/>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一、定标原则</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62"/>
        <w:ind w:left="0" w:firstLine="482"/>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（1）本项目不专门面向中小企业采购，对符合规定的小型和微型企业报价给予20%的扣除价格，用扣除后的价格参与评审。</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（1）本项目对残疾人福利性单位视同小型、微型企业，给予20%的价格扣除，用扣除后的价格参与评审。</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（1）本项目对监狱和戒毒企业（简称监狱企业）视同小型、微型企业，给予20%的价格扣除，用扣除后的价格参与评审。</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6、联合体各方均为小型、微型企业（残疾人福利单位、监狱企业）的，联合体享受20%的价格扣除。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黑体" w:hAnsi="黑体" w:eastAsia="黑体" w:cs="黑体"/>
          <w:b/>
          <w:i/>
          <w:color w:val="auto"/>
          <w:sz w:val="24"/>
          <w:highlight w:val="none"/>
          <w:u w:val="single"/>
        </w:rPr>
        <w:t xml:space="preserve">如属政府强制采购产品未提供认证证书的或认证证书提供不全的将视为未实质性响应采购要求</w:t>
      </w:r>
      <w:r>
        <w:rPr>
          <w:rFonts w:hint="eastAsia" w:ascii="黑体" w:hAnsi="黑体" w:eastAsia="黑体" w:cs="黑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62"/>
        <w:ind w:left="0" w:firstLine="482"/>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p>
      <w:pPr>
        <w:pStyle w:val="762"/>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本项目评分总分值为100分。 </w:t>
      </w:r>
      <w:r/>
    </w:p>
    <w:tbl>
      <w:tblPr>
        <w:tblStyle w:val="739"/>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437"/>
        <w:gridCol w:w="1437"/>
        <w:gridCol w:w="988"/>
        <w:gridCol w:w="5389"/>
      </w:tblGrid>
      <w:tr>
        <w:trPr>
          <w:jc w:val="center"/>
          <w:trHeight w:val="544"/>
          <w:tblHeader/>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序</w:t>
            </w:r>
            <w:r>
              <w:rPr>
                <w:rFonts w:hint="eastAsia" w:ascii="宋体" w:hAnsi="宋体" w:eastAsia="宋体" w:cs="宋体"/>
                <w:b w:val="0"/>
                <w:bCs w:val="0"/>
                <w:color w:val="auto"/>
                <w:sz w:val="24"/>
                <w:szCs w:val="24"/>
                <w:highlight w:val="none"/>
                <w:lang w:val="en-US" w:eastAsia="zh-CN"/>
              </w:rPr>
              <w:t xml:space="preserve">号</w:t>
            </w:r>
            <w:r/>
          </w:p>
        </w:tc>
        <w:tc>
          <w:tcPr>
            <w:gridSpan w:val="2"/>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评分项目</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2712" w:type="pct"/>
            <w:vAlign w:val="center"/>
            <w:textDirection w:val="lrTb"/>
            <w:noWrap w:val="false"/>
          </w:tcPr>
          <w:p>
            <w:pPr>
              <w:ind w:firstLine="480"/>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打分要求</w:t>
            </w:r>
            <w:r/>
          </w:p>
        </w:tc>
      </w:tr>
      <w:tr>
        <w:trPr>
          <w:jc w:val="center"/>
          <w:trHeight w:val="889"/>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2712" w:type="pct"/>
            <w:vAlign w:val="center"/>
            <w:textDirection w:val="lrTb"/>
            <w:noWrap w:val="false"/>
          </w:tcPr>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满足招标文件要求且投标价格最低的投标报价为基准价，其价格分为满分。其他投标人的价格得分按照下列公式计算。投标报价得分=(评标基准价/投标报价)×30（计算结果保留2位小数，第三位四舍五入）。</w:t>
            </w:r>
            <w:r/>
          </w:p>
        </w:tc>
      </w:tr>
      <w:tr>
        <w:trPr>
          <w:jc w:val="center"/>
          <w:trHeight w:val="659"/>
        </w:trPr>
        <w:tc>
          <w:tcPr>
            <w:tcBorders>
              <w:top w:val="single" w:color="auto" w:sz="4" w:space="0"/>
              <w:left w:val="single" w:color="auto" w:sz="4" w:space="0"/>
              <w:right w:val="single" w:color="auto" w:sz="4" w:space="0"/>
            </w:tcBorders>
            <w:tcW w:w="344" w:type="pct"/>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723" w:type="pct"/>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技术</w:t>
            </w:r>
            <w:r>
              <w:rPr>
                <w:rFonts w:hint="eastAsia" w:ascii="宋体" w:hAnsi="宋体" w:eastAsia="宋体" w:cs="宋体"/>
                <w:b w:val="0"/>
                <w:bCs w:val="0"/>
                <w:color w:val="auto"/>
                <w:sz w:val="24"/>
                <w:szCs w:val="24"/>
                <w:highlight w:val="none"/>
              </w:rPr>
              <w:t xml:space="preserve">部分</w:t>
            </w:r>
            <w:r/>
          </w:p>
        </w:tc>
        <w:tc>
          <w:tcPr>
            <w:tcBorders>
              <w:top w:val="single" w:color="auto" w:sz="4" w:space="0"/>
              <w:left w:val="single" w:color="auto" w:sz="4" w:space="0"/>
              <w:right w:val="single" w:color="auto" w:sz="4" w:space="0"/>
            </w:tcBorders>
            <w:tcW w:w="723"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技术参数</w:t>
            </w:r>
            <w:r/>
          </w:p>
        </w:tc>
        <w:tc>
          <w:tcPr>
            <w:tcBorders>
              <w:top w:val="single" w:color="auto" w:sz="4" w:space="0"/>
              <w:left w:val="single" w:color="auto" w:sz="4" w:space="0"/>
              <w:right w:val="single" w:color="auto" w:sz="4" w:space="0"/>
            </w:tcBorders>
            <w:tcW w:w="497"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712" w:type="pct"/>
            <w:vAlign w:val="center"/>
            <w:textDirection w:val="lrTb"/>
            <w:noWrap w:val="false"/>
          </w:tcPr>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所投产品的配置与性能指标、技术参数符合性、技术偏离项等对招标文件的响应程度对投标人进行打分。全部响应招标文件“技术要求”的，得满分10分；标注“★”的参数不满足要求的，每项扣0.5分，扣完为止。 招标文件中要求提供证明材料的以提供证明材料为准。投标人须提供证明材料原件的复印件或彩色扫描件，加盖投标人公章，否则不得分。</w:t>
            </w:r>
            <w:r/>
          </w:p>
        </w:tc>
      </w:tr>
      <w:tr>
        <w:trPr>
          <w:jc w:val="center"/>
          <w:trHeight w:val="3300"/>
        </w:trPr>
        <w:tc>
          <w:tcPr>
            <w:tcBorders>
              <w:left w:val="single" w:color="auto" w:sz="4" w:space="0"/>
              <w:right w:val="single" w:color="auto" w:sz="4" w:space="0"/>
            </w:tcBorders>
            <w:tcW w:w="344"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3"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723"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产品成熟度</w:t>
            </w:r>
            <w:r/>
          </w:p>
        </w:tc>
        <w:tc>
          <w:tcPr>
            <w:tcBorders>
              <w:top w:val="single" w:color="auto" w:sz="4" w:space="0"/>
              <w:left w:val="single" w:color="auto" w:sz="4" w:space="0"/>
              <w:right w:val="single" w:color="auto" w:sz="4" w:space="0"/>
            </w:tcBorders>
            <w:tcW w:w="497"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712" w:type="pct"/>
            <w:vAlign w:val="center"/>
            <w:textDirection w:val="lrTb"/>
            <w:noWrap w:val="false"/>
          </w:tcPr>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所投产品制造商应具有高水平的科技创新实力与制造能力、强大的产业链和创新链资源整合能力，完善的专业化研究开发和产业化条件，能入选国家科学技术部或政府部门发布的“国家专业化众创空间示范名单”的，得2分，提供相关证明材料复印件并加盖投标人公章。</w:t>
            </w:r>
            <w:r/>
          </w:p>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2、所投产品制造商应具备较强的科技创新能力、警务效能和实战能力，获得公安部重点实验室的，得2分，提供相关证明材料并加盖投标人公章。</w:t>
            </w:r>
            <w:r/>
          </w:p>
        </w:tc>
      </w:tr>
      <w:tr>
        <w:trPr>
          <w:jc w:val="center"/>
          <w:trHeight w:val="5005"/>
        </w:trPr>
        <w:tc>
          <w:tcPr>
            <w:tcBorders>
              <w:left w:val="single" w:color="auto" w:sz="4" w:space="0"/>
              <w:right w:val="single" w:color="auto" w:sz="4" w:space="0"/>
            </w:tcBorders>
            <w:tcW w:w="344"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3"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723"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实施方案</w:t>
            </w:r>
            <w:r/>
          </w:p>
        </w:tc>
        <w:tc>
          <w:tcPr>
            <w:tcBorders>
              <w:top w:val="single" w:color="auto" w:sz="4" w:space="0"/>
              <w:left w:val="single" w:color="auto" w:sz="4" w:space="0"/>
              <w:right w:val="single" w:color="auto" w:sz="4" w:space="0"/>
            </w:tcBorders>
            <w:tcW w:w="497"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2712" w:type="pct"/>
            <w:vAlign w:val="center"/>
            <w:textDirection w:val="lrTb"/>
            <w:noWrap w:val="false"/>
          </w:tcPr>
          <w:p>
            <w:pP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总体概述:按照现场踏勘情况提出和本项目相吻合的技术方案，以满足本工程的完整性高、实用性强、操作容易、结构合理、先进性的要求，以确保系统安全、准时、快速高效运营；施工组织总体设想、主要施工方法及施工段划分，评委根据投标人方案进行评审。方案内容优于项目需求的得4分；方案内容基本满足项目需求的得2分；方案内容不满足或不提供得0分。</w:t>
            </w:r>
            <w:r/>
          </w:p>
          <w:p>
            <w:pP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2.施工进度计划和各阶段进度的保证措施，评委根据投标人方案进行评审。方案内容优于项目需求的得2分；方案内容基本满足项目需求的得1分；方案内容不满足或不提供得0分。</w:t>
            </w:r>
            <w:r/>
          </w:p>
          <w:p>
            <w:pPr>
              <w:pStyle w:val="77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3.材料采购及其产品的品牌、质量性能的保证措施，评委根据投标人方案进行评审。方案内容优于项目需求的得2分；方案内容基本满足项目需求的得1分；方案内容不满足或不提供得0分。</w:t>
            </w:r>
            <w:r/>
          </w:p>
          <w:p>
            <w:pPr>
              <w:pStyle w:val="77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4.工程质量及其目标的实现、安全文明施工的保证措施，评委根据投标人方案进行评审。方案内容优于项目需求的得2分；方案内容基本满足项目需求的得1分；方案内容不满足或不提供得0分。</w:t>
            </w:r>
            <w:r/>
          </w:p>
          <w:p>
            <w:pPr>
              <w:pStyle w:val="77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5.关键施工技术、工艺及施工重点、难点和解决方案，评委根据投标人方案进行评审。方案内容优于项目需求的得2分；方案内容基本满足项目需求的得1分；方案内容不满足或不提供得0分。</w:t>
            </w:r>
            <w:r/>
          </w:p>
          <w:p>
            <w:pPr>
              <w:pStyle w:val="77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包括但不限于管理班子、人员配备、健全制度等在内的系列质量保障措施进行比较，评委根据投标人方案进行评审。方案内容优于项目需求的得2分；方案内容基本满足项目需求的得1分；方案内容不满足或不提供得0分。</w:t>
            </w:r>
            <w:r/>
          </w:p>
          <w:p>
            <w:pPr>
              <w:pStyle w:val="77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7.施工现场平面布置和临时设施、临时道路布置，评委根据投标人方案进行评审。方案内容优于项目需求的得2分；方案内容基本满足项目需求的得1分；方案内容不满足或不提供得0分。</w:t>
            </w:r>
            <w:r/>
          </w:p>
          <w:p>
            <w:pPr>
              <w:pStyle w:val="77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季节性施工、已有设施的保护、现场成品及半成品保护措施等特殊情况下的施工措施，评委根据投标人方案进行评审。方案内容优于项目需求的得2分；方案内容基本满足项目需求的得1分；方案内容不满足或不提供得0分。</w:t>
            </w:r>
            <w:r/>
          </w:p>
          <w:p>
            <w:pPr>
              <w:pStyle w:val="775"/>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提供的售后维保服务方案（包括技术服务、售后服务体系等方面的保证措施，详细的维保工作计划和流程），评委根据投标人方案进行评审。方案内容优于项目需求的得2分；方案内容基本满足项目需求的得1分；方案内容不满足或不提供得0分。</w:t>
            </w:r>
            <w:r/>
          </w:p>
        </w:tc>
      </w:tr>
      <w:tr>
        <w:trPr>
          <w:jc w:val="center"/>
          <w:trHeight w:val="132"/>
        </w:trPr>
        <w:tc>
          <w:tcPr>
            <w:tcBorders>
              <w:left w:val="single" w:color="auto" w:sz="4" w:space="0"/>
              <w:right w:val="single" w:color="auto" w:sz="4" w:space="0"/>
            </w:tcBorders>
            <w:tcW w:w="344" w:type="pct"/>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723" w:type="pct"/>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履约能力</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2712" w:type="pct"/>
            <w:vAlign w:val="center"/>
            <w:textDirection w:val="lrTb"/>
            <w:noWrap w:val="false"/>
          </w:tcPr>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1、投标人具有环境管理体系认证证书（ISO14001）、职业健康安全管理体系认证证书（ISO45001）、质量管理体系认证证书（ISO9001）、隐私信息安全管理体系认证证书（ISO27701），每提供一个得2分，本项目最高得8分</w:t>
            </w:r>
            <w:r/>
          </w:p>
          <w:p>
            <w:pPr>
              <w:ind w:firstLine="480"/>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节能环保（2分）</w:t>
            </w:r>
            <w:r/>
          </w:p>
          <w:p>
            <w:pPr>
              <w:ind w:firstLine="480"/>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80"/>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2）投标产品属于财政部、生态环境部公布的“环境标志产品品目清单”范围内的，投标人提供国家确定的认证机构出具的、处于有效期内的该环保产品认证证书复印件的，有1个得0.5分，最多得1分。</w:t>
            </w:r>
            <w:r/>
          </w:p>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具有类似“智能视频安全数据防护系统类”、“安全智能管控平台类”、“警务数据湖采集数据分析系统类”的软件著作权登记证书，每提供一项得1分，最多得3分。投标人须提供证书原件的复印件或彩色扫描件，加盖公章，否则不得分。</w:t>
            </w:r>
            <w:r/>
          </w:p>
        </w:tc>
      </w:tr>
      <w:tr>
        <w:trPr>
          <w:jc w:val="center"/>
          <w:trHeight w:val="248"/>
        </w:trPr>
        <w:tc>
          <w:tcPr>
            <w:tcBorders>
              <w:left w:val="single" w:color="auto" w:sz="4" w:space="0"/>
              <w:right w:val="single" w:color="auto" w:sz="4" w:space="0"/>
            </w:tcBorders>
            <w:tcW w:w="344"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3"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团队实力</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2712" w:type="pct"/>
            <w:vAlign w:val="center"/>
            <w:textDirection w:val="lrTb"/>
            <w:noWrap w:val="false"/>
          </w:tcPr>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1、投标人拟派本项目的项目负责人具有</w:t>
            </w:r>
            <w:r>
              <w:rPr>
                <w:rFonts w:hint="eastAsia" w:ascii="宋体" w:hAnsi="宋体" w:eastAsia="宋体" w:cs="宋体"/>
                <w:b/>
                <w:bCs/>
                <w:color w:val="auto"/>
                <w:sz w:val="24"/>
                <w:szCs w:val="24"/>
                <w:highlight w:val="none"/>
                <w:lang w:val="en-US" w:eastAsia="zh-CN"/>
              </w:rPr>
              <w:t xml:space="preserve">低压电工证</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网络工程师（中级）证书</w:t>
            </w:r>
            <w:r>
              <w:rPr>
                <w:rFonts w:hint="eastAsia" w:ascii="宋体" w:hAnsi="宋体" w:eastAsia="宋体" w:cs="宋体"/>
                <w:b w:val="0"/>
                <w:bCs w:val="0"/>
                <w:color w:val="auto"/>
                <w:sz w:val="24"/>
                <w:szCs w:val="24"/>
                <w:highlight w:val="none"/>
                <w:lang w:val="en-US" w:eastAsia="zh-CN"/>
              </w:rPr>
              <w:t xml:space="preserve">，每有一个得2分，本项最高得4分。</w:t>
            </w:r>
            <w:r/>
          </w:p>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2、投标人拟派本项目的</w:t>
            </w:r>
            <w:r>
              <w:rPr>
                <w:rFonts w:hint="eastAsia" w:ascii="宋体" w:hAnsi="宋体" w:eastAsia="宋体" w:cs="宋体"/>
                <w:b/>
                <w:bCs/>
                <w:color w:val="auto"/>
                <w:sz w:val="24"/>
                <w:szCs w:val="24"/>
                <w:highlight w:val="none"/>
                <w:lang w:val="en-US" w:eastAsia="zh-CN"/>
              </w:rPr>
              <w:t xml:space="preserve">技术负责人</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
                <w:bCs/>
                <w:color w:val="auto"/>
                <w:sz w:val="24"/>
                <w:szCs w:val="24"/>
                <w:highlight w:val="none"/>
                <w:lang w:val="en-US" w:eastAsia="zh-CN"/>
              </w:rPr>
              <w:t xml:space="preserve">数据库系统工程师</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信息系统项目管理师证书</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中级通信工程师（终端与业务）</w:t>
            </w:r>
            <w:r>
              <w:rPr>
                <w:rFonts w:hint="eastAsia" w:ascii="宋体" w:hAnsi="宋体" w:eastAsia="宋体" w:cs="宋体"/>
                <w:b w:val="0"/>
                <w:bCs w:val="0"/>
                <w:color w:val="auto"/>
                <w:sz w:val="24"/>
                <w:szCs w:val="24"/>
                <w:highlight w:val="none"/>
                <w:lang w:val="en-US" w:eastAsia="zh-CN"/>
              </w:rPr>
              <w:t xml:space="preserve">，每有一个得</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分，本项最高得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3、投标人拟组件的项目团队（除项目负责人、技术负责人外），其他成员中具有人社部门颁发和认定的</w:t>
            </w:r>
            <w:r>
              <w:rPr>
                <w:rFonts w:hint="eastAsia" w:ascii="宋体" w:hAnsi="宋体" w:eastAsia="宋体" w:cs="宋体"/>
                <w:b/>
                <w:bCs/>
                <w:color w:val="auto"/>
                <w:sz w:val="24"/>
                <w:szCs w:val="24"/>
                <w:highlight w:val="none"/>
                <w:lang w:val="en-US" w:eastAsia="zh-CN"/>
              </w:rPr>
              <w:t xml:space="preserve">数字经济(通信)工程专业</w:t>
            </w:r>
            <w:r>
              <w:rPr>
                <w:rFonts w:hint="eastAsia" w:ascii="宋体" w:hAnsi="宋体" w:eastAsia="宋体" w:cs="宋体"/>
                <w:b w:val="0"/>
                <w:bCs w:val="0"/>
                <w:color w:val="auto"/>
                <w:sz w:val="24"/>
                <w:szCs w:val="24"/>
                <w:highlight w:val="none"/>
                <w:lang w:val="en-US" w:eastAsia="zh-CN"/>
              </w:rPr>
              <w:t xml:space="preserve">相关的高级工程师、</w:t>
            </w:r>
            <w:r>
              <w:rPr>
                <w:rFonts w:hint="eastAsia" w:ascii="宋体" w:hAnsi="宋体" w:eastAsia="宋体" w:cs="宋体"/>
                <w:b/>
                <w:bCs/>
                <w:color w:val="auto"/>
                <w:sz w:val="24"/>
                <w:szCs w:val="24"/>
                <w:highlight w:val="none"/>
                <w:lang w:val="en-US" w:eastAsia="zh-CN"/>
              </w:rPr>
              <w:t xml:space="preserve">CISAW 信息安全保障人员认证证书</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登高证</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电工证</w:t>
            </w:r>
            <w:r>
              <w:rPr>
                <w:rFonts w:hint="eastAsia" w:ascii="宋体" w:hAnsi="宋体" w:eastAsia="宋体" w:cs="宋体"/>
                <w:b w:val="0"/>
                <w:bCs w:val="0"/>
                <w:color w:val="auto"/>
                <w:sz w:val="24"/>
                <w:szCs w:val="24"/>
                <w:highlight w:val="none"/>
                <w:lang w:val="en-US" w:eastAsia="zh-CN"/>
              </w:rPr>
              <w:t xml:space="preserve">。每种类别证书提供一个得</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en-US" w:eastAsia="zh-CN"/>
              </w:rPr>
              <w:t xml:space="preserve"> 分，最高得</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分，不提供不得分，同一人或同类证书只计算一次。</w:t>
            </w:r>
            <w:r/>
          </w:p>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注：上述材料，投标时提供证书原件彩色扫描件并加盖投标人公章，同时提供投标人为其缴纳近一个月的社保缴纳证明复印件加盖投标人公章，未提供不得分。</w:t>
            </w:r>
            <w:r/>
          </w:p>
        </w:tc>
      </w:tr>
      <w:tr>
        <w:trPr>
          <w:jc w:val="center"/>
          <w:trHeight w:val="248"/>
        </w:trPr>
        <w:tc>
          <w:tcPr>
            <w:shd w:val="clear" w:color="auto" w:fill="auto"/>
            <w:tcBorders>
              <w:left w:val="single" w:color="auto" w:sz="4" w:space="0"/>
              <w:right w:val="single" w:color="auto" w:sz="4" w:space="0"/>
            </w:tcBorders>
            <w:tcW w:w="344" w:type="pct"/>
            <w:vAlign w:val="center"/>
            <w:textDirection w:val="lrTb"/>
            <w:noWrap w:val="false"/>
          </w:tcPr>
          <w:p>
            <w:pPr>
              <w:jc w:val="center"/>
              <w:spacing w:line="3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left w:val="single" w:color="auto" w:sz="4" w:space="0"/>
              <w:right w:val="single" w:color="auto" w:sz="4" w:space="0"/>
            </w:tcBorders>
            <w:tcW w:w="723" w:type="pct"/>
            <w:vAlign w:val="center"/>
            <w:textDirection w:val="lrTb"/>
            <w:noWrap w:val="false"/>
          </w:tcPr>
          <w:p>
            <w:pPr>
              <w:jc w:val="center"/>
              <w:spacing w:line="3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功能演示</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line="3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功能演示</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712" w:type="pct"/>
            <w:vAlign w:val="center"/>
            <w:textDirection w:val="lrTb"/>
            <w:noWrap w:val="false"/>
          </w:tcPr>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确保本次采购的公寓人员管控系统前、后端设备满足对公寓走廊视频画面中人员进出房间情况的识别和统计，投标人需在魔力月光公寓楼，安装前端摄像机并搭建后端测试环境，投标时提供模拟人员出入房间频次分析完整系统功能的视频演示，视频中需在公</w:t>
            </w:r>
            <w:r>
              <w:rPr>
                <w:rFonts w:hint="eastAsia" w:ascii="宋体" w:hAnsi="宋体" w:eastAsia="宋体" w:cs="宋体"/>
                <w:b w:val="0"/>
                <w:bCs w:val="0"/>
                <w:color w:val="auto"/>
                <w:sz w:val="24"/>
                <w:szCs w:val="24"/>
                <w:highlight w:val="none"/>
                <w:lang w:val="en-US" w:eastAsia="zh-CN"/>
              </w:rPr>
              <w:t xml:space="preserve">寓人员管控应用系统展示魔力月光公寓楼至少1个房间的1条人员进出记录，能够详情查看抓拍大图、进出时间、进出状态等信息以及事件点前后10s的视频录像文件，另外需要在平台中展示至少1条异常房间预警记录，在预警详情中能够以时间轴的形式展示进出记录，并支持查看现场抓拍图、视频录像）。演示只接受由真实运行环境及实际操作演示所制作成的演示播放视频，PPT、DEMO、系统静态截图、宣传视频等均视为无效演示。投标人的视频演示清晰易懂，能够明确展示产品的实际使用场景和功能，展示了所有招标要求的功能模块，产品契合度高得10分； </w:t>
            </w:r>
            <w:r/>
          </w:p>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投标人的视频演示能部分满足招标人对公寓人员管控系统的功能需求，视频演示存在卡顿、延迟或功能演示存在技术问题的得6分；</w:t>
            </w:r>
            <w:r/>
          </w:p>
          <w:p>
            <w:pPr>
              <w:ind w:firstLine="480"/>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不满足要求或不提供视频演示文件得0分。</w:t>
            </w:r>
            <w:r/>
          </w:p>
          <w:p>
            <w:pPr>
              <w:ind w:firstLine="480"/>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tc>
      </w:tr>
    </w:tbl>
    <w:p>
      <w:pPr>
        <w:rPr>
          <w:rFonts w:hint="eastAsia" w:ascii="黑体" w:hAnsi="黑体" w:eastAsia="黑体" w:cs="黑体"/>
          <w:color w:val="auto"/>
          <w:sz w:val="44"/>
          <w:szCs w:val="44"/>
          <w:highlight w:val="none"/>
          <w:lang w:val="en-US" w:eastAsia="zh-CN"/>
        </w:rPr>
      </w:pPr>
      <w:r>
        <w:rPr>
          <w:rFonts w:hint="eastAsia" w:ascii="黑体" w:hAnsi="黑体" w:eastAsia="黑体" w:cs="黑体"/>
          <w:color w:val="auto"/>
          <w:sz w:val="44"/>
          <w:szCs w:val="44"/>
          <w:highlight w:val="none"/>
          <w:lang w:val="en-US" w:eastAsia="zh-CN"/>
        </w:rPr>
        <w:br w:type="page" w:clear="all"/>
      </w:r>
      <w:r/>
    </w:p>
    <w:p>
      <w:pPr>
        <w:pStyle w:val="762"/>
        <w:ind w:right="0"/>
        <w:jc w:val="center"/>
        <w:keepLines w:val="0"/>
        <w:keepNext w:val="0"/>
        <w:pageBreakBefore w:val="0"/>
        <w:spacing w:beforeAutospacing="0" w:afterAutospacing="0"/>
        <w:widowControl w:val="off"/>
        <w:rPr>
          <w:rFonts w:hint="eastAsia" w:ascii="黑体" w:hAnsi="黑体" w:eastAsia="黑体" w:cs="黑体"/>
          <w:color w:val="auto"/>
          <w:sz w:val="44"/>
          <w:szCs w:val="44"/>
          <w:highlight w:val="none"/>
          <w:lang w:val="en-US" w:eastAsia="zh-CN"/>
        </w:rPr>
      </w:pPr>
      <w:r>
        <w:rPr>
          <w:rFonts w:hint="eastAsia" w:ascii="黑体" w:hAnsi="黑体" w:eastAsia="黑体" w:cs="黑体"/>
          <w:color w:val="auto"/>
          <w:sz w:val="44"/>
          <w:szCs w:val="44"/>
          <w:highlight w:val="none"/>
          <w:lang w:val="en-US" w:eastAsia="zh-CN"/>
        </w:rPr>
        <w:t xml:space="preserve">第六章   投标文件格式</w:t>
      </w:r>
      <w:bookmarkEnd w:id="26"/>
      <w:r/>
      <w:bookmarkEnd w:id="43"/>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9"/>
      <w:r/>
      <w:bookmarkEnd w:id="90"/>
      <w:r/>
      <w:bookmarkEnd w:id="97"/>
      <w:r/>
      <w:bookmarkEnd w:id="115"/>
      <w:r/>
      <w:bookmarkEnd w:id="123"/>
      <w:r/>
      <w:r/>
    </w:p>
    <w:p>
      <w:pPr>
        <w:pStyle w:val="7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62"/>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 </w:t>
      </w:r>
      <w:r/>
    </w:p>
    <w:p>
      <w:pPr>
        <w:pStyle w:val="762"/>
        <w:jc w:val="center"/>
        <w:spacing w:beforeAutospacing="0" w:afterAutospacing="0"/>
        <w:rPr>
          <w:color w:val="auto"/>
          <w:highlight w:val="none"/>
        </w:rPr>
      </w:pPr>
      <w:r/>
      <w:bookmarkStart w:id="124" w:name="_Toc120614282"/>
      <w:r/>
      <w:bookmarkStart w:id="125" w:name="_Toc49090576"/>
      <w:r>
        <w:rPr>
          <w:rFonts w:hint="eastAsia" w:ascii="宋体" w:hAnsi="宋体" w:eastAsia="宋体" w:cs="宋体"/>
          <w:b/>
          <w:color w:val="auto"/>
          <w:sz w:val="72"/>
          <w:szCs w:val="72"/>
          <w:highlight w:val="none"/>
        </w:rPr>
        <w:t xml:space="preserve">投  标  文  件</w:t>
      </w:r>
      <w:r/>
    </w:p>
    <w:p>
      <w:pPr>
        <w:pStyle w:val="762"/>
        <w:jc w:val="center"/>
        <w:spacing w:beforeAutospacing="0" w:afterAutospacing="0"/>
        <w:rPr>
          <w:color w:val="auto"/>
          <w:highlight w:val="none"/>
        </w:rPr>
      </w:pPr>
      <w:r>
        <w:rPr>
          <w:color w:val="auto"/>
          <w:highlight w:val="none"/>
        </w:rPr>
        <w:t xml:space="preserve"> </w:t>
      </w:r>
      <w:r/>
    </w:p>
    <w:p>
      <w:pPr>
        <w:pStyle w:val="762"/>
        <w:jc w:val="center"/>
        <w:spacing w:beforeAutospacing="0" w:afterAutospacing="0"/>
        <w:rPr>
          <w:color w:val="auto"/>
          <w:highlight w:val="none"/>
        </w:rPr>
      </w:pPr>
      <w:r>
        <w:rPr>
          <w:color w:val="auto"/>
          <w:highlight w:val="none"/>
        </w:rPr>
        <w:t xml:space="preserve"> </w:t>
      </w:r>
      <w:r/>
    </w:p>
    <w:p>
      <w:pPr>
        <w:pStyle w:val="762"/>
        <w:jc w:val="center"/>
        <w:spacing w:beforeAutospacing="0" w:afterAutospacing="0"/>
        <w:rPr>
          <w:color w:val="auto"/>
          <w:highlight w:val="none"/>
        </w:rPr>
      </w:pPr>
      <w:r>
        <w:rPr>
          <w:color w:val="auto"/>
          <w:highlight w:val="none"/>
        </w:rPr>
        <w:t xml:space="preserve"> </w:t>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r>
      <w:r/>
    </w:p>
    <w:p>
      <w:pPr>
        <w:pStyle w:val="762"/>
        <w:jc w:val="center"/>
        <w:spacing w:beforeAutospacing="0" w:afterAutospacing="0"/>
        <w:rPr>
          <w:color w:val="auto"/>
          <w:highlight w:val="none"/>
        </w:rPr>
      </w:pPr>
      <w:r>
        <w:rPr>
          <w:color w:val="auto"/>
          <w:highlight w:val="none"/>
        </w:rPr>
        <w:t xml:space="preserve"> </w:t>
      </w:r>
      <w:r/>
    </w:p>
    <w:p>
      <w:pPr>
        <w:pStyle w:val="762"/>
        <w:jc w:val="center"/>
        <w:spacing w:beforeAutospacing="0" w:afterAutospacing="0"/>
        <w:rPr>
          <w:color w:val="auto"/>
          <w:highlight w:val="none"/>
        </w:rPr>
      </w:pPr>
      <w:r>
        <w:rPr>
          <w:color w:val="auto"/>
          <w:highlight w:val="none"/>
        </w:rPr>
        <w:t xml:space="preserve"> </w:t>
      </w:r>
      <w:bookmarkEnd w:id="124"/>
      <w:r/>
      <w:bookmarkEnd w:id="125"/>
      <w:r/>
      <w:r/>
    </w:p>
    <w:p>
      <w:pPr>
        <w:pStyle w:val="762"/>
        <w:ind w:firstLine="1084"/>
        <w:jc w:val="both"/>
        <w:spacing w:beforeAutospacing="0" w:afterAutospacing="0"/>
        <w:rPr>
          <w:color w:val="auto"/>
          <w:highlight w:val="none"/>
        </w:rPr>
      </w:pPr>
      <w:r/>
      <w:bookmarkStart w:id="126" w:name="_Toc120614284"/>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6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6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6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rPr>
          <w:color w:val="auto"/>
          <w:highlight w:val="none"/>
        </w:rPr>
      </w:pPr>
      <w:r>
        <w:rPr>
          <w:color w:val="auto"/>
          <w:highlight w:val="none"/>
        </w:rPr>
        <w:br w:type="page" w:clear="all"/>
      </w:r>
      <w:r/>
    </w:p>
    <w:p>
      <w:pPr>
        <w:pStyle w:val="762"/>
        <w:jc w:val="center"/>
        <w:spacing w:beforeAutospacing="0" w:afterAutospacing="0" w:line="0" w:lineRule="atLeast"/>
        <w:rPr>
          <w:color w:val="auto"/>
          <w:highlight w:val="none"/>
        </w:rPr>
      </w:pPr>
      <w:r>
        <w:rPr>
          <w:color w:val="auto"/>
          <w:highlight w:val="none"/>
        </w:rPr>
        <w:t xml:space="preserve"> </w:t>
      </w:r>
      <w:r/>
    </w:p>
    <w:p>
      <w:pPr>
        <w:pStyle w:val="762"/>
        <w:jc w:val="both"/>
        <w:spacing w:beforeAutospacing="0" w:afterAutospacing="0" w:line="0" w:lineRule="atLeast"/>
        <w:rPr>
          <w:color w:val="auto"/>
          <w:highlight w:val="none"/>
        </w:rPr>
      </w:pPr>
      <w:r>
        <w:rPr>
          <w:color w:val="auto"/>
          <w:highlight w:val="none"/>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bookmarkStart w:id="127" w:name="_格式2__法定代表人授权书"/>
      <w:r/>
      <w:bookmarkStart w:id="128" w:name="_格式3__银行出具的资信证明"/>
      <w:r/>
      <w:bookmarkStart w:id="129" w:name="_Hlt26955066"/>
      <w:r/>
      <w:bookmarkStart w:id="130" w:name="_Hlt26955070"/>
      <w:r/>
      <w:bookmarkStart w:id="131" w:name="_Hlt26671374"/>
      <w:r/>
      <w:bookmarkStart w:id="132" w:name="_Toc462564146"/>
      <w:r/>
      <w:bookmarkStart w:id="133" w:name="_Hlt26609389"/>
      <w:r/>
      <w:bookmarkStart w:id="134" w:name="_Hlt26671380"/>
      <w:r/>
      <w:bookmarkStart w:id="135" w:name="_Hlt26955054"/>
      <w:r>
        <w:rPr>
          <w:rFonts w:ascii="Calibri" w:hAnsi="Calibri" w:eastAsia="宋体" w:cs="Times New Roman"/>
          <w:color w:val="auto"/>
          <w:sz w:val="24"/>
          <w:szCs w:val="24"/>
          <w:highlight w:val="none"/>
          <w:lang w:val="en-US" w:eastAsia="zh-CN" w:bidi="ar-SA"/>
        </w:rPr>
        <w:t xml:space="preserve"> </w:t>
      </w:r>
      <w:bookmarkEnd w:id="127"/>
      <w:r/>
      <w:bookmarkEnd w:id="128"/>
      <w:r/>
      <w:bookmarkEnd w:id="129"/>
      <w:r/>
      <w:bookmarkEnd w:id="130"/>
      <w:r/>
      <w:bookmarkEnd w:id="131"/>
      <w:r/>
      <w:bookmarkEnd w:id="132"/>
      <w:r/>
      <w:bookmarkEnd w:id="133"/>
      <w:r/>
      <w:bookmarkEnd w:id="134"/>
      <w:r/>
      <w:bookmarkEnd w:id="135"/>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投标文件目录</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left="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二、上一年度的财务状况报表（至少提供资产负债表、利润表、现金流量表，</w:t>
      </w:r>
      <w:r/>
    </w:p>
    <w:p>
      <w:pPr>
        <w:ind w:left="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投标人成立不满一年无需提供）</w:t>
      </w:r>
      <w:r/>
    </w:p>
    <w:p>
      <w:pPr>
        <w:ind w:left="480"/>
        <w:jc w:val="both"/>
        <w:spacing w:beforeAutospacing="0" w:afterAutospacing="0"/>
        <w:widowControl w:val="off"/>
        <w:rPr>
          <w:rFonts w:hint="eastAsia"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三、具备履行合同所必需的设备和专业技术能力的书面声明</w:t>
      </w:r>
      <w:r/>
    </w:p>
    <w:p>
      <w:pPr>
        <w:ind w:left="480"/>
        <w:jc w:val="both"/>
        <w:spacing w:beforeAutospacing="0" w:afterAutospacing="0"/>
        <w:widowControl w:val="off"/>
        <w:rPr>
          <w:rFonts w:hint="eastAsia"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五、参加政府采购活动前 3 年内在经营活动中没有重大违法记录的书面声明</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六、特定资格要求的证明文件（如果本项目设置特定资格要求，则需要提供）</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七、法人授权书</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八、投标函</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九、中小企业声明函</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十、残疾人福利性单位声明函</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十一、联合体协议</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十二、投标分项报价表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十三、技术要求响应及偏离表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十四、商务要求响应及偏离表</w:t>
      </w:r>
      <w:r/>
    </w:p>
    <w:p>
      <w:pPr>
        <w:ind w:firstLine="480"/>
        <w:jc w:val="both"/>
        <w:spacing w:beforeAutospacing="0" w:afterAutospacing="0" w:line="0" w:lineRule="atLeast"/>
        <w:widowControl w:val="off"/>
        <w:rPr>
          <w:rFonts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十五、开标一览表</w:t>
      </w:r>
      <w:r/>
    </w:p>
    <w:p>
      <w:pPr>
        <w:ind w:firstLine="480"/>
        <w:spacing w:before="50" w:after="5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十六、技术方案、服务承诺、培训承诺等</w:t>
      </w:r>
      <w:r/>
    </w:p>
    <w:p>
      <w:pPr>
        <w:ind w:firstLine="480"/>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十七、盐城市政府采购事前信用承诺书</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黑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二、上一年度的财务状况报表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投标人成立不满一年无需提供</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三、具备履行合同所必需的设备和专业技术能力的书面声明</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四、依法缴纳税收和社会保障资金的相关材料</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声  明</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六、特定资格要求的证明文件</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如果本项目申请人的特定资格要求中要求提供的，必须提供。</w:t>
      </w:r>
      <w:r/>
    </w:p>
    <w:p>
      <w:pPr>
        <w:jc w:val="center"/>
        <w:spacing w:beforeAutospacing="0" w:afterAutospacing="0"/>
        <w:widowControl w:val="off"/>
        <w:rPr>
          <w:rFonts w:ascii="黑体" w:hAnsi="宋体" w:eastAsia="黑体" w:cs="黑体"/>
          <w:i/>
          <w:color w:val="auto"/>
          <w:sz w:val="32"/>
          <w:szCs w:val="32"/>
          <w:highlight w:val="none"/>
          <w:u w:val="single"/>
          <w:lang w:val="en-US" w:eastAsia="zh-CN" w:bidi="ar-SA"/>
        </w:rPr>
      </w:pPr>
      <w:r>
        <w:rPr>
          <w:rFonts w:ascii="黑体" w:hAnsi="宋体" w:eastAsia="黑体" w:cs="黑体"/>
          <w:i/>
          <w:color w:val="auto"/>
          <w:sz w:val="32"/>
          <w:szCs w:val="32"/>
          <w:highlight w:val="none"/>
          <w:u w:val="single"/>
          <w:lang w:val="en-US" w:eastAsia="zh-CN" w:bidi="ar-SA"/>
        </w:rPr>
      </w:r>
      <w:r/>
    </w:p>
    <w:p>
      <w:pPr>
        <w:jc w:val="center"/>
        <w:spacing w:beforeAutospacing="0" w:afterAutospacing="0"/>
        <w:widowControl w:val="off"/>
        <w:rPr>
          <w:rFonts w:ascii="黑体" w:hAnsi="宋体" w:eastAsia="黑体" w:cs="黑体"/>
          <w:i/>
          <w:color w:val="auto"/>
          <w:sz w:val="32"/>
          <w:szCs w:val="32"/>
          <w:highlight w:val="none"/>
          <w:u w:val="single"/>
          <w:lang w:val="en-US" w:eastAsia="zh-CN" w:bidi="ar-SA"/>
        </w:rPr>
      </w:pPr>
      <w:r>
        <w:rPr>
          <w:rFonts w:ascii="黑体" w:hAnsi="宋体" w:eastAsia="黑体" w:cs="黑体"/>
          <w:i/>
          <w:color w:val="auto"/>
          <w:sz w:val="32"/>
          <w:szCs w:val="32"/>
          <w:highlight w:val="none"/>
          <w:u w:val="single"/>
          <w:lang w:val="en-US" w:eastAsia="zh-CN" w:bidi="ar-SA"/>
        </w:rPr>
      </w:r>
      <w:r/>
    </w:p>
    <w:p>
      <w:pPr>
        <w:jc w:val="center"/>
        <w:spacing w:beforeAutospacing="0" w:afterAutospacing="0"/>
        <w:widowControl w:val="off"/>
        <w:rPr>
          <w:rFonts w:ascii="黑体" w:hAnsi="宋体" w:eastAsia="黑体" w:cs="黑体"/>
          <w:i/>
          <w:color w:val="auto"/>
          <w:sz w:val="32"/>
          <w:szCs w:val="32"/>
          <w:highlight w:val="none"/>
          <w:u w:val="single"/>
          <w:lang w:val="en-US" w:eastAsia="zh-CN" w:bidi="ar-SA"/>
        </w:rPr>
      </w:pPr>
      <w:r>
        <w:rPr>
          <w:rFonts w:ascii="黑体" w:hAnsi="宋体" w:eastAsia="黑体" w:cs="黑体"/>
          <w:i/>
          <w:color w:val="auto"/>
          <w:sz w:val="32"/>
          <w:szCs w:val="32"/>
          <w:highlight w:val="none"/>
          <w:u w:val="single"/>
          <w:lang w:val="en-US" w:eastAsia="zh-CN" w:bidi="ar-SA"/>
        </w:rPr>
      </w:r>
      <w:r/>
    </w:p>
    <w:p>
      <w:pPr>
        <w:jc w:val="center"/>
        <w:spacing w:beforeAutospacing="0" w:afterAutospacing="0"/>
        <w:widowControl w:val="off"/>
        <w:rPr>
          <w:rFonts w:ascii="黑体" w:hAnsi="宋体" w:eastAsia="黑体" w:cs="黑体"/>
          <w:i/>
          <w:color w:val="auto"/>
          <w:sz w:val="32"/>
          <w:szCs w:val="32"/>
          <w:highlight w:val="none"/>
          <w:u w:val="single"/>
          <w:lang w:val="en-US" w:eastAsia="zh-CN" w:bidi="ar-SA"/>
        </w:rPr>
      </w:pPr>
      <w:r>
        <w:rPr>
          <w:rFonts w:ascii="黑体" w:hAnsi="宋体" w:eastAsia="黑体" w:cs="黑体"/>
          <w:i/>
          <w:color w:val="auto"/>
          <w:sz w:val="32"/>
          <w:szCs w:val="32"/>
          <w:highlight w:val="none"/>
          <w:u w:val="single"/>
          <w:lang w:val="en-US" w:eastAsia="zh-CN" w:bidi="ar-SA"/>
        </w:rPr>
      </w:r>
      <w:r/>
    </w:p>
    <w:p>
      <w:pPr>
        <w:rPr>
          <w:rFonts w:hint="eastAsia" w:ascii="黑体" w:hAnsi="宋体" w:eastAsia="黑体" w:cs="黑体"/>
          <w:i/>
          <w:color w:val="auto"/>
          <w:sz w:val="32"/>
          <w:szCs w:val="32"/>
          <w:highlight w:val="none"/>
          <w:u w:val="single"/>
          <w:lang w:val="en-US" w:eastAsia="zh-CN" w:bidi="ar-SA"/>
        </w:rPr>
      </w:pPr>
      <w:r>
        <w:rPr>
          <w:rFonts w:hint="eastAsia" w:ascii="黑体" w:hAnsi="宋体" w:eastAsia="黑体" w:cs="黑体"/>
          <w:i/>
          <w:color w:val="auto"/>
          <w:sz w:val="32"/>
          <w:szCs w:val="32"/>
          <w:highlight w:val="none"/>
          <w:u w:val="single"/>
          <w:lang w:val="en-US" w:eastAsia="zh-CN" w:bidi="ar-SA"/>
        </w:rPr>
        <w:br w:type="page" w:clear="all"/>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七、法人授权书</w:t>
      </w:r>
      <w:r/>
    </w:p>
    <w:p>
      <w:pPr>
        <w:ind w:firstLine="480"/>
        <w:jc w:val="both"/>
        <w:spacing w:beforeAutospacing="0" w:afterAutospacing="0"/>
        <w:widowControl w:val="off"/>
        <w:tabs>
          <w:tab w:val="left" w:pos="360" w:leader="none"/>
        </w:tabs>
        <w:rPr>
          <w:rFonts w:ascii="Calibri" w:hAnsi="Calibri"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lang w:val="en-US" w:eastAsia="zh-CN" w:bidi="ar-SA"/>
        </w:rPr>
        <w:t xml:space="preserve">        </w:t>
      </w:r>
      <w:r>
        <w:rPr>
          <w:rFonts w:ascii="Times New Roman" w:hAnsi="Times New Roman" w:eastAsia="宋体" w:cs="Times New Roman"/>
          <w:color w:val="auto"/>
          <w:sz w:val="24"/>
          <w:szCs w:val="24"/>
          <w:highlight w:val="none"/>
          <w:lang w:val="en-US" w:eastAsia="zh-CN" w:bidi="ar-SA"/>
        </w:rPr>
        <w:t xml:space="preserve">号项目采购活动的合法代理人，以本单位名义全权处理一切与该项目采购有关的事务。</w:t>
      </w:r>
      <w:r/>
    </w:p>
    <w:p>
      <w:pPr>
        <w:ind w:firstLine="480"/>
        <w:jc w:val="both"/>
        <w:spacing w:beforeAutospacing="0" w:afterAutospacing="0"/>
        <w:widowControl w:val="off"/>
        <w:tabs>
          <w:tab w:val="left" w:pos="360" w:leader="none"/>
        </w:tabs>
        <w:rPr>
          <w:rFonts w:ascii="Calibri" w:hAnsi="Calibri"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本授权书于______年____月____日起生效，特此声明。</w:t>
      </w:r>
      <w:r/>
    </w:p>
    <w:p>
      <w:pPr>
        <w:jc w:val="both"/>
        <w:spacing w:beforeAutospacing="0" w:afterAutospacing="0"/>
        <w:widowControl w:val="off"/>
        <w:tabs>
          <w:tab w:val="left" w:pos="360" w:leader="none"/>
        </w:tabs>
        <w:rPr>
          <w:rFonts w:ascii="Calibri" w:hAnsi="Calibri"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被授权人身份证号码：</w:t>
      </w:r>
      <w:r>
        <w:rPr>
          <w:rFonts w:ascii="Times New Roman" w:hAnsi="Times New Roman" w:eastAsia="宋体" w:cs="Times New Roman"/>
          <w:color w:val="auto"/>
          <w:sz w:val="24"/>
          <w:szCs w:val="24"/>
          <w:highlight w:val="none"/>
          <w:u w:val="single"/>
          <w:lang w:val="en-US" w:eastAsia="zh-CN" w:bidi="ar-SA"/>
        </w:rPr>
        <w:t xml:space="preserve">                              </w:t>
      </w:r>
      <w:r/>
    </w:p>
    <w:p>
      <w:pPr>
        <w:jc w:val="both"/>
        <w:spacing w:beforeAutospacing="0" w:afterAutospacing="0"/>
        <w:widowControl w:val="off"/>
        <w:tabs>
          <w:tab w:val="left" w:pos="360" w:leader="none"/>
        </w:tabs>
        <w:rPr>
          <w:rFonts w:ascii="Calibri" w:hAnsi="Calibri"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被授权人联系电话：（手机）</w:t>
      </w:r>
      <w:r>
        <w:rPr>
          <w:rFonts w:ascii="Times New Roman" w:hAnsi="Times New Roman" w:eastAsia="宋体" w:cs="Times New Roman"/>
          <w:color w:val="auto"/>
          <w:sz w:val="24"/>
          <w:szCs w:val="24"/>
          <w:highlight w:val="none"/>
          <w:u w:val="single"/>
          <w:lang w:val="en-US" w:eastAsia="zh-CN" w:bidi="ar-SA"/>
        </w:rPr>
        <w:t xml:space="preserve">                          </w:t>
      </w:r>
      <w:r/>
    </w:p>
    <w:p>
      <w:pPr>
        <w:ind w:firstLine="1200"/>
        <w:jc w:val="both"/>
        <w:spacing w:beforeAutospacing="0" w:afterAutospacing="0"/>
        <w:widowControl w:val="off"/>
        <w:tabs>
          <w:tab w:val="left" w:pos="360" w:leader="none"/>
        </w:tabs>
        <w:rPr>
          <w:rFonts w:ascii="Calibri" w:hAnsi="Calibri"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授权单位名称：</w:t>
      </w:r>
      <w:r>
        <w:rPr>
          <w:rFonts w:ascii="Times New Roman" w:hAnsi="Times New Roman" w:eastAsia="宋体" w:cs="Times New Roman"/>
          <w:color w:val="auto"/>
          <w:sz w:val="24"/>
          <w:szCs w:val="24"/>
          <w:highlight w:val="none"/>
          <w:u w:val="single"/>
          <w:lang w:val="en-US" w:eastAsia="zh-CN" w:bidi="ar-SA"/>
        </w:rPr>
        <w:t xml:space="preserve">（加盖CA电子公章）</w:t>
      </w:r>
      <w:r/>
    </w:p>
    <w:p>
      <w:pPr>
        <w:ind w:firstLine="480"/>
        <w:jc w:val="both"/>
        <w:spacing w:beforeAutospacing="0" w:afterAutospacing="0"/>
        <w:widowControl w:val="off"/>
        <w:tabs>
          <w:tab w:val="left" w:pos="360" w:leader="none"/>
        </w:tabs>
        <w:rPr>
          <w:rFonts w:ascii="Calibri" w:hAnsi="Calibri"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单位地址：</w:t>
      </w:r>
      <w:r>
        <w:rPr>
          <w:rFonts w:ascii="Times New Roman" w:hAnsi="Times New Roman" w:eastAsia="宋体" w:cs="Times New Roman"/>
          <w:color w:val="auto"/>
          <w:sz w:val="24"/>
          <w:szCs w:val="24"/>
          <w:highlight w:val="none"/>
          <w:u w:val="single"/>
          <w:lang w:val="en-US" w:eastAsia="zh-CN" w:bidi="ar-SA"/>
        </w:rPr>
        <w:t xml:space="preserve">                                         </w:t>
      </w:r>
      <w:r/>
    </w:p>
    <w:p>
      <w:pPr>
        <w:ind w:firstLine="480"/>
        <w:jc w:val="both"/>
        <w:spacing w:beforeAutospacing="0" w:afterAutospacing="0"/>
        <w:widowControl w:val="off"/>
        <w:tabs>
          <w:tab w:val="left" w:pos="360" w:leader="none"/>
        </w:tabs>
        <w:rPr>
          <w:rFonts w:ascii="Calibri" w:hAnsi="Calibri"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日期：</w:t>
      </w:r>
      <w:r>
        <w:rPr>
          <w:rFonts w:ascii="Times New Roman" w:hAnsi="Times New Roman" w:eastAsia="宋体" w:cs="Times New Roman"/>
          <w:color w:val="auto"/>
          <w:sz w:val="24"/>
          <w:szCs w:val="24"/>
          <w:highlight w:val="none"/>
          <w:u w:val="single"/>
          <w:lang w:val="en-US" w:eastAsia="zh-CN" w:bidi="ar-SA"/>
        </w:rPr>
        <w:t xml:space="preserve">                                         </w:t>
      </w:r>
      <w:r/>
    </w:p>
    <w:p>
      <w:pPr>
        <w:ind w:firstLine="42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3390"/>
        <w:jc w:val="both"/>
        <w:keepLines/>
        <w:keepNext/>
        <w:spacing w:before="260" w:beforeAutospacing="0" w:after="260" w:afterAutospacing="0" w:line="415" w:lineRule="auto"/>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br w:type="page" w:clear="all"/>
      </w:r>
      <w:r>
        <w:rPr>
          <w:rFonts w:hint="eastAsia" w:ascii="宋体" w:hAnsi="宋体" w:eastAsia="宋体" w:cs="宋体"/>
          <w:b/>
          <w:color w:val="auto"/>
          <w:sz w:val="24"/>
          <w:szCs w:val="24"/>
          <w:highlight w:val="none"/>
          <w:lang w:val="en-US" w:eastAsia="zh-CN" w:bidi="ar-SA"/>
        </w:rPr>
        <w:t xml:space="preserve"> </w:t>
      </w:r>
      <w:r>
        <w:rPr>
          <w:rFonts w:hint="eastAsia" w:ascii="黑体" w:hAnsi="宋体" w:eastAsia="黑体" w:cs="黑体"/>
          <w:b/>
          <w:i/>
          <w:color w:val="auto"/>
          <w:sz w:val="32"/>
          <w:szCs w:val="32"/>
          <w:highlight w:val="none"/>
          <w:u w:val="single"/>
          <w:lang w:val="en-US" w:eastAsia="zh-CN" w:bidi="ar-SA"/>
        </w:rPr>
        <w:t xml:space="preserve">八、投标函</w:t>
      </w:r>
      <w:r/>
    </w:p>
    <w:p>
      <w:pPr>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致：江苏省盐南高新区政务服务中心</w:t>
      </w:r>
      <w:r/>
    </w:p>
    <w:p>
      <w:pPr>
        <w:ind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根据贵方的JSZC-***</w:t>
      </w:r>
      <w:r>
        <w:rPr>
          <w:rFonts w:hint="eastAsia" w:ascii="宋体" w:hAnsi="宋体" w:eastAsia="宋体" w:cs="宋体"/>
          <w:b/>
          <w:color w:val="auto"/>
          <w:sz w:val="36"/>
          <w:szCs w:val="36"/>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号招标文件，正式授权下述签字人_________________(姓名)代表我方______________（投标人的名称），全权处理本次项目投标的有关事宜。</w:t>
      </w:r>
      <w:r/>
    </w:p>
    <w:p>
      <w:pPr>
        <w:ind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据此函，__________签字人兹宣布同意如下：</w:t>
      </w:r>
      <w:r/>
    </w:p>
    <w:p>
      <w:pPr>
        <w:ind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1.按招标文件规定的各项要求，向买方提供所需货物（包含与货物相关的服务）。</w:t>
      </w:r>
      <w:r/>
    </w:p>
    <w:p>
      <w:pPr>
        <w:ind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2.我们完全理解贵方不一定将合同授予最低报价的投标人。</w:t>
      </w:r>
      <w:r/>
    </w:p>
    <w:p>
      <w:pPr>
        <w:ind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3.我们已详细审核全部招标文件及其有效补充文件，我们知道必须放弃提出含糊不清或误解问题的权利。</w:t>
      </w:r>
      <w:r/>
    </w:p>
    <w:p>
      <w:pPr>
        <w:ind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4.我们同意从规定的开标日期起遵循本投标文件，并在规定的投标有效期期满之前均具有约束力。</w:t>
      </w:r>
      <w:r/>
    </w:p>
    <w:p>
      <w:pPr>
        <w:ind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5.同意向贵方提供贵方可能另外要求的与投标有关的任何证据或资料，并保证我方已提供和将要提供的文件是真实的、准确的。</w:t>
      </w:r>
      <w:r/>
    </w:p>
    <w:p>
      <w:pPr>
        <w:ind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6.一旦我方中标,我方将根据招标文件的规定，严格履行合同的责任和义务,并保证在招标文件规定的时间完成项目，交付买方验收、使用。</w:t>
      </w:r>
      <w:r/>
    </w:p>
    <w:p>
      <w:pPr>
        <w:ind w:left="425"/>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7.与本投标有关的正式通讯地址为：</w:t>
      </w:r>
      <w:r/>
    </w:p>
    <w:p>
      <w:pPr>
        <w:ind w:left="420"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          址：</w:t>
      </w:r>
      <w:r/>
    </w:p>
    <w:p>
      <w:pPr>
        <w:ind w:left="420"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          编：</w:t>
      </w:r>
      <w:r/>
    </w:p>
    <w:p>
      <w:pPr>
        <w:ind w:left="420"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          话：</w:t>
      </w:r>
      <w:r/>
    </w:p>
    <w:p>
      <w:pPr>
        <w:ind w:left="420"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传          真：</w:t>
      </w:r>
      <w:r/>
    </w:p>
    <w:p>
      <w:pPr>
        <w:ind w:left="420"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投标人开户行：</w:t>
      </w:r>
      <w:r/>
    </w:p>
    <w:p>
      <w:pPr>
        <w:ind w:left="420"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          号： </w:t>
      </w:r>
      <w:r/>
    </w:p>
    <w:p>
      <w:pPr>
        <w:ind w:left="420" w:firstLine="480"/>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期：________年____月____日</w:t>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br w:type="page" w:clear="all"/>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九、中小企业声明函（货物）（分包号：**）</w:t>
      </w:r>
      <w:r/>
    </w:p>
    <w:p>
      <w:pPr>
        <w:ind w:firstLine="480"/>
        <w:jc w:val="both"/>
        <w:spacing w:line="500" w:lineRule="exact"/>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本公司（联合体）郑重声明，根据《政府采购促进中小企业发展管理办法》（财库﹝2020﹞46 号）的规定，本公司（联合体）参加盐城市政府采购中心组织的</w:t>
      </w:r>
      <w:r>
        <w:rPr>
          <w:rFonts w:hint="eastAsia" w:ascii="Calibri" w:hAnsi="Calibri" w:eastAsia="宋体" w:cs="Times New Roman"/>
          <w:i/>
          <w:iCs/>
          <w:color w:val="auto"/>
          <w:sz w:val="24"/>
          <w:szCs w:val="24"/>
          <w:highlight w:val="none"/>
          <w:u w:val="single"/>
        </w:rPr>
        <w:t xml:space="preserve">（单位名称）</w:t>
      </w:r>
      <w:r>
        <w:rPr>
          <w:rFonts w:hint="eastAsia" w:ascii="Calibri" w:hAnsi="Calibri" w:eastAsia="宋体" w:cs="Times New Roman"/>
          <w:color w:val="auto"/>
          <w:sz w:val="24"/>
          <w:szCs w:val="20"/>
          <w:highlight w:val="none"/>
        </w:rPr>
        <w:t xml:space="preserve">，</w:t>
      </w:r>
      <w:r>
        <w:rPr>
          <w:rFonts w:hint="eastAsia" w:ascii="Calibri" w:hAnsi="Calibri" w:eastAsia="宋体" w:cs="Times New Roman"/>
          <w:color w:val="auto"/>
          <w:sz w:val="24"/>
          <w:highlight w:val="none"/>
        </w:rPr>
        <w:t xml:space="preserve">采购编号为</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lang w:val="en-US" w:eastAsia="zh-CN"/>
        </w:rPr>
        <w:t xml:space="preserve">的</w:t>
      </w:r>
      <w:r>
        <w:rPr>
          <w:rFonts w:hint="eastAsia" w:ascii="Calibri" w:hAnsi="Calibri" w:eastAsia="宋体" w:cs="Times New Roman"/>
          <w:i/>
          <w:iCs/>
          <w:color w:val="auto"/>
          <w:sz w:val="24"/>
          <w:highlight w:val="none"/>
          <w:u w:val="single"/>
        </w:rPr>
        <w:t xml:space="preserve">（项目名称）</w:t>
      </w:r>
      <w:r>
        <w:rPr>
          <w:rFonts w:hint="eastAsia" w:ascii="Calibri" w:hAnsi="Calibri" w:eastAsia="宋体" w:cs="Times New Roman"/>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ascii="Calibri" w:hAnsi="Calibri" w:eastAsia="宋体" w:cs="Times New Roman"/>
          <w:color w:val="auto"/>
          <w:sz w:val="24"/>
          <w:highlight w:val="none"/>
        </w:rPr>
      </w:pPr>
      <w:r>
        <w:rPr>
          <w:rFonts w:hint="eastAsia" w:ascii="Calibri" w:hAnsi="Calibri" w:eastAsia="宋体" w:cs="Times New Roman"/>
          <w:i/>
          <w:iCs/>
          <w:color w:val="auto"/>
          <w:sz w:val="24"/>
          <w:highlight w:val="none"/>
          <w:u w:val="single"/>
        </w:rPr>
        <w:t xml:space="preserve">（标的名称）</w:t>
      </w:r>
      <w:r>
        <w:rPr>
          <w:rFonts w:hint="eastAsia" w:ascii="Calibri" w:hAnsi="Calibri" w:eastAsia="宋体" w:cs="Times New Roman"/>
          <w:color w:val="auto"/>
          <w:sz w:val="24"/>
          <w:highlight w:val="none"/>
        </w:rPr>
        <w:t xml:space="preserve"> ，属于</w:t>
      </w:r>
      <w:r>
        <w:rPr>
          <w:rFonts w:hint="eastAsia" w:ascii="Calibri" w:hAnsi="Calibri" w:eastAsia="宋体" w:cs="Times New Roman"/>
          <w:i/>
          <w:iCs/>
          <w:color w:val="auto"/>
          <w:sz w:val="24"/>
          <w:highlight w:val="none"/>
          <w:u w:val="single"/>
        </w:rPr>
        <w:t xml:space="preserve">（采购文件中明确的所属行业）</w:t>
      </w:r>
      <w:r>
        <w:rPr>
          <w:rFonts w:hint="eastAsia" w:ascii="Calibri" w:hAnsi="Calibri" w:eastAsia="宋体" w:cs="Times New Roman"/>
          <w:color w:val="auto"/>
          <w:sz w:val="24"/>
          <w:highlight w:val="none"/>
        </w:rPr>
        <w:t xml:space="preserve">；承建（承接）企业为</w:t>
      </w:r>
      <w:r>
        <w:rPr>
          <w:rFonts w:hint="eastAsia" w:ascii="Calibri" w:hAnsi="Calibri" w:eastAsia="宋体" w:cs="Times New Roman"/>
          <w:i/>
          <w:iCs/>
          <w:color w:val="auto"/>
          <w:sz w:val="24"/>
          <w:highlight w:val="none"/>
          <w:u w:val="single"/>
        </w:rPr>
        <w:t xml:space="preserve">（企业名称）</w:t>
      </w:r>
      <w:r>
        <w:rPr>
          <w:rFonts w:hint="eastAsia" w:ascii="Calibri" w:hAnsi="Calibri" w:eastAsia="宋体" w:cs="Times New Roman"/>
          <w:color w:val="auto"/>
          <w:sz w:val="24"/>
          <w:highlight w:val="none"/>
        </w:rPr>
        <w:t xml:space="preserve">，从业人员</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人，营业收入为</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万元，资产总额为</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万元，属于（</w:t>
      </w:r>
      <w:r>
        <w:rPr>
          <w:rFonts w:hint="eastAsia" w:ascii="Calibri" w:hAnsi="Calibri" w:eastAsia="宋体" w:cs="Times New Roman"/>
          <w:i/>
          <w:iCs/>
          <w:color w:val="auto"/>
          <w:sz w:val="24"/>
          <w:highlight w:val="none"/>
          <w:u w:val="single"/>
        </w:rPr>
        <w:t xml:space="preserve">中型企业、小型企业、微型企业</w:t>
      </w:r>
      <w:r>
        <w:rPr>
          <w:rFonts w:hint="eastAsia" w:ascii="Calibri" w:hAnsi="Calibri" w:eastAsia="宋体" w:cs="Times New Roman"/>
          <w:color w:val="auto"/>
          <w:sz w:val="24"/>
          <w:highlight w:val="none"/>
        </w:rPr>
        <w:t xml:space="preserve">）；</w:t>
      </w:r>
      <w:r/>
    </w:p>
    <w:p>
      <w:pPr>
        <w:numPr>
          <w:ilvl w:val="0"/>
          <w:numId w:val="2"/>
        </w:numPr>
        <w:ind w:left="0" w:firstLine="480"/>
        <w:jc w:val="both"/>
        <w:spacing w:line="500" w:lineRule="exact"/>
        <w:rPr>
          <w:rFonts w:hint="eastAsia" w:ascii="Calibri" w:hAnsi="Calibri" w:eastAsia="宋体" w:cs="Times New Roman"/>
          <w:color w:val="auto"/>
          <w:sz w:val="24"/>
          <w:highlight w:val="none"/>
        </w:rPr>
      </w:pPr>
      <w:r>
        <w:rPr>
          <w:rFonts w:hint="eastAsia" w:ascii="Calibri" w:hAnsi="Calibri" w:eastAsia="宋体" w:cs="Times New Roman"/>
          <w:i/>
          <w:iCs/>
          <w:color w:val="auto"/>
          <w:sz w:val="24"/>
          <w:highlight w:val="none"/>
          <w:u w:val="single"/>
        </w:rPr>
        <w:t xml:space="preserve">（标的名称）</w:t>
      </w:r>
      <w:r>
        <w:rPr>
          <w:rFonts w:hint="eastAsia" w:ascii="Calibri" w:hAnsi="Calibri" w:eastAsia="宋体" w:cs="Times New Roman"/>
          <w:color w:val="auto"/>
          <w:sz w:val="24"/>
          <w:highlight w:val="none"/>
        </w:rPr>
        <w:t xml:space="preserve"> ，属于</w:t>
      </w:r>
      <w:r>
        <w:rPr>
          <w:rFonts w:hint="eastAsia" w:ascii="Calibri" w:hAnsi="Calibri" w:eastAsia="宋体" w:cs="Times New Roman"/>
          <w:i/>
          <w:iCs/>
          <w:color w:val="auto"/>
          <w:sz w:val="24"/>
          <w:highlight w:val="none"/>
          <w:u w:val="single"/>
        </w:rPr>
        <w:t xml:space="preserve">（采购文件中明确的所属行业）</w:t>
      </w:r>
      <w:r>
        <w:rPr>
          <w:rFonts w:hint="eastAsia" w:ascii="Calibri" w:hAnsi="Calibri" w:eastAsia="宋体" w:cs="Times New Roman"/>
          <w:color w:val="auto"/>
          <w:sz w:val="24"/>
          <w:highlight w:val="none"/>
        </w:rPr>
        <w:t xml:space="preserve">；承建（承接）企业为</w:t>
      </w:r>
      <w:r>
        <w:rPr>
          <w:rFonts w:hint="eastAsia" w:ascii="Calibri" w:hAnsi="Calibri" w:eastAsia="宋体" w:cs="Times New Roman"/>
          <w:i/>
          <w:iCs/>
          <w:color w:val="auto"/>
          <w:sz w:val="24"/>
          <w:highlight w:val="none"/>
          <w:u w:val="single"/>
        </w:rPr>
        <w:t xml:space="preserve">（企业名称）</w:t>
      </w:r>
      <w:r>
        <w:rPr>
          <w:rFonts w:hint="eastAsia" w:ascii="Calibri" w:hAnsi="Calibri" w:eastAsia="宋体" w:cs="Times New Roman"/>
          <w:color w:val="auto"/>
          <w:sz w:val="24"/>
          <w:highlight w:val="none"/>
        </w:rPr>
        <w:t xml:space="preserve">，从业人员</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人，营业收入为</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万元，资产总额为</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万元，属于</w:t>
      </w:r>
      <w:r>
        <w:rPr>
          <w:rFonts w:hint="eastAsia" w:ascii="Calibri" w:hAnsi="Calibri" w:eastAsia="宋体" w:cs="Times New Roman"/>
          <w:i/>
          <w:iCs/>
          <w:color w:val="auto"/>
          <w:sz w:val="24"/>
          <w:highlight w:val="none"/>
          <w:u w:val="single"/>
        </w:rPr>
        <w:t xml:space="preserve">（中型企业、小型企业、微型企业）</w:t>
      </w:r>
      <w:r>
        <w:rPr>
          <w:rFonts w:hint="eastAsia" w:ascii="Calibri" w:hAnsi="Calibri" w:eastAsia="宋体" w:cs="Times New Roman"/>
          <w:color w:val="auto"/>
          <w:sz w:val="24"/>
          <w:highlight w:val="none"/>
        </w:rPr>
        <w:t xml:space="preserve">；</w:t>
      </w:r>
      <w:r/>
    </w:p>
    <w:p>
      <w:pPr>
        <w:numPr>
          <w:ilvl w:val="0"/>
          <w:numId w:val="0"/>
        </w:numPr>
        <w:ind w:firstLine="480"/>
        <w:jc w:val="both"/>
        <w:spacing w:line="500" w:lineRule="exact"/>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w:t>
      </w:r>
      <w:r/>
    </w:p>
    <w:p>
      <w:pPr>
        <w:numPr>
          <w:ilvl w:val="0"/>
          <w:numId w:val="0"/>
        </w:numPr>
        <w:ind w:firstLine="480"/>
        <w:jc w:val="both"/>
        <w:spacing w:line="500" w:lineRule="exact"/>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本企业对上述声明内容的真实性负责。如有虚假，将依法承担相应责任。</w:t>
      </w:r>
      <w:r/>
    </w:p>
    <w:p>
      <w:pPr>
        <w:ind w:right="72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right="180" w:firstLine="360"/>
        <w:jc w:val="righ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企业名称（加盖CA电子公章）：</w:t>
      </w:r>
      <w:r/>
    </w:p>
    <w:p>
      <w:pPr>
        <w:ind w:right="480" w:firstLine="540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w:t>
      </w:r>
      <w:r/>
    </w:p>
    <w:p>
      <w:pPr>
        <w:ind w:firstLine="24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备注2：供应商如不提供此声明函，价格将不做相应扣除（如项目全面面向中小企业，则资格审查不通过）。</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br w:type="page" w:clear="all"/>
      </w:r>
      <w:r>
        <w:rPr>
          <w:rFonts w:hint="eastAsia" w:ascii="黑体" w:hAnsi="宋体" w:eastAsia="黑体" w:cs="黑体"/>
          <w:b/>
          <w:color w:val="auto"/>
          <w:sz w:val="32"/>
          <w:szCs w:val="32"/>
          <w:highlight w:val="none"/>
          <w:lang w:val="en-US" w:eastAsia="zh-CN" w:bidi="ar-SA"/>
        </w:rPr>
        <w:t xml:space="preserve"> 十、残疾人福利性单位声明函（分包号：**）</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项目（分包号：**）采购活动提供本单位制造的货物，或者提供其他残疾人福利性单位制造的货物（不包括使用非残疾人福利性单位注册商标的货物）。</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备注：1、供应商如不提供此声明函，价格将不做相应扣除（如项目全面面向中小企业，则资格审查不通过）。2、中标供应商为残疾人福利单位的，此声明函将随中标结果同时公告，接受社会监督</w:t>
      </w:r>
      <w:r/>
    </w:p>
    <w:p>
      <w:pPr>
        <w:ind w:firstLine="624"/>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right="1560" w:firstLine="624"/>
        <w:jc w:val="center"/>
        <w:spacing w:beforeAutospacing="0" w:afterAutospacing="0" w:line="0" w:lineRule="atLeast"/>
        <w:widowControl w:val="off"/>
        <w:tabs>
          <w:tab w:val="left" w:pos="4864" w:leader="none"/>
        </w:tabs>
        <w:rPr>
          <w:rFonts w:ascii="Calibri" w:hAnsi="Calibri" w:eastAsia="宋体" w:cs="Times New Roman"/>
          <w:color w:val="auto"/>
          <w:sz w:val="24"/>
          <w:szCs w:val="24"/>
          <w:highlight w:val="none"/>
          <w:lang w:val="en-US" w:eastAsia="zh-CN" w:bidi="ar-SA"/>
        </w:rPr>
      </w:pPr>
      <w:r>
        <w:rPr>
          <w:rFonts w:ascii="仿宋_GB2312" w:hAnsi="Calibri" w:eastAsia="仿宋_GB2312" w:cs="仿宋_GB2312"/>
          <w:color w:val="auto"/>
          <w:sz w:val="30"/>
          <w:szCs w:val="30"/>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供应商全称（加盖CA电子公章）：</w:t>
      </w:r>
      <w:r/>
    </w:p>
    <w:p>
      <w:pPr>
        <w:ind w:right="1560" w:firstLine="480"/>
        <w:jc w:val="center"/>
        <w:spacing w:beforeAutospacing="0" w:afterAutospacing="0" w:line="0" w:lineRule="atLeast"/>
        <w:widowControl w:val="off"/>
        <w:tabs>
          <w:tab w:val="left" w:pos="4864" w:leader="none"/>
        </w:tabs>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  期：</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br w:type="page" w:clear="all"/>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十一、联合体协议（参考格式）（分包号：**）</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（联合体中各供应商全称）在此达成以下协议：</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1、我们</w:t>
      </w:r>
      <w:r>
        <w:rPr>
          <w:rFonts w:hint="eastAsia" w:ascii="宋体" w:hAnsi="宋体" w:eastAsia="宋体" w:cs="宋体"/>
          <w:color w:val="auto"/>
          <w:sz w:val="24"/>
          <w:szCs w:val="24"/>
          <w:highlight w:val="none"/>
          <w:u w:val="single"/>
          <w:lang w:val="en-US" w:eastAsia="zh-CN" w:bidi="ar-SA"/>
        </w:rPr>
        <w:t xml:space="preserve"> （供应商1），（供应商2） ，……</w:t>
      </w:r>
      <w:r>
        <w:rPr>
          <w:rFonts w:hint="eastAsia" w:ascii="宋体" w:hAnsi="宋体" w:eastAsia="宋体" w:cs="宋体"/>
          <w:color w:val="auto"/>
          <w:sz w:val="24"/>
          <w:szCs w:val="24"/>
          <w:highlight w:val="none"/>
          <w:lang w:val="en-US" w:eastAsia="zh-CN" w:bidi="ar-SA"/>
        </w:rPr>
        <w:t xml:space="preserve">自愿组成联合体，参加盐城市政府政务服务中心组织的采购编号为</w:t>
      </w:r>
      <w:r>
        <w:rPr>
          <w:rFonts w:hint="eastAsia" w:ascii="宋体" w:hAnsi="宋体" w:eastAsia="宋体" w:cs="宋体"/>
          <w:color w:val="auto"/>
          <w:sz w:val="24"/>
          <w:szCs w:val="24"/>
          <w:highlight w:val="none"/>
          <w:u w:val="single"/>
          <w:lang w:val="en-US" w:eastAsia="zh-CN" w:bidi="ar-SA"/>
        </w:rPr>
        <w:t xml:space="preserve">（编号全称），（项目全称）</w:t>
      </w:r>
      <w:r>
        <w:rPr>
          <w:rFonts w:hint="eastAsia" w:ascii="宋体" w:hAnsi="宋体" w:eastAsia="宋体" w:cs="宋体"/>
          <w:color w:val="auto"/>
          <w:sz w:val="24"/>
          <w:szCs w:val="24"/>
          <w:highlight w:val="none"/>
          <w:lang w:val="en-US" w:eastAsia="zh-CN" w:bidi="ar-SA"/>
        </w:rPr>
        <w:t xml:space="preserve">项目（分包号：**）的政府采购活动，我联合体指定</w:t>
      </w:r>
      <w:r>
        <w:rPr>
          <w:rFonts w:hint="eastAsia" w:ascii="宋体" w:hAnsi="宋体" w:eastAsia="宋体" w:cs="宋体"/>
          <w:color w:val="auto"/>
          <w:sz w:val="24"/>
          <w:szCs w:val="24"/>
          <w:highlight w:val="none"/>
          <w:u w:val="singl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为牵头单位（牵头单位必须为联合体成员）。</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3、其中</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（小型、微型企业/残疾人福利性单位/监狱企业全称）为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备注：本招标文件中要求加盖CA电子签章的地方，仅需加盖牵头单位的CA电子签章。</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645"/>
        <w:jc w:val="righ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联合体中各供应商全称（公章）：     </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br w:type="page" w:clear="all"/>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十二、投标分项报价表（分包号：***）</w:t>
      </w:r>
      <w:r/>
    </w:p>
    <w:tbl>
      <w:tblPr>
        <w:tblStyle w:val="739"/>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eastAsia="宋体" w:cs="Times New Roman"/>
          <w:color w:val="auto"/>
          <w:sz w:val="21"/>
          <w:szCs w:val="21"/>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投标分项报价表</w:t>
      </w:r>
      <w:r>
        <w:rPr>
          <w:rFonts w:ascii="Times New Roman" w:hAnsi="Times New Roman" w:eastAsia="宋体" w:cs="Times New Roman"/>
          <w:color w:val="auto"/>
          <w:sz w:val="21"/>
          <w:szCs w:val="21"/>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中“投标总报价”数额应当与“开标一览表”中“投标总报价”数额一致。</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br w:type="page" w:clear="all"/>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十三、技术要求响应及偏离表（分包号：**）</w:t>
      </w:r>
      <w:r/>
    </w:p>
    <w:tbl>
      <w:tblPr>
        <w:tblStyle w:val="73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br w:type="page" w:clear="all"/>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十四、商务要求响应及偏离表（分包号：**）</w:t>
      </w:r>
      <w:r/>
    </w:p>
    <w:tbl>
      <w:tblPr>
        <w:tblStyle w:val="73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bookmarkStart w:id="136" w:name="_Hlt24879081"/>
            <w:r/>
            <w:bookmarkStart w:id="137" w:name="_Hlt26955064"/>
            <w:r/>
            <w:bookmarkStart w:id="138" w:name="_Hlt26955056"/>
            <w:r/>
            <w:bookmarkStart w:id="139" w:name="_Hlt26609391"/>
            <w:r/>
            <w:bookmarkStart w:id="140" w:name="_Hlt26580838"/>
            <w:r/>
            <w:bookmarkStart w:id="141" w:name="_Hlt26671343"/>
            <w:r/>
            <w:bookmarkStart w:id="142" w:name="_Hlt26782999"/>
            <w:r/>
            <w:bookmarkStart w:id="143" w:name="_Hlt26671372"/>
            <w:r>
              <w:rPr>
                <w:rFonts w:hint="eastAsia" w:ascii="宋体" w:hAnsi="宋体" w:eastAsia="宋体" w:cs="宋体"/>
                <w:color w:val="auto"/>
                <w:sz w:val="24"/>
                <w:szCs w:val="24"/>
                <w:highlight w:val="none"/>
                <w:lang w:val="en-US" w:eastAsia="zh-CN" w:bidi="ar-SA"/>
              </w:rPr>
              <w:t xml:space="preserve">序号</w:t>
            </w:r>
            <w:bookmarkEnd w:id="136"/>
            <w:r/>
            <w:bookmarkEnd w:id="137"/>
            <w:r/>
            <w:bookmarkEnd w:id="138"/>
            <w:r/>
            <w:bookmarkEnd w:id="139"/>
            <w:r/>
            <w:bookmarkEnd w:id="140"/>
            <w:r/>
            <w:bookmarkEnd w:id="141"/>
            <w:r/>
            <w:bookmarkEnd w:id="142"/>
            <w:r/>
            <w:bookmarkEnd w:id="14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rPr>
          <w:rFonts w:hint="eastAsia" w:ascii="黑体" w:hAnsi="宋体" w:eastAsia="黑体" w:cs="黑体"/>
          <w:b/>
          <w:i/>
          <w:color w:val="auto"/>
          <w:sz w:val="32"/>
          <w:szCs w:val="32"/>
          <w:highlight w:val="none"/>
          <w:u w:val="single"/>
          <w:lang w:val="en-US" w:eastAsia="zh-CN" w:bidi="ar-SA"/>
        </w:rPr>
      </w:pPr>
      <w:r>
        <w:rPr>
          <w:rFonts w:hint="eastAsia" w:ascii="黑体" w:hAnsi="宋体" w:eastAsia="黑体" w:cs="黑体"/>
          <w:b/>
          <w:i/>
          <w:color w:val="auto"/>
          <w:sz w:val="32"/>
          <w:szCs w:val="32"/>
          <w:highlight w:val="none"/>
          <w:u w:val="single"/>
          <w:lang w:val="en-US" w:eastAsia="zh-CN" w:bidi="ar-SA"/>
        </w:rPr>
        <w:br w:type="page" w:clear="all"/>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i/>
          <w:color w:val="auto"/>
          <w:sz w:val="32"/>
          <w:szCs w:val="32"/>
          <w:highlight w:val="none"/>
          <w:u w:val="single"/>
          <w:lang w:val="en-US" w:eastAsia="zh-CN" w:bidi="ar-SA"/>
        </w:rPr>
        <w:t xml:space="preserve">十五、开标一览表</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投标人全称（加盖CA电子签章）：</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bookmarkStart w:id="144" w:name="_GoBack"/>
      <w:r/>
      <w:bookmarkEnd w:id="144"/>
      <w:r>
        <w:rPr>
          <w:rFonts w:hint="eastAsia" w:ascii="宋体" w:hAnsi="宋体" w:eastAsia="宋体" w:cs="宋体"/>
          <w:color w:val="auto"/>
          <w:sz w:val="24"/>
          <w:szCs w:val="24"/>
          <w:highlight w:val="none"/>
          <w:lang w:val="en-US" w:eastAsia="zh-CN" w:bidi="ar-SA"/>
        </w:rPr>
        <w:t xml:space="preserve">项目编号：                     </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分包号：</w:t>
      </w:r>
      <w:r/>
    </w:p>
    <w:tbl>
      <w:tblPr>
        <w:tblStyle w:val="739"/>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62"/>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62"/>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62"/>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62"/>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62"/>
              <w:spacing w:beforeAutospacing="0" w:afterAutospacing="0" w:line="0" w:lineRule="atLeast"/>
              <w:rPr>
                <w:highlight w:val="none"/>
              </w:rPr>
            </w:pPr>
            <w:r>
              <w:rPr>
                <w:highlight w:val="none"/>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left"/>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50" w:after="50"/>
        <w:widowControl/>
        <w:rPr>
          <w:rFonts w:hint="default" w:ascii="Calibri" w:hAnsi="Calibri" w:eastAsia="宋体" w:cs="Times New Roman"/>
          <w:color w:val="auto"/>
          <w:highlight w:val="none"/>
        </w:rPr>
      </w:pPr>
      <w:r>
        <w:rPr>
          <w:rFonts w:hint="default" w:ascii="Calibri" w:hAnsi="Calibri" w:eastAsia="宋体" w:cs="Times New Roman"/>
          <w:color w:val="auto"/>
          <w:highlight w:val="none"/>
        </w:rPr>
        <w:tab/>
      </w:r>
      <w:r/>
    </w:p>
    <w:p>
      <w:pPr>
        <w:rPr>
          <w:rFonts w:hint="default" w:ascii="Calibri" w:hAnsi="Calibri" w:eastAsia="宋体" w:cs="Times New Roman"/>
          <w:color w:val="auto"/>
          <w:highlight w:val="none"/>
        </w:rPr>
      </w:pPr>
      <w:r>
        <w:rPr>
          <w:rFonts w:hint="default" w:ascii="Calibri" w:hAnsi="Calibri" w:eastAsia="宋体" w:cs="Times New Roman"/>
          <w:color w:val="auto"/>
          <w:highlight w:val="none"/>
        </w:rPr>
        <w:br w:type="page" w:clear="all"/>
      </w:r>
      <w:r/>
    </w:p>
    <w:p>
      <w:pPr>
        <w:jc w:val="center"/>
        <w:spacing w:before="50" w:after="50"/>
        <w:widowControl/>
        <w:rPr>
          <w:rFonts w:hint="default" w:ascii="宋体" w:hAnsi="宋体" w:eastAsia="宋体" w:cs="宋体"/>
          <w:color w:val="auto"/>
          <w:sz w:val="24"/>
          <w:highlight w:val="none"/>
        </w:rPr>
      </w:pPr>
      <w:r>
        <w:rPr>
          <w:rFonts w:hint="eastAsia" w:ascii="宋体" w:hAnsi="宋体" w:eastAsia="宋体" w:cs="宋体"/>
          <w:color w:val="auto"/>
          <w:sz w:val="32"/>
          <w:szCs w:val="32"/>
          <w:highlight w:val="none"/>
        </w:rPr>
        <w:t xml:space="preserve">十六、技术方案、服务承诺、培训承诺等</w:t>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left="0" w:right="0" w:firstLine="0"/>
        <w:jc w:val="center"/>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十七、盐城市政府采购事前信用承诺书</w:t>
      </w:r>
      <w:r/>
    </w:p>
    <w:p>
      <w:pPr>
        <w:ind w:firstLine="640"/>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bookmarkEnd w:id="126"/>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质疑函范本</w:t>
      </w:r>
      <w:r/>
    </w:p>
    <w:p>
      <w:pPr>
        <w:jc w:val="both"/>
        <w:spacing w:before="290"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一、质疑供应商基本信息</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质疑供应商：</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授权代表：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地址：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二、质疑项目基本情况</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质疑项目的编号：</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采购文件获取日期：</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三、质疑事项具体内容</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质疑事项1：</w:t>
      </w:r>
      <w:r>
        <w:rPr>
          <w:rFonts w:hint="eastAsia" w:ascii="宋体" w:hAnsi="宋体" w:eastAsia="宋体" w:cs="宋体"/>
          <w:color w:val="auto"/>
          <w:sz w:val="24"/>
          <w:szCs w:val="24"/>
          <w:highlight w:val="none"/>
          <w:u w:val="single"/>
          <w:lang w:val="en-US" w:eastAsia="zh-CN" w:bidi="ar-SA"/>
        </w:rPr>
        <w:t xml:space="preserve">                             </w:t>
      </w:r>
      <w:r/>
    </w:p>
    <w:p>
      <w:pPr>
        <w:jc w:val="left"/>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事实依据：</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法律依据：</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质疑事项2</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四、与质疑事项相关的质疑请求</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请求：</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日期：    </w:t>
      </w:r>
      <w:r/>
    </w:p>
    <w:p>
      <w:pPr>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质疑函制作说明：</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1.供应商提出质疑时，应提交质疑函和必要的证明材料。</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3.质疑供应商若对项目的某一分包进行质疑，质疑函中应列明具体分包号。</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4.质疑函的质疑事项应具体、明确，并有必要的事实依据和法律依据。</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5.质疑函的质疑请求应与质疑事项相关。</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pStyle w:val="762"/>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sectPr>
      <w:headerReference w:type="default" r:id="rId10"/>
      <w:footerReference w:type="default" r:id="rId12"/>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alibri">
    <w:panose1 w:val="020F0502020204030204"/>
  </w:font>
  <w:font w:name="仿宋">
    <w:panose1 w:val="02010609060101010101"/>
  </w:font>
  <w:font w:name="Consolas">
    <w:panose1 w:val="020B0609020204030204"/>
  </w:font>
  <w:font w:name="Courier New">
    <w:panose1 w:val="02070309020205020404"/>
  </w:font>
  <w:font w:name="Symbol">
    <w:panose1 w:val="05050102010706020507"/>
  </w:font>
  <w:font w:name="楷体">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926"/>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29">
    <w:name w:val="Heading 1"/>
    <w:basedOn w:val="728"/>
    <w:next w:val="728"/>
    <w:link w:val="776"/>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31">
    <w:name w:val="Heading 3"/>
    <w:basedOn w:val="728"/>
    <w:next w:val="728"/>
    <w:uiPriority w:val="1"/>
    <w:qFormat/>
    <w:pPr>
      <w:ind w:left="120"/>
      <w:outlineLvl w:val="2"/>
    </w:pPr>
    <w:rPr>
      <w:rFonts w:hint="eastAsia" w:ascii="黑体" w:hAnsi="黑体" w:eastAsia="黑体"/>
      <w:b/>
      <w:sz w:val="32"/>
      <w:szCs w:val="24"/>
    </w:rPr>
  </w:style>
  <w:style w:type="paragraph" w:styleId="732">
    <w:name w:val="Heading 4"/>
    <w:basedOn w:val="728"/>
    <w:next w:val="728"/>
    <w:uiPriority w:val="1"/>
    <w:qFormat/>
    <w:pPr>
      <w:ind w:left="256"/>
      <w:outlineLvl w:val="3"/>
    </w:pPr>
    <w:rPr>
      <w:rFonts w:hint="eastAsia" w:ascii="黑体" w:hAnsi="黑体" w:eastAsia="黑体"/>
      <w:sz w:val="28"/>
      <w:szCs w:val="24"/>
    </w:rPr>
  </w:style>
  <w:style w:type="paragraph" w:styleId="733">
    <w:name w:val="Heading 5"/>
    <w:basedOn w:val="728"/>
    <w:next w:val="728"/>
    <w:link w:val="780"/>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81"/>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83"/>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84"/>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Normal Indent"/>
    <w:basedOn w:val="728"/>
    <w:uiPriority w:val="0"/>
    <w:qFormat/>
    <w:pPr>
      <w:ind w:firstLine="420"/>
    </w:pPr>
  </w:style>
  <w:style w:type="paragraph" w:styleId="742">
    <w:name w:val="Caption"/>
    <w:basedOn w:val="728"/>
    <w:next w:val="72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3">
    <w:name w:val="annotation text"/>
    <w:basedOn w:val="728"/>
    <w:uiPriority w:val="99"/>
    <w:semiHidden/>
    <w:unhideWhenUsed/>
    <w:qFormat/>
    <w:pPr>
      <w:jc w:val="left"/>
    </w:pPr>
  </w:style>
  <w:style w:type="paragraph" w:styleId="744">
    <w:name w:val="Body Text"/>
    <w:basedOn w:val="728"/>
    <w:uiPriority w:val="0"/>
    <w:qFormat/>
    <w:rPr>
      <w:rFonts w:ascii="楷体" w:hAnsi="Arial" w:eastAsia="楷体"/>
      <w:sz w:val="28"/>
      <w:szCs w:val="20"/>
    </w:rPr>
  </w:style>
  <w:style w:type="paragraph" w:styleId="745">
    <w:name w:val="Body Text Indent"/>
    <w:basedOn w:val="728"/>
    <w:next w:val="746"/>
    <w:uiPriority w:val="0"/>
    <w:qFormat/>
    <w:pPr>
      <w:ind w:left="420"/>
      <w:spacing w:after="120"/>
    </w:pPr>
  </w:style>
  <w:style w:type="paragraph" w:styleId="746">
    <w:name w:val="envelope return"/>
    <w:basedOn w:val="728"/>
    <w:uiPriority w:val="0"/>
    <w:qFormat/>
    <w:rPr>
      <w:rFonts w:ascii="Arial" w:hAnsi="Arial"/>
    </w:rPr>
  </w:style>
  <w:style w:type="paragraph" w:styleId="747">
    <w:name w:val="toc 5"/>
    <w:basedOn w:val="728"/>
    <w:next w:val="728"/>
    <w:uiPriority w:val="39"/>
    <w:unhideWhenUsed/>
    <w:qFormat/>
    <w:pPr>
      <w:ind w:left="1134" w:right="0" w:firstLine="0"/>
      <w:spacing w:after="57"/>
    </w:pPr>
  </w:style>
  <w:style w:type="paragraph" w:styleId="748">
    <w:name w:val="toc 3"/>
    <w:basedOn w:val="728"/>
    <w:next w:val="728"/>
    <w:uiPriority w:val="39"/>
    <w:unhideWhenUsed/>
    <w:qFormat/>
    <w:pPr>
      <w:ind w:left="567" w:right="0" w:firstLine="0"/>
      <w:spacing w:after="57"/>
    </w:pPr>
  </w:style>
  <w:style w:type="paragraph" w:styleId="749">
    <w:name w:val="Plain Text"/>
    <w:basedOn w:val="728"/>
    <w:uiPriority w:val="0"/>
    <w:unhideWhenUsed/>
    <w:qFormat/>
    <w:rPr>
      <w:rFonts w:ascii="宋体" w:hAnsi="Courier New" w:cs="Courier New"/>
      <w:szCs w:val="21"/>
    </w:rPr>
  </w:style>
  <w:style w:type="paragraph" w:styleId="750">
    <w:name w:val="toc 8"/>
    <w:basedOn w:val="728"/>
    <w:next w:val="728"/>
    <w:uiPriority w:val="39"/>
    <w:unhideWhenUsed/>
    <w:qFormat/>
    <w:pPr>
      <w:ind w:left="1984" w:right="0" w:firstLine="0"/>
      <w:spacing w:after="57"/>
    </w:pPr>
  </w:style>
  <w:style w:type="paragraph" w:styleId="751">
    <w:name w:val="endnote text"/>
    <w:basedOn w:val="728"/>
    <w:link w:val="921"/>
    <w:uiPriority w:val="99"/>
    <w:semiHidden/>
    <w:unhideWhenUsed/>
    <w:qFormat/>
    <w:pPr>
      <w:spacing w:after="0" w:line="240" w:lineRule="auto"/>
    </w:pPr>
    <w:rPr>
      <w:sz w:val="20"/>
    </w:rPr>
  </w:style>
  <w:style w:type="paragraph" w:styleId="752">
    <w:name w:val="Footer"/>
    <w:basedOn w:val="728"/>
    <w:link w:val="925"/>
    <w:uiPriority w:val="0"/>
    <w:qFormat/>
    <w:pPr>
      <w:jc w:val="left"/>
      <w:tabs>
        <w:tab w:val="center" w:pos="4153" w:leader="none"/>
        <w:tab w:val="right" w:pos="8306" w:leader="none"/>
      </w:tabs>
    </w:pPr>
    <w:rPr>
      <w:sz w:val="18"/>
      <w:szCs w:val="18"/>
    </w:rPr>
  </w:style>
  <w:style w:type="paragraph" w:styleId="753">
    <w:name w:val="Header"/>
    <w:basedOn w:val="728"/>
    <w:link w:val="924"/>
    <w:uiPriority w:val="0"/>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28"/>
    <w:next w:val="728"/>
    <w:uiPriority w:val="39"/>
    <w:unhideWhenUsed/>
    <w:qFormat/>
    <w:pPr>
      <w:ind w:left="0" w:right="0" w:firstLine="0"/>
      <w:spacing w:after="57"/>
    </w:pPr>
  </w:style>
  <w:style w:type="paragraph" w:styleId="755">
    <w:name w:val="toc 4"/>
    <w:basedOn w:val="728"/>
    <w:next w:val="728"/>
    <w:uiPriority w:val="0"/>
    <w:qFormat/>
    <w:pPr>
      <w:ind w:left="1260"/>
    </w:pPr>
  </w:style>
  <w:style w:type="paragraph" w:styleId="756">
    <w:name w:val="Subtitle"/>
    <w:basedOn w:val="728"/>
    <w:next w:val="728"/>
    <w:link w:val="787"/>
    <w:uiPriority w:val="11"/>
    <w:qFormat/>
    <w:pPr>
      <w:spacing w:before="200" w:after="200"/>
    </w:pPr>
    <w:rPr>
      <w:sz w:val="24"/>
      <w:szCs w:val="24"/>
    </w:rPr>
  </w:style>
  <w:style w:type="paragraph" w:styleId="757">
    <w:name w:val="footnote text"/>
    <w:basedOn w:val="728"/>
    <w:link w:val="920"/>
    <w:uiPriority w:val="99"/>
    <w:semiHidden/>
    <w:unhideWhenUsed/>
    <w:qFormat/>
    <w:pPr>
      <w:spacing w:after="40" w:line="240" w:lineRule="auto"/>
    </w:pPr>
    <w:rPr>
      <w:sz w:val="18"/>
    </w:rPr>
  </w:style>
  <w:style w:type="paragraph" w:styleId="758">
    <w:name w:val="toc 6"/>
    <w:basedOn w:val="728"/>
    <w:next w:val="728"/>
    <w:uiPriority w:val="39"/>
    <w:unhideWhenUsed/>
    <w:qFormat/>
    <w:pPr>
      <w:ind w:left="1417" w:right="0" w:firstLine="0"/>
      <w:spacing w:after="57"/>
    </w:pPr>
  </w:style>
  <w:style w:type="paragraph" w:styleId="759">
    <w:name w:val="table of figures"/>
    <w:basedOn w:val="728"/>
    <w:next w:val="728"/>
    <w:uiPriority w:val="99"/>
    <w:unhideWhenUsed/>
    <w:qFormat/>
    <w:pPr>
      <w:spacing w:after="0" w:afterAutospacing="0"/>
    </w:pPr>
  </w:style>
  <w:style w:type="paragraph" w:styleId="760">
    <w:name w:val="toc 2"/>
    <w:basedOn w:val="728"/>
    <w:next w:val="728"/>
    <w:uiPriority w:val="39"/>
    <w:unhideWhenUsed/>
    <w:qFormat/>
    <w:pPr>
      <w:ind w:left="283" w:right="0" w:firstLine="0"/>
      <w:spacing w:after="57"/>
    </w:pPr>
  </w:style>
  <w:style w:type="paragraph" w:styleId="761">
    <w:name w:val="toc 9"/>
    <w:basedOn w:val="728"/>
    <w:next w:val="728"/>
    <w:uiPriority w:val="39"/>
    <w:unhideWhenUsed/>
    <w:qFormat/>
    <w:pPr>
      <w:ind w:left="2268" w:right="0" w:firstLine="0"/>
      <w:spacing w:after="57"/>
    </w:pPr>
  </w:style>
  <w:style w:type="paragraph" w:styleId="762">
    <w:name w:val="Normal (Web)"/>
    <w:basedOn w:val="728"/>
    <w:uiPriority w:val="0"/>
    <w:qFormat/>
    <w:pPr>
      <w:jc w:val="left"/>
      <w:spacing w:beforeAutospacing="1" w:afterAutospacing="1"/>
    </w:pPr>
    <w:rPr>
      <w:rFonts w:cs="Times New Roman"/>
      <w:sz w:val="24"/>
    </w:rPr>
  </w:style>
  <w:style w:type="paragraph" w:styleId="763">
    <w:name w:val="Title"/>
    <w:basedOn w:val="728"/>
    <w:next w:val="728"/>
    <w:link w:val="786"/>
    <w:uiPriority w:val="10"/>
    <w:qFormat/>
    <w:pPr>
      <w:contextualSpacing/>
      <w:spacing w:before="300" w:after="200"/>
    </w:pPr>
    <w:rPr>
      <w:sz w:val="48"/>
      <w:szCs w:val="48"/>
    </w:rPr>
  </w:style>
  <w:style w:type="paragraph" w:styleId="764">
    <w:name w:val="Body Text First Indent"/>
    <w:basedOn w:val="744"/>
    <w:uiPriority w:val="0"/>
    <w:qFormat/>
    <w:pPr>
      <w:ind w:firstLine="420"/>
    </w:pPr>
  </w:style>
  <w:style w:type="paragraph" w:styleId="765">
    <w:name w:val="Body Text First Indent 2"/>
    <w:basedOn w:val="745"/>
    <w:next w:val="764"/>
    <w:uiPriority w:val="0"/>
    <w:qFormat/>
    <w:pPr>
      <w:ind w:left="420"/>
      <w:spacing w:before="50" w:after="120" w:line="240" w:lineRule="auto"/>
    </w:pPr>
    <w:rPr>
      <w:rFonts w:ascii="Times New Roman" w:eastAsia="宋体"/>
      <w:spacing w:val="0"/>
      <w:sz w:val="21"/>
      <w:szCs w:val="24"/>
    </w:rPr>
  </w:style>
  <w:style w:type="table" w:styleId="766">
    <w:name w:val="Table Grid"/>
    <w:basedOn w:val="73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basedOn w:val="738"/>
    <w:uiPriority w:val="22"/>
    <w:qFormat/>
    <w:rPr>
      <w:b/>
      <w:bCs/>
    </w:rPr>
  </w:style>
  <w:style w:type="character" w:styleId="768">
    <w:name w:val="endnote reference"/>
    <w:basedOn w:val="738"/>
    <w:uiPriority w:val="99"/>
    <w:semiHidden/>
    <w:unhideWhenUsed/>
    <w:qFormat/>
    <w:rPr>
      <w:vertAlign w:val="superscript"/>
    </w:rPr>
  </w:style>
  <w:style w:type="character" w:styleId="769">
    <w:name w:val="FollowedHyperlink"/>
    <w:basedOn w:val="738"/>
    <w:uiPriority w:val="99"/>
    <w:semiHidden/>
    <w:unhideWhenUsed/>
    <w:qFormat/>
    <w:rPr>
      <w:color w:val="333333"/>
      <w:u w:val="none"/>
    </w:rPr>
  </w:style>
  <w:style w:type="character" w:styleId="770">
    <w:name w:val="Hyperlink"/>
    <w:uiPriority w:val="99"/>
    <w:unhideWhenUsed/>
    <w:qFormat/>
    <w:rPr>
      <w:color w:val="0563c1" w:themeColor="hyperlink"/>
      <w:u w:val="single"/>
      <w14:textFill>
        <w14:solidFill>
          <w14:schemeClr w14:val="hlink"/>
        </w14:solidFill>
      </w14:textFill>
    </w:rPr>
  </w:style>
  <w:style w:type="character" w:styleId="771">
    <w:name w:val="HTML Code"/>
    <w:basedOn w:val="738"/>
    <w:uiPriority w:val="99"/>
    <w:semiHidden/>
    <w:unhideWhenUsed/>
    <w:qFormat/>
    <w:rPr>
      <w:rFonts w:ascii="Consolas" w:hAnsi="Consolas" w:eastAsia="Consolas" w:cs="Consolas"/>
      <w:color w:val="e83e8c"/>
      <w:sz w:val="21"/>
      <w:szCs w:val="21"/>
    </w:rPr>
  </w:style>
  <w:style w:type="character" w:styleId="772">
    <w:name w:val="footnote reference"/>
    <w:basedOn w:val="738"/>
    <w:uiPriority w:val="99"/>
    <w:unhideWhenUsed/>
    <w:qFormat/>
    <w:rPr>
      <w:vertAlign w:val="superscript"/>
    </w:rPr>
  </w:style>
  <w:style w:type="character" w:styleId="773">
    <w:name w:val="HTML Keyboard"/>
    <w:basedOn w:val="738"/>
    <w:uiPriority w:val="99"/>
    <w:semiHidden/>
    <w:unhideWhenUsed/>
    <w:qFormat/>
    <w:rPr>
      <w:rFonts w:hint="default" w:ascii="Consolas" w:hAnsi="Consolas" w:eastAsia="Consolas" w:cs="Consolas"/>
      <w:color w:val="ffffff"/>
      <w:sz w:val="21"/>
      <w:szCs w:val="21"/>
      <w:shd w:val="clear" w:color="auto" w:fill="212529"/>
    </w:rPr>
  </w:style>
  <w:style w:type="character" w:styleId="774">
    <w:name w:val="HTML Sample"/>
    <w:basedOn w:val="738"/>
    <w:uiPriority w:val="99"/>
    <w:semiHidden/>
    <w:unhideWhenUsed/>
    <w:qFormat/>
    <w:rPr>
      <w:rFonts w:hint="default" w:ascii="Consolas" w:hAnsi="Consolas" w:eastAsia="Consolas" w:cs="Consolas"/>
      <w:sz w:val="21"/>
      <w:szCs w:val="21"/>
    </w:rPr>
  </w:style>
  <w:style w:type="paragraph" w:styleId="775" w:customStyle="1">
    <w:name w:val="Default"/>
    <w:uiPriority w:val="99"/>
    <w:unhideWhenUsed/>
    <w:qFormat/>
    <w:pPr>
      <w:widowControl w:val="off"/>
    </w:pPr>
    <w:rPr>
      <w:rFonts w:hint="eastAsia" w:ascii="仿宋" w:hAnsi="仿宋" w:eastAsia="仿宋" w:cs="Times New Roman"/>
      <w:color w:val="000000"/>
      <w:sz w:val="24"/>
      <w:lang w:val="en-US" w:eastAsia="zh-CN" w:bidi="ar-SA"/>
    </w:rPr>
  </w:style>
  <w:style w:type="character" w:styleId="776" w:customStyle="1">
    <w:name w:val="Heading 1 Char"/>
    <w:basedOn w:val="738"/>
    <w:link w:val="729"/>
    <w:uiPriority w:val="9"/>
    <w:qFormat/>
    <w:rPr>
      <w:rFonts w:ascii="Arial" w:hAnsi="Arial" w:eastAsia="Arial" w:cs="Arial"/>
      <w:sz w:val="40"/>
      <w:szCs w:val="40"/>
    </w:rPr>
  </w:style>
  <w:style w:type="character" w:styleId="777" w:customStyle="1">
    <w:name w:val="Heading 2 Char"/>
    <w:basedOn w:val="738"/>
    <w:uiPriority w:val="9"/>
    <w:qFormat/>
    <w:rPr>
      <w:rFonts w:ascii="Arial" w:hAnsi="Arial" w:eastAsia="Arial" w:cs="Arial"/>
      <w:sz w:val="34"/>
    </w:rPr>
  </w:style>
  <w:style w:type="character" w:styleId="778" w:customStyle="1">
    <w:name w:val="Heading 3 Char"/>
    <w:basedOn w:val="738"/>
    <w:uiPriority w:val="9"/>
    <w:qFormat/>
    <w:rPr>
      <w:rFonts w:ascii="Arial" w:hAnsi="Arial" w:eastAsia="Arial" w:cs="Arial"/>
      <w:sz w:val="30"/>
      <w:szCs w:val="30"/>
    </w:rPr>
  </w:style>
  <w:style w:type="character" w:styleId="779" w:customStyle="1">
    <w:name w:val="Heading 4 Char"/>
    <w:basedOn w:val="738"/>
    <w:uiPriority w:val="9"/>
    <w:qFormat/>
    <w:rPr>
      <w:rFonts w:ascii="Arial" w:hAnsi="Arial" w:eastAsia="Arial" w:cs="Arial"/>
      <w:b/>
      <w:bCs/>
      <w:sz w:val="26"/>
      <w:szCs w:val="26"/>
    </w:rPr>
  </w:style>
  <w:style w:type="character" w:styleId="780" w:customStyle="1">
    <w:name w:val="Heading 5 Char"/>
    <w:basedOn w:val="738"/>
    <w:link w:val="733"/>
    <w:uiPriority w:val="9"/>
    <w:qFormat/>
    <w:rPr>
      <w:rFonts w:ascii="Arial" w:hAnsi="Arial" w:eastAsia="Arial" w:cs="Arial"/>
      <w:b/>
      <w:bCs/>
      <w:sz w:val="24"/>
      <w:szCs w:val="24"/>
    </w:rPr>
  </w:style>
  <w:style w:type="character" w:styleId="781" w:customStyle="1">
    <w:name w:val="Heading 6 Char"/>
    <w:basedOn w:val="738"/>
    <w:link w:val="734"/>
    <w:uiPriority w:val="9"/>
    <w:qFormat/>
    <w:rPr>
      <w:rFonts w:ascii="Arial" w:hAnsi="Arial" w:eastAsia="Arial" w:cs="Arial"/>
      <w:b/>
      <w:bCs/>
      <w:sz w:val="22"/>
      <w:szCs w:val="22"/>
    </w:rPr>
  </w:style>
  <w:style w:type="character" w:styleId="782" w:customStyle="1">
    <w:name w:val="Heading 7 Char"/>
    <w:basedOn w:val="738"/>
    <w:link w:val="735"/>
    <w:uiPriority w:val="9"/>
    <w:qFormat/>
    <w:rPr>
      <w:rFonts w:ascii="Arial" w:hAnsi="Arial" w:eastAsia="Arial" w:cs="Arial"/>
      <w:b/>
      <w:bCs/>
      <w:i/>
      <w:iCs/>
      <w:sz w:val="22"/>
      <w:szCs w:val="22"/>
    </w:rPr>
  </w:style>
  <w:style w:type="character" w:styleId="783" w:customStyle="1">
    <w:name w:val="Heading 8 Char"/>
    <w:basedOn w:val="738"/>
    <w:link w:val="736"/>
    <w:uiPriority w:val="9"/>
    <w:qFormat/>
    <w:rPr>
      <w:rFonts w:ascii="Arial" w:hAnsi="Arial" w:eastAsia="Arial" w:cs="Arial"/>
      <w:i/>
      <w:iCs/>
      <w:sz w:val="22"/>
      <w:szCs w:val="22"/>
    </w:rPr>
  </w:style>
  <w:style w:type="character" w:styleId="784" w:customStyle="1">
    <w:name w:val="Heading 9 Char"/>
    <w:basedOn w:val="738"/>
    <w:link w:val="737"/>
    <w:uiPriority w:val="9"/>
    <w:qFormat/>
    <w:rPr>
      <w:rFonts w:ascii="Arial" w:hAnsi="Arial" w:eastAsia="Arial" w:cs="Arial"/>
      <w:i/>
      <w:iCs/>
      <w:sz w:val="21"/>
      <w:szCs w:val="21"/>
    </w:r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basedOn w:val="738"/>
    <w:link w:val="763"/>
    <w:uiPriority w:val="10"/>
    <w:qFormat/>
    <w:rPr>
      <w:sz w:val="48"/>
      <w:szCs w:val="48"/>
    </w:rPr>
  </w:style>
  <w:style w:type="character" w:styleId="787" w:customStyle="1">
    <w:name w:val="Subtitle Char"/>
    <w:basedOn w:val="738"/>
    <w:link w:val="756"/>
    <w:uiPriority w:val="11"/>
    <w:qFormat/>
    <w:rPr>
      <w:sz w:val="24"/>
      <w:szCs w:val="24"/>
    </w:rPr>
  </w:style>
  <w:style w:type="paragraph" w:styleId="788">
    <w:name w:val="Quote"/>
    <w:basedOn w:val="728"/>
    <w:next w:val="728"/>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28"/>
    <w:next w:val="728"/>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basedOn w:val="738"/>
    <w:uiPriority w:val="99"/>
    <w:qFormat/>
  </w:style>
  <w:style w:type="character" w:styleId="793" w:customStyle="1">
    <w:name w:val="Footer Char"/>
    <w:basedOn w:val="738"/>
    <w:uiPriority w:val="99"/>
    <w:qFormat/>
  </w:style>
  <w:style w:type="character" w:styleId="794" w:customStyle="1">
    <w:name w:val="Caption Char"/>
    <w:uiPriority w:val="99"/>
    <w:qFormat/>
  </w:style>
  <w:style w:type="table" w:styleId="795" w:customStyle="1">
    <w:name w:val="Table Grid Light"/>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3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3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3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3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3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3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3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3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3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3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3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3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3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3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3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3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3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3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3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4" w:customStyle="1">
    <w:name w:val="Grid Table 4 - Accent 2"/>
    <w:basedOn w:val="73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5" w:customStyle="1">
    <w:name w:val="Grid Table 4 - Accent 3"/>
    <w:basedOn w:val="73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6" w:customStyle="1">
    <w:name w:val="Grid Table 4 - Accent 4"/>
    <w:basedOn w:val="73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7" w:customStyle="1">
    <w:name w:val="Grid Table 4 - Accent 5"/>
    <w:basedOn w:val="73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8" w:customStyle="1">
    <w:name w:val="Grid Table 4 - Accent 6"/>
    <w:basedOn w:val="73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9"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1" w:customStyle="1">
    <w:name w:val="Grid Table 5 Dark - Accent 2"/>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2" w:customStyle="1">
    <w:name w:val="Grid Table 5 Dark - Accent 3"/>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3" w:customStyle="1">
    <w:name w:val="Grid Table 5 Dark- Accent 4"/>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4" w:customStyle="1">
    <w:name w:val="Grid Table 5 Dark - Accent 5"/>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5" w:customStyle="1">
    <w:name w:val="Grid Table 5 Dark - Accent 6"/>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6"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3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3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3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0" w:customStyle="1">
    <w:name w:val="Grid Table 6 Colorful - Accent 4"/>
    <w:basedOn w:val="73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3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Grid Table 6 Colorful - Accent 6"/>
    <w:basedOn w:val="73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3"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3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3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3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3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3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3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3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3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3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3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3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3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3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9" w:customStyle="1">
    <w:name w:val="List Table 2 - Accent 2"/>
    <w:basedOn w:val="73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0" w:customStyle="1">
    <w:name w:val="List Table 2 - Accent 3"/>
    <w:basedOn w:val="73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1" w:customStyle="1">
    <w:name w:val="List Table 2 - Accent 4"/>
    <w:basedOn w:val="73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2" w:customStyle="1">
    <w:name w:val="List Table 2 - Accent 5"/>
    <w:basedOn w:val="73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3" w:customStyle="1">
    <w:name w:val="List Table 2 - Accent 6"/>
    <w:basedOn w:val="73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4"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3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3 - Accent 2"/>
    <w:basedOn w:val="73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3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3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3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3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1"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3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4 - Accent 2"/>
    <w:basedOn w:val="73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4" w:customStyle="1">
    <w:name w:val="List Table 4 - Accent 3"/>
    <w:basedOn w:val="73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5" w:customStyle="1">
    <w:name w:val="List Table 4 - Accent 4"/>
    <w:basedOn w:val="73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6" w:customStyle="1">
    <w:name w:val="List Table 4 - Accent 5"/>
    <w:basedOn w:val="73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7" w:customStyle="1">
    <w:name w:val="List Table 4 - Accent 6"/>
    <w:basedOn w:val="73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8"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3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3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3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3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3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3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3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7" w:customStyle="1">
    <w:name w:val="List Table 6 Colorful - Accent 2"/>
    <w:basedOn w:val="73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8" w:customStyle="1">
    <w:name w:val="List Table 6 Colorful - Accent 3"/>
    <w:basedOn w:val="73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9" w:customStyle="1">
    <w:name w:val="List Table 6 Colorful - Accent 4"/>
    <w:basedOn w:val="73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0" w:customStyle="1">
    <w:name w:val="List Table 6 Colorful - Accent 5"/>
    <w:basedOn w:val="73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1" w:customStyle="1">
    <w:name w:val="List Table 6 Colorful - Accent 6"/>
    <w:basedOn w:val="73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2"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3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3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3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3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3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3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Lined - Accent 2"/>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Lined - Accent 3"/>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Lined - Accent 4"/>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Lined - Accent 5"/>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Lined - Accent 6"/>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amp; Lined - Accent"/>
    <w:basedOn w:val="7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3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8" w:customStyle="1">
    <w:name w:val="Bordered &amp; Lined - Accent 2"/>
    <w:basedOn w:val="73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9" w:customStyle="1">
    <w:name w:val="Bordered &amp; Lined - Accent 3"/>
    <w:basedOn w:val="73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Bordered &amp; Lined - Accent 4"/>
    <w:basedOn w:val="73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1" w:customStyle="1">
    <w:name w:val="Bordered &amp; Lined - Accent 5"/>
    <w:basedOn w:val="73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2" w:customStyle="1">
    <w:name w:val="Bordered &amp; Lined - Accent 6"/>
    <w:basedOn w:val="73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w:basedOn w:val="7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3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5" w:customStyle="1">
    <w:name w:val="Bordered - Accent 2"/>
    <w:basedOn w:val="73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6" w:customStyle="1">
    <w:name w:val="Bordered - Accent 3"/>
    <w:basedOn w:val="73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7" w:customStyle="1">
    <w:name w:val="Bordered - Accent 4"/>
    <w:basedOn w:val="73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8" w:customStyle="1">
    <w:name w:val="Bordered - Accent 5"/>
    <w:basedOn w:val="73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9" w:customStyle="1">
    <w:name w:val="Bordered - Accent 6"/>
    <w:basedOn w:val="73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0" w:customStyle="1">
    <w:name w:val="Footnote Text Char"/>
    <w:link w:val="757"/>
    <w:uiPriority w:val="99"/>
    <w:qFormat/>
    <w:rPr>
      <w:sz w:val="18"/>
    </w:rPr>
  </w:style>
  <w:style w:type="character" w:styleId="921" w:customStyle="1">
    <w:name w:val="Endnote Text Char"/>
    <w:link w:val="751"/>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Body Text 21"/>
    <w:basedOn w:val="728"/>
    <w:uiPriority w:val="0"/>
    <w:qFormat/>
    <w:rPr>
      <w:rFonts w:ascii="Calibri" w:hAnsi="Calibri"/>
    </w:rPr>
  </w:style>
  <w:style w:type="character" w:styleId="924" w:customStyle="1">
    <w:name w:val="页眉 Char"/>
    <w:basedOn w:val="738"/>
    <w:link w:val="753"/>
    <w:uiPriority w:val="0"/>
    <w:qFormat/>
    <w:rPr>
      <w:rFonts w:asciiTheme="minorHAnsi" w:hAnsiTheme="minorHAnsi" w:eastAsiaTheme="minorEastAsia" w:cstheme="minorBidi"/>
      <w:sz w:val="18"/>
      <w:szCs w:val="18"/>
    </w:rPr>
  </w:style>
  <w:style w:type="character" w:styleId="925" w:customStyle="1">
    <w:name w:val="页脚 Char"/>
    <w:basedOn w:val="738"/>
    <w:link w:val="752"/>
    <w:uiPriority w:val="0"/>
    <w:qFormat/>
    <w:rPr>
      <w:rFonts w:asciiTheme="minorHAnsi" w:hAnsiTheme="minorHAnsi" w:eastAsiaTheme="minorEastAsia" w:cstheme="minorBidi"/>
      <w:sz w:val="18"/>
      <w:szCs w:val="18"/>
    </w:rPr>
  </w:style>
  <w:style w:type="character" w:styleId="926" w:customStyle="1">
    <w:name w:val="NormalCharacter"/>
    <w:link w:val="728"/>
    <w:uiPriority w:val="0"/>
    <w:qFormat/>
    <w:rPr>
      <w:rFonts w:asciiTheme="minorHAnsi" w:hAnsiTheme="minorHAnsi" w:eastAsiaTheme="minorEastAsia" w:cstheme="minorBidi"/>
      <w:sz w:val="21"/>
      <w:szCs w:val="24"/>
      <w:lang w:val="en-US" w:eastAsia="zh-CN" w:bidi="ar-SA"/>
    </w:rPr>
  </w:style>
  <w:style w:type="paragraph" w:styleId="927" w:customStyle="1">
    <w:name w:val="正文首行缩进 21"/>
    <w:basedOn w:val="928"/>
    <w:uiPriority w:val="0"/>
    <w:qFormat/>
    <w:pPr>
      <w:ind w:firstLine="200"/>
    </w:pPr>
    <w:rPr>
      <w:rFonts w:ascii="Times New Roman" w:hAnsi="Times New Roman" w:eastAsia="宋体" w:cs="Times New Roman"/>
    </w:rPr>
  </w:style>
  <w:style w:type="paragraph" w:styleId="928" w:customStyle="1">
    <w:name w:val="正文文本缩进1"/>
    <w:basedOn w:val="728"/>
    <w:uiPriority w:val="0"/>
    <w:qFormat/>
    <w:pPr>
      <w:ind w:left="420"/>
      <w:spacing w:after="120"/>
    </w:pPr>
  </w:style>
  <w:style w:type="paragraph" w:styleId="929" w:customStyle="1">
    <w:name w:val="正文文本缩进 New"/>
    <w:basedOn w:val="930"/>
    <w:next w:val="931"/>
    <w:uiPriority w:val="0"/>
    <w:qFormat/>
    <w:pPr>
      <w:ind w:left="420"/>
      <w:spacing w:after="120"/>
    </w:pPr>
    <w:rPr>
      <w:rFonts w:ascii="Times New Roman" w:hAnsi="Times New Roman" w:eastAsia="宋体" w:cs="Times New Roman"/>
    </w:rPr>
  </w:style>
  <w:style w:type="paragraph" w:styleId="930" w:customStyle="1">
    <w:name w:val="正文 New"/>
    <w:next w:val="9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1" w:customStyle="1">
    <w:name w:val="寄信人地址 New"/>
    <w:basedOn w:val="930"/>
    <w:uiPriority w:val="0"/>
    <w:qFormat/>
    <w:rPr>
      <w:rFonts w:ascii="Arial" w:hAnsi="Arial" w:eastAsia="宋体" w:cs="Times New Roman"/>
    </w:rPr>
  </w:style>
  <w:style w:type="paragraph" w:styleId="932" w:customStyle="1">
    <w:name w:val="Char"/>
    <w:basedOn w:val="728"/>
    <w:uiPriority w:val="0"/>
    <w:qFormat/>
    <w:pPr>
      <w:ind w:firstLine="200"/>
      <w:tabs>
        <w:tab w:val="left" w:pos="360" w:leader="none"/>
      </w:tabs>
    </w:pPr>
    <w:rPr>
      <w:sz w:val="28"/>
      <w:szCs w:val="30"/>
    </w:rPr>
  </w:style>
  <w:style w:type="paragraph" w:styleId="933" w:customStyle="1">
    <w:name w:val="普通正文"/>
    <w:basedOn w:val="728"/>
    <w:uiPriority w:val="0"/>
    <w:qFormat/>
    <w:pPr>
      <w:ind w:firstLine="480"/>
      <w:jc w:val="left"/>
      <w:spacing w:before="120" w:after="120" w:line="360" w:lineRule="auto"/>
    </w:pPr>
    <w:rPr>
      <w:rFonts w:ascii="Arial" w:hAnsi="Arial"/>
      <w:sz w:val="24"/>
      <w:szCs w:val="24"/>
    </w:rPr>
  </w:style>
  <w:style w:type="character" w:styleId="934" w:customStyle="1">
    <w:name w:val="font31"/>
    <w:basedOn w:val="738"/>
    <w:uiPriority w:val="0"/>
    <w:qFormat/>
    <w:rPr>
      <w:rFonts w:hint="default" w:ascii="Times New Roman" w:hAnsi="Times New Roman" w:cs="Times New Roman"/>
      <w:color w:val="000000"/>
      <w:sz w:val="21"/>
      <w:szCs w:val="21"/>
      <w:u w:val="none"/>
    </w:rPr>
  </w:style>
  <w:style w:type="character" w:styleId="935" w:customStyle="1">
    <w:name w:val="font11"/>
    <w:basedOn w:val="738"/>
    <w:uiPriority w:val="0"/>
    <w:qFormat/>
    <w:rPr>
      <w:rFonts w:hint="eastAsia" w:ascii="宋体" w:hAnsi="宋体" w:eastAsia="宋体" w:cs="宋体"/>
      <w:color w:val="000000"/>
      <w:sz w:val="21"/>
      <w:szCs w:val="21"/>
      <w:u w:val="none"/>
    </w:rPr>
  </w:style>
  <w:style w:type="character" w:styleId="936" w:customStyle="1">
    <w:name w:val="font21"/>
    <w:basedOn w:val="738"/>
    <w:uiPriority w:val="0"/>
    <w:qFormat/>
    <w:rPr>
      <w:rFonts w:hint="eastAsia" w:ascii="宋体" w:hAnsi="宋体" w:eastAsia="宋体" w:cs="宋体"/>
      <w:color w:val="000000"/>
      <w:sz w:val="21"/>
      <w:szCs w:val="21"/>
      <w:u w:val="none"/>
    </w:rPr>
  </w:style>
  <w:style w:type="character" w:styleId="937" w:customStyle="1">
    <w:name w:val="font41"/>
    <w:basedOn w:val="738"/>
    <w:uiPriority w:val="0"/>
    <w:qFormat/>
    <w:rPr>
      <w:rFonts w:hint="default" w:ascii="Times New Roman" w:hAnsi="Times New Roman" w:cs="Times New Roman"/>
      <w:color w:val="000000"/>
      <w:sz w:val="21"/>
      <w:szCs w:val="21"/>
      <w:u w:val="none"/>
      <w:vertAlign w:val="subscript"/>
    </w:rPr>
  </w:style>
  <w:style w:type="paragraph" w:styleId="938" w:customStyle="1">
    <w:name w:val="列出段落1"/>
    <w:basedOn w:val="728"/>
    <w:uiPriority w:val="0"/>
    <w:qFormat/>
    <w:pPr>
      <w:ind w:firstLine="420"/>
    </w:pPr>
    <w:rPr>
      <w:rFonts w:ascii="Times New Roman" w:hAnsi="Times New Roman" w:eastAsia="宋体" w:cs="Times New Roman"/>
      <w:sz w:val="28"/>
      <w:szCs w:val="20"/>
    </w:rPr>
  </w:style>
  <w:style w:type="paragraph" w:styleId="939" w:customStyle="1">
    <w:name w:val="样式 宋体 左 行距: 1.5 倍行距"/>
    <w:basedOn w:val="728"/>
    <w:uiPriority w:val="0"/>
    <w:qFormat/>
    <w:pPr>
      <w:jc w:val="left"/>
      <w:spacing w:line="360" w:lineRule="auto"/>
    </w:pPr>
    <w:rPr>
      <w:rFonts w:ascii="宋体" w:hAnsi="宋体" w:eastAsia="宋体" w:cs="宋体"/>
      <w:szCs w:val="20"/>
    </w:rPr>
  </w:style>
  <w:style w:type="paragraph" w:styleId="940" w:customStyle="1">
    <w:name w:val="List Paragraph"/>
    <w:basedOn w:val="728"/>
    <w:uiPriority w:val="0"/>
    <w:qFormat/>
    <w:pPr>
      <w:ind w:firstLine="420"/>
    </w:pPr>
  </w:style>
  <w:style w:type="paragraph" w:styleId="941" w:customStyle="1">
    <w:name w:val="UserStyle_0"/>
    <w:basedOn w:val="728"/>
    <w:uiPriority w:val="0"/>
    <w:qFormat/>
    <w:pPr>
      <w:ind w:firstLine="420"/>
      <w:jc w:val="both"/>
    </w:pPr>
    <w:rPr>
      <w:rFonts w:ascii="Calibri" w:hAnsi="Calibri" w:eastAsia="宋体"/>
      <w:sz w:val="21"/>
      <w:szCs w:val="21"/>
      <w:lang w:val="en-US" w:eastAsia="zh-CN" w:bidi="ar-SA"/>
    </w:rPr>
  </w:style>
  <w:style w:type="paragraph" w:styleId="942" w:customStyle="1">
    <w:name w:val="99-标书-正文"/>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paragraph" w:styleId="94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4" w:customStyle="1">
    <w:name w:val="Normal_0_1"/>
    <w:uiPriority w:val="0"/>
    <w:qFormat/>
    <w:pPr>
      <w:jc w:val="both"/>
      <w:widowControl w:val="off"/>
    </w:pPr>
    <w:rPr>
      <w:rFonts w:ascii="黑体" w:hAnsi="黑体" w:eastAsia="黑体" w:cs="Times New Roman"/>
      <w:b/>
      <w:sz w:val="32"/>
      <w:szCs w:val="24"/>
    </w:rPr>
  </w:style>
  <w:style w:type="paragraph" w:styleId="945"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946" w:customStyle="1">
    <w:name w:val="hover3"/>
    <w:basedOn w:val="738"/>
    <w:uiPriority w:val="0"/>
    <w:qFormat/>
    <w:rPr>
      <w:color w:val="427fda"/>
    </w:rPr>
  </w:style>
  <w:style w:type="character" w:styleId="947" w:customStyle="1">
    <w:name w:val="font61"/>
    <w:basedOn w:val="738"/>
    <w:uiPriority w:val="0"/>
    <w:qFormat/>
    <w:rPr>
      <w:rFonts w:hint="eastAsia" w:ascii="宋体" w:hAnsi="宋体" w:eastAsia="宋体" w:cs="宋体"/>
      <w:color w:val="000000"/>
      <w:sz w:val="20"/>
      <w:szCs w:val="20"/>
      <w:u w:val="none"/>
    </w:rPr>
  </w:style>
  <w:style w:type="character" w:styleId="948" w:customStyle="1">
    <w:name w:val="font81"/>
    <w:basedOn w:val="738"/>
    <w:uiPriority w:val="0"/>
    <w:qFormat/>
    <w:rPr>
      <w:rFonts w:hint="eastAsia" w:ascii="宋体" w:hAnsi="宋体" w:eastAsia="宋体" w:cs="宋体"/>
      <w:color w:val="ff0000"/>
      <w:sz w:val="20"/>
      <w:szCs w:val="20"/>
      <w:u w:val="none"/>
    </w:rPr>
  </w:style>
  <w:style w:type="character" w:styleId="949" w:customStyle="1">
    <w:name w:val="font91"/>
    <w:basedOn w:val="738"/>
    <w:uiPriority w:val="0"/>
    <w:qFormat/>
    <w:rPr>
      <w:rFonts w:hint="eastAsia" w:ascii="宋体" w:hAnsi="宋体" w:eastAsia="宋体" w:cs="宋体"/>
      <w:strike/>
      <w:color w:val="ff0000"/>
      <w:sz w:val="20"/>
      <w:szCs w:val="20"/>
    </w:rPr>
  </w:style>
  <w:style w:type="character" w:styleId="950" w:customStyle="1">
    <w:name w:val="font71"/>
    <w:basedOn w:val="738"/>
    <w:uiPriority w:val="0"/>
    <w:qFormat/>
    <w:rPr>
      <w:rFonts w:hint="eastAsia" w:ascii="宋体" w:hAnsi="宋体" w:eastAsia="宋体" w:cs="宋体"/>
      <w:color w:val="000000"/>
      <w:sz w:val="20"/>
      <w:szCs w:val="20"/>
      <w:u w:val="none"/>
    </w:rPr>
  </w:style>
  <w:style w:type="character" w:styleId="951" w:customStyle="1">
    <w:name w:val="font101"/>
    <w:basedOn w:val="738"/>
    <w:uiPriority w:val="0"/>
    <w:qFormat/>
    <w:rPr>
      <w:rFonts w:hint="eastAsia" w:ascii="宋体" w:hAnsi="宋体" w:eastAsia="宋体" w:cs="宋体"/>
      <w:color w:val="ff0000"/>
      <w:sz w:val="20"/>
      <w:szCs w:val="20"/>
      <w:u w:val="none"/>
    </w:rPr>
  </w:style>
  <w:style w:type="character" w:styleId="952" w:customStyle="1">
    <w:name w:val="font51"/>
    <w:basedOn w:val="738"/>
    <w:uiPriority w:val="0"/>
    <w:qFormat/>
    <w:rPr>
      <w:rFonts w:hint="eastAsia" w:ascii="宋体" w:hAnsi="宋体" w:eastAsia="宋体" w:cs="宋体"/>
      <w:color w:val="000000"/>
      <w:sz w:val="20"/>
      <w:szCs w:val="20"/>
      <w:u w:val="none"/>
    </w:rPr>
  </w:style>
  <w:style w:type="character" w:styleId="953" w:customStyle="1">
    <w:name w:val="font112"/>
    <w:basedOn w:val="738"/>
    <w:uiPriority w:val="0"/>
    <w:qFormat/>
    <w:rPr>
      <w:rFonts w:hint="eastAsia" w:ascii="宋体" w:hAnsi="宋体" w:eastAsia="宋体" w:cs="宋体"/>
      <w:strike/>
      <w:color w:val="ff0000"/>
      <w:sz w:val="20"/>
      <w:szCs w:val="20"/>
    </w:rPr>
  </w:style>
  <w:style w:type="character" w:styleId="954" w:customStyle="1">
    <w:name w:val="font01"/>
    <w:basedOn w:val="738"/>
    <w:uiPriority w:val="0"/>
    <w:qFormat/>
    <w:rPr>
      <w:rFonts w:hint="eastAsia" w:ascii="宋体" w:hAnsi="宋体" w:eastAsia="宋体" w:cs="宋体"/>
      <w:color w:val="000000"/>
      <w:sz w:val="22"/>
      <w:szCs w:val="22"/>
      <w:u w:val="none"/>
    </w:rPr>
  </w:style>
  <w:style w:type="character" w:styleId="955" w:customStyle="1">
    <w:name w:val="font132"/>
    <w:basedOn w:val="738"/>
    <w:uiPriority w:val="0"/>
    <w:qFormat/>
    <w:rPr>
      <w:rFonts w:hint="eastAsia" w:ascii="宋体" w:hAnsi="宋体" w:eastAsia="宋体" w:cs="宋体"/>
      <w:b/>
      <w:bCs/>
      <w:color w:val="000000"/>
      <w:sz w:val="22"/>
      <w:szCs w:val="22"/>
      <w:u w:val="none"/>
    </w:rPr>
  </w:style>
  <w:style w:type="character" w:styleId="956" w:customStyle="1">
    <w:name w:val="font141"/>
    <w:basedOn w:val="738"/>
    <w:uiPriority w:val="0"/>
    <w:qFormat/>
    <w:rPr>
      <w:rFonts w:hint="eastAsia" w:ascii="宋体" w:hAnsi="宋体" w:eastAsia="宋体" w:cs="宋体"/>
      <w:b/>
      <w:bCs/>
      <w:color w:val="000000"/>
      <w:sz w:val="22"/>
      <w:szCs w:val="22"/>
      <w:u w:val="none"/>
    </w:rPr>
  </w:style>
  <w:style w:type="paragraph" w:styleId="957" w:customStyle="1">
    <w:name w:val="页脚1"/>
    <w:basedOn w:val="728"/>
    <w:uiPriority w:val="99"/>
    <w:unhideWhenUsed/>
    <w:qFormat/>
    <w:pPr>
      <w:jc w:val="left"/>
      <w:tabs>
        <w:tab w:val="center" w:pos="4153" w:leader="none"/>
        <w:tab w:val="right" w:pos="8306" w:leader="none"/>
      </w:tabs>
    </w:pPr>
    <w:rPr>
      <w:sz w:val="18"/>
      <w:szCs w:val="18"/>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江苏伟业项目管理有限公司</cp:lastModifiedBy>
  <cp:revision>275</cp:revision>
  <dcterms:created xsi:type="dcterms:W3CDTF">2014-10-29T20:08:00Z</dcterms:created>
  <dcterms:modified xsi:type="dcterms:W3CDTF">2025-02-19T02:39:01Z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DF3309B1FD294E2995A73BB0890028C8_13</vt:lpwstr>
  </property>
  <property fmtid="{D5CDD505-2E9C-101B-9397-08002B2CF9AE}" pid="4" name="KSOTemplateDocerSaveRecord">
    <vt:lpwstr>eyJoZGlkIjoiMmYzMDNhNzQyMjM2MzA0M2QxZDUzNzhmZTM2YjBhNzIiLCJ1c2VySWQiOiI3MjUzMzMyIn0=</vt:lpwstr>
  </property>
</Properties>
</file>