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ind w:firstLine="0"/>
        <w:rPr>
          <w:rFonts w:hint="eastAsia" w:eastAsia="黑体"/>
          <w:b/>
          <w:bCs/>
          <w:color w:val="000000"/>
          <w:sz w:val="84"/>
          <w:shd w:val="clear" w:color="ffffff" w:fill="d9d9d9"/>
        </w:rPr>
      </w:pPr>
      <w:r>
        <w:rPr>
          <w:rFonts w:hint="eastAsia" w:eastAsia="黑体"/>
          <w:b/>
          <w:bCs/>
          <w:color w:val="000000"/>
          <w:sz w:val="84"/>
          <w:shd w:val="clear" w:color="ffffff" w:fill="d9d9d9"/>
        </w:rPr>
      </w:r>
      <w:r/>
    </w:p>
    <w:p>
      <w:pPr>
        <w:pStyle w:val="971"/>
        <w:ind w:firstLine="0"/>
        <w:jc w:val="both"/>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公开招标文件</w:t>
      </w:r>
      <w:r/>
    </w:p>
    <w:p>
      <w:pPr>
        <w:pStyle w:val="971"/>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r>
      <w:r/>
    </w:p>
    <w:p>
      <w:pPr>
        <w:pStyle w:val="971"/>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971"/>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971"/>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883"/>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rPr>
        <w:t xml:space="preserve">JSZC-320200-JZCG-G2025-0047</w:t>
      </w:r>
      <w:r>
        <w:rPr>
          <w:rFonts w:ascii="黑体" w:hAnsi="华文中宋" w:eastAsia="黑体"/>
          <w:bCs/>
          <w:color w:val="000000"/>
          <w:sz w:val="32"/>
          <w:szCs w:val="32"/>
        </w:rPr>
      </w:r>
      <w:r/>
    </w:p>
    <w:p>
      <w:pPr>
        <w:pStyle w:val="883"/>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项目名称：无锡市反诈中心业务技术用房信息化建设项目</w:t>
      </w:r>
      <w:r/>
    </w:p>
    <w:p>
      <w:pPr>
        <w:pStyle w:val="883"/>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采 购 人：无锡市公安局（本级）</w:t>
      </w:r>
      <w:r/>
    </w:p>
    <w:p>
      <w:pPr>
        <w:pStyle w:val="883"/>
        <w:jc w:val="center"/>
        <w:rPr>
          <w:rFonts w:ascii="黑体" w:hAnsi="华文中宋" w:eastAsia="黑体"/>
          <w:bCs/>
          <w:color w:val="000000"/>
          <w:sz w:val="30"/>
          <w:szCs w:val="30"/>
        </w:rPr>
      </w:pPr>
      <w:r>
        <w:rPr>
          <w:rFonts w:ascii="黑体" w:hAnsi="华文中宋" w:eastAsia="黑体"/>
          <w:bCs/>
          <w:color w:val="000000"/>
          <w:sz w:val="30"/>
          <w:szCs w:val="30"/>
        </w:rPr>
      </w:r>
      <w:r/>
    </w:p>
    <w:p>
      <w:pPr>
        <w:pStyle w:val="971"/>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971"/>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971"/>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971"/>
        <w:ind w:firstLine="0"/>
        <w:jc w:val="center"/>
        <w:spacing w:before="0" w:after="0"/>
        <w:rPr>
          <w:rFonts w:hint="eastAsia"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color w:val="000000"/>
          <w:sz w:val="32"/>
          <w:szCs w:val="32"/>
          <w:shd w:val="clear" w:color="ffffff" w:fill="d9d9d9"/>
        </w:rPr>
      </w:r>
      <w:r/>
    </w:p>
    <w:p>
      <w:pPr>
        <w:pStyle w:val="971"/>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二○二五年</w:t>
      </w:r>
      <w:r>
        <w:rPr>
          <w:rFonts w:hint="eastAsia" w:ascii="黑体" w:hAnsi="华文中宋" w:eastAsia="黑体"/>
          <w:bCs/>
          <w:color w:val="000000"/>
          <w:sz w:val="32"/>
          <w:szCs w:val="32"/>
        </w:rPr>
        <w:t xml:space="preserve">三</w:t>
      </w:r>
      <w:r>
        <w:rPr>
          <w:rFonts w:hint="eastAsia" w:ascii="黑体" w:hAnsi="华文中宋" w:eastAsia="黑体"/>
          <w:bCs/>
          <w:color w:val="000000"/>
          <w:sz w:val="32"/>
          <w:szCs w:val="32"/>
        </w:rPr>
        <w:t xml:space="preserve">月</w:t>
      </w:r>
      <w:r>
        <w:rPr>
          <w:rFonts w:ascii="黑体" w:hAnsi="华文中宋" w:eastAsia="黑体"/>
          <w:bCs/>
          <w:color w:val="000000"/>
          <w:sz w:val="32"/>
          <w:szCs w:val="32"/>
        </w:rPr>
      </w:r>
      <w:r/>
    </w:p>
    <w:p>
      <w:pPr>
        <w:pStyle w:val="971"/>
        <w:ind w:firstLine="0"/>
        <w:jc w:val="center"/>
        <w:rPr>
          <w:rFonts w:hint="eastAsia"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16938516"/>
      <w:r/>
      <w:bookmarkStart w:id="2" w:name="_Toc479757206"/>
      <w:r/>
      <w:bookmarkStart w:id="3" w:name="_Toc523127445"/>
      <w:r/>
      <w:bookmarkStart w:id="4" w:name="_Toc513029200"/>
      <w:r/>
      <w:bookmarkStart w:id="5" w:name="_Toc20823272"/>
      <w:r>
        <w:rPr>
          <w:rFonts w:hint="eastAsia" w:ascii="黑体" w:hAnsi="黑体" w:eastAsia="黑体"/>
          <w:color w:val="000000"/>
          <w:sz w:val="36"/>
          <w:szCs w:val="36"/>
        </w:rPr>
        <w:t xml:space="preserve">总  目  录</w:t>
      </w:r>
      <w:r/>
    </w:p>
    <w:p>
      <w:pPr>
        <w:pStyle w:val="883"/>
        <w:jc w:val="center"/>
        <w:spacing w:line="480" w:lineRule="auto"/>
        <w:rPr>
          <w:rFonts w:hint="eastAsia" w:ascii="黑体" w:hAnsi="Arial" w:eastAsia="黑体"/>
          <w:color w:val="000000"/>
          <w:sz w:val="44"/>
        </w:rPr>
        <w:outlineLvl w:val="0"/>
      </w:pPr>
      <w:r>
        <w:rPr>
          <w:rFonts w:hint="eastAsia" w:ascii="黑体" w:hAnsi="Arial" w:eastAsia="黑体"/>
          <w:color w:val="000000"/>
          <w:sz w:val="44"/>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pStyle w:val="883"/>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r/>
    </w:p>
    <w:p>
      <w:pPr>
        <w:pStyle w:val="883"/>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受无锡市公安局（本级）的委托，无锡市公共资源交易中心就无锡市反诈中心业务技术用房信息化建设项目（</w:t>
      </w:r>
      <w:r>
        <w:rPr>
          <w:rFonts w:hint="eastAsia" w:ascii="宋体" w:hAnsi="宋体"/>
          <w:color w:val="000000"/>
          <w:sz w:val="24"/>
          <w:szCs w:val="24"/>
        </w:rPr>
        <w:t xml:space="preserve">JSZC-320200-JZCG-G2025-0047</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883"/>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883"/>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无锡市反诈中心业务技术用房信息化建设项目采购项目的潜在投标人应在“无锡政府采购网”“江苏政府采购网”自行浏览招标文件，如有投标意向须在本招标文件有效获取期内通过登录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下载的方式依法获取招标文件，并于2025年</w:t>
      </w:r>
      <w:r>
        <w:rPr>
          <w:rFonts w:hint="eastAsia" w:ascii="宋体" w:hAnsi="宋体"/>
          <w:color w:val="000000"/>
          <w:sz w:val="24"/>
          <w:szCs w:val="24"/>
        </w:rPr>
        <w:t xml:space="preserve">4</w:t>
      </w:r>
      <w:r>
        <w:rPr>
          <w:rFonts w:hint="eastAsia" w:ascii="宋体" w:hAnsi="宋体"/>
          <w:color w:val="000000"/>
          <w:sz w:val="24"/>
          <w:szCs w:val="24"/>
        </w:rPr>
        <w:t xml:space="preserve">月</w:t>
      </w:r>
      <w:r>
        <w:rPr>
          <w:rFonts w:hint="eastAsia" w:ascii="宋体" w:hAnsi="宋体"/>
          <w:color w:val="000000"/>
          <w:sz w:val="24"/>
          <w:szCs w:val="24"/>
        </w:rPr>
        <w:t xml:space="preserve">1</w:t>
      </w:r>
      <w:r>
        <w:rPr>
          <w:rFonts w:hint="eastAsia" w:ascii="宋体" w:hAnsi="宋体"/>
          <w:color w:val="000000"/>
          <w:sz w:val="24"/>
          <w:szCs w:val="24"/>
        </w:rPr>
        <w:t xml:space="preserve">0</w:t>
      </w:r>
      <w:r>
        <w:rPr>
          <w:rFonts w:hint="eastAsia" w:ascii="宋体" w:hAnsi="宋体"/>
          <w:color w:val="000000"/>
          <w:sz w:val="24"/>
          <w:szCs w:val="24"/>
        </w:rPr>
        <w:t xml:space="preserve">日09点30分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shd w:val="clear" w:color="ffffff" w:fill="d9d9d9"/>
        </w:rPr>
      </w:r>
      <w:r/>
    </w:p>
    <w:p>
      <w:pPr>
        <w:pStyle w:val="886"/>
        <w:ind w:firstLine="452"/>
        <w:keepLines w:val="0"/>
        <w:keepNext w:val="0"/>
        <w:spacing w:before="0" w:after="0" w:line="500" w:lineRule="exact"/>
        <w:rPr>
          <w:color w:val="000000"/>
          <w:sz w:val="30"/>
          <w:szCs w:val="30"/>
        </w:rPr>
      </w:pPr>
      <w:r/>
      <w:bookmarkStart w:id="6" w:name="_Toc35393621"/>
      <w:r/>
      <w:bookmarkStart w:id="7" w:name="_Toc28359002"/>
      <w:r/>
      <w:bookmarkStart w:id="8" w:name="_Toc28359079"/>
      <w:r/>
      <w:bookmarkStart w:id="9" w:name="_Toc35393790"/>
      <w:r/>
      <w:bookmarkStart w:id="10" w:name="_Toc38985263"/>
      <w:r/>
      <w:bookmarkStart w:id="11" w:name="_Hlk24379207"/>
      <w:r>
        <w:rPr>
          <w:rFonts w:hint="eastAsia"/>
          <w:color w:val="000000"/>
          <w:sz w:val="30"/>
          <w:szCs w:val="30"/>
        </w:rPr>
        <w:t xml:space="preserve">一、项目基本情况</w:t>
      </w:r>
      <w:bookmarkEnd w:id="6"/>
      <w:r/>
      <w:bookmarkEnd w:id="7"/>
      <w:r/>
      <w:bookmarkEnd w:id="8"/>
      <w:r/>
      <w:bookmarkEnd w:id="9"/>
      <w:r/>
      <w:bookmarkEnd w:id="10"/>
      <w:r>
        <w:rPr>
          <w:color w:val="000000"/>
          <w:sz w:val="30"/>
          <w:szCs w:val="30"/>
        </w:rPr>
      </w:r>
      <w:r/>
    </w:p>
    <w:p>
      <w:pPr>
        <w:pStyle w:val="883"/>
        <w:ind w:firstLine="480"/>
        <w:spacing w:line="5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rPr>
        <w:t xml:space="preserve">JSZC-320200-JZCG-G2025-0047</w:t>
      </w:r>
      <w:r>
        <w:rPr>
          <w:rFonts w:ascii="宋体" w:hAnsi="宋体"/>
          <w:color w:val="000000"/>
          <w:sz w:val="24"/>
          <w:szCs w:val="24"/>
        </w:rPr>
      </w:r>
      <w:r/>
    </w:p>
    <w:p>
      <w:pPr>
        <w:pStyle w:val="883"/>
        <w:ind w:firstLine="480"/>
        <w:spacing w:line="500" w:lineRule="exact"/>
        <w:rPr>
          <w:rFonts w:ascii="宋体" w:hAnsi="宋体"/>
          <w:color w:val="000000"/>
          <w:sz w:val="24"/>
          <w:szCs w:val="24"/>
        </w:rPr>
      </w:pPr>
      <w:r>
        <w:rPr>
          <w:rFonts w:hint="eastAsia" w:ascii="宋体" w:hAnsi="宋体"/>
          <w:color w:val="000000"/>
          <w:sz w:val="24"/>
          <w:szCs w:val="24"/>
        </w:rPr>
        <w:t xml:space="preserve">2.项目名称：无锡市反诈中心业务技术用房信息化建设项目</w:t>
      </w:r>
      <w:r>
        <w:rPr>
          <w:rFonts w:ascii="宋体" w:hAnsi="宋体"/>
          <w:color w:val="000000"/>
          <w:sz w:val="24"/>
          <w:szCs w:val="24"/>
        </w:rPr>
      </w:r>
      <w:r/>
    </w:p>
    <w:p>
      <w:pPr>
        <w:pStyle w:val="883"/>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w:t>
      </w:r>
      <w:r>
        <w:rPr>
          <w:rFonts w:ascii="宋体" w:hAnsi="宋体"/>
          <w:color w:val="000000"/>
          <w:sz w:val="24"/>
          <w:szCs w:val="24"/>
        </w:rPr>
        <w:t xml:space="preserve">332.9643</w:t>
      </w:r>
      <w:r>
        <w:rPr>
          <w:rFonts w:hint="eastAsia" w:ascii="宋体" w:hAnsi="宋体"/>
          <w:color w:val="000000"/>
          <w:sz w:val="24"/>
          <w:szCs w:val="24"/>
        </w:rPr>
        <w:t xml:space="preserve">万元</w:t>
      </w:r>
      <w:r>
        <w:rPr>
          <w:rFonts w:ascii="宋体" w:hAnsi="宋体"/>
          <w:color w:val="000000"/>
          <w:sz w:val="24"/>
          <w:szCs w:val="24"/>
        </w:rPr>
      </w:r>
      <w:r/>
    </w:p>
    <w:p>
      <w:pPr>
        <w:pStyle w:val="883"/>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ascii="宋体" w:hAnsi="宋体"/>
          <w:color w:val="000000"/>
          <w:sz w:val="24"/>
          <w:szCs w:val="24"/>
        </w:rPr>
        <w:t xml:space="preserve">332.9643</w:t>
      </w:r>
      <w:r>
        <w:rPr>
          <w:rFonts w:hint="eastAsia" w:ascii="宋体" w:hAnsi="宋体"/>
          <w:color w:val="000000"/>
          <w:sz w:val="24"/>
          <w:szCs w:val="24"/>
        </w:rPr>
        <w:t xml:space="preserve">万元</w:t>
      </w:r>
      <w:r>
        <w:rPr>
          <w:rFonts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7.合同履行期限：</w:t>
      </w:r>
      <w:r>
        <w:rPr>
          <w:rFonts w:hint="eastAsia" w:ascii="宋体" w:hAnsi="宋体" w:cs="宋体"/>
          <w:color w:val="000000"/>
          <w:sz w:val="24"/>
          <w:szCs w:val="24"/>
        </w:rPr>
        <w:t xml:space="preserve">详见招标文件第四章《采购需求》</w:t>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8.本项目不接受联合体投标。</w:t>
      </w:r>
      <w:r>
        <w:rPr>
          <w:rFonts w:ascii="宋体" w:hAnsi="宋体" w:cs="宋体"/>
          <w:color w:val="000000"/>
          <w:sz w:val="24"/>
          <w:szCs w:val="24"/>
        </w:rPr>
      </w:r>
      <w:r/>
    </w:p>
    <w:p>
      <w:pPr>
        <w:pStyle w:val="886"/>
        <w:ind w:firstLine="452"/>
        <w:keepLines w:val="0"/>
        <w:keepNext w:val="0"/>
        <w:spacing w:before="0" w:after="0" w:line="500" w:lineRule="exact"/>
        <w:rPr>
          <w:color w:val="000000"/>
          <w:sz w:val="30"/>
          <w:szCs w:val="30"/>
        </w:rPr>
      </w:pPr>
      <w:r/>
      <w:bookmarkStart w:id="12" w:name="_Toc28359080"/>
      <w:r/>
      <w:bookmarkStart w:id="13" w:name="_Toc38985264"/>
      <w:r/>
      <w:bookmarkStart w:id="14" w:name="_Toc28359003"/>
      <w:r/>
      <w:bookmarkStart w:id="15" w:name="_Toc35393791"/>
      <w:r/>
      <w:bookmarkStart w:id="16" w:name="_Toc35393622"/>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883"/>
        <w:ind w:firstLine="480"/>
        <w:spacing w:line="500" w:lineRule="exact"/>
        <w:rPr>
          <w:rFonts w:ascii="宋体" w:hAnsi="宋体"/>
          <w:color w:val="000000"/>
          <w:sz w:val="24"/>
          <w:szCs w:val="24"/>
        </w:rPr>
      </w:pPr>
      <w:r/>
      <w:bookmarkStart w:id="17" w:name="_Toc38985265"/>
      <w:r/>
      <w:bookmarkStart w:id="18" w:name="_Toc35393623"/>
      <w:r/>
      <w:bookmarkStart w:id="19" w:name="_Toc35393792"/>
      <w:r/>
      <w:bookmarkStart w:id="20" w:name="_Toc28359004"/>
      <w:r/>
      <w:bookmarkStart w:id="21" w:name="_Toc28359081"/>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2.落实政府采购政策需满足的资格要求：</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2.1中小企业政策：无</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883"/>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ascii="宋体" w:hAnsi="宋体" w:cs="宋体"/>
          <w:color w:val="000000"/>
          <w:sz w:val="24"/>
          <w:szCs w:val="24"/>
        </w:rPr>
      </w:r>
      <w:r/>
    </w:p>
    <w:p>
      <w:pPr>
        <w:pStyle w:val="886"/>
        <w:ind w:firstLine="452"/>
        <w:keepLines w:val="0"/>
        <w:keepNext w:val="0"/>
        <w:spacing w:before="0" w:after="0" w:line="500" w:lineRule="exact"/>
        <w:rPr>
          <w:color w:val="000000"/>
          <w:sz w:val="30"/>
          <w:szCs w:val="30"/>
        </w:rPr>
      </w:pPr>
      <w:r>
        <w:rPr>
          <w:rFonts w:hint="eastAsia"/>
          <w:color w:val="000000"/>
          <w:sz w:val="30"/>
          <w:szCs w:val="30"/>
        </w:rPr>
        <w:t xml:space="preserve">三、获取招标文件</w:t>
      </w:r>
      <w:bookmarkEnd w:id="17"/>
      <w:r/>
      <w:bookmarkEnd w:id="18"/>
      <w:r/>
      <w:bookmarkEnd w:id="19"/>
      <w:r/>
      <w:bookmarkEnd w:id="20"/>
      <w:r/>
      <w:bookmarkEnd w:id="21"/>
      <w:r>
        <w:rPr>
          <w:color w:val="000000"/>
          <w:sz w:val="30"/>
          <w:szCs w:val="30"/>
        </w:rPr>
      </w:r>
      <w:r/>
    </w:p>
    <w:p>
      <w:pPr>
        <w:pStyle w:val="883"/>
        <w:ind w:firstLine="540"/>
        <w:spacing w:line="500" w:lineRule="exact"/>
        <w:rPr>
          <w:rFonts w:hint="eastAsia" w:ascii="宋体" w:hAnsi="宋体"/>
          <w:color w:val="000000"/>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本招标文件有效获取期限以本项目招标公告中规定的获取招标文件时间为准。</w:t>
      </w:r>
      <w:r/>
    </w:p>
    <w:p>
      <w:pPr>
        <w:pStyle w:val="883"/>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bCs/>
          <w:color w:val="000000"/>
          <w:sz w:val="24"/>
          <w:szCs w:val="24"/>
        </w:rPr>
      </w:r>
      <w:r/>
    </w:p>
    <w:p>
      <w:pPr>
        <w:pStyle w:val="883"/>
        <w:ind w:firstLine="540"/>
        <w:spacing w:line="500" w:lineRule="exact"/>
        <w:rPr>
          <w:rStyle w:val="960"/>
          <w:color w:val="000000"/>
        </w:rPr>
      </w:pPr>
      <w:r>
        <w:rPr>
          <w:rFonts w:hint="eastAsia" w:ascii="宋体" w:hAnsi="宋体"/>
          <w:bCs/>
          <w:color w:val="000000"/>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在招标文件有效获取期限内，从</w:t>
      </w:r>
      <w:r>
        <w:rPr>
          <w:rFonts w:ascii="宋体" w:hAnsi="宋体"/>
          <w:color w:val="000000"/>
          <w:sz w:val="24"/>
          <w:szCs w:val="24"/>
        </w:rPr>
        <w:t xml:space="preserve">“江苏省政府采购（苏采云）平台”获取的</w:t>
      </w:r>
      <w:r>
        <w:rPr>
          <w:rFonts w:hint="eastAsia" w:ascii="宋体" w:hAnsi="宋体"/>
          <w:bCs/>
          <w:color w:val="000000"/>
          <w:sz w:val="24"/>
          <w:szCs w:val="24"/>
        </w:rPr>
        <w:t xml:space="preserve">招标文件，视为依法获取的招标文件。</w:t>
      </w:r>
      <w:r>
        <w:rPr>
          <w:rStyle w:val="960"/>
          <w:color w:val="000000"/>
        </w:rPr>
      </w:r>
      <w:r/>
    </w:p>
    <w:p>
      <w:pPr>
        <w:pStyle w:val="883"/>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4.售价：本项目招标文件免费。</w:t>
      </w:r>
      <w:r>
        <w:rPr>
          <w:rFonts w:ascii="宋体" w:hAnsi="宋体"/>
          <w:bCs/>
          <w:color w:val="000000"/>
          <w:sz w:val="24"/>
          <w:szCs w:val="24"/>
        </w:rPr>
      </w:r>
      <w:r/>
    </w:p>
    <w:p>
      <w:pPr>
        <w:pStyle w:val="886"/>
        <w:ind w:firstLine="452"/>
        <w:keepLines w:val="0"/>
        <w:keepNext w:val="0"/>
        <w:spacing w:before="0" w:after="0" w:line="500" w:lineRule="exact"/>
        <w:rPr>
          <w:color w:val="000000"/>
          <w:sz w:val="30"/>
          <w:szCs w:val="30"/>
        </w:rPr>
      </w:pPr>
      <w:r>
        <w:rPr>
          <w:rFonts w:hint="eastAsia"/>
          <w:color w:val="000000"/>
          <w:sz w:val="30"/>
          <w:szCs w:val="30"/>
        </w:rPr>
        <w:t xml:space="preserve">四、提交投标文件</w:t>
      </w:r>
      <w:bookmarkEnd w:id="22"/>
      <w:r/>
      <w:bookmarkEnd w:id="23"/>
      <w:r>
        <w:rPr>
          <w:rFonts w:hint="eastAsia"/>
          <w:color w:val="000000"/>
          <w:sz w:val="30"/>
          <w:szCs w:val="30"/>
        </w:rPr>
        <w:t xml:space="preserve">截止时间、开标时间和地点</w:t>
      </w:r>
      <w:bookmarkEnd w:id="24"/>
      <w:r/>
      <w:bookmarkEnd w:id="25"/>
      <w:r/>
      <w:bookmarkEnd w:id="26"/>
      <w:r>
        <w:rPr>
          <w:color w:val="000000"/>
          <w:sz w:val="30"/>
          <w:szCs w:val="30"/>
        </w:rPr>
      </w:r>
      <w:r/>
    </w:p>
    <w:p>
      <w:pPr>
        <w:pStyle w:val="88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1.时间：2025年</w:t>
      </w:r>
      <w:r>
        <w:rPr>
          <w:rFonts w:hint="eastAsia" w:ascii="宋体" w:hAnsi="宋体"/>
          <w:bCs/>
          <w:color w:val="000000"/>
          <w:sz w:val="24"/>
          <w:szCs w:val="24"/>
        </w:rPr>
        <w:t xml:space="preserve">4</w:t>
      </w:r>
      <w:r>
        <w:rPr>
          <w:rFonts w:hint="eastAsia" w:ascii="宋体" w:hAnsi="宋体"/>
          <w:bCs/>
          <w:color w:val="000000"/>
          <w:sz w:val="24"/>
          <w:szCs w:val="24"/>
        </w:rPr>
        <w:t xml:space="preserve">月</w:t>
      </w:r>
      <w:r>
        <w:rPr>
          <w:rFonts w:hint="eastAsia" w:ascii="宋体" w:hAnsi="宋体"/>
          <w:bCs/>
          <w:color w:val="000000"/>
          <w:sz w:val="24"/>
          <w:szCs w:val="24"/>
        </w:rPr>
        <w:t xml:space="preserve">1</w:t>
      </w:r>
      <w:r>
        <w:rPr>
          <w:rFonts w:hint="eastAsia" w:ascii="宋体" w:hAnsi="宋体"/>
          <w:bCs/>
          <w:color w:val="000000"/>
          <w:sz w:val="24"/>
          <w:szCs w:val="24"/>
        </w:rPr>
        <w:t xml:space="preserve">0</w:t>
      </w:r>
      <w:r>
        <w:rPr>
          <w:rFonts w:hint="eastAsia" w:ascii="宋体" w:hAnsi="宋体"/>
          <w:bCs/>
          <w:color w:val="000000"/>
          <w:sz w:val="24"/>
          <w:szCs w:val="24"/>
        </w:rPr>
        <w:t xml:space="preserve">日09点30分（北京时间）</w:t>
      </w:r>
      <w:r/>
    </w:p>
    <w:p>
      <w:pPr>
        <w:pStyle w:val="883"/>
        <w:ind w:firstLine="480"/>
        <w:spacing w:line="500" w:lineRule="exact"/>
        <w:rPr>
          <w:rFonts w:hint="eastAsia"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rPr>
          <w:rFonts w:hint="eastAsia" w:ascii="宋体" w:hAnsi="宋体"/>
          <w:bCs/>
          <w:color w:val="000000"/>
          <w:sz w:val="24"/>
          <w:szCs w:val="24"/>
          <w:u w:val="single"/>
        </w:rPr>
      </w:r>
      <w:r/>
    </w:p>
    <w:p>
      <w:pPr>
        <w:pStyle w:val="886"/>
        <w:ind w:firstLine="452"/>
        <w:keepLines w:val="0"/>
        <w:keepNext w:val="0"/>
        <w:spacing w:before="0" w:after="0" w:line="500" w:lineRule="exact"/>
        <w:rPr>
          <w:color w:val="000000"/>
          <w:sz w:val="30"/>
          <w:szCs w:val="30"/>
        </w:rPr>
      </w:pPr>
      <w:r/>
      <w:bookmarkStart w:id="27" w:name="_Toc35393794"/>
      <w:r/>
      <w:bookmarkStart w:id="28" w:name="_Toc35393625"/>
      <w:r/>
      <w:bookmarkStart w:id="29" w:name="_Toc28359007"/>
      <w:r/>
      <w:bookmarkStart w:id="30" w:name="_Toc28359084"/>
      <w:r/>
      <w:bookmarkStart w:id="31" w:name="_Toc38985267"/>
      <w:r>
        <w:rPr>
          <w:rFonts w:hint="eastAsia"/>
          <w:color w:val="000000"/>
          <w:sz w:val="30"/>
          <w:szCs w:val="30"/>
        </w:rPr>
        <w:t xml:space="preserve">五、公告期限</w:t>
      </w:r>
      <w:bookmarkEnd w:id="27"/>
      <w:r/>
      <w:bookmarkEnd w:id="28"/>
      <w:r/>
      <w:bookmarkEnd w:id="29"/>
      <w:r/>
      <w:bookmarkEnd w:id="30"/>
      <w:r/>
      <w:bookmarkEnd w:id="31"/>
      <w:r>
        <w:rPr>
          <w:color w:val="000000"/>
          <w:sz w:val="30"/>
          <w:szCs w:val="30"/>
        </w:rPr>
      </w:r>
      <w:r/>
    </w:p>
    <w:p>
      <w:pPr>
        <w:pStyle w:val="883"/>
        <w:ind w:firstLine="480"/>
        <w:spacing w:line="500" w:lineRule="exact"/>
        <w:rPr>
          <w:rFonts w:ascii="宋体" w:hAnsi="宋体" w:cs="宋体"/>
          <w:color w:val="000000"/>
          <w:sz w:val="24"/>
          <w:szCs w:val="24"/>
        </w:rPr>
      </w:pPr>
      <w:r/>
      <w:bookmarkStart w:id="32" w:name="_Toc38985268"/>
      <w:r/>
      <w:bookmarkStart w:id="33" w:name="_Toc35393795"/>
      <w:r/>
      <w:bookmarkStart w:id="34" w:name="_Toc35393626"/>
      <w:r>
        <w:rPr>
          <w:rFonts w:hint="eastAsia" w:ascii="宋体" w:hAnsi="宋体" w:cs="宋体"/>
          <w:color w:val="000000"/>
          <w:sz w:val="24"/>
          <w:szCs w:val="24"/>
        </w:rPr>
        <w:t xml:space="preserve">（招标公告及招标文件公告期限）自本公告发布之日起5个工作日。</w:t>
      </w:r>
      <w:r>
        <w:rPr>
          <w:rFonts w:ascii="宋体" w:hAnsi="宋体" w:cs="宋体"/>
          <w:color w:val="000000"/>
          <w:sz w:val="24"/>
          <w:szCs w:val="24"/>
        </w:rPr>
      </w:r>
      <w:r/>
    </w:p>
    <w:p>
      <w:pPr>
        <w:pStyle w:val="886"/>
        <w:ind w:firstLine="452"/>
        <w:keepLines w:val="0"/>
        <w:keepNext w:val="0"/>
        <w:spacing w:before="0" w:after="0" w:line="500" w:lineRule="exact"/>
        <w:rPr>
          <w:color w:val="000000"/>
          <w:sz w:val="30"/>
          <w:szCs w:val="30"/>
        </w:rPr>
      </w:pPr>
      <w:r>
        <w:rPr>
          <w:rFonts w:hint="eastAsia"/>
          <w:color w:val="000000"/>
          <w:sz w:val="30"/>
          <w:szCs w:val="30"/>
        </w:rPr>
        <w:t xml:space="preserve">六、其他补充事宜</w:t>
      </w:r>
      <w:bookmarkEnd w:id="32"/>
      <w:r/>
      <w:bookmarkEnd w:id="33"/>
      <w:r/>
      <w:bookmarkEnd w:id="34"/>
      <w:r>
        <w:rPr>
          <w:color w:val="000000"/>
          <w:sz w:val="30"/>
          <w:szCs w:val="30"/>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886"/>
        <w:ind w:firstLine="452"/>
        <w:keepLines w:val="0"/>
        <w:keepNext w:val="0"/>
        <w:spacing w:before="0" w:after="0" w:line="500" w:lineRule="exact"/>
        <w:rPr>
          <w:color w:val="000000"/>
          <w:sz w:val="30"/>
          <w:szCs w:val="30"/>
        </w:rPr>
      </w:pPr>
      <w:r/>
      <w:bookmarkStart w:id="35" w:name="_Toc35393627"/>
      <w:r/>
      <w:bookmarkStart w:id="36" w:name="_Toc38985269"/>
      <w:r/>
      <w:bookmarkStart w:id="37" w:name="_Toc28359085"/>
      <w:r/>
      <w:bookmarkStart w:id="38" w:name="_Toc35393796"/>
      <w:r/>
      <w:bookmarkStart w:id="39" w:name="_Toc28359008"/>
      <w:r>
        <w:rPr>
          <w:rFonts w:hint="eastAsia"/>
          <w:color w:val="000000"/>
          <w:sz w:val="30"/>
          <w:szCs w:val="30"/>
        </w:rPr>
        <w:t xml:space="preserve">七、本项目联系方式</w:t>
      </w:r>
      <w:bookmarkEnd w:id="35"/>
      <w:r/>
      <w:bookmarkEnd w:id="36"/>
      <w:r/>
      <w:bookmarkEnd w:id="37"/>
      <w:r/>
      <w:bookmarkEnd w:id="38"/>
      <w:r/>
      <w:bookmarkEnd w:id="39"/>
      <w:r>
        <w:rPr>
          <w:color w:val="000000"/>
          <w:sz w:val="30"/>
          <w:szCs w:val="30"/>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称：无锡市公安局（本级）</w:t>
      </w:r>
      <w:r>
        <w:rPr>
          <w:rFonts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址：无锡市经开区高浪西路5</w:t>
      </w:r>
      <w:r>
        <w:rPr>
          <w:rFonts w:ascii="宋体" w:hAnsi="宋体" w:cs="宋体"/>
          <w:color w:val="000000"/>
          <w:sz w:val="24"/>
          <w:szCs w:val="24"/>
        </w:rPr>
        <w:t xml:space="preserve">8</w:t>
      </w:r>
      <w:r>
        <w:rPr>
          <w:rFonts w:hint="eastAsia" w:ascii="宋体" w:hAnsi="宋体" w:cs="宋体"/>
          <w:color w:val="000000"/>
          <w:sz w:val="24"/>
          <w:szCs w:val="24"/>
        </w:rPr>
        <w:t xml:space="preserve">号</w:t>
      </w:r>
      <w:r>
        <w:rPr>
          <w:rFonts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称：无锡市公共资源交易中心</w:t>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址：无锡市滨湖区观山路199号10号3楼</w:t>
      </w:r>
      <w:r>
        <w:rPr>
          <w:rFonts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采购人项目咨询联系人：殷俊；电话：0510-</w:t>
      </w:r>
      <w:r>
        <w:rPr>
          <w:rFonts w:ascii="宋体" w:hAnsi="宋体" w:cs="宋体"/>
          <w:color w:val="000000"/>
          <w:sz w:val="24"/>
          <w:szCs w:val="24"/>
        </w:rPr>
        <w:t xml:space="preserve">82222502</w:t>
      </w:r>
      <w:r>
        <w:rPr>
          <w:rFonts w:hint="eastAsia"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采购人质疑受理联系人：殷俊；电话：0510-</w:t>
      </w:r>
      <w:r>
        <w:rPr>
          <w:rFonts w:ascii="宋体" w:hAnsi="宋体" w:cs="宋体"/>
          <w:color w:val="000000"/>
          <w:sz w:val="24"/>
          <w:szCs w:val="24"/>
        </w:rPr>
        <w:t xml:space="preserve">82222502</w:t>
      </w:r>
      <w:r>
        <w:rPr>
          <w:rFonts w:hint="eastAsia"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交易中心项目联系人：邰云祥；电话：0510-81827764</w:t>
      </w:r>
      <w:r/>
    </w:p>
    <w:p>
      <w:pPr>
        <w:pStyle w:val="886"/>
        <w:ind w:firstLine="452"/>
        <w:keepLines w:val="0"/>
        <w:keepNext w:val="0"/>
        <w:spacing w:before="0" w:after="0" w:line="500" w:lineRule="exact"/>
        <w:rPr>
          <w:color w:val="000000"/>
          <w:sz w:val="30"/>
          <w:szCs w:val="30"/>
        </w:rPr>
      </w:pPr>
      <w:r>
        <w:rPr>
          <w:rFonts w:hint="eastAsia"/>
          <w:color w:val="000000"/>
          <w:sz w:val="30"/>
          <w:szCs w:val="30"/>
        </w:rPr>
        <w:t xml:space="preserve">八、其他</w:t>
      </w:r>
      <w:r>
        <w:rPr>
          <w:color w:val="000000"/>
          <w:sz w:val="30"/>
          <w:szCs w:val="30"/>
        </w:rPr>
      </w:r>
      <w:r/>
    </w:p>
    <w:p>
      <w:pPr>
        <w:pStyle w:val="883"/>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rPr>
          <w:rFonts w:ascii="宋体" w:hAnsi="宋体" w:cs="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color w:val="000000"/>
          <w:sz w:val="24"/>
          <w:szCs w:val="24"/>
        </w:rPr>
      </w:r>
      <w:r/>
    </w:p>
    <w:p>
      <w:pPr>
        <w:pStyle w:val="883"/>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rPr>
          <w:rFonts w:ascii="宋体" w:hAnsi="宋体" w:cs="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883"/>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（三）有关本次采购的事项若存在变动或修改，敬请及时关注无锡市公共资源交易中心在“无锡政府采购网”“江苏政府采购网”发布的更正公告。</w:t>
      </w:r>
      <w:r/>
    </w:p>
    <w:p>
      <w:pPr>
        <w:pStyle w:val="883"/>
        <w:ind w:firstLine="480"/>
        <w:spacing w:line="500" w:lineRule="exact"/>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rPr>
          <w:rFonts w:hint="eastAsia" w:ascii="宋体" w:hAnsi="宋体"/>
          <w:bCs/>
          <w:color w:val="000000"/>
          <w:sz w:val="24"/>
          <w:szCs w:val="24"/>
          <w:shd w:val="clear" w:color="ffffff" w:fill="d9d9d9"/>
        </w:rPr>
      </w:r>
      <w:r/>
    </w:p>
    <w:p>
      <w:pPr>
        <w:pStyle w:val="883"/>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20823274"/>
      <w:r/>
      <w:bookmarkStart w:id="46" w:name="_Toc120614213"/>
      <w:r>
        <w:rPr>
          <w:rFonts w:hint="eastAsia" w:ascii="黑体" w:hAnsi="黑体" w:eastAsia="黑体"/>
          <w:color w:val="000000"/>
          <w:sz w:val="36"/>
          <w:szCs w:val="36"/>
        </w:rPr>
        <w:t xml:space="preserve">投标人须知</w:t>
      </w:r>
      <w:bookmarkEnd w:id="43"/>
      <w:r/>
      <w:bookmarkEnd w:id="44"/>
      <w:r/>
      <w:bookmarkEnd w:id="45"/>
      <w:r/>
      <w:bookmarkEnd w:id="46"/>
      <w:r>
        <w:rPr>
          <w:rFonts w:hint="eastAsia" w:ascii="黑体" w:hAnsi="黑体" w:eastAsia="黑体"/>
          <w:color w:val="000000"/>
          <w:sz w:val="36"/>
          <w:szCs w:val="36"/>
        </w:rPr>
      </w:r>
      <w:r/>
    </w:p>
    <w:p>
      <w:pPr>
        <w:pStyle w:val="886"/>
        <w:ind w:firstLine="452"/>
        <w:keepLines w:val="0"/>
        <w:keepNext w:val="0"/>
        <w:spacing w:before="0" w:after="0" w:line="500" w:lineRule="exact"/>
        <w:rPr>
          <w:rFonts w:hint="eastAsia"/>
          <w:color w:val="000000"/>
          <w:sz w:val="30"/>
          <w:szCs w:val="30"/>
        </w:rPr>
      </w:pPr>
      <w:r/>
      <w:bookmarkStart w:id="47" w:name="_Toc120614214"/>
      <w:r/>
      <w:bookmarkStart w:id="48" w:name="_Toc16938519"/>
      <w:r/>
      <w:bookmarkStart w:id="49" w:name="_Toc513029203"/>
      <w:r/>
      <w:bookmarkStart w:id="50" w:name="_Toc20823275"/>
      <w:r>
        <w:rPr>
          <w:rFonts w:hint="eastAsia"/>
          <w:color w:val="000000"/>
          <w:sz w:val="30"/>
          <w:szCs w:val="30"/>
        </w:rPr>
        <w:t xml:space="preserve">一、总则</w:t>
      </w:r>
      <w:bookmarkEnd w:id="47"/>
      <w:r/>
      <w:bookmarkEnd w:id="48"/>
      <w:r/>
      <w:bookmarkEnd w:id="49"/>
      <w:r/>
      <w:bookmarkEnd w:id="50"/>
      <w:r>
        <w:rPr>
          <w:rFonts w:hint="eastAsia"/>
          <w:color w:val="000000"/>
          <w:sz w:val="30"/>
          <w:szCs w:val="30"/>
        </w:rPr>
      </w:r>
      <w:r/>
    </w:p>
    <w:p>
      <w:pPr>
        <w:pStyle w:val="887"/>
        <w:ind w:firstLine="422"/>
        <w:keepLines w:val="0"/>
        <w:keepNext w:val="0"/>
        <w:spacing w:before="0" w:after="0" w:line="500" w:lineRule="exact"/>
        <w:rPr>
          <w:rFonts w:hint="eastAsia" w:ascii="宋体" w:hAnsi="宋体" w:eastAsia="宋体"/>
          <w:bCs w:val="0"/>
          <w:color w:val="000000"/>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color w:val="000000"/>
        </w:rPr>
        <w:t xml:space="preserve">1.招标方式</w:t>
      </w:r>
      <w:bookmarkEnd w:id="52"/>
      <w:r/>
      <w:bookmarkEnd w:id="53"/>
      <w:r/>
      <w:bookmarkEnd w:id="54"/>
      <w:r>
        <w:rPr>
          <w:rFonts w:hint="eastAsia" w:ascii="宋体" w:hAnsi="宋体" w:eastAsia="宋体"/>
          <w:bCs w:val="0"/>
          <w:color w:val="000000"/>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887"/>
        <w:ind w:firstLine="422"/>
        <w:keepLines w:val="0"/>
        <w:keepNext w:val="0"/>
        <w:spacing w:before="0" w:after="0" w:line="500" w:lineRule="exact"/>
        <w:rPr>
          <w:rFonts w:hint="eastAsia" w:ascii="宋体" w:hAnsi="宋体" w:eastAsia="宋体"/>
          <w:bCs w:val="0"/>
          <w:color w:val="000000"/>
        </w:rPr>
      </w:pPr>
      <w:r/>
      <w:bookmarkStart w:id="55" w:name="_Toc20823277"/>
      <w:r/>
      <w:bookmarkStart w:id="56" w:name="_Toc513029205"/>
      <w:r/>
      <w:bookmarkStart w:id="57" w:name="_Toc16938521"/>
      <w:r>
        <w:rPr>
          <w:rFonts w:hint="eastAsia" w:ascii="宋体" w:hAnsi="宋体" w:eastAsia="宋体"/>
          <w:bCs w:val="0"/>
          <w:color w:val="000000"/>
        </w:rPr>
        <w:t xml:space="preserve">2.</w:t>
      </w:r>
      <w:bookmarkEnd w:id="55"/>
      <w:r/>
      <w:bookmarkEnd w:id="56"/>
      <w:r/>
      <w:bookmarkEnd w:id="57"/>
      <w:r>
        <w:rPr>
          <w:rFonts w:hint="eastAsia" w:ascii="宋体" w:hAnsi="宋体" w:eastAsia="宋体"/>
          <w:bCs w:val="0"/>
          <w:color w:val="000000"/>
        </w:rPr>
        <w:t xml:space="preserve">采购人、采购代理机构、投标人、联合体</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pStyle w:val="883"/>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87"/>
        <w:ind w:firstLine="422"/>
        <w:keepLines w:val="0"/>
        <w:keepNext w:val="0"/>
        <w:spacing w:before="0" w:after="0" w:line="500" w:lineRule="exact"/>
        <w:rPr>
          <w:rFonts w:hint="eastAsia" w:ascii="宋体" w:hAnsi="宋体" w:eastAsia="宋体"/>
          <w:bCs w:val="0"/>
          <w:color w:val="000000"/>
        </w:rPr>
      </w:pPr>
      <w:r/>
      <w:bookmarkStart w:id="58" w:name="_Toc16938522"/>
      <w:r/>
      <w:bookmarkStart w:id="59" w:name="_Toc20823278"/>
      <w:r/>
      <w:bookmarkStart w:id="60" w:name="_Toc513029206"/>
      <w:r>
        <w:rPr>
          <w:rFonts w:hint="eastAsia" w:ascii="宋体" w:hAnsi="宋体" w:eastAsia="宋体"/>
          <w:bCs w:val="0"/>
          <w:color w:val="000000"/>
        </w:rPr>
        <w:t xml:space="preserve">3.适用法律</w:t>
      </w:r>
      <w:bookmarkEnd w:id="58"/>
      <w:r/>
      <w:bookmarkEnd w:id="59"/>
      <w:r/>
      <w:bookmarkEnd w:id="60"/>
      <w:r>
        <w:rPr>
          <w:rFonts w:hint="eastAsia" w:ascii="宋体" w:hAnsi="宋体" w:eastAsia="宋体"/>
          <w:bCs w:val="0"/>
          <w:color w:val="000000"/>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3.1本次招标及由此产生的合同受中华人民共和国法律的制约和保护。</w:t>
      </w:r>
      <w:r/>
    </w:p>
    <w:p>
      <w:pPr>
        <w:pStyle w:val="887"/>
        <w:ind w:firstLine="422"/>
        <w:keepLines w:val="0"/>
        <w:keepNext w:val="0"/>
        <w:spacing w:before="0" w:after="0" w:line="500" w:lineRule="exact"/>
        <w:rPr>
          <w:rFonts w:hint="eastAsia" w:ascii="宋体" w:hAnsi="宋体" w:eastAsia="宋体"/>
          <w:bCs w:val="0"/>
          <w:color w:val="000000"/>
        </w:rPr>
      </w:pPr>
      <w:r/>
      <w:bookmarkStart w:id="61" w:name="_Toc16938523"/>
      <w:r/>
      <w:bookmarkStart w:id="62" w:name="_Toc462564067"/>
      <w:r/>
      <w:bookmarkStart w:id="63" w:name="_Toc20823279"/>
      <w:r/>
      <w:bookmarkStart w:id="64" w:name="_Toc513029207"/>
      <w:r>
        <w:rPr>
          <w:rFonts w:hint="eastAsia" w:ascii="宋体" w:hAnsi="宋体" w:eastAsia="宋体"/>
          <w:bCs w:val="0"/>
          <w:color w:val="000000"/>
        </w:rPr>
        <w:t xml:space="preserve">4.投标费用</w:t>
      </w:r>
      <w:bookmarkEnd w:id="61"/>
      <w:r/>
      <w:bookmarkEnd w:id="62"/>
      <w:r/>
      <w:bookmarkEnd w:id="63"/>
      <w:r/>
      <w:bookmarkEnd w:id="64"/>
      <w:r>
        <w:rPr>
          <w:rFonts w:hint="eastAsia" w:ascii="宋体" w:hAnsi="宋体" w:eastAsia="宋体"/>
          <w:bCs w:val="0"/>
          <w:color w:val="000000"/>
        </w:rPr>
      </w:r>
      <w:r/>
    </w:p>
    <w:p>
      <w:pPr>
        <w:pStyle w:val="883"/>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4.2本次招标标书工本费、中标服务费、招标文件均免费。</w:t>
      </w:r>
      <w:r/>
    </w:p>
    <w:p>
      <w:pPr>
        <w:pStyle w:val="88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5.招标文件的约束力</w:t>
      </w:r>
      <w:r/>
    </w:p>
    <w:p>
      <w:pPr>
        <w:pStyle w:val="883"/>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886"/>
        <w:ind w:firstLine="452"/>
        <w:keepLines w:val="0"/>
        <w:keepNext w:val="0"/>
        <w:spacing w:before="0" w:after="0" w:line="500" w:lineRule="exact"/>
        <w:rPr>
          <w:rFonts w:hint="eastAsia"/>
          <w:color w:val="000000"/>
          <w:sz w:val="30"/>
          <w:szCs w:val="30"/>
        </w:rPr>
      </w:pPr>
      <w:r/>
      <w:bookmarkStart w:id="65" w:name="_Toc20823281"/>
      <w:r/>
      <w:bookmarkStart w:id="66" w:name="_Toc513029209"/>
      <w:r/>
      <w:bookmarkStart w:id="67" w:name="_Toc16938525"/>
      <w:r/>
      <w:bookmarkStart w:id="68" w:name="_Toc120614215"/>
      <w:r>
        <w:rPr>
          <w:rFonts w:hint="eastAsia"/>
          <w:color w:val="000000"/>
          <w:sz w:val="30"/>
          <w:szCs w:val="30"/>
        </w:rPr>
        <w:t xml:space="preserve">二、招标文件</w:t>
      </w:r>
      <w:bookmarkEnd w:id="65"/>
      <w:r/>
      <w:bookmarkEnd w:id="66"/>
      <w:r/>
      <w:bookmarkEnd w:id="67"/>
      <w:r/>
      <w:bookmarkEnd w:id="68"/>
      <w:r>
        <w:rPr>
          <w:rFonts w:hint="eastAsia"/>
          <w:color w:val="000000"/>
          <w:sz w:val="30"/>
          <w:szCs w:val="30"/>
        </w:rPr>
      </w:r>
      <w:r/>
    </w:p>
    <w:p>
      <w:pPr>
        <w:pStyle w:val="887"/>
        <w:ind w:firstLine="422"/>
        <w:keepLines w:val="0"/>
        <w:keepNext w:val="0"/>
        <w:spacing w:before="0" w:after="0" w:line="500" w:lineRule="exact"/>
        <w:rPr>
          <w:rFonts w:hint="eastAsia" w:ascii="宋体" w:hAnsi="宋体" w:eastAsia="宋体"/>
          <w:bCs w:val="0"/>
          <w:color w:val="000000"/>
        </w:rPr>
      </w:pPr>
      <w:r/>
      <w:bookmarkStart w:id="69" w:name="_Toc16938526"/>
      <w:r/>
      <w:bookmarkStart w:id="70" w:name="_Toc513029210"/>
      <w:r/>
      <w:bookmarkStart w:id="71" w:name="_Toc20823282"/>
      <w:r>
        <w:rPr>
          <w:rFonts w:hint="eastAsia" w:ascii="宋体" w:hAnsi="宋体" w:eastAsia="宋体"/>
          <w:bCs w:val="0"/>
          <w:color w:val="000000"/>
        </w:rPr>
        <w:t xml:space="preserve">6.招标文件构成</w:t>
      </w:r>
      <w:bookmarkEnd w:id="69"/>
      <w:r/>
      <w:bookmarkEnd w:id="70"/>
      <w:r/>
      <w:bookmarkEnd w:id="71"/>
      <w:r>
        <w:rPr>
          <w:rFonts w:hint="eastAsia" w:ascii="宋体" w:hAnsi="宋体" w:eastAsia="宋体"/>
          <w:bCs w:val="0"/>
          <w:color w:val="000000"/>
        </w:rPr>
      </w:r>
      <w:r/>
    </w:p>
    <w:p>
      <w:pPr>
        <w:pStyle w:val="883"/>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883"/>
        <w:ind w:firstLine="480"/>
        <w:spacing w:line="5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（6）投标文件内容与格式</w:t>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7"/>
        <w:ind w:firstLine="422"/>
        <w:keepLines w:val="0"/>
        <w:keepNext w:val="0"/>
        <w:spacing w:before="0" w:after="0" w:line="500" w:lineRule="exact"/>
        <w:rPr>
          <w:rFonts w:hint="eastAsia" w:ascii="宋体" w:hAnsi="宋体" w:eastAsia="宋体"/>
          <w:bCs w:val="0"/>
          <w:color w:val="000000"/>
        </w:rPr>
      </w:pPr>
      <w:r/>
      <w:bookmarkStart w:id="72" w:name="_Toc16938527"/>
      <w:r/>
      <w:bookmarkStart w:id="73" w:name="_Toc462564070"/>
      <w:r/>
      <w:bookmarkStart w:id="74" w:name="_Toc20823283"/>
      <w:r/>
      <w:bookmarkStart w:id="75" w:name="_Toc513029211"/>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883"/>
        <w:ind w:firstLine="480"/>
        <w:spacing w:line="500" w:lineRule="exact"/>
        <w:rPr>
          <w:rFonts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ascii="宋体" w:hAnsi="宋体"/>
          <w:bCs/>
          <w:color w:val="000000"/>
          <w:sz w:val="24"/>
        </w:rPr>
      </w:r>
      <w:r/>
    </w:p>
    <w:p>
      <w:pPr>
        <w:pStyle w:val="887"/>
        <w:ind w:firstLine="422"/>
        <w:keepLines w:val="0"/>
        <w:keepNext w:val="0"/>
        <w:spacing w:before="0" w:after="0" w:line="500" w:lineRule="exact"/>
        <w:rPr>
          <w:rFonts w:hint="eastAsia" w:ascii="宋体" w:hAnsi="宋体" w:eastAsia="宋体"/>
          <w:bCs w:val="0"/>
          <w:color w:val="000000"/>
        </w:rPr>
      </w:pPr>
      <w:r/>
      <w:bookmarkStart w:id="76" w:name="_Toc462564071"/>
      <w:r/>
      <w:bookmarkStart w:id="77" w:name="_Toc16938528"/>
      <w:r/>
      <w:bookmarkStart w:id="78" w:name="_Toc20823284"/>
      <w:r/>
      <w:bookmarkStart w:id="79" w:name="_Toc513029212"/>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88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rPr>
      </w:r>
      <w:r/>
    </w:p>
    <w:p>
      <w:pPr>
        <w:pStyle w:val="886"/>
        <w:ind w:firstLine="452"/>
        <w:keepLines w:val="0"/>
        <w:keepNext w:val="0"/>
        <w:spacing w:before="0" w:after="0" w:line="500" w:lineRule="exact"/>
        <w:rPr>
          <w:rFonts w:hint="eastAsia"/>
          <w:color w:val="000000"/>
          <w:sz w:val="30"/>
          <w:szCs w:val="30"/>
        </w:rPr>
      </w:pPr>
      <w:r/>
      <w:bookmarkStart w:id="80" w:name="_Toc20823285"/>
      <w:r/>
      <w:bookmarkStart w:id="81" w:name="_Toc16938529"/>
      <w:r/>
      <w:bookmarkStart w:id="82" w:name="_Toc120614216"/>
      <w:r/>
      <w:bookmarkStart w:id="83" w:name="_Toc513029213"/>
      <w:r/>
      <w:bookmarkStart w:id="84" w:name="_Toc462564072"/>
      <w:r>
        <w:rPr>
          <w:rFonts w:hint="eastAsia"/>
          <w:color w:val="000000"/>
          <w:sz w:val="30"/>
          <w:szCs w:val="30"/>
        </w:rPr>
        <w:t xml:space="preserve">三、投标文件的编制</w:t>
      </w:r>
      <w:bookmarkEnd w:id="80"/>
      <w:r/>
      <w:bookmarkEnd w:id="81"/>
      <w:r/>
      <w:bookmarkEnd w:id="82"/>
      <w:r/>
      <w:bookmarkEnd w:id="83"/>
      <w:r/>
      <w:bookmarkEnd w:id="84"/>
      <w:r>
        <w:rPr>
          <w:rFonts w:hint="eastAsia"/>
          <w:color w:val="000000"/>
          <w:sz w:val="30"/>
          <w:szCs w:val="30"/>
        </w:rPr>
      </w:r>
      <w:r/>
    </w:p>
    <w:p>
      <w:pPr>
        <w:pStyle w:val="887"/>
        <w:ind w:firstLine="422"/>
        <w:keepLines w:val="0"/>
        <w:keepNext w:val="0"/>
        <w:spacing w:before="0" w:after="0" w:line="500" w:lineRule="exact"/>
        <w:rPr>
          <w:rFonts w:hint="eastAsia" w:ascii="宋体" w:hAnsi="宋体" w:eastAsia="宋体"/>
          <w:bCs w:val="0"/>
          <w:color w:val="000000"/>
        </w:rPr>
      </w:pPr>
      <w:r/>
      <w:bookmarkStart w:id="85" w:name="_Toc462564073"/>
      <w:r/>
      <w:bookmarkStart w:id="86" w:name="_Toc20823286"/>
      <w:r/>
      <w:bookmarkStart w:id="87" w:name="_Toc16938530"/>
      <w:r/>
      <w:bookmarkStart w:id="88" w:name="_Toc513029214"/>
      <w:r>
        <w:rPr>
          <w:rFonts w:hint="eastAsia" w:ascii="宋体" w:hAnsi="宋体" w:eastAsia="宋体"/>
          <w:bCs w:val="0"/>
          <w:color w:val="000000"/>
        </w:rPr>
        <w:t xml:space="preserve">9.投标文件的语言及度量衡单位</w:t>
      </w:r>
      <w:bookmarkEnd w:id="85"/>
      <w:r/>
      <w:bookmarkEnd w:id="86"/>
      <w:r/>
      <w:bookmarkEnd w:id="87"/>
      <w:r/>
      <w:bookmarkEnd w:id="88"/>
      <w:r>
        <w:rPr>
          <w:rFonts w:hint="eastAsia" w:ascii="宋体" w:hAnsi="宋体" w:eastAsia="宋体"/>
          <w:bCs w:val="0"/>
          <w:color w:val="000000"/>
        </w:rPr>
      </w:r>
      <w:r/>
    </w:p>
    <w:p>
      <w:pPr>
        <w:pStyle w:val="883"/>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pStyle w:val="883"/>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pStyle w:val="887"/>
        <w:ind w:firstLine="422"/>
        <w:keepLines w:val="0"/>
        <w:keepNext w:val="0"/>
        <w:spacing w:before="0" w:after="0" w:line="500" w:lineRule="exact"/>
        <w:rPr>
          <w:rFonts w:hint="eastAsia" w:ascii="宋体" w:hAnsi="宋体" w:eastAsia="宋体"/>
          <w:bCs w:val="0"/>
          <w:color w:val="000000"/>
        </w:rPr>
      </w:pPr>
      <w:r/>
      <w:bookmarkStart w:id="89" w:name="_Toc462564074"/>
      <w:r/>
      <w:bookmarkStart w:id="90" w:name="_Toc513029215"/>
      <w:r/>
      <w:bookmarkStart w:id="91" w:name="_Toc16938531"/>
      <w:r/>
      <w:bookmarkStart w:id="92" w:name="_Toc20823287"/>
      <w:r>
        <w:rPr>
          <w:rFonts w:hint="eastAsia" w:ascii="宋体" w:hAnsi="宋体" w:eastAsia="宋体"/>
          <w:bCs w:val="0"/>
          <w:color w:val="000000"/>
        </w:rPr>
        <w:t xml:space="preserve">10.投标文件构成</w:t>
      </w:r>
      <w:bookmarkEnd w:id="89"/>
      <w:r/>
      <w:bookmarkEnd w:id="90"/>
      <w:r/>
      <w:bookmarkEnd w:id="91"/>
      <w:r/>
      <w:bookmarkEnd w:id="92"/>
      <w:r>
        <w:rPr>
          <w:rFonts w:hint="eastAsia" w:ascii="宋体" w:hAnsi="宋体" w:eastAsia="宋体"/>
          <w:bCs w:val="0"/>
          <w:color w:val="000000"/>
        </w:rPr>
      </w:r>
      <w:r/>
    </w:p>
    <w:p>
      <w:pPr>
        <w:pStyle w:val="883"/>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p>
    <w:p>
      <w:pPr>
        <w:pStyle w:val="887"/>
        <w:ind w:firstLine="422"/>
        <w:keepLines w:val="0"/>
        <w:keepNext w:val="0"/>
        <w:spacing w:before="0" w:after="0" w:line="500" w:lineRule="exact"/>
        <w:rPr>
          <w:rFonts w:hint="eastAsia" w:ascii="宋体" w:hAnsi="宋体" w:eastAsia="宋体"/>
          <w:bCs w:val="0"/>
          <w:color w:val="000000"/>
        </w:rPr>
      </w:pPr>
      <w:r/>
      <w:bookmarkStart w:id="93" w:name="_Hlt26954838"/>
      <w:r/>
      <w:bookmarkEnd w:id="93"/>
      <w:r/>
      <w:bookmarkStart w:id="94" w:name="_Hlt26670360"/>
      <w:r/>
      <w:bookmarkEnd w:id="94"/>
      <w:r/>
      <w:bookmarkStart w:id="95" w:name="_Hlt26668975"/>
      <w:r/>
      <w:bookmarkEnd w:id="95"/>
      <w:r/>
      <w:bookmarkStart w:id="96" w:name="_Toc513029219"/>
      <w:r/>
      <w:bookmarkStart w:id="97" w:name="_Toc14577357"/>
      <w:r/>
      <w:bookmarkStart w:id="98" w:name="_Toc49090509"/>
      <w:r/>
      <w:bookmarkStart w:id="99" w:name="_Toc14577354"/>
      <w:r/>
      <w:bookmarkStart w:id="100" w:name="_Toc49090507"/>
      <w:r/>
      <w:bookmarkStart w:id="101" w:name="_Toc513029216"/>
      <w:r>
        <w:rPr>
          <w:rFonts w:hint="eastAsia" w:ascii="宋体" w:hAnsi="宋体" w:eastAsia="宋体"/>
          <w:bCs w:val="0"/>
          <w:color w:val="000000"/>
        </w:rPr>
        <w:t xml:space="preserve">11.证明投标人及投标标的符合招标文件规定的文件</w:t>
      </w:r>
      <w:bookmarkEnd w:id="96"/>
      <w:r/>
      <w:bookmarkEnd w:id="97"/>
      <w:r/>
      <w:bookmarkEnd w:id="98"/>
      <w:r>
        <w:rPr>
          <w:rFonts w:hint="eastAsia" w:ascii="宋体" w:hAnsi="宋体" w:eastAsia="宋体"/>
          <w:bCs w:val="0"/>
          <w:color w:val="000000"/>
        </w:rPr>
      </w:r>
      <w:r/>
    </w:p>
    <w:p>
      <w:pPr>
        <w:pStyle w:val="883"/>
        <w:ind w:firstLine="480"/>
        <w:spacing w:line="500" w:lineRule="exact"/>
        <w:rPr>
          <w:rFonts w:hint="eastAsia" w:ascii="宋体" w:hAnsi="宋体"/>
          <w:bCs/>
          <w:color w:val="000000"/>
          <w:sz w:val="24"/>
        </w:rPr>
      </w:pPr>
      <w:r/>
      <w:bookmarkEnd w:id="99"/>
      <w:r/>
      <w:bookmarkEnd w:id="100"/>
      <w:r/>
      <w:bookmarkEnd w:id="101"/>
      <w:r/>
      <w:bookmarkStart w:id="102" w:name="_Toc49090508"/>
      <w:r/>
      <w:bookmarkStart w:id="103" w:name="_Toc14577355"/>
      <w:r>
        <w:rPr>
          <w:rFonts w:hint="eastAsia" w:ascii="宋体" w:hAnsi="宋体"/>
          <w:bCs/>
          <w:color w:val="000000"/>
          <w:sz w:val="24"/>
        </w:rPr>
        <w:t xml:space="preserve">11.1投标人应按照法律、法规、规章和规范性文件以及招标文件要求提交证明文件，证明其及投标标的符合招标文件规定。</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887"/>
        <w:ind w:firstLine="422"/>
        <w:keepLines w:val="0"/>
        <w:keepNext w:val="0"/>
        <w:spacing w:before="0" w:after="0" w:line="500" w:lineRule="exact"/>
        <w:rPr>
          <w:rFonts w:hint="eastAsia" w:ascii="宋体" w:hAnsi="宋体" w:eastAsia="宋体"/>
          <w:bCs w:val="0"/>
          <w:color w:val="000000"/>
        </w:rPr>
      </w:pPr>
      <w:r/>
      <w:bookmarkStart w:id="104" w:name="_Toc14577359"/>
      <w:r/>
      <w:bookmarkStart w:id="105" w:name="_Toc49090510"/>
      <w:r>
        <w:rPr>
          <w:rFonts w:hint="eastAsia" w:ascii="宋体" w:hAnsi="宋体" w:eastAsia="宋体"/>
          <w:bCs w:val="0"/>
          <w:color w:val="000000"/>
        </w:rPr>
        <w:t xml:space="preserve">12.投标函、承诺书和开标一览表</w:t>
      </w:r>
      <w:r/>
    </w:p>
    <w:p>
      <w:pPr>
        <w:pStyle w:val="883"/>
        <w:ind w:firstLine="480"/>
        <w:spacing w:line="500" w:lineRule="exact"/>
        <w:rPr>
          <w:rFonts w:hint="eastAsia"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投标人应按照招标文件中提供的格式，完整、正确填写投标函、承诺书；投标人应按照“苏采云”系统中的给定格式模块为准，完整、正确填写开标一览表。</w:t>
      </w:r>
      <w:r/>
    </w:p>
    <w:p>
      <w:pPr>
        <w:pStyle w:val="883"/>
        <w:ind w:firstLine="480"/>
        <w:spacing w:line="500" w:lineRule="exact"/>
        <w:rPr>
          <w:rFonts w:hint="eastAsia"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rPr>
      </w:r>
      <w:r/>
    </w:p>
    <w:p>
      <w:pPr>
        <w:pStyle w:val="887"/>
        <w:ind w:firstLine="422"/>
        <w:keepLines w:val="0"/>
        <w:keepNext w:val="0"/>
        <w:spacing w:before="0" w:after="0" w:line="500" w:lineRule="exact"/>
        <w:rPr>
          <w:rFonts w:hint="eastAsia" w:ascii="宋体" w:hAnsi="宋体" w:eastAsia="宋体"/>
          <w:bCs w:val="0"/>
          <w:color w:val="000000"/>
        </w:rPr>
      </w:pPr>
      <w:r/>
      <w:bookmarkEnd w:id="104"/>
      <w:r/>
      <w:bookmarkEnd w:id="105"/>
      <w:r>
        <w:rPr>
          <w:rFonts w:hint="eastAsia" w:ascii="宋体" w:hAnsi="宋体" w:eastAsia="宋体"/>
          <w:bCs w:val="0"/>
          <w:color w:val="000000"/>
        </w:rPr>
        <w:t xml:space="preserve">13.</w:t>
      </w:r>
      <w:bookmarkEnd w:id="102"/>
      <w:r/>
      <w:bookmarkEnd w:id="103"/>
      <w:r>
        <w:rPr>
          <w:rFonts w:hint="eastAsia" w:ascii="宋体" w:hAnsi="宋体" w:eastAsia="宋体"/>
          <w:bCs w:val="0"/>
          <w:color w:val="000000"/>
        </w:rPr>
        <w:t xml:space="preserve">分项报价表</w:t>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分项报价表。</w:t>
      </w:r>
      <w:r>
        <w:rPr>
          <w:rFonts w:hint="eastAsia" w:ascii="宋体" w:hAnsi="宋体"/>
          <w:bCs/>
          <w:color w:val="000000"/>
          <w:sz w:val="24"/>
        </w:rPr>
      </w:r>
      <w:r/>
    </w:p>
    <w:p>
      <w:pPr>
        <w:pStyle w:val="883"/>
        <w:ind w:firstLine="480"/>
        <w:spacing w:line="500" w:lineRule="exact"/>
        <w:rPr>
          <w:rFonts w:hint="eastAsia"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887"/>
        <w:ind w:firstLine="422"/>
        <w:keepLines w:val="0"/>
        <w:keepNext w:val="0"/>
        <w:spacing w:before="0" w:after="0" w:line="500" w:lineRule="exact"/>
        <w:rPr>
          <w:rFonts w:hint="eastAsia" w:ascii="宋体" w:hAnsi="宋体" w:eastAsia="宋体"/>
          <w:bCs w:val="0"/>
          <w:color w:val="000000"/>
        </w:rPr>
      </w:pPr>
      <w:r/>
      <w:bookmarkStart w:id="108" w:name="_Hlt26670482"/>
      <w:r/>
      <w:bookmarkEnd w:id="108"/>
      <w:r/>
      <w:bookmarkStart w:id="109" w:name="_Hlt26670425"/>
      <w:r/>
      <w:bookmarkEnd w:id="109"/>
      <w:r/>
      <w:bookmarkStart w:id="110" w:name="_Hlt26954846"/>
      <w:r/>
      <w:bookmarkEnd w:id="110"/>
      <w:r/>
      <w:bookmarkStart w:id="111" w:name="_Hlt26954731"/>
      <w:r/>
      <w:bookmarkEnd w:id="111"/>
      <w:r/>
      <w:bookmarkStart w:id="112" w:name="_Hlt26954848"/>
      <w:r/>
      <w:bookmarkEnd w:id="112"/>
      <w:r/>
      <w:bookmarkStart w:id="113" w:name="_Hlt26670486"/>
      <w:r/>
      <w:bookmarkEnd w:id="113"/>
      <w:r/>
      <w:bookmarkStart w:id="114" w:name="_Hlt26954842"/>
      <w:r/>
      <w:bookmarkEnd w:id="114"/>
      <w:r/>
      <w:bookmarkStart w:id="115" w:name="_Hlt26954844"/>
      <w:r/>
      <w:bookmarkEnd w:id="115"/>
      <w:r/>
      <w:bookmarkStart w:id="116" w:name="_Hlt26670403"/>
      <w:r/>
      <w:bookmarkEnd w:id="116"/>
      <w:r/>
      <w:bookmarkStart w:id="117" w:name="_Hlt26668983"/>
      <w:r/>
      <w:bookmarkEnd w:id="117"/>
      <w:r>
        <w:rPr>
          <w:rFonts w:hint="eastAsia" w:ascii="宋体" w:hAnsi="宋体" w:eastAsia="宋体"/>
          <w:bCs w:val="0"/>
          <w:color w:val="000000"/>
        </w:rPr>
        <w:t xml:space="preserve">14.投标偏离表</w:t>
      </w:r>
      <w:r/>
    </w:p>
    <w:p>
      <w:pPr>
        <w:pStyle w:val="883"/>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rPr>
          <w:rFonts w:ascii="宋体" w:hAnsi="Arial" w:cs="宋体"/>
          <w:color w:val="000000"/>
          <w:sz w:val="24"/>
          <w:lang w:val="zh-CN"/>
        </w:rPr>
      </w:r>
      <w:r/>
    </w:p>
    <w:p>
      <w:pPr>
        <w:pStyle w:val="887"/>
        <w:ind w:firstLine="422"/>
        <w:keepLines w:val="0"/>
        <w:keepNext w:val="0"/>
        <w:spacing w:before="0" w:after="0" w:line="500" w:lineRule="exact"/>
        <w:rPr>
          <w:rFonts w:hint="eastAsia" w:ascii="宋体" w:hAnsi="宋体" w:eastAsia="宋体"/>
          <w:bCs w:val="0"/>
          <w:color w:val="000000"/>
        </w:rPr>
      </w:pPr>
      <w:r/>
      <w:bookmarkStart w:id="118" w:name="_Hlt26670489"/>
      <w:r/>
      <w:bookmarkEnd w:id="118"/>
      <w:r/>
      <w:bookmarkStart w:id="119" w:name="_Hlt26954734"/>
      <w:r/>
      <w:bookmarkEnd w:id="119"/>
      <w:r/>
      <w:bookmarkStart w:id="120" w:name="_Hlt26954850"/>
      <w:r/>
      <w:bookmarkEnd w:id="120"/>
      <w:r/>
      <w:bookmarkStart w:id="121" w:name="_Toc14577360"/>
      <w:r/>
      <w:bookmarkStart w:id="122" w:name="_Toc49090511"/>
      <w:r>
        <w:rPr>
          <w:rFonts w:hint="eastAsia" w:ascii="宋体" w:hAnsi="宋体" w:eastAsia="宋体"/>
          <w:bCs w:val="0"/>
          <w:color w:val="000000"/>
        </w:rPr>
        <w:t xml:space="preserve">15.投标有效期</w:t>
      </w:r>
      <w:bookmarkEnd w:id="121"/>
      <w:r/>
      <w:bookmarkEnd w:id="122"/>
      <w:r>
        <w:rPr>
          <w:rFonts w:hint="eastAsia" w:ascii="宋体" w:hAnsi="宋体" w:eastAsia="宋体"/>
          <w:bCs w:val="0"/>
          <w:color w:val="000000"/>
        </w:rPr>
      </w:r>
      <w:r/>
    </w:p>
    <w:p>
      <w:pPr>
        <w:pStyle w:val="883"/>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88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16.投标有效期的延长</w:t>
      </w:r>
      <w:r/>
    </w:p>
    <w:p>
      <w:pPr>
        <w:pStyle w:val="883"/>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886"/>
        <w:ind w:firstLine="452"/>
        <w:keepLines w:val="0"/>
        <w:keepNext w:val="0"/>
        <w:spacing w:before="0" w:after="0" w:line="500" w:lineRule="exact"/>
        <w:rPr>
          <w:rFonts w:hint="eastAsia"/>
          <w:color w:val="000000"/>
          <w:sz w:val="30"/>
          <w:szCs w:val="30"/>
        </w:rPr>
      </w:pPr>
      <w:r/>
      <w:bookmarkStart w:id="123" w:name="_Hlt26954739"/>
      <w:r/>
      <w:bookmarkEnd w:id="123"/>
      <w:r/>
      <w:bookmarkStart w:id="124" w:name="_Hlt26954852"/>
      <w:r/>
      <w:bookmarkEnd w:id="124"/>
      <w:r/>
      <w:bookmarkStart w:id="125" w:name="_Toc120614217"/>
      <w:r/>
      <w:bookmarkStart w:id="126" w:name="_Toc513029224"/>
      <w:r/>
      <w:bookmarkStart w:id="127" w:name="_Toc20823296"/>
      <w:r/>
      <w:bookmarkStart w:id="128" w:name="_Toc16938540"/>
      <w:r>
        <w:rPr>
          <w:rFonts w:hint="eastAsia"/>
          <w:color w:val="000000"/>
          <w:sz w:val="30"/>
          <w:szCs w:val="30"/>
        </w:rPr>
        <w:t xml:space="preserve">四、投标文件的递交</w:t>
      </w:r>
      <w:bookmarkEnd w:id="125"/>
      <w:r/>
      <w:bookmarkEnd w:id="126"/>
      <w:r/>
      <w:bookmarkEnd w:id="127"/>
      <w:r/>
      <w:bookmarkEnd w:id="128"/>
      <w:r>
        <w:rPr>
          <w:rFonts w:hint="eastAsia"/>
          <w:color w:val="000000"/>
          <w:sz w:val="30"/>
          <w:szCs w:val="30"/>
        </w:rPr>
      </w:r>
      <w:r/>
    </w:p>
    <w:p>
      <w:pPr>
        <w:pStyle w:val="887"/>
        <w:ind w:firstLine="422"/>
        <w:keepLines w:val="0"/>
        <w:keepNext w:val="0"/>
        <w:spacing w:before="0" w:after="0" w:line="500" w:lineRule="exact"/>
        <w:rPr>
          <w:rFonts w:hint="eastAsia" w:ascii="宋体" w:hAnsi="宋体" w:eastAsia="宋体"/>
          <w:bCs w:val="0"/>
          <w:color w:val="000000"/>
        </w:rPr>
      </w:pPr>
      <w:r/>
      <w:bookmarkStart w:id="129" w:name="_Toc513029225"/>
      <w:r/>
      <w:bookmarkStart w:id="130" w:name="_Toc20823297"/>
      <w:r/>
      <w:bookmarkStart w:id="131" w:name="_Toc462564084"/>
      <w:r/>
      <w:bookmarkStart w:id="132" w:name="_Toc16938541"/>
      <w:r>
        <w:rPr>
          <w:rFonts w:hint="eastAsia" w:ascii="宋体" w:hAnsi="宋体" w:eastAsia="宋体"/>
          <w:bCs w:val="0"/>
          <w:color w:val="000000"/>
        </w:rPr>
        <w:t xml:space="preserve">17.投标文件</w:t>
      </w:r>
      <w:bookmarkEnd w:id="129"/>
      <w:r/>
      <w:bookmarkEnd w:id="130"/>
      <w:r/>
      <w:bookmarkEnd w:id="131"/>
      <w:r/>
      <w:bookmarkEnd w:id="132"/>
      <w:r>
        <w:rPr>
          <w:rFonts w:hint="eastAsia" w:ascii="宋体" w:hAnsi="宋体" w:eastAsia="宋体"/>
          <w:bCs w:val="0"/>
          <w:color w:val="000000"/>
        </w:rPr>
        <w:t xml:space="preserve">的递交</w:t>
      </w:r>
      <w:r/>
    </w:p>
    <w:p>
      <w:pPr>
        <w:pStyle w:val="883"/>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996"/>
        <w:ind w:firstLine="480"/>
        <w:spacing w:line="5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513029226"/>
      <w:r/>
      <w:bookmarkStart w:id="134" w:name="_Toc16938542"/>
      <w:r/>
      <w:bookmarkStart w:id="135" w:name="_Toc20823298"/>
      <w:r>
        <w:rPr>
          <w:rFonts w:hint="eastAsia" w:ascii="宋体" w:hAnsi="宋体"/>
          <w:bCs/>
          <w:color w:val="000000"/>
          <w:sz w:val="24"/>
        </w:rPr>
      </w:r>
      <w:r/>
    </w:p>
    <w:p>
      <w:pPr>
        <w:pStyle w:val="88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18.投标截止</w:t>
      </w:r>
      <w:bookmarkEnd w:id="133"/>
      <w:r/>
      <w:bookmarkEnd w:id="134"/>
      <w:r/>
      <w:bookmarkEnd w:id="135"/>
      <w:r>
        <w:rPr>
          <w:rFonts w:hint="eastAsia" w:ascii="宋体" w:hAnsi="宋体" w:eastAsia="宋体"/>
          <w:bCs w:val="0"/>
          <w:color w:val="000000"/>
        </w:rPr>
        <w:t xml:space="preserve">时间</w:t>
      </w:r>
      <w:r/>
    </w:p>
    <w:p>
      <w:pPr>
        <w:pStyle w:val="883"/>
        <w:ind w:firstLine="480"/>
        <w:spacing w:line="500" w:lineRule="exact"/>
        <w:rPr>
          <w:rFonts w:hint="eastAsia"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883"/>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p>
    <w:p>
      <w:pPr>
        <w:pStyle w:val="887"/>
        <w:ind w:firstLine="422"/>
        <w:keepLines w:val="0"/>
        <w:keepNext w:val="0"/>
        <w:spacing w:before="0" w:after="0" w:line="500" w:lineRule="exact"/>
        <w:rPr>
          <w:rFonts w:hint="eastAsia" w:ascii="宋体" w:hAnsi="宋体" w:eastAsia="宋体"/>
          <w:bCs w:val="0"/>
          <w:color w:val="000000"/>
        </w:rPr>
      </w:pPr>
      <w:r/>
      <w:bookmarkStart w:id="136" w:name="_Toc16938543"/>
      <w:r/>
      <w:bookmarkStart w:id="137" w:name="_Toc513029227"/>
      <w:r/>
      <w:bookmarkStart w:id="138" w:name="_Toc20823299"/>
      <w:r>
        <w:rPr>
          <w:rFonts w:hint="eastAsia" w:ascii="宋体" w:hAnsi="宋体" w:eastAsia="宋体"/>
          <w:bCs w:val="0"/>
          <w:color w:val="000000"/>
        </w:rPr>
        <w:t xml:space="preserve">19.投标文件</w:t>
      </w:r>
      <w:bookmarkEnd w:id="136"/>
      <w:r/>
      <w:bookmarkEnd w:id="137"/>
      <w:r/>
      <w:bookmarkEnd w:id="138"/>
      <w:r>
        <w:rPr>
          <w:rFonts w:hint="eastAsia" w:ascii="宋体" w:hAnsi="宋体" w:eastAsia="宋体"/>
          <w:bCs w:val="0"/>
          <w:color w:val="000000"/>
        </w:rPr>
        <w:t xml:space="preserve">的拒收</w:t>
      </w:r>
      <w:r/>
    </w:p>
    <w:p>
      <w:pPr>
        <w:pStyle w:val="883"/>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p>
    <w:p>
      <w:pPr>
        <w:pStyle w:val="887"/>
        <w:ind w:firstLine="422"/>
        <w:keepLines w:val="0"/>
        <w:keepNext w:val="0"/>
        <w:spacing w:before="0" w:after="0" w:line="500" w:lineRule="exact"/>
        <w:rPr>
          <w:rFonts w:hint="eastAsia" w:ascii="宋体" w:hAnsi="宋体" w:eastAsia="宋体"/>
          <w:bCs w:val="0"/>
          <w:color w:val="000000"/>
        </w:rPr>
      </w:pPr>
      <w:r/>
      <w:bookmarkStart w:id="139" w:name="_Toc20823300"/>
      <w:r/>
      <w:bookmarkStart w:id="140" w:name="_Toc513029228"/>
      <w:r/>
      <w:bookmarkStart w:id="141" w:name="_Toc16938544"/>
      <w:r>
        <w:rPr>
          <w:rFonts w:hint="eastAsia" w:ascii="宋体" w:hAnsi="宋体" w:eastAsia="宋体"/>
          <w:bCs w:val="0"/>
          <w:color w:val="000000"/>
        </w:rPr>
        <w:t xml:space="preserve">20.投标文件的撤回和修改</w:t>
      </w:r>
      <w:bookmarkEnd w:id="139"/>
      <w:r/>
      <w:bookmarkEnd w:id="140"/>
      <w:r/>
      <w:bookmarkEnd w:id="141"/>
      <w:r>
        <w:rPr>
          <w:rFonts w:hint="eastAsia" w:ascii="宋体" w:hAnsi="宋体" w:eastAsia="宋体"/>
          <w:bCs w:val="0"/>
          <w:color w:val="000000"/>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20.1投标文件的撤回</w:t>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21.1.1电子投标文件的撤回</w:t>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20.2投标文件的修改</w:t>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pStyle w:val="883"/>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pStyle w:val="883"/>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886"/>
        <w:ind w:firstLine="452"/>
        <w:keepLines w:val="0"/>
        <w:keepNext w:val="0"/>
        <w:spacing w:before="0" w:after="0" w:line="500" w:lineRule="exact"/>
        <w:rPr>
          <w:rFonts w:hint="eastAsia"/>
          <w:color w:val="000000"/>
          <w:sz w:val="30"/>
          <w:szCs w:val="30"/>
        </w:rPr>
      </w:pPr>
      <w:r/>
      <w:bookmarkStart w:id="142" w:name="_Toc20823301"/>
      <w:r/>
      <w:bookmarkStart w:id="143" w:name="_Toc16938545"/>
      <w:r/>
      <w:bookmarkStart w:id="144" w:name="_Toc513029229"/>
      <w:r/>
      <w:bookmarkStart w:id="145" w:name="_Toc120614218"/>
      <w:r>
        <w:rPr>
          <w:rFonts w:hint="eastAsia"/>
          <w:color w:val="000000"/>
          <w:sz w:val="30"/>
          <w:szCs w:val="30"/>
        </w:rPr>
        <w:t xml:space="preserve">五、开标与评标</w:t>
      </w:r>
      <w:bookmarkEnd w:id="142"/>
      <w:r/>
      <w:bookmarkEnd w:id="143"/>
      <w:r/>
      <w:bookmarkEnd w:id="144"/>
      <w:r/>
      <w:bookmarkEnd w:id="145"/>
      <w:r>
        <w:rPr>
          <w:rFonts w:hint="eastAsia"/>
          <w:color w:val="000000"/>
          <w:sz w:val="30"/>
          <w:szCs w:val="30"/>
        </w:rPr>
      </w:r>
      <w:r/>
    </w:p>
    <w:p>
      <w:pPr>
        <w:pStyle w:val="887"/>
        <w:ind w:firstLine="422"/>
        <w:keepLines w:val="0"/>
        <w:keepNext w:val="0"/>
        <w:spacing w:before="0" w:after="0" w:line="500" w:lineRule="exact"/>
        <w:rPr>
          <w:rFonts w:hint="eastAsia" w:ascii="宋体" w:hAnsi="宋体" w:eastAsia="宋体"/>
          <w:bCs w:val="0"/>
          <w:color w:val="000000"/>
        </w:rPr>
      </w:pPr>
      <w:r/>
      <w:bookmarkStart w:id="146" w:name="_Toc20823302"/>
      <w:r/>
      <w:bookmarkStart w:id="147" w:name="_Toc513029230"/>
      <w:r/>
      <w:bookmarkStart w:id="148" w:name="_Toc16938546"/>
      <w:r>
        <w:rPr>
          <w:rFonts w:hint="eastAsia" w:ascii="宋体" w:hAnsi="宋体" w:eastAsia="宋体"/>
          <w:bCs w:val="0"/>
          <w:color w:val="000000"/>
        </w:rPr>
        <w:t xml:space="preserve">21.开标</w:t>
      </w:r>
      <w:bookmarkEnd w:id="146"/>
      <w:r/>
      <w:bookmarkEnd w:id="147"/>
      <w:r/>
      <w:bookmarkEnd w:id="148"/>
      <w:r>
        <w:rPr>
          <w:rFonts w:hint="eastAsia" w:ascii="宋体" w:hAnsi="宋体" w:eastAsia="宋体"/>
          <w:bCs w:val="0"/>
          <w:color w:val="000000"/>
        </w:rPr>
      </w:r>
      <w:r/>
    </w:p>
    <w:p>
      <w:pPr>
        <w:pStyle w:val="883"/>
        <w:ind w:firstLine="480"/>
        <w:spacing w:line="500" w:lineRule="exact"/>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rPr>
          <w:rFonts w:hint="eastAsia"/>
          <w:color w:val="000000"/>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21.3投标人在开标过程中涉及的投标文件解密、开标结果确认等工作，应按照《操作手册》规定执行。</w:t>
      </w:r>
      <w:r/>
    </w:p>
    <w:p>
      <w:pPr>
        <w:pStyle w:val="883"/>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rPr>
          <w:rFonts w:ascii="宋体" w:hAnsi="宋体"/>
          <w:color w:val="000000"/>
          <w:sz w:val="24"/>
        </w:rPr>
      </w:r>
      <w:r/>
    </w:p>
    <w:p>
      <w:pPr>
        <w:pStyle w:val="887"/>
        <w:ind w:firstLine="422"/>
        <w:keepLines w:val="0"/>
        <w:keepNext w:val="0"/>
        <w:spacing w:before="0" w:after="0" w:line="500" w:lineRule="exact"/>
        <w:rPr>
          <w:rFonts w:hint="eastAsia" w:ascii="宋体" w:hAnsi="宋体" w:eastAsia="宋体"/>
          <w:bCs w:val="0"/>
          <w:color w:val="000000"/>
        </w:rPr>
      </w:pPr>
      <w:r/>
      <w:bookmarkStart w:id="149" w:name="_Toc513029231"/>
      <w:r/>
      <w:bookmarkStart w:id="150" w:name="_Toc20823303"/>
      <w:r/>
      <w:bookmarkStart w:id="151" w:name="_Toc16938547"/>
      <w:r>
        <w:rPr>
          <w:rFonts w:hint="eastAsia" w:ascii="宋体" w:hAnsi="宋体" w:eastAsia="宋体"/>
          <w:bCs w:val="0"/>
          <w:color w:val="000000"/>
        </w:rPr>
        <w:t xml:space="preserve">22.评标委员会</w:t>
      </w:r>
      <w:r/>
    </w:p>
    <w:p>
      <w:pPr>
        <w:pStyle w:val="883"/>
        <w:ind w:firstLine="480"/>
        <w:spacing w:line="500" w:lineRule="exact"/>
        <w:rPr>
          <w:rFonts w:hint="eastAsia"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rPr>
          <w:rFonts w:hint="eastAsia" w:ascii="宋体" w:hAnsi="宋体"/>
          <w:b/>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22.3评委会独立工作，负责评审所有投标文件并确定中标候选人。</w:t>
      </w:r>
      <w:r/>
    </w:p>
    <w:p>
      <w:pPr>
        <w:pStyle w:val="88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23.评标过程的保密与公正</w:t>
      </w:r>
      <w:r/>
    </w:p>
    <w:p>
      <w:pPr>
        <w:pStyle w:val="883"/>
        <w:ind w:firstLine="480"/>
        <w:spacing w:line="500" w:lineRule="exact"/>
        <w:rPr>
          <w:rFonts w:hint="eastAsia" w:ascii="宋体" w:hAnsi="宋体"/>
          <w:bCs/>
          <w:color w:val="000000"/>
          <w:sz w:val="24"/>
        </w:rPr>
      </w:pPr>
      <w:r/>
      <w:bookmarkEnd w:id="149"/>
      <w:r/>
      <w:bookmarkEnd w:id="150"/>
      <w:r/>
      <w:bookmarkEnd w:id="151"/>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pStyle w:val="883"/>
        <w:ind w:firstLine="480"/>
        <w:spacing w:line="50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887"/>
        <w:ind w:firstLine="422"/>
        <w:keepLines w:val="0"/>
        <w:keepNext w:val="0"/>
        <w:spacing w:before="0" w:after="0" w:line="500" w:lineRule="exact"/>
        <w:rPr>
          <w:rFonts w:hint="eastAsia" w:ascii="宋体" w:hAnsi="宋体" w:eastAsia="宋体"/>
          <w:bCs w:val="0"/>
          <w:color w:val="000000"/>
        </w:rPr>
      </w:pPr>
      <w:r/>
      <w:bookmarkStart w:id="152" w:name="_Toc20823304"/>
      <w:r/>
      <w:bookmarkStart w:id="153" w:name="_Toc513029232"/>
      <w:r/>
      <w:bookmarkStart w:id="154" w:name="_Toc16938548"/>
      <w:r>
        <w:rPr>
          <w:rFonts w:hint="eastAsia" w:ascii="宋体" w:hAnsi="宋体" w:eastAsia="宋体"/>
          <w:bCs w:val="0"/>
          <w:color w:val="000000"/>
        </w:rPr>
        <w:t xml:space="preserve">24.投标文件的澄清</w:t>
      </w:r>
      <w:bookmarkEnd w:id="152"/>
      <w:r/>
      <w:bookmarkEnd w:id="153"/>
      <w:r/>
      <w:bookmarkEnd w:id="154"/>
      <w:r>
        <w:rPr>
          <w:rFonts w:hint="eastAsia" w:ascii="宋体" w:hAnsi="宋体" w:eastAsia="宋体"/>
          <w:bCs w:val="0"/>
          <w:color w:val="000000"/>
        </w:rPr>
      </w:r>
      <w:r/>
    </w:p>
    <w:p>
      <w:pPr>
        <w:pStyle w:val="883"/>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rPr>
      </w:r>
      <w:r/>
    </w:p>
    <w:p>
      <w:pPr>
        <w:pStyle w:val="883"/>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24.3接到评委会澄清、说明和补正要求的投标人如未按规定及时做出澄清、说明和补正，其风险由投标人自行承担。</w:t>
      </w:r>
      <w:r/>
    </w:p>
    <w:p>
      <w:pPr>
        <w:pStyle w:val="887"/>
        <w:ind w:firstLine="422"/>
        <w:keepLines w:val="0"/>
        <w:keepNext w:val="0"/>
        <w:spacing w:before="0" w:after="0" w:line="500" w:lineRule="exact"/>
        <w:rPr>
          <w:rFonts w:hint="eastAsia" w:ascii="宋体" w:hAnsi="宋体" w:eastAsia="宋体"/>
          <w:bCs w:val="0"/>
          <w:color w:val="000000"/>
        </w:rPr>
      </w:pPr>
      <w:r/>
      <w:bookmarkStart w:id="155" w:name="_Toc513029233"/>
      <w:r/>
      <w:bookmarkStart w:id="156" w:name="_Toc20823305"/>
      <w:r/>
      <w:bookmarkStart w:id="157" w:name="_Toc16938549"/>
      <w:r>
        <w:rPr>
          <w:rFonts w:hint="eastAsia" w:ascii="宋体" w:hAnsi="宋体" w:eastAsia="宋体"/>
          <w:bCs w:val="0"/>
          <w:color w:val="000000"/>
        </w:rPr>
        <w:t xml:space="preserve">25.对投标文件的初审</w:t>
      </w:r>
      <w:bookmarkEnd w:id="155"/>
      <w:r/>
      <w:bookmarkEnd w:id="156"/>
      <w:r/>
      <w:bookmarkEnd w:id="157"/>
      <w:r>
        <w:rPr>
          <w:rFonts w:hint="eastAsia" w:ascii="宋体" w:hAnsi="宋体" w:eastAsia="宋体"/>
          <w:bCs w:val="0"/>
          <w:color w:val="000000"/>
        </w:rPr>
      </w:r>
      <w:r/>
    </w:p>
    <w:p>
      <w:pPr>
        <w:pStyle w:val="883"/>
        <w:ind w:firstLine="480"/>
        <w:spacing w:line="50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p>
    <w:p>
      <w:pPr>
        <w:pStyle w:val="883"/>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 xml:space="preserve">www.creditchina.gov.cn</w:t>
      </w:r>
      <w:r>
        <w:rPr>
          <w:rFonts w:hint="eastAsia" w:ascii="宋体" w:hAnsi="宋体" w:cs="宋体"/>
          <w:color w:val="000000"/>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中国政府采购网(www.ccgp.gov.cn)</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rPr>
          <w:rFonts w:hint="eastAsia" w:ascii="宋体" w:hAnsi="宋体" w:cs="宋体"/>
          <w:bCs/>
          <w:color w:val="000000"/>
          <w:sz w:val="24"/>
        </w:rPr>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3"/>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rPr>
      </w:r>
      <w:r/>
    </w:p>
    <w:p>
      <w:pPr>
        <w:pStyle w:val="883"/>
        <w:ind w:firstLine="480"/>
        <w:spacing w:line="500" w:lineRule="exact"/>
        <w:rPr>
          <w:rFonts w:hint="eastAsia"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pStyle w:val="883"/>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883"/>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883"/>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pStyle w:val="883"/>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rPr>
          <w:rFonts w:ascii="宋体" w:hAnsi="宋体"/>
          <w:bCs/>
          <w:color w:val="000000"/>
          <w:sz w:val="24"/>
        </w:rPr>
      </w:r>
      <w:r/>
    </w:p>
    <w:p>
      <w:pPr>
        <w:pStyle w:val="883"/>
        <w:ind w:firstLine="420"/>
        <w:spacing w:line="500" w:lineRule="exact"/>
        <w:rPr>
          <w:rFonts w:hint="eastAsia" w:ascii="宋体" w:hAnsi="宋体"/>
          <w:color w:val="000000"/>
          <w:sz w:val="24"/>
        </w:rPr>
      </w:pPr>
      <w:r/>
      <w:bookmarkStart w:id="158" w:name="_Toc16938550"/>
      <w:r/>
      <w:bookmarkStart w:id="159" w:name="_Toc20823306"/>
      <w:r/>
      <w:bookmarkStart w:id="160" w:name="_Toc513029234"/>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88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26</w:t>
      </w:r>
      <w:bookmarkEnd w:id="158"/>
      <w:r/>
      <w:bookmarkEnd w:id="159"/>
      <w:r/>
      <w:bookmarkEnd w:id="160"/>
      <w:r>
        <w:rPr>
          <w:rFonts w:hint="eastAsia" w:ascii="宋体" w:hAnsi="宋体" w:eastAsia="宋体"/>
          <w:bCs w:val="0"/>
          <w:color w:val="000000"/>
        </w:rPr>
        <w:t xml:space="preserve">.无效投标条款和废标条款</w:t>
      </w:r>
      <w:r/>
    </w:p>
    <w:p>
      <w:pPr>
        <w:pStyle w:val="883"/>
        <w:ind w:left="479"/>
        <w:spacing w:line="500" w:lineRule="exact"/>
        <w:rPr>
          <w:rFonts w:hint="eastAsia" w:ascii="宋体" w:hAnsi="宋体"/>
          <w:bCs/>
          <w:color w:val="000000"/>
          <w:sz w:val="24"/>
        </w:rPr>
      </w:pPr>
      <w:r/>
      <w:bookmarkStart w:id="161" w:name="_Toc20823307"/>
      <w:r/>
      <w:bookmarkStart w:id="162" w:name="_Toc513029235"/>
      <w:r/>
      <w:bookmarkStart w:id="163" w:name="_Toc16938551"/>
      <w:r>
        <w:rPr>
          <w:rFonts w:hint="eastAsia" w:ascii="宋体" w:hAnsi="宋体"/>
          <w:bCs/>
          <w:color w:val="000000"/>
          <w:sz w:val="24"/>
        </w:rPr>
        <w:t xml:space="preserve">26.1无效投标条款</w:t>
      </w:r>
      <w:r/>
    </w:p>
    <w:p>
      <w:pPr>
        <w:pStyle w:val="883"/>
        <w:ind w:firstLine="480"/>
        <w:spacing w:line="50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rPr>
          <w:rFonts w:hint="eastAsia" w:ascii="宋体" w:hAnsi="宋体"/>
          <w:bCs/>
          <w:color w:val="000000"/>
          <w:sz w:val="24"/>
          <w:szCs w:val="24"/>
        </w:rPr>
      </w:r>
      <w:r/>
    </w:p>
    <w:p>
      <w:pPr>
        <w:pStyle w:val="88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26.1.2投标人在“苏采云”系统规定的时间内未成功解密电子投标文件的。</w:t>
      </w:r>
      <w:r/>
    </w:p>
    <w:p>
      <w:pPr>
        <w:pStyle w:val="88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pStyle w:val="88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pStyle w:val="88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pStyle w:val="88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pStyle w:val="88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同一投标人提交两种（含两种）以上不同的投标报价的。</w:t>
      </w:r>
      <w:r>
        <w:rPr>
          <w:rFonts w:hint="eastAsia" w:ascii="宋体" w:hAnsi="宋体"/>
          <w:bCs/>
          <w:color w:val="000000"/>
          <w:sz w:val="24"/>
          <w:szCs w:val="24"/>
        </w:rPr>
      </w:r>
      <w:r/>
    </w:p>
    <w:p>
      <w:pPr>
        <w:pStyle w:val="883"/>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26.1.8投标人被“信用中国”网站（</w:t>
      </w:r>
      <w:r>
        <w:rPr>
          <w:rFonts w:ascii="宋体" w:hAnsi="宋体"/>
          <w:color w:val="000000"/>
          <w:sz w:val="24"/>
          <w:szCs w:val="24"/>
        </w:rPr>
        <w:fldChar w:fldCharType="begin"/>
      </w:r>
      <w:r>
        <w:rPr>
          <w:rFonts w:ascii="宋体" w:hAnsi="宋体"/>
          <w:color w:val="000000"/>
          <w:sz w:val="24"/>
          <w:szCs w:val="24"/>
        </w:rPr>
        <w:instrText xml:space="preserve"> HYPERLINK "http://www.creditchina.gov.cn" </w:instrText>
      </w:r>
      <w:r>
        <w:rPr>
          <w:rFonts w:ascii="宋体" w:hAnsi="宋体"/>
          <w:color w:val="000000"/>
          <w:sz w:val="24"/>
          <w:szCs w:val="24"/>
        </w:rPr>
        <w:fldChar w:fldCharType="separate"/>
      </w:r>
      <w:r>
        <w:rPr>
          <w:rFonts w:hint="eastAsia" w:ascii="宋体" w:hAnsi="宋体"/>
          <w:color w:val="000000"/>
          <w:sz w:val="24"/>
          <w:szCs w:val="24"/>
        </w:rPr>
        <w:t xml:space="preserve">www.creditchina.gov.cn</w:t>
      </w:r>
      <w:r>
        <w:rPr>
          <w:rFonts w:ascii="宋体" w:hAnsi="宋体"/>
          <w:color w:val="000000"/>
          <w:sz w:val="24"/>
          <w:szCs w:val="24"/>
        </w:rPr>
        <w:fldChar w:fldCharType="end"/>
      </w:r>
      <w:r>
        <w:rPr>
          <w:rFonts w:hint="eastAsia" w:ascii="宋体" w:hAnsi="宋体"/>
          <w:color w:val="000000"/>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rPr>
          <w:rFonts w:hint="eastAsia" w:ascii="宋体" w:hAnsi="宋体"/>
          <w:bCs/>
          <w:color w:val="000000"/>
          <w:sz w:val="24"/>
          <w:szCs w:val="24"/>
        </w:rPr>
      </w:r>
      <w:r/>
    </w:p>
    <w:p>
      <w:pPr>
        <w:pStyle w:val="88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pStyle w:val="88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项目（采购包、标项、标段）投标总价超过本项目（本采购包、本标项、本标段）预算或最高限价的。</w:t>
      </w:r>
      <w:r/>
    </w:p>
    <w:p>
      <w:pPr>
        <w:pStyle w:val="88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26.1.11未通过符合性审查的。</w:t>
      </w:r>
      <w:r/>
    </w:p>
    <w:p>
      <w:pPr>
        <w:pStyle w:val="88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pStyle w:val="88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pStyle w:val="88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pStyle w:val="883"/>
        <w:ind w:firstLine="480"/>
        <w:spacing w:line="500" w:lineRule="exact"/>
        <w:rPr>
          <w:rFonts w:hint="eastAsia"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rPr>
          <w:rFonts w:hint="eastAsia" w:ascii="宋体" w:hAnsi="宋体"/>
          <w:bCs/>
          <w:color w:val="000000"/>
          <w:sz w:val="24"/>
        </w:rPr>
      </w:r>
      <w:r/>
    </w:p>
    <w:p>
      <w:pPr>
        <w:pStyle w:val="88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pStyle w:val="88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rPr>
          <w:rFonts w:hint="eastAsia" w:ascii="宋体" w:hAnsi="宋体"/>
          <w:bCs/>
          <w:color w:val="000000"/>
          <w:sz w:val="24"/>
        </w:rPr>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rPr>
          <w:rFonts w:hint="eastAsia" w:ascii="宋体" w:hAnsi="宋体"/>
          <w:bCs/>
          <w:color w:val="000000"/>
          <w:sz w:val="24"/>
        </w:rPr>
      </w:r>
      <w:r/>
    </w:p>
    <w:p>
      <w:pPr>
        <w:pStyle w:val="883"/>
        <w:ind w:firstLine="480"/>
        <w:spacing w:line="500" w:lineRule="exact"/>
        <w:rPr>
          <w:rFonts w:hint="eastAsia"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）在给定的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rPr>
          <w:rFonts w:hint="eastAsia" w:ascii="宋体" w:hAnsi="宋体"/>
          <w:bCs/>
          <w:color w:val="000000"/>
          <w:sz w:val="24"/>
          <w:shd w:val="clear" w:color="ffffff" w:fill="d9d9d9"/>
        </w:rPr>
      </w:r>
      <w:r/>
    </w:p>
    <w:p>
      <w:pPr>
        <w:pStyle w:val="883"/>
        <w:ind w:firstLine="480"/>
        <w:spacing w:line="500" w:lineRule="exact"/>
        <w:rPr>
          <w:rFonts w:hint="eastAsia" w:ascii="宋体" w:hAnsi="宋体"/>
          <w:bCs/>
          <w:color w:val="000000"/>
          <w:sz w:val="24"/>
        </w:rPr>
      </w:pPr>
      <w:r>
        <w:rPr>
          <w:rFonts w:hint="eastAsia" w:ascii="宋体" w:hAnsi="宋体"/>
          <w:bCs/>
          <w:color w:val="000000"/>
          <w:sz w:val="24"/>
          <w:szCs w:val="24"/>
        </w:rPr>
        <w:t xml:space="preserve">26.1.23投标文件内容不全或不符合招标文件中规定的其他实质性要求和条件的</w:t>
      </w:r>
      <w:r>
        <w:rPr>
          <w:rFonts w:hint="eastAsia" w:ascii="宋体" w:hAnsi="宋体"/>
          <w:bCs/>
          <w:color w:val="000000"/>
          <w:sz w:val="24"/>
        </w:rPr>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26.1.24其他法律、法规及本招标文件规定的属无效投标的情形。</w:t>
      </w:r>
      <w:r/>
    </w:p>
    <w:p>
      <w:pPr>
        <w:pStyle w:val="883"/>
        <w:ind w:left="479"/>
        <w:spacing w:line="500" w:lineRule="exact"/>
        <w:rPr>
          <w:rFonts w:hint="eastAsia" w:ascii="宋体" w:hAnsi="宋体"/>
          <w:bCs/>
          <w:color w:val="000000"/>
          <w:sz w:val="24"/>
        </w:rPr>
      </w:pPr>
      <w:r>
        <w:rPr>
          <w:rFonts w:hint="eastAsia" w:ascii="宋体" w:hAnsi="宋体"/>
          <w:bCs/>
          <w:color w:val="000000"/>
          <w:sz w:val="24"/>
        </w:rPr>
        <w:t xml:space="preserve">26.2废标条款</w:t>
      </w:r>
      <w:r/>
    </w:p>
    <w:p>
      <w:pPr>
        <w:pStyle w:val="883"/>
        <w:ind w:left="479"/>
        <w:spacing w:line="50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p>
    <w:p>
      <w:pPr>
        <w:pStyle w:val="883"/>
        <w:ind w:left="479"/>
        <w:spacing w:line="500" w:lineRule="exact"/>
        <w:rPr>
          <w:rFonts w:hint="eastAsia" w:ascii="宋体" w:hAnsi="宋体"/>
          <w:bCs/>
          <w:color w:val="000000"/>
          <w:sz w:val="24"/>
        </w:rPr>
      </w:pPr>
      <w:r>
        <w:rPr>
          <w:rFonts w:hint="eastAsia" w:ascii="宋体" w:hAnsi="宋体"/>
          <w:bCs/>
          <w:color w:val="000000"/>
          <w:sz w:val="24"/>
        </w:rPr>
        <w:t xml:space="preserve">26.2.3因重大变故，采购任务取消的。</w:t>
      </w:r>
      <w:r/>
    </w:p>
    <w:p>
      <w:pPr>
        <w:pStyle w:val="883"/>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883"/>
        <w:ind w:left="479"/>
        <w:spacing w:line="500" w:lineRule="exact"/>
        <w:rPr>
          <w:rFonts w:hint="eastAsia"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pStyle w:val="883"/>
        <w:ind w:left="479"/>
        <w:spacing w:line="500" w:lineRule="exact"/>
        <w:rPr>
          <w:rFonts w:hint="eastAsia" w:ascii="宋体" w:hAnsi="宋体"/>
          <w:bCs/>
          <w:color w:val="000000"/>
          <w:sz w:val="24"/>
        </w:rPr>
      </w:pPr>
      <w:r>
        <w:rPr>
          <w:rFonts w:hint="eastAsia" w:ascii="宋体" w:hAnsi="宋体"/>
          <w:bCs/>
          <w:color w:val="000000"/>
          <w:sz w:val="24"/>
          <w:szCs w:val="24"/>
        </w:rPr>
        <w:t xml:space="preserve">26.2.6投标人的报价均超过采购预算，采购人不能支付的。</w:t>
      </w:r>
      <w:r>
        <w:rPr>
          <w:rFonts w:hint="eastAsia" w:ascii="宋体" w:hAnsi="宋体"/>
          <w:bCs/>
          <w:color w:val="000000"/>
          <w:sz w:val="24"/>
        </w:rPr>
      </w:r>
      <w:r/>
    </w:p>
    <w:p>
      <w:pPr>
        <w:pStyle w:val="883"/>
        <w:ind w:left="479"/>
        <w:spacing w:line="50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886"/>
        <w:ind w:firstLine="452"/>
        <w:keepLines w:val="0"/>
        <w:keepNext w:val="0"/>
        <w:spacing w:before="0" w:after="0" w:line="500" w:lineRule="exact"/>
        <w:rPr>
          <w:rFonts w:hint="eastAsia"/>
          <w:color w:val="000000"/>
          <w:sz w:val="30"/>
          <w:szCs w:val="30"/>
        </w:rPr>
      </w:pPr>
      <w:r/>
      <w:bookmarkStart w:id="164" w:name="_Toc120614219"/>
      <w:r>
        <w:rPr>
          <w:rFonts w:hint="eastAsia"/>
          <w:color w:val="000000"/>
          <w:sz w:val="30"/>
          <w:szCs w:val="30"/>
        </w:rPr>
        <w:t xml:space="preserve">六、</w:t>
      </w:r>
      <w:bookmarkEnd w:id="161"/>
      <w:r/>
      <w:bookmarkEnd w:id="162"/>
      <w:r/>
      <w:bookmarkEnd w:id="163"/>
      <w:r>
        <w:rPr>
          <w:rFonts w:hint="eastAsia"/>
          <w:color w:val="000000"/>
          <w:sz w:val="30"/>
          <w:szCs w:val="30"/>
        </w:rPr>
        <w:t xml:space="preserve">定标</w:t>
      </w:r>
      <w:bookmarkEnd w:id="164"/>
      <w:r>
        <w:rPr>
          <w:rFonts w:hint="eastAsia"/>
          <w:color w:val="000000"/>
          <w:sz w:val="30"/>
          <w:szCs w:val="30"/>
        </w:rPr>
      </w:r>
      <w:r/>
    </w:p>
    <w:p>
      <w:pPr>
        <w:pStyle w:val="887"/>
        <w:ind w:firstLine="422"/>
        <w:keepLines w:val="0"/>
        <w:keepNext w:val="0"/>
        <w:spacing w:before="0" w:after="0" w:line="500" w:lineRule="exact"/>
        <w:rPr>
          <w:rFonts w:hint="eastAsia" w:ascii="宋体" w:hAnsi="宋体" w:eastAsia="宋体"/>
          <w:bCs w:val="0"/>
          <w:color w:val="000000"/>
        </w:rPr>
      </w:pPr>
      <w:r/>
      <w:bookmarkStart w:id="165" w:name="_Toc513029238"/>
      <w:r/>
      <w:bookmarkStart w:id="166" w:name="_Toc20823310"/>
      <w:r/>
      <w:bookmarkStart w:id="167" w:name="_Toc16938554"/>
      <w:r>
        <w:rPr>
          <w:rFonts w:hint="eastAsia" w:ascii="宋体" w:hAnsi="宋体" w:eastAsia="宋体"/>
          <w:bCs w:val="0"/>
          <w:color w:val="000000"/>
        </w:rPr>
        <w:t xml:space="preserve">27</w:t>
      </w:r>
      <w:bookmarkEnd w:id="165"/>
      <w:r>
        <w:rPr>
          <w:rFonts w:hint="eastAsia" w:ascii="宋体" w:hAnsi="宋体" w:eastAsia="宋体"/>
          <w:bCs w:val="0"/>
          <w:color w:val="000000"/>
        </w:rPr>
        <w:t xml:space="preserve">.确定</w:t>
      </w:r>
      <w:bookmarkEnd w:id="166"/>
      <w:r/>
      <w:bookmarkEnd w:id="167"/>
      <w:r>
        <w:rPr>
          <w:rFonts w:hint="eastAsia" w:ascii="宋体" w:hAnsi="宋体" w:eastAsia="宋体"/>
          <w:bCs w:val="0"/>
          <w:color w:val="000000"/>
        </w:rPr>
        <w:t xml:space="preserve">中标单位</w:t>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pStyle w:val="883"/>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交易中心将在“无锡政府采购网”“江苏政府采购网”发布中标公告，公告期限为1个工作日。</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27.4中标无效的确认</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883"/>
        <w:ind w:firstLine="480"/>
        <w:spacing w:line="500" w:lineRule="exact"/>
        <w:rPr>
          <w:rFonts w:hint="eastAsia"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rPr>
          <w:rFonts w:hint="eastAsia" w:ascii="宋体" w:hAnsi="宋体"/>
          <w:color w:val="000000"/>
          <w:sz w:val="24"/>
          <w:szCs w:val="24"/>
        </w:rPr>
      </w:r>
      <w:r/>
    </w:p>
    <w:p>
      <w:pPr>
        <w:pStyle w:val="883"/>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883"/>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883"/>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883"/>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883"/>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88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28.质疑处理</w:t>
      </w:r>
      <w:bookmarkEnd w:id="168"/>
      <w:r>
        <w:rPr>
          <w:rFonts w:hint="eastAsia" w:ascii="宋体" w:hAnsi="宋体" w:eastAsia="宋体"/>
          <w:bCs w:val="0"/>
          <w:color w:val="000000"/>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28.1 提出质疑的供应商应当是参与所</w:t>
      </w:r>
      <w:r>
        <w:rPr>
          <w:rFonts w:hint="eastAsia" w:ascii="宋体" w:hAnsi="宋体"/>
          <w:color w:val="000000"/>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rPr>
          <w:rFonts w:hint="eastAsia"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rPr>
          <w:rFonts w:hint="eastAsia"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rPr>
          <w:rFonts w:hint="eastAsia"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pStyle w:val="883"/>
        <w:ind w:firstLine="480"/>
        <w:spacing w:line="500" w:lineRule="exact"/>
        <w:rPr>
          <w:rFonts w:hint="eastAsia"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shd w:val="clear" w:color="ffffff" w:fill="d9d9d9"/>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采购人、交易中心只接收以纸质原件形式送达的质疑,质疑供应商可通过面交或邮寄方式送达（采购人和交易中心不接受未填写快递运单的快件）。</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采购人、交易中心联系人、联系方式、通信地址见招标文件第一章。</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28.5.2 超出政府采购法定期限的质疑。</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pStyle w:val="883"/>
        <w:ind w:firstLine="468"/>
        <w:spacing w:line="500" w:lineRule="exact"/>
        <w:rPr>
          <w:rFonts w:hint="eastAsia"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一经查实，交易中心有权依据政府采购的有关规定，报请政府采购监管部门对该供应商进行相应的行政处罚和记录该供应商的失信信息。</w:t>
      </w:r>
      <w:r/>
    </w:p>
    <w:p>
      <w:pPr>
        <w:pStyle w:val="88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29.中标通知书</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86"/>
        <w:ind w:firstLine="452"/>
        <w:keepLines w:val="0"/>
        <w:keepNext w:val="0"/>
        <w:spacing w:before="0" w:after="0" w:line="500" w:lineRule="exact"/>
        <w:rPr>
          <w:rFonts w:hint="eastAsia"/>
          <w:color w:val="000000"/>
          <w:sz w:val="30"/>
          <w:szCs w:val="30"/>
        </w:rPr>
      </w:pPr>
      <w:r/>
      <w:bookmarkStart w:id="169" w:name="_Toc120614220"/>
      <w:r/>
      <w:bookmarkStart w:id="170" w:name="_Toc513029236"/>
      <w:r/>
      <w:bookmarkStart w:id="171" w:name="_Toc16938552"/>
      <w:r/>
      <w:bookmarkStart w:id="172" w:name="_Toc20823308"/>
      <w:r>
        <w:rPr>
          <w:rFonts w:hint="eastAsia"/>
          <w:color w:val="000000"/>
          <w:sz w:val="30"/>
          <w:szCs w:val="30"/>
        </w:rPr>
        <w:t xml:space="preserve">七、授予合同</w:t>
      </w:r>
      <w:bookmarkEnd w:id="169"/>
      <w:r>
        <w:rPr>
          <w:rFonts w:hint="eastAsia"/>
          <w:color w:val="000000"/>
          <w:sz w:val="30"/>
          <w:szCs w:val="30"/>
        </w:rPr>
      </w:r>
      <w:r/>
    </w:p>
    <w:p>
      <w:pPr>
        <w:pStyle w:val="887"/>
        <w:ind w:firstLine="422"/>
        <w:keepLines w:val="0"/>
        <w:keepNext w:val="0"/>
        <w:spacing w:before="0" w:after="0" w:line="500" w:lineRule="exact"/>
        <w:rPr>
          <w:rFonts w:hint="eastAsia" w:ascii="宋体" w:hAnsi="宋体" w:eastAsia="宋体"/>
          <w:bCs w:val="0"/>
          <w:color w:val="000000"/>
        </w:rPr>
      </w:pPr>
      <w:r/>
      <w:bookmarkEnd w:id="170"/>
      <w:r/>
      <w:bookmarkEnd w:id="171"/>
      <w:r/>
      <w:bookmarkEnd w:id="172"/>
      <w:r/>
      <w:bookmarkStart w:id="173" w:name="_Toc20823309"/>
      <w:r/>
      <w:bookmarkStart w:id="174" w:name="_Toc16938553"/>
      <w:r/>
      <w:bookmarkStart w:id="175" w:name="_Toc513029237"/>
      <w:r>
        <w:rPr>
          <w:rFonts w:hint="eastAsia" w:ascii="宋体" w:hAnsi="宋体" w:eastAsia="宋体"/>
          <w:bCs w:val="0"/>
          <w:color w:val="000000"/>
        </w:rPr>
        <w:t xml:space="preserve">30.签订合同</w:t>
      </w:r>
      <w:r/>
    </w:p>
    <w:p>
      <w:pPr>
        <w:pStyle w:val="883"/>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p>
    <w:p>
      <w:pPr>
        <w:pStyle w:val="883"/>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8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31.服务（包含与服务相关的货物）的追加</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98"/>
        <w:jc w:val="center"/>
        <w:spacing w:line="500" w:lineRule="exact"/>
        <w:rPr>
          <w:rFonts w:hint="eastAsia" w:ascii="黑体" w:eastAsia="黑体"/>
          <w:bCs/>
          <w:color w:val="000000"/>
          <w:sz w:val="36"/>
          <w:szCs w:val="36"/>
        </w:rPr>
      </w:pPr>
      <w:r/>
      <w:bookmarkEnd w:id="173"/>
      <w:r/>
      <w:bookmarkEnd w:id="174"/>
      <w:r/>
      <w:bookmarkEnd w:id="175"/>
      <w:r/>
      <w:bookmarkStart w:id="176" w:name="_Toc513029242"/>
      <w:r/>
      <w:bookmarkStart w:id="177" w:name="_Toc479757207"/>
      <w:r/>
      <w:bookmarkStart w:id="178" w:name="_Toc20823314"/>
      <w:r/>
      <w:bookmarkStart w:id="179" w:name="_Toc16938558"/>
      <w:r/>
      <w:bookmarkStart w:id="180" w:name="_Toc120614221"/>
      <w:r>
        <w:rPr>
          <w:rFonts w:ascii="宋体" w:hAnsi="宋体"/>
          <w:bCs/>
          <w:color w:val="000000"/>
          <w:sz w:val="24"/>
          <w:shd w:val="clear" w:color="ffffff" w:fill="d9d9d9"/>
        </w:rPr>
        <w:br w:type="page" w:clear="all"/>
      </w:r>
      <w:r>
        <w:rPr>
          <w:rFonts w:hint="eastAsia" w:ascii="黑体" w:eastAsia="黑体"/>
          <w:bCs/>
          <w:color w:val="000000"/>
          <w:sz w:val="36"/>
          <w:szCs w:val="36"/>
        </w:rPr>
        <w:t xml:space="preserve">第三章  合同</w:t>
      </w:r>
      <w:bookmarkEnd w:id="176"/>
      <w:r/>
      <w:bookmarkEnd w:id="177"/>
      <w:r/>
      <w:bookmarkEnd w:id="178"/>
      <w:r/>
      <w:bookmarkEnd w:id="179"/>
      <w:r/>
      <w:bookmarkEnd w:id="180"/>
      <w:r>
        <w:rPr>
          <w:rFonts w:hint="eastAsia" w:ascii="黑体" w:eastAsia="黑体"/>
          <w:bCs/>
          <w:color w:val="000000"/>
          <w:sz w:val="36"/>
          <w:szCs w:val="36"/>
        </w:rPr>
        <w:t xml:space="preserve">文本</w:t>
      </w:r>
      <w:r/>
    </w:p>
    <w:p>
      <w:pPr>
        <w:pStyle w:val="883"/>
        <w:ind w:firstLine="480"/>
        <w:spacing w:line="400" w:lineRule="exact"/>
        <w:rPr>
          <w:rFonts w:hint="eastAsia" w:ascii="宋体" w:hAnsi="宋体"/>
          <w:bCs/>
          <w:color w:val="000000"/>
          <w:sz w:val="24"/>
        </w:rPr>
      </w:pPr>
      <w:r/>
      <w:bookmarkStart w:id="181" w:name="_Toc16938559"/>
      <w:r/>
      <w:bookmarkStart w:id="182" w:name="_Toc513029243"/>
      <w:r/>
      <w:bookmarkStart w:id="183" w:name="_Toc20823315"/>
      <w:r>
        <w:rPr>
          <w:rFonts w:hint="eastAsia" w:ascii="宋体" w:hAnsi="宋体"/>
          <w:bCs/>
          <w:color w:val="000000"/>
          <w:sz w:val="24"/>
        </w:rPr>
        <w:t xml:space="preserve">以下为中标后签订本项目合同的通用条款，中标人不得提出实质性的修改。</w:t>
      </w:r>
      <w:r/>
    </w:p>
    <w:p>
      <w:pPr>
        <w:pStyle w:val="883"/>
        <w:ind w:firstLine="602"/>
        <w:jc w:val="center"/>
        <w:spacing w:line="400" w:lineRule="exact"/>
        <w:rPr>
          <w:rFonts w:ascii="宋体" w:hAnsi="宋体"/>
          <w:b/>
          <w:bCs/>
          <w:color w:val="000000"/>
          <w:sz w:val="30"/>
          <w:szCs w:val="20"/>
        </w:rPr>
      </w:pPr>
      <w:r>
        <w:rPr>
          <w:rFonts w:hint="eastAsia" w:ascii="宋体" w:hAnsi="宋体"/>
          <w:b/>
          <w:color w:val="000000"/>
          <w:sz w:val="30"/>
        </w:rPr>
        <w:t xml:space="preserve">江苏省政府采购合同（货物）（合同编号）</w:t>
      </w:r>
      <w:r>
        <w:rPr>
          <w:rFonts w:ascii="宋体" w:hAnsi="宋体"/>
          <w:b/>
          <w:bCs/>
          <w:color w:val="000000"/>
          <w:sz w:val="30"/>
          <w:szCs w:val="20"/>
        </w:rPr>
      </w:r>
      <w:r/>
    </w:p>
    <w:p>
      <w:pPr>
        <w:pStyle w:val="883"/>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p>
    <w:p>
      <w:pPr>
        <w:pStyle w:val="883"/>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p>
    <w:p>
      <w:pPr>
        <w:pStyle w:val="883"/>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rPr>
          <w:rFonts w:hint="eastAsia" w:ascii="宋体" w:hAnsi="宋体" w:cs="Courier New"/>
          <w:color w:val="000000"/>
          <w:sz w:val="24"/>
          <w:szCs w:val="24"/>
        </w:rPr>
      </w:r>
      <w:r/>
    </w:p>
    <w:p>
      <w:pPr>
        <w:pStyle w:val="883"/>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无锡市公共资源交易中心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rPr>
          <w:rFonts w:ascii="宋体" w:hAnsi="宋体" w:cs="Courier New"/>
          <w:b/>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pStyle w:val="88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p>
    <w:p>
      <w:pPr>
        <w:pStyle w:val="883"/>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pStyle w:val="883"/>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rPr>
          <w:rFonts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color w:val="000000"/>
          <w:sz w:val="24"/>
          <w:szCs w:val="24"/>
        </w:rPr>
        <w:t xml:space="preserve">本合同金额为（大写）： _____________</w:t>
      </w:r>
      <w:r>
        <w:rPr>
          <w:rFonts w:hint="eastAsia" w:hAnsi="宋体"/>
          <w:color w:val="000000"/>
          <w:sz w:val="24"/>
          <w:szCs w:val="24"/>
        </w:rPr>
        <w:t xml:space="preserve">圆</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rPr>
          <w:rFonts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p>
    <w:p>
      <w:pPr>
        <w:pStyle w:val="88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rPr>
          <w:rFonts w:hint="eastAsia"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p>
    <w:p>
      <w:pPr>
        <w:pStyle w:val="883"/>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p>
    <w:p>
      <w:pPr>
        <w:pStyle w:val="883"/>
        <w:spacing w:line="400" w:lineRule="exact"/>
        <w:rPr>
          <w:rFonts w:hint="eastAsia" w:ascii="宋体" w:hAnsi="宋体" w:cs="Courier New"/>
          <w:color w:val="000000"/>
          <w:sz w:val="24"/>
          <w:szCs w:val="24"/>
        </w:rPr>
      </w:pPr>
      <w:r>
        <w:rPr>
          <w:rFonts w:hint="eastAsia" w:hAnsi="宋体"/>
          <w:color w:val="000000"/>
          <w:sz w:val="24"/>
          <w:szCs w:val="24"/>
        </w:rPr>
        <w:t xml:space="preserve">（注：采购项目如涉及采购标的的知识产权归属、处理的，如订购、设计、定制开发的信息化建设项目等，应当约定知识产权的归属和处理方式）</w:t>
      </w:r>
      <w:r>
        <w:rPr>
          <w:rFonts w:hint="eastAsia" w:ascii="宋体" w:hAnsi="宋体" w:cs="Courier New"/>
          <w:color w:val="000000"/>
          <w:sz w:val="24"/>
          <w:szCs w:val="24"/>
        </w:rPr>
      </w:r>
      <w:r/>
    </w:p>
    <w:p>
      <w:pPr>
        <w:pStyle w:val="883"/>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883"/>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rPr>
          <w:rFonts w:ascii="宋体" w:hAnsi="宋体" w:cs="Courier New"/>
          <w:color w:val="000000"/>
          <w:sz w:val="24"/>
          <w:szCs w:val="24"/>
          <w:u w:val="single"/>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p>
    <w:p>
      <w:pPr>
        <w:pStyle w:val="88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 乙方交纳人民币__元作为本合同的履约保证金。</w:t>
      </w:r>
      <w:r>
        <w:rPr>
          <w:rFonts w:hint="eastAsia" w:ascii="宋体" w:hAnsi="宋体" w:cs="Courier New"/>
          <w:color w:val="000000"/>
          <w:sz w:val="24"/>
          <w:szCs w:val="24"/>
        </w:rPr>
        <w:t xml:space="preserve">（不得超过合同金额的10%）</w:t>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p>
    <w:p>
      <w:pPr>
        <w:pStyle w:val="883"/>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rPr>
          <w:rFonts w:ascii="宋体" w:hAnsi="宋体" w:cs="Courier New"/>
          <w:color w:val="000000"/>
          <w:sz w:val="24"/>
          <w:szCs w:val="24"/>
        </w:rPr>
      </w:r>
      <w:r/>
    </w:p>
    <w:p>
      <w:pPr>
        <w:pStyle w:val="883"/>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88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pStyle w:val="88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7.2乙方应按招标文件要求，如项目不允许分包的，乙方不得将合同标的分包给他人履行；如项目允许分包的，乙方应当按照投标文件中提供的分包意向协议履行合同。</w:t>
      </w:r>
      <w:r/>
    </w:p>
    <w:p>
      <w:pPr>
        <w:pStyle w:val="883"/>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rPr>
          <w:rFonts w:ascii="宋体" w:hAnsi="宋体" w:eastAsia="仿宋_GB2312"/>
          <w:color w:val="000000"/>
          <w:sz w:val="24"/>
          <w:szCs w:val="24"/>
        </w:rPr>
      </w:r>
      <w:r/>
    </w:p>
    <w:p>
      <w:pPr>
        <w:pStyle w:val="883"/>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pStyle w:val="883"/>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p>
    <w:p>
      <w:pPr>
        <w:pStyle w:val="883"/>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8．1.1预付款支付时间：合同签订后</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日内，预付款支付比例：合同金额的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p>
    <w:p>
      <w:pPr>
        <w:pStyle w:val="883"/>
        <w:ind w:firstLine="480"/>
        <w:spacing w:line="400" w:lineRule="exact"/>
        <w:rPr>
          <w:rFonts w:hint="eastAsia" w:ascii="宋体" w:hAnsi="宋体" w:cs="Courier New"/>
          <w:color w:val="000000"/>
          <w:sz w:val="24"/>
          <w:szCs w:val="24"/>
        </w:rPr>
      </w:pPr>
      <w:r>
        <w:rPr>
          <w:rFonts w:hint="eastAsia" w:ascii="宋体" w:hAnsi="宋体" w:cs="Courier New"/>
          <w:bCs/>
          <w:color w:val="000000"/>
          <w:sz w:val="24"/>
          <w:szCs w:val="24"/>
        </w:rPr>
        <w:t xml:space="preserve">8.1.2尾款支付时间：产品验收通过,采购人收到发票后10个工作日内，尾款支付比例：合同金额的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rPr>
          <w:rFonts w:hint="eastAsia" w:ascii="宋体" w:hAnsi="宋体" w:cs="Courier New"/>
          <w:color w:val="000000"/>
          <w:sz w:val="24"/>
          <w:szCs w:val="24"/>
        </w:rPr>
      </w:r>
      <w:r/>
    </w:p>
    <w:p>
      <w:pPr>
        <w:pStyle w:val="883"/>
        <w:spacing w:line="400" w:lineRule="exact"/>
        <w:rPr>
          <w:rFonts w:ascii="宋体" w:hAnsi="宋体" w:cs="Courier New"/>
          <w:bCs/>
          <w:color w:val="000000"/>
          <w:sz w:val="24"/>
          <w:szCs w:val="24"/>
        </w:rPr>
      </w:pPr>
      <w:r>
        <w:rPr>
          <w:rFonts w:hint="eastAsia" w:hAnsi="宋体"/>
          <w:bCs/>
          <w:color w:val="000000"/>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ascii="宋体" w:hAnsi="宋体" w:cs="Courier New"/>
          <w:bCs/>
          <w:color w:val="000000"/>
          <w:sz w:val="24"/>
          <w:szCs w:val="24"/>
        </w:rPr>
      </w:r>
      <w:r/>
    </w:p>
    <w:p>
      <w:pPr>
        <w:pStyle w:val="883"/>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rPr>
          <w:rFonts w:ascii="宋体" w:hAnsi="宋体" w:cs="Courier New"/>
          <w:bCs/>
          <w:color w:val="000000"/>
          <w:sz w:val="24"/>
          <w:szCs w:val="24"/>
        </w:rPr>
      </w:r>
      <w:r/>
    </w:p>
    <w:p>
      <w:pPr>
        <w:pStyle w:val="883"/>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883"/>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883"/>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w:t>
      </w:r>
      <w:r>
        <w:rPr>
          <w:rFonts w:hint="eastAsia" w:ascii="宋体" w:hAnsi="宋体" w:cs="Courier New"/>
          <w:color w:val="000000"/>
          <w:sz w:val="24"/>
          <w:szCs w:val="24"/>
        </w:rPr>
        <w:t xml:space="preserve">身</w:t>
      </w:r>
      <w:r>
        <w:rPr>
          <w:rFonts w:ascii="宋体" w:hAnsi="宋体" w:cs="Courier New"/>
          <w:color w:val="000000"/>
          <w:sz w:val="24"/>
          <w:szCs w:val="24"/>
        </w:rPr>
        <w:t xml:space="preserve">维修，维修时只收部件成本费。</w:t>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乙方应在货物发运前对其进行满足运输距离、防潮、防震、防锈和防破损装卸等要求包装，以保证货物安全运达甲方指定地点。</w:t>
      </w:r>
      <w:r>
        <w:rPr>
          <w:rFonts w:hint="eastAsia" w:ascii="宋体" w:hAnsi="宋体"/>
          <w:color w:val="000000"/>
          <w:sz w:val="24"/>
          <w:szCs w:val="24"/>
        </w:rPr>
        <w:t xml:space="preserve">乙方对货物的包装应符合《商品包装政府采购需求标准（试行）》、《快递包装政府采购需求标准（试行）》的规定。</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88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、合同生效及其它</w:t>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《中华人民共和国民法典》、《中华人民共和国政府采购法》</w:t>
      </w:r>
      <w:r>
        <w:rPr>
          <w:rFonts w:ascii="宋体" w:hAnsi="宋体" w:cs="Courier New"/>
          <w:color w:val="000000"/>
          <w:sz w:val="24"/>
          <w:szCs w:val="24"/>
        </w:rPr>
        <w:t xml:space="preserve">有关条文执行。</w:t>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p>
    <w:p>
      <w:pPr>
        <w:pStyle w:val="883"/>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p>
    <w:p>
      <w:pPr>
        <w:pStyle w:val="883"/>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pStyle w:val="883"/>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pStyle w:val="883"/>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rPr>
          <w:rFonts w:hint="eastAsia" w:ascii="宋体" w:hAnsi="Courier New" w:cs="Courier New"/>
          <w:color w:val="000000"/>
        </w:rPr>
      </w:r>
      <w:r/>
    </w:p>
    <w:p>
      <w:pPr>
        <w:pStyle w:val="883"/>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p>
    <w:p>
      <w:pPr>
        <w:pStyle w:val="883"/>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883"/>
        <w:ind w:firstLine="480"/>
        <w:spacing w:line="400" w:lineRule="exact"/>
        <w:rPr>
          <w:rFonts w:ascii="宋体" w:hAnsi="宋体"/>
          <w:bCs/>
          <w:color w:val="000000"/>
          <w:sz w:val="24"/>
          <w:szCs w:val="24"/>
        </w:rPr>
      </w:pPr>
      <w:r>
        <w:rPr>
          <w:rFonts w:hint="eastAsia" w:ascii="宋体" w:hAnsi="宋体" w:cs="Courier New"/>
          <w:color w:val="000000"/>
          <w:sz w:val="24"/>
          <w:szCs w:val="24"/>
        </w:rPr>
        <w:t xml:space="preserve">注：采购人也可参考财政部制定的《政府采购货物买卖合同（试行）》使用，《政府采购货物买卖合同（试行）》电子版请登录中国政府采购网（www.ccgp.gov.cn）下载。</w:t>
      </w:r>
      <w:r>
        <w:rPr>
          <w:rFonts w:ascii="宋体" w:hAnsi="宋体"/>
          <w:bCs/>
          <w:color w:val="000000"/>
          <w:sz w:val="24"/>
          <w:szCs w:val="24"/>
        </w:rPr>
      </w:r>
      <w:r/>
    </w:p>
    <w:p>
      <w:pPr>
        <w:pStyle w:val="883"/>
        <w:spacing w:line="400" w:lineRule="exact"/>
        <w:rPr>
          <w:rFonts w:ascii="宋体" w:hAnsi="宋体" w:cs="宋体"/>
          <w:color w:val="000000"/>
          <w:sz w:val="24"/>
        </w:rPr>
        <w:outlineLvl w:val="0"/>
      </w:pPr>
      <w:r>
        <w:rPr>
          <w:rFonts w:ascii="宋体" w:hAnsi="宋体" w:cs="宋体"/>
          <w:color w:val="000000"/>
          <w:sz w:val="24"/>
        </w:rPr>
        <w:t xml:space="preserve"> </w:t>
      </w:r>
      <w:r/>
    </w:p>
    <w:p>
      <w:pPr>
        <w:pStyle w:val="883"/>
        <w:ind w:firstLine="480"/>
        <w:jc w:val="center"/>
        <w:spacing w:line="288" w:lineRule="auto"/>
        <w:rPr>
          <w:rFonts w:hint="eastAsia" w:hAnsi="宋体"/>
          <w:color w:val="000000"/>
          <w:sz w:val="36"/>
          <w:szCs w:val="36"/>
        </w:rPr>
      </w:pPr>
      <w:r>
        <w:rPr>
          <w:rFonts w:ascii="宋体" w:hAnsi="宋体"/>
          <w:bCs/>
          <w:color w:val="000000"/>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79757211"/>
      <w:r/>
      <w:bookmarkStart w:id="190" w:name="_Toc462564139"/>
      <w:r>
        <w:rPr>
          <w:rFonts w:hint="eastAsia" w:ascii="黑体" w:eastAsia="黑体"/>
          <w:bCs/>
          <w:color w:val="000000"/>
          <w:sz w:val="36"/>
          <w:szCs w:val="36"/>
        </w:rPr>
        <w:t xml:space="preserve">第</w:t>
      </w:r>
      <w:bookmarkEnd w:id="185"/>
      <w:r>
        <w:rPr>
          <w:rFonts w:hint="eastAsia" w:ascii="黑体" w:eastAsia="黑体"/>
          <w:bCs/>
          <w:color w:val="000000"/>
          <w:sz w:val="36"/>
          <w:szCs w:val="36"/>
        </w:rPr>
        <w:t xml:space="preserve">四章 采购需求</w:t>
      </w:r>
      <w:bookmarkEnd w:id="186"/>
      <w:r/>
      <w:bookmarkEnd w:id="187"/>
      <w:r/>
      <w:bookmarkEnd w:id="188"/>
      <w:r>
        <w:rPr>
          <w:rFonts w:hint="eastAsia" w:hAnsi="宋体"/>
          <w:color w:val="000000"/>
          <w:sz w:val="36"/>
          <w:szCs w:val="36"/>
        </w:rPr>
      </w:r>
      <w:r/>
    </w:p>
    <w:p>
      <w:pPr>
        <w:pStyle w:val="883"/>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color w:val="000000"/>
          <w:sz w:val="30"/>
          <w:szCs w:val="30"/>
        </w:rPr>
        <w:t xml:space="preserve">本项目属性：货物类项目</w:t>
      </w:r>
      <w:r/>
    </w:p>
    <w:p>
      <w:pPr>
        <w:pStyle w:val="883"/>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pStyle w:val="88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本项目标的物所属行业：工业</w:t>
      </w:r>
      <w:r/>
    </w:p>
    <w:p>
      <w:pPr>
        <w:pStyle w:val="88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本项目中的P1.25LED拼接屏为核心产品。</w:t>
      </w:r>
      <w:r/>
    </w:p>
    <w:p>
      <w:pPr>
        <w:pStyle w:val="883"/>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p>
    <w:p>
      <w:pPr>
        <w:pStyle w:val="883"/>
        <w:ind w:firstLine="480"/>
        <w:spacing w:line="360" w:lineRule="auto"/>
        <w:rPr>
          <w:rFonts w:ascii="宋体" w:hAnsi="宋体"/>
          <w:bCs/>
          <w:color w:val="000000"/>
          <w:sz w:val="24"/>
          <w:szCs w:val="24"/>
        </w:rPr>
      </w:pPr>
      <w:r>
        <w:rPr>
          <w:rFonts w:ascii="宋体" w:hAnsi="宋体"/>
          <w:bCs/>
          <w:color w:val="000000"/>
          <w:sz w:val="24"/>
          <w:szCs w:val="24"/>
        </w:rPr>
      </w:r>
      <w:r/>
    </w:p>
    <w:p>
      <w:pPr>
        <w:pStyle w:val="886"/>
        <w:rPr>
          <w:rFonts w:hint="eastAsia" w:ascii="宋体" w:hAnsi="宋体" w:cs="宋体"/>
          <w:color w:val="000000"/>
          <w:sz w:val="24"/>
          <w:szCs w:val="24"/>
        </w:rPr>
      </w:pPr>
      <w:r>
        <w:rPr>
          <w:rFonts w:hint="eastAsia" w:ascii="宋体" w:hAnsi="宋体" w:cs="宋体"/>
          <w:color w:val="000000"/>
          <w:sz w:val="24"/>
          <w:szCs w:val="24"/>
        </w:rPr>
        <w:t xml:space="preserve">1.项目概述</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根据相关文件规定要求，现依托市公安局现有主楼四楼空置区域独立建设市本级反诈中心，智能化建设主要包括大屏显示系统、会议系统、应急广播系统、门禁系统、视频监控系统、智能照明系统、网络系统、综合布线系统。通过此次智能化建设项目，进一步筑牢“心盾”防范屏障、发起“天网”打击攻势、深化源头治理管控，推动形成全链条反诈、全行业阻诈、全社会防诈的打防格局，促进全力守护百姓钱袋子工作目标的达成。</w:t>
      </w:r>
      <w:r/>
    </w:p>
    <w:p>
      <w:pPr>
        <w:pStyle w:val="886"/>
        <w:rPr>
          <w:rFonts w:hint="eastAsia" w:ascii="宋体" w:hAnsi="宋体" w:cs="宋体"/>
          <w:color w:val="000000"/>
          <w:sz w:val="24"/>
          <w:szCs w:val="24"/>
        </w:rPr>
      </w:pPr>
      <w:r>
        <w:rPr>
          <w:rFonts w:hint="eastAsia" w:ascii="宋体" w:hAnsi="宋体" w:cs="宋体"/>
          <w:color w:val="000000"/>
          <w:sz w:val="24"/>
          <w:szCs w:val="24"/>
        </w:rPr>
        <w:t xml:space="preserve">2.项目建设内容</w:t>
      </w:r>
      <w:r/>
    </w:p>
    <w:p>
      <w:pPr>
        <w:pStyle w:val="883"/>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一、大屏系统</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（1）LED大屏建设</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 LED 拟采用高密度小间距产品，小间距高清 </w:t>
      </w:r>
      <w:r>
        <w:rPr>
          <w:rFonts w:hint="eastAsia" w:ascii="宋体" w:hAnsi="宋体" w:cs="宋体"/>
          <w:color w:val="000000"/>
          <w:sz w:val="24"/>
          <w:szCs w:val="24"/>
        </w:rPr>
        <w:t xml:space="preserve">LED 显示技术，是采用小间距表贴封装 LED 作为显示面板，支持整屏无缝拼接， 组成一个高分率的数字显示系统。在充分地对客户实际应用需求进行分析、对现场环境进行认真考察后，建议将 LED 高清晰度数字显示技术、多屏图 处理技术、信号切换技术、网络技术等的应用综合为一体，形成一个有高亮度、高清晰度、高智能化控制、操作方法先进的LED大屏显示系统。LED大屏面积43.74平方米（21.6M*2.025M ），分辨率17280*1620 ，根据现场环境采用落地支架进行布置，前维护的安装方式，充分利用现场空间。 </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原来反诈中心有一块LED屏幕，屏幕面积14.58平方米（长7.2m，高2.025m），利旧使用，整个项目需要考虑原有LED屏幕拆除、搬迁、安装、调试及坏点修复。</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原反诈中心侦察打击区和宣传防范区各有两套3*2LCD拼接屏幕（55寸），利旧使用，整个项目需要考虑原有LCD屏幕拆除、搬迁、安装、调试及坏点修复。</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（2）视频切换系统</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为了实现反诈中心各项职能，需要建设包括显示系统、信息传输切换系统、视频处理系统、可视化管控系统等多系统为一体的硬件支撑系统。各个系统各施其能，为反诈中心各项职能活动的开展提供音视频传输、汇聚、切换、视频处理、大屏显示等多种功能。通过可视化智能中控对各个系统整合，构建统一的多系统综合控制系统，简化多系统操作流程，提高管控效率，做到及时响应、快速指挥。</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基于以上需求分析，本次方案建议采用光纤矩阵+拼接控制器+智能化中控组成解决方案，实现信号采集接入、传输切换、视频处理、拼接显示、可视化控制等功能。</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系统整合计算机系统、网络、实时视频等多种数据资源，构建反诈中心视频图像资源池，在日常值守、应急指挥等活动中，按需在资源池中调取视频图像信号，并在显示设备上进行高清晰、高分辨的图像显示和窗口组合显示，并可按需设定成不同的使用模式，提供给不同场景下任意调用，满足信息集中显示、大数据量处理、实时准确显示的需要，为迅速分析判断、综合调度和决策指挥提供必要支持。</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系统包括部署在中心机房的光纤矩阵（包括发送和接收光端机）、拼接控制器、国产化智能中控设备等核心功能设备。</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系统采用一体化设计理念，以光纤为主要传输介质，以网络为通信纽带，通过可视化综合管控平台，实现统一的功能控制和系统维护。</w:t>
      </w:r>
      <w:r/>
    </w:p>
    <w:p>
      <w:pPr>
        <w:pStyle w:val="883"/>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二、会议系统</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（1）发言系统</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配置10只手拉手方杆会议话筒，放置于领导席，实现会议讨论发言功能，保证声音还原度；在观摩席配置无线鹅颈话筒，用于灵活发言使用，整个反诈中心配置4只无线手持话筒，用于移动发言、讲解使用。无线话筒主机放置于弱电机房，机房与反诈指挥中心距离有40米，为了防止无线信号传输受到影响，增加一套无线话筒信号放大器。</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（2）扩声系统</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本项目配置2套音柱和16套6.5寸吸顶音箱，主要用于反诈中心和研判支撑区人声的扩音及音频文件的播放，系统具有音频信号放大和处理功能，能够达到扩散性良好，声场分布均 ，响度合适，自然度好的要求，能够提供清晰自然的 扩声，满足日常会议扩声，报告演讲等功能需求。 </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（3）视频会议系统</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视频会议系统建设1套多点控制单元（MCU），配置20路视频会议授权，满足市局与区级部门视频会议，多点控制单元（MCU）采用先进的云架构设计理念，支持H.265编解码协议，内置统一管理、灵活用户权限设置、双模混合会议、虚拟会议室、即时通讯等功能。反诈中心建设一套视频会议终端，研判支撑区大屏两侧各安装一台视频会议摄像机，用作本地画面传输；项目中配置一台电视墙，用于展示远端会议场所监控画面，电视墙负责将各会场的音频图像解码输出到视频矩阵分配或直接输出到显示设备，实现多路图像解码上墙显示。</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（4）可视化中控系统</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使用者通过平板上显示的预览画面即可锁定相应输入源，实现快速切换，防止误操作。视频源可按照不同部门、不同区域实现分类分组，方便查找和快速调用。中控系统可实现大屏场景切换，会场音量调整等功能。</w:t>
      </w:r>
      <w:r/>
    </w:p>
    <w:p>
      <w:pPr>
        <w:pStyle w:val="883"/>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三、应急广播系统</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该项目对应急广播系统的使用需求，结合相关设计标准《应急广播系统工程技术规范》编号 GB50526-2010、（中华人民共和国公安部火灾自动报警系统设计规范（摘录）（GB50116-2013））和建设图纸进行设计；应急广播系统选择以实用性、先进性、可靠性、开放性、兼容性、标准化为原则；本次大楼应急广播系统设计主要满足背景音乐广播和消防广播两部分。</w:t>
      </w:r>
      <w:r/>
    </w:p>
    <w:p>
      <w:pPr>
        <w:pStyle w:val="883"/>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四、门禁系统</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门禁系统，是安防智能化管理系统必不可少的。门禁系统是大楼综合保安系统的重要组成部分，其设计之主要目的是为实现人员出入权限控制及出入信息记录。本项目大楼属于新建项目，门禁等点位与基建没有交叉，不影响门禁等点位数量计算。配置6套人脸识别监控，能与原有大楼门禁系统互联。</w:t>
      </w:r>
      <w:r/>
    </w:p>
    <w:p>
      <w:pPr>
        <w:pStyle w:val="883"/>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五、视频监控系统</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视频监控系统是安防智能化管理系统必不可少的重要部分。本次建设的摄像机，部署在大楼公共区域，可通过国标协议接入原有大楼监控系统。本项目配置16台400W像素高清半球监控，后端有效存储180天，部署在反诈中心公共区域，满足公安基本需求。</w:t>
      </w:r>
      <w:r/>
    </w:p>
    <w:p>
      <w:pPr>
        <w:pStyle w:val="883"/>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六、智能照明系统</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智能照明控制系统组网方式灵活，扩展方便，当系统模块数量较少、距离较近、范围较小时，各设备以树形枝状延伸，构成支路系统智能照明控制系统；当系统模块数量较多、距离较远、范围较大时，用IP协议转换器组成多条支路，构成区域智能照明控制系统，合并到交换机组成总线。本项目配置3套智能照明智能面板，管理公共区域灯光，能实现定时控制、场景控制、感应控制等功能。</w:t>
      </w:r>
      <w:r/>
    </w:p>
    <w:p>
      <w:pPr>
        <w:pStyle w:val="883"/>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七、网络系统</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次无锡市公安局反诈中心网络主要分为公安信息网、公安视频网、政务网、设备网等4个部分，按照等级保护要求各套网络系统之间物理隔离，整体网络架构采用核心--接入的二层网络设计，二层网络架构采用层次化模型设计，即减少网络规格，每个层次着重于某些特定的功能，这样就能够使一个复杂的大问题变成许多简单的小问题。（接入交换机汇聚到大楼原有机房核心交换机）。</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公安网、视频网、政务网各配置四台48口全千兆交换机和两台24口全千兆交换机，交换机包含24/48个10/100/1000BASE-T 以太网端口,4个千兆 SFP 上行端口。</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设备网配置2台24口POE交换机，交换机包含24个 10/100/1000BASE-T 以太网端口,4个千兆SFP上行端口。</w:t>
      </w:r>
      <w:r/>
    </w:p>
    <w:p>
      <w:pPr>
        <w:pStyle w:val="883"/>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八、综合布线系统</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本项目共有197个工位，每个工位放置3套网络+1套电话线路，反诈中心有两个弱电间，每个弱电间都放置光纤到中心机房。</w:t>
      </w:r>
      <w:r/>
    </w:p>
    <w:p>
      <w:pPr>
        <w:pStyle w:val="886"/>
        <w:rPr>
          <w:rFonts w:hint="eastAsia" w:ascii="宋体" w:hAnsi="宋体" w:cs="宋体"/>
          <w:color w:val="000000"/>
          <w:sz w:val="24"/>
          <w:szCs w:val="24"/>
        </w:rPr>
      </w:pPr>
      <w:r>
        <w:rPr>
          <w:rFonts w:hint="eastAsia" w:ascii="宋体" w:hAnsi="宋体" w:cs="宋体"/>
          <w:color w:val="000000"/>
          <w:sz w:val="24"/>
          <w:szCs w:val="24"/>
        </w:rPr>
        <w:t xml:space="preserve">3.项目采购清单（单位：元）</w:t>
      </w:r>
      <w:r/>
    </w:p>
    <w:tbl>
      <w:tblPr>
        <w:tblW w:w="0" w:type="auto"/>
        <w:tblInd w:w="96" w:type="dxa"/>
        <w:tblLayout w:type="autofit"/>
        <w:tblCellMar>
          <w:left w:w="108" w:type="dxa"/>
          <w:top w:w="0" w:type="dxa"/>
          <w:right w:w="108" w:type="dxa"/>
          <w:bottom w:w="0" w:type="dxa"/>
        </w:tblCellMar>
        <w:tblLook w:val="04A0" w:firstRow="1" w:lastRow="0" w:firstColumn="1" w:lastColumn="0" w:noHBand="0" w:noVBand="1"/>
      </w:tblPr>
      <w:tblGrid>
        <w:gridCol w:w="463"/>
        <w:gridCol w:w="1176"/>
        <w:gridCol w:w="4114"/>
        <w:gridCol w:w="467"/>
        <w:gridCol w:w="816"/>
        <w:gridCol w:w="2037"/>
      </w:tblGrid>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9525" cy="952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9525" cy="952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9525" cy="952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9525" cy="952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0</wp:posOffset>
                      </wp:positionH>
                      <wp:positionV relativeFrom="paragraph">
                        <wp:posOffset>0</wp:posOffset>
                      </wp:positionV>
                      <wp:extent cx="9525" cy="952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0</wp:posOffset>
                      </wp:positionH>
                      <wp:positionV relativeFrom="paragraph">
                        <wp:posOffset>0</wp:posOffset>
                      </wp:positionV>
                      <wp:extent cx="9525" cy="952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0</wp:posOffset>
                      </wp:positionH>
                      <wp:positionV relativeFrom="paragraph">
                        <wp:posOffset>0</wp:posOffset>
                      </wp:positionV>
                      <wp:extent cx="9525" cy="952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0</wp:posOffset>
                      </wp:positionH>
                      <wp:positionV relativeFrom="paragraph">
                        <wp:posOffset>0</wp:posOffset>
                      </wp:positionV>
                      <wp:extent cx="9525" cy="952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0</wp:posOffset>
                      </wp:positionH>
                      <wp:positionV relativeFrom="paragraph">
                        <wp:posOffset>0</wp:posOffset>
                      </wp:positionV>
                      <wp:extent cx="9525" cy="952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0</wp:posOffset>
                      </wp:positionH>
                      <wp:positionV relativeFrom="paragraph">
                        <wp:posOffset>0</wp:posOffset>
                      </wp:positionV>
                      <wp:extent cx="9525" cy="952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0</wp:posOffset>
                      </wp:positionH>
                      <wp:positionV relativeFrom="paragraph">
                        <wp:posOffset>0</wp:posOffset>
                      </wp:positionV>
                      <wp:extent cx="9525" cy="952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0</wp:posOffset>
                      </wp:positionH>
                      <wp:positionV relativeFrom="paragraph">
                        <wp:posOffset>0</wp:posOffset>
                      </wp:positionV>
                      <wp:extent cx="9525" cy="952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0</wp:posOffset>
                      </wp:positionH>
                      <wp:positionV relativeFrom="paragraph">
                        <wp:posOffset>0</wp:posOffset>
                      </wp:positionV>
                      <wp:extent cx="9525" cy="952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0</wp:posOffset>
                      </wp:positionH>
                      <wp:positionV relativeFrom="paragraph">
                        <wp:posOffset>0</wp:posOffset>
                      </wp:positionV>
                      <wp:extent cx="9525" cy="952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0</wp:posOffset>
                      </wp:positionH>
                      <wp:positionV relativeFrom="paragraph">
                        <wp:posOffset>0</wp:posOffset>
                      </wp:positionV>
                      <wp:extent cx="9525" cy="952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0</wp:posOffset>
                      </wp:positionH>
                      <wp:positionV relativeFrom="paragraph">
                        <wp:posOffset>0</wp:posOffset>
                      </wp:positionV>
                      <wp:extent cx="9525" cy="952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0</wp:posOffset>
                      </wp:positionH>
                      <wp:positionV relativeFrom="paragraph">
                        <wp:posOffset>0</wp:posOffset>
                      </wp:positionV>
                      <wp:extent cx="9525" cy="952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0</wp:posOffset>
                      </wp:positionH>
                      <wp:positionV relativeFrom="paragraph">
                        <wp:posOffset>0</wp:posOffset>
                      </wp:positionV>
                      <wp:extent cx="9525" cy="952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0</wp:posOffset>
                      </wp:positionH>
                      <wp:positionV relativeFrom="paragraph">
                        <wp:posOffset>0</wp:posOffset>
                      </wp:positionV>
                      <wp:extent cx="9525" cy="952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0</wp:posOffset>
                      </wp:positionH>
                      <wp:positionV relativeFrom="paragraph">
                        <wp:posOffset>0</wp:posOffset>
                      </wp:positionV>
                      <wp:extent cx="9525" cy="952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0</wp:posOffset>
                      </wp:positionH>
                      <wp:positionV relativeFrom="paragraph">
                        <wp:posOffset>0</wp:posOffset>
                      </wp:positionV>
                      <wp:extent cx="9525" cy="9525"/>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6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0</wp:posOffset>
                      </wp:positionH>
                      <wp:positionV relativeFrom="paragraph">
                        <wp:posOffset>0</wp:posOffset>
                      </wp:positionV>
                      <wp:extent cx="9525" cy="952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6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0</wp:posOffset>
                      </wp:positionH>
                      <wp:positionV relativeFrom="paragraph">
                        <wp:posOffset>0</wp:posOffset>
                      </wp:positionV>
                      <wp:extent cx="9525" cy="9525"/>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0</wp:posOffset>
                      </wp:positionH>
                      <wp:positionV relativeFrom="paragraph">
                        <wp:posOffset>0</wp:posOffset>
                      </wp:positionV>
                      <wp:extent cx="9525" cy="952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0</wp:posOffset>
                      </wp:positionH>
                      <wp:positionV relativeFrom="paragraph">
                        <wp:posOffset>0</wp:posOffset>
                      </wp:positionV>
                      <wp:extent cx="9525" cy="9525"/>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0</wp:posOffset>
                      </wp:positionH>
                      <wp:positionV relativeFrom="paragraph">
                        <wp:posOffset>0</wp:posOffset>
                      </wp:positionV>
                      <wp:extent cx="9525" cy="952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0</wp:posOffset>
                      </wp:positionH>
                      <wp:positionV relativeFrom="paragraph">
                        <wp:posOffset>0</wp:posOffset>
                      </wp:positionV>
                      <wp:extent cx="9525" cy="9525"/>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0</wp:posOffset>
                      </wp:positionH>
                      <wp:positionV relativeFrom="paragraph">
                        <wp:posOffset>0</wp:posOffset>
                      </wp:positionV>
                      <wp:extent cx="9525" cy="9525"/>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0</wp:posOffset>
                      </wp:positionH>
                      <wp:positionV relativeFrom="paragraph">
                        <wp:posOffset>0</wp:posOffset>
                      </wp:positionV>
                      <wp:extent cx="9525" cy="9525"/>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0</wp:posOffset>
                      </wp:positionH>
                      <wp:positionV relativeFrom="paragraph">
                        <wp:posOffset>0</wp:posOffset>
                      </wp:positionV>
                      <wp:extent cx="9525" cy="9525"/>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0</wp:posOffset>
                      </wp:positionH>
                      <wp:positionV relativeFrom="paragraph">
                        <wp:posOffset>0</wp:posOffset>
                      </wp:positionV>
                      <wp:extent cx="9525" cy="9525"/>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7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0</wp:posOffset>
                      </wp:positionH>
                      <wp:positionV relativeFrom="paragraph">
                        <wp:posOffset>0</wp:posOffset>
                      </wp:positionV>
                      <wp:extent cx="9525" cy="9525"/>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7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0</wp:posOffset>
                      </wp:positionH>
                      <wp:positionV relativeFrom="paragraph">
                        <wp:posOffset>0</wp:posOffset>
                      </wp:positionV>
                      <wp:extent cx="9525" cy="9525"/>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7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0</wp:posOffset>
                      </wp:positionH>
                      <wp:positionV relativeFrom="paragraph">
                        <wp:posOffset>0</wp:posOffset>
                      </wp:positionV>
                      <wp:extent cx="9525" cy="9525"/>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7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0</wp:posOffset>
                      </wp:positionH>
                      <wp:positionV relativeFrom="paragraph">
                        <wp:posOffset>0</wp:posOffset>
                      </wp:positionV>
                      <wp:extent cx="9525" cy="9525"/>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7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0</wp:posOffset>
                      </wp:positionH>
                      <wp:positionV relativeFrom="paragraph">
                        <wp:posOffset>0</wp:posOffset>
                      </wp:positionV>
                      <wp:extent cx="9525" cy="952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0</wp:posOffset>
                      </wp:positionH>
                      <wp:positionV relativeFrom="paragraph">
                        <wp:posOffset>0</wp:posOffset>
                      </wp:positionV>
                      <wp:extent cx="9525" cy="9525"/>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0</wp:posOffset>
                      </wp:positionH>
                      <wp:positionV relativeFrom="paragraph">
                        <wp:posOffset>0</wp:posOffset>
                      </wp:positionV>
                      <wp:extent cx="9525" cy="9525"/>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7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0</wp:posOffset>
                      </wp:positionH>
                      <wp:positionV relativeFrom="paragraph">
                        <wp:posOffset>0</wp:posOffset>
                      </wp:positionV>
                      <wp:extent cx="9525" cy="952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7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0</wp:posOffset>
                      </wp:positionH>
                      <wp:positionV relativeFrom="paragraph">
                        <wp:posOffset>0</wp:posOffset>
                      </wp:positionV>
                      <wp:extent cx="9525" cy="9525"/>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7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0</wp:posOffset>
                      </wp:positionH>
                      <wp:positionV relativeFrom="paragraph">
                        <wp:posOffset>0</wp:posOffset>
                      </wp:positionV>
                      <wp:extent cx="9525" cy="9525"/>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8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0</wp:posOffset>
                      </wp:positionH>
                      <wp:positionV relativeFrom="paragraph">
                        <wp:posOffset>0</wp:posOffset>
                      </wp:positionV>
                      <wp:extent cx="9525" cy="9525"/>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8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0</wp:posOffset>
                      </wp:positionH>
                      <wp:positionV relativeFrom="paragraph">
                        <wp:posOffset>0</wp:posOffset>
                      </wp:positionV>
                      <wp:extent cx="9525" cy="9525"/>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8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0</wp:posOffset>
                      </wp:positionH>
                      <wp:positionV relativeFrom="paragraph">
                        <wp:posOffset>0</wp:posOffset>
                      </wp:positionV>
                      <wp:extent cx="9525" cy="9525"/>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8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0</wp:posOffset>
                      </wp:positionH>
                      <wp:positionV relativeFrom="paragraph">
                        <wp:posOffset>0</wp:posOffset>
                      </wp:positionV>
                      <wp:extent cx="9525" cy="9525"/>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8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0</wp:posOffset>
                      </wp:positionH>
                      <wp:positionV relativeFrom="paragraph">
                        <wp:posOffset>0</wp:posOffset>
                      </wp:positionV>
                      <wp:extent cx="9525" cy="9525"/>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8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0</wp:posOffset>
                      </wp:positionH>
                      <wp:positionV relativeFrom="paragraph">
                        <wp:posOffset>0</wp:posOffset>
                      </wp:positionV>
                      <wp:extent cx="9525" cy="9525"/>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8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0</wp:posOffset>
                      </wp:positionH>
                      <wp:positionV relativeFrom="paragraph">
                        <wp:posOffset>0</wp:posOffset>
                      </wp:positionV>
                      <wp:extent cx="9525" cy="9525"/>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8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0</wp:posOffset>
                      </wp:positionH>
                      <wp:positionV relativeFrom="paragraph">
                        <wp:posOffset>0</wp:posOffset>
                      </wp:positionV>
                      <wp:extent cx="9525" cy="9525"/>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8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0</wp:posOffset>
                      </wp:positionH>
                      <wp:positionV relativeFrom="paragraph">
                        <wp:posOffset>0</wp:posOffset>
                      </wp:positionV>
                      <wp:extent cx="9525" cy="9525"/>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8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0</wp:posOffset>
                      </wp:positionH>
                      <wp:positionV relativeFrom="paragraph">
                        <wp:posOffset>0</wp:posOffset>
                      </wp:positionV>
                      <wp:extent cx="9525" cy="9525"/>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9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0</wp:posOffset>
                      </wp:positionH>
                      <wp:positionV relativeFrom="paragraph">
                        <wp:posOffset>0</wp:posOffset>
                      </wp:positionV>
                      <wp:extent cx="9525" cy="9525"/>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9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0</wp:posOffset>
                      </wp:positionH>
                      <wp:positionV relativeFrom="paragraph">
                        <wp:posOffset>0</wp:posOffset>
                      </wp:positionV>
                      <wp:extent cx="9525" cy="9525"/>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9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0</wp:posOffset>
                      </wp:positionH>
                      <wp:positionV relativeFrom="paragraph">
                        <wp:posOffset>0</wp:posOffset>
                      </wp:positionV>
                      <wp:extent cx="9525" cy="9525"/>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9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0</wp:posOffset>
                      </wp:positionH>
                      <wp:positionV relativeFrom="paragraph">
                        <wp:posOffset>0</wp:posOffset>
                      </wp:positionV>
                      <wp:extent cx="9525" cy="9525"/>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9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0</wp:posOffset>
                      </wp:positionH>
                      <wp:positionV relativeFrom="paragraph">
                        <wp:posOffset>0</wp:posOffset>
                      </wp:positionV>
                      <wp:extent cx="9525" cy="9525"/>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29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0</wp:posOffset>
                      </wp:positionH>
                      <wp:positionV relativeFrom="paragraph">
                        <wp:posOffset>0</wp:posOffset>
                      </wp:positionV>
                      <wp:extent cx="9525" cy="9525"/>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29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0</wp:posOffset>
                      </wp:positionH>
                      <wp:positionV relativeFrom="paragraph">
                        <wp:posOffset>0</wp:posOffset>
                      </wp:positionV>
                      <wp:extent cx="9525" cy="9525"/>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9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0</wp:posOffset>
                      </wp:positionH>
                      <wp:positionV relativeFrom="paragraph">
                        <wp:posOffset>0</wp:posOffset>
                      </wp:positionV>
                      <wp:extent cx="9525" cy="9525"/>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9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0</wp:posOffset>
                      </wp:positionH>
                      <wp:positionV relativeFrom="paragraph">
                        <wp:posOffset>0</wp:posOffset>
                      </wp:positionV>
                      <wp:extent cx="9525" cy="9525"/>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29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0</wp:posOffset>
                      </wp:positionH>
                      <wp:positionV relativeFrom="paragraph">
                        <wp:posOffset>0</wp:posOffset>
                      </wp:positionV>
                      <wp:extent cx="9525" cy="9525"/>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30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0</wp:posOffset>
                      </wp:positionH>
                      <wp:positionV relativeFrom="paragraph">
                        <wp:posOffset>0</wp:posOffset>
                      </wp:positionV>
                      <wp:extent cx="9525" cy="9525"/>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30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0</wp:posOffset>
                      </wp:positionH>
                      <wp:positionV relativeFrom="paragraph">
                        <wp:posOffset>0</wp:posOffset>
                      </wp:positionV>
                      <wp:extent cx="9525" cy="9525"/>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30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0</wp:posOffset>
                      </wp:positionH>
                      <wp:positionV relativeFrom="paragraph">
                        <wp:posOffset>0</wp:posOffset>
                      </wp:positionV>
                      <wp:extent cx="9525" cy="9525"/>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30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0</wp:posOffset>
                      </wp:positionH>
                      <wp:positionV relativeFrom="paragraph">
                        <wp:posOffset>0</wp:posOffset>
                      </wp:positionV>
                      <wp:extent cx="9525" cy="9525"/>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30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0</wp:posOffset>
                      </wp:positionH>
                      <wp:positionV relativeFrom="paragraph">
                        <wp:posOffset>0</wp:posOffset>
                      </wp:positionV>
                      <wp:extent cx="9525" cy="9525"/>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30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0</wp:posOffset>
                      </wp:positionH>
                      <wp:positionV relativeFrom="paragraph">
                        <wp:posOffset>0</wp:posOffset>
                      </wp:positionV>
                      <wp:extent cx="9525" cy="9525"/>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30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0</wp:posOffset>
                      </wp:positionH>
                      <wp:positionV relativeFrom="paragraph">
                        <wp:posOffset>0</wp:posOffset>
                      </wp:positionV>
                      <wp:extent cx="9525" cy="9525"/>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30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8" behindDoc="0" locked="0" layoutInCell="1" allowOverlap="1">
                      <wp:simplePos x="0" y="0"/>
                      <wp:positionH relativeFrom="column">
                        <wp:posOffset>0</wp:posOffset>
                      </wp:positionH>
                      <wp:positionV relativeFrom="paragraph">
                        <wp:posOffset>0</wp:posOffset>
                      </wp:positionV>
                      <wp:extent cx="9525" cy="9525"/>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30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0</wp:posOffset>
                      </wp:positionH>
                      <wp:positionV relativeFrom="paragraph">
                        <wp:posOffset>0</wp:posOffset>
                      </wp:positionV>
                      <wp:extent cx="9525" cy="9525"/>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830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0</wp:posOffset>
                      </wp:positionH>
                      <wp:positionV relativeFrom="paragraph">
                        <wp:posOffset>0</wp:posOffset>
                      </wp:positionV>
                      <wp:extent cx="9525" cy="9525"/>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831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0</wp:posOffset>
                      </wp:positionH>
                      <wp:positionV relativeFrom="paragraph">
                        <wp:posOffset>0</wp:posOffset>
                      </wp:positionV>
                      <wp:extent cx="9525" cy="9525"/>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831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0</wp:posOffset>
                      </wp:positionH>
                      <wp:positionV relativeFrom="paragraph">
                        <wp:posOffset>0</wp:posOffset>
                      </wp:positionV>
                      <wp:extent cx="9525" cy="9525"/>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8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3" behindDoc="0" locked="0" layoutInCell="1" allowOverlap="1">
                      <wp:simplePos x="0" y="0"/>
                      <wp:positionH relativeFrom="column">
                        <wp:posOffset>0</wp:posOffset>
                      </wp:positionH>
                      <wp:positionV relativeFrom="paragraph">
                        <wp:posOffset>0</wp:posOffset>
                      </wp:positionV>
                      <wp:extent cx="9525" cy="9525"/>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31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4" behindDoc="0" locked="0" layoutInCell="1" allowOverlap="1">
                      <wp:simplePos x="0" y="0"/>
                      <wp:positionH relativeFrom="column">
                        <wp:posOffset>0</wp:posOffset>
                      </wp:positionH>
                      <wp:positionV relativeFrom="paragraph">
                        <wp:posOffset>0</wp:posOffset>
                      </wp:positionV>
                      <wp:extent cx="9525" cy="9525"/>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31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5" behindDoc="0" locked="0" layoutInCell="1" allowOverlap="1">
                      <wp:simplePos x="0" y="0"/>
                      <wp:positionH relativeFrom="column">
                        <wp:posOffset>0</wp:posOffset>
                      </wp:positionH>
                      <wp:positionV relativeFrom="paragraph">
                        <wp:posOffset>0</wp:posOffset>
                      </wp:positionV>
                      <wp:extent cx="9525" cy="9525"/>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831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6" behindDoc="0" locked="0" layoutInCell="1" allowOverlap="1">
                      <wp:simplePos x="0" y="0"/>
                      <wp:positionH relativeFrom="column">
                        <wp:posOffset>0</wp:posOffset>
                      </wp:positionH>
                      <wp:positionV relativeFrom="paragraph">
                        <wp:posOffset>0</wp:posOffset>
                      </wp:positionV>
                      <wp:extent cx="9525" cy="9525"/>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831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7" behindDoc="0" locked="0" layoutInCell="1" allowOverlap="1">
                      <wp:simplePos x="0" y="0"/>
                      <wp:positionH relativeFrom="column">
                        <wp:posOffset>0</wp:posOffset>
                      </wp:positionH>
                      <wp:positionV relativeFrom="paragraph">
                        <wp:posOffset>0</wp:posOffset>
                      </wp:positionV>
                      <wp:extent cx="9525" cy="9525"/>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831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8" behindDoc="0" locked="0" layoutInCell="1" allowOverlap="1">
                      <wp:simplePos x="0" y="0"/>
                      <wp:positionH relativeFrom="column">
                        <wp:posOffset>0</wp:posOffset>
                      </wp:positionH>
                      <wp:positionV relativeFrom="paragraph">
                        <wp:posOffset>0</wp:posOffset>
                      </wp:positionV>
                      <wp:extent cx="9525" cy="9525"/>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31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9" behindDoc="0" locked="0" layoutInCell="1" allowOverlap="1">
                      <wp:simplePos x="0" y="0"/>
                      <wp:positionH relativeFrom="column">
                        <wp:posOffset>0</wp:posOffset>
                      </wp:positionH>
                      <wp:positionV relativeFrom="paragraph">
                        <wp:posOffset>0</wp:posOffset>
                      </wp:positionV>
                      <wp:extent cx="9525" cy="9525"/>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831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0" behindDoc="0" locked="0" layoutInCell="1" allowOverlap="1">
                      <wp:simplePos x="0" y="0"/>
                      <wp:positionH relativeFrom="column">
                        <wp:posOffset>0</wp:posOffset>
                      </wp:positionH>
                      <wp:positionV relativeFrom="paragraph">
                        <wp:posOffset>0</wp:posOffset>
                      </wp:positionV>
                      <wp:extent cx="9525" cy="9525"/>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832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1" behindDoc="0" locked="0" layoutInCell="1" allowOverlap="1">
                      <wp:simplePos x="0" y="0"/>
                      <wp:positionH relativeFrom="column">
                        <wp:posOffset>0</wp:posOffset>
                      </wp:positionH>
                      <wp:positionV relativeFrom="paragraph">
                        <wp:posOffset>0</wp:posOffset>
                      </wp:positionV>
                      <wp:extent cx="9525" cy="9525"/>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832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2" behindDoc="0" locked="0" layoutInCell="1" allowOverlap="1">
                      <wp:simplePos x="0" y="0"/>
                      <wp:positionH relativeFrom="column">
                        <wp:posOffset>0</wp:posOffset>
                      </wp:positionH>
                      <wp:positionV relativeFrom="paragraph">
                        <wp:posOffset>0</wp:posOffset>
                      </wp:positionV>
                      <wp:extent cx="9525" cy="9525"/>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832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3" behindDoc="0" locked="0" layoutInCell="1" allowOverlap="1">
                      <wp:simplePos x="0" y="0"/>
                      <wp:positionH relativeFrom="column">
                        <wp:posOffset>0</wp:posOffset>
                      </wp:positionH>
                      <wp:positionV relativeFrom="paragraph">
                        <wp:posOffset>0</wp:posOffset>
                      </wp:positionV>
                      <wp:extent cx="9525" cy="9525"/>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832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4" behindDoc="0" locked="0" layoutInCell="1" allowOverlap="1">
                      <wp:simplePos x="0" y="0"/>
                      <wp:positionH relativeFrom="column">
                        <wp:posOffset>0</wp:posOffset>
                      </wp:positionH>
                      <wp:positionV relativeFrom="paragraph">
                        <wp:posOffset>0</wp:posOffset>
                      </wp:positionV>
                      <wp:extent cx="9525" cy="9525"/>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832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5" behindDoc="0" locked="0" layoutInCell="1" allowOverlap="1">
                      <wp:simplePos x="0" y="0"/>
                      <wp:positionH relativeFrom="column">
                        <wp:posOffset>0</wp:posOffset>
                      </wp:positionH>
                      <wp:positionV relativeFrom="paragraph">
                        <wp:posOffset>0</wp:posOffset>
                      </wp:positionV>
                      <wp:extent cx="9525" cy="9525"/>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832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6" behindDoc="0" locked="0" layoutInCell="1" allowOverlap="1">
                      <wp:simplePos x="0" y="0"/>
                      <wp:positionH relativeFrom="column">
                        <wp:posOffset>0</wp:posOffset>
                      </wp:positionH>
                      <wp:positionV relativeFrom="paragraph">
                        <wp:posOffset>0</wp:posOffset>
                      </wp:positionV>
                      <wp:extent cx="9525" cy="9525"/>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832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7" behindDoc="0" locked="0" layoutInCell="1" allowOverlap="1">
                      <wp:simplePos x="0" y="0"/>
                      <wp:positionH relativeFrom="column">
                        <wp:posOffset>0</wp:posOffset>
                      </wp:positionH>
                      <wp:positionV relativeFrom="paragraph">
                        <wp:posOffset>0</wp:posOffset>
                      </wp:positionV>
                      <wp:extent cx="9525" cy="9525"/>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832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8" behindDoc="0" locked="0" layoutInCell="1" allowOverlap="1">
                      <wp:simplePos x="0" y="0"/>
                      <wp:positionH relativeFrom="column">
                        <wp:posOffset>0</wp:posOffset>
                      </wp:positionH>
                      <wp:positionV relativeFrom="paragraph">
                        <wp:posOffset>0</wp:posOffset>
                      </wp:positionV>
                      <wp:extent cx="9525" cy="9525"/>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832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9" behindDoc="0" locked="0" layoutInCell="1" allowOverlap="1">
                      <wp:simplePos x="0" y="0"/>
                      <wp:positionH relativeFrom="column">
                        <wp:posOffset>0</wp:posOffset>
                      </wp:positionH>
                      <wp:positionV relativeFrom="paragraph">
                        <wp:posOffset>0</wp:posOffset>
                      </wp:positionV>
                      <wp:extent cx="9525" cy="9525"/>
                      <wp:effectExtent l="0" t="0" r="0" b="0"/>
                      <wp:wrapNone/>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832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0" behindDoc="0" locked="0" layoutInCell="1" allowOverlap="1">
                      <wp:simplePos x="0" y="0"/>
                      <wp:positionH relativeFrom="column">
                        <wp:posOffset>0</wp:posOffset>
                      </wp:positionH>
                      <wp:positionV relativeFrom="paragraph">
                        <wp:posOffset>0</wp:posOffset>
                      </wp:positionV>
                      <wp:extent cx="9525" cy="9525"/>
                      <wp:effectExtent l="0" t="0" r="0" b="0"/>
                      <wp:wrapNone/>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833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1" behindDoc="0" locked="0" layoutInCell="1" allowOverlap="1">
                      <wp:simplePos x="0" y="0"/>
                      <wp:positionH relativeFrom="column">
                        <wp:posOffset>0</wp:posOffset>
                      </wp:positionH>
                      <wp:positionV relativeFrom="paragraph">
                        <wp:posOffset>0</wp:posOffset>
                      </wp:positionV>
                      <wp:extent cx="9525" cy="9525"/>
                      <wp:effectExtent l="0" t="0" r="0" b="0"/>
                      <wp:wrapNone/>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833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2" behindDoc="0" locked="0" layoutInCell="1" allowOverlap="1">
                      <wp:simplePos x="0" y="0"/>
                      <wp:positionH relativeFrom="column">
                        <wp:posOffset>0</wp:posOffset>
                      </wp:positionH>
                      <wp:positionV relativeFrom="paragraph">
                        <wp:posOffset>0</wp:posOffset>
                      </wp:positionV>
                      <wp:extent cx="9525" cy="9525"/>
                      <wp:effectExtent l="0" t="0" r="0" b="0"/>
                      <wp:wrapNone/>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833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3" behindDoc="0" locked="0" layoutInCell="1" allowOverlap="1">
                      <wp:simplePos x="0" y="0"/>
                      <wp:positionH relativeFrom="column">
                        <wp:posOffset>0</wp:posOffset>
                      </wp:positionH>
                      <wp:positionV relativeFrom="paragraph">
                        <wp:posOffset>0</wp:posOffset>
                      </wp:positionV>
                      <wp:extent cx="9525" cy="9525"/>
                      <wp:effectExtent l="0" t="0" r="0" b="0"/>
                      <wp:wrapNone/>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833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4" behindDoc="0" locked="0" layoutInCell="1" allowOverlap="1">
                      <wp:simplePos x="0" y="0"/>
                      <wp:positionH relativeFrom="column">
                        <wp:posOffset>0</wp:posOffset>
                      </wp:positionH>
                      <wp:positionV relativeFrom="paragraph">
                        <wp:posOffset>0</wp:posOffset>
                      </wp:positionV>
                      <wp:extent cx="9525" cy="9525"/>
                      <wp:effectExtent l="0" t="0" r="0" b="0"/>
                      <wp:wrapNone/>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833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5" behindDoc="0" locked="0" layoutInCell="1" allowOverlap="1">
                      <wp:simplePos x="0" y="0"/>
                      <wp:positionH relativeFrom="column">
                        <wp:posOffset>0</wp:posOffset>
                      </wp:positionH>
                      <wp:positionV relativeFrom="paragraph">
                        <wp:posOffset>0</wp:posOffset>
                      </wp:positionV>
                      <wp:extent cx="9525" cy="9525"/>
                      <wp:effectExtent l="0" t="0" r="0" b="0"/>
                      <wp:wrapNone/>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833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6" behindDoc="0" locked="0" layoutInCell="1" allowOverlap="1">
                      <wp:simplePos x="0" y="0"/>
                      <wp:positionH relativeFrom="column">
                        <wp:posOffset>0</wp:posOffset>
                      </wp:positionH>
                      <wp:positionV relativeFrom="paragraph">
                        <wp:posOffset>0</wp:posOffset>
                      </wp:positionV>
                      <wp:extent cx="9525" cy="9525"/>
                      <wp:effectExtent l="0" t="0" r="0" b="0"/>
                      <wp:wrapNone/>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833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7" behindDoc="0" locked="0" layoutInCell="1" allowOverlap="1">
                      <wp:simplePos x="0" y="0"/>
                      <wp:positionH relativeFrom="column">
                        <wp:posOffset>0</wp:posOffset>
                      </wp:positionH>
                      <wp:positionV relativeFrom="paragraph">
                        <wp:posOffset>0</wp:posOffset>
                      </wp:positionV>
                      <wp:extent cx="9525" cy="9525"/>
                      <wp:effectExtent l="0" t="0" r="0" b="0"/>
                      <wp:wrapNone/>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833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8" behindDoc="0" locked="0" layoutInCell="1" allowOverlap="1">
                      <wp:simplePos x="0" y="0"/>
                      <wp:positionH relativeFrom="column">
                        <wp:posOffset>0</wp:posOffset>
                      </wp:positionH>
                      <wp:positionV relativeFrom="paragraph">
                        <wp:posOffset>0</wp:posOffset>
                      </wp:positionV>
                      <wp:extent cx="9525" cy="9525"/>
                      <wp:effectExtent l="0" t="0" r="0" b="0"/>
                      <wp:wrapNone/>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833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9" behindDoc="0" locked="0" layoutInCell="1" allowOverlap="1">
                      <wp:simplePos x="0" y="0"/>
                      <wp:positionH relativeFrom="column">
                        <wp:posOffset>0</wp:posOffset>
                      </wp:positionH>
                      <wp:positionV relativeFrom="paragraph">
                        <wp:posOffset>0</wp:posOffset>
                      </wp:positionV>
                      <wp:extent cx="9525" cy="9525"/>
                      <wp:effectExtent l="0" t="0" r="0" b="0"/>
                      <wp:wrapNone/>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833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0" behindDoc="0" locked="0" layoutInCell="1" allowOverlap="1">
                      <wp:simplePos x="0" y="0"/>
                      <wp:positionH relativeFrom="column">
                        <wp:posOffset>0</wp:posOffset>
                      </wp:positionH>
                      <wp:positionV relativeFrom="paragraph">
                        <wp:posOffset>0</wp:posOffset>
                      </wp:positionV>
                      <wp:extent cx="9525" cy="9525"/>
                      <wp:effectExtent l="0" t="0" r="0" b="0"/>
                      <wp:wrapNone/>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834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1" behindDoc="0" locked="0" layoutInCell="1" allowOverlap="1">
                      <wp:simplePos x="0" y="0"/>
                      <wp:positionH relativeFrom="column">
                        <wp:posOffset>0</wp:posOffset>
                      </wp:positionH>
                      <wp:positionV relativeFrom="paragraph">
                        <wp:posOffset>0</wp:posOffset>
                      </wp:positionV>
                      <wp:extent cx="9525" cy="9525"/>
                      <wp:effectExtent l="0" t="0" r="0" b="0"/>
                      <wp:wrapNone/>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834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2" behindDoc="0" locked="0" layoutInCell="1" allowOverlap="1">
                      <wp:simplePos x="0" y="0"/>
                      <wp:positionH relativeFrom="column">
                        <wp:posOffset>0</wp:posOffset>
                      </wp:positionH>
                      <wp:positionV relativeFrom="paragraph">
                        <wp:posOffset>0</wp:posOffset>
                      </wp:positionV>
                      <wp:extent cx="9525" cy="9525"/>
                      <wp:effectExtent l="0" t="0" r="0" b="0"/>
                      <wp:wrapNone/>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834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3" behindDoc="0" locked="0" layoutInCell="1" allowOverlap="1">
                      <wp:simplePos x="0" y="0"/>
                      <wp:positionH relativeFrom="column">
                        <wp:posOffset>0</wp:posOffset>
                      </wp:positionH>
                      <wp:positionV relativeFrom="paragraph">
                        <wp:posOffset>0</wp:posOffset>
                      </wp:positionV>
                      <wp:extent cx="9525" cy="9525"/>
                      <wp:effectExtent l="0" t="0" r="0" b="0"/>
                      <wp:wrapNone/>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834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4" behindDoc="0" locked="0" layoutInCell="1" allowOverlap="1">
                      <wp:simplePos x="0" y="0"/>
                      <wp:positionH relativeFrom="column">
                        <wp:posOffset>0</wp:posOffset>
                      </wp:positionH>
                      <wp:positionV relativeFrom="paragraph">
                        <wp:posOffset>0</wp:posOffset>
                      </wp:positionV>
                      <wp:extent cx="9525" cy="9525"/>
                      <wp:effectExtent l="0" t="0" r="0" b="0"/>
                      <wp:wrapNone/>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834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5" behindDoc="0" locked="0" layoutInCell="1" allowOverlap="1">
                      <wp:simplePos x="0" y="0"/>
                      <wp:positionH relativeFrom="column">
                        <wp:posOffset>0</wp:posOffset>
                      </wp:positionH>
                      <wp:positionV relativeFrom="paragraph">
                        <wp:posOffset>0</wp:posOffset>
                      </wp:positionV>
                      <wp:extent cx="9525" cy="9525"/>
                      <wp:effectExtent l="0" t="0" r="0" b="0"/>
                      <wp:wrapNone/>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834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6" behindDoc="0" locked="0" layoutInCell="1" allowOverlap="1">
                      <wp:simplePos x="0" y="0"/>
                      <wp:positionH relativeFrom="column">
                        <wp:posOffset>0</wp:posOffset>
                      </wp:positionH>
                      <wp:positionV relativeFrom="paragraph">
                        <wp:posOffset>0</wp:posOffset>
                      </wp:positionV>
                      <wp:extent cx="9525" cy="9525"/>
                      <wp:effectExtent l="0" t="0" r="0" b="0"/>
                      <wp:wrapNone/>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834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7" behindDoc="0" locked="0" layoutInCell="1" allowOverlap="1">
                      <wp:simplePos x="0" y="0"/>
                      <wp:positionH relativeFrom="column">
                        <wp:posOffset>0</wp:posOffset>
                      </wp:positionH>
                      <wp:positionV relativeFrom="paragraph">
                        <wp:posOffset>0</wp:posOffset>
                      </wp:positionV>
                      <wp:extent cx="9525" cy="9525"/>
                      <wp:effectExtent l="0" t="0" r="0" b="0"/>
                      <wp:wrapNone/>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834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8" behindDoc="0" locked="0" layoutInCell="1" allowOverlap="1">
                      <wp:simplePos x="0" y="0"/>
                      <wp:positionH relativeFrom="column">
                        <wp:posOffset>0</wp:posOffset>
                      </wp:positionH>
                      <wp:positionV relativeFrom="paragraph">
                        <wp:posOffset>0</wp:posOffset>
                      </wp:positionV>
                      <wp:extent cx="9525" cy="9525"/>
                      <wp:effectExtent l="0" t="0" r="0" b="0"/>
                      <wp:wrapNone/>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834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2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9" behindDoc="0" locked="0" layoutInCell="1" allowOverlap="1">
                      <wp:simplePos x="0" y="0"/>
                      <wp:positionH relativeFrom="column">
                        <wp:posOffset>0</wp:posOffset>
                      </wp:positionH>
                      <wp:positionV relativeFrom="paragraph">
                        <wp:posOffset>0</wp:posOffset>
                      </wp:positionV>
                      <wp:extent cx="9525" cy="9525"/>
                      <wp:effectExtent l="0" t="0" r="0" b="0"/>
                      <wp:wrapNone/>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834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2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0" behindDoc="0" locked="0" layoutInCell="1" allowOverlap="1">
                      <wp:simplePos x="0" y="0"/>
                      <wp:positionH relativeFrom="column">
                        <wp:posOffset>0</wp:posOffset>
                      </wp:positionH>
                      <wp:positionV relativeFrom="paragraph">
                        <wp:posOffset>0</wp:posOffset>
                      </wp:positionV>
                      <wp:extent cx="9525" cy="9525"/>
                      <wp:effectExtent l="0" t="0" r="0" b="0"/>
                      <wp:wrapNone/>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835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2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1" behindDoc="0" locked="0" layoutInCell="1" allowOverlap="1">
                      <wp:simplePos x="0" y="0"/>
                      <wp:positionH relativeFrom="column">
                        <wp:posOffset>0</wp:posOffset>
                      </wp:positionH>
                      <wp:positionV relativeFrom="paragraph">
                        <wp:posOffset>0</wp:posOffset>
                      </wp:positionV>
                      <wp:extent cx="9525" cy="9525"/>
                      <wp:effectExtent l="0" t="0" r="0" b="0"/>
                      <wp:wrapNone/>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835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2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2" behindDoc="0" locked="0" layoutInCell="1" allowOverlap="1">
                      <wp:simplePos x="0" y="0"/>
                      <wp:positionH relativeFrom="column">
                        <wp:posOffset>0</wp:posOffset>
                      </wp:positionH>
                      <wp:positionV relativeFrom="paragraph">
                        <wp:posOffset>0</wp:posOffset>
                      </wp:positionV>
                      <wp:extent cx="9525" cy="9525"/>
                      <wp:effectExtent l="0" t="0" r="0" b="0"/>
                      <wp:wrapNone/>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835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24" o:title=""/>
                    </v:shape>
                  </w:pict>
                </mc:Fallback>
              </mc:AlternateContent>
            </w:r>
            <w:r>
              <w:rPr>
                <w:rFonts w:hint="eastAsia" w:ascii="宋体" w:hAnsi="宋体" w:cs="宋体"/>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53" behindDoc="0" locked="0" layoutInCell="1" allowOverlap="1">
                      <wp:simplePos x="0" y="0"/>
                      <wp:positionH relativeFrom="column">
                        <wp:posOffset>0</wp:posOffset>
                      </wp:positionH>
                      <wp:positionV relativeFrom="paragraph">
                        <wp:posOffset>0</wp:posOffset>
                      </wp:positionV>
                      <wp:extent cx="7620" cy="7620"/>
                      <wp:effectExtent l="0" t="0" r="0" b="0"/>
                      <wp:wrapNone/>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8353;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2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4" behindDoc="0" locked="0" layoutInCell="1" allowOverlap="1">
                      <wp:simplePos x="0" y="0"/>
                      <wp:positionH relativeFrom="column">
                        <wp:posOffset>0</wp:posOffset>
                      </wp:positionH>
                      <wp:positionV relativeFrom="paragraph">
                        <wp:posOffset>0</wp:posOffset>
                      </wp:positionV>
                      <wp:extent cx="7620" cy="7620"/>
                      <wp:effectExtent l="0" t="0" r="0" b="0"/>
                      <wp:wrapNone/>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8354;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2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5" behindDoc="0" locked="0" layoutInCell="1" allowOverlap="1">
                      <wp:simplePos x="0" y="0"/>
                      <wp:positionH relativeFrom="column">
                        <wp:posOffset>0</wp:posOffset>
                      </wp:positionH>
                      <wp:positionV relativeFrom="paragraph">
                        <wp:posOffset>0</wp:posOffset>
                      </wp:positionV>
                      <wp:extent cx="7620" cy="7620"/>
                      <wp:effectExtent l="0" t="0" r="0" b="0"/>
                      <wp:wrapNone/>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8355;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2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6" behindDoc="0" locked="0" layoutInCell="1" allowOverlap="1">
                      <wp:simplePos x="0" y="0"/>
                      <wp:positionH relativeFrom="column">
                        <wp:posOffset>0</wp:posOffset>
                      </wp:positionH>
                      <wp:positionV relativeFrom="paragraph">
                        <wp:posOffset>0</wp:posOffset>
                      </wp:positionV>
                      <wp:extent cx="7620" cy="7620"/>
                      <wp:effectExtent l="0" t="0" r="0" b="0"/>
                      <wp:wrapNone/>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8356;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2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7" behindDoc="0" locked="0" layoutInCell="1" allowOverlap="1">
                      <wp:simplePos x="0" y="0"/>
                      <wp:positionH relativeFrom="column">
                        <wp:posOffset>0</wp:posOffset>
                      </wp:positionH>
                      <wp:positionV relativeFrom="paragraph">
                        <wp:posOffset>0</wp:posOffset>
                      </wp:positionV>
                      <wp:extent cx="7620" cy="7620"/>
                      <wp:effectExtent l="0" t="0" r="0" b="0"/>
                      <wp:wrapNone/>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58357;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2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8" behindDoc="0" locked="0" layoutInCell="1" allowOverlap="1">
                      <wp:simplePos x="0" y="0"/>
                      <wp:positionH relativeFrom="column">
                        <wp:posOffset>0</wp:posOffset>
                      </wp:positionH>
                      <wp:positionV relativeFrom="paragraph">
                        <wp:posOffset>0</wp:posOffset>
                      </wp:positionV>
                      <wp:extent cx="7620" cy="7620"/>
                      <wp:effectExtent l="0" t="0" r="0" b="0"/>
                      <wp:wrapNone/>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8358;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3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9" behindDoc="0" locked="0" layoutInCell="1" allowOverlap="1">
                      <wp:simplePos x="0" y="0"/>
                      <wp:positionH relativeFrom="column">
                        <wp:posOffset>0</wp:posOffset>
                      </wp:positionH>
                      <wp:positionV relativeFrom="paragraph">
                        <wp:posOffset>0</wp:posOffset>
                      </wp:positionV>
                      <wp:extent cx="7620" cy="7620"/>
                      <wp:effectExtent l="0" t="0" r="0" b="0"/>
                      <wp:wrapNone/>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58359;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3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0" behindDoc="0" locked="0" layoutInCell="1" allowOverlap="1">
                      <wp:simplePos x="0" y="0"/>
                      <wp:positionH relativeFrom="column">
                        <wp:posOffset>0</wp:posOffset>
                      </wp:positionH>
                      <wp:positionV relativeFrom="paragraph">
                        <wp:posOffset>0</wp:posOffset>
                      </wp:positionV>
                      <wp:extent cx="7620" cy="7620"/>
                      <wp:effectExtent l="0" t="0" r="0" b="0"/>
                      <wp:wrapNone/>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8360;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3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1" behindDoc="0" locked="0" layoutInCell="1" allowOverlap="1">
                      <wp:simplePos x="0" y="0"/>
                      <wp:positionH relativeFrom="column">
                        <wp:posOffset>0</wp:posOffset>
                      </wp:positionH>
                      <wp:positionV relativeFrom="paragraph">
                        <wp:posOffset>0</wp:posOffset>
                      </wp:positionV>
                      <wp:extent cx="7620" cy="7620"/>
                      <wp:effectExtent l="0" t="0" r="0" b="0"/>
                      <wp:wrapNone/>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58361;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3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2" behindDoc="0" locked="0" layoutInCell="1" allowOverlap="1">
                      <wp:simplePos x="0" y="0"/>
                      <wp:positionH relativeFrom="column">
                        <wp:posOffset>0</wp:posOffset>
                      </wp:positionH>
                      <wp:positionV relativeFrom="paragraph">
                        <wp:posOffset>0</wp:posOffset>
                      </wp:positionV>
                      <wp:extent cx="7620" cy="7620"/>
                      <wp:effectExtent l="0" t="0" r="0" b="0"/>
                      <wp:wrapNone/>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8362;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3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3" behindDoc="0" locked="0" layoutInCell="1" allowOverlap="1">
                      <wp:simplePos x="0" y="0"/>
                      <wp:positionH relativeFrom="column">
                        <wp:posOffset>0</wp:posOffset>
                      </wp:positionH>
                      <wp:positionV relativeFrom="paragraph">
                        <wp:posOffset>0</wp:posOffset>
                      </wp:positionV>
                      <wp:extent cx="7620" cy="7620"/>
                      <wp:effectExtent l="0" t="0" r="0" b="0"/>
                      <wp:wrapNone/>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58363;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3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4" behindDoc="0" locked="0" layoutInCell="1" allowOverlap="1">
                      <wp:simplePos x="0" y="0"/>
                      <wp:positionH relativeFrom="column">
                        <wp:posOffset>0</wp:posOffset>
                      </wp:positionH>
                      <wp:positionV relativeFrom="paragraph">
                        <wp:posOffset>0</wp:posOffset>
                      </wp:positionV>
                      <wp:extent cx="7620" cy="7620"/>
                      <wp:effectExtent l="0" t="0" r="0" b="0"/>
                      <wp:wrapNone/>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8364;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3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5" behindDoc="0" locked="0" layoutInCell="1" allowOverlap="1">
                      <wp:simplePos x="0" y="0"/>
                      <wp:positionH relativeFrom="column">
                        <wp:posOffset>0</wp:posOffset>
                      </wp:positionH>
                      <wp:positionV relativeFrom="paragraph">
                        <wp:posOffset>0</wp:posOffset>
                      </wp:positionV>
                      <wp:extent cx="7620" cy="7620"/>
                      <wp:effectExtent l="0" t="0" r="0" b="0"/>
                      <wp:wrapNone/>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58365;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3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6" behindDoc="0" locked="0" layoutInCell="1" allowOverlap="1">
                      <wp:simplePos x="0" y="0"/>
                      <wp:positionH relativeFrom="column">
                        <wp:posOffset>0</wp:posOffset>
                      </wp:positionH>
                      <wp:positionV relativeFrom="paragraph">
                        <wp:posOffset>0</wp:posOffset>
                      </wp:positionV>
                      <wp:extent cx="7620" cy="7620"/>
                      <wp:effectExtent l="0" t="0" r="0" b="0"/>
                      <wp:wrapNone/>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8366;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3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7" behindDoc="0" locked="0" layoutInCell="1" allowOverlap="1">
                      <wp:simplePos x="0" y="0"/>
                      <wp:positionH relativeFrom="column">
                        <wp:posOffset>0</wp:posOffset>
                      </wp:positionH>
                      <wp:positionV relativeFrom="paragraph">
                        <wp:posOffset>0</wp:posOffset>
                      </wp:positionV>
                      <wp:extent cx="7620" cy="7620"/>
                      <wp:effectExtent l="0" t="0" r="0" b="0"/>
                      <wp:wrapNone/>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58367;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3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8" behindDoc="0" locked="0" layoutInCell="1" allowOverlap="1">
                      <wp:simplePos x="0" y="0"/>
                      <wp:positionH relativeFrom="column">
                        <wp:posOffset>0</wp:posOffset>
                      </wp:positionH>
                      <wp:positionV relativeFrom="paragraph">
                        <wp:posOffset>0</wp:posOffset>
                      </wp:positionV>
                      <wp:extent cx="7620" cy="7620"/>
                      <wp:effectExtent l="0" t="0" r="0" b="0"/>
                      <wp:wrapNone/>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58368;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4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9" behindDoc="0" locked="0" layoutInCell="1" allowOverlap="1">
                      <wp:simplePos x="0" y="0"/>
                      <wp:positionH relativeFrom="column">
                        <wp:posOffset>0</wp:posOffset>
                      </wp:positionH>
                      <wp:positionV relativeFrom="paragraph">
                        <wp:posOffset>0</wp:posOffset>
                      </wp:positionV>
                      <wp:extent cx="7620" cy="7620"/>
                      <wp:effectExtent l="0" t="0" r="0" b="0"/>
                      <wp:wrapNone/>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58369;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4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0" behindDoc="0" locked="0" layoutInCell="1" allowOverlap="1">
                      <wp:simplePos x="0" y="0"/>
                      <wp:positionH relativeFrom="column">
                        <wp:posOffset>0</wp:posOffset>
                      </wp:positionH>
                      <wp:positionV relativeFrom="paragraph">
                        <wp:posOffset>0</wp:posOffset>
                      </wp:positionV>
                      <wp:extent cx="7620" cy="7620"/>
                      <wp:effectExtent l="0" t="0" r="0" b="0"/>
                      <wp:wrapNone/>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8370;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4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1" behindDoc="0" locked="0" layoutInCell="1" allowOverlap="1">
                      <wp:simplePos x="0" y="0"/>
                      <wp:positionH relativeFrom="column">
                        <wp:posOffset>0</wp:posOffset>
                      </wp:positionH>
                      <wp:positionV relativeFrom="paragraph">
                        <wp:posOffset>0</wp:posOffset>
                      </wp:positionV>
                      <wp:extent cx="7620" cy="7620"/>
                      <wp:effectExtent l="0" t="0" r="0" b="0"/>
                      <wp:wrapNone/>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58371;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4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2" behindDoc="0" locked="0" layoutInCell="1" allowOverlap="1">
                      <wp:simplePos x="0" y="0"/>
                      <wp:positionH relativeFrom="column">
                        <wp:posOffset>0</wp:posOffset>
                      </wp:positionH>
                      <wp:positionV relativeFrom="paragraph">
                        <wp:posOffset>0</wp:posOffset>
                      </wp:positionV>
                      <wp:extent cx="7620" cy="7620"/>
                      <wp:effectExtent l="0" t="0" r="0" b="0"/>
                      <wp:wrapNone/>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8372;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4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3" behindDoc="0" locked="0" layoutInCell="1" allowOverlap="1">
                      <wp:simplePos x="0" y="0"/>
                      <wp:positionH relativeFrom="column">
                        <wp:posOffset>0</wp:posOffset>
                      </wp:positionH>
                      <wp:positionV relativeFrom="paragraph">
                        <wp:posOffset>0</wp:posOffset>
                      </wp:positionV>
                      <wp:extent cx="7620" cy="7620"/>
                      <wp:effectExtent l="0" t="0" r="0" b="0"/>
                      <wp:wrapNone/>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58373;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4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4" behindDoc="0" locked="0" layoutInCell="1" allowOverlap="1">
                      <wp:simplePos x="0" y="0"/>
                      <wp:positionH relativeFrom="column">
                        <wp:posOffset>0</wp:posOffset>
                      </wp:positionH>
                      <wp:positionV relativeFrom="paragraph">
                        <wp:posOffset>0</wp:posOffset>
                      </wp:positionV>
                      <wp:extent cx="7620" cy="7620"/>
                      <wp:effectExtent l="0" t="0" r="0" b="0"/>
                      <wp:wrapNone/>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58374;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4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5" behindDoc="0" locked="0" layoutInCell="1" allowOverlap="1">
                      <wp:simplePos x="0" y="0"/>
                      <wp:positionH relativeFrom="column">
                        <wp:posOffset>0</wp:posOffset>
                      </wp:positionH>
                      <wp:positionV relativeFrom="paragraph">
                        <wp:posOffset>0</wp:posOffset>
                      </wp:positionV>
                      <wp:extent cx="7620" cy="7620"/>
                      <wp:effectExtent l="0" t="0" r="0" b="0"/>
                      <wp:wrapNone/>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58375;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4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6" behindDoc="0" locked="0" layoutInCell="1" allowOverlap="1">
                      <wp:simplePos x="0" y="0"/>
                      <wp:positionH relativeFrom="column">
                        <wp:posOffset>0</wp:posOffset>
                      </wp:positionH>
                      <wp:positionV relativeFrom="paragraph">
                        <wp:posOffset>0</wp:posOffset>
                      </wp:positionV>
                      <wp:extent cx="7620" cy="7620"/>
                      <wp:effectExtent l="0" t="0" r="0" b="0"/>
                      <wp:wrapNone/>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58376;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4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7" behindDoc="0" locked="0" layoutInCell="1" allowOverlap="1">
                      <wp:simplePos x="0" y="0"/>
                      <wp:positionH relativeFrom="column">
                        <wp:posOffset>0</wp:posOffset>
                      </wp:positionH>
                      <wp:positionV relativeFrom="paragraph">
                        <wp:posOffset>0</wp:posOffset>
                      </wp:positionV>
                      <wp:extent cx="7620" cy="7620"/>
                      <wp:effectExtent l="0" t="0" r="0" b="0"/>
                      <wp:wrapNone/>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58377;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4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8" behindDoc="0" locked="0" layoutInCell="1" allowOverlap="1">
                      <wp:simplePos x="0" y="0"/>
                      <wp:positionH relativeFrom="column">
                        <wp:posOffset>0</wp:posOffset>
                      </wp:positionH>
                      <wp:positionV relativeFrom="paragraph">
                        <wp:posOffset>0</wp:posOffset>
                      </wp:positionV>
                      <wp:extent cx="7620" cy="7620"/>
                      <wp:effectExtent l="0" t="0" r="0" b="0"/>
                      <wp:wrapNone/>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58378;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5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9" behindDoc="0" locked="0" layoutInCell="1" allowOverlap="1">
                      <wp:simplePos x="0" y="0"/>
                      <wp:positionH relativeFrom="column">
                        <wp:posOffset>0</wp:posOffset>
                      </wp:positionH>
                      <wp:positionV relativeFrom="paragraph">
                        <wp:posOffset>0</wp:posOffset>
                      </wp:positionV>
                      <wp:extent cx="7620" cy="7620"/>
                      <wp:effectExtent l="0" t="0" r="0" b="0"/>
                      <wp:wrapNone/>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58379;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5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0" behindDoc="0" locked="0" layoutInCell="1" allowOverlap="1">
                      <wp:simplePos x="0" y="0"/>
                      <wp:positionH relativeFrom="column">
                        <wp:posOffset>0</wp:posOffset>
                      </wp:positionH>
                      <wp:positionV relativeFrom="paragraph">
                        <wp:posOffset>0</wp:posOffset>
                      </wp:positionV>
                      <wp:extent cx="7620" cy="7620"/>
                      <wp:effectExtent l="0" t="0" r="0" b="0"/>
                      <wp:wrapNone/>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58380;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5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1" behindDoc="0" locked="0" layoutInCell="1" allowOverlap="1">
                      <wp:simplePos x="0" y="0"/>
                      <wp:positionH relativeFrom="column">
                        <wp:posOffset>0</wp:posOffset>
                      </wp:positionH>
                      <wp:positionV relativeFrom="paragraph">
                        <wp:posOffset>0</wp:posOffset>
                      </wp:positionV>
                      <wp:extent cx="7620" cy="7620"/>
                      <wp:effectExtent l="0" t="0" r="0" b="0"/>
                      <wp:wrapNone/>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58381;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5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2" behindDoc="0" locked="0" layoutInCell="1" allowOverlap="1">
                      <wp:simplePos x="0" y="0"/>
                      <wp:positionH relativeFrom="column">
                        <wp:posOffset>0</wp:posOffset>
                      </wp:positionH>
                      <wp:positionV relativeFrom="paragraph">
                        <wp:posOffset>0</wp:posOffset>
                      </wp:positionV>
                      <wp:extent cx="7620" cy="7620"/>
                      <wp:effectExtent l="0" t="0" r="0" b="0"/>
                      <wp:wrapNone/>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58382;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5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3" behindDoc="0" locked="0" layoutInCell="1" allowOverlap="1">
                      <wp:simplePos x="0" y="0"/>
                      <wp:positionH relativeFrom="column">
                        <wp:posOffset>0</wp:posOffset>
                      </wp:positionH>
                      <wp:positionV relativeFrom="paragraph">
                        <wp:posOffset>0</wp:posOffset>
                      </wp:positionV>
                      <wp:extent cx="7620" cy="7620"/>
                      <wp:effectExtent l="0" t="0" r="0" b="0"/>
                      <wp:wrapNone/>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58383;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5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4" behindDoc="0" locked="0" layoutInCell="1" allowOverlap="1">
                      <wp:simplePos x="0" y="0"/>
                      <wp:positionH relativeFrom="column">
                        <wp:posOffset>0</wp:posOffset>
                      </wp:positionH>
                      <wp:positionV relativeFrom="paragraph">
                        <wp:posOffset>0</wp:posOffset>
                      </wp:positionV>
                      <wp:extent cx="7620" cy="7620"/>
                      <wp:effectExtent l="0" t="0" r="0" b="0"/>
                      <wp:wrapNone/>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58384;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5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5" behindDoc="0" locked="0" layoutInCell="1" allowOverlap="1">
                      <wp:simplePos x="0" y="0"/>
                      <wp:positionH relativeFrom="column">
                        <wp:posOffset>0</wp:posOffset>
                      </wp:positionH>
                      <wp:positionV relativeFrom="paragraph">
                        <wp:posOffset>0</wp:posOffset>
                      </wp:positionV>
                      <wp:extent cx="7620" cy="7620"/>
                      <wp:effectExtent l="0" t="0" r="0" b="0"/>
                      <wp:wrapNone/>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58385;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5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6" behindDoc="0" locked="0" layoutInCell="1" allowOverlap="1">
                      <wp:simplePos x="0" y="0"/>
                      <wp:positionH relativeFrom="column">
                        <wp:posOffset>0</wp:posOffset>
                      </wp:positionH>
                      <wp:positionV relativeFrom="paragraph">
                        <wp:posOffset>0</wp:posOffset>
                      </wp:positionV>
                      <wp:extent cx="7620" cy="7620"/>
                      <wp:effectExtent l="0" t="0" r="0" b="0"/>
                      <wp:wrapNone/>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58386;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5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7" behindDoc="0" locked="0" layoutInCell="1" allowOverlap="1">
                      <wp:simplePos x="0" y="0"/>
                      <wp:positionH relativeFrom="column">
                        <wp:posOffset>0</wp:posOffset>
                      </wp:positionH>
                      <wp:positionV relativeFrom="paragraph">
                        <wp:posOffset>0</wp:posOffset>
                      </wp:positionV>
                      <wp:extent cx="7620" cy="7620"/>
                      <wp:effectExtent l="0" t="0" r="0" b="0"/>
                      <wp:wrapNone/>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58387;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5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8" behindDoc="0" locked="0" layoutInCell="1" allowOverlap="1">
                      <wp:simplePos x="0" y="0"/>
                      <wp:positionH relativeFrom="column">
                        <wp:posOffset>0</wp:posOffset>
                      </wp:positionH>
                      <wp:positionV relativeFrom="paragraph">
                        <wp:posOffset>0</wp:posOffset>
                      </wp:positionV>
                      <wp:extent cx="7620" cy="7620"/>
                      <wp:effectExtent l="0" t="0" r="0" b="0"/>
                      <wp:wrapNone/>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58388;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6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9" behindDoc="0" locked="0" layoutInCell="1" allowOverlap="1">
                      <wp:simplePos x="0" y="0"/>
                      <wp:positionH relativeFrom="column">
                        <wp:posOffset>0</wp:posOffset>
                      </wp:positionH>
                      <wp:positionV relativeFrom="paragraph">
                        <wp:posOffset>0</wp:posOffset>
                      </wp:positionV>
                      <wp:extent cx="7620" cy="7620"/>
                      <wp:effectExtent l="0" t="0" r="0" b="0"/>
                      <wp:wrapNone/>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58389;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6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0" behindDoc="0" locked="0" layoutInCell="1" allowOverlap="1">
                      <wp:simplePos x="0" y="0"/>
                      <wp:positionH relativeFrom="column">
                        <wp:posOffset>0</wp:posOffset>
                      </wp:positionH>
                      <wp:positionV relativeFrom="paragraph">
                        <wp:posOffset>0</wp:posOffset>
                      </wp:positionV>
                      <wp:extent cx="7620" cy="7620"/>
                      <wp:effectExtent l="0" t="0" r="0" b="0"/>
                      <wp:wrapNone/>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58390;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6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1" behindDoc="0" locked="0" layoutInCell="1" allowOverlap="1">
                      <wp:simplePos x="0" y="0"/>
                      <wp:positionH relativeFrom="column">
                        <wp:posOffset>0</wp:posOffset>
                      </wp:positionH>
                      <wp:positionV relativeFrom="paragraph">
                        <wp:posOffset>0</wp:posOffset>
                      </wp:positionV>
                      <wp:extent cx="7620" cy="7620"/>
                      <wp:effectExtent l="0" t="0" r="0" b="0"/>
                      <wp:wrapNone/>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58391;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6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2" behindDoc="0" locked="0" layoutInCell="1" allowOverlap="1">
                      <wp:simplePos x="0" y="0"/>
                      <wp:positionH relativeFrom="column">
                        <wp:posOffset>0</wp:posOffset>
                      </wp:positionH>
                      <wp:positionV relativeFrom="paragraph">
                        <wp:posOffset>0</wp:posOffset>
                      </wp:positionV>
                      <wp:extent cx="7620" cy="7620"/>
                      <wp:effectExtent l="0" t="0" r="0" b="0"/>
                      <wp:wrapNone/>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658392;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6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3" behindDoc="0" locked="0" layoutInCell="1" allowOverlap="1">
                      <wp:simplePos x="0" y="0"/>
                      <wp:positionH relativeFrom="column">
                        <wp:posOffset>0</wp:posOffset>
                      </wp:positionH>
                      <wp:positionV relativeFrom="paragraph">
                        <wp:posOffset>0</wp:posOffset>
                      </wp:positionV>
                      <wp:extent cx="7620" cy="7620"/>
                      <wp:effectExtent l="0" t="0" r="0" b="0"/>
                      <wp:wrapNone/>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58393;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6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4" behindDoc="0" locked="0" layoutInCell="1" allowOverlap="1">
                      <wp:simplePos x="0" y="0"/>
                      <wp:positionH relativeFrom="column">
                        <wp:posOffset>0</wp:posOffset>
                      </wp:positionH>
                      <wp:positionV relativeFrom="paragraph">
                        <wp:posOffset>0</wp:posOffset>
                      </wp:positionV>
                      <wp:extent cx="7620" cy="7620"/>
                      <wp:effectExtent l="0" t="0" r="0" b="0"/>
                      <wp:wrapNone/>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658394;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6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5" behindDoc="0" locked="0" layoutInCell="1" allowOverlap="1">
                      <wp:simplePos x="0" y="0"/>
                      <wp:positionH relativeFrom="column">
                        <wp:posOffset>0</wp:posOffset>
                      </wp:positionH>
                      <wp:positionV relativeFrom="paragraph">
                        <wp:posOffset>0</wp:posOffset>
                      </wp:positionV>
                      <wp:extent cx="7620" cy="7620"/>
                      <wp:effectExtent l="0" t="0" r="0" b="0"/>
                      <wp:wrapNone/>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658395;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6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6" behindDoc="0" locked="0" layoutInCell="1" allowOverlap="1">
                      <wp:simplePos x="0" y="0"/>
                      <wp:positionH relativeFrom="column">
                        <wp:posOffset>0</wp:posOffset>
                      </wp:positionH>
                      <wp:positionV relativeFrom="paragraph">
                        <wp:posOffset>0</wp:posOffset>
                      </wp:positionV>
                      <wp:extent cx="7620" cy="7620"/>
                      <wp:effectExtent l="0" t="0" r="0" b="0"/>
                      <wp:wrapNone/>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658396;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6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7" behindDoc="0" locked="0" layoutInCell="1" allowOverlap="1">
                      <wp:simplePos x="0" y="0"/>
                      <wp:positionH relativeFrom="column">
                        <wp:posOffset>0</wp:posOffset>
                      </wp:positionH>
                      <wp:positionV relativeFrom="paragraph">
                        <wp:posOffset>0</wp:posOffset>
                      </wp:positionV>
                      <wp:extent cx="7620" cy="7620"/>
                      <wp:effectExtent l="0" t="0" r="0" b="0"/>
                      <wp:wrapNone/>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658397;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6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8" behindDoc="0" locked="0" layoutInCell="1" allowOverlap="1">
                      <wp:simplePos x="0" y="0"/>
                      <wp:positionH relativeFrom="column">
                        <wp:posOffset>0</wp:posOffset>
                      </wp:positionH>
                      <wp:positionV relativeFrom="paragraph">
                        <wp:posOffset>0</wp:posOffset>
                      </wp:positionV>
                      <wp:extent cx="7620" cy="7620"/>
                      <wp:effectExtent l="0" t="0" r="0" b="0"/>
                      <wp:wrapNone/>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658398;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7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9" behindDoc="0" locked="0" layoutInCell="1" allowOverlap="1">
                      <wp:simplePos x="0" y="0"/>
                      <wp:positionH relativeFrom="column">
                        <wp:posOffset>0</wp:posOffset>
                      </wp:positionH>
                      <wp:positionV relativeFrom="paragraph">
                        <wp:posOffset>0</wp:posOffset>
                      </wp:positionV>
                      <wp:extent cx="7620" cy="7620"/>
                      <wp:effectExtent l="0" t="0" r="0" b="0"/>
                      <wp:wrapNone/>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1"/>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658399;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7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0" behindDoc="0" locked="0" layoutInCell="1" allowOverlap="1">
                      <wp:simplePos x="0" y="0"/>
                      <wp:positionH relativeFrom="column">
                        <wp:posOffset>0</wp:posOffset>
                      </wp:positionH>
                      <wp:positionV relativeFrom="paragraph">
                        <wp:posOffset>0</wp:posOffset>
                      </wp:positionV>
                      <wp:extent cx="7620" cy="7620"/>
                      <wp:effectExtent l="0" t="0" r="0" b="0"/>
                      <wp:wrapNone/>
                      <wp:docPr id="1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2"/>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658400;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7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1" behindDoc="0" locked="0" layoutInCell="1" allowOverlap="1">
                      <wp:simplePos x="0" y="0"/>
                      <wp:positionH relativeFrom="column">
                        <wp:posOffset>0</wp:posOffset>
                      </wp:positionH>
                      <wp:positionV relativeFrom="paragraph">
                        <wp:posOffset>0</wp:posOffset>
                      </wp:positionV>
                      <wp:extent cx="7620" cy="7620"/>
                      <wp:effectExtent l="0" t="0" r="0" b="0"/>
                      <wp:wrapNone/>
                      <wp:docPr id="1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3"/>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658401;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7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2" behindDoc="0" locked="0" layoutInCell="1" allowOverlap="1">
                      <wp:simplePos x="0" y="0"/>
                      <wp:positionH relativeFrom="column">
                        <wp:posOffset>0</wp:posOffset>
                      </wp:positionH>
                      <wp:positionV relativeFrom="paragraph">
                        <wp:posOffset>0</wp:posOffset>
                      </wp:positionV>
                      <wp:extent cx="7620" cy="7620"/>
                      <wp:effectExtent l="0" t="0" r="0" b="0"/>
                      <wp:wrapNone/>
                      <wp:docPr id="1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4"/>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658402;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7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3" behindDoc="0" locked="0" layoutInCell="1" allowOverlap="1">
                      <wp:simplePos x="0" y="0"/>
                      <wp:positionH relativeFrom="column">
                        <wp:posOffset>0</wp:posOffset>
                      </wp:positionH>
                      <wp:positionV relativeFrom="paragraph">
                        <wp:posOffset>0</wp:posOffset>
                      </wp:positionV>
                      <wp:extent cx="7620" cy="7620"/>
                      <wp:effectExtent l="0" t="0" r="0" b="0"/>
                      <wp:wrapNone/>
                      <wp:docPr id="1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5"/>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658403;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7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4" behindDoc="0" locked="0" layoutInCell="1" allowOverlap="1">
                      <wp:simplePos x="0" y="0"/>
                      <wp:positionH relativeFrom="column">
                        <wp:posOffset>0</wp:posOffset>
                      </wp:positionH>
                      <wp:positionV relativeFrom="paragraph">
                        <wp:posOffset>0</wp:posOffset>
                      </wp:positionV>
                      <wp:extent cx="7620" cy="7620"/>
                      <wp:effectExtent l="0" t="0" r="0" b="0"/>
                      <wp:wrapNone/>
                      <wp:docPr id="1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6"/>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658404;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7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5" behindDoc="0" locked="0" layoutInCell="1" allowOverlap="1">
                      <wp:simplePos x="0" y="0"/>
                      <wp:positionH relativeFrom="column">
                        <wp:posOffset>0</wp:posOffset>
                      </wp:positionH>
                      <wp:positionV relativeFrom="paragraph">
                        <wp:posOffset>0</wp:posOffset>
                      </wp:positionV>
                      <wp:extent cx="7620" cy="7620"/>
                      <wp:effectExtent l="0" t="0" r="0" b="0"/>
                      <wp:wrapNone/>
                      <wp:docPr id="1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7"/>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658405;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7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6" behindDoc="0" locked="0" layoutInCell="1" allowOverlap="1">
                      <wp:simplePos x="0" y="0"/>
                      <wp:positionH relativeFrom="column">
                        <wp:posOffset>0</wp:posOffset>
                      </wp:positionH>
                      <wp:positionV relativeFrom="paragraph">
                        <wp:posOffset>0</wp:posOffset>
                      </wp:positionV>
                      <wp:extent cx="7620" cy="7620"/>
                      <wp:effectExtent l="0" t="0" r="0" b="0"/>
                      <wp:wrapNone/>
                      <wp:docPr id="1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8"/>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658406;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7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7" behindDoc="0" locked="0" layoutInCell="1" allowOverlap="1">
                      <wp:simplePos x="0" y="0"/>
                      <wp:positionH relativeFrom="column">
                        <wp:posOffset>0</wp:posOffset>
                      </wp:positionH>
                      <wp:positionV relativeFrom="paragraph">
                        <wp:posOffset>0</wp:posOffset>
                      </wp:positionV>
                      <wp:extent cx="7620" cy="7620"/>
                      <wp:effectExtent l="0" t="0" r="0" b="0"/>
                      <wp:wrapNone/>
                      <wp:docPr id="1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9"/>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658407;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7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8" behindDoc="0" locked="0" layoutInCell="1" allowOverlap="1">
                      <wp:simplePos x="0" y="0"/>
                      <wp:positionH relativeFrom="column">
                        <wp:posOffset>0</wp:posOffset>
                      </wp:positionH>
                      <wp:positionV relativeFrom="paragraph">
                        <wp:posOffset>0</wp:posOffset>
                      </wp:positionV>
                      <wp:extent cx="7620" cy="7620"/>
                      <wp:effectExtent l="0" t="0" r="0" b="0"/>
                      <wp:wrapNone/>
                      <wp:docPr id="1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0"/>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658408;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8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9" behindDoc="0" locked="0" layoutInCell="1" allowOverlap="1">
                      <wp:simplePos x="0" y="0"/>
                      <wp:positionH relativeFrom="column">
                        <wp:posOffset>0</wp:posOffset>
                      </wp:positionH>
                      <wp:positionV relativeFrom="paragraph">
                        <wp:posOffset>0</wp:posOffset>
                      </wp:positionV>
                      <wp:extent cx="7620" cy="7620"/>
                      <wp:effectExtent l="0" t="0" r="0" b="0"/>
                      <wp:wrapNone/>
                      <wp:docPr id="1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1"/>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658409;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8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0" behindDoc="0" locked="0" layoutInCell="1" allowOverlap="1">
                      <wp:simplePos x="0" y="0"/>
                      <wp:positionH relativeFrom="column">
                        <wp:posOffset>0</wp:posOffset>
                      </wp:positionH>
                      <wp:positionV relativeFrom="paragraph">
                        <wp:posOffset>0</wp:posOffset>
                      </wp:positionV>
                      <wp:extent cx="7620" cy="7620"/>
                      <wp:effectExtent l="0" t="0" r="0" b="0"/>
                      <wp:wrapNone/>
                      <wp:docPr id="1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2"/>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658410;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8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1" behindDoc="0" locked="0" layoutInCell="1" allowOverlap="1">
                      <wp:simplePos x="0" y="0"/>
                      <wp:positionH relativeFrom="column">
                        <wp:posOffset>0</wp:posOffset>
                      </wp:positionH>
                      <wp:positionV relativeFrom="paragraph">
                        <wp:posOffset>0</wp:posOffset>
                      </wp:positionV>
                      <wp:extent cx="7620" cy="7620"/>
                      <wp:effectExtent l="0" t="0" r="0" b="0"/>
                      <wp:wrapNone/>
                      <wp:docPr id="1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3"/>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658411;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8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2" behindDoc="0" locked="0" layoutInCell="1" allowOverlap="1">
                      <wp:simplePos x="0" y="0"/>
                      <wp:positionH relativeFrom="column">
                        <wp:posOffset>0</wp:posOffset>
                      </wp:positionH>
                      <wp:positionV relativeFrom="paragraph">
                        <wp:posOffset>0</wp:posOffset>
                      </wp:positionV>
                      <wp:extent cx="7620" cy="7620"/>
                      <wp:effectExtent l="0" t="0" r="0" b="0"/>
                      <wp:wrapNone/>
                      <wp:docPr id="1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4"/>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658412;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8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3" behindDoc="0" locked="0" layoutInCell="1" allowOverlap="1">
                      <wp:simplePos x="0" y="0"/>
                      <wp:positionH relativeFrom="column">
                        <wp:posOffset>0</wp:posOffset>
                      </wp:positionH>
                      <wp:positionV relativeFrom="paragraph">
                        <wp:posOffset>0</wp:posOffset>
                      </wp:positionV>
                      <wp:extent cx="7620" cy="7620"/>
                      <wp:effectExtent l="0" t="0" r="0" b="0"/>
                      <wp:wrapNone/>
                      <wp:docPr id="1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5"/>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658413;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8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4" behindDoc="0" locked="0" layoutInCell="1" allowOverlap="1">
                      <wp:simplePos x="0" y="0"/>
                      <wp:positionH relativeFrom="column">
                        <wp:posOffset>0</wp:posOffset>
                      </wp:positionH>
                      <wp:positionV relativeFrom="paragraph">
                        <wp:posOffset>0</wp:posOffset>
                      </wp:positionV>
                      <wp:extent cx="7620" cy="7620"/>
                      <wp:effectExtent l="0" t="0" r="0" b="0"/>
                      <wp:wrapNone/>
                      <wp:docPr id="1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6"/>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658414;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8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5" behindDoc="0" locked="0" layoutInCell="1" allowOverlap="1">
                      <wp:simplePos x="0" y="0"/>
                      <wp:positionH relativeFrom="column">
                        <wp:posOffset>0</wp:posOffset>
                      </wp:positionH>
                      <wp:positionV relativeFrom="paragraph">
                        <wp:posOffset>0</wp:posOffset>
                      </wp:positionV>
                      <wp:extent cx="7620" cy="7620"/>
                      <wp:effectExtent l="0" t="0" r="0" b="0"/>
                      <wp:wrapNone/>
                      <wp:docPr id="1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7"/>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658415;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8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6" behindDoc="0" locked="0" layoutInCell="1" allowOverlap="1">
                      <wp:simplePos x="0" y="0"/>
                      <wp:positionH relativeFrom="column">
                        <wp:posOffset>0</wp:posOffset>
                      </wp:positionH>
                      <wp:positionV relativeFrom="paragraph">
                        <wp:posOffset>0</wp:posOffset>
                      </wp:positionV>
                      <wp:extent cx="7620" cy="7620"/>
                      <wp:effectExtent l="0" t="0" r="0" b="0"/>
                      <wp:wrapNone/>
                      <wp:docPr id="1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8"/>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658416;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8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7" behindDoc="0" locked="0" layoutInCell="1" allowOverlap="1">
                      <wp:simplePos x="0" y="0"/>
                      <wp:positionH relativeFrom="column">
                        <wp:posOffset>0</wp:posOffset>
                      </wp:positionH>
                      <wp:positionV relativeFrom="paragraph">
                        <wp:posOffset>0</wp:posOffset>
                      </wp:positionV>
                      <wp:extent cx="7620" cy="7620"/>
                      <wp:effectExtent l="0" t="0" r="0" b="0"/>
                      <wp:wrapNone/>
                      <wp:docPr id="1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9"/>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658417;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8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8" behindDoc="0" locked="0" layoutInCell="1" allowOverlap="1">
                      <wp:simplePos x="0" y="0"/>
                      <wp:positionH relativeFrom="column">
                        <wp:posOffset>0</wp:posOffset>
                      </wp:positionH>
                      <wp:positionV relativeFrom="paragraph">
                        <wp:posOffset>0</wp:posOffset>
                      </wp:positionV>
                      <wp:extent cx="7620" cy="7620"/>
                      <wp:effectExtent l="0" t="0" r="0" b="0"/>
                      <wp:wrapNone/>
                      <wp:docPr id="1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0"/>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658418;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9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9" behindDoc="0" locked="0" layoutInCell="1" allowOverlap="1">
                      <wp:simplePos x="0" y="0"/>
                      <wp:positionH relativeFrom="column">
                        <wp:posOffset>0</wp:posOffset>
                      </wp:positionH>
                      <wp:positionV relativeFrom="paragraph">
                        <wp:posOffset>0</wp:posOffset>
                      </wp:positionV>
                      <wp:extent cx="7620" cy="7620"/>
                      <wp:effectExtent l="0" t="0" r="0" b="0"/>
                      <wp:wrapNone/>
                      <wp:docPr id="1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1"/>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658419;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9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0" behindDoc="0" locked="0" layoutInCell="1" allowOverlap="1">
                      <wp:simplePos x="0" y="0"/>
                      <wp:positionH relativeFrom="column">
                        <wp:posOffset>0</wp:posOffset>
                      </wp:positionH>
                      <wp:positionV relativeFrom="paragraph">
                        <wp:posOffset>0</wp:posOffset>
                      </wp:positionV>
                      <wp:extent cx="7620" cy="7620"/>
                      <wp:effectExtent l="0" t="0" r="0" b="0"/>
                      <wp:wrapNone/>
                      <wp:docPr id="1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2"/>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658420;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9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1" behindDoc="0" locked="0" layoutInCell="1" allowOverlap="1">
                      <wp:simplePos x="0" y="0"/>
                      <wp:positionH relativeFrom="column">
                        <wp:posOffset>0</wp:posOffset>
                      </wp:positionH>
                      <wp:positionV relativeFrom="paragraph">
                        <wp:posOffset>0</wp:posOffset>
                      </wp:positionV>
                      <wp:extent cx="7620" cy="7620"/>
                      <wp:effectExtent l="0" t="0" r="0" b="0"/>
                      <wp:wrapNone/>
                      <wp:docPr id="1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3"/>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658421;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9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2" behindDoc="0" locked="0" layoutInCell="1" allowOverlap="1">
                      <wp:simplePos x="0" y="0"/>
                      <wp:positionH relativeFrom="column">
                        <wp:posOffset>0</wp:posOffset>
                      </wp:positionH>
                      <wp:positionV relativeFrom="paragraph">
                        <wp:posOffset>0</wp:posOffset>
                      </wp:positionV>
                      <wp:extent cx="7620" cy="7620"/>
                      <wp:effectExtent l="0" t="0" r="0" b="0"/>
                      <wp:wrapNone/>
                      <wp:docPr id="1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4"/>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658422;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9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3" behindDoc="0" locked="0" layoutInCell="1" allowOverlap="1">
                      <wp:simplePos x="0" y="0"/>
                      <wp:positionH relativeFrom="column">
                        <wp:posOffset>0</wp:posOffset>
                      </wp:positionH>
                      <wp:positionV relativeFrom="paragraph">
                        <wp:posOffset>0</wp:posOffset>
                      </wp:positionV>
                      <wp:extent cx="7620" cy="7620"/>
                      <wp:effectExtent l="0" t="0" r="0" b="0"/>
                      <wp:wrapNone/>
                      <wp:docPr id="1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5"/>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658423;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9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4" behindDoc="0" locked="0" layoutInCell="1" allowOverlap="1">
                      <wp:simplePos x="0" y="0"/>
                      <wp:positionH relativeFrom="column">
                        <wp:posOffset>0</wp:posOffset>
                      </wp:positionH>
                      <wp:positionV relativeFrom="paragraph">
                        <wp:posOffset>0</wp:posOffset>
                      </wp:positionV>
                      <wp:extent cx="7620" cy="7620"/>
                      <wp:effectExtent l="0" t="0" r="0" b="0"/>
                      <wp:wrapNone/>
                      <wp:docPr id="1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6"/>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658424;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9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5" behindDoc="0" locked="0" layoutInCell="1" allowOverlap="1">
                      <wp:simplePos x="0" y="0"/>
                      <wp:positionH relativeFrom="column">
                        <wp:posOffset>0</wp:posOffset>
                      </wp:positionH>
                      <wp:positionV relativeFrom="paragraph">
                        <wp:posOffset>0</wp:posOffset>
                      </wp:positionV>
                      <wp:extent cx="7620" cy="7620"/>
                      <wp:effectExtent l="0" t="0" r="0" b="0"/>
                      <wp:wrapNone/>
                      <wp:docPr id="1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7"/>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658425;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9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6" behindDoc="0" locked="0" layoutInCell="1" allowOverlap="1">
                      <wp:simplePos x="0" y="0"/>
                      <wp:positionH relativeFrom="column">
                        <wp:posOffset>0</wp:posOffset>
                      </wp:positionH>
                      <wp:positionV relativeFrom="paragraph">
                        <wp:posOffset>0</wp:posOffset>
                      </wp:positionV>
                      <wp:extent cx="7620" cy="7620"/>
                      <wp:effectExtent l="0" t="0" r="0" b="0"/>
                      <wp:wrapNone/>
                      <wp:docPr id="1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8"/>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658426;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9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7" behindDoc="0" locked="0" layoutInCell="1" allowOverlap="1">
                      <wp:simplePos x="0" y="0"/>
                      <wp:positionH relativeFrom="column">
                        <wp:posOffset>0</wp:posOffset>
                      </wp:positionH>
                      <wp:positionV relativeFrom="paragraph">
                        <wp:posOffset>0</wp:posOffset>
                      </wp:positionV>
                      <wp:extent cx="7620" cy="7620"/>
                      <wp:effectExtent l="0" t="0" r="0" b="0"/>
                      <wp:wrapNone/>
                      <wp:docPr id="1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9"/>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658427;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9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8" behindDoc="0" locked="0" layoutInCell="1" allowOverlap="1">
                      <wp:simplePos x="0" y="0"/>
                      <wp:positionH relativeFrom="column">
                        <wp:posOffset>0</wp:posOffset>
                      </wp:positionH>
                      <wp:positionV relativeFrom="paragraph">
                        <wp:posOffset>0</wp:posOffset>
                      </wp:positionV>
                      <wp:extent cx="7620" cy="7620"/>
                      <wp:effectExtent l="0" t="0" r="0" b="0"/>
                      <wp:wrapNone/>
                      <wp:docPr id="1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0"/>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658428;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0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9" behindDoc="0" locked="0" layoutInCell="1" allowOverlap="1">
                      <wp:simplePos x="0" y="0"/>
                      <wp:positionH relativeFrom="column">
                        <wp:posOffset>0</wp:posOffset>
                      </wp:positionH>
                      <wp:positionV relativeFrom="paragraph">
                        <wp:posOffset>0</wp:posOffset>
                      </wp:positionV>
                      <wp:extent cx="7620" cy="7620"/>
                      <wp:effectExtent l="0" t="0" r="0" b="0"/>
                      <wp:wrapNone/>
                      <wp:docPr id="1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1"/>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658429;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0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0" behindDoc="0" locked="0" layoutInCell="1" allowOverlap="1">
                      <wp:simplePos x="0" y="0"/>
                      <wp:positionH relativeFrom="column">
                        <wp:posOffset>0</wp:posOffset>
                      </wp:positionH>
                      <wp:positionV relativeFrom="paragraph">
                        <wp:posOffset>0</wp:posOffset>
                      </wp:positionV>
                      <wp:extent cx="7620" cy="7620"/>
                      <wp:effectExtent l="0" t="0" r="0" b="0"/>
                      <wp:wrapNone/>
                      <wp:docPr id="1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2"/>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658430;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0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1" behindDoc="0" locked="0" layoutInCell="1" allowOverlap="1">
                      <wp:simplePos x="0" y="0"/>
                      <wp:positionH relativeFrom="column">
                        <wp:posOffset>0</wp:posOffset>
                      </wp:positionH>
                      <wp:positionV relativeFrom="paragraph">
                        <wp:posOffset>0</wp:posOffset>
                      </wp:positionV>
                      <wp:extent cx="7620" cy="7620"/>
                      <wp:effectExtent l="0" t="0" r="0" b="0"/>
                      <wp:wrapNone/>
                      <wp:docPr id="1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3"/>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658431;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0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2" behindDoc="0" locked="0" layoutInCell="1" allowOverlap="1">
                      <wp:simplePos x="0" y="0"/>
                      <wp:positionH relativeFrom="column">
                        <wp:posOffset>0</wp:posOffset>
                      </wp:positionH>
                      <wp:positionV relativeFrom="paragraph">
                        <wp:posOffset>0</wp:posOffset>
                      </wp:positionV>
                      <wp:extent cx="7620" cy="7620"/>
                      <wp:effectExtent l="0" t="0" r="0" b="0"/>
                      <wp:wrapNone/>
                      <wp:docPr id="1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4"/>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658432;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0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3" behindDoc="0" locked="0" layoutInCell="1" allowOverlap="1">
                      <wp:simplePos x="0" y="0"/>
                      <wp:positionH relativeFrom="column">
                        <wp:posOffset>0</wp:posOffset>
                      </wp:positionH>
                      <wp:positionV relativeFrom="paragraph">
                        <wp:posOffset>0</wp:posOffset>
                      </wp:positionV>
                      <wp:extent cx="7620" cy="7620"/>
                      <wp:effectExtent l="0" t="0" r="0" b="0"/>
                      <wp:wrapNone/>
                      <wp:docPr id="1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5"/>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658433;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0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4" behindDoc="0" locked="0" layoutInCell="1" allowOverlap="1">
                      <wp:simplePos x="0" y="0"/>
                      <wp:positionH relativeFrom="column">
                        <wp:posOffset>0</wp:posOffset>
                      </wp:positionH>
                      <wp:positionV relativeFrom="paragraph">
                        <wp:posOffset>0</wp:posOffset>
                      </wp:positionV>
                      <wp:extent cx="7620" cy="7620"/>
                      <wp:effectExtent l="0" t="0" r="0" b="0"/>
                      <wp:wrapNone/>
                      <wp:docPr id="1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6"/>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658434;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0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5" behindDoc="0" locked="0" layoutInCell="1" allowOverlap="1">
                      <wp:simplePos x="0" y="0"/>
                      <wp:positionH relativeFrom="column">
                        <wp:posOffset>0</wp:posOffset>
                      </wp:positionH>
                      <wp:positionV relativeFrom="paragraph">
                        <wp:posOffset>0</wp:posOffset>
                      </wp:positionV>
                      <wp:extent cx="7620" cy="7620"/>
                      <wp:effectExtent l="0" t="0" r="0" b="0"/>
                      <wp:wrapNone/>
                      <wp:docPr id="1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7"/>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658435;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0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6" behindDoc="0" locked="0" layoutInCell="1" allowOverlap="1">
                      <wp:simplePos x="0" y="0"/>
                      <wp:positionH relativeFrom="column">
                        <wp:posOffset>0</wp:posOffset>
                      </wp:positionH>
                      <wp:positionV relativeFrom="paragraph">
                        <wp:posOffset>0</wp:posOffset>
                      </wp:positionV>
                      <wp:extent cx="7620" cy="7620"/>
                      <wp:effectExtent l="0" t="0" r="0" b="0"/>
                      <wp:wrapNone/>
                      <wp:docPr id="1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8"/>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658436;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0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7" behindDoc="0" locked="0" layoutInCell="1" allowOverlap="1">
                      <wp:simplePos x="0" y="0"/>
                      <wp:positionH relativeFrom="column">
                        <wp:posOffset>0</wp:posOffset>
                      </wp:positionH>
                      <wp:positionV relativeFrom="paragraph">
                        <wp:posOffset>0</wp:posOffset>
                      </wp:positionV>
                      <wp:extent cx="7620" cy="7620"/>
                      <wp:effectExtent l="0" t="0" r="0" b="0"/>
                      <wp:wrapNone/>
                      <wp:docPr id="1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9"/>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658437;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0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8" behindDoc="0" locked="0" layoutInCell="1" allowOverlap="1">
                      <wp:simplePos x="0" y="0"/>
                      <wp:positionH relativeFrom="column">
                        <wp:posOffset>0</wp:posOffset>
                      </wp:positionH>
                      <wp:positionV relativeFrom="paragraph">
                        <wp:posOffset>0</wp:posOffset>
                      </wp:positionV>
                      <wp:extent cx="7620" cy="7620"/>
                      <wp:effectExtent l="0" t="0" r="0" b="0"/>
                      <wp:wrapNone/>
                      <wp:docPr id="1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0"/>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658438;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1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9" behindDoc="0" locked="0" layoutInCell="1" allowOverlap="1">
                      <wp:simplePos x="0" y="0"/>
                      <wp:positionH relativeFrom="column">
                        <wp:posOffset>0</wp:posOffset>
                      </wp:positionH>
                      <wp:positionV relativeFrom="paragraph">
                        <wp:posOffset>0</wp:posOffset>
                      </wp:positionV>
                      <wp:extent cx="7620" cy="7620"/>
                      <wp:effectExtent l="0" t="0" r="0" b="0"/>
                      <wp:wrapNone/>
                      <wp:docPr id="2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1"/>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position:absolute;z-index:251658439;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1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0" behindDoc="0" locked="0" layoutInCell="1" allowOverlap="1">
                      <wp:simplePos x="0" y="0"/>
                      <wp:positionH relativeFrom="column">
                        <wp:posOffset>0</wp:posOffset>
                      </wp:positionH>
                      <wp:positionV relativeFrom="paragraph">
                        <wp:posOffset>0</wp:posOffset>
                      </wp:positionV>
                      <wp:extent cx="7620" cy="7620"/>
                      <wp:effectExtent l="0" t="0" r="0" b="0"/>
                      <wp:wrapNone/>
                      <wp:docPr id="2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2"/>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658440;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1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1" behindDoc="0" locked="0" layoutInCell="1" allowOverlap="1">
                      <wp:simplePos x="0" y="0"/>
                      <wp:positionH relativeFrom="column">
                        <wp:posOffset>0</wp:posOffset>
                      </wp:positionH>
                      <wp:positionV relativeFrom="paragraph">
                        <wp:posOffset>0</wp:posOffset>
                      </wp:positionV>
                      <wp:extent cx="7620" cy="7620"/>
                      <wp:effectExtent l="0" t="0" r="0" b="0"/>
                      <wp:wrapNone/>
                      <wp:docPr id="2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3"/>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658441;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1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2" behindDoc="0" locked="0" layoutInCell="1" allowOverlap="1">
                      <wp:simplePos x="0" y="0"/>
                      <wp:positionH relativeFrom="column">
                        <wp:posOffset>0</wp:posOffset>
                      </wp:positionH>
                      <wp:positionV relativeFrom="paragraph">
                        <wp:posOffset>0</wp:posOffset>
                      </wp:positionV>
                      <wp:extent cx="7620" cy="7620"/>
                      <wp:effectExtent l="0" t="0" r="0" b="0"/>
                      <wp:wrapNone/>
                      <wp:docPr id="2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4"/>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position:absolute;z-index:251658442;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1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3" behindDoc="0" locked="0" layoutInCell="1" allowOverlap="1">
                      <wp:simplePos x="0" y="0"/>
                      <wp:positionH relativeFrom="column">
                        <wp:posOffset>0</wp:posOffset>
                      </wp:positionH>
                      <wp:positionV relativeFrom="paragraph">
                        <wp:posOffset>0</wp:posOffset>
                      </wp:positionV>
                      <wp:extent cx="7620" cy="7620"/>
                      <wp:effectExtent l="0" t="0" r="0" b="0"/>
                      <wp:wrapNone/>
                      <wp:docPr id="2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5"/>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658443;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1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4" behindDoc="0" locked="0" layoutInCell="1" allowOverlap="1">
                      <wp:simplePos x="0" y="0"/>
                      <wp:positionH relativeFrom="column">
                        <wp:posOffset>0</wp:posOffset>
                      </wp:positionH>
                      <wp:positionV relativeFrom="paragraph">
                        <wp:posOffset>0</wp:posOffset>
                      </wp:positionV>
                      <wp:extent cx="7620" cy="7620"/>
                      <wp:effectExtent l="0" t="0" r="0" b="0"/>
                      <wp:wrapNone/>
                      <wp:docPr id="2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6"/>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658444;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1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5" behindDoc="0" locked="0" layoutInCell="1" allowOverlap="1">
                      <wp:simplePos x="0" y="0"/>
                      <wp:positionH relativeFrom="column">
                        <wp:posOffset>0</wp:posOffset>
                      </wp:positionH>
                      <wp:positionV relativeFrom="paragraph">
                        <wp:posOffset>0</wp:posOffset>
                      </wp:positionV>
                      <wp:extent cx="7620" cy="7620"/>
                      <wp:effectExtent l="0" t="0" r="0" b="0"/>
                      <wp:wrapNone/>
                      <wp:docPr id="2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7"/>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658445;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1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6" behindDoc="0" locked="0" layoutInCell="1" allowOverlap="1">
                      <wp:simplePos x="0" y="0"/>
                      <wp:positionH relativeFrom="column">
                        <wp:posOffset>0</wp:posOffset>
                      </wp:positionH>
                      <wp:positionV relativeFrom="paragraph">
                        <wp:posOffset>0</wp:posOffset>
                      </wp:positionV>
                      <wp:extent cx="7620" cy="7620"/>
                      <wp:effectExtent l="0" t="0" r="0" b="0"/>
                      <wp:wrapNone/>
                      <wp:docPr id="2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8"/>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658446;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1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7" behindDoc="0" locked="0" layoutInCell="1" allowOverlap="1">
                      <wp:simplePos x="0" y="0"/>
                      <wp:positionH relativeFrom="column">
                        <wp:posOffset>0</wp:posOffset>
                      </wp:positionH>
                      <wp:positionV relativeFrom="paragraph">
                        <wp:posOffset>0</wp:posOffset>
                      </wp:positionV>
                      <wp:extent cx="7620" cy="7620"/>
                      <wp:effectExtent l="0" t="0" r="0" b="0"/>
                      <wp:wrapNone/>
                      <wp:docPr id="2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9"/>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658447;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1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8" behindDoc="0" locked="0" layoutInCell="1" allowOverlap="1">
                      <wp:simplePos x="0" y="0"/>
                      <wp:positionH relativeFrom="column">
                        <wp:posOffset>0</wp:posOffset>
                      </wp:positionH>
                      <wp:positionV relativeFrom="paragraph">
                        <wp:posOffset>0</wp:posOffset>
                      </wp:positionV>
                      <wp:extent cx="7620" cy="7620"/>
                      <wp:effectExtent l="0" t="0" r="0" b="0"/>
                      <wp:wrapNone/>
                      <wp:docPr id="2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0"/>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658448;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2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9" behindDoc="0" locked="0" layoutInCell="1" allowOverlap="1">
                      <wp:simplePos x="0" y="0"/>
                      <wp:positionH relativeFrom="column">
                        <wp:posOffset>0</wp:posOffset>
                      </wp:positionH>
                      <wp:positionV relativeFrom="paragraph">
                        <wp:posOffset>0</wp:posOffset>
                      </wp:positionV>
                      <wp:extent cx="7620" cy="7620"/>
                      <wp:effectExtent l="0" t="0" r="0" b="0"/>
                      <wp:wrapNone/>
                      <wp:docPr id="2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1"/>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658449;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2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0" behindDoc="0" locked="0" layoutInCell="1" allowOverlap="1">
                      <wp:simplePos x="0" y="0"/>
                      <wp:positionH relativeFrom="column">
                        <wp:posOffset>0</wp:posOffset>
                      </wp:positionH>
                      <wp:positionV relativeFrom="paragraph">
                        <wp:posOffset>0</wp:posOffset>
                      </wp:positionV>
                      <wp:extent cx="7620" cy="7620"/>
                      <wp:effectExtent l="0" t="0" r="0" b="0"/>
                      <wp:wrapNone/>
                      <wp:docPr id="2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2"/>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658450;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2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1" behindDoc="0" locked="0" layoutInCell="1" allowOverlap="1">
                      <wp:simplePos x="0" y="0"/>
                      <wp:positionH relativeFrom="column">
                        <wp:posOffset>0</wp:posOffset>
                      </wp:positionH>
                      <wp:positionV relativeFrom="paragraph">
                        <wp:posOffset>0</wp:posOffset>
                      </wp:positionV>
                      <wp:extent cx="7620" cy="7620"/>
                      <wp:effectExtent l="0" t="0" r="0" b="0"/>
                      <wp:wrapNone/>
                      <wp:docPr id="2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3"/>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658451;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2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2" behindDoc="0" locked="0" layoutInCell="1" allowOverlap="1">
                      <wp:simplePos x="0" y="0"/>
                      <wp:positionH relativeFrom="column">
                        <wp:posOffset>0</wp:posOffset>
                      </wp:positionH>
                      <wp:positionV relativeFrom="paragraph">
                        <wp:posOffset>0</wp:posOffset>
                      </wp:positionV>
                      <wp:extent cx="7620" cy="7620"/>
                      <wp:effectExtent l="0" t="0" r="0" b="0"/>
                      <wp:wrapNone/>
                      <wp:docPr id="2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4"/>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658452;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2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3" behindDoc="0" locked="0" layoutInCell="1" allowOverlap="1">
                      <wp:simplePos x="0" y="0"/>
                      <wp:positionH relativeFrom="column">
                        <wp:posOffset>0</wp:posOffset>
                      </wp:positionH>
                      <wp:positionV relativeFrom="paragraph">
                        <wp:posOffset>0</wp:posOffset>
                      </wp:positionV>
                      <wp:extent cx="7620" cy="7620"/>
                      <wp:effectExtent l="0" t="0" r="0" b="0"/>
                      <wp:wrapNone/>
                      <wp:docPr id="2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5"/>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658453;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2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4" behindDoc="0" locked="0" layoutInCell="1" allowOverlap="1">
                      <wp:simplePos x="0" y="0"/>
                      <wp:positionH relativeFrom="column">
                        <wp:posOffset>0</wp:posOffset>
                      </wp:positionH>
                      <wp:positionV relativeFrom="paragraph">
                        <wp:posOffset>0</wp:posOffset>
                      </wp:positionV>
                      <wp:extent cx="7620" cy="7620"/>
                      <wp:effectExtent l="0" t="0" r="0" b="0"/>
                      <wp:wrapNone/>
                      <wp:docPr id="2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6"/>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position:absolute;z-index:251658454;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2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5" behindDoc="0" locked="0" layoutInCell="1" allowOverlap="1">
                      <wp:simplePos x="0" y="0"/>
                      <wp:positionH relativeFrom="column">
                        <wp:posOffset>0</wp:posOffset>
                      </wp:positionH>
                      <wp:positionV relativeFrom="paragraph">
                        <wp:posOffset>0</wp:posOffset>
                      </wp:positionV>
                      <wp:extent cx="7620" cy="7620"/>
                      <wp:effectExtent l="0" t="0" r="0" b="0"/>
                      <wp:wrapNone/>
                      <wp:docPr id="2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7"/>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position:absolute;z-index:251658455;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2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6" behindDoc="0" locked="0" layoutInCell="1" allowOverlap="1">
                      <wp:simplePos x="0" y="0"/>
                      <wp:positionH relativeFrom="column">
                        <wp:posOffset>0</wp:posOffset>
                      </wp:positionH>
                      <wp:positionV relativeFrom="paragraph">
                        <wp:posOffset>0</wp:posOffset>
                      </wp:positionV>
                      <wp:extent cx="7620" cy="7620"/>
                      <wp:effectExtent l="0" t="0" r="0" b="0"/>
                      <wp:wrapNone/>
                      <wp:docPr id="2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8"/>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position:absolute;z-index:251658456;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2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7" behindDoc="0" locked="0" layoutInCell="1" allowOverlap="1">
                      <wp:simplePos x="0" y="0"/>
                      <wp:positionH relativeFrom="column">
                        <wp:posOffset>0</wp:posOffset>
                      </wp:positionH>
                      <wp:positionV relativeFrom="paragraph">
                        <wp:posOffset>0</wp:posOffset>
                      </wp:positionV>
                      <wp:extent cx="7620" cy="7620"/>
                      <wp:effectExtent l="0" t="0" r="0" b="0"/>
                      <wp:wrapNone/>
                      <wp:docPr id="2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9"/>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1658457;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2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8" behindDoc="0" locked="0" layoutInCell="1" allowOverlap="1">
                      <wp:simplePos x="0" y="0"/>
                      <wp:positionH relativeFrom="column">
                        <wp:posOffset>0</wp:posOffset>
                      </wp:positionH>
                      <wp:positionV relativeFrom="paragraph">
                        <wp:posOffset>0</wp:posOffset>
                      </wp:positionV>
                      <wp:extent cx="7620" cy="7620"/>
                      <wp:effectExtent l="0" t="0" r="0" b="0"/>
                      <wp:wrapNone/>
                      <wp:docPr id="2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0"/>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658458;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3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9" behindDoc="0" locked="0" layoutInCell="1" allowOverlap="1">
                      <wp:simplePos x="0" y="0"/>
                      <wp:positionH relativeFrom="column">
                        <wp:posOffset>0</wp:posOffset>
                      </wp:positionH>
                      <wp:positionV relativeFrom="paragraph">
                        <wp:posOffset>0</wp:posOffset>
                      </wp:positionV>
                      <wp:extent cx="7620" cy="7620"/>
                      <wp:effectExtent l="0" t="0" r="0" b="0"/>
                      <wp:wrapNone/>
                      <wp:docPr id="2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1"/>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658459;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3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60" behindDoc="0" locked="0" layoutInCell="1" allowOverlap="1">
                      <wp:simplePos x="0" y="0"/>
                      <wp:positionH relativeFrom="column">
                        <wp:posOffset>0</wp:posOffset>
                      </wp:positionH>
                      <wp:positionV relativeFrom="paragraph">
                        <wp:posOffset>0</wp:posOffset>
                      </wp:positionV>
                      <wp:extent cx="7620" cy="7620"/>
                      <wp:effectExtent l="0" t="0" r="0" b="0"/>
                      <wp:wrapNone/>
                      <wp:docPr id="2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2"/>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658460;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3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61" behindDoc="0" locked="0" layoutInCell="1" allowOverlap="1">
                      <wp:simplePos x="0" y="0"/>
                      <wp:positionH relativeFrom="column">
                        <wp:posOffset>0</wp:posOffset>
                      </wp:positionH>
                      <wp:positionV relativeFrom="paragraph">
                        <wp:posOffset>0</wp:posOffset>
                      </wp:positionV>
                      <wp:extent cx="7620" cy="7620"/>
                      <wp:effectExtent l="0" t="0" r="0" b="0"/>
                      <wp:wrapNone/>
                      <wp:docPr id="2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3"/>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position:absolute;z-index:251658461;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3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62" behindDoc="0" locked="0" layoutInCell="1" allowOverlap="1">
                      <wp:simplePos x="0" y="0"/>
                      <wp:positionH relativeFrom="column">
                        <wp:posOffset>0</wp:posOffset>
                      </wp:positionH>
                      <wp:positionV relativeFrom="paragraph">
                        <wp:posOffset>0</wp:posOffset>
                      </wp:positionV>
                      <wp:extent cx="7620" cy="7620"/>
                      <wp:effectExtent l="0" t="0" r="0" b="0"/>
                      <wp:wrapNone/>
                      <wp:docPr id="2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4"/>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position:absolute;z-index:251658462;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3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63" behindDoc="0" locked="0" layoutInCell="1" allowOverlap="1">
                      <wp:simplePos x="0" y="0"/>
                      <wp:positionH relativeFrom="column">
                        <wp:posOffset>0</wp:posOffset>
                      </wp:positionH>
                      <wp:positionV relativeFrom="paragraph">
                        <wp:posOffset>0</wp:posOffset>
                      </wp:positionV>
                      <wp:extent cx="7620" cy="7620"/>
                      <wp:effectExtent l="0" t="0" r="0" b="0"/>
                      <wp:wrapNone/>
                      <wp:docPr id="2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5"/>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position:absolute;z-index:251658463;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3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64" behindDoc="0" locked="0" layoutInCell="1" allowOverlap="1">
                      <wp:simplePos x="0" y="0"/>
                      <wp:positionH relativeFrom="column">
                        <wp:posOffset>0</wp:posOffset>
                      </wp:positionH>
                      <wp:positionV relativeFrom="paragraph">
                        <wp:posOffset>0</wp:posOffset>
                      </wp:positionV>
                      <wp:extent cx="7620" cy="7620"/>
                      <wp:effectExtent l="0" t="0" r="0" b="0"/>
                      <wp:wrapNone/>
                      <wp:docPr id="2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6"/>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position:absolute;z-index:251658464;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3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65" behindDoc="0" locked="0" layoutInCell="1" allowOverlap="1">
                      <wp:simplePos x="0" y="0"/>
                      <wp:positionH relativeFrom="column">
                        <wp:posOffset>0</wp:posOffset>
                      </wp:positionH>
                      <wp:positionV relativeFrom="paragraph">
                        <wp:posOffset>0</wp:posOffset>
                      </wp:positionV>
                      <wp:extent cx="7620" cy="7620"/>
                      <wp:effectExtent l="0" t="0" r="0" b="0"/>
                      <wp:wrapNone/>
                      <wp:docPr id="2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7"/>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position:absolute;z-index:251658465;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37" o:title=""/>
                    </v:shape>
                  </w:pict>
                </mc:Fallback>
              </mc:AlternateContent>
            </w:r>
            <w:r>
              <w:rPr>
                <w:rFonts w:hint="eastAsia" w:ascii="宋体" w:hAnsi="宋体" w:cs="宋体"/>
                <w:b/>
                <w:bCs/>
                <w:color w:val="000000"/>
                <w:sz w:val="24"/>
                <w:szCs w:val="24"/>
              </w:rPr>
              <w:t xml:space="preserve">分项名称</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性能指标</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备注</w:t>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反诈接警大厅建设</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LED大屏建设</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P1.25LED拼接屏</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1、屏体显示主屏宽度≥21600mm，高度≥2025m</w:t>
            </w:r>
            <w:r>
              <w:rPr>
                <w:rFonts w:hint="eastAsia" w:ascii="宋体" w:hAnsi="宋体" w:cs="宋体"/>
                <w:color w:val="000000"/>
                <w:sz w:val="24"/>
                <w:szCs w:val="24"/>
              </w:rPr>
              <w:t xml:space="preserve">m，显示分辨率≥17280点×1620点，显示面积≥43.74平米；</w:t>
              <w:br/>
              <w:t xml:space="preserve">2、LED光源采用全倒装RGB晶片，晶片单边尺寸不大于75um；</w:t>
              <w:br/>
              <w:t xml:space="preserve">3、晶片结构及固晶方式：Flip-chip RGB，Pin transfer（刺晶方式）COB；</w:t>
              <w:br/>
              <w:t xml:space="preserve">4、显示屏点间距：≤1.25mm，像素密度：≥640000点/平米；</w:t>
              <w:br/>
              <w:t xml:space="preserve">5、亮度：≥800cd/㎡，可实现0-100%无极亮度调节；</w:t>
              <w:br/>
              <w:t xml:space="preserve">6、对比度：≥20000:1；</w:t>
              <w:br/>
              <w:t xml:space="preserve">7、色温：2000-10000K可调；</w:t>
              <w:br/>
              <w:t xml:space="preserve">8、色温误差：色温为6500K时，100%，75%，50%，25%四档电平</w:t>
            </w:r>
            <w:r>
              <w:rPr>
                <w:rFonts w:hint="eastAsia" w:ascii="宋体" w:hAnsi="宋体" w:cs="宋体"/>
                <w:color w:val="000000"/>
                <w:sz w:val="24"/>
                <w:szCs w:val="24"/>
              </w:rPr>
              <w:t xml:space="preserve">白场调节色温误差≤160K；</w:t>
              <w:br/>
              <w:t xml:space="preserve">9、刷新率：7680Hz；</w:t>
              <w:br/>
              <w:t xml:space="preserve">10、视角：水平视角≥170度，垂直视角≥170度；</w:t>
              <w:br/>
              <w:t xml:space="preserve">11、均匀性：色度均匀性:±0.002Cx、Cy之内，发光点中心距偏差＜1%，亮度均匀性：≥98%；</w:t>
              <w:br/>
              <w:t xml:space="preserve">12、平整度：平整度≤0.05mm；单元拼接间隙≤0.05mm；相邻像素之间平整度≤0.05mm；相邻模块之间平整度≤0.05mm；显示单元垂直、水平相对错位≤3%；</w:t>
              <w:br/>
              <w:t xml:space="preserve">13、换帧频率：50Hz&amp;60Hz&amp;120Hz；</w:t>
              <w:br/>
              <w:t xml:space="preserve">14、功耗：800nit亮度条件下，峰值功耗≤270W/㎡，平均功耗≤160W/</w:t>
            </w:r>
            <w:r>
              <w:rPr>
                <w:rFonts w:hint="eastAsia" w:ascii="宋体" w:hAnsi="宋体" w:cs="宋体"/>
                <w:color w:val="000000"/>
                <w:sz w:val="24"/>
                <w:szCs w:val="24"/>
              </w:rPr>
              <w:t xml:space="preserve">㎡；300nit亮度条件下，峰值功耗：≤145W/㎡,300nit平均功耗：≤89W/㎡；</w:t>
              <w:br/>
              <w:t xml:space="preserve">15、驱动芯片要求：采用55nm制程，BGA324封装工艺；数据处理28bit；</w:t>
              <w:br/>
              <w:t xml:space="preserve">16、芯片级信号备份：具有芯片级主备信号功能，具备芯片级双路信号处理功能；</w:t>
              <w:br/>
              <w:t xml:space="preserve">17、模组级监测：支持模组在线、离线状态监测，支持坏点数量监测；</w:t>
              <w:br/>
              <w:t xml:space="preserve">18、箱体材质：箱体与后壳为压铸铝材质箱体，整体压铸，一次成型，箱体厚度＜40mm，箱体比例：16:9，不接受显示单元切割或不完整箱体，不接受模组产品；</w:t>
              <w:br/>
              <w:t xml:space="preserve">19、连接：硬连接方式连接；</w:t>
              <w:br/>
              <w:t xml:space="preserve">20、AI智</w:t>
            </w:r>
            <w:r>
              <w:rPr>
                <w:rFonts w:hint="eastAsia" w:ascii="宋体" w:hAnsi="宋体" w:cs="宋体"/>
                <w:color w:val="000000"/>
                <w:sz w:val="24"/>
                <w:szCs w:val="24"/>
              </w:rPr>
              <w:t xml:space="preserve">能感应检测：屏体可支持人体检测，检测屏体前有人时，正常显示。检测屏体前无人时，屏体低亮显示或黑屏节能；</w:t>
              <w:br/>
              <w:t xml:space="preserve">21、驱动方式：共阴恒流驱动设计；</w:t>
              <w:br/>
              <w:t xml:space="preserve">22、传输方式：显示产品单元模组电源、信号传输采用一体化传输；</w:t>
              <w:br/>
              <w:t xml:space="preserve">23、色域覆盖率：NTSC≥120%；</w:t>
              <w:br/>
              <w:t xml:space="preserve">24、摩尔纹抑制：支持摩尔纹抑制功能，主观抑制效果≥90；</w:t>
              <w:br/>
              <w:t xml:space="preserve">25、信号安全技术：可满足防信号远程窃密技术，具有良好的抗还原性能;覆盖范围广，涵盖10KHz~1.2GHz;干扰信号强度10KHz~230MHz区间，小于90dBuV;235MHz~1.2GHz 区间，小于</w:t>
            </w:r>
            <w:r>
              <w:rPr>
                <w:rFonts w:hint="eastAsia" w:ascii="宋体" w:hAnsi="宋体" w:cs="宋体"/>
                <w:color w:val="000000"/>
                <w:sz w:val="24"/>
                <w:szCs w:val="24"/>
              </w:rPr>
              <w:t xml:space="preserve"> 97dBuV;传导抑制&gt;35dB可以单机使用、可以组网使用；</w:t>
              <w:br/>
              <w:t xml:space="preserve">26、电力安全技术：可满足防电力远程窃密技术，采用信息相关方式阻止电力通信;覆盖范围广，涵盖1KHz~ 1.5GHz;输入/输出电源滤波设计抑制信号强度，具有很好的电磁兼容性;</w:t>
              <w:br/>
              <w:t xml:space="preserve">27、除湿功能：开机后自动检测客户端未使用时间长，智能匹配相应时间的除湿模式，使屏体从10%到100%亮度逐步显示，无需人工定期手动维护，除湿功能可手动开启和关闭；</w:t>
              <w:br/>
              <w:t xml:space="preserve">28、监测及预警功能：支持实时监控显示屏工作状态，具有计时功能及信号运行监测功能，具有坏点检测系统。支持</w:t>
            </w:r>
            <w:r>
              <w:rPr>
                <w:rFonts w:hint="eastAsia" w:ascii="宋体" w:hAnsi="宋体" w:cs="宋体"/>
                <w:color w:val="000000"/>
                <w:sz w:val="24"/>
                <w:szCs w:val="24"/>
              </w:rPr>
              <w:t xml:space="preserve">接收卡、信号状态、温度电压、IC信息、模组参数实时显示。支持当设备电压、温度超出阈值范围，主动进行故障报警，当接收卡之间的连接线断开时，系统主动进行故障报警，支持根据采集到信息生成健康度报告，报警方式包括邮件报警、短信报警、微信报警</w:t>
              <w:br/>
              <w:t xml:space="preserve">29、防护要求：模组正面IP65；防盐雾10级；</w:t>
              <w:br/>
              <w:t xml:space="preserve">30、校正：模组自带校正功能，带flash芯片，flash芯片容量大于8M；支持数据断电保存，支持数据存储及回读；</w:t>
              <w:br/>
              <w:t xml:space="preserve">31、箱体带测试按键，支持前后操作，可实现红、绿、蓝、白四种单色显示，横扫、竖扫等方式扫描显示；</w:t>
              <w:br/>
              <w:t xml:space="preserve">32、防霉要求</w:t>
            </w:r>
            <w:r>
              <w:rPr>
                <w:rFonts w:hint="eastAsia" w:ascii="宋体" w:hAnsi="宋体" w:cs="宋体"/>
                <w:color w:val="000000"/>
                <w:sz w:val="24"/>
                <w:szCs w:val="24"/>
              </w:rPr>
              <w:t xml:space="preserve">：符合 GB/T 2423.16-2022《环境试验 第2部分:试验方法试验及导则:长霉》标准，防长霉程度为 0 级；</w:t>
              <w:br/>
              <w:t xml:space="preserve">33、毒气安全：箱体单元烟气毒性测试符合 BS6853 标准，R(max.)≤0.4；</w:t>
              <w:br/>
              <w:t xml:space="preserve">箱体单元烟气毒性测试符合 BS6853 标准，R(max.)≤0.4；</w:t>
              <w:br/>
              <w:t xml:space="preserve">34、阻燃要求：PCB的阻燃等级应达到 V-0级；面板的阻燃等级应达到 V-0级；电源、信号连接器塑胶材料达到 V-0级；符合BS476-7表面燃烧测试1级标准；</w:t>
              <w:br/>
              <w:t xml:space="preserve">35、蓝光安全要求：符合光生物安全要求蓝光危害符合RG0标准无危害；</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平方米</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43.74</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长：21.6M*2.025M</w:t>
              <w:br w:type="textWrapping" w:clear="all"/>
              <w:t xml:space="preserve">分辨率17280*1620</w:t>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综合运维管理平台</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1、所投综合运维管理</w:t>
            </w:r>
            <w:r>
              <w:rPr>
                <w:rFonts w:hint="eastAsia" w:ascii="宋体" w:hAnsi="宋体" w:cs="宋体"/>
                <w:color w:val="000000"/>
                <w:sz w:val="24"/>
                <w:szCs w:val="24"/>
              </w:rPr>
              <w:t xml:space="preserve">平台能实现与所投LED小间距屏幕、发送卡、大屏配电箱无缝对接；</w:t>
              <w:br/>
              <w:t xml:space="preserve">2.设备分布：支持以可视化方式（GIS、位置示意图、区域表格），显示LED屏设备分布情况；</w:t>
              <w:br/>
              <w:t xml:space="preserve">3.支持可视化概览：大屏、发送卡、接收卡、计算机、PLC、拼控设备、摄像头等设备的运行状态总览（在线、离线、关键参数等）；支持屏幕回显：现场图片、摄像头、拼接器回显三种形式；</w:t>
              <w:br/>
              <w:t xml:space="preserve">4.支持PLC监测：开关状态展示、烟感、温感、湿度、亮度数据；支持拼接器状态监测：电压状态、风扇状态、输入接口状态、输出接口状态：支持图形工作站状态监测： CPU、内存、硬盘使用率</w:t>
            </w:r>
            <w:r>
              <w:rPr>
                <w:rFonts w:hint="eastAsia" w:ascii="宋体" w:hAnsi="宋体" w:cs="宋体"/>
                <w:color w:val="000000"/>
                <w:sz w:val="24"/>
                <w:szCs w:val="24"/>
              </w:rPr>
              <w:t xml:space="preserve">等；</w:t>
              <w:br/>
              <w:t xml:space="preserve">5.支持通用控制系统状态监测：发送卡、接收卡数量、走线方式、信号状态、温度电压、IC信息、模组参数实时显示；</w:t>
              <w:br/>
              <w:t xml:space="preserve">6.支持自研控制系统状态监测：视频卡、分配卡、模组数量，走线方式，HDMI信号状态、设备信号状态、传感器数据实时显示；</w:t>
              <w:br/>
              <w:t xml:space="preserve">7.支持模组状态监测：系统自动监测模组在线、离线状态，离线时发出报警；支持模组坏点监测，设定坏点报警阈值，超过阈值后报警（需要LED硬件支持该功能；</w:t>
              <w:br/>
              <w:t xml:space="preserve">8.支持屏体亮度自动调整：屏体亮度按照时间、环境光照度映射表两种方式进行自动调整，支持系统分区，不同区域之间可按照不同亮度方式</w:t>
            </w:r>
            <w:r>
              <w:rPr>
                <w:rFonts w:hint="eastAsia" w:ascii="宋体" w:hAnsi="宋体" w:cs="宋体"/>
                <w:color w:val="000000"/>
                <w:sz w:val="24"/>
                <w:szCs w:val="24"/>
              </w:rPr>
              <w:t xml:space="preserve">进行调整（环境光照度映射表方式需要搭配使用光感探头）；</w:t>
              <w:br/>
              <w:t xml:space="preserve">9.支持网关状态监测：广播、重启、延期、操作系统基础信息等数据展示；</w:t>
              <w:br/>
              <w:t xml:space="preserve">10.通过智能开关获取电力参数：电压、电流、功率、漏电，使用时长、通电时长、电量数据；可对显示屏设置检修模式，减少检修本身影响设备运行时造成的系统故障误报；</w:t>
              <w:br/>
              <w:t xml:space="preserve">11.智能网关和配套断路器可支持过压、欠压、过流、过功率的保护功能，当触发以上事件时网关可自动执行分闸操作，保护用电安全。</w:t>
              <w:br/>
              <w:t xml:space="preserve">12.智能网关和配套断路器可支持每路过温保护功能，当温度超过阈值自动执行分闸操作。</w:t>
              <w:br/>
              <w:t xml:space="preserve">13智能网关和配套断</w:t>
            </w:r>
            <w:r>
              <w:rPr>
                <w:rFonts w:hint="eastAsia" w:ascii="宋体" w:hAnsi="宋体" w:cs="宋体"/>
                <w:color w:val="000000"/>
                <w:sz w:val="24"/>
                <w:szCs w:val="24"/>
              </w:rPr>
              <w:t xml:space="preserve">路器可支持电力检修模式，当设备处于电力检修模式时，断路器一直处于分闸状态以保障用电安全。</w:t>
              <w:br/>
              <w:t xml:space="preserve">14.支持自研控制系统状态监测（视频卡、分配卡、模组数量，走线方式，HDMI信号状态、设备信号状态、传感器数据，支持HDMI信号异常时，系统主动进行故障报警，当分配卡之间的连接线异常时，系统主动进行故障报警，模组控制板之间连接线异常，系统主动进行报警）；</w:t>
              <w:br/>
              <w:t xml:space="preserve">15.支持邮件报警：配置接收人邮箱，报警立即发送邮件，单箱体信息采集时间≤5S，可增加任意数量的接收人邮箱；</w:t>
              <w:br/>
              <w:t xml:space="preserve">16.支持故障数据保存：可任意查看一年内的系统故障数据；</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发送卡</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1设备支持不少于1路HDMI和1路DVI同时实现视频输入及显示，同时二者可以实现备份显示；</w:t>
              <w:br w:type="textWrapping" w:clear="all"/>
              <w:t xml:space="preserve">2输入的HDMI和DVI信号都可以实现视频无损输出；</w:t>
              <w:br w:type="textWrapping" w:clear="all"/>
              <w:t xml:space="preserve">3支持最大分辨率不低于1920*1200@60Hz，并向下兼容。</w:t>
              <w:br w:type="textWrapping" w:clear="all"/>
              <w:t xml:space="preserve">4设备不低于6个网口。</w:t>
              <w:br w:type="textWrapping" w:clear="all"/>
              <w:t xml:space="preserve">5单网口最大带载不少于65万像素。</w:t>
              <w:br w:type="textWrapping" w:clear="all"/>
              <w:t xml:space="preserve">6多台设备之间可以实现同步传输显示，不同设备带载LED不会出现撕</w:t>
            </w:r>
            <w:r>
              <w:rPr>
                <w:rFonts w:hint="eastAsia" w:ascii="宋体" w:hAnsi="宋体" w:cs="宋体"/>
                <w:color w:val="000000"/>
                <w:sz w:val="24"/>
                <w:szCs w:val="24"/>
              </w:rPr>
              <w:t xml:space="preserve">裂现象。</w:t>
              <w:br/>
              <w:t xml:space="preserve">7支持查看当前灯板信息，预览走线图，支持灯板信息导出。</w:t>
              <w:br/>
              <w:t xml:space="preserve">8可用不同的身份登录控制系统，实现分权管理。</w:t>
              <w:br/>
              <w:t xml:space="preserve">9支持性能参数的调整、导入、导出，支持控制器文件导出及接收卡参数固化和发送。</w:t>
              <w:br/>
              <w:t xml:space="preserve">10支持对显示图像的亮度、色温、gamma、色域进行图像精细化调节。</w:t>
              <w:br/>
              <w:t xml:space="preserve">11支持屏幕的脱机矫正，亮暗线调节和Flash矫正。</w:t>
              <w:br/>
              <w:t xml:space="preserve">12支持发送卡、接收卡、屏队列参数的导出和导入。</w:t>
              <w:br/>
              <w:t xml:space="preserve">13支持对已连接设备的固件进行升级。</w:t>
              <w:br/>
              <w:t xml:space="preserve">14支持对设备进行固件信息的回读并导出为文件。</w:t>
              <w:br/>
              <w:t xml:space="preserve">15支持接收卡的恢复出厂设置。</w:t>
              <w:br/>
              <w:t xml:space="preserve">16支持中文和英文等语言切换。</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大屏钢结构</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镀锌方管焊制，室内钢结构设计，采用Q235B国标材料，屏体边框黑钛不锈钢</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前维护</w:t>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配电箱（50KW）</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大屏配电箱（含PLC控制板）</w:t>
              <w:br w:type="textWrapping" w:clear="all"/>
              <w:t xml:space="preserve">1、配置功率≥50kw，可适当增加余量；</w:t>
              <w:br w:type="textWrapping" w:clear="all"/>
              <w:t xml:space="preserve">2、配电系统需具有过载、欠压、短路、短相、漏电保护等功能，可自动处理各种应急情况；</w:t>
              <w:br w:type="textWrapping" w:clear="all"/>
              <w:t xml:space="preserve">3、显示屏发生过流、短路等故障时，能自动切断电源，并发出报警；</w:t>
              <w:br w:type="textWrapping" w:clear="all"/>
              <w:t xml:space="preserve">远程电力监控：远程故障报警，远程开关屏功能、可实现远程监控各路开关上电状态；</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大屏利旧</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LED大屏支架</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钢结构制作费用，显示面积约14.58㎡</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vMerge w:val="restart"/>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原反诈中心指挥大厅LED大屏14.58平方米（长7.2，高2.025）拆除，迁移，安装，调试，修复等工作</w:t>
            </w:r>
            <w:r/>
          </w:p>
        </w:tc>
      </w:tr>
      <w:tr>
        <w:trPr>
          <w:cantSplit/>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LED大屏拆除，安装，调试费用</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LED大屏拆除，安装，调试、修复，费用</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vMerge w:val="continue"/>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LED大屏拼控</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输入：4路HDMI</w:t>
              <w:br w:type="textWrapping" w:clear="all"/>
              <w:t xml:space="preserve">输出：8路HDMI</w:t>
              <w:br w:type="textWrapping" w:clear="all"/>
              <w:t xml:space="preserve">1、可传输1920*1200@60Hz及以下分辨率的HDMI信号</w:t>
              <w:br w:type="textWrapping" w:clear="all"/>
              <w:t xml:space="preserve">2、真60帧系统，完美支持1920*1200@60Hz不抽帧</w:t>
              <w:br w:type="textWrapping" w:clear="all"/>
              <w:t xml:space="preserve">3、RGB 4:4:4无损处理，完美画质，无色散、丢色阶等问题</w:t>
              <w:br w:type="textWrapping" w:clear="all"/>
              <w:t xml:space="preserve">4、整个大屏最多可显示16个信号窗口，单个屏幕最多8个窗口；信号窗口可叠加、缩放，灵活布局。</w:t>
              <w:br w:type="textWrapping" w:clear="all"/>
              <w:t xml:space="preserve">5、支持自定义输出分辨率、支持拼接大屏LED模式；完美支持不同大小LED 模组的拼接显示。</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vMerge w:val="continue"/>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LCD大屏拆除，安装，调试费用</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LCD大屏拆除，安装，调试、修复，费用</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vMerge w:val="restart"/>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原反诈中心工作区2套3*2LCD拼接屏幕拆除，迁移，安装，调试，修复等工作，屏幕支架利旧</w:t>
            </w:r>
            <w:r/>
          </w:p>
        </w:tc>
      </w:tr>
      <w:tr>
        <w:trPr>
          <w:cantSplit/>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LED大屏拼控</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输入：4路HDMI</w:t>
              <w:br w:type="textWrapping" w:clear="all"/>
              <w:t xml:space="preserve">输出：8路HDMI</w:t>
              <w:br w:type="textWrapping" w:clear="all"/>
              <w:t xml:space="preserve">1、可传输1920*1200@60Hz及以下分辨率的HDMI信号</w:t>
              <w:br w:type="textWrapping" w:clear="all"/>
              <w:t xml:space="preserve">2、真60帧系统，完美支持1920*1200@60Hz不抽帧</w:t>
              <w:br w:type="textWrapping" w:clear="all"/>
              <w:t xml:space="preserve">3、RGB 4:4:4无损处理，完美画质，无色散、丢色阶等问题</w:t>
              <w:br w:type="textWrapping" w:clear="all"/>
              <w:t xml:space="preserve">4、整个大屏最多可显示16个信号窗口，单个屏幕最多8个窗口；信号窗口可叠加、缩放，灵活布局。</w:t>
              <w:br w:type="textWrapping" w:clear="all"/>
              <w:t xml:space="preserve">5、支持自定义输出分辨率、支持拼接大屏LED模式；完美支持不同大小LED 模组的拼接显示。</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vMerge w:val="continue"/>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视频切换系统</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大屏拼控器</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系统采用嵌入式处理方式，不受操作系统影响，信号与桌面分别独立处理。模块化插卡式设计，输入卡、输出卡、控制卡、预监卡、回显卡、风扇、电源采用模块化设计，支持热插拔，更换时不影响其他模块的正常运行。支持冗余电源备份，可实现信号的处理与交换。</w:t>
              <w:br w:type="textWrapping" w:clear="all"/>
              <w:t xml:space="preserve">2.支持输出任意种测试颜色和网格图像，用于对设备输出通道进行测试。</w:t>
              <w:br w:type="textWrapping" w:clear="all"/>
              <w:t xml:space="preserve">3.支持场景预设和预案调用无缝切换，支持不少于18000个矩阵预案的保存管理；支持不少于18000个拼接预案的</w:t>
            </w:r>
            <w:r>
              <w:rPr>
                <w:rFonts w:hint="eastAsia" w:ascii="宋体" w:hAnsi="宋体" w:cs="宋体"/>
                <w:color w:val="000000"/>
                <w:sz w:val="24"/>
                <w:szCs w:val="24"/>
              </w:rPr>
              <w:t xml:space="preserve">保存管理。支持预案分组功能，且每个预案组可单独进行预案轮巡；每组预案轮巡时，预案之间的时间间隔可以单独调整。预案可通过手动、定时、激光笔触发三种方式进行调用，实现预案内容的快速切换。</w:t>
              <w:br/>
              <w:t xml:space="preserve">4.支持输出卡驱动设置，可通过对输出卡的驱动电流（预加重）和摆幅进行调 整，可实现链路的延长传输，传输信号的画面稳定。</w:t>
              <w:br/>
              <w:t xml:space="preserve">5.支持在拼接屏上显示多组静态条幅，条幅布局可选，内容可调，背景颜色及透明度分区域可配，字体类型、大小、颜色、对齐方式、字间距分区域可配。支持多种不同时间，包括：时区时间显示、本地/远程时间显示、时间数字样式</w:t>
            </w:r>
            <w:r>
              <w:rPr>
                <w:rFonts w:hint="eastAsia" w:ascii="宋体" w:hAnsi="宋体" w:cs="宋体"/>
                <w:color w:val="000000"/>
                <w:sz w:val="24"/>
                <w:szCs w:val="24"/>
              </w:rPr>
              <w:t xml:space="preserve">、星期时间显示，可实时动态显示日期和时间且格式可选。时间来源可以是本地也可以从远程服务器获取，条幅内容可编辑文字或者导入图片。</w:t>
              <w:br/>
              <w:t xml:space="preserve">6.支持对输入源图像进行裁剪，既可输入像素点进行精确裁剪，也可通过鼠标拖拽方式进行可视化裁剪。</w:t>
              <w:br/>
              <w:t xml:space="preserve">7.支持新增、编辑、删除用户名、密码用户信息，支持为用户设置操作权限，可控制每个用户对于每个功能项和菜单的操作权限，也可控制每个用户对于每个输入源和输出端口的操作权限。</w:t>
              <w:br/>
              <w:t xml:space="preserve">8.支持控制卡热备份，当主控制卡故障的时候，无需人为操作即可自动切换到备份控制卡进行设备的控制，双控制卡均故障或拔出的</w:t>
            </w:r>
            <w:r>
              <w:rPr>
                <w:rFonts w:hint="eastAsia" w:ascii="宋体" w:hAnsi="宋体" w:cs="宋体"/>
                <w:color w:val="000000"/>
                <w:sz w:val="24"/>
                <w:szCs w:val="24"/>
              </w:rPr>
              <w:t xml:space="preserve">条件下，输出图像依然可保持原来正常的显示状态，不会出现黑屏、闪烁情况。</w:t>
              <w:br/>
              <w:t xml:space="preserve">9.风扇运行支持自动、手动两种设置模式。智能控速风扇支持8档风扇转速调节，在操作界面可显示风扇当前转速，并可根据设备的运行状态及当前环境温度进行智能调节转速，实现定速巡航。</w:t>
              <w:br/>
              <w:t xml:space="preserve">10.支持对输入卡设置期望分辨率，可以智能检测输入信号状态，当输入信号的分辨率与所设置的期望分辨率不符时，设备可以自动关闭输出信号，并可在设备状态监测界面中查看输入信号是否符合期望分辨率，并可根据监测信息进行检修。</w:t>
              <w:br/>
              <w:t xml:space="preserve">11.产品平均无故障时间MTBF≥100000h。</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张</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vMerge w:val="restart"/>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20路4K输入+8路反诈平台高分电脑输入，24路1080输出（大屏发送卡）</w:t>
            </w:r>
            <w:r/>
          </w:p>
        </w:tc>
      </w:tr>
      <w:tr>
        <w:trPr>
          <w:cantSplit/>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2路4K60-DP输入卡</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4K60-DP输入卡，单板支持不少于2路输入；分辨率支持不低于3840*2160@60，支持随路音频。</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张</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037" w:type="auto"/>
            <w:vAlign w:val="center"/>
            <w:vMerge w:val="continue"/>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4路4KHDMI输入卡</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HDMI1.3输出，最大支持输出分辨率不低于2048x1152@60HZ</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张</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037" w:type="auto"/>
            <w:vAlign w:val="center"/>
            <w:vMerge w:val="continue"/>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8路HDMI输出卡</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HDMI输出卡，单板支持8路输出，最高分辨率不低于1920*1080@60；</w:t>
              <w:br w:type="textWrapping" w:clear="all"/>
              <w:t xml:space="preserve">单卡或单个输出端口最多可开16窗（2K：16个，4K30：8个；4K60：4个），卡内图层共享，跨端口开窗图层数量不减。</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张</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037" w:type="auto"/>
            <w:vAlign w:val="center"/>
            <w:vMerge w:val="continue"/>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大屏信号控制器</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具备不少于一路DVI输入接口，双口、单光纤传输KVM、Audio信号，支持DVI、VGA信号传输，支持环出</w:t>
              <w:br w:type="textWrapping" w:clear="all"/>
              <w:t xml:space="preserve">具备不少于一路DVI输出接口，双口、单光纤传输KVM、Audio信号</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vMerge w:val="continue"/>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多功能综合信号处理器</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1.最大支持共160路输入/输出的交换容量</w:t>
              <w:br w:type="textWrapping" w:clear="all"/>
              <w:t xml:space="preserve">2.主机前面板液晶屏可显示设备运行状态，支持查询并修改设备IP地址、网关、掩</w:t>
            </w:r>
            <w:r>
              <w:rPr>
                <w:rFonts w:hint="eastAsia" w:ascii="宋体" w:hAnsi="宋体" w:cs="宋体"/>
                <w:color w:val="000000"/>
                <w:sz w:val="24"/>
                <w:szCs w:val="24"/>
              </w:rPr>
              <w:t xml:space="preserve">码等信息，支持MAC地址查询。</w:t>
              <w:br/>
              <w:t xml:space="preserve">3.采用非交换机、非TCP/IP协议的闭环式光纤架构，视频和控制数据通过不同光纤进行传输，通过专用物理信道承载管理控制信息。</w:t>
              <w:br/>
              <w:t xml:space="preserve">4.光纤矩阵支持安装HDMI/DVI/VGA/DP/SDI/YPBPR/CVBS等视频板卡，每张板卡支持不少于4路的4K视频信号的输入/出。</w:t>
              <w:br/>
              <w:t xml:space="preserve">5.视频信号从输入端到输出端的延迟≤16ms。</w:t>
              <w:br/>
              <w:t xml:space="preserve">6.信号切换时，无延时、无黑场、无蓝屏、无闪屏等中间过渡态，切换时间≤16ms。</w:t>
              <w:br/>
              <w:t xml:space="preserve">7.机箱卡槽位采用双向数据通道，单个卡槽支持输入/输出板卡混插，不受输入卡或输出卡</w:t>
            </w:r>
            <w:r>
              <w:rPr>
                <w:rFonts w:hint="eastAsia" w:ascii="宋体" w:hAnsi="宋体" w:cs="宋体"/>
                <w:color w:val="000000"/>
                <w:sz w:val="24"/>
                <w:szCs w:val="24"/>
              </w:rPr>
              <w:t xml:space="preserve">相邻槽位连续使用的限制，支持输入、输出卡无序随意盲插；输入、输出卡相互独立，任意输入卡拔出或故障不影响其他输入卡的预监等功能，任意输出卡拔出或故障不影响其他输出卡的回显等功能；</w:t>
              <w:br/>
              <w:t xml:space="preserve">8.输入、输出卡支持端口自适应，可按照需求任意分配输入、输出端口，端口无需配置可自动识别输入、输出节点；支持任意输入、输出光端机从主机一个端口拔下换至另外一个空余端口，信号可快速恢复，整个过程无需人工干预，且无需重新设置。信号恢复时间≤0.5s</w:t>
              <w:br/>
              <w:t xml:space="preserve">9.平均无故障间隔时间（MTBF）≥20万小时，平均故障修复（MTTR）时间≤25分钟。</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8路光纤接口卡</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光纤接口卡，单板支持不少于8路光纤输入/输出，支持嵌入式音频，可按需配置成输入或输出</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张</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20台电脑，2台视频会议主机，2路备用</w:t>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4路4K-HDMI输入卡</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4K HDMI输入卡，单板支持不少于4路输入，支持嵌入式音频输入</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张</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电视墙16路，2路视频会议信号，6路备用</w:t>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4路4K-HDMI输出卡</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4K HDMI输出卡，单板支持不少于4路输出，支持嵌入式音频输出</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张</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20路大屏拼控，2路视频会议，2路音频解析</w:t>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4KHDMI 光纤发送器</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具备一路4KHDMI输入和环出接口，双口、单光纤传输Video、Audio信号</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指挥大厅电脑信号</w:t>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HDMI 光纤发送器</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具备一路HDMI输入和输出接口，双口、单光纤传输Video、Audio信号。</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会议摄像机信号</w:t>
            </w: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会议系统</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发言系统</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全数字会议系统主机</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1.设备具有音频时钟同步传输技术，端到端音频传输＜5ms。</w:t>
              <w:br w:type="textWrapping" w:clear="all"/>
              <w:t xml:space="preserve">2.内置DSP处理器，具有≥16路音频矩阵、啸叫抑制、≥10段EQ调节、音量dB值调节、延时器调节功能。</w:t>
              <w:br w:type="textWrapping" w:clear="all"/>
              <w:t xml:space="preserve">3.设备具有会议发言录音功能；搭配会议话筒可以录制单个话筒发言音频或录制所有话筒混音输出音频；支持通过主机U盘录音或</w:t>
            </w:r>
            <w:r>
              <w:rPr>
                <w:rFonts w:hint="eastAsia" w:ascii="宋体" w:hAnsi="宋体" w:cs="宋体"/>
                <w:color w:val="000000"/>
                <w:sz w:val="24"/>
                <w:szCs w:val="24"/>
              </w:rPr>
              <w:t xml:space="preserve">PC软件录音。</w:t>
              <w:br/>
              <w:t xml:space="preserve">4.设备接口：通讯接口：≥2路RS232接口、≥1路RS-485接口、≥4路RJ45；音频输出接口≥1路RCA、≥1路卡侬头、≥16路凤凰端子；音频输入接口≥1路RCA、≥1路卡侬头、≥2路凤凰端子。</w:t>
              <w:br/>
              <w:t xml:space="preserve">5.支持≥16通道音频输出功能，可灵活配置为有线角色分离输出模式、无线角色分离输出模式、同传输出模式、相控输出模式。每个输出通道都可以调节10段EQ、音量dB值调节、延时器参数调节。</w:t>
              <w:br/>
              <w:t xml:space="preserve">6.设备具有安卓手机APP软件、平板APP软件控制的功能，通过软件可控制话筒开关、开启签到、投票、表决，接收会</w:t>
            </w:r>
            <w:r>
              <w:rPr>
                <w:rFonts w:hint="eastAsia" w:ascii="宋体" w:hAnsi="宋体" w:cs="宋体"/>
                <w:color w:val="000000"/>
                <w:sz w:val="24"/>
                <w:szCs w:val="24"/>
              </w:rPr>
              <w:t xml:space="preserve">议服务信息、一键关闭无线话筒等功能，免PC操作。</w:t>
              <w:br/>
              <w:t xml:space="preserve">7.设备具有客户端、WEB端控制方式，通过客户端或WEB端可调节音频矩阵参数（包括EQ、音量、延时器、话筒灵敏度等）、≥16通道输出模式切换、开关话筒同步、中英俄法四种语言切换、控制角色分离主机。</w:t>
              <w:br/>
              <w:t xml:space="preserve">8.支持搭配同声传译系统，最大可同时传输≥63+1的有线同声传译。</w:t>
              <w:br/>
              <w:t xml:space="preserve">9.系统与语音转写系统深度适配，系统之间通过网线交互数据，实现角色分离语音转写功能。</w:t>
              <w:br/>
              <w:t xml:space="preserve">10.会议主机具备注册天数显示功能，可以随时了解注册后使用的剩余天数；支持触摸设备屏幕输入注册码进行主机注册。</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会议话筒处理器</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1.具有AFC反馈抑制功能，采用陷波+移频双方式，能够自动抓取啸叫点并设置陷波器陷波，陷波器支持≥12个固定点≥+12个动态点，可有效消除啸叫功能。</w:t>
              <w:br w:type="textWrapping" w:clear="all"/>
              <w:t xml:space="preserve">2.具有话筒语音激励功能，可设置跟踪阈值，当话筒发言达阈值时可实现联动摄像跟踪功能。具有EQ调节功能，输出具有≥31段图示均衡器调节。</w:t>
              <w:br w:type="textWrapping" w:clear="all"/>
              <w:t xml:space="preserve">4</w:t>
            </w:r>
            <w:r>
              <w:rPr>
                <w:rFonts w:hint="eastAsia" w:ascii="宋体" w:hAnsi="宋体" w:cs="宋体"/>
                <w:color w:val="000000"/>
                <w:sz w:val="24"/>
                <w:szCs w:val="24"/>
              </w:rPr>
              <w:t xml:space="preserve">.具有≥2路网口，用于连接无线AP和与会议主机通信；通过网络协议对接数字会议主机，实现音频数据传输。具有≥1路EXTENSION接口，用于连接会议主机扩展口。具有≥1路卡侬平衡输出，≥1路莲花非平衡输出。</w:t>
              <w:br/>
              <w:t xml:space="preserve">4.具有≥1路RS-485通信接口，支持对接摄像机实现摄像跟踪。具有≥1路RS-232通信接口（摄像跟踪），对接中控系统主机或摄像跟踪主机实现发言摄像跟踪功能。具有≥1路RS-232通信接口（语音转写），支持对接语音转写服务器，实现语音转写功能。</w:t>
              <w:br/>
              <w:t xml:space="preserve">5.支持话筒同时开麦数量≥16个有线单元+≥8个无线单元。</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会议话筒（主席单元）</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1.采用短咪杆拾音设计，远距离拾音。咪杆高度（或长度）≤240mm。</w:t>
              <w:br w:type="textWrapping" w:clear="all"/>
              <w:t xml:space="preserve">2.单元采用非压缩音频传输技术，≥48K采样率，</w:t>
            </w:r>
            <w:r>
              <w:rPr>
                <w:rFonts w:hint="eastAsia" w:ascii="宋体" w:hAnsi="宋体" w:cs="宋体"/>
                <w:color w:val="000000"/>
                <w:sz w:val="24"/>
                <w:szCs w:val="24"/>
              </w:rPr>
              <w:t xml:space="preserve">等同或优于80Hz-16KHz带宽音质。</w:t>
              <w:br/>
              <w:t xml:space="preserve">3.单元采用≥100M网络传输，采用单线接入环形网络。</w:t>
              <w:br/>
              <w:t xml:space="preserve">4.单元通信采用标准TCP/IP协议，且每个单元可支持ping包功能。</w:t>
              <w:br/>
              <w:t xml:space="preserve">5.具有旗形全彩触屏。</w:t>
              <w:br/>
              <w:t xml:space="preserve">6.同声传译支持≥63+1通道，所有主席和代表单元的发言都在0通道收听，1到63通道为收听译员机发言的通道。</w:t>
              <w:br/>
              <w:t xml:space="preserve">7.单元支持 PC 软件话筒控制，支持声控功能。</w:t>
              <w:br/>
              <w:t xml:space="preserve">8.每个单元支持web管理服务，支持≥四种语言切换、调节话筒ID号、话筒灵敏度。</w:t>
              <w:br/>
              <w:t xml:space="preserve">9.单元具有发言计时和定时发言功能，主席单元具备关闭代表单元发言的优先权限。</w:t>
            </w:r>
            <w:r>
              <w:rPr>
                <w:rFonts w:hint="eastAsia" w:ascii="宋体" w:hAnsi="宋体" w:cs="宋体"/>
                <w:color w:val="000000"/>
                <w:sz w:val="24"/>
                <w:szCs w:val="24"/>
              </w:rPr>
              <w:br/>
              <w:t xml:space="preserve">10.单元内部具有反馈抑制功能，具有声控功能，声控灵敏度可调。</w:t>
              <w:br/>
              <w:t xml:space="preserve">11.单元支持签到功能，也可以通过PC软件禁止单元签到、控制单元签到等功能。</w:t>
              <w:br/>
              <w:t xml:space="preserve">12.单元支持表决功能，有多种表决模式选择，且选项内容可自定义下发到单元显示。</w:t>
              <w:br/>
              <w:t xml:space="preserve">13.单元支持web页面固件升级功能。</w:t>
              <w:br/>
              <w:t xml:space="preserve">14.单元支持IP地址嗅探功能，通过PC工具可以查找到未知单元的ID号、IP地址、MAC地址等参数。</w:t>
              <w:br/>
              <w:t xml:space="preserve">15.单元支持网络修改设备类型（主席/代表）、设置时钟屏保。</w:t>
              <w:br/>
              <w:t xml:space="preserve">16.具备≥1个3.5mm耳机接口，支持收听同声传译通道的声音或用于连接外置麦克风。</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会议话筒（代表单元）</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1.采用短咪杆拾音设计，远距离拾音。咪杆高度（或长度）≤240mm。</w:t>
              <w:br w:type="textWrapping" w:clear="all"/>
              <w:t xml:space="preserve">2.单元采用非压缩音频传输技术</w:t>
            </w:r>
            <w:r>
              <w:rPr>
                <w:rFonts w:hint="eastAsia" w:ascii="宋体" w:hAnsi="宋体" w:cs="宋体"/>
                <w:color w:val="000000"/>
                <w:sz w:val="24"/>
                <w:szCs w:val="24"/>
              </w:rPr>
              <w:t xml:space="preserve">，≥48K采样率，等同或优于80Hz-16KHz带宽音质。</w:t>
              <w:br/>
              <w:t xml:space="preserve">3.单元采用100M网络传输，采用单线接入环形网络。</w:t>
              <w:br/>
              <w:t xml:space="preserve">4.单元通信采用标准TCP/IP协议，且每个单元可支持ping包功能。</w:t>
              <w:br/>
              <w:t xml:space="preserve">5.具有旗形全彩触屏。</w:t>
              <w:br/>
              <w:t xml:space="preserve">6.同声传译支持≥63+1通道，所有主席和代表单元的发言都在0通道收听，1到63通道为收听译员机发言的通道。</w:t>
              <w:br/>
              <w:t xml:space="preserve">7.单元支持 PC 软件话筒控制，支持声控功能。</w:t>
              <w:br/>
              <w:t xml:space="preserve">8.单元具有发言计时和定时发言功能，代表机具有申请发言功能。</w:t>
              <w:br/>
              <w:t xml:space="preserve">9.单元内部具有反馈抑制功能，具有声控功能，声控灵敏度可调。</w:t>
              <w:br/>
              <w:t xml:space="preserve">10.单元支持签到</w:t>
            </w:r>
            <w:r>
              <w:rPr>
                <w:rFonts w:hint="eastAsia" w:ascii="宋体" w:hAnsi="宋体" w:cs="宋体"/>
                <w:color w:val="000000"/>
                <w:sz w:val="24"/>
                <w:szCs w:val="24"/>
              </w:rPr>
              <w:t xml:space="preserve">功能，也可以通过PC软件禁止单元签到、控制单元签到等功能。</w:t>
              <w:br/>
              <w:t xml:space="preserve">11.单元支持表决功能，有多种表决模式选择，且选项内容可自定义下发到单元显示。</w:t>
              <w:br/>
              <w:t xml:space="preserve">12.单元支持web页面固件升级功能。</w:t>
              <w:br/>
              <w:t xml:space="preserve">13.单元支持网络修改设备类型（主席/代表）、设置时钟屏保。</w:t>
              <w:br/>
              <w:t xml:space="preserve">14.具备≥1个3.5mm耳机接口，支持收听同声传译通道的声音或用于连接外置麦克风。</w:t>
              <w:br/>
              <w:t xml:space="preserve">15.每个单元支持web管理服务，支持≥四种语言切换、调节话筒ID号、话筒灵敏度。</w:t>
              <w:br/>
              <w:t xml:space="preserve">16.单元支持IP地址嗅探功能，通过PC工具可以查找到未知单元的ID号、IP地址、MAC地址等参数。</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话筒连接主线缆</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≥50米延长线（一公一母）</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根</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一拖二无线手持话筒</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1.频率指标不低于：支持470-510MHz、540-590MHz、640-690MHz、807-830MHz。</w:t>
              <w:br w:type="textWrapping" w:clear="all"/>
              <w:t xml:space="preserve">2.配套有≥1台接收主机和≥2个无线手持话筒。</w:t>
              <w:br w:type="textWrapping" w:clear="all"/>
              <w:t xml:space="preserve">3.采用UHF超高频段双真分集接收，并采用PLL锁相环多信道频率合成技术；V/A显示屏在任何角度观察字体清晰同时显示信道号与工作频率。红外对频功能，能方便、快捷地使发射机与接收机频率同步，超强的抗干扰能</w:t>
            </w:r>
            <w:r>
              <w:rPr>
                <w:rFonts w:hint="eastAsia" w:ascii="宋体" w:hAnsi="宋体" w:cs="宋体"/>
                <w:color w:val="000000"/>
                <w:sz w:val="24"/>
                <w:szCs w:val="24"/>
              </w:rPr>
              <w:t xml:space="preserve">力，能有效抑制由外部带来的噪音干扰及同频干扰。</w:t>
              <w:br/>
              <w:t xml:space="preserve">4.带≥8级射频电平显示，≥8级音频电平显示，频道菜单显示，静音显示；具有SCAN 自动扫频功能，使用前按SET功能键自动找一个环境最干净的频点处停下来，此频率作为接收机的使用频率。</w:t>
              <w:br/>
              <w:t xml:space="preserve">5.平衡和非平衡两种选择输出端口，适应不同的设备连接需求。</w:t>
              <w:br/>
              <w:t xml:space="preserve">6.接收机指标：采用二次变频超外差的接收机方式，灵敏度:≥ 12dB μV（80dBS/N)，灵敏度调节范围:12-32dB μV，频率响应不低于:80Hz-18KHz（±3dB）。</w:t>
              <w:br/>
              <w:t xml:space="preserve">7.发射机指标：音头采用动圈式麦克风</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一拖八桌面长咪杆话筒</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1.具有≥1台接收主机、≥8只桌面式鹅颈咪杆话筒；频率范围等同或优于540MHz-590MHz、640MHz-690MHz。</w:t>
              <w:br w:type="textWrapping" w:clear="all"/>
              <w:t xml:space="preserve">2.接收机具有≥8路平衡输出、≥2</w:t>
            </w:r>
            <w:r>
              <w:rPr>
                <w:rFonts w:hint="eastAsia" w:ascii="宋体" w:hAnsi="宋体" w:cs="宋体"/>
                <w:color w:val="000000"/>
                <w:sz w:val="24"/>
                <w:szCs w:val="24"/>
              </w:rPr>
              <w:t xml:space="preserve">路非平衡混音输出。</w:t>
              <w:br/>
              <w:t xml:space="preserve">3.具有自动频率扫描功能，可快速地给麦克风找到清晰的频率。</w:t>
              <w:br/>
              <w:t xml:space="preserve">4.支持混响调节功能，比例调节、延时调节、电平调节≥25个档位。</w:t>
              <w:br/>
              <w:t xml:space="preserve">5.支持麦克风均衡器调节功能，≥高、中、低音三种调节档位。</w:t>
              <w:br/>
              <w:t xml:space="preserve">6.接收机具有显示屏，用户可通过显示屏查看设备发射功率强度、音频加密状态、电池电量、频率数值。</w:t>
              <w:br/>
              <w:t xml:space="preserve">7.桌面麦≥1个3.5mm耳机孔，可通过3.5mm耳机孔输入音频。</w:t>
              <w:br/>
              <w:t xml:space="preserve">8.桌面麦支持通过Type-C口进行充电。</w:t>
              <w:br/>
              <w:t xml:space="preserve">9.桌面麦电池孔位≥4个，连续使用时长≥15小时；电池具有扩展性，连续使用时长可扩展至≥60小时。</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桌面话筒电池</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提供WiFi会议单元电池（18650锂电池）≥4颗/包，每颗电池容量为≥2400mAh。</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包</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天线分配器</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1.具有≥2个信号输入接口，支持接收天线信号，实现放大射频信号的效果。</w:t>
              <w:br w:type="textWrapping" w:clear="all"/>
              <w:t xml:space="preserve">2.具有≥8个天线信号输出接口，可将一对天线分频至4台（一拖二）接收机达到扩展无线话筒系统的目的。</w:t>
              <w:br w:type="textWrapping" w:clear="all"/>
              <w:t xml:space="preserve">3.具有≥2个天线级联接口；支持级联分配器，可实现放大射频信号扩展无线话筒天线的目的。</w:t>
              <w:br w:type="textWrapping" w:clear="all"/>
              <w:t xml:space="preserve">4.具有≥4个直流电源接口，支持给4台接收机提供供电。</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话筒天线</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1.射频频率范围等同或优于470～950MHz</w:t>
              <w:br w:type="textWrapping" w:clear="all"/>
              <w:t xml:space="preserve">2.驻波比：≤2.0</w:t>
              <w:br w:type="textWrapping" w:clear="all"/>
              <w:t xml:space="preserve">3.输入阻抗：≤50Ω</w:t>
              <w:br w:type="textWrapping" w:clear="all"/>
              <w:t xml:space="preserve">4.指向性：≥180度指向</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天线放大器</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1.频率范围≥470-950MHZ</w:t>
              <w:br w:type="textWrapping" w:clear="all"/>
              <w:t xml:space="preserve">2.端子：BNC</w:t>
              <w:br w:type="textWrapping" w:clear="all"/>
              <w:t xml:space="preserve">3.噪声：≤3dB</w:t>
              <w:br w:type="textWrapping" w:clear="all"/>
              <w:t xml:space="preserve">4.增益：≥20dB</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扩声系统</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主扩音柱</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1.采用≥12只3寸全频喇叭单元。</w:t>
              <w:br w:type="textWrapping" w:clear="all"/>
              <w:t xml:space="preserve">2.箱体采用≥12mm高密度板，CNC加工，耐磨喷漆处理。</w:t>
              <w:br w:type="textWrapping" w:clear="all"/>
              <w:t xml:space="preserve">3.拼接排列扬声器设计。</w:t>
              <w:br w:type="textWrapping" w:clear="all"/>
              <w:t xml:space="preserve">4.额定功率≥400W,峰值功率≥1600W</w:t>
              <w:br w:type="textWrapping" w:clear="all"/>
              <w:t xml:space="preserve">5.最大声压级（额定/峰值）≥124dB/130dB</w:t>
              <w:br w:type="textWrapping" w:clear="all"/>
              <w:t xml:space="preserve">6.标称阻抗≤6Ω</w:t>
              <w:br w:type="textWrapping" w:clear="all"/>
              <w:t xml:space="preserve">7.频率范围等同或优于60Hz-20kHz</w:t>
              <w:br w:type="textWrapping" w:clear="all"/>
              <w:t xml:space="preserve">8.灵敏度≥98dB(1M/1W)</w:t>
              <w:br w:type="textWrapping" w:clear="all"/>
              <w:t xml:space="preserve">(含支架）</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只</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吸顶音箱</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1.采用≥1只6.5寸中低音喇叭单元和≥1只1.5"球顶高音单元的同轴设计方案；</w:t>
              <w:br w:type="textWrapping" w:clear="all"/>
              <w:t xml:space="preserve">2.采用吸顶安装方式，采用铁质网罩内贴防尘网棉。</w:t>
              <w:br w:type="textWrapping" w:clear="all"/>
              <w:t xml:space="preserve">3.分频器优化功率响应及人声部分的中频表现力。</w:t>
              <w:br w:type="textWrapping" w:clear="all"/>
              <w:t xml:space="preserve">4.额定功率≥100W</w:t>
              <w:br w:type="textWrapping" w:clear="all"/>
              <w:t xml:space="preserve">5.阻抗：≤8Ω</w:t>
              <w:br w:type="textWrapping" w:clear="all"/>
              <w:t xml:space="preserve">6.灵敏度(1W/1M)≥92dB</w:t>
              <w:br w:type="textWrapping" w:clear="all"/>
              <w:t xml:space="preserve">7.频率响应(-10dB)等同或优于60Hz-20KHz</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只</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专业功放（主扩）</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1.1U机箱设计，采用D类数字功放设计方案。</w:t>
              <w:br w:type="textWrapping" w:clear="all"/>
              <w:t xml:space="preserve">2.标准XLR输入接口，和LINK输出口。</w:t>
              <w:br w:type="textWrapping" w:clear="all"/>
              <w:t xml:space="preserve">3.电源采用开关电源技术，效率高，有效地抑制电源谐波。</w:t>
              <w:br w:type="textWrapping" w:clear="all"/>
              <w:t xml:space="preserve">4.内置智能削峰限幅器，支持开机软启动，防止开机时向电网吸收大电流，干扰其他用电设备。</w:t>
              <w:br w:type="textWrapping" w:clear="all"/>
              <w:t xml:space="preserve">5.具有：过压保护，欠压保护，过流保护，直流保护，输出短路保护，温控风扇等功能。</w:t>
              <w:br w:type="textWrapping" w:clear="all"/>
              <w:t xml:space="preserve">6.输出功率：立体声@8Ω：≥700W×2；立体声@4Ω：≥1000W×2；桥接@1</w:t>
            </w:r>
            <w:r>
              <w:rPr>
                <w:rFonts w:hint="eastAsia" w:ascii="宋体" w:hAnsi="宋体" w:cs="宋体"/>
                <w:color w:val="000000"/>
                <w:sz w:val="24"/>
                <w:szCs w:val="24"/>
              </w:rPr>
              <w:t xml:space="preserve">6Ω：≥1400W；桥接@8Ω：≥2000W</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专业功放（吸顶）</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1.1U机箱设计，采用D类数字功放设计方案。</w:t>
              <w:br w:type="textWrapping" w:clear="all"/>
              <w:t xml:space="preserve">2.标准XLR输入接口，和LINK输出口。</w:t>
              <w:br w:type="textWrapping" w:clear="all"/>
              <w:t xml:space="preserve">3.电源采用开关电源技术，效率高，有效地抑制电源谐波。</w:t>
              <w:br w:type="textWrapping" w:clear="all"/>
              <w:t xml:space="preserve">4.内置智能削峰限幅器，支持开机软启动，防止开机时向电网吸收大电流，干扰其他用电设备。</w:t>
              <w:br w:type="textWrapping" w:clear="all"/>
              <w:t xml:space="preserve">5.具有：过压保护，欠压保护，过流保护，直流保护，输出短路保护，温控风扇等功能。</w:t>
              <w:br w:type="textWrapping" w:clear="all"/>
              <w:t xml:space="preserve">6.输出功率：立体声@8Ω：≥200W×2；立体声@4Ω：≥400W×2。</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数字调音台</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1.支持≥8路麦克风输入兼容6路线路输入接口，支持≥2路立体声输入接口，≥4路RCA输入，话筒接口幻象电源：+48V。</w:t>
              <w:br w:type="textWrapping" w:clear="all"/>
              <w:t xml:space="preserve">2.具有≥2组立体主输出、≥4路编组输出、≥4路辅助输出、≥1组立体声监听输出、≥1个耳机监听输出、≥1个效果输出、≥1组主混音断点插入、≥6个断点插入。</w:t>
              <w:br w:type="textWrapping" w:clear="all"/>
              <w:t xml:space="preserve">3.内置≥24位DSP效果器，提供≥100种预设效果。</w:t>
              <w:br w:type="textWrapping" w:clear="all"/>
              <w:t xml:space="preserve">4.具备≥13个60mm行程的高精密碳膜推子。</w:t>
              <w:br w:type="textWrapping" w:clear="all"/>
              <w:t xml:space="preserve">5.内置USB声卡模块，支持连接电脑进行音乐播放和声音录音；内置MP3播放器，支持≥1个USB接口接U盘播放音乐。</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音频处理器</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1.数字音频处理器支持≥8路平衡式话筒/线路输入通道，采用裸线接口端子，平衡接法；支持≥8路平衡式线路输出，采用裸线接口端子，平衡接法。</w:t>
              <w:br w:type="textWrapping" w:clear="all"/>
              <w:t xml:space="preserve">2.输出通道支持≥12段参量均衡，≥31段图示均衡、延时器、分频器、高低通滤波器、限幅器。</w:t>
              <w:br w:type="textWrapping" w:clear="all"/>
              <w:t xml:space="preserve">3.高性能专业DSP处理器，支持≥32bit/48kHz的声音，支持输入通道48</w:t>
            </w:r>
            <w:r>
              <w:rPr>
                <w:rFonts w:hint="eastAsia" w:ascii="宋体" w:hAnsi="宋体" w:cs="宋体"/>
                <w:color w:val="000000"/>
                <w:sz w:val="24"/>
                <w:szCs w:val="24"/>
              </w:rPr>
              <w:t xml:space="preserve">V幻象供电。</w:t>
              <w:br/>
              <w:t xml:space="preserve">4.具有IPS真彩显示屏，支持显示设备网络信息、实时电平、通道静音状态。</w:t>
              <w:br/>
              <w:t xml:space="preserve">5.支持通过APP软件进行操作控制，面板具备USB接口，支持多媒体存储，可进行播放或存储录播。</w:t>
              <w:br/>
              <w:t xml:space="preserve">6.配置双向RS-232接口，可用于控制外部设备；配置RS-485接口，可实现自动摄像跟踪功能。配置≥8通道可编程GPIO控制接口（可自定义输入输出）。</w:t>
              <w:br/>
              <w:t xml:space="preserve">7.支持断电自动保护记忆功能。支持通道拷贝、粘贴、联控功能。管理控制软件可工作在Windows7、8、10等系统环境下。</w:t>
              <w:br/>
              <w:t xml:space="preserve">8.≥8个场景预设，支持场景信息导入、场景信息导出。</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抑制器</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1.高性能DSP处理，≥40-bit DSP处理器（400兆主频），提供≥32-bit/48kHz的声音。</w:t>
              <w:br w:type="textWrapping" w:clear="all"/>
              <w:t xml:space="preserve">2.采用“陷波”+“移频”双方式进行反馈抑制。陷波器提供12固定点+12动态点。高精度移频，范围等同或优于-10Hz到10Hz。</w:t>
              <w:br w:type="textWrapping" w:clear="all"/>
              <w:t xml:space="preserve">3.均衡器支持≥31段图示均衡器和8段参量均衡器。</w:t>
              <w:br w:type="textWrapping" w:clear="all"/>
              <w:t xml:space="preserve">4.支持巴特沃斯，贝塞尔，林克威治-瑞利三种类型及多种倍频程。</w:t>
            </w:r>
            <w:r>
              <w:rPr>
                <w:rFonts w:hint="eastAsia" w:ascii="宋体" w:hAnsi="宋体" w:cs="宋体"/>
                <w:color w:val="000000"/>
                <w:sz w:val="24"/>
                <w:szCs w:val="24"/>
              </w:rPr>
              <w:br/>
              <w:t xml:space="preserve">5.具有自动增益功能，声音达到一定峰值自动衰减变小，声音较小则自动增益放大。</w:t>
              <w:br/>
              <w:t xml:space="preserve">6.具有一个IPS真彩显示屏。支持中英文切换显示。</w:t>
              <w:br/>
              <w:t xml:space="preserve">7.具有≥48个陷波器状态LED指示灯实时显示，每通道≥12个静态+≥12个动态陷波器。</w:t>
              <w:br/>
              <w:t xml:space="preserve">8.具有≥双通道直通，一键重置陷波点配置功能。</w:t>
              <w:br/>
              <w:t xml:space="preserve">9.支持≥4个场景切换。</w:t>
              <w:br/>
              <w:t xml:space="preserve">10.支持设备定位功能、断电自动保护记忆功能。</w:t>
              <w:br/>
              <w:t xml:space="preserve">11.输入通道及插座≥2路XLR与TRS多功能座模拟输入；输出通道及插座≥2路XLR公座+≥2路TRS公座模拟输出。</w:t>
              <w:br/>
              <w:t xml:space="preserve">12.支持通过后台管理软件对多台设备进行批量升级。</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电源管理器</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1.支持≥8通道电源时序打开/关闭，每路动作延时时间：≤1秒，支持远程控制（上电+24V直流信号）8通道电源时序打开/关闭—当电源开关处于off位置时有效。支持配置CH1和CH2通道为受控或不受控状态。</w:t>
              <w:br w:type="textWrapping" w:clear="all"/>
              <w:t xml:space="preserve">2.当远程控制有效时同时控制后板ALARM（报警）端口导通以起到级联控制ALARM（报警）功能。</w:t>
              <w:br w:type="textWrapping" w:clear="all"/>
              <w:t xml:space="preserve">3.单个通道最大负载功率≥2200W，所有通道负载总功率≥6000W。输出连接器：多用途电源插座。</w:t>
              <w:br w:type="textWrapping" w:clear="all"/>
              <w:t xml:space="preserve">4.具有一路及以上USB输出接口。</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视频会议系统</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视频会议管理控制终端</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处理器：配置≥2颗Hygon 7360处理器，每颗CPU核心数≥24核，每颗CPU主频≥2.2GHz，每颗CPU三级缓存≥64MB；</w:t>
              <w:br w:type="textWrapping" w:clear="all"/>
              <w:t xml:space="preserve">操作系统：支持国产操作系统，支持搭载国产麒麟嵌入式操作系统；</w:t>
              <w:br w:type="textWrapping" w:clear="all"/>
              <w:t xml:space="preserve">内存：配置≥128</w:t>
            </w:r>
            <w:r>
              <w:rPr>
                <w:rFonts w:hint="eastAsia" w:ascii="宋体" w:hAnsi="宋体" w:cs="宋体"/>
                <w:color w:val="000000"/>
                <w:sz w:val="24"/>
                <w:szCs w:val="24"/>
              </w:rPr>
              <w:t xml:space="preserve">GB DDR4  RDIMM/LRDIMM内存，支持≥32个内存插槽，最大可支持4TB内存容量，支持ECC</w:t>
              <w:br/>
              <w:t xml:space="preserve">网络：配置≥2个1G RJ45网口，支持PCIe标准网卡，支持1G/10G/25G/40G/100G/200G双口、四口等多种规格，支持OCP 3.0网卡，支持NCSI、网络唤醒，网络冗余，负载均衡等网络高级特性；</w:t>
              <w:br/>
              <w:t xml:space="preserve">PCIe扩展：最大支持10个PCIe 4.0 插槽（2个内置专用插槽）,支持直插主板的riser方式扩展8个全高PCIe 4.0标准卡,支持1个直插主板的内置RAID卡PCIe标准插槽，不</w:t>
            </w:r>
            <w:r>
              <w:rPr>
                <w:rFonts w:hint="eastAsia" w:ascii="宋体" w:hAnsi="宋体" w:cs="宋体"/>
                <w:color w:val="000000"/>
                <w:sz w:val="24"/>
                <w:szCs w:val="24"/>
              </w:rPr>
              <w:t xml:space="preserve">使用线缆连接，不占用后置PCIe标准卡槽位</w:t>
              <w:br/>
              <w:t xml:space="preserve">GPU扩展： 配置≥2张NV RTX A4000 16GB E4X16 140W 单宽 显卡；≥1张NV T1000 8GB E3x16 50W 单宽 显卡</w:t>
              <w:br/>
              <w:t xml:space="preserve">配置≥1张同步卡；</w:t>
              <w:br/>
              <w:t xml:space="preserve">存储：配置不少于2块480G 2.5 SATA 6Gb R SSD；不少于3块8T 7.2k 3.5 SATA 6Gb硬盘;</w:t>
              <w:br/>
              <w:t xml:space="preserve">风扇：配置≥4个热插拔高速系统风扇，支持动态智能风扇调速的散热系统，风扇支持N+1冗余及热插拔功能；</w:t>
              <w:br/>
              <w:t xml:space="preserve">电源：配置≥2个2000W CRPS标准电源，支持1+1冗余；</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MCU服务器</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1.MCU采用嵌入式一体化设计，标配双电源冗余备份，保证设备7</w:t>
            </w:r>
            <w:r>
              <w:rPr>
                <w:rFonts w:hint="eastAsia" w:ascii="宋体" w:hAnsi="宋体" w:cs="宋体"/>
                <w:color w:val="000000"/>
                <w:sz w:val="24"/>
                <w:szCs w:val="24"/>
              </w:rPr>
              <w:t xml:space="preserve">*24小时长时间连续运行。</w:t>
              <w:br/>
              <w:t xml:space="preserve">2.支持ITU-T H.323和IETF SIP、RTC通信标准，支持H.323 终端、SIP终端、RTC终端同时入会。</w:t>
              <w:br/>
              <w:t xml:space="preserve">3.会议速率支持128Kbps－8Mbps。</w:t>
              <w:br/>
              <w:t xml:space="preserve">4.支持H.264 BP、H.264 HP、H.265视频编解码协议。</w:t>
              <w:br/>
              <w:t xml:space="preserve">5.支持G.711、G.722、G.728、G.722.1AnnexC、G.719、MPEG4-AAC LC/LD、Opus等音频协议，可达到20KHz以上的宽频效果。</w:t>
              <w:br/>
              <w:t xml:space="preserve">6.支持4K30、1080p60、1080p30、720p60、720p3</w:t>
            </w:r>
            <w:r>
              <w:rPr>
                <w:rFonts w:hint="eastAsia" w:ascii="宋体" w:hAnsi="宋体" w:cs="宋体"/>
                <w:color w:val="000000"/>
                <w:sz w:val="24"/>
                <w:szCs w:val="24"/>
              </w:rPr>
              <w:t xml:space="preserve">0高清图像格式，并向下兼容4CIF、CIF标清图像格式。</w:t>
              <w:br/>
              <w:t xml:space="preserve">7.支持双流功能，在保证主视频4K30fps前提下，辅视频也可以支持到4K30.</w:t>
              <w:br/>
              <w:t xml:space="preserve">8.支持内置统一管理功能，采用B/S架构，通过WEB方式即可完成系统的配置和会议操作。</w:t>
              <w:br/>
              <w:t xml:space="preserve">9.支持云地址簿功能，终端注册入网后，可获取本用户域内的云地址簿，方便查找，本地地址簿只配置一些常用的联系列表。</w:t>
              <w:br/>
              <w:t xml:space="preserve">10.支持多种方式展现用户的个人日程，包括列表、日视图、周视图等方式。可在视图中直接选择时间段创建会议，或者对已有的会议进行操作。支持对个人会议管理，包括待确认的会议、预</w:t>
            </w:r>
            <w:r>
              <w:rPr>
                <w:rFonts w:hint="eastAsia" w:ascii="宋体" w:hAnsi="宋体" w:cs="宋体"/>
                <w:color w:val="000000"/>
                <w:sz w:val="24"/>
                <w:szCs w:val="24"/>
              </w:rPr>
              <w:t xml:space="preserve">约的会议、正在召开的会议、不参加的会议。对不同的会议可做不同的操作，例如预约的会议可选择编辑会议、取消会议、马上召开等。</w:t>
              <w:br/>
              <w:t xml:space="preserve">11.支持对正在召开的会议进行操控，包括切换发言人、设置多画面合成、双流、会议点名、会议轮询、一键静音、一键哑音等会议功能。</w:t>
              <w:br/>
              <w:t xml:space="preserve">12. 支持HTTPS、H.235、AES、TLS、SRTP等多种安全标准；</w:t>
              <w:br/>
              <w:t xml:space="preserve">13.具备较强的网络抗丢包能力，在IP网络达到20%丢包率情况下声音清晰、图像流畅、无马赛克，30%的丢包率情况下视频会议仍可进行，80%的丢包率情况下音频基本清晰，不影响会议正常进行。</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会议终端授权</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会议终端授权，接入端口授权</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路</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视频会议终端</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1.采用硬件分体式结构,嵌入式操作系统，非PC架构、非工控机架构。</w:t>
              <w:br w:type="textWrapping" w:clear="all"/>
              <w:t xml:space="preserve">2.支持ITU-T H.323和IETF SIP通信标准，会议速率支持128Kbps－8Mbps。</w:t>
              <w:br w:type="textWrapping" w:clear="all"/>
              <w:t xml:space="preserve">3.支持H.261、H.263、H.264、H.264 High </w:t>
            </w:r>
            <w:r>
              <w:rPr>
                <w:rFonts w:hint="eastAsia" w:ascii="宋体" w:hAnsi="宋体" w:cs="宋体"/>
                <w:color w:val="000000"/>
                <w:sz w:val="24"/>
                <w:szCs w:val="24"/>
              </w:rPr>
              <w:t xml:space="preserve">Profile、H.265视频编解码协议，具备较强的兼容性。</w:t>
              <w:br/>
              <w:t xml:space="preserve">4.支持G.711、G.722、G.728、G.722.1AnnexC、G.719、MPEG4-AAC LC/LD、Opus等音频协议，可达到20KHz以上的宽频效果。</w:t>
              <w:br/>
              <w:t xml:space="preserve">5.支持H.239、BFCP双流协议标准。</w:t>
              <w:br/>
              <w:t xml:space="preserve">6.支持在较低的带宽下实现高清视频会议效果，H.265协议时512Kbps带宽下实现1080P60帧图像格式编解码，384Kbps带宽下实现1080P30帧图像格式编解码，256Kbps带宽下实现720P30帧图像格式编解码，最大限度节</w:t>
            </w:r>
            <w:r>
              <w:rPr>
                <w:rFonts w:hint="eastAsia" w:ascii="宋体" w:hAnsi="宋体" w:cs="宋体"/>
                <w:color w:val="000000"/>
                <w:sz w:val="24"/>
                <w:szCs w:val="24"/>
              </w:rPr>
              <w:t xml:space="preserve">省用户网络资源。</w:t>
              <w:br/>
              <w:t xml:space="preserve">7.支持不少于2路高清视频输入接口、2路高清输出接口。</w:t>
              <w:br/>
              <w:t xml:space="preserve">8.支持不少于3进3出独立的音频输入输出接口，支持HDMI伴随音频输入输出功能。</w:t>
              <w:br/>
              <w:t xml:space="preserve">9.终端具备OLED显示屏，可实时显示设备及运行状态，如启动、升级、休眠、网络异常、IP地址及号码等信息。</w:t>
              <w:br/>
              <w:t xml:space="preserve">10.终端具备USB接口，支持通过USB接口插入U盘实现配置文件及地址簿的导入导出，以及终端U盘本地录像等功能。</w:t>
              <w:br/>
              <w:t xml:space="preserve">11.系统具有字幕叠加功能，可通过终端控制系统在本地图像上不同位置设置叠加中文会场名、横幅、滚动字幕。</w:t>
              <w:br/>
              <w:t xml:space="preserve">12.支持防火墙和NAT穿越。</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视频会议摄像机</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1.支持壁装、三脚架安装或吊顶安装等多种安装方式，可按用户需求进行安装。</w:t>
              <w:br w:type="textWrapping" w:clear="all"/>
              <w:t xml:space="preserve">2.镜头图像传感器采用不小于1/1.9" 图像传感器，支持1</w:t>
            </w:r>
            <w:r>
              <w:rPr>
                <w:rFonts w:hint="eastAsia" w:ascii="宋体" w:hAnsi="宋体" w:cs="宋体"/>
                <w:color w:val="000000"/>
                <w:sz w:val="24"/>
                <w:szCs w:val="24"/>
              </w:rPr>
              <w:t xml:space="preserve">080p30、1080p25、720p60、720p50等高清信号输出。</w:t>
              <w:br/>
              <w:t xml:space="preserve">3.支持不小于30倍光学变焦。</w:t>
              <w:br/>
              <w:t xml:space="preserve">4.视频输出接口具备SDI、DVI、HDBaseT接口。</w:t>
              <w:br/>
              <w:t xml:space="preserve">5.支持RS422控制接口，支持标准VISCA协议，支持摄像机通过控制口RS422实现菊花链控制，菊花链控制摄像机不小于7个。</w:t>
              <w:br/>
              <w:t xml:space="preserve">6.支持中文OSD菜单，可在OSD中对摄像机进行设置。</w:t>
              <w:br/>
              <w:t xml:space="preserve">7.水平转动范围：≥ ±160°，垂直转动范围：≥ -90°～50°</w:t>
              <w:br/>
              <w:t xml:space="preserve">8.支持自带显示屏，可方便显示视频输出分辨率。</w:t>
              <w:br/>
              <w:t xml:space="preserve">9.支持终端遥控器通过摄像机反向控制会议终端。</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电视墙</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1.采用19英寸标准机架式结构，嵌入式、模块化设计，可根据业务所需配置相应的解码模块，实现高密度视频解码输出。</w:t>
              <w:br w:type="textWrapping" w:clear="all"/>
              <w:t xml:space="preserve">2.支持双电源、双网口冗余备份，支持设备长时间稳定运行。</w:t>
              <w:br w:type="textWrapping" w:clear="all"/>
              <w:t xml:space="preserve">3.支持远程网络连接MCU方式实现电视墙解码输出，即MCU和电视墙</w:t>
            </w:r>
            <w:r>
              <w:rPr>
                <w:rFonts w:hint="eastAsia" w:ascii="宋体" w:hAnsi="宋体" w:cs="宋体"/>
                <w:color w:val="000000"/>
                <w:sz w:val="24"/>
                <w:szCs w:val="24"/>
              </w:rPr>
              <w:t xml:space="preserve">服务器之间距离不受限制。</w:t>
              <w:br/>
              <w:t xml:space="preserve">4.支持H.264 BP、H.264 HP、H.265视频解码协议。</w:t>
              <w:br/>
              <w:t xml:space="preserve">5.支持G.711、G.722、G.728、G.722.1AnnexC、G.719、MPEG4-AAC LC/LD等音频协议。</w:t>
              <w:br/>
              <w:t xml:space="preserve">6.支持4K30fps、1080p60、1080p30、720p60、720p30高清图像格式，并向下兼容4CIF、CIF标清图像格式。</w:t>
              <w:br/>
              <w:t xml:space="preserve">7.单台电视墙服务器支持8个解码卡插槽，最大支持16路高清图像输出。</w:t>
              <w:br/>
              <w:t xml:space="preserve">8.电视墙解码卡支持HDBaseT/HDMI等多种视频接口可选。本次要求配置10</w:t>
            </w:r>
            <w:r>
              <w:rPr>
                <w:rFonts w:hint="eastAsia" w:ascii="宋体" w:hAnsi="宋体" w:cs="宋体"/>
                <w:color w:val="000000"/>
                <w:sz w:val="24"/>
                <w:szCs w:val="24"/>
              </w:rPr>
              <w:t xml:space="preserve">路1080p60fps高清输出，视频输出接口为HDMI</w:t>
              <w:br/>
              <w:t xml:space="preserve">9.支持在MCU中进行电视墙集群化管理、 支持解码板卡向资源池进行注册并统一管理。</w:t>
              <w:br/>
              <w:t xml:space="preserve">10.支持电视墙通道画面合成，可以在无需占用MCU画面合成资源情况下支持4路高清图像合成输出。</w:t>
              <w:br/>
              <w:t xml:space="preserve">11.支持虚拟电视墙， 按照用户拼接大屏实际拼接模式进行设置， 保存多个电视墙预案， 同时可以针对电视墙通道设置自主多画面，可设置不少于25种多画面风格，扩展电视墙画面显示的路数。</w:t>
              <w:br/>
              <w:t xml:space="preserve">12.支持电视墙通道叠加台标， 输出图像的同时， 在图像上叠加台标， 用于标识输出图像的内容。</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vMerge w:val="restart"/>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16路输出</w:t>
            </w:r>
            <w:r/>
          </w:p>
        </w:tc>
      </w:tr>
      <w:tr>
        <w:trPr>
          <w:cantSplit/>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电视墙输出板卡</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超清解码单元,2路高清视频解码输出,2路音频输出，2个HDMI接口</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块</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037" w:type="auto"/>
            <w:vAlign w:val="center"/>
            <w:vMerge w:val="continue"/>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中控系统</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中控管理控制器</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1.支持国产操作系统，包括麒麟系统、鸿蒙系统；软件釆用国产中文设计、中文编辑环境、中文操作。</w:t>
              <w:br w:type="textWrapping" w:clear="all"/>
              <w:t xml:space="preserve">2.ARM 64位内嵌式处理器，主频≥1.8GHz</w:t>
            </w:r>
            <w:r>
              <w:rPr>
                <w:rFonts w:hint="eastAsia" w:ascii="宋体" w:hAnsi="宋体" w:cs="宋体"/>
                <w:color w:val="000000"/>
                <w:sz w:val="24"/>
                <w:szCs w:val="24"/>
              </w:rPr>
              <w:t xml:space="preserve">的；内存≥3G；存储内存≥32G；</w:t>
              <w:br/>
              <w:t xml:space="preserve">3.具备4个多功能串口（RS232/485/422），具备4个IR红外接口，具备4个I/O接口，具备5个弱电继电器，具备2个以太网网口，具备2路24v输出供电。</w:t>
              <w:br/>
              <w:t xml:space="preserve">4.支持B/S架构，支持B/S端编程和操控，无需安装软件，直接通过浏览器访问控制主机IP地址进行编程和操控。支持PC/linux/安卓系统/苹果IOS系统/国产系统操控和管理。</w:t>
              <w:br/>
              <w:t xml:space="preserve">5.支持对输入源图像进行裁剪，即可支持输入像素点进行精确裁剪，也可支持鼠标拖拽方式进行可视化裁剪。</w:t>
              <w:br/>
              <w:t xml:space="preserve">6.支持添加和管控多种设备，支持视频</w:t>
            </w:r>
            <w:r>
              <w:rPr>
                <w:rFonts w:hint="eastAsia" w:ascii="宋体" w:hAnsi="宋体" w:cs="宋体"/>
                <w:color w:val="000000"/>
                <w:sz w:val="24"/>
                <w:szCs w:val="24"/>
              </w:rPr>
              <w:t xml:space="preserve">设备、控制网关、音频设备、环境设备管理、IPC、IP电源控制器，对设备进行统一集中管控；支持拼接器叠加、漫游、开窗、切换、场景调用控制。</w:t>
              <w:br/>
              <w:t xml:space="preserve">7.支持摄像机云台控制，可实时监看摄像机信号，支持对前端设备的动作进行遥控，包括摄像机方向控制、变倍调焦控制、保存调用预置位功能。</w:t>
              <w:br/>
              <w:t xml:space="preserve">8.可视化音频控制，可以控制音量大小、切换静音模式、音频通道切换、实时声压大小展示、预案保存与调用；支持对设备电源进行控制。</w:t>
              <w:br/>
              <w:t xml:space="preserve">9.支持电动窗帘电机控制，包括一键开启和关闭。</w:t>
              <w:br/>
              <w:t xml:space="preserve">10.采用国产化自主可控平台，主要零部件采用国产化自主可控品牌产品。</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中控控制器</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内存容量≥128GB；</w:t>
              <w:br w:type="textWrapping" w:clear="all"/>
              <w:t xml:space="preserve">运行内存≥8GB；</w:t>
              <w:br w:type="textWrapping" w:clear="all"/>
              <w:t xml:space="preserve">屏幕尺寸≥11.5英寸；</w:t>
              <w:br w:type="textWrapping" w:clear="all"/>
              <w:t xml:space="preserve">分辨率≥2200*1440；</w:t>
              <w:br w:type="textWrapping" w:clear="all"/>
              <w:t xml:space="preserve">支持鸿蒙系统</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无线吸顶AP</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1.支持802.11ax标准，支持2.4GHz/5GHz双频段同时工作</w:t>
              <w:br w:type="textWrapping" w:clear="all"/>
              <w:t xml:space="preserve">2.整机最大支持4条空间流，整机速率≥2.9Gbps，最大用户数≤256，</w:t>
            </w:r>
            <w:r>
              <w:rPr>
                <w:rFonts w:hint="eastAsia" w:ascii="宋体" w:hAnsi="宋体" w:cs="宋体"/>
                <w:b/>
                <w:color w:val="000000"/>
                <w:sz w:val="24"/>
                <w:szCs w:val="24"/>
              </w:rPr>
              <w:t xml:space="preserve">提供官网截图证明</w:t>
            </w:r>
            <w:r>
              <w:rPr>
                <w:rFonts w:hint="eastAsia" w:ascii="宋体" w:hAnsi="宋体" w:cs="宋体"/>
                <w:b/>
                <w:color w:val="000000"/>
                <w:sz w:val="24"/>
                <w:szCs w:val="24"/>
              </w:rPr>
              <w:t xml:space="preserve">（否则作无效投标文件）</w:t>
            </w:r>
            <w:r>
              <w:rPr>
                <w:rFonts w:hint="eastAsia" w:ascii="宋体" w:hAnsi="宋体" w:cs="宋体"/>
                <w:color w:val="000000"/>
                <w:sz w:val="24"/>
                <w:szCs w:val="24"/>
              </w:rPr>
              <w:br w:type="textWrapping" w:clear="all"/>
              <w:t xml:space="preserve">3.内置智能天线</w:t>
              <w:br w:type="textWrapping" w:clear="all"/>
              <w:t xml:space="preserve">4.支持云管理模式，在不更换硬件的情况下，可支持切换到云模式；</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辅材</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HDMI线缆</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HDMI线缆，支持4K@60传输，1.5米</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根</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HDMI线缆</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HDMI线缆，支持4K@60传输，3米</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根</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40</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HDMI线缆</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HDMI线缆，支持4K@60传输，5米</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根</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音箱线</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YXB 2X1.5</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600</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音频线</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RAVPE 2X0.5</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音频连接线</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1.8米音频连接线：卡侬头（母）-卡侬头（公）</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根</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广播系统</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广播系统管理控制端</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1.工控机箱设计，采用≥17.3英寸电容触摸屏，支持部署银河麒麟桌面操作系统(兆芯版)V1</w:t>
            </w:r>
            <w:r>
              <w:rPr>
                <w:rFonts w:hint="eastAsia" w:ascii="宋体" w:hAnsi="宋体" w:cs="宋体"/>
                <w:color w:val="000000"/>
                <w:sz w:val="24"/>
                <w:szCs w:val="24"/>
              </w:rPr>
              <w:t xml:space="preserve">0。</w:t>
              <w:br/>
              <w:t xml:space="preserve">2.配置国产处理器要求满足≥8核处理器（参考兆芯KX-U6780A处理器）；≥1×256G M.2固态硬盘；≥1×8G DDR4内存。</w:t>
              <w:br/>
              <w:t xml:space="preserve">3.抽拉式键盘鼠标设计。</w:t>
              <w:br/>
              <w:t xml:space="preserve">4.具有≥1×VGA、≥1×DVI、≥2×LAN、≥6×COM RS232（COM3/4支持RS232/RS485）、≥4×USB2.0、≥4xUSB3.0、≥1×PS/2、≥1×MIC IN、≥1×LINE OUT、≥1×LINE IN、≥1×TRIGGER INPUT接口。</w:t>
              <w:br/>
              <w:t xml:space="preserve">5.具有一路短路触发开机运行接口，用于外部设备定时驱动开机运行。</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消防采集器</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1.标准机柜式设计，1U高度，高档拉丝铝合金面板，工艺考究，尽显高档气质。</w:t>
              <w:br w:type="textWrapping" w:clear="all"/>
              <w:t xml:space="preserve">2.设备采用嵌入式计算机技术和DSP音频处理技术设计。</w:t>
              <w:br w:type="textWrapping" w:clear="all"/>
              <w:t xml:space="preserve">3.16路消防短路信</w:t>
            </w:r>
            <w:r>
              <w:rPr>
                <w:rFonts w:hint="eastAsia" w:ascii="宋体" w:hAnsi="宋体" w:cs="宋体"/>
                <w:color w:val="000000"/>
                <w:sz w:val="24"/>
                <w:szCs w:val="24"/>
              </w:rPr>
              <w:t xml:space="preserve">号输入，可无限扩展输入接口，方便更大的系统使用。</w:t>
              <w:br/>
              <w:t xml:space="preserve">4.面板支持一键取消任务。</w:t>
              <w:br/>
              <w:t xml:space="preserve">5.标配网络接口，全速率连接最高可达100M。</w:t>
              <w:br/>
              <w:t xml:space="preserve">6.支持广播系统对终端进行远程固件升级，无需到终端本地升级，减轻维护人员工作强度。</w:t>
              <w:br/>
              <w:t xml:space="preserve">7.网络接口：标准RJ45输入</w:t>
              <w:br/>
              <w:t xml:space="preserve">8.传输速率：100Mbps</w:t>
              <w:br/>
              <w:t xml:space="preserve">9.支持协议：TCP/IP、UDP、IGMP（组播）</w:t>
              <w:br/>
              <w:t xml:space="preserve">10.短路接口：工业标准压线接线端子</w:t>
              <w:br/>
              <w:t xml:space="preserve">技术参数：</w:t>
              <w:br/>
              <w:t xml:space="preserve">1.软件内嵌于消防语音系统主机设备，支撑设备各项基本功能的运行。</w:t>
              <w:br/>
              <w:t xml:space="preserve">2.支持分区监听、设备状态实时查看。</w:t>
              <w:br/>
              <w:t xml:space="preserve">3.实现对设备的控制、信号切换。</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IP功放</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1.设备采用标准≥19英寸机架设计，带有LCD显示屏。</w:t>
              <w:br w:type="textWrapping" w:clear="all"/>
              <w:t xml:space="preserve">2.内置≥1路网络硬件音频解码模块。</w:t>
              <w:br w:type="textWrapping" w:clear="all"/>
              <w:t xml:space="preserve">3.支持≥1路线路输入和≥1路话筒输入接口，可独立调节音</w:t>
            </w:r>
            <w:r>
              <w:rPr>
                <w:rFonts w:hint="eastAsia" w:ascii="宋体" w:hAnsi="宋体" w:cs="宋体"/>
                <w:color w:val="000000"/>
                <w:sz w:val="24"/>
                <w:szCs w:val="24"/>
              </w:rPr>
              <w:t xml:space="preserve">量。</w:t>
              <w:br/>
              <w:t xml:space="preserve">4.支持高低音调节电位器控制。</w:t>
              <w:br/>
              <w:t xml:space="preserve">5.具有≥1路EMC输入接口，具有最高优先级。</w:t>
              <w:br/>
              <w:t xml:space="preserve">6.具有≥1路音频输出接口。</w:t>
              <w:br/>
              <w:t xml:space="preserve">7.具有≥1路三线制强切输出接口，无需强切电源。</w:t>
              <w:br/>
              <w:t xml:space="preserve">8.集成数字功放，功率≥240W；支持定压方式输出。</w:t>
              <w:br/>
              <w:t xml:space="preserve">9.支持通过后台软件对终端进行远程固件升级。</w:t>
              <w:br/>
              <w:t xml:space="preserve">10.具有≥1路RJ45网络接口，≥100Mbps传输速率。</w:t>
              <w:br/>
              <w:t xml:space="preserve">11.自带≥1路≥100V定压功率备份输入接口，可组成一主多备、多主一备、多主多备的公共打铃系统。</w:t>
              <w:br/>
              <w:t xml:space="preserve">12.内置主/备切换检测模块，断网断电以及本机故障时≤0.3秒内切换到备份功率输入。</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天花喇叭</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1．额定功率（100V）：3W,6W</w:t>
              <w:br w:type="textWrapping" w:clear="all"/>
              <w:t xml:space="preserve">2．额定功率（70V）：1.5W,3W</w:t>
              <w:br w:type="textWrapping" w:clear="all"/>
              <w:t xml:space="preserve">3．灵敏度≥89dB</w:t>
              <w:br w:type="textWrapping" w:clear="all"/>
              <w:t xml:space="preserve">4．频率响应（-10dB）：100Hz-16KHz</w:t>
              <w:br w:type="textWrapping" w:clear="all"/>
              <w:t xml:space="preserve">5．喇叭单元：5"x1</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只</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音频连接线</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1.8米音频连接线：莲花（RCA）-莲花（RCA）</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根</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音频连接线</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1.8米音频连接线：3.5（耳机插头）-双莲花（RCA）</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根</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三</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b/>
                <w:bCs/>
                <w:color w:val="000000"/>
                <w:sz w:val="24"/>
                <w:szCs w:val="24"/>
              </w:rPr>
            </w:pPr>
            <w:r>
              <w:rPr>
                <w:rFonts w:hint="eastAsia" w:ascii="宋体" w:hAnsi="宋体" w:cs="宋体"/>
                <w:b/>
                <w:bCs/>
                <w:color w:val="000000"/>
                <w:sz w:val="24"/>
                <w:szCs w:val="24"/>
              </w:rPr>
              <w:t xml:space="preserve">门禁系统</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人脸门禁</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屏幕参数：7英寸触摸显示屏，屏幕比例9:16，屏幕分辨率600*1024；</w:t>
              <w:br w:type="textWrapping" w:clear="all"/>
              <w:t xml:space="preserve">摄像头参数：采用宽动态200万双目摄像头；</w:t>
              <w:br w:type="textWrapping" w:clear="all"/>
              <w:t xml:space="preserve">认证方式：支持人脸、刷卡（IC卡、手机NFC）、密码认证方式；</w:t>
              <w:br w:type="textWrapping" w:clear="all"/>
              <w:t xml:space="preserve">人脸验证：采用深度学习算法，支持人脸比对功能；支持照片、视频防假；1:N人脸比对速度≤0.2s，人脸验证准确率≥99%；</w:t>
              <w:br w:type="textWrapping" w:clear="all"/>
              <w:t xml:space="preserve">存储容量：本地支持6000人脸库、1万张卡，5万条事件记录；</w:t>
              <w:br w:type="textWrapping" w:clear="all"/>
              <w:t xml:space="preserve">通信方式及网络协议：有线网络；</w:t>
            </w:r>
            <w:r/>
          </w:p>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符合国密算法；</w:t>
              <w:br w:type="textWrapping" w:clear="all"/>
              <w:t xml:space="preserve">认证结果显示可配：支持认证成功界面的“照片”、“姓名”、“工号”信息可配置是否显示；</w:t>
              <w:br w:type="textWrapping" w:clear="all"/>
              <w:t xml:space="preserve">外接安全模块：支持通过RS485接入门控安全模块，防止主机被恶意破坏的情况下，门锁被打开；</w:t>
              <w:br w:type="textWrapping" w:clear="all"/>
              <w:t xml:space="preserve">外接读卡器：支持通过RS485或韦根（W26/W34）接口外接1个读卡器，同时可实现单门反潜回功能；</w:t>
              <w:br w:type="textWrapping" w:clear="all"/>
              <w:t xml:space="preserve">门禁计划模板：支持255组计划模板管理，128个周计划，1024个假日计划；支持常开、常闭时段管理；</w:t>
              <w:br w:type="textWrapping" w:clear="all"/>
              <w:t xml:space="preserve">组合认证：刷卡+密码、刷卡+人脸、人脸+密码等组合认证方式；</w:t>
              <w:br w:type="textWrapping" w:clear="all"/>
            </w:r>
            <w:r>
              <w:rPr>
                <w:rFonts w:hint="eastAsia" w:ascii="宋体" w:hAnsi="宋体" w:cs="宋体"/>
                <w:color w:val="000000"/>
                <w:sz w:val="24"/>
                <w:szCs w:val="24"/>
              </w:rPr>
              <w:t xml:space="preserve">多重认证：支持多个人员认证（人脸、刷卡等）通过后才开门；</w:t>
              <w:br/>
              <w:t xml:space="preserve">报警功能：设备支持防拆报警、门被外力开启报警、胁迫卡和胁迫密码报警；</w:t>
              <w:br/>
              <w:t xml:space="preserve">事件上传：在线状态下将设备认证结果及联动抓拍照片实时上传给平台，支持断网续传功能，设备离线状态下产生事件在与平台连接后会重新上传；</w:t>
              <w:br/>
              <w:t xml:space="preserve">单机使用：设备可进行本地管理，支持本地注册人脸、查询、设置、管理设备参数等。</w:t>
              <w:br/>
              <w:br/>
              <w:t xml:space="preserve">尺寸：7英寸</w:t>
              <w:br/>
              <w:t xml:space="preserve">分辨率：600×1024</w:t>
              <w:br/>
              <w:t xml:space="preserve">类型：LCD</w:t>
              <w:br/>
              <w:t xml:space="preserve">操作方式：触摸</w:t>
              <w:br/>
              <w:t xml:space="preserve">镜头数量：2个</w:t>
              <w:br/>
              <w:t xml:space="preserve">像素：200W</w:t>
              <w:br/>
              <w:t xml:space="preserve">FOV：对角视场角=72°；水平视场角=39°；垂直视场角=65°</w:t>
              <w:br/>
              <w:t xml:space="preserve">有</w:t>
            </w:r>
            <w:r>
              <w:rPr>
                <w:rFonts w:hint="eastAsia" w:ascii="宋体" w:hAnsi="宋体" w:cs="宋体"/>
                <w:color w:val="000000"/>
                <w:sz w:val="24"/>
                <w:szCs w:val="24"/>
              </w:rPr>
              <w:t xml:space="preserve">线网络：10/100Mbps自适应</w:t>
              <w:br/>
              <w:t xml:space="preserve">网口：1个</w:t>
              <w:br/>
              <w:t xml:space="preserve">门锁输出：1个</w:t>
              <w:br/>
              <w:t xml:space="preserve">开门按钮：1个</w:t>
              <w:br/>
              <w:t xml:space="preserve">门磁输入：1个</w:t>
              <w:br/>
              <w:t xml:space="preserve">IO输入：2个</w:t>
              <w:br/>
              <w:t xml:space="preserve">IO输出：1个</w:t>
              <w:br/>
              <w:t xml:space="preserve">RS-485：1个</w:t>
              <w:br/>
              <w:t xml:space="preserve">韦根：1个</w:t>
              <w:br/>
              <w:t xml:space="preserve">USB：1个</w:t>
              <w:br/>
              <w:t xml:space="preserve">电源接口：1个</w:t>
              <w:br/>
              <w:t xml:space="preserve">防拆：支持</w:t>
              <w:br/>
              <w:t xml:space="preserve">用户容量：6000</w:t>
              <w:br/>
              <w:t xml:space="preserve">人脸容量：6000</w:t>
              <w:br/>
              <w:t xml:space="preserve">卡片容量：10000</w:t>
              <w:br/>
              <w:t xml:space="preserve">事件容量：50000</w:t>
              <w:br/>
              <w:t xml:space="preserve">密码容量：6000</w:t>
              <w:br/>
              <w:t xml:space="preserve">读卡类型：M1卡;CPU卡序列号</w:t>
              <w:br/>
              <w:t xml:space="preserve">通信频率：13.56 MHz</w:t>
              <w:br/>
              <w:t xml:space="preserve">补光灯：红外补光</w:t>
              <w:br/>
              <w:t xml:space="preserve">功耗：8W</w:t>
              <w:br/>
              <w:t xml:space="preserve">电源：DC12V/1A</w:t>
              <w:br/>
              <w:t xml:space="preserve">工作温度：-10℃~50℃</w:t>
              <w:br/>
              <w:t xml:space="preserve">工作湿度：0~90%</w:t>
              <w:br/>
              <w:t xml:space="preserve">按键类型：触摸按键</w:t>
              <w:br/>
              <w:t xml:space="preserve">防爆等级：IK04</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单门磁力锁</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锁体主体颜色为：氧化银</w:t>
              <w:br w:type="textWrapping" w:clear="all"/>
              <w:t xml:space="preserve">最大静态直线拉力：280kg±10%</w:t>
              <w:br w:type="textWrapping" w:clear="all"/>
              <w:t xml:space="preserve">断电开锁，满足消防要求</w:t>
              <w:br w:type="textWrapping" w:clear="all"/>
              <w:t xml:space="preserve">具有电锁状态指示灯（红灯为开锁状态， 绿灯为上锁状态）</w:t>
              <w:br w:type="textWrapping" w:clear="all"/>
              <w:t xml:space="preserve">支持锁状态侦测信号(门磁)输出：NO/NC/COM接点</w:t>
              <w:br w:type="textWrapping" w:clear="all"/>
              <w:t xml:space="preserve">工作电压：12V/430mA 或 24V/215mA</w:t>
              <w:br w:type="textWrapping" w:clear="all"/>
              <w:t xml:space="preserve">使用环境：室内（不防水）</w:t>
              <w:br w:type="textWrapping" w:clear="all"/>
              <w:t xml:space="preserve">适用门型：木门、玻璃门、金属门、防火门</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单门磁力锁支架</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锁体主体颜色为：氧化银</w:t>
              <w:br w:type="textWrapping" w:clear="all"/>
              <w:t xml:space="preserve">最大静态直线拉力：280kg±10%</w:t>
              <w:br w:type="textWrapping" w:clear="all"/>
              <w:t xml:space="preserve">断电开锁，满足消防要求</w:t>
              <w:br w:type="textWrapping" w:clear="all"/>
              <w:t xml:space="preserve">具有电锁状态指示灯（红灯为开锁状态， 绿灯为上锁状态）</w:t>
              <w:br w:type="textWrapping" w:clear="all"/>
              <w:t xml:space="preserve">支持锁状态侦测信号(门磁)输出：NO/NC/COM接点</w:t>
              <w:br w:type="textWrapping" w:clear="all"/>
              <w:t xml:space="preserve">工作电压：12V/430mA 或 24V/215mA</w:t>
              <w:br w:type="textWrapping" w:clear="all"/>
              <w:t xml:space="preserve">使用环境：室内（不防水）</w:t>
              <w:br w:type="textWrapping" w:clear="all"/>
              <w:t xml:space="preserve">适用门型：木门、玻璃门、金属门、防火门</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出门按钮</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结构：塑料面板；</w:t>
              <w:br w:type="textWrapping" w:clear="all"/>
              <w:t xml:space="preserve">性能：最大耐电流1.25A，电压250V；</w:t>
              <w:br w:type="textWrapping" w:clear="all"/>
              <w:t xml:space="preserve">输出：常开；</w:t>
              <w:br w:type="textWrapping" w:clear="all"/>
              <w:t xml:space="preserve">类型：适合埋入式电器盒使用；</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人脸门禁授权机</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1、不低于3.97英寸触摸显示屏，屏幕分辨率不低于800*480；</w:t>
              <w:br w:type="textWrapping" w:clear="all"/>
              <w:t xml:space="preserve">2、采用不低于200万双目摄像头，有照片视频防假功能；</w:t>
              <w:br w:type="textWrapping" w:clear="all"/>
              <w:t xml:space="preserve">3、支持人脸采集、卡片录入（ID/IC/普通CPU/国密CPU卡/二三代身份证序列号）；</w:t>
              <w:br w:type="textWrapping" w:clear="all"/>
              <w:t xml:space="preserve">4、支持有线网络、无线WiFi、USB口通信；</w:t>
              <w:br w:type="textWrapping" w:clear="all"/>
              <w:t xml:space="preserve">5、支持在线采集，通过网络协议或USB口对接到平台，平台进行在线采集，采集信息实时上传；</w:t>
              <w:br w:type="textWrapping" w:clear="all"/>
              <w:t xml:space="preserve">6、工作电压：DC12V/1.5A (自带电源适配器）；</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四</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b/>
                <w:bCs/>
                <w:color w:val="000000"/>
                <w:sz w:val="24"/>
                <w:szCs w:val="24"/>
              </w:rPr>
            </w:pPr>
            <w:r>
              <w:rPr>
                <w:rFonts w:hint="eastAsia" w:ascii="宋体" w:hAnsi="宋体" w:cs="宋体"/>
                <w:b/>
                <w:bCs/>
                <w:color w:val="000000"/>
                <w:sz w:val="24"/>
                <w:szCs w:val="24"/>
              </w:rPr>
              <w:t xml:space="preserve">监控系统</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bCs/>
                <w:color w:val="000000"/>
                <w:sz w:val="24"/>
                <w:szCs w:val="24"/>
              </w:rPr>
              <w:t xml:space="preserve">监控系统属于</w:t>
            </w:r>
            <w:r>
              <w:rPr>
                <w:rFonts w:hint="eastAsia" w:ascii="宋体"/>
                <w:bCs/>
                <w:color w:val="000000"/>
                <w:sz w:val="24"/>
                <w:szCs w:val="24"/>
              </w:rPr>
              <w:t xml:space="preserve">政府强制采购节能产品，只能选择具有国家确定的认证机构出具的、处于有效期之内的节能产品认证证书的产品进行报价。</w:t>
            </w:r>
            <w:r>
              <w:rPr>
                <w:rFonts w:hint="eastAsia" w:ascii="宋体"/>
                <w:bCs/>
                <w:color w:val="000000"/>
                <w:sz w:val="24"/>
                <w:szCs w:val="24"/>
              </w:rPr>
              <w:t xml:space="preserve">（须提供证明材料，否则作无效投标文件）</w:t>
            </w: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400W室内半球</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400万网络摄像机</w:t>
              <w:br w:type="textWrapping" w:clear="all"/>
              <w:t xml:space="preserve">最高分辨率不低于2688 × 1520 @25 fps，在该分辨率下可输出实时图像</w:t>
              <w:br w:type="textWrapping" w:clear="all"/>
              <w:t xml:space="preserve">支持Smart侦测：10项事件检测，1项异常检测</w:t>
              <w:br w:type="textWrapping" w:clear="all"/>
              <w:t xml:space="preserve">支持ROI感兴趣区域增强编码，支持Smart265/264编码，可根 据场景情况自适应调整码率分配，有效节省存储成本</w:t>
              <w:br w:type="textWrapping" w:clear="all"/>
              <w:t xml:space="preserve">支持背光补偿，强光抑制，3D数字降噪，120 dB宽动态适应不同使用环境</w:t>
              <w:br w:type="textWrapping" w:clear="all"/>
              <w:t xml:space="preserve">采用</w:t>
            </w:r>
            <w:r>
              <w:rPr>
                <w:rFonts w:hint="eastAsia" w:ascii="宋体" w:hAnsi="宋体" w:cs="宋体"/>
                <w:color w:val="000000"/>
                <w:sz w:val="24"/>
                <w:szCs w:val="24"/>
              </w:rPr>
              <w:t xml:space="preserve">高效阵列红外灯，使用寿命长，红外照射距离最远可达不低于30 m</w:t>
              <w:br/>
              <w:t xml:space="preserve">1个内置麦克风</w:t>
              <w:br/>
              <w:t xml:space="preserve">符合IP66防尘防水设计，可靠性高</w:t>
              <w:br/>
              <w:br/>
              <w:t xml:space="preserve">传感器类型：1/3" Progressive Scan CMOS</w:t>
              <w:br/>
              <w:t xml:space="preserve">最低照度：彩色：0.005 Lux @（F1.2，AGC ON)），黑白：0 Lux with IR</w:t>
              <w:br/>
              <w:t xml:space="preserve">宽动态：120 dB</w:t>
              <w:br/>
              <w:t xml:space="preserve">调节角度：水平：0°~360°，垂直：0°~75°，旋转：0°~360°  </w:t>
              <w:br/>
              <w:t xml:space="preserve">焦距&amp;视场角：2.8 mm，水平视场角：97°，垂直视场角：52.3°，对角线视场角：114.3°</w:t>
              <w:br/>
              <w:t xml:space="preserve">4 mm，水平视场角：78</w:t>
            </w:r>
            <w:r>
              <w:rPr>
                <w:rFonts w:hint="eastAsia" w:ascii="宋体" w:hAnsi="宋体" w:cs="宋体"/>
                <w:color w:val="000000"/>
                <w:sz w:val="24"/>
                <w:szCs w:val="24"/>
              </w:rPr>
              <w:t xml:space="preserve">.8°，垂直视场角：40.5°，对角线视场角：93.9°</w:t>
              <w:br/>
              <w:t xml:space="preserve">6 mm，水平视场角：49.1°，垂直视场角：26.3°，对角线视场角：57.2°</w:t>
              <w:br/>
              <w:t xml:space="preserve">8 mm，水平视场角：37.5°，垂直视场角：20.7°，对角线视场角：43.3°</w:t>
              <w:br/>
              <w:t xml:space="preserve">补光灯类型：红外灯</w:t>
              <w:br/>
              <w:t xml:space="preserve">补光距离：最远不少于30 m</w:t>
              <w:br/>
              <w:t xml:space="preserve">波长范围：850 nm</w:t>
              <w:br/>
              <w:t xml:space="preserve">防补光过曝：支持</w:t>
              <w:br/>
              <w:t xml:space="preserve">最大图像尺寸：不低于2688 × 1520（默认2560 × 1440）</w:t>
              <w:br/>
              <w:t xml:space="preserve">视频压缩标准：主码流：H.265/H.264</w:t>
              <w:br/>
              <w:t xml:space="preserve">子码流：H.265/H.264/MJPEG</w:t>
              <w:br/>
              <w:t xml:space="preserve">音频：1个内置麦克风</w:t>
              <w:br/>
              <w:t xml:space="preserve">网络：1</w:t>
            </w:r>
            <w:r>
              <w:rPr>
                <w:rFonts w:hint="eastAsia" w:ascii="宋体" w:hAnsi="宋体" w:cs="宋体"/>
                <w:color w:val="000000"/>
                <w:sz w:val="24"/>
                <w:szCs w:val="24"/>
              </w:rPr>
              <w:t xml:space="preserve">个RJ45 10 M/100 M自适应以太网口</w:t>
              <w:br/>
              <w:t xml:space="preserve">恢复出厂设置：支持客户端或浏览器恢复</w:t>
              <w:br/>
              <w:t xml:space="preserve">存储温湿度：-30 ℃~60 ℃，湿度小于95%（无凝结）</w:t>
              <w:br/>
              <w:t xml:space="preserve">启动和工作温湿度：-30 ℃~60 ℃，湿度小于95%（无凝结）</w:t>
              <w:br/>
              <w:t xml:space="preserve">供电方式：DC：12 V ± 25%，支持防反接保护</w:t>
              <w:br/>
              <w:t xml:space="preserve">PoE：802.3af，Class 3</w:t>
              <w:br/>
              <w:t xml:space="preserve">电流及功耗：DC： 12 V，0.41 A，最大功耗：5 W</w:t>
              <w:br/>
              <w:t xml:space="preserve">PoE：802.3af，36 V~57 V，0.18 A ~0.11 A，最大功耗：6.5 W</w:t>
              <w:br/>
              <w:t xml:space="preserve">电源接口类型：Ø5.5 mm圆口</w:t>
              <w:br/>
              <w:t xml:space="preserve">防护：IP66</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硬盘录像机</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3U机架式16盘位嵌入式网络硬盘录像机，采用短机箱设计，搭载高性能ATX电源</w:t>
              <w:br w:type="textWrapping" w:clear="all"/>
              <w:t xml:space="preserve">【硬件规格】</w:t>
              <w:br w:type="textWrapping" w:clear="all"/>
              <w:t xml:space="preserve">存储接口：不少于16个SATA接口，已内置15块10TB硬盘，总容量150TB</w:t>
              <w:br w:type="textWrapping" w:clear="all"/>
              <w:t xml:space="preserve">视频接口：不少于2×HD</w:t>
            </w:r>
            <w:r>
              <w:rPr>
                <w:rFonts w:hint="eastAsia" w:ascii="宋体" w:hAnsi="宋体" w:cs="宋体"/>
                <w:color w:val="000000"/>
                <w:sz w:val="24"/>
                <w:szCs w:val="24"/>
              </w:rPr>
              <w:t xml:space="preserve">MI，2×VGA</w:t>
              <w:br/>
              <w:t xml:space="preserve">网络接口：不少于2×RJ45 10/100/1000Mbps自适应以太网口</w:t>
              <w:br/>
              <w:t xml:space="preserve">报警接口：16路报警输入，9路报警输出（其中第9路支持CTRL 12V）</w:t>
              <w:br/>
              <w:t xml:space="preserve">反向供电：1路DC12V 1A</w:t>
              <w:br/>
              <w:t xml:space="preserve">串行接口：1路RS-232接口，1路半双工RS-485接口</w:t>
              <w:br/>
              <w:t xml:space="preserve">USB接口：2×USB 2.0，2×USB 3.0</w:t>
              <w:br/>
              <w:t xml:space="preserve">【产品性能】</w:t>
              <w:br/>
              <w:t xml:space="preserve">输入带宽：256Mbps</w:t>
              <w:br/>
              <w:t xml:space="preserve">输出带宽：256Mbps</w:t>
              <w:br/>
              <w:t xml:space="preserve">接入能力：32路H.264、H.265格式高清码流接入</w:t>
              <w:br/>
              <w:t xml:space="preserve">解码能力：最大支持12×1080P</w:t>
              <w:br/>
              <w:t xml:space="preserve">显示能力：最大支持4K+1080P异源输出</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180天存储</w:t>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五</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b/>
                <w:bCs/>
                <w:color w:val="000000"/>
                <w:sz w:val="24"/>
                <w:szCs w:val="24"/>
              </w:rPr>
            </w:pPr>
            <w:r>
              <w:rPr>
                <w:rFonts w:hint="eastAsia" w:ascii="宋体" w:hAnsi="宋体" w:cs="宋体"/>
                <w:b/>
                <w:bCs/>
                <w:color w:val="000000"/>
                <w:sz w:val="24"/>
                <w:szCs w:val="24"/>
              </w:rPr>
              <w:t xml:space="preserve">智能照明系统</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智能照明系统</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监测功能</w:t>
              <w:br w:type="textWrapping" w:clear="all"/>
              <w:t xml:space="preserve">实时监测并显示各个设备的在线工</w:t>
            </w:r>
            <w:r>
              <w:rPr>
                <w:rFonts w:hint="eastAsia" w:ascii="宋体" w:hAnsi="宋体" w:cs="宋体"/>
                <w:color w:val="000000"/>
                <w:sz w:val="24"/>
                <w:szCs w:val="24"/>
              </w:rPr>
              <w:t xml:space="preserve">作状态，反馈现场受控回路的开关状态与亮度输出等级。</w:t>
              <w:br/>
              <w:t xml:space="preserve">故障信息</w:t>
              <w:br/>
              <w:t xml:space="preserve">当发生设备离线时，会出现故障提示，并且记录故障信息，会在历史记录界面中显示。</w:t>
              <w:br/>
              <w:t xml:space="preserve">日志记录</w:t>
              <w:br/>
              <w:t xml:space="preserve">点击“历史记录”，界面上方可出现日志记录，包括操作控制，开关状态，登录退出的信息的记录。日志日期可选当日、最近 7 天或自定义查询日期，点击“自定义”，可选择查询的起始日期和截止日期。2.4 开关功能</w:t>
              <w:br/>
              <w:t xml:space="preserve">在平面视图界面，点击图标，可以对单个、数个或全部照明回路实现开关控制，回路的开关状态也会反馈给控件并显示出来。</w:t>
              <w:br/>
              <w:t xml:space="preserve">调光功能</w:t>
              <w:br/>
              <w:t xml:space="preserve">在平面视图界面，拖动调光控件，可实现照</w:t>
            </w:r>
            <w:r>
              <w:rPr>
                <w:rFonts w:hint="eastAsia" w:ascii="宋体" w:hAnsi="宋体" w:cs="宋体"/>
                <w:color w:val="000000"/>
                <w:sz w:val="24"/>
                <w:szCs w:val="24"/>
              </w:rPr>
              <w:t xml:space="preserve">明设备从 0%到 100%调光，可以对单个或多个照明回路实现调光控制，通过图标显示的调光值来反馈现场灯具的亮度。</w:t>
              <w:br/>
              <w:t xml:space="preserve">场景功能</w:t>
              <w:br/>
              <w:t xml:space="preserve">在平面视图界面，点击场景切换，选择对应场景任务，执行切换命令来实现场景切换功能。</w:t>
              <w:br/>
              <w:t xml:space="preserve">定时功能</w:t>
              <w:br/>
              <w:t xml:space="preserve">在定时设置页面中，点击开始编辑后设置定时时间，设置定时任务，确定控制对象以及执行动作（开/关）。</w:t>
              <w:br/>
              <w:t xml:space="preserve">数据实时显示</w:t>
              <w:br/>
              <w:t xml:space="preserve">在模块列表界面，选择驱动器，可以显示每个回路的电流、功率以及电量等用电信息数据。</w:t>
              <w:br/>
              <w:t xml:space="preserve">维护设置</w:t>
              <w:br/>
              <w:t xml:space="preserve">点击维护设置，可以修改当前用户的登录密码。修改心跳参数（心跳间隔时间及判断次数），窗口控制。</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智能照明开关驱动器</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不少于一路 RS485 通讯，消防联动 2DI/2DO、30 条定时任务（含天文时钟）、不少于24条预约任务、LCD 显示、存储不少于600 条开关记录、不少于10 条开关机记录、不少于12条DIDO记录、分合通道、闭合次数记录、闭合时间累计</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智能照明智能面板</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不少于4键8联、工作温度 -5℃～+45℃存储温度 -25℃～+55℃</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二合一传感器</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红外光照二合一感应距离3~8米、光照度感应 0～65535lux 、IP20、标准86盒安装</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IP网关</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供电：AC220V±10%，50Hz、输出：DC24V，830mA，工作温度：-5℃~+45℃存储温度：-25℃~+55℃</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六</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b/>
                <w:bCs/>
                <w:color w:val="000000"/>
                <w:sz w:val="24"/>
                <w:szCs w:val="24"/>
              </w:rPr>
            </w:pPr>
            <w:r>
              <w:rPr>
                <w:rFonts w:hint="eastAsia" w:ascii="宋体" w:hAnsi="宋体" w:cs="宋体"/>
                <w:b/>
                <w:bCs/>
                <w:color w:val="000000"/>
                <w:sz w:val="24"/>
                <w:szCs w:val="24"/>
              </w:rPr>
              <w:t xml:space="preserve">网络系统</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公安信息网</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48口交换机</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1.交换容量≥430G</w:t>
            </w:r>
            <w:r>
              <w:rPr>
                <w:rFonts w:hint="eastAsia" w:ascii="宋体" w:hAnsi="宋体" w:cs="宋体"/>
                <w:color w:val="000000"/>
                <w:sz w:val="24"/>
                <w:szCs w:val="24"/>
              </w:rPr>
              <w:t xml:space="preserve">bps，包转发率≥160Mpps,以官网最小值为准；</w:t>
              <w:br/>
              <w:t xml:space="preserve">2.千兆电口≥48个，万兆光口≥4个；</w:t>
              <w:br/>
              <w:t xml:space="preserve">3.支持 RRPP、支持智能以太保护 SEP 协议、支持 ERPS 以太环保护协议（G.8032）；</w:t>
              <w:br/>
              <w:t xml:space="preserve">4.支持RIP、RIPng、OSPF、OSPFv3路由协议 ;</w:t>
              <w:br/>
              <w:t xml:space="preserve">5.支持纵向虚拟化，作为纵向子节点零配置即插即用；</w:t>
              <w:br/>
              <w:t xml:space="preserve">6.支持Telemetry技术，配合网络分析组件通过智能故障识别算法对网络数据进行分析，精准展现网络实时状态，并能及时有效地定界故障以及定位故障发生原因，发现影响用户体验的网络问题，精准保障用户体验;</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24口交换机</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1.交换容量≥330G</w:t>
            </w:r>
            <w:r>
              <w:rPr>
                <w:rFonts w:hint="eastAsia" w:ascii="宋体" w:hAnsi="宋体" w:cs="宋体"/>
                <w:color w:val="000000"/>
                <w:sz w:val="24"/>
                <w:szCs w:val="24"/>
              </w:rPr>
              <w:t xml:space="preserve">bps，包转发率≥120Mpps,以官网最小值为准;</w:t>
              <w:br/>
              <w:t xml:space="preserve">2.千兆电口≥24个，万兆光口≥4个；</w:t>
              <w:br/>
              <w:t xml:space="preserve">3.支持 RRPP、支持智能以太保护 SEP 协议、支持 ERPS 以太环保护协议（G.8032）；</w:t>
              <w:br/>
              <w:t xml:space="preserve">4.支持RIP、RIPng、OSPF、OSPFv3路由协议 ;</w:t>
              <w:br/>
              <w:t xml:space="preserve">5.支持纵向虚拟化，作为纵向子节点零配置即插即用；</w:t>
              <w:br/>
              <w:t xml:space="preserve">6.支持Telemetry技术，配合网络分析组件通过智能故障识别算法对网络数据进行分析，精准展现网络实时状态，并能及时有效地定界故障以及定位故障发生原因，发现影响用户体验的网络问题，精准保障用户体验;</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千兆单模光模块</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光模块-eSFP-GE-单模模块</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公安视频网</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48口交换机</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1.交换容量≥430G</w:t>
            </w:r>
            <w:r>
              <w:rPr>
                <w:rFonts w:hint="eastAsia" w:ascii="宋体" w:hAnsi="宋体" w:cs="宋体"/>
                <w:color w:val="000000"/>
                <w:sz w:val="24"/>
                <w:szCs w:val="24"/>
              </w:rPr>
              <w:t xml:space="preserve">bps，包转发率≥160Mpps,以官网最小值为准；</w:t>
              <w:br/>
              <w:t xml:space="preserve">2.千兆电口≥48个，万兆光口≥4个；</w:t>
              <w:br/>
              <w:t xml:space="preserve">3.支持 RRPP、支持智能以太保护 SEP 协议、支持 ERPS 以太环保护协议（G.8032）；</w:t>
              <w:br/>
              <w:t xml:space="preserve">4.支持RIP、RIPng、OSPF、OSPFv3路由协议 ;</w:t>
              <w:br/>
              <w:t xml:space="preserve">5.支持纵向虚拟化，作为纵向子节点零配置即插即用；</w:t>
              <w:br/>
              <w:t xml:space="preserve">6.支持Telemetry技术，配合网络分析组件通过智能故障识别算法对网络数据进行分析，精准展现网络实时状态，并能及时有效地定界故障以及定位故障发生原因，发现影响用户体验的网络问题，精准保障用户体验;</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24口交换机</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1.交换容量≥330G</w:t>
            </w:r>
            <w:r>
              <w:rPr>
                <w:rFonts w:hint="eastAsia" w:ascii="宋体" w:hAnsi="宋体" w:cs="宋体"/>
                <w:color w:val="000000"/>
                <w:sz w:val="24"/>
                <w:szCs w:val="24"/>
              </w:rPr>
              <w:t xml:space="preserve">bps，包转发率≥120Mpps,以官网最小值为准;</w:t>
              <w:br/>
              <w:t xml:space="preserve">2.千兆电口≥24个，万兆光口≥4个；</w:t>
              <w:br/>
              <w:t xml:space="preserve">3.支持 RRPP、支持智能以太保护 SEP 协议、支持 ERPS 以太环保护协议（G.8032）；</w:t>
              <w:br/>
              <w:t xml:space="preserve">4.支持RIP、RIPng、OSPF、OSPFv3路由协议 ;</w:t>
              <w:br/>
              <w:t xml:space="preserve">5.支持纵向虚拟化，作为纵向子节点零配置即插即用；</w:t>
              <w:br/>
              <w:t xml:space="preserve">6.支持Telemetry技术，配合网络分析组件通过智能故障识别算法对网络数据进行分析，精准展现网络实时状态，并能及时有效地定界故障以及定位故障发生原因，发现影响用户体验的网络问题，精准保障用户体验;</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千兆单模光模块</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光模块-eSFP-GE-单模模块</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政务外网</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48口交换机</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1.交换容量≥430G</w:t>
            </w:r>
            <w:r>
              <w:rPr>
                <w:rFonts w:hint="eastAsia" w:ascii="宋体" w:hAnsi="宋体" w:cs="宋体"/>
                <w:color w:val="000000"/>
                <w:sz w:val="24"/>
                <w:szCs w:val="24"/>
              </w:rPr>
              <w:t xml:space="preserve">bps，包转发率≥160Mpps,以官网最小值为准；</w:t>
              <w:br/>
              <w:t xml:space="preserve">2.千兆电口≥48个，万兆光口≥4个；</w:t>
              <w:br/>
              <w:t xml:space="preserve">3.支持 RRPP、支持智能以太保护 SEP 协议、支持 ERPS 以太环保护协议（G.8032）；</w:t>
              <w:br/>
              <w:t xml:space="preserve">4.支持RIP、RIPng、OSPF、OSPFv3路由协议 ;</w:t>
              <w:br/>
              <w:t xml:space="preserve">5.支持纵向虚拟化，作为纵向子节点零配置即插即用；</w:t>
              <w:br/>
              <w:t xml:space="preserve">6.支持Telemetry技术，配合网络分析组件通过智能故障识别算法对网络数据进行分析，精准展现网络实时状态，并能及时有效地定界故障以及定位故障发生原因，发现影响用户体验的网络问题，精准保障用户体验;</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24口交换机</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1.交换容量≥330G</w:t>
            </w:r>
            <w:r>
              <w:rPr>
                <w:rFonts w:hint="eastAsia" w:ascii="宋体" w:hAnsi="宋体" w:cs="宋体"/>
                <w:color w:val="000000"/>
                <w:sz w:val="24"/>
                <w:szCs w:val="24"/>
              </w:rPr>
              <w:t xml:space="preserve">bps，包转发率≥120Mpps,以官网最小值为准;</w:t>
              <w:br/>
              <w:t xml:space="preserve">2.千兆电口≥24个，万兆光口≥4个；</w:t>
              <w:br/>
              <w:t xml:space="preserve">3.支持 RRPP、支持智能以太保护 SEP 协议、支持 ERPS 以太环保护协议（G.8032）；</w:t>
              <w:br/>
              <w:t xml:space="preserve">4.支持RIP、RIPng、OSPF、OSPFv3路由协议 ;</w:t>
              <w:br/>
              <w:t xml:space="preserve">5.支持纵向虚拟化，作为纵向子节点零配置即插即用；</w:t>
              <w:br/>
              <w:t xml:space="preserve">6.支持Telemetry技术，配合网络分析组件通过智能故障识别算法对网络数据进行分析，精准展现网络实时状态，并能及时有效地定界故障以及定位故障发生原因，发现影响用户体验的网络问题，精准保障用户体验;</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千兆单模光模块</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光模块-eSFP-GE-单模模块</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设备网</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8口交换机</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1.交换容量≥330Gbps，包转发率≥100Mpps</w:t>
              <w:br w:type="textWrapping" w:clear="all"/>
              <w:t xml:space="preserve">2.千兆电口≥8个，千兆光口≥4个</w:t>
              <w:br w:type="textWrapping" w:clear="all"/>
              <w:t xml:space="preserve">3.支持RIP、RIPng、OSPF、OSPFv3路由协议</w:t>
              <w:br w:type="textWrapping" w:clear="all"/>
              <w:t xml:space="preserve">4.支持纵向虚拟化，作为纵向子节点零配置即插即用</w:t>
              <w:br w:type="textWrapping" w:clear="all"/>
              <w:t xml:space="preserve">5.支持Telemetry技术，配合网络分析组件通过智能故障识别算法对网络数据进行分析，精准展现网络实时状态，并能及时有效地定界故障以及定位故障发生原因，发现影响用户体验的网络问题，精准保障用户体验</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24口POE交换机</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1.交换容量≥330Gbps，包转发率≥120Mpps,以官网最小值为准;</w:t>
              <w:br w:type="textWrapping" w:clear="all"/>
              <w:t xml:space="preserve">2.千兆电口≥24个，万兆光口≥4个；</w:t>
              <w:br w:type="textWrapping" w:clear="all"/>
              <w:t xml:space="preserve">3.支持802</w:t>
            </w:r>
            <w:r>
              <w:rPr>
                <w:rFonts w:hint="eastAsia" w:ascii="宋体" w:hAnsi="宋体" w:cs="宋体"/>
                <w:color w:val="000000"/>
                <w:sz w:val="24"/>
                <w:szCs w:val="24"/>
              </w:rPr>
              <w:t xml:space="preserve">.3at POE+功能，支持快速POE功能，当交换机电源上电时，支持秒级实现对PD设备的供电</w:t>
              <w:br/>
              <w:t xml:space="preserve">4.支持 RRPP、支持智能以太保护 SEP 协议、支持 ERPS 以太环保护协议（G.8032）；</w:t>
              <w:br/>
              <w:t xml:space="preserve">5.支持RIP、RIPng、OSPF、OSPFv3路由协议 ;</w:t>
              <w:br/>
              <w:t xml:space="preserve">6.支持纵向虚拟化，作为纵向子节点零配置即插即用；</w:t>
              <w:br/>
              <w:t xml:space="preserve">7.支持Telemetry技术，配合网络分析组件通过智能故障识别算法对网络数据进行分析，精准展现网络实时状态，并能及时有效地定界故障以及定位故障发生原因，发现影响用户体验的网络问题，精准保障用户体验;</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千兆单模光模块</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光模块-eSFP-GE-单模模块</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七</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b/>
                <w:bCs/>
                <w:color w:val="000000"/>
                <w:sz w:val="24"/>
                <w:szCs w:val="24"/>
              </w:rPr>
            </w:pPr>
            <w:r>
              <w:rPr>
                <w:rFonts w:hint="eastAsia" w:ascii="宋体" w:hAnsi="宋体" w:cs="宋体"/>
                <w:b/>
                <w:bCs/>
                <w:color w:val="000000"/>
                <w:sz w:val="24"/>
                <w:szCs w:val="24"/>
              </w:rPr>
              <w:t xml:space="preserve">综合布线</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工作区子系统</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6类信息模块</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6类信息模块</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518</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语音模块</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语音模块</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158</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双口面板</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双口面板</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338</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地插</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地插</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2米六类非屏蔽网络跳线</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2米六类非屏蔽网络跳线</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根</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518</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RJ45转110语音跳线</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RJ45转110语音跳线</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根</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60</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水平子系统</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六类非屏蔽线缆</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六类非屏蔽线缆</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28000</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广播线</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RVS2*1.5</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电源线</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rvv2*1.0</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电源线</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rvv2*1.5</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电源线</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rvv4*1.0</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50</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大屏电源</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RVV3*4</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大屏总电源</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YJV4*35+1*16</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40</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12芯光纤线</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12芯光纤线</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290</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管理子系统</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50对大对数线</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50对大对数线</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70</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110语音配线架</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110语音配线架</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6类24口非屏蔽数据配线架</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6类24口非屏蔽数据配线架</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38</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金属理线器</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金属理线器</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53</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24芯光纤线</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24芯光纤线</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50</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24芯光纤盒</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24芯光纤盒</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12芯光纤盒</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12芯光纤盒</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耦合器</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耦合器</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168</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光纤跳线（3米）</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光纤跳线（3米）</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根</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168</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单模尾纤</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单模尾纤</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根</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168</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光纤熔纤</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光纤熔纤</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168</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42U网络机柜</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42U网络机柜（600*600*2000）</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42U服务器机柜</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42U网络机柜（600*1000*2000）</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弱电间静电地板铺设</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地面防尘、防水处理、相关设备设施承重支架、600*600*35mm防静电活动地板、基础底座、辅材人工等</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平方米</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室内桥架管道系统</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金属桥架</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400*200桥架</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桥架辅材</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桥架辅材</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PVC25管</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PVC25</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3500</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辅材</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PVC弯头、直接、电工胶布、螺丝螺帽等</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tcPr>
          <w:p>
            <w:pPr>
              <w:pStyle w:val="883"/>
              <w:rPr>
                <w:rFonts w:hint="eastAsia" w:ascii="宋体" w:hAnsi="宋体" w:cs="宋体"/>
                <w:color w:val="000000"/>
                <w:sz w:val="24"/>
                <w:szCs w:val="24"/>
              </w:rPr>
            </w:pPr>
            <w:r>
              <w:rPr>
                <w:rFonts w:hint="eastAsia" w:ascii="宋体" w:hAnsi="宋体" w:cs="宋体"/>
                <w:color w:val="000000"/>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综合布线施工费</w:t>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sz w:val="24"/>
                <w:szCs w:val="24"/>
              </w:rPr>
            </w:pPr>
            <w:r>
              <w:rPr>
                <w:rFonts w:hint="eastAsia" w:ascii="宋体" w:hAnsi="宋体" w:cs="宋体"/>
                <w:color w:val="000000"/>
                <w:sz w:val="24"/>
                <w:szCs w:val="24"/>
              </w:rPr>
              <w:t xml:space="preserve">综合布线施工费</w:t>
            </w: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tcPr>
          <w:p>
            <w:pPr>
              <w:pStyle w:val="883"/>
              <w:rPr>
                <w:rFonts w:hint="eastAsia" w:ascii="宋体" w:hAnsi="宋体" w:cs="宋体"/>
                <w:color w:val="000000"/>
                <w:sz w:val="24"/>
                <w:szCs w:val="24"/>
              </w:rPr>
            </w:pPr>
            <w:r>
              <w:rPr>
                <w:rFonts w:hint="eastAsia" w:ascii="宋体" w:hAnsi="宋体" w:cs="宋体"/>
                <w:color w:val="000000"/>
                <w:sz w:val="24"/>
                <w:szCs w:val="24"/>
              </w:rPr>
            </w:r>
            <w:r/>
          </w:p>
        </w:tc>
      </w:tr>
    </w:tbl>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项目服务要求：</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（1）服务方式</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要求实行每周7日，每日24小时的热线电话受理，并以最快的速度和最高的质量解决使用过程中出现的问题。除了通过热线电话接受技术支持请求外，还可以通过传真或email接受技术支持。</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（2）故障级别及响应时间</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要求设置完善的故障分级制度，并针对各级故障设定响应时间，严格执行在响应时间内提供技术支持及解决方案。</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①一级故障</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设备在运行中出现整机系统瘫痪或服务中断，导致设备的基本功能不能实现的故障。</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②二级故障</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设备在运行中出现的故障具有潜在的系统瘫痪或服务中断的危险，并可能导致设备的基本功能不能实现。</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③三级故障</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设备在运行中出现的影响业务、并导致系统性能或服务部分中断的故障。</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④四级故障</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咨询类问题或设备在运行安装过程中，对产品功能、配置等方面需要的信息和需求，对系统正常运行几乎无影响。</w:t>
      </w:r>
      <w:r/>
    </w:p>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故障级别与响应时间对照表</w:t>
      </w:r>
      <w:r/>
    </w:p>
    <w:tbl>
      <w:tblPr>
        <w:tblW w:w="0" w:type="auto"/>
        <w:tblInd w:w="-113"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故障级别</w:t>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响应时间</w:t>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一级故障</w:t>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立即</w:t>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二级故障</w:t>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小于30分钟</w:t>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三级故障</w:t>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小于30分钟</w:t>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四级故障</w:t>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小于1小时</w:t>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技术咨询</w:t>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小于2小时</w:t>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其他问题</w:t>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小于48小时</w:t>
            </w:r>
            <w:r/>
          </w:p>
        </w:tc>
      </w:tr>
    </w:tbl>
    <w:p>
      <w:pPr>
        <w:pStyle w:val="88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（3）质量保证期</w:t>
      </w:r>
      <w:r/>
    </w:p>
    <w:p>
      <w:pPr>
        <w:pStyle w:val="883"/>
        <w:ind w:firstLine="480"/>
        <w:spacing w:line="360" w:lineRule="auto"/>
        <w:rPr>
          <w:rFonts w:hint="eastAsia" w:ascii="宋体" w:hAnsi="宋体"/>
          <w:bCs/>
          <w:color w:val="000000"/>
          <w:sz w:val="24"/>
          <w:szCs w:val="24"/>
        </w:rPr>
      </w:pPr>
      <w:r>
        <w:rPr>
          <w:rFonts w:hint="eastAsia" w:ascii="宋体" w:hAnsi="宋体" w:cs="宋体"/>
          <w:color w:val="000000"/>
          <w:sz w:val="24"/>
          <w:szCs w:val="24"/>
        </w:rPr>
        <w:t xml:space="preserve">要求提供为期5年的免费质保期。在保修期间，如有配件损坏，要求保证8小时内得到所需备件，以此来保障正常运行。</w:t>
      </w:r>
      <w:r>
        <w:rPr>
          <w:rFonts w:hint="eastAsia" w:ascii="宋体" w:hAnsi="宋体"/>
          <w:bCs/>
          <w:color w:val="000000"/>
          <w:sz w:val="24"/>
          <w:szCs w:val="24"/>
        </w:rPr>
      </w:r>
      <w:r/>
    </w:p>
    <w:p>
      <w:pPr>
        <w:pStyle w:val="883"/>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883"/>
        <w:spacing w:line="360" w:lineRule="auto"/>
        <w:rPr>
          <w:rFonts w:ascii="宋体" w:hAnsi="宋体"/>
          <w:b/>
          <w:color w:val="000000"/>
          <w:sz w:val="30"/>
          <w:szCs w:val="30"/>
        </w:rPr>
      </w:pPr>
      <w:r>
        <w:rPr>
          <w:rFonts w:ascii="宋体" w:hAnsi="宋体"/>
          <w:bCs/>
          <w:color w:val="000000"/>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83"/>
        <w:numPr>
          <w:ilvl w:val="1"/>
          <w:numId w:val="5"/>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投标总报价包括满足本项目要求的所有产品及其配件、包装、运杂、安装调试及售后服务等从项目中标起到项目正式交付以及质保期内所发生的一切费用。</w:t>
      </w:r>
      <w:r>
        <w:rPr>
          <w:rFonts w:ascii="宋体"/>
          <w:bCs/>
          <w:color w:val="000000"/>
          <w:sz w:val="24"/>
          <w:szCs w:val="24"/>
        </w:rPr>
      </w:r>
      <w:r/>
    </w:p>
    <w:p>
      <w:pPr>
        <w:pStyle w:val="883"/>
        <w:numPr>
          <w:ilvl w:val="1"/>
          <w:numId w:val="5"/>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883"/>
        <w:numPr>
          <w:ilvl w:val="1"/>
          <w:numId w:val="5"/>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pStyle w:val="883"/>
        <w:numPr>
          <w:ilvl w:val="1"/>
          <w:numId w:val="5"/>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交货期：</w:t>
      </w:r>
      <w:r>
        <w:rPr>
          <w:rFonts w:hint="eastAsia" w:ascii="宋体"/>
          <w:bCs/>
          <w:color w:val="000000"/>
          <w:sz w:val="24"/>
        </w:rPr>
        <w:t xml:space="preserve">合同签订生效后3个月内完成设备安装、调试工作并初验；初验结束后进行3个月的试运行，试运行结束进行终验。</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项目整体质保期：</w:t>
      </w:r>
      <w:r>
        <w:rPr>
          <w:rFonts w:hint="eastAsia" w:ascii="宋体"/>
          <w:bCs/>
          <w:color w:val="000000"/>
          <w:sz w:val="24"/>
        </w:rPr>
        <w:t xml:space="preserve">5年。</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付款方式：</w:t>
      </w:r>
      <w:r>
        <w:rPr>
          <w:rFonts w:hint="eastAsia" w:ascii="宋体"/>
          <w:bCs/>
          <w:color w:val="000000"/>
          <w:sz w:val="24"/>
        </w:rPr>
        <w:t xml:space="preserve">合同签订生效后支付合同金额的30%（预付款）；设备到货安装</w:t>
      </w:r>
      <w:r>
        <w:rPr>
          <w:rFonts w:ascii="宋体"/>
          <w:bCs/>
          <w:color w:val="000000"/>
          <w:sz w:val="24"/>
        </w:rPr>
        <w:t xml:space="preserve">调试完毕</w:t>
      </w:r>
      <w:r>
        <w:rPr>
          <w:rFonts w:hint="eastAsia" w:ascii="宋体"/>
          <w:bCs/>
          <w:color w:val="000000"/>
          <w:sz w:val="24"/>
        </w:rPr>
        <w:t xml:space="preserve">通过初验后支付合同金额的40%；项目终验并完成审计后支付至审计金额的9</w:t>
      </w:r>
      <w:r>
        <w:rPr>
          <w:rFonts w:ascii="宋体"/>
          <w:bCs/>
          <w:color w:val="000000"/>
          <w:sz w:val="24"/>
        </w:rPr>
        <w:t xml:space="preserve">5%</w:t>
      </w:r>
      <w:r>
        <w:rPr>
          <w:rFonts w:hint="eastAsia" w:ascii="宋体"/>
          <w:bCs/>
          <w:color w:val="000000"/>
          <w:sz w:val="24"/>
        </w:rPr>
        <w:t xml:space="preserve">；余款质保期满后在一个月内支付。</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中标（成交）供应商以履约保函（保险）形式按签约合同价的5%提供履约担保。中标（成交）供应商可采用电子履约保函（保险）形式,具体操作可登录江苏政府采购网的保险保函模块进行办理。</w:t>
      </w:r>
      <w:r/>
    </w:p>
    <w:p>
      <w:pPr>
        <w:pStyle w:val="883"/>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本项目合同履行地点：无锡市，具体地点以合同书约定为准。中标方必须按采购人要求将本项目中货物送到指定地点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883"/>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rPr>
      </w:r>
      <w:r/>
    </w:p>
    <w:p>
      <w:pPr>
        <w:pStyle w:val="883"/>
        <w:spacing w:line="360" w:lineRule="auto"/>
        <w:rPr>
          <w:rFonts w:ascii="宋体"/>
          <w:bCs/>
          <w:color w:val="000000"/>
          <w:sz w:val="24"/>
          <w:szCs w:val="24"/>
        </w:rPr>
      </w:pPr>
      <w:r>
        <w:rPr>
          <w:rFonts w:ascii="宋体"/>
          <w:bCs/>
          <w:color w:val="000000"/>
          <w:sz w:val="24"/>
          <w:szCs w:val="24"/>
        </w:rPr>
        <w:t xml:space="preserve"> </w:t>
      </w:r>
      <w:r/>
    </w:p>
    <w:p>
      <w:pPr>
        <w:pStyle w:val="883"/>
        <w:ind w:left="525"/>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bCs/>
          <w:color w:val="000000"/>
          <w:sz w:val="24"/>
          <w:szCs w:val="24"/>
        </w:rPr>
      </w:r>
      <w:r/>
    </w:p>
    <w:p>
      <w:pPr>
        <w:pStyle w:val="883"/>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rPr>
      </w:pPr>
      <w:r>
        <w:rPr>
          <w:rFonts w:hint="eastAsia" w:ascii="宋体" w:hAnsi="宋体"/>
          <w:bCs/>
          <w:color w:val="000000"/>
          <w:sz w:val="24"/>
        </w:rPr>
        <w:br w:type="page" w:clear="all"/>
      </w: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883"/>
        <w:numPr>
          <w:ilvl w:val="1"/>
          <w:numId w:val="6"/>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883"/>
        <w:numPr>
          <w:ilvl w:val="1"/>
          <w:numId w:val="6"/>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p>
    <w:p>
      <w:pPr>
        <w:pStyle w:val="883"/>
        <w:numPr>
          <w:ilvl w:val="1"/>
          <w:numId w:val="6"/>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color w:val="000000"/>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rPr>
      </w:r>
      <w:r/>
    </w:p>
    <w:p>
      <w:pPr>
        <w:pStyle w:val="883"/>
        <w:numPr>
          <w:ilvl w:val="1"/>
          <w:numId w:val="6"/>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有关中小企业政策，如</w:t>
      </w:r>
      <w:r>
        <w:rPr>
          <w:rFonts w:hint="eastAsia" w:ascii="宋体" w:hAnsi="宋体"/>
          <w:color w:val="000000"/>
          <w:sz w:val="24"/>
          <w:szCs w:val="24"/>
        </w:rPr>
        <w:t xml:space="preserve">落实政府采购政策需满足的资格要求以及落实政府采购政策的价格调整的相关内容可详见本文件其他章节。</w:t>
      </w:r>
      <w:r>
        <w:rPr>
          <w:rFonts w:hint="eastAsia" w:ascii="宋体" w:hAnsi="宋体" w:cs="宋体"/>
          <w:color w:val="000000"/>
          <w:sz w:val="24"/>
          <w:szCs w:val="24"/>
        </w:rPr>
      </w:r>
      <w:r/>
    </w:p>
    <w:p>
      <w:pPr>
        <w:pStyle w:val="883"/>
        <w:numPr>
          <w:ilvl w:val="1"/>
          <w:numId w:val="6"/>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中标、成交供应商可采用合同融资形式，中标人可凭政府采购合同办理融资贷款，详见政府采购网“政采贷”专栏。</w:t>
      </w:r>
      <w:r>
        <w:rPr>
          <w:rFonts w:hint="eastAsia" w:ascii="宋体" w:hAnsi="宋体" w:cs="宋体"/>
          <w:color w:val="000000"/>
          <w:sz w:val="24"/>
          <w:szCs w:val="24"/>
        </w:rPr>
      </w:r>
      <w:r/>
    </w:p>
    <w:p>
      <w:pPr>
        <w:pStyle w:val="883"/>
        <w:numPr>
          <w:ilvl w:val="1"/>
          <w:numId w:val="6"/>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中标、成交供应商可以采用电子履约保函形式缴纳履约保证金，具体操作可登录江苏政府采购网（http://www.ccgp-jiangsu.gov.cn/）的保险保函模块进行办理。</w:t>
      </w:r>
      <w:r/>
    </w:p>
    <w:p>
      <w:pPr>
        <w:pStyle w:val="883"/>
        <w:numPr>
          <w:ilvl w:val="1"/>
          <w:numId w:val="6"/>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rPr>
        <w:t xml:space="preserve">采购人可在合同中约定，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履约验收管理时，可对所提供的七种软硬件进行验收，必要时可以委托依法取得检测、认证资质的机构进行检测、认证。</w:t>
      </w:r>
      <w:r/>
    </w:p>
    <w:p>
      <w:pPr>
        <w:pStyle w:val="883"/>
        <w:numPr>
          <w:ilvl w:val="1"/>
          <w:numId w:val="6"/>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采购人原则上应当自收到发票后10个工作日内将资金支付到合同约定的供应商账户。</w:t>
      </w:r>
      <w:r/>
    </w:p>
    <w:p>
      <w:pPr>
        <w:pStyle w:val="883"/>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sz w:val="36"/>
          <w:szCs w:val="36"/>
        </w:rPr>
      </w:pPr>
      <w:r>
        <w:rPr>
          <w:rFonts w:ascii="宋体"/>
          <w:bCs/>
          <w:color w:val="000000"/>
          <w:sz w:val="24"/>
          <w:szCs w:val="24"/>
        </w:rPr>
        <w:br w:type="page" w:clear="all"/>
      </w:r>
      <w:bookmarkStart w:id="193"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rPr>
          <w:rFonts w:hint="eastAsia" w:ascii="黑体" w:hAnsi="黑体" w:eastAsia="黑体"/>
          <w:bCs/>
          <w:color w:val="000000"/>
          <w:sz w:val="36"/>
          <w:szCs w:val="36"/>
        </w:rPr>
      </w:r>
      <w:r/>
    </w:p>
    <w:p>
      <w:pPr>
        <w:pStyle w:val="971"/>
        <w:ind w:firstLine="602"/>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p>
    <w:p>
      <w:pPr>
        <w:pStyle w:val="971"/>
        <w:spacing w:before="0" w:after="0" w:line="500" w:lineRule="exact"/>
        <w:rPr>
          <w:rFonts w:hint="eastAsia" w:cs="Arial"/>
          <w:color w:val="000000"/>
        </w:rPr>
      </w:pPr>
      <w:r>
        <w:rPr>
          <w:rFonts w:hint="eastAsia" w:cs="Arial"/>
          <w:color w:val="000000"/>
        </w:rPr>
        <w:t xml:space="preserve">投标人通过初审的，方可进入比较与评价程序。</w:t>
      </w:r>
      <w:r/>
    </w:p>
    <w:p>
      <w:pPr>
        <w:pStyle w:val="971"/>
        <w:spacing w:before="0" w:after="0" w:line="500" w:lineRule="exact"/>
        <w:rPr>
          <w:rFonts w:hint="eastAsia" w:cs="Arial"/>
          <w:color w:val="000000"/>
        </w:rPr>
      </w:pPr>
      <w:r>
        <w:rPr>
          <w:rFonts w:hint="eastAsia" w:cs="Arial"/>
          <w:color w:val="000000"/>
        </w:rPr>
        <w:t xml:space="preserve">比较与评价采用综合评分法。</w:t>
      </w:r>
      <w:r/>
    </w:p>
    <w:p>
      <w:pPr>
        <w:pStyle w:val="971"/>
        <w:spacing w:before="0" w:after="0" w:line="500" w:lineRule="exact"/>
        <w:rPr>
          <w:rFonts w:hint="eastAsia" w:ascii="宋体" w:hAnsi="宋体"/>
          <w:bCs/>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71"/>
        <w:spacing w:before="0" w:after="0" w:line="500" w:lineRule="exact"/>
        <w:rPr>
          <w:rFonts w:hint="eastAsia" w:ascii="宋体" w:hAnsi="宋体"/>
          <w:bCs/>
          <w:color w:val="000000"/>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71"/>
        <w:spacing w:before="0" w:after="0" w:line="500" w:lineRule="exact"/>
        <w:rPr>
          <w:rFonts w:hint="eastAsia" w:cs="Arial"/>
          <w:b/>
          <w:color w:val="000000"/>
          <w:sz w:val="30"/>
          <w:szCs w:val="30"/>
        </w:rPr>
      </w:pPr>
      <w:r>
        <w:rPr>
          <w:rFonts w:cs="Arial"/>
          <w:color w:val="000000"/>
          <w:shd w:val="clear" w:color="ffffff" w:fill="d9d9d9"/>
        </w:rPr>
        <w:br w:type="page" w:clear="all"/>
      </w:r>
      <w:r>
        <w:rPr>
          <w:rFonts w:hint="eastAsia" w:cs="Arial"/>
          <w:b/>
          <w:color w:val="000000"/>
          <w:sz w:val="30"/>
          <w:szCs w:val="30"/>
        </w:rPr>
        <w:t xml:space="preserve">第二部分  评标标准</w:t>
      </w:r>
      <w:r/>
    </w:p>
    <w:p>
      <w:pPr>
        <w:pStyle w:val="971"/>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p>
    <w:p>
      <w:pPr>
        <w:pStyle w:val="883"/>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pStyle w:val="883"/>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rPr>
          <w:rFonts w:ascii="宋体" w:hAnsi="宋体"/>
          <w:bCs/>
          <w:color w:val="000000"/>
          <w:sz w:val="24"/>
          <w:szCs w:val="24"/>
        </w:rPr>
      </w:r>
      <w:r/>
    </w:p>
    <w:p>
      <w:pPr>
        <w:pStyle w:val="883"/>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rPr>
      </w:r>
      <w:r/>
    </w:p>
    <w:p>
      <w:pPr>
        <w:pStyle w:val="883"/>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883"/>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rPr>
          <w:rFonts w:ascii="宋体" w:hAnsi="宋体"/>
          <w:bCs/>
          <w:color w:val="000000"/>
          <w:sz w:val="24"/>
          <w:szCs w:val="24"/>
        </w:rPr>
      </w:r>
      <w:r/>
    </w:p>
    <w:p>
      <w:pPr>
        <w:pStyle w:val="883"/>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rPr>
          <w:rFonts w:ascii="宋体" w:hAnsi="宋体"/>
          <w:bCs/>
          <w:color w:val="000000"/>
          <w:sz w:val="24"/>
          <w:szCs w:val="24"/>
        </w:rPr>
      </w:r>
      <w:r/>
    </w:p>
    <w:p>
      <w:pPr>
        <w:pStyle w:val="883"/>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rPr>
          <w:color w:val="000000"/>
        </w:rPr>
      </w:r>
      <w:r/>
    </w:p>
    <w:p>
      <w:pPr>
        <w:pStyle w:val="971"/>
        <w:ind w:firstLine="360"/>
        <w:spacing w:before="0" w:after="0" w:line="500" w:lineRule="exact"/>
        <w:rPr>
          <w:rFonts w:hint="eastAsia" w:ascii="宋体" w:hAnsi="宋体"/>
          <w:color w:val="000000"/>
          <w:shd w:val="clear" w:color="ffffff" w:fill="d9d9d9"/>
        </w:rPr>
      </w:pPr>
      <w:r>
        <w:rPr>
          <w:rFonts w:ascii="宋体" w:hAnsi="宋体"/>
          <w:color w:val="000000"/>
          <w:shd w:val="clear" w:color="ffffff" w:fill="d9d9d9"/>
        </w:rPr>
        <w:br w:type="page" w:clear="all"/>
      </w:r>
      <w:r>
        <w:rPr>
          <w:rFonts w:hint="eastAsia" w:ascii="宋体" w:hAnsi="宋体"/>
          <w:b/>
          <w:color w:val="000000"/>
          <w:sz w:val="28"/>
          <w:szCs w:val="28"/>
        </w:rPr>
        <w:t xml:space="preserve">二、评分标准</w:t>
      </w:r>
      <w:r>
        <w:rPr>
          <w:rFonts w:hint="eastAsia" w:ascii="宋体" w:hAnsi="宋体"/>
          <w:color w:val="000000"/>
          <w:shd w:val="clear" w:color="ffffff" w:fill="d9d9d9"/>
        </w:rPr>
      </w:r>
      <w:r/>
    </w:p>
    <w:p>
      <w:pPr>
        <w:pStyle w:val="883"/>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价格（35分）：</w:t>
      </w:r>
      <w:r>
        <w:rPr>
          <w:rFonts w:ascii="宋体" w:hAnsi="宋体"/>
          <w:b/>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pStyle w:val="883"/>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rPr>
        <w:t xml:space="preserve">10</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883"/>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2.1项目经理具有信息系统项目管理师证书、系统规划与管理师、信息安全保障人员认证证书（CISAW）以上证书每有一个得1分，最高3分</w:t>
      </w:r>
      <w:r>
        <w:rPr>
          <w:rFonts w:hint="eastAsia" w:ascii="宋体" w:hAnsi="宋体"/>
          <w:bCs/>
          <w:color w:val="000000"/>
          <w:sz w:val="24"/>
          <w:szCs w:val="24"/>
        </w:rPr>
        <w:t xml:space="preserve">。</w:t>
      </w:r>
      <w:r>
        <w:rPr>
          <w:rFonts w:hint="eastAsia" w:ascii="宋体" w:hAnsi="宋体"/>
          <w:bCs/>
          <w:color w:val="000000"/>
          <w:sz w:val="24"/>
          <w:szCs w:val="24"/>
        </w:rPr>
      </w:r>
      <w:r/>
    </w:p>
    <w:p>
      <w:pPr>
        <w:pStyle w:val="883"/>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2.2项目组成员具有CCSC 网络安全能力认证证书（网络安全管理）得0.5分，具有注册信息安全工程师（CISP）证书得0.5分，最高得1分。</w:t>
      </w:r>
      <w:r/>
    </w:p>
    <w:p>
      <w:pPr>
        <w:pStyle w:val="883"/>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2.3项目组成员具有</w:t>
      </w:r>
      <w:r>
        <w:rPr>
          <w:rFonts w:hint="eastAsia" w:ascii="宋体" w:hAnsi="宋体"/>
          <w:bCs/>
          <w:color w:val="000000"/>
          <w:sz w:val="24"/>
          <w:szCs w:val="24"/>
        </w:rPr>
        <w:t xml:space="preserve">IT运维工程师得0.5分，</w:t>
      </w:r>
      <w:r>
        <w:rPr>
          <w:rFonts w:hint="eastAsia" w:ascii="宋体" w:hAnsi="宋体"/>
          <w:bCs/>
          <w:color w:val="000000"/>
          <w:sz w:val="24"/>
          <w:szCs w:val="24"/>
        </w:rPr>
        <w:t xml:space="preserve">高级IT 运维工程师得</w:t>
      </w:r>
      <w:r>
        <w:rPr>
          <w:rFonts w:hint="eastAsia" w:ascii="宋体" w:hAnsi="宋体"/>
          <w:bCs/>
          <w:color w:val="000000"/>
          <w:sz w:val="24"/>
          <w:szCs w:val="24"/>
        </w:rPr>
        <w:t xml:space="preserve">1</w:t>
      </w:r>
      <w:r>
        <w:rPr>
          <w:rFonts w:hint="eastAsia" w:ascii="宋体" w:hAnsi="宋体"/>
          <w:bCs/>
          <w:color w:val="000000"/>
          <w:sz w:val="24"/>
          <w:szCs w:val="24"/>
        </w:rPr>
        <w:t xml:space="preserve">分，</w:t>
      </w:r>
      <w:r>
        <w:rPr>
          <w:rFonts w:hint="eastAsia" w:ascii="宋体" w:hAnsi="宋体"/>
          <w:bCs/>
          <w:color w:val="000000"/>
          <w:sz w:val="24"/>
          <w:szCs w:val="24"/>
        </w:rPr>
        <w:t xml:space="preserve">本项最高得1分。</w:t>
      </w:r>
      <w:r/>
    </w:p>
    <w:p>
      <w:pPr>
        <w:pStyle w:val="883"/>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2.4项目组成员</w:t>
      </w:r>
      <w:r>
        <w:rPr>
          <w:rFonts w:hint="eastAsia" w:ascii="宋体" w:hAnsi="宋体"/>
          <w:bCs/>
          <w:color w:val="000000"/>
          <w:sz w:val="24"/>
          <w:szCs w:val="24"/>
        </w:rPr>
        <w:t xml:space="preserve">具</w:t>
      </w:r>
      <w:r>
        <w:rPr>
          <w:rFonts w:hint="eastAsia" w:ascii="宋体" w:hAnsi="宋体"/>
          <w:bCs/>
          <w:color w:val="000000"/>
          <w:sz w:val="24"/>
          <w:szCs w:val="24"/>
        </w:rPr>
        <w:t xml:space="preserve">有</w:t>
      </w:r>
      <w:r>
        <w:rPr>
          <w:rFonts w:hint="eastAsia" w:ascii="宋体" w:hAnsi="宋体"/>
          <w:bCs/>
          <w:color w:val="000000"/>
          <w:sz w:val="24"/>
          <w:szCs w:val="24"/>
        </w:rPr>
        <w:t xml:space="preserve">CISAW信息安全保障人员证书（安全运维）得</w:t>
      </w:r>
      <w:r>
        <w:rPr>
          <w:rFonts w:hint="eastAsia" w:ascii="宋体" w:hAnsi="宋体"/>
          <w:bCs/>
          <w:color w:val="000000"/>
          <w:sz w:val="24"/>
          <w:szCs w:val="24"/>
        </w:rPr>
        <w:t xml:space="preserve">1</w:t>
      </w:r>
      <w:r>
        <w:rPr>
          <w:rFonts w:hint="eastAsia" w:ascii="宋体" w:hAnsi="宋体"/>
          <w:bCs/>
          <w:color w:val="000000"/>
          <w:sz w:val="24"/>
          <w:szCs w:val="24"/>
        </w:rPr>
        <w:t xml:space="preserve">分，最高</w:t>
      </w:r>
      <w:r>
        <w:rPr>
          <w:rFonts w:hint="eastAsia" w:ascii="宋体" w:hAnsi="宋体"/>
          <w:bCs/>
          <w:color w:val="000000"/>
          <w:sz w:val="24"/>
          <w:szCs w:val="24"/>
        </w:rPr>
        <w:t xml:space="preserve">2</w:t>
      </w:r>
      <w:r>
        <w:rPr>
          <w:rFonts w:hint="eastAsia" w:ascii="宋体" w:hAnsi="宋体"/>
          <w:bCs/>
          <w:color w:val="000000"/>
          <w:sz w:val="24"/>
          <w:szCs w:val="24"/>
        </w:rPr>
        <w:t xml:space="preserve">分。</w:t>
      </w:r>
      <w:r/>
    </w:p>
    <w:p>
      <w:pPr>
        <w:pStyle w:val="883"/>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rPr>
        <w:t xml:space="preserve">5</w:t>
      </w:r>
      <w:r>
        <w:rPr>
          <w:rFonts w:hint="eastAsia" w:ascii="宋体" w:hAnsi="宋体"/>
          <w:bCs/>
          <w:color w:val="000000"/>
          <w:sz w:val="24"/>
          <w:szCs w:val="24"/>
        </w:rPr>
        <w:t xml:space="preserve">项目组成员具</w:t>
      </w:r>
      <w:r>
        <w:rPr>
          <w:rFonts w:hint="eastAsia" w:ascii="宋体" w:hAnsi="宋体"/>
          <w:bCs/>
          <w:color w:val="000000"/>
          <w:sz w:val="24"/>
          <w:szCs w:val="24"/>
        </w:rPr>
        <w:t xml:space="preserve">有</w:t>
      </w:r>
      <w:r>
        <w:rPr>
          <w:rFonts w:hint="eastAsia" w:ascii="宋体" w:hAnsi="宋体"/>
          <w:bCs/>
          <w:color w:val="000000"/>
          <w:sz w:val="24"/>
          <w:szCs w:val="24"/>
        </w:rPr>
        <w:t xml:space="preserve">IT服务项目经理得1分，最高1分。</w:t>
      </w:r>
      <w:r/>
    </w:p>
    <w:p>
      <w:pPr>
        <w:pStyle w:val="883"/>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rPr>
        <w:t xml:space="preserve">6</w:t>
      </w:r>
      <w:r>
        <w:rPr>
          <w:rFonts w:hint="eastAsia" w:ascii="宋体" w:hAnsi="宋体"/>
          <w:bCs/>
          <w:color w:val="000000"/>
          <w:sz w:val="24"/>
          <w:szCs w:val="24"/>
        </w:rPr>
        <w:t xml:space="preserve">项目组成员具</w:t>
      </w:r>
      <w:r>
        <w:rPr>
          <w:rFonts w:hint="eastAsia" w:ascii="宋体" w:hAnsi="宋体"/>
          <w:bCs/>
          <w:color w:val="000000"/>
          <w:sz w:val="24"/>
          <w:szCs w:val="24"/>
        </w:rPr>
        <w:t xml:space="preserve">有</w:t>
      </w:r>
      <w:r>
        <w:rPr>
          <w:rFonts w:hint="eastAsia" w:ascii="宋体" w:hAnsi="宋体"/>
          <w:bCs/>
          <w:color w:val="000000"/>
          <w:sz w:val="24"/>
          <w:szCs w:val="24"/>
        </w:rPr>
        <w:t xml:space="preserve">网络规划师得1分，最高得1分</w:t>
      </w:r>
      <w:r>
        <w:rPr>
          <w:rFonts w:hint="eastAsia" w:ascii="宋体" w:hAnsi="宋体"/>
          <w:bCs/>
          <w:color w:val="000000"/>
          <w:sz w:val="24"/>
          <w:szCs w:val="24"/>
        </w:rPr>
        <w:t xml:space="preserve">。</w:t>
      </w:r>
      <w:r>
        <w:rPr>
          <w:rFonts w:hint="eastAsia" w:ascii="宋体" w:hAnsi="宋体"/>
          <w:bCs/>
          <w:color w:val="000000"/>
          <w:sz w:val="24"/>
          <w:szCs w:val="24"/>
        </w:rPr>
      </w:r>
      <w:r/>
    </w:p>
    <w:p>
      <w:pPr>
        <w:pStyle w:val="883"/>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rPr>
        <w:t xml:space="preserve">7</w:t>
      </w:r>
      <w:r>
        <w:rPr>
          <w:rFonts w:hint="eastAsia" w:ascii="宋体" w:hAnsi="宋体"/>
          <w:bCs/>
          <w:color w:val="000000"/>
          <w:sz w:val="24"/>
          <w:szCs w:val="24"/>
        </w:rPr>
        <w:t xml:space="preserve">项目组成员具有高级安防系统工程师得</w:t>
      </w:r>
      <w:r>
        <w:rPr>
          <w:rFonts w:hint="eastAsia" w:ascii="宋体" w:hAnsi="宋体"/>
          <w:bCs/>
          <w:color w:val="000000"/>
          <w:sz w:val="24"/>
          <w:szCs w:val="24"/>
        </w:rPr>
        <w:t xml:space="preserve">1</w:t>
      </w:r>
      <w:r>
        <w:rPr>
          <w:rFonts w:hint="eastAsia" w:ascii="宋体" w:hAnsi="宋体"/>
          <w:bCs/>
          <w:color w:val="000000"/>
          <w:sz w:val="24"/>
          <w:szCs w:val="24"/>
        </w:rPr>
        <w:t xml:space="preserve">分，最高</w:t>
      </w:r>
      <w:r>
        <w:rPr>
          <w:rFonts w:hint="eastAsia" w:ascii="宋体" w:hAnsi="宋体"/>
          <w:bCs/>
          <w:color w:val="000000"/>
          <w:sz w:val="24"/>
          <w:szCs w:val="24"/>
        </w:rPr>
        <w:t xml:space="preserve">得</w:t>
      </w:r>
      <w:r>
        <w:rPr>
          <w:rFonts w:hint="eastAsia" w:ascii="宋体" w:hAnsi="宋体"/>
          <w:bCs/>
          <w:color w:val="000000"/>
          <w:sz w:val="24"/>
          <w:szCs w:val="24"/>
        </w:rPr>
        <w:t xml:space="preserve">1分。</w:t>
      </w:r>
      <w:r>
        <w:rPr>
          <w:rFonts w:ascii="宋体" w:hAnsi="宋体"/>
          <w:bCs/>
          <w:color w:val="000000"/>
          <w:sz w:val="24"/>
          <w:szCs w:val="24"/>
        </w:rPr>
      </w:r>
      <w:r/>
    </w:p>
    <w:p>
      <w:pPr>
        <w:pStyle w:val="883"/>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投标人综合情况（5分）：</w:t>
      </w:r>
      <w:r>
        <w:rPr>
          <w:rFonts w:ascii="宋体" w:hAnsi="宋体"/>
          <w:b/>
          <w:bCs/>
          <w:color w:val="000000"/>
          <w:sz w:val="24"/>
          <w:szCs w:val="24"/>
        </w:rPr>
      </w:r>
      <w:r/>
    </w:p>
    <w:p>
      <w:pPr>
        <w:pStyle w:val="883"/>
        <w:ind w:firstLine="480"/>
        <w:spacing w:line="500" w:lineRule="exact"/>
        <w:rPr>
          <w:rFonts w:ascii="宋体" w:hAnsi="宋体"/>
          <w:color w:val="000000"/>
          <w:sz w:val="24"/>
        </w:rPr>
      </w:pPr>
      <w:r>
        <w:rPr>
          <w:rFonts w:hint="eastAsia" w:ascii="宋体" w:hAnsi="宋体"/>
          <w:color w:val="000000"/>
          <w:sz w:val="24"/>
        </w:rPr>
        <w:t xml:space="preserve">3.1   业绩（</w:t>
      </w:r>
      <w:r>
        <w:rPr>
          <w:rFonts w:ascii="宋体" w:hAnsi="宋体"/>
          <w:color w:val="000000"/>
          <w:sz w:val="24"/>
        </w:rPr>
        <w:t xml:space="preserve">2</w:t>
      </w:r>
      <w:r>
        <w:rPr>
          <w:rFonts w:hint="eastAsia" w:ascii="宋体" w:hAnsi="宋体"/>
          <w:color w:val="000000"/>
          <w:sz w:val="24"/>
        </w:rPr>
        <w:t xml:space="preserve">分）：投标人2021年1月1日以来承担过类似项目成功案例的，每提供1份有效合同复印件加盖公章得1分，最高得</w:t>
      </w:r>
      <w:r>
        <w:rPr>
          <w:rFonts w:ascii="宋体" w:hAnsi="宋体"/>
          <w:color w:val="000000"/>
          <w:sz w:val="24"/>
        </w:rPr>
        <w:t xml:space="preserve">2</w:t>
      </w:r>
      <w:r>
        <w:rPr>
          <w:rFonts w:hint="eastAsia" w:ascii="宋体" w:hAnsi="宋体"/>
          <w:color w:val="000000"/>
          <w:sz w:val="24"/>
        </w:rPr>
        <w:t xml:space="preserve">分。</w:t>
      </w:r>
      <w:r>
        <w:rPr>
          <w:rFonts w:ascii="宋体" w:hAnsi="宋体"/>
          <w:color w:val="000000"/>
          <w:sz w:val="24"/>
        </w:rPr>
      </w:r>
      <w:r/>
    </w:p>
    <w:p>
      <w:pPr>
        <w:pStyle w:val="883"/>
        <w:ind w:firstLine="480"/>
        <w:spacing w:line="500" w:lineRule="exact"/>
        <w:rPr>
          <w:rFonts w:ascii="宋体" w:hAnsi="宋体"/>
          <w:color w:val="000000"/>
          <w:sz w:val="24"/>
        </w:rPr>
      </w:pPr>
      <w:r>
        <w:rPr>
          <w:rFonts w:hint="eastAsia" w:ascii="宋体" w:hAnsi="宋体"/>
          <w:color w:val="000000"/>
          <w:sz w:val="24"/>
        </w:rPr>
        <w:t xml:space="preserve">3.2  认证体系（</w:t>
      </w:r>
      <w:r>
        <w:rPr>
          <w:rFonts w:ascii="宋体" w:hAnsi="宋体"/>
          <w:color w:val="000000"/>
          <w:sz w:val="24"/>
        </w:rPr>
        <w:t xml:space="preserve">3</w:t>
      </w:r>
      <w:r>
        <w:rPr>
          <w:rFonts w:hint="eastAsia" w:ascii="宋体" w:hAnsi="宋体"/>
          <w:color w:val="000000"/>
          <w:sz w:val="24"/>
        </w:rPr>
        <w:t xml:space="preserve">分）：投标人具有有效期内的质量管理体系认证证书、环境管理体系认证证书、职业健康安全管理体系认证证书、信息安全管理系统认证证书、隐私信息管理体系认证证书、合规管理体系认证证书的，每提供1个得0.5分，最高得3分。（投标文件中须提供相应证书扫描件和相应证书在“国家市场监督管理总局-全国认证认可信息公共服务平台”网站查询到的有效认证截图，并加盖投标人公章，否则不得分）。</w:t>
      </w:r>
      <w:r>
        <w:rPr>
          <w:rFonts w:ascii="宋体" w:hAnsi="宋体"/>
          <w:color w:val="000000"/>
          <w:sz w:val="24"/>
        </w:rPr>
      </w:r>
      <w:r/>
    </w:p>
    <w:p>
      <w:pPr>
        <w:pStyle w:val="883"/>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rPr>
        <w:t xml:space="preserve">产品性能</w:t>
      </w:r>
      <w:r>
        <w:rPr>
          <w:rFonts w:hint="eastAsia" w:ascii="宋体" w:hAnsi="宋体"/>
          <w:b/>
          <w:bCs/>
          <w:color w:val="000000"/>
          <w:sz w:val="24"/>
          <w:szCs w:val="24"/>
        </w:rPr>
        <w:t xml:space="preserve">（</w:t>
      </w:r>
      <w:r>
        <w:rPr>
          <w:rFonts w:hint="eastAsia" w:ascii="宋体" w:hAnsi="宋体"/>
          <w:b/>
          <w:bCs/>
          <w:color w:val="000000"/>
          <w:sz w:val="24"/>
          <w:szCs w:val="24"/>
        </w:rPr>
        <w:t xml:space="preserve">12</w:t>
      </w:r>
      <w:r>
        <w:rPr>
          <w:rFonts w:hint="eastAsia" w:ascii="宋体" w:hAnsi="宋体"/>
          <w:b/>
          <w:bCs/>
          <w:color w:val="000000"/>
          <w:sz w:val="24"/>
          <w:szCs w:val="24"/>
        </w:rPr>
        <w:t xml:space="preserve">分）</w:t>
      </w:r>
      <w:r>
        <w:rPr>
          <w:rFonts w:ascii="宋体" w:hAnsi="宋体"/>
          <w:b/>
          <w:bCs/>
          <w:color w:val="000000"/>
          <w:sz w:val="24"/>
          <w:szCs w:val="24"/>
        </w:rPr>
      </w:r>
      <w:r/>
    </w:p>
    <w:p>
      <w:pPr>
        <w:pStyle w:val="883"/>
        <w:ind w:firstLine="480"/>
        <w:spacing w:line="500" w:lineRule="exact"/>
        <w:rPr>
          <w:rFonts w:ascii="宋体" w:hAnsi="宋体"/>
          <w:color w:val="000000"/>
          <w:sz w:val="24"/>
        </w:rPr>
      </w:pPr>
      <w:r>
        <w:rPr>
          <w:rFonts w:hint="eastAsia" w:ascii="宋体" w:hAnsi="宋体"/>
          <w:color w:val="000000"/>
          <w:sz w:val="24"/>
        </w:rPr>
        <w:t xml:space="preserve">4.1  投标人选用的综合运维管理平台满足以下功能：1、所投综合管理平台支持生成健康报告：系统会根据采集到的信息，按月统计最高温度、最低温度、平均温度、最高电压、最低电压、平均电压等信息生成所有载体的健康报告，支持从技术服务、传感器、视频处理器、配电柜等多个角度分析显示屏健康状况，形成健康度分析图并根据健康情况，自动给出匹配的维修建议；2、所投综</w:t>
      </w:r>
      <w:r>
        <w:rPr>
          <w:rFonts w:hint="eastAsia" w:ascii="宋体" w:hAnsi="宋体"/>
          <w:color w:val="000000"/>
          <w:sz w:val="24"/>
        </w:rPr>
        <w:t xml:space="preserve">合管理平台支持当大屏配电柜采用智能PLC时，监控大屏配电柜每一路空开的开关状态，可通过平台软件远程对每一路空开进行开、合操作，同时支持检修模式，当开启检修模式时，空开无法远程闭合，避免发生触电风险；3、所投综合管理平台支持展示LED屏体：使用状态、运维单位、安装厂商、质保厂商、供应厂商、项目编号、项目名称、维保时间、箱体型号、箱体行数、箱体列数、分辨率、电源走线、安装时间等信息。提供软件界面及健康报告截图进行佐证，并且带有CMA或CNAS标识的第三方检测报告证明并加盖公章，满足一项得1分，本项最高分得3分。</w:t>
      </w:r>
      <w:r>
        <w:rPr>
          <w:rFonts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4.2  投标人选用的大屏拼控器满足以下功能：1、输出接口画质支持亮度、对比度、饱和度、色调、色温等，可添加22种测试画面图像，支持间距、速度、亮度调节；2、预监画面分辨率不低于200万，帧率不低于60Hz。支持对所有信号输入音量开关控制、预监和预调节；用户可通过预监配置，自定义选择预监信号源的路数及所要预监信号板卡的所在位置。提供带有CMA或CNAS标识的第三方检测报告证明并加盖公章，满足一项得</w:t>
      </w:r>
      <w:r>
        <w:rPr>
          <w:rFonts w:hint="eastAsia" w:ascii="宋体" w:hAnsi="宋体"/>
          <w:color w:val="000000"/>
          <w:sz w:val="24"/>
        </w:rPr>
        <w:t xml:space="preserve">1</w:t>
      </w:r>
      <w:r>
        <w:rPr>
          <w:rFonts w:hint="eastAsia" w:ascii="宋体" w:hAnsi="宋体"/>
          <w:color w:val="000000"/>
          <w:sz w:val="24"/>
        </w:rPr>
        <w:t xml:space="preserve">分，本项最高分得</w:t>
      </w:r>
      <w:r>
        <w:rPr>
          <w:rFonts w:hint="eastAsia" w:ascii="宋体" w:hAnsi="宋体"/>
          <w:color w:val="000000"/>
          <w:sz w:val="24"/>
        </w:rPr>
        <w:t xml:space="preserve">2</w:t>
      </w:r>
      <w:r>
        <w:rPr>
          <w:rFonts w:hint="eastAsia" w:ascii="宋体" w:hAnsi="宋体"/>
          <w:color w:val="000000"/>
          <w:sz w:val="24"/>
        </w:rPr>
        <w:t xml:space="preserve">分。</w:t>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4.3投标人选用的多功能综合信号处理器满足以下功能：支持主备系统自动切换功能，当主机故障时可自动切换至备用主机，保证系统无间断运行；主备切换时，无黑屏、花屏等中间过渡态，主备切换延时≤2ms;光端机主备链路都中断，链路恢复后，亮屏时间≤0.5s。提供带有CMA或CNAS标识的第三方检测报告证明并加盖公章，</w:t>
      </w:r>
      <w:r>
        <w:rPr>
          <w:rFonts w:hint="eastAsia" w:ascii="宋体" w:hAnsi="宋体"/>
          <w:color w:val="000000"/>
          <w:sz w:val="24"/>
        </w:rPr>
        <w:t xml:space="preserve">得1分</w:t>
      </w:r>
      <w:r>
        <w:rPr>
          <w:rFonts w:hint="eastAsia" w:ascii="宋体" w:hAnsi="宋体"/>
          <w:color w:val="000000"/>
          <w:sz w:val="24"/>
        </w:rPr>
        <w:t xml:space="preserve">。</w:t>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4.4投标人选用的</w:t>
      </w:r>
      <w:r>
        <w:rPr>
          <w:rFonts w:ascii="宋体" w:hAnsi="宋体"/>
          <w:color w:val="000000"/>
          <w:sz w:val="24"/>
        </w:rPr>
        <w:t xml:space="preserve">全数字会议系统主机</w:t>
      </w:r>
      <w:r>
        <w:rPr>
          <w:rFonts w:hint="eastAsia" w:ascii="宋体" w:hAnsi="宋体"/>
          <w:color w:val="000000"/>
          <w:sz w:val="24"/>
        </w:rPr>
        <w:t xml:space="preserve">满足以下功能：系统可扩展带载≥4096台有线会议话筒和≥300台无线会议话筒。系统支持同时发言数量≥24只话筒，其中支持≥16个有线话筒和≥8个无线话筒同时发言；具有自定义话筒发言人数功能，有线话筒发言人数范围可设置为1至16之间的任意数量；无线话筒发言人数范围可设置为1至8之间的任意数量。提供带有CMA或CNAS标识的第三方检测报告证明并加盖公章，得</w:t>
      </w:r>
      <w:r>
        <w:rPr>
          <w:rFonts w:hint="eastAsia" w:ascii="宋体" w:hAnsi="宋体"/>
          <w:color w:val="000000"/>
          <w:sz w:val="24"/>
        </w:rPr>
        <w:t xml:space="preserve">1</w:t>
      </w:r>
      <w:r>
        <w:rPr>
          <w:rFonts w:hint="eastAsia" w:ascii="宋体" w:hAnsi="宋体"/>
          <w:color w:val="000000"/>
          <w:sz w:val="24"/>
        </w:rPr>
        <w:t xml:space="preserve">分。</w:t>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4.5投标人选用的MCU服务器满足以下功能：1、支持XMPP协议，支持即时通信功能。即时通信客户端支持查看组织架构、文字聊天、分组讨论、虚拟会议室参加视频会议、自主召开多方视频会议、文档共享等功能；2、系统支持国家密码局认定的国产密码算法，保证信息安全自主可控。提供带有CMA或CNAS标识的第三方检测报告证明并加盖公章，满足一项得</w:t>
      </w:r>
      <w:r>
        <w:rPr>
          <w:rFonts w:hint="eastAsia" w:ascii="宋体" w:hAnsi="宋体"/>
          <w:color w:val="000000"/>
          <w:sz w:val="24"/>
        </w:rPr>
        <w:t xml:space="preserve">1</w:t>
      </w:r>
      <w:r>
        <w:rPr>
          <w:rFonts w:hint="eastAsia" w:ascii="宋体" w:hAnsi="宋体"/>
          <w:color w:val="000000"/>
          <w:sz w:val="24"/>
        </w:rPr>
        <w:t xml:space="preserve">分，本项最高分得</w:t>
      </w:r>
      <w:r>
        <w:rPr>
          <w:rFonts w:hint="eastAsia" w:ascii="宋体" w:hAnsi="宋体"/>
          <w:color w:val="000000"/>
          <w:sz w:val="24"/>
        </w:rPr>
        <w:t xml:space="preserve">2</w:t>
      </w:r>
      <w:r>
        <w:rPr>
          <w:rFonts w:hint="eastAsia" w:ascii="宋体" w:hAnsi="宋体"/>
          <w:color w:val="000000"/>
          <w:sz w:val="24"/>
        </w:rPr>
        <w:t xml:space="preserve">分。</w:t>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4.6投标人选用的视频会议终端满足以下功能：1、支持1个FXO电话接口，支持空闲或会议中电话接入；2、终端配套的遥控器采用ZigBee无线通信技术控制，可控范围至少20m、控制信号不易被遮挡。提供带有CMA或CNAS标识的第三方检测报告证明并加盖公章，满足一项得</w:t>
      </w:r>
      <w:r>
        <w:rPr>
          <w:rFonts w:hint="eastAsia" w:ascii="宋体" w:hAnsi="宋体"/>
          <w:color w:val="000000"/>
          <w:sz w:val="24"/>
        </w:rPr>
        <w:t xml:space="preserve">1</w:t>
      </w:r>
      <w:r>
        <w:rPr>
          <w:rFonts w:hint="eastAsia" w:ascii="宋体" w:hAnsi="宋体"/>
          <w:color w:val="000000"/>
          <w:sz w:val="24"/>
        </w:rPr>
        <w:t xml:space="preserve">分，本项最高分得</w:t>
      </w:r>
      <w:r>
        <w:rPr>
          <w:rFonts w:hint="eastAsia" w:ascii="宋体" w:hAnsi="宋体"/>
          <w:color w:val="000000"/>
          <w:sz w:val="24"/>
        </w:rPr>
        <w:t xml:space="preserve">2</w:t>
      </w:r>
      <w:r>
        <w:rPr>
          <w:rFonts w:hint="eastAsia" w:ascii="宋体" w:hAnsi="宋体"/>
          <w:color w:val="000000"/>
          <w:sz w:val="24"/>
        </w:rPr>
        <w:t xml:space="preserve">分。</w:t>
      </w:r>
      <w:r/>
    </w:p>
    <w:p>
      <w:pPr>
        <w:pStyle w:val="883"/>
        <w:ind w:firstLine="480"/>
        <w:spacing w:line="500" w:lineRule="exact"/>
        <w:rPr>
          <w:rFonts w:ascii="宋体" w:hAnsi="宋体"/>
          <w:color w:val="000000"/>
          <w:sz w:val="24"/>
        </w:rPr>
      </w:pPr>
      <w:r>
        <w:rPr>
          <w:rFonts w:hint="eastAsia" w:ascii="宋体" w:hAnsi="宋体"/>
          <w:color w:val="000000"/>
          <w:sz w:val="24"/>
        </w:rPr>
        <w:t xml:space="preserve">4.7投标人选用的人脸门禁满足以下功能：设备接入系统平台后应能支持视频联动报警功能；未授权人员刷人脸时，设备应能支持抓拍图片并实时上报平台预警；系统应具有应急开启的方法，如设备支持接入消防应急信号联动开门； 根据设定事件的联动关系，当检测到该事件发生时，应能触发对应的动作。提供带有CMA或CNAS标识的第三方检测报告证明并加盖公章，得1分。</w:t>
      </w:r>
      <w:r>
        <w:rPr>
          <w:rFonts w:ascii="宋体" w:hAnsi="宋体"/>
          <w:color w:val="000000"/>
          <w:sz w:val="24"/>
        </w:rPr>
      </w:r>
      <w:r/>
    </w:p>
    <w:p>
      <w:pPr>
        <w:pStyle w:val="883"/>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项目方案（3</w:t>
      </w:r>
      <w:r>
        <w:rPr>
          <w:rFonts w:hint="eastAsia" w:ascii="宋体" w:hAnsi="宋体"/>
          <w:b/>
          <w:bCs/>
          <w:color w:val="000000"/>
          <w:sz w:val="24"/>
          <w:szCs w:val="24"/>
        </w:rPr>
        <w:t xml:space="preserve">6</w:t>
      </w:r>
      <w:r>
        <w:rPr>
          <w:rFonts w:hint="eastAsia" w:ascii="宋体" w:hAnsi="宋体"/>
          <w:b/>
          <w:bCs/>
          <w:color w:val="000000"/>
          <w:sz w:val="24"/>
          <w:szCs w:val="24"/>
        </w:rPr>
        <w:t xml:space="preserve">分）：</w:t>
      </w:r>
      <w:r>
        <w:rPr>
          <w:rFonts w:ascii="宋体" w:hAnsi="宋体"/>
          <w:b/>
          <w:bCs/>
          <w:color w:val="000000"/>
          <w:sz w:val="24"/>
          <w:szCs w:val="24"/>
        </w:rPr>
      </w:r>
      <w:r/>
    </w:p>
    <w:p>
      <w:pPr>
        <w:pStyle w:val="883"/>
        <w:ind w:firstLine="480"/>
        <w:spacing w:line="500" w:lineRule="exact"/>
        <w:rPr>
          <w:rFonts w:ascii="宋体" w:hAnsi="宋体"/>
          <w:color w:val="000000"/>
          <w:sz w:val="24"/>
        </w:rPr>
      </w:pPr>
      <w:r>
        <w:rPr>
          <w:rFonts w:hint="eastAsia" w:ascii="宋体" w:hAnsi="宋体"/>
          <w:color w:val="000000"/>
          <w:sz w:val="24"/>
        </w:rPr>
        <w:t xml:space="preserve">5.1  </w:t>
      </w:r>
      <w:r>
        <w:rPr>
          <w:rFonts w:ascii="宋体" w:hAnsi="宋体"/>
          <w:color w:val="000000"/>
          <w:sz w:val="24"/>
        </w:rPr>
        <w:t xml:space="preserve"> </w:t>
      </w:r>
      <w:r>
        <w:rPr>
          <w:rFonts w:hint="eastAsia" w:ascii="宋体" w:hAnsi="宋体"/>
          <w:color w:val="000000"/>
          <w:sz w:val="24"/>
        </w:rPr>
        <w:t xml:space="preserve">总体概述（</w:t>
      </w:r>
      <w:r>
        <w:rPr>
          <w:rFonts w:hint="eastAsia" w:ascii="宋体" w:hAnsi="宋体"/>
          <w:color w:val="000000"/>
          <w:sz w:val="24"/>
        </w:rPr>
        <w:t xml:space="preserve">8</w:t>
      </w:r>
      <w:r>
        <w:rPr>
          <w:rFonts w:hint="eastAsia" w:ascii="宋体" w:hAnsi="宋体"/>
          <w:color w:val="000000"/>
          <w:sz w:val="24"/>
        </w:rPr>
        <w:t xml:space="preserve">分）：投标人总体设想、方案针对性及施工段划分。施工组织总体设计阐述；对施工项目内容的理解及施工方案的针对性；施工段划分的合理性阐述。方案清晰、合理、详细、全面、针对性强、可行性强</w:t>
      </w:r>
      <w:r>
        <w:rPr>
          <w:rFonts w:hint="eastAsia" w:ascii="宋体" w:hAnsi="宋体"/>
          <w:color w:val="000000"/>
          <w:sz w:val="24"/>
        </w:rPr>
        <w:t xml:space="preserve">8</w:t>
      </w:r>
      <w:r>
        <w:rPr>
          <w:rFonts w:hint="eastAsia" w:ascii="宋体" w:hAnsi="宋体"/>
          <w:color w:val="000000"/>
          <w:sz w:val="24"/>
        </w:rPr>
        <w:t xml:space="preserve">分，方案清晰、合理、详细、全面</w:t>
      </w:r>
      <w:r>
        <w:rPr>
          <w:rFonts w:hint="eastAsia" w:ascii="宋体" w:hAnsi="宋体"/>
          <w:color w:val="000000"/>
          <w:sz w:val="24"/>
        </w:rPr>
        <w:t xml:space="preserve">6</w:t>
      </w:r>
      <w:r>
        <w:rPr>
          <w:rFonts w:hint="eastAsia" w:ascii="宋体" w:hAnsi="宋体"/>
          <w:color w:val="000000"/>
          <w:sz w:val="24"/>
        </w:rPr>
        <w:t xml:space="preserve">分，方案基本满足招标文件要求</w:t>
      </w:r>
      <w:r>
        <w:rPr>
          <w:rFonts w:hint="eastAsia" w:ascii="宋体" w:hAnsi="宋体"/>
          <w:color w:val="000000"/>
          <w:sz w:val="24"/>
        </w:rPr>
        <w:t xml:space="preserve">4</w:t>
      </w:r>
      <w:r>
        <w:rPr>
          <w:rFonts w:hint="eastAsia" w:ascii="宋体" w:hAnsi="宋体"/>
          <w:color w:val="000000"/>
          <w:sz w:val="24"/>
        </w:rPr>
        <w:t xml:space="preserve">分。</w:t>
      </w:r>
      <w:r>
        <w:rPr>
          <w:rFonts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5.2  </w:t>
      </w:r>
      <w:r>
        <w:rPr>
          <w:rFonts w:ascii="宋体" w:hAnsi="宋体"/>
          <w:color w:val="000000"/>
          <w:sz w:val="24"/>
        </w:rPr>
        <w:t xml:space="preserve"> </w:t>
      </w:r>
      <w:r>
        <w:rPr>
          <w:rFonts w:hint="eastAsia" w:ascii="宋体" w:hAnsi="宋体"/>
          <w:color w:val="000000"/>
          <w:sz w:val="24"/>
        </w:rPr>
        <w:t xml:space="preserve">整体设计（</w:t>
      </w:r>
      <w:r>
        <w:rPr>
          <w:rFonts w:hint="eastAsia" w:ascii="宋体" w:hAnsi="宋体"/>
          <w:color w:val="000000"/>
          <w:sz w:val="24"/>
        </w:rPr>
        <w:t xml:space="preserve">8</w:t>
      </w:r>
      <w:r>
        <w:rPr>
          <w:rFonts w:hint="eastAsia" w:ascii="宋体" w:hAnsi="宋体"/>
          <w:color w:val="000000"/>
          <w:sz w:val="24"/>
        </w:rPr>
        <w:t xml:space="preserve">分）：投标人对实际情况的理解、需求分析及平台设计的科学合理性。施工现场平面总体布置合理性；项目需求分析阐述；平台设计的科学合理性。方案清晰、合理、详细、全面、针对性强、可行性强</w:t>
      </w:r>
      <w:r>
        <w:rPr>
          <w:rFonts w:hint="eastAsia" w:ascii="宋体" w:hAnsi="宋体"/>
          <w:color w:val="000000"/>
          <w:sz w:val="24"/>
        </w:rPr>
        <w:t xml:space="preserve">8</w:t>
      </w:r>
      <w:r>
        <w:rPr>
          <w:rFonts w:hint="eastAsia" w:ascii="宋体" w:hAnsi="宋体"/>
          <w:color w:val="000000"/>
          <w:sz w:val="24"/>
        </w:rPr>
        <w:t xml:space="preserve">分，方案清晰、合理、详细、全面</w:t>
      </w:r>
      <w:r>
        <w:rPr>
          <w:rFonts w:hint="eastAsia" w:ascii="宋体" w:hAnsi="宋体"/>
          <w:color w:val="000000"/>
          <w:sz w:val="24"/>
        </w:rPr>
        <w:t xml:space="preserve">6</w:t>
      </w:r>
      <w:r>
        <w:rPr>
          <w:rFonts w:hint="eastAsia" w:ascii="宋体" w:hAnsi="宋体"/>
          <w:color w:val="000000"/>
          <w:sz w:val="24"/>
        </w:rPr>
        <w:t xml:space="preserve">分，方案基本满足招标文件要求</w:t>
      </w:r>
      <w:r>
        <w:rPr>
          <w:rFonts w:hint="eastAsia" w:ascii="宋体" w:hAnsi="宋体"/>
          <w:color w:val="000000"/>
          <w:sz w:val="24"/>
        </w:rPr>
        <w:t xml:space="preserve">4</w:t>
      </w:r>
      <w:r>
        <w:rPr>
          <w:rFonts w:hint="eastAsia" w:ascii="宋体" w:hAnsi="宋体"/>
          <w:color w:val="000000"/>
          <w:sz w:val="24"/>
        </w:rPr>
        <w:t xml:space="preserve">分。</w:t>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5.3施工进度计划和各阶段进度的保证措施（</w:t>
      </w:r>
      <w:r>
        <w:rPr>
          <w:rFonts w:hint="eastAsia" w:ascii="宋体" w:hAnsi="宋体"/>
          <w:color w:val="000000"/>
          <w:sz w:val="24"/>
        </w:rPr>
        <w:t xml:space="preserve">8</w:t>
      </w:r>
      <w:r>
        <w:rPr>
          <w:rFonts w:hint="eastAsia" w:ascii="宋体" w:hAnsi="宋体"/>
          <w:color w:val="000000"/>
          <w:sz w:val="24"/>
        </w:rPr>
        <w:t xml:space="preserve">分）：施工进度计划整体保证措施；各阶段进度的保证措施；各阶段拟投入的人员及进度安排。方案清晰、合理、详细、全面、针对性强、可行性强</w:t>
      </w:r>
      <w:r>
        <w:rPr>
          <w:rFonts w:hint="eastAsia" w:ascii="宋体" w:hAnsi="宋体"/>
          <w:color w:val="000000"/>
          <w:sz w:val="24"/>
        </w:rPr>
        <w:t xml:space="preserve">8</w:t>
      </w:r>
      <w:r>
        <w:rPr>
          <w:rFonts w:hint="eastAsia" w:ascii="宋体" w:hAnsi="宋体"/>
          <w:color w:val="000000"/>
          <w:sz w:val="24"/>
        </w:rPr>
        <w:t xml:space="preserve">分，方案清晰、合理、详细、全面</w:t>
      </w:r>
      <w:r>
        <w:rPr>
          <w:rFonts w:hint="eastAsia" w:ascii="宋体" w:hAnsi="宋体"/>
          <w:color w:val="000000"/>
          <w:sz w:val="24"/>
        </w:rPr>
        <w:t xml:space="preserve">6</w:t>
      </w:r>
      <w:r>
        <w:rPr>
          <w:rFonts w:hint="eastAsia" w:ascii="宋体" w:hAnsi="宋体"/>
          <w:color w:val="000000"/>
          <w:sz w:val="24"/>
        </w:rPr>
        <w:t xml:space="preserve">分，方案基本满足招标文件要求</w:t>
      </w:r>
      <w:r>
        <w:rPr>
          <w:rFonts w:hint="eastAsia" w:ascii="宋体" w:hAnsi="宋体"/>
          <w:color w:val="000000"/>
          <w:sz w:val="24"/>
        </w:rPr>
        <w:t xml:space="preserve">4</w:t>
      </w:r>
      <w:r>
        <w:rPr>
          <w:rFonts w:hint="eastAsia" w:ascii="宋体" w:hAnsi="宋体"/>
          <w:color w:val="000000"/>
          <w:sz w:val="24"/>
        </w:rPr>
        <w:t xml:space="preserve">分。</w:t>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5.4项目验收（</w:t>
      </w:r>
      <w:r>
        <w:rPr>
          <w:rFonts w:hint="eastAsia" w:ascii="宋体" w:hAnsi="宋体"/>
          <w:color w:val="000000"/>
          <w:sz w:val="24"/>
        </w:rPr>
        <w:t xml:space="preserve">6</w:t>
      </w:r>
      <w:r>
        <w:rPr>
          <w:rFonts w:hint="eastAsia" w:ascii="宋体" w:hAnsi="宋体"/>
          <w:color w:val="000000"/>
          <w:sz w:val="24"/>
        </w:rPr>
        <w:t xml:space="preserve">分）：验收方案的完善可实施性；施工计划的合理分配性。方案清晰、合理、详细、全面、针对性强、可行性强</w:t>
      </w:r>
      <w:r>
        <w:rPr>
          <w:rFonts w:hint="eastAsia" w:ascii="宋体" w:hAnsi="宋体"/>
          <w:color w:val="000000"/>
          <w:sz w:val="24"/>
        </w:rPr>
        <w:t xml:space="preserve">6</w:t>
      </w:r>
      <w:r>
        <w:rPr>
          <w:rFonts w:hint="eastAsia" w:ascii="宋体" w:hAnsi="宋体"/>
          <w:color w:val="000000"/>
          <w:sz w:val="24"/>
        </w:rPr>
        <w:t xml:space="preserve">分，方案清晰、合理、详细、全面5分，方案基本满足招标文件要求</w:t>
      </w:r>
      <w:r>
        <w:rPr>
          <w:rFonts w:hint="eastAsia" w:ascii="宋体" w:hAnsi="宋体"/>
          <w:color w:val="000000"/>
          <w:sz w:val="24"/>
        </w:rPr>
        <w:t xml:space="preserve">3</w:t>
      </w:r>
      <w:r>
        <w:rPr>
          <w:rFonts w:hint="eastAsia" w:ascii="宋体" w:hAnsi="宋体"/>
          <w:color w:val="000000"/>
          <w:sz w:val="24"/>
        </w:rPr>
        <w:t xml:space="preserve">分。</w:t>
      </w:r>
      <w:r/>
    </w:p>
    <w:p>
      <w:pPr>
        <w:pStyle w:val="883"/>
        <w:ind w:firstLine="480"/>
        <w:spacing w:line="500" w:lineRule="exact"/>
        <w:rPr>
          <w:rFonts w:ascii="宋体" w:hAnsi="宋体"/>
          <w:color w:val="000000"/>
          <w:sz w:val="24"/>
        </w:rPr>
      </w:pPr>
      <w:r>
        <w:rPr>
          <w:rFonts w:hint="eastAsia" w:ascii="宋体" w:hAnsi="宋体"/>
          <w:color w:val="000000"/>
          <w:sz w:val="24"/>
        </w:rPr>
        <w:t xml:space="preserve">5.5售后服务（</w:t>
      </w:r>
      <w:r>
        <w:rPr>
          <w:rFonts w:hint="eastAsia" w:ascii="宋体" w:hAnsi="宋体"/>
          <w:color w:val="000000"/>
          <w:sz w:val="24"/>
        </w:rPr>
        <w:t xml:space="preserve">6</w:t>
      </w:r>
      <w:r>
        <w:rPr>
          <w:rFonts w:hint="eastAsia" w:ascii="宋体" w:hAnsi="宋体"/>
          <w:color w:val="000000"/>
          <w:sz w:val="24"/>
        </w:rPr>
        <w:t xml:space="preserve">分）：售后服务保障完整性；售后服务的内容和备件备品、故障响应时间及时性；重大故障的应急预案和措施阐述。方案清晰、合理、详细、全面、针对性强、可行性强</w:t>
      </w:r>
      <w:r>
        <w:rPr>
          <w:rFonts w:hint="eastAsia" w:ascii="宋体" w:hAnsi="宋体"/>
          <w:color w:val="000000"/>
          <w:sz w:val="24"/>
        </w:rPr>
        <w:t xml:space="preserve">6</w:t>
      </w:r>
      <w:r>
        <w:rPr>
          <w:rFonts w:hint="eastAsia" w:ascii="宋体" w:hAnsi="宋体"/>
          <w:color w:val="000000"/>
          <w:sz w:val="24"/>
        </w:rPr>
        <w:t xml:space="preserve">分，方案清晰、合理、详细、全面5分，方案基本满足招标文件要求</w:t>
      </w:r>
      <w:r>
        <w:rPr>
          <w:rFonts w:hint="eastAsia" w:ascii="宋体" w:hAnsi="宋体"/>
          <w:color w:val="000000"/>
          <w:sz w:val="24"/>
        </w:rPr>
        <w:t xml:space="preserve">3</w:t>
      </w:r>
      <w:r>
        <w:rPr>
          <w:rFonts w:hint="eastAsia" w:ascii="宋体" w:hAnsi="宋体"/>
          <w:color w:val="000000"/>
          <w:sz w:val="24"/>
        </w:rPr>
        <w:t xml:space="preserve">分。</w:t>
      </w:r>
      <w:r>
        <w:rPr>
          <w:rFonts w:ascii="宋体" w:hAnsi="宋体"/>
          <w:color w:val="000000"/>
          <w:sz w:val="24"/>
        </w:rPr>
      </w:r>
      <w:r/>
    </w:p>
    <w:p>
      <w:pPr>
        <w:pStyle w:val="883"/>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节能、环保产品</w:t>
      </w:r>
      <w:r>
        <w:rPr>
          <w:rFonts w:ascii="宋体" w:hAnsi="宋体"/>
          <w:b/>
          <w:bCs/>
          <w:color w:val="000000"/>
          <w:sz w:val="24"/>
          <w:szCs w:val="24"/>
        </w:rPr>
        <w:t xml:space="preserve">（</w:t>
      </w:r>
      <w:r>
        <w:rPr>
          <w:rFonts w:hint="eastAsia" w:ascii="宋体" w:hAnsi="宋体"/>
          <w:b/>
          <w:bCs/>
          <w:color w:val="000000"/>
          <w:sz w:val="24"/>
          <w:szCs w:val="24"/>
        </w:rPr>
        <w:t xml:space="preserve">2</w:t>
      </w:r>
      <w:r>
        <w:rPr>
          <w:rFonts w:ascii="宋体" w:hAnsi="宋体"/>
          <w:b/>
          <w:bCs/>
          <w:color w:val="000000"/>
          <w:sz w:val="24"/>
          <w:szCs w:val="24"/>
        </w:rPr>
        <w:t xml:space="preserve">分）</w:t>
      </w:r>
      <w:r>
        <w:rPr>
          <w:rFonts w:hint="eastAsia" w:ascii="宋体" w:hAnsi="宋体"/>
          <w:b/>
          <w:bCs/>
          <w:color w:val="000000"/>
          <w:sz w:val="24"/>
          <w:szCs w:val="24"/>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000000"/>
          <w:sz w:val="24"/>
        </w:rPr>
        <w:t xml:space="preserve">）</w:t>
      </w:r>
      <w:r>
        <w:rPr>
          <w:rFonts w:hint="eastAsia" w:ascii="宋体" w:hAnsi="宋体"/>
          <w:color w:val="000000"/>
          <w:sz w:val="24"/>
        </w:rPr>
        <w:t xml:space="preserve">。</w:t>
      </w:r>
      <w:r>
        <w:rPr>
          <w:rFonts w:ascii="宋体" w:hAnsi="宋体"/>
          <w:b/>
          <w:bCs/>
          <w:color w:val="000000"/>
          <w:sz w:val="24"/>
          <w:szCs w:val="24"/>
        </w:rPr>
      </w:r>
      <w:r/>
    </w:p>
    <w:p>
      <w:pPr>
        <w:pStyle w:val="971"/>
        <w:spacing w:before="0" w:after="0" w:line="500" w:lineRule="exact"/>
        <w:rPr>
          <w:rFonts w:ascii="黑体" w:eastAsia="黑体"/>
          <w:bCs/>
          <w:color w:val="000000"/>
          <w:sz w:val="36"/>
          <w:szCs w:val="36"/>
        </w:rPr>
      </w:pPr>
      <w:r>
        <w:rPr>
          <w:rFonts w:ascii="宋体" w:hAnsi="宋体"/>
          <w:color w:val="000000"/>
        </w:rPr>
        <w:br w:type="page" w:clear="all"/>
      </w:r>
      <w:r>
        <w:rPr>
          <w:rFonts w:ascii="黑体" w:eastAsia="黑体"/>
          <w:bCs/>
          <w:color w:val="000000"/>
          <w:sz w:val="36"/>
          <w:szCs w:val="36"/>
        </w:rPr>
      </w:r>
      <w:r/>
    </w:p>
    <w:p>
      <w:pPr>
        <w:pStyle w:val="883"/>
        <w:jc w:val="center"/>
        <w:spacing w:line="500" w:lineRule="exact"/>
        <w:rPr>
          <w:rFonts w:hint="eastAsia" w:ascii="黑体" w:eastAsia="黑体"/>
          <w:bCs/>
          <w:color w:val="000000"/>
          <w:sz w:val="36"/>
          <w:szCs w:val="36"/>
        </w:rPr>
      </w:pPr>
      <w:r>
        <w:rPr>
          <w:rFonts w:hint="eastAsia" w:ascii="黑体" w:eastAsia="黑体"/>
          <w:bCs/>
          <w:color w:val="000000"/>
          <w:sz w:val="36"/>
          <w:szCs w:val="36"/>
        </w:rPr>
        <w:t xml:space="preserve">第六章  </w:t>
      </w:r>
      <w:bookmarkEnd w:id="191"/>
      <w:r/>
      <w:bookmarkEnd w:id="192"/>
      <w:r/>
      <w:bookmarkEnd w:id="193"/>
      <w:r>
        <w:rPr>
          <w:rFonts w:hint="eastAsia" w:ascii="黑体" w:eastAsia="黑体"/>
          <w:bCs/>
          <w:color w:val="000000"/>
          <w:sz w:val="36"/>
          <w:szCs w:val="36"/>
        </w:rPr>
        <w:t xml:space="preserve">投标文件内容与格式</w:t>
      </w:r>
      <w:r/>
    </w:p>
    <w:p>
      <w:pPr>
        <w:pStyle w:val="971"/>
        <w:ind w:firstLine="602"/>
        <w:spacing w:before="0" w:after="0" w:line="500" w:lineRule="exact"/>
        <w:rPr>
          <w:rFonts w:hint="eastAsia" w:cs="Arial"/>
          <w:b/>
          <w:color w:val="000000"/>
          <w:sz w:val="30"/>
          <w:szCs w:val="30"/>
        </w:rPr>
      </w:pPr>
      <w:r/>
      <w:bookmarkStart w:id="194" w:name="_Hlt26671244"/>
      <w:r/>
      <w:bookmarkEnd w:id="194"/>
      <w:r/>
      <w:bookmarkStart w:id="195" w:name="_Hlt26955039"/>
      <w:r/>
      <w:bookmarkEnd w:id="195"/>
      <w:r/>
      <w:bookmarkStart w:id="196" w:name="_Toc49090576"/>
      <w:r/>
      <w:bookmarkStart w:id="197" w:name="_Toc120614282"/>
      <w:r/>
      <w:bookmarkStart w:id="198" w:name="_Toc26554094"/>
      <w:r>
        <w:rPr>
          <w:rFonts w:hint="eastAsia" w:cs="Arial"/>
          <w:b/>
          <w:color w:val="000000"/>
          <w:sz w:val="30"/>
          <w:szCs w:val="30"/>
        </w:rPr>
        <w:t xml:space="preserve">第一部分  投标文件内容</w:t>
      </w:r>
      <w:r/>
    </w:p>
    <w:p>
      <w:pPr>
        <w:pStyle w:val="971"/>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rPr>
          <w:rFonts w:hint="eastAsia" w:cs="Arial"/>
          <w:b/>
          <w:color w:val="000000"/>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1"/>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971"/>
              <w:jc w:val="center"/>
              <w:spacing w:before="0" w:after="0" w:line="240" w:lineRule="auto"/>
              <w:rPr>
                <w:rFonts w:hint="eastAsia" w:ascii="宋体" w:hAnsi="宋体" w:cs="宋体"/>
                <w:b/>
                <w:color w:val="000000"/>
              </w:rPr>
            </w:pPr>
            <w:r>
              <w:rPr>
                <w:rFonts w:hint="eastAsia" w:ascii="宋体" w:hAnsi="宋体" w:cs="宋体"/>
                <w:b/>
                <w:color w:val="000000"/>
              </w:rPr>
              <w:t xml:space="preserve">评审项目及评审要求</w:t>
            </w:r>
            <w:r/>
          </w:p>
        </w:tc>
        <w:tc>
          <w:tcPr>
            <w:tcW w:w="2449" w:type="dxa"/>
            <w:vAlign w:val="center"/>
            <w:textDirection w:val="lrTb"/>
            <w:noWrap w:val="false"/>
          </w:tcPr>
          <w:p>
            <w:pPr>
              <w:pStyle w:val="971"/>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p>
        </w:tc>
      </w:tr>
      <w:tr>
        <w:trPr>
          <w:cantSplit/>
          <w:trHeight w:val="1335"/>
        </w:trPr>
        <w:tc>
          <w:tcPr>
            <w:tcW w:w="719" w:type="dxa"/>
            <w:vAlign w:val="center"/>
            <w:textDirection w:val="lrTb"/>
            <w:noWrap w:val="false"/>
          </w:tcPr>
          <w:p>
            <w:pPr>
              <w:pStyle w:val="971"/>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971"/>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71"/>
              <w:ind w:firstLine="0"/>
              <w:spacing w:before="0" w:after="0" w:line="240" w:lineRule="auto"/>
              <w:rPr>
                <w:rFonts w:hint="eastAsia" w:ascii="宋体" w:hAnsi="宋体" w:cs="宋体"/>
                <w:color w:val="000000"/>
              </w:rPr>
            </w:pPr>
            <w:r>
              <w:rPr>
                <w:rFonts w:hint="eastAsia" w:ascii="宋体" w:hAnsi="宋体" w:cs="宋体"/>
                <w:color w:val="000000"/>
              </w:rPr>
              <w:t xml:space="preserve">满足《中华人民共和国政府采购法》第二十二条规定</w:t>
            </w:r>
            <w:r/>
          </w:p>
        </w:tc>
      </w:tr>
      <w:tr>
        <w:trPr>
          <w:cantSplit/>
          <w:trHeight w:val="812"/>
        </w:trPr>
        <w:tc>
          <w:tcPr>
            <w:tcW w:w="719" w:type="dxa"/>
            <w:vAlign w:val="center"/>
            <w:textDirection w:val="lrTb"/>
            <w:noWrap w:val="false"/>
          </w:tcPr>
          <w:p>
            <w:pPr>
              <w:pStyle w:val="971"/>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971"/>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971"/>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684"/>
        </w:trPr>
        <w:tc>
          <w:tcPr>
            <w:tcW w:w="719" w:type="dxa"/>
            <w:vAlign w:val="center"/>
            <w:textDirection w:val="lrTb"/>
            <w:noWrap w:val="false"/>
          </w:tcPr>
          <w:p>
            <w:pPr>
              <w:pStyle w:val="971"/>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pStyle w:val="971"/>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0"/>
                <w:rFonts w:hint="eastAsia" w:ascii="宋体" w:hAnsi="宋体" w:cs="宋体"/>
                <w:color w:val="000000"/>
                <w:sz w:val="24"/>
                <w:szCs w:val="24"/>
              </w:rPr>
              <w:t xml:space="preserve">。</w:t>
            </w:r>
            <w:r>
              <w:rPr>
                <w:rFonts w:hint="eastAsia" w:ascii="宋体" w:hAnsi="宋体" w:cs="宋体"/>
                <w:color w:val="000000"/>
              </w:rPr>
            </w:r>
            <w:r/>
          </w:p>
        </w:tc>
        <w:tc>
          <w:tcPr>
            <w:tcW w:w="2449" w:type="dxa"/>
            <w:vAlign w:val="center"/>
            <w:vMerge w:val="continue"/>
            <w:textDirection w:val="lrTb"/>
            <w:noWrap w:val="false"/>
          </w:tcPr>
          <w:p>
            <w:pPr>
              <w:pStyle w:val="971"/>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963"/>
        </w:trPr>
        <w:tc>
          <w:tcPr>
            <w:tcW w:w="719" w:type="dxa"/>
            <w:vAlign w:val="center"/>
            <w:textDirection w:val="lrTb"/>
            <w:noWrap w:val="false"/>
          </w:tcPr>
          <w:p>
            <w:pPr>
              <w:pStyle w:val="971"/>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971"/>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71"/>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023"/>
        </w:trPr>
        <w:tc>
          <w:tcPr>
            <w:tcW w:w="719" w:type="dxa"/>
            <w:vAlign w:val="center"/>
            <w:textDirection w:val="lrTb"/>
            <w:noWrap w:val="false"/>
          </w:tcPr>
          <w:p>
            <w:pPr>
              <w:pStyle w:val="971"/>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971"/>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71"/>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705"/>
        </w:trPr>
        <w:tc>
          <w:tcPr>
            <w:tcBorders>
              <w:bottom w:val="single" w:color="000000" w:sz="4" w:space="0"/>
            </w:tcBorders>
            <w:tcW w:w="719" w:type="dxa"/>
            <w:vAlign w:val="center"/>
            <w:textDirection w:val="lrTb"/>
            <w:noWrap w:val="false"/>
          </w:tcPr>
          <w:p>
            <w:pPr>
              <w:pStyle w:val="971"/>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p>
        </w:tc>
        <w:tc>
          <w:tcPr>
            <w:tcBorders>
              <w:bottom w:val="single" w:color="000000" w:sz="4" w:space="0"/>
            </w:tcBorders>
            <w:tcW w:w="6104" w:type="dxa"/>
            <w:vAlign w:val="center"/>
            <w:textDirection w:val="lrTb"/>
            <w:noWrap w:val="false"/>
          </w:tcPr>
          <w:p>
            <w:pPr>
              <w:pStyle w:val="971"/>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971"/>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0"/>
        </w:trPr>
        <w:tc>
          <w:tcPr>
            <w:tcW w:w="719" w:type="dxa"/>
            <w:vAlign w:val="center"/>
            <w:textDirection w:val="lrTb"/>
            <w:noWrap w:val="false"/>
          </w:tcPr>
          <w:p>
            <w:pPr>
              <w:pStyle w:val="971"/>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7</w:t>
            </w:r>
            <w:r/>
          </w:p>
        </w:tc>
        <w:tc>
          <w:tcPr>
            <w:tcW w:w="6104" w:type="dxa"/>
            <w:vAlign w:val="center"/>
            <w:textDirection w:val="lrTb"/>
            <w:noWrap w:val="false"/>
          </w:tcPr>
          <w:p>
            <w:pPr>
              <w:pStyle w:val="971"/>
              <w:ind w:firstLine="0"/>
              <w:spacing w:before="0" w:after="0" w:line="240" w:lineRule="auto"/>
              <w:rPr>
                <w:rFonts w:hint="eastAsia" w:ascii="宋体" w:hAnsi="宋体" w:cs="宋体"/>
                <w:color w:val="000000"/>
              </w:rPr>
            </w:pPr>
            <w:r>
              <w:rPr>
                <w:rFonts w:hint="eastAsia" w:ascii="宋体" w:hAnsi="宋体" w:cs="宋体"/>
                <w:color w:val="000000"/>
              </w:rPr>
              <w:t xml:space="preserve">满足中小企业政策的证明文件（如有中小企业政策要求的）。</w:t>
            </w:r>
            <w:r/>
          </w:p>
        </w:tc>
        <w:tc>
          <w:tcPr>
            <w:tcW w:w="2449" w:type="dxa"/>
            <w:vAlign w:val="center"/>
            <w:textDirection w:val="lrTb"/>
            <w:noWrap w:val="false"/>
          </w:tcPr>
          <w:p>
            <w:pPr>
              <w:pStyle w:val="971"/>
              <w:ind w:firstLine="0"/>
              <w:spacing w:before="0" w:after="0" w:line="240" w:lineRule="auto"/>
              <w:rPr>
                <w:rFonts w:ascii="宋体" w:hAnsi="宋体" w:cs="宋体"/>
                <w:color w:val="000000"/>
              </w:rPr>
            </w:pPr>
            <w:r>
              <w:rPr>
                <w:rFonts w:hint="eastAsia" w:ascii="宋体" w:hAnsi="宋体" w:cs="宋体"/>
                <w:color w:val="000000"/>
              </w:rPr>
              <w:t xml:space="preserve">落实政府采购政策需满足的资格要求，详见第一章《投标邀请》</w:t>
            </w:r>
            <w:r>
              <w:rPr>
                <w:rFonts w:ascii="宋体" w:hAnsi="宋体" w:cs="宋体"/>
                <w:color w:val="000000"/>
              </w:rPr>
            </w:r>
            <w:r/>
          </w:p>
        </w:tc>
      </w:tr>
      <w:tr>
        <w:trPr>
          <w:trHeight w:val="726"/>
        </w:trPr>
        <w:tc>
          <w:tcPr>
            <w:tcW w:w="719" w:type="dxa"/>
            <w:vAlign w:val="center"/>
            <w:textDirection w:val="lrTb"/>
            <w:noWrap w:val="false"/>
          </w:tcPr>
          <w:p>
            <w:pPr>
              <w:pStyle w:val="971"/>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p>
        </w:tc>
        <w:tc>
          <w:tcPr>
            <w:tcW w:w="6104" w:type="dxa"/>
            <w:vAlign w:val="center"/>
            <w:textDirection w:val="lrTb"/>
            <w:noWrap w:val="false"/>
          </w:tcPr>
          <w:p>
            <w:pPr>
              <w:pStyle w:val="971"/>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特定资格要求的）。</w:t>
            </w:r>
            <w:r>
              <w:rPr>
                <w:rFonts w:hint="eastAsia" w:ascii="宋体" w:hAnsi="宋体" w:cs="宋体"/>
                <w:bCs/>
                <w:color w:val="000000"/>
              </w:rPr>
            </w:r>
            <w:r/>
          </w:p>
        </w:tc>
        <w:tc>
          <w:tcPr>
            <w:tcW w:w="2449" w:type="dxa"/>
            <w:vAlign w:val="center"/>
            <w:textDirection w:val="lrTb"/>
            <w:noWrap w:val="false"/>
          </w:tcPr>
          <w:p>
            <w:pPr>
              <w:pStyle w:val="971"/>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特定资格要求，详见第一章《投标邀请》</w:t>
            </w:r>
            <w:r>
              <w:rPr>
                <w:rFonts w:hint="eastAsia" w:ascii="宋体" w:hAnsi="宋体" w:cs="宋体"/>
                <w:bCs/>
                <w:color w:val="000000"/>
              </w:rPr>
            </w:r>
            <w:r/>
          </w:p>
        </w:tc>
      </w:tr>
      <w:tr>
        <w:trPr>
          <w:trHeight w:val="632"/>
        </w:trPr>
        <w:tc>
          <w:tcPr>
            <w:tcW w:w="719" w:type="dxa"/>
            <w:vAlign w:val="center"/>
            <w:textDirection w:val="lrTb"/>
            <w:noWrap w:val="false"/>
          </w:tcPr>
          <w:p>
            <w:pPr>
              <w:pStyle w:val="971"/>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p>
        </w:tc>
        <w:tc>
          <w:tcPr>
            <w:gridSpan w:val="2"/>
            <w:tcW w:w="8553" w:type="dxa"/>
            <w:vAlign w:val="center"/>
            <w:textDirection w:val="lrTb"/>
            <w:noWrap w:val="false"/>
          </w:tcPr>
          <w:p>
            <w:pPr>
              <w:pStyle w:val="971"/>
              <w:ind w:firstLine="0"/>
              <w:spacing w:before="0" w:after="0" w:line="240" w:lineRule="auto"/>
              <w:rPr>
                <w:rFonts w:hint="eastAsia" w:ascii="宋体" w:hAnsi="宋体" w:cs="宋体"/>
                <w:color w:val="000000"/>
              </w:rPr>
            </w:pPr>
            <w:r>
              <w:rPr>
                <w:rFonts w:hint="eastAsia" w:ascii="宋体" w:hAnsi="宋体" w:cs="宋体"/>
                <w:bCs/>
                <w:color w:val="000000"/>
              </w:rPr>
              <w:t xml:space="preserve">《联合体协议》（</w:t>
            </w:r>
            <w:r>
              <w:rPr>
                <w:rFonts w:hint="eastAsia" w:ascii="宋体" w:hAnsi="宋体"/>
                <w:color w:val="000000"/>
              </w:rPr>
              <w:t xml:space="preserve">如接受联合体投标且投标人为联合体时须提供</w:t>
            </w:r>
            <w:r>
              <w:rPr>
                <w:rFonts w:hint="eastAsia" w:ascii="宋体" w:hAnsi="宋体" w:cs="宋体"/>
                <w:bCs/>
                <w:color w:val="000000"/>
              </w:rPr>
              <w:t xml:space="preserve">，格式自拟）。</w:t>
            </w:r>
            <w:r>
              <w:rPr>
                <w:rFonts w:hint="eastAsia" w:ascii="宋体" w:hAnsi="宋体" w:cs="宋体"/>
                <w:color w:val="000000"/>
              </w:rPr>
            </w:r>
            <w:r/>
          </w:p>
        </w:tc>
      </w:tr>
    </w:tbl>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883"/>
        <w:numPr>
          <w:ilvl w:val="0"/>
          <w:numId w:val="8"/>
        </w:numPr>
        <w:ind w:firstLine="480"/>
        <w:spacing w:line="500" w:lineRule="exact"/>
        <w:rPr>
          <w:rFonts w:hint="eastAsia"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rPr>
          <w:rFonts w:hint="eastAsia"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883"/>
        <w:numPr>
          <w:ilvl w:val="0"/>
          <w:numId w:val="8"/>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7项，如本项目落实政府采购政策需满足的资格要求中有中小企业政策要求的（详见第一章《投标邀请》），必须提供相应证明文件，否则投标文件无效。</w:t>
      </w:r>
      <w:r/>
    </w:p>
    <w:p>
      <w:pPr>
        <w:pStyle w:val="883"/>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pStyle w:val="883"/>
        <w:numPr>
          <w:ilvl w:val="0"/>
          <w:numId w:val="8"/>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8项，如本项目有特定资格要求的（详见第一章《投标邀请》），须提供相应的特定资格证明文件。</w:t>
      </w:r>
      <w:r/>
    </w:p>
    <w:p>
      <w:pPr>
        <w:pStyle w:val="883"/>
        <w:numPr>
          <w:ilvl w:val="0"/>
          <w:numId w:val="8"/>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中：第2、6项可由联合体主体单位（即联合体牵头人）代表联合体提供；第1、3、4、5、7（如有要求）、8（如有要求）项，联合体各方均须提供。</w:t>
      </w:r>
      <w:r/>
    </w:p>
    <w:p>
      <w:pPr>
        <w:pStyle w:val="883"/>
        <w:rPr>
          <w:rFonts w:hint="eastAsia"/>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二、符合性证明文件及其他证明文件</w:t>
      </w:r>
      <w:r/>
    </w:p>
    <w:p>
      <w:pPr>
        <w:pStyle w:val="883"/>
        <w:rPr>
          <w:b/>
          <w:color w:val="000000"/>
          <w:sz w:val="28"/>
          <w:szCs w:val="28"/>
        </w:rPr>
      </w:pPr>
      <w:r>
        <w:rPr>
          <w:rFonts w:hint="eastAsia"/>
          <w:b/>
          <w:color w:val="000000"/>
          <w:sz w:val="28"/>
          <w:szCs w:val="28"/>
        </w:rPr>
        <w:t xml:space="preserve">（一）符合性证明文件</w:t>
      </w:r>
      <w:r>
        <w:rPr>
          <w:b/>
          <w:color w:val="000000"/>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1"/>
              <w:ind w:firstLine="0"/>
              <w:jc w:val="center"/>
              <w:spacing w:before="0" w:after="0" w:line="240" w:lineRule="auto"/>
              <w:rPr>
                <w:rFonts w:hint="eastAsia" w:cs="Arial"/>
                <w:b/>
                <w:color w:val="000000"/>
              </w:rPr>
            </w:pPr>
            <w:r>
              <w:rPr>
                <w:rFonts w:hint="eastAsia" w:cs="Arial"/>
                <w:b/>
                <w:color w:val="000000"/>
              </w:rPr>
              <w:t xml:space="preserve">序号</w:t>
            </w:r>
            <w:r/>
          </w:p>
        </w:tc>
        <w:tc>
          <w:tcPr>
            <w:tcW w:w="6095" w:type="dxa"/>
            <w:vAlign w:val="center"/>
            <w:textDirection w:val="lrTb"/>
            <w:noWrap w:val="false"/>
          </w:tcPr>
          <w:p>
            <w:pPr>
              <w:pStyle w:val="971"/>
              <w:ind w:firstLine="0"/>
              <w:jc w:val="center"/>
              <w:spacing w:before="0" w:after="0" w:line="240" w:lineRule="auto"/>
              <w:rPr>
                <w:rFonts w:hint="eastAsia" w:cs="Arial"/>
                <w:b/>
                <w:color w:val="000000"/>
              </w:rPr>
            </w:pPr>
            <w:r>
              <w:rPr>
                <w:rFonts w:hint="eastAsia" w:ascii="宋体" w:hAnsi="宋体" w:cs="宋体"/>
                <w:b/>
                <w:color w:val="000000"/>
              </w:rPr>
              <w:t xml:space="preserve">评审项目及评审要求</w:t>
            </w:r>
            <w:r>
              <w:rPr>
                <w:rFonts w:hint="eastAsia" w:cs="Arial"/>
                <w:b/>
                <w:color w:val="000000"/>
              </w:rPr>
            </w:r>
            <w:r/>
          </w:p>
        </w:tc>
        <w:tc>
          <w:tcPr>
            <w:tcW w:w="1979" w:type="dxa"/>
            <w:vAlign w:val="center"/>
            <w:textDirection w:val="lrTb"/>
            <w:noWrap w:val="false"/>
          </w:tcPr>
          <w:p>
            <w:pPr>
              <w:pStyle w:val="971"/>
              <w:ind w:firstLine="0"/>
              <w:jc w:val="center"/>
              <w:spacing w:before="0" w:after="0" w:line="240" w:lineRule="auto"/>
              <w:rPr>
                <w:rFonts w:hint="eastAsia" w:cs="Arial"/>
                <w:b/>
                <w:color w:val="000000"/>
              </w:rPr>
            </w:pPr>
            <w:r>
              <w:rPr>
                <w:rFonts w:hint="eastAsia" w:cs="Arial"/>
                <w:b/>
                <w:color w:val="000000"/>
              </w:rPr>
              <w:t xml:space="preserve">审查因素</w:t>
            </w:r>
            <w:r/>
          </w:p>
        </w:tc>
      </w:tr>
      <w:tr>
        <w:trPr>
          <w:cantSplit/>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971"/>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971"/>
              <w:ind w:firstLine="0"/>
              <w:jc w:val="center"/>
              <w:spacing w:before="0" w:after="0" w:line="240" w:lineRule="auto"/>
              <w:rPr>
                <w:rFonts w:hint="eastAsia" w:cs="Arial"/>
                <w:color w:val="000000"/>
              </w:rPr>
            </w:pPr>
            <w:r>
              <w:rPr>
                <w:rFonts w:hint="eastAsia" w:cs="Arial"/>
                <w:color w:val="000000"/>
              </w:rPr>
              <w:t xml:space="preserve">商务符合性</w:t>
            </w:r>
            <w:r/>
          </w:p>
        </w:tc>
      </w:tr>
      <w:tr>
        <w:trPr>
          <w:cantSplit/>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971"/>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971"/>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971"/>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开标一览表（“苏采云”系统中给定格式）</w:t>
            </w:r>
            <w:r>
              <w:rPr>
                <w:rFonts w:hint="eastAsia" w:ascii="宋体" w:hAnsi="宋体" w:cs="Arial"/>
                <w:color w:val="000000"/>
              </w:rPr>
            </w:r>
            <w:r/>
          </w:p>
        </w:tc>
        <w:tc>
          <w:tcPr>
            <w:tcW w:w="1979" w:type="dxa"/>
            <w:vAlign w:val="center"/>
            <w:vMerge w:val="restart"/>
            <w:textDirection w:val="lrTb"/>
            <w:noWrap w:val="false"/>
          </w:tcPr>
          <w:p>
            <w:pPr>
              <w:pStyle w:val="971"/>
              <w:ind w:firstLine="0"/>
              <w:jc w:val="center"/>
              <w:spacing w:before="0" w:after="0" w:line="240" w:lineRule="auto"/>
              <w:rPr>
                <w:rFonts w:hint="eastAsia" w:cs="Arial"/>
                <w:color w:val="000000"/>
              </w:rPr>
            </w:pPr>
            <w:r>
              <w:rPr>
                <w:rFonts w:hint="eastAsia" w:cs="Arial"/>
                <w:color w:val="000000"/>
              </w:rPr>
              <w:t xml:space="preserve">报价符合性</w:t>
            </w:r>
            <w:r/>
          </w:p>
        </w:tc>
      </w:tr>
      <w:tr>
        <w:trPr>
          <w:cantSplit/>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971"/>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分项报价表（给定格式）</w:t>
            </w:r>
            <w:r>
              <w:rPr>
                <w:rFonts w:hint="eastAsia" w:ascii="宋体" w:hAnsi="宋体" w:cs="Arial"/>
                <w:color w:val="000000"/>
              </w:rPr>
            </w:r>
            <w:r/>
          </w:p>
        </w:tc>
        <w:tc>
          <w:tcPr>
            <w:tcW w:w="1979" w:type="dxa"/>
            <w:vAlign w:val="center"/>
            <w:vMerge w:val="continue"/>
            <w:textDirection w:val="lrTb"/>
            <w:noWrap w:val="false"/>
          </w:tcPr>
          <w:p>
            <w:pPr>
              <w:pStyle w:val="971"/>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971"/>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rPr>
                <w:rFonts w:ascii="宋体" w:hAnsi="宋体" w:cs="Arial"/>
                <w:color w:val="000000"/>
              </w:rPr>
            </w:r>
            <w:r/>
          </w:p>
        </w:tc>
        <w:tc>
          <w:tcPr>
            <w:tcW w:w="1979" w:type="dxa"/>
            <w:vAlign w:val="center"/>
            <w:vMerge w:val="restart"/>
            <w:textDirection w:val="lrTb"/>
            <w:noWrap w:val="false"/>
          </w:tcPr>
          <w:p>
            <w:pPr>
              <w:pStyle w:val="971"/>
              <w:ind w:firstLine="0"/>
              <w:jc w:val="center"/>
              <w:spacing w:before="0" w:after="0" w:line="240" w:lineRule="auto"/>
              <w:rPr>
                <w:rFonts w:hint="eastAsia" w:cs="Arial"/>
                <w:color w:val="000000"/>
              </w:rPr>
            </w:pPr>
            <w:r>
              <w:rPr>
                <w:rFonts w:hint="eastAsia" w:cs="Arial"/>
                <w:color w:val="000000"/>
              </w:rPr>
              <w:t xml:space="preserve">技术符合性</w:t>
            </w:r>
            <w:r/>
          </w:p>
        </w:tc>
      </w:tr>
      <w:tr>
        <w:trPr>
          <w:cantSplit/>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971"/>
              <w:ind w:firstLine="0"/>
              <w:jc w:val="both"/>
              <w:spacing w:before="0" w:after="0" w:line="240" w:lineRule="auto"/>
              <w:rPr>
                <w:rFonts w:hint="eastAsia" w:ascii="宋体" w:hAnsi="宋体"/>
                <w:color w:val="000000"/>
              </w:rPr>
            </w:pPr>
            <w:r>
              <w:rPr>
                <w:rFonts w:hint="eastAsia" w:ascii="宋体" w:hAnsi="宋体"/>
                <w:color w:val="000000"/>
              </w:rPr>
              <w:t xml:space="preserve">《采购需求》中要求提供的证明材料（如有）</w:t>
            </w:r>
            <w:r/>
          </w:p>
        </w:tc>
        <w:tc>
          <w:tcPr>
            <w:tcW w:w="1979" w:type="dxa"/>
            <w:vAlign w:val="center"/>
            <w:vMerge w:val="continue"/>
            <w:textDirection w:val="lrTb"/>
            <w:noWrap w:val="false"/>
          </w:tcPr>
          <w:p>
            <w:pPr>
              <w:pStyle w:val="971"/>
              <w:ind w:firstLine="0"/>
              <w:jc w:val="center"/>
              <w:spacing w:before="0" w:after="0" w:line="240" w:lineRule="auto"/>
              <w:rPr>
                <w:rFonts w:hint="eastAsia" w:cs="Arial"/>
                <w:color w:val="000000"/>
              </w:rPr>
            </w:pPr>
            <w:r>
              <w:rPr>
                <w:rFonts w:hint="eastAsia" w:cs="Arial"/>
                <w:color w:val="000000"/>
              </w:rPr>
            </w:r>
            <w:r/>
          </w:p>
        </w:tc>
      </w:tr>
    </w:tbl>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883"/>
        <w:numPr>
          <w:ilvl w:val="0"/>
          <w:numId w:val="9"/>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符合性证明文件第</w:t>
      </w:r>
      <w:r>
        <w:rPr>
          <w:rFonts w:hint="eastAsia" w:ascii="宋体" w:hAnsi="宋体"/>
          <w:color w:val="000000"/>
          <w:sz w:val="24"/>
          <w:szCs w:val="24"/>
        </w:rPr>
        <w:t xml:space="preserve">1～5项必须按要求全部提供（有给定格式的，必须按给定格式的要求正确填报并提供，相应格式见本章第二部分），否则投标文件无效。</w:t>
      </w:r>
      <w:r/>
    </w:p>
    <w:p>
      <w:pPr>
        <w:pStyle w:val="883"/>
        <w:numPr>
          <w:ilvl w:val="0"/>
          <w:numId w:val="9"/>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ascii="宋体" w:hAnsi="宋体" w:cs="Arial"/>
          <w:color w:val="000000"/>
          <w:sz w:val="24"/>
          <w:szCs w:val="24"/>
        </w:rPr>
        <w:t xml:space="preserve">符合性证明文件第6项，《采购需求》中如有要求提供证明材料的，须按要求提供，否则投标文件无效。</w:t>
      </w:r>
      <w:r>
        <w:rPr>
          <w:rFonts w:hint="eastAsia" w:ascii="宋体" w:hAnsi="宋体"/>
          <w:color w:val="000000"/>
          <w:sz w:val="24"/>
          <w:szCs w:val="24"/>
        </w:rPr>
      </w:r>
      <w:r/>
    </w:p>
    <w:p>
      <w:pPr>
        <w:pStyle w:val="883"/>
        <w:numPr>
          <w:ilvl w:val="0"/>
          <w:numId w:val="9"/>
        </w:num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w:t>
      </w:r>
      <w:r>
        <w:rPr>
          <w:rFonts w:hint="eastAsia" w:ascii="宋体" w:hAnsi="宋体" w:cs="宋体"/>
          <w:color w:val="000000"/>
          <w:sz w:val="24"/>
          <w:szCs w:val="24"/>
        </w:rPr>
        <w:t xml:space="preserve">第1～5项可由联合体主体单位（即联合体牵头人）代表联合体提供。第6项按《采购需求》中的相应要求（如有）进行提供。</w:t>
      </w:r>
      <w:r/>
    </w:p>
    <w:p>
      <w:pPr>
        <w:pStyle w:val="883"/>
        <w:rPr>
          <w:rFonts w:hint="eastAsia"/>
          <w:b/>
          <w:color w:val="000000"/>
          <w:sz w:val="28"/>
          <w:szCs w:val="28"/>
        </w:rPr>
      </w:pPr>
      <w:r>
        <w:rPr>
          <w:rFonts w:hint="eastAsia"/>
          <w:b/>
          <w:color w:val="000000"/>
          <w:sz w:val="28"/>
          <w:szCs w:val="28"/>
        </w:rPr>
      </w:r>
      <w:r/>
    </w:p>
    <w:p>
      <w:pPr>
        <w:pStyle w:val="883"/>
        <w:rPr>
          <w:rFonts w:hint="eastAsia"/>
          <w:b/>
          <w:color w:val="000000"/>
          <w:sz w:val="28"/>
          <w:szCs w:val="28"/>
        </w:rPr>
      </w:pPr>
      <w:r>
        <w:rPr>
          <w:rFonts w:hint="eastAsia"/>
          <w:b/>
          <w:color w:val="000000"/>
          <w:sz w:val="28"/>
          <w:szCs w:val="28"/>
        </w:rPr>
        <w:t xml:space="preserve">（二）其他证明文件</w:t>
      </w:r>
      <w:r/>
    </w:p>
    <w:p>
      <w:pPr>
        <w:pStyle w:val="883"/>
        <w:ind w:left="480"/>
        <w:spacing w:line="500" w:lineRule="exact"/>
        <w:rPr>
          <w:rFonts w:hint="eastAsia" w:ascii="宋体" w:hAnsi="宋体"/>
          <w:color w:val="000000"/>
          <w:sz w:val="24"/>
          <w:szCs w:val="24"/>
        </w:rPr>
      </w:pPr>
      <w:r>
        <w:rPr>
          <w:rFonts w:hint="eastAsia" w:ascii="宋体" w:hAnsi="宋体"/>
          <w:color w:val="000000"/>
          <w:sz w:val="24"/>
          <w:szCs w:val="24"/>
        </w:rPr>
        <w:t xml:space="preserve">1.《评标方法与评标标准》中涉及的证明文件。</w:t>
      </w:r>
      <w:r/>
    </w:p>
    <w:p>
      <w:pPr>
        <w:pStyle w:val="883"/>
        <w:ind w:left="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p>
    <w:p>
      <w:pPr>
        <w:pStyle w:val="883"/>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971"/>
        <w:ind w:firstLine="0"/>
        <w:spacing w:before="0" w:after="0"/>
        <w:rPr>
          <w:rFonts w:cs="Arial"/>
          <w:b/>
          <w:color w:val="000000"/>
          <w:sz w:val="28"/>
          <w:szCs w:val="28"/>
        </w:rPr>
      </w:pPr>
      <w:r>
        <w:rPr>
          <w:rFonts w:hint="eastAsia" w:cs="Arial"/>
          <w:b/>
          <w:color w:val="000000"/>
          <w:sz w:val="28"/>
          <w:szCs w:val="28"/>
        </w:rPr>
        <w:t xml:space="preserve">一、封面格式（参考格式）：</w:t>
      </w:r>
      <w:r>
        <w:rPr>
          <w:rFonts w:cs="Arial"/>
          <w:b/>
          <w:color w:val="000000"/>
          <w:sz w:val="28"/>
          <w:szCs w:val="28"/>
        </w:rPr>
      </w:r>
      <w:r/>
    </w:p>
    <w:p>
      <w:pPr>
        <w:pStyle w:val="88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3"/>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pStyle w:val="88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3"/>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rPr>
        <w:t xml:space="preserve">JSZC-320200-JZCG-G2025-0047</w:t>
      </w:r>
      <w:r>
        <w:rPr>
          <w:rFonts w:ascii="黑体" w:hAnsi="华文中宋" w:eastAsia="黑体"/>
          <w:bCs/>
          <w:color w:val="000000"/>
          <w:sz w:val="30"/>
          <w:szCs w:val="30"/>
        </w:rPr>
      </w:r>
      <w:r/>
    </w:p>
    <w:p>
      <w:pPr>
        <w:pStyle w:val="883"/>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项目名称：无锡市反诈中心业务技术用房信息化建设项目</w:t>
      </w:r>
      <w:r/>
    </w:p>
    <w:p>
      <w:pPr>
        <w:pStyle w:val="883"/>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883"/>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3"/>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883"/>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969"/>
        <w:ind w:firstLine="480"/>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rPr>
        <w:t xml:space="preserve">JSZC-320200-JZCG-G2025-0047</w:t>
      </w:r>
      <w:r>
        <w:rPr>
          <w:rFonts w:hint="eastAsia" w:ascii="宋体" w:hAnsi="宋体"/>
          <w:bCs/>
          <w:color w:val="000000"/>
          <w:sz w:val="24"/>
          <w:szCs w:val="24"/>
        </w:rPr>
        <w:t xml:space="preserve">项目，兹授权：</w:t>
      </w:r>
      <w:r>
        <w:rPr>
          <w:rFonts w:hint="eastAsia"/>
          <w:color w:val="000000"/>
          <w:sz w:val="24"/>
          <w:szCs w:val="24"/>
        </w:rPr>
      </w:r>
      <w:r/>
    </w:p>
    <w:p>
      <w:pPr>
        <w:pStyle w:val="969"/>
        <w:ind w:firstLine="480"/>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969"/>
        <w:ind w:firstLine="480"/>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969"/>
        <w:ind w:firstLine="480"/>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969"/>
        <w:ind w:firstLine="480"/>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69"/>
        <w:ind w:firstLine="480"/>
        <w:rPr>
          <w:rFonts w:hint="eastAsia"/>
          <w:color w:val="000000"/>
          <w:sz w:val="24"/>
          <w:szCs w:val="24"/>
        </w:rPr>
      </w:pPr>
      <w:r>
        <w:rPr>
          <w:rFonts w:hint="eastAsia"/>
          <w:color w:val="000000"/>
          <w:sz w:val="24"/>
          <w:szCs w:val="24"/>
        </w:rPr>
        <w:t xml:space="preserve">特此授权委托。</w:t>
      </w:r>
      <w:r/>
    </w:p>
    <w:p>
      <w:pPr>
        <w:pStyle w:val="969"/>
        <w:ind w:firstLine="0"/>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969"/>
        <w:ind w:firstLine="0"/>
        <w:rPr>
          <w:rFonts w:hint="eastAsia"/>
          <w:color w:val="000000"/>
          <w:sz w:val="24"/>
          <w:szCs w:val="24"/>
        </w:rPr>
      </w:pPr>
      <w:r>
        <w:rPr>
          <w:rFonts w:hint="eastAsia"/>
          <w:color w:val="000000"/>
          <w:sz w:val="24"/>
          <w:szCs w:val="24"/>
        </w:rPr>
        <w:t xml:space="preserve">法定代表人签字或盖章：</w:t>
      </w:r>
      <w:r>
        <w:rPr>
          <w:rFonts w:hint="eastAsia"/>
          <w:color w:val="000000"/>
          <w:sz w:val="24"/>
          <w:szCs w:val="24"/>
          <w:u w:val="single"/>
        </w:rPr>
        <w:t xml:space="preserve">        </w:t>
      </w:r>
      <w:r>
        <w:rPr>
          <w:rFonts w:hint="eastAsia"/>
          <w:color w:val="000000"/>
          <w:sz w:val="24"/>
          <w:szCs w:val="24"/>
        </w:rPr>
        <w:t xml:space="preserve">             被授权人签字或盖章：</w:t>
      </w:r>
      <w:r>
        <w:rPr>
          <w:rFonts w:hint="eastAsia"/>
          <w:color w:val="000000"/>
          <w:sz w:val="24"/>
          <w:szCs w:val="24"/>
          <w:u w:val="single"/>
        </w:rPr>
        <w:t xml:space="preserve">        </w:t>
      </w:r>
      <w:r>
        <w:rPr>
          <w:rFonts w:hint="eastAsia"/>
          <w:color w:val="000000"/>
          <w:sz w:val="24"/>
          <w:szCs w:val="24"/>
        </w:rPr>
      </w:r>
      <w:r/>
    </w:p>
    <w:p>
      <w:pPr>
        <w:pStyle w:val="969"/>
        <w:ind w:firstLine="0"/>
        <w:rPr>
          <w:rFonts w:hint="eastAsia"/>
          <w:color w:val="000000"/>
          <w:sz w:val="24"/>
          <w:szCs w:val="24"/>
        </w:rPr>
      </w:pPr>
      <w:r>
        <w:rPr>
          <w:rFonts w:hint="eastAsia" w:ascii="宋体" w:hAnsi="宋体" w:cs="宋体"/>
          <w:b/>
          <w:color w:val="000000"/>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sz w:val="24"/>
          <w:szCs w:val="24"/>
        </w:rPr>
      </w:r>
      <w:r/>
    </w:p>
    <w:p>
      <w:pPr>
        <w:pStyle w:val="969"/>
        <w:ind w:firstLine="0"/>
        <w:rPr>
          <w:rFonts w:hint="eastAsia"/>
          <w:color w:val="000000"/>
          <w:sz w:val="21"/>
          <w:szCs w:val="21"/>
        </w:rPr>
      </w:pPr>
      <w:r>
        <w:rPr>
          <w:rFonts w:hint="eastAsia"/>
          <w:color w:val="000000"/>
          <w:sz w:val="21"/>
          <w:szCs w:val="21"/>
        </w:rPr>
      </w:r>
      <w:r/>
    </w:p>
    <w:p>
      <w:pPr>
        <w:pStyle w:val="969"/>
        <w:ind w:firstLine="0"/>
        <w:spacing w:line="360" w:lineRule="auto"/>
        <w:rPr>
          <w:rFonts w:hint="eastAsia"/>
          <w:color w:val="000000"/>
          <w:sz w:val="21"/>
          <w:szCs w:val="21"/>
        </w:rPr>
      </w:pPr>
      <w:r>
        <w:rPr>
          <w:rFonts w:hint="eastAsia"/>
          <w:color w:val="000000"/>
          <w:sz w:val="21"/>
          <w:szCs w:val="21"/>
        </w:rPr>
        <w:t xml:space="preserve">说明：</w:t>
      </w:r>
      <w:r/>
    </w:p>
    <w:p>
      <w:pPr>
        <w:pStyle w:val="969"/>
        <w:numPr>
          <w:ilvl w:val="0"/>
          <w:numId w:val="10"/>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69"/>
        <w:numPr>
          <w:ilvl w:val="0"/>
          <w:numId w:val="10"/>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69"/>
        <w:numPr>
          <w:ilvl w:val="0"/>
          <w:numId w:val="10"/>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69"/>
        <w:numPr>
          <w:ilvl w:val="0"/>
          <w:numId w:val="10"/>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1"/>
          <w:szCs w:val="21"/>
        </w:rPr>
      </w:r>
      <w:r/>
    </w:p>
    <w:p>
      <w:pPr>
        <w:pStyle w:val="969"/>
        <w:ind w:firstLine="0"/>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pStyle w:val="883"/>
        <w:jc w:val="center"/>
        <w:rPr>
          <w:rFonts w:ascii="黑体" w:eastAsia="黑体"/>
          <w:bCs/>
          <w:color w:val="000000"/>
          <w:sz w:val="28"/>
          <w:szCs w:val="28"/>
        </w:rPr>
        <w:outlineLvl w:val="0"/>
      </w:pPr>
      <w:r/>
      <w:bookmarkStart w:id="199" w:name="报价方关于资格的声明函（格式）"/>
      <w:r/>
      <w:bookmarkEnd w:id="199"/>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3"/>
        <w:jc w:val="center"/>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883"/>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rPr>
        <w:t xml:space="preserve">JSZC-320200-JZCG-G2025-0047</w:t>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883"/>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83"/>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3"/>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 </w:t>
      </w:r>
      <w:r/>
    </w:p>
    <w:p>
      <w:pPr>
        <w:pStyle w:val="883"/>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中小企业声明函（货物）</w:t>
      </w:r>
      <w:r/>
    </w:p>
    <w:p>
      <w:pPr>
        <w:pStyle w:val="883"/>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（联合体）参加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采购活动，提供的货物全部由符合政策要求的中小企业制造。相关企业 （含联合体中的中小企业、签订分包意向协议的中小企业）的具体情况如下：</w:t>
      </w:r>
      <w:r/>
    </w:p>
    <w:p>
      <w:pPr>
        <w:pStyle w:val="883"/>
        <w:ind w:firstLine="480"/>
        <w:spacing w:line="360" w:lineRule="auto"/>
        <w:rPr>
          <w:rFonts w:ascii="宋体" w:hAnsi="宋体"/>
          <w:bCs/>
          <w:color w:val="000000"/>
          <w:sz w:val="24"/>
          <w:szCs w:val="24"/>
        </w:rPr>
      </w:pPr>
      <w:r>
        <w:rPr>
          <w:rFonts w:ascii="宋体" w:hAnsi="宋体"/>
          <w:bCs/>
          <w:color w:val="000000"/>
          <w:sz w:val="24"/>
          <w:szCs w:val="24"/>
        </w:rPr>
        <w:t xml:space="preserve">1. </w:t>
      </w:r>
      <w:r>
        <w:rPr>
          <w:rFonts w:ascii="宋体" w:hAnsi="宋体"/>
          <w:bCs/>
          <w:color w:val="000000"/>
          <w:sz w:val="24"/>
          <w:szCs w:val="24"/>
          <w:u w:val="single"/>
        </w:rPr>
        <w:t xml:space="preserve">（标的名称）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p>
    <w:p>
      <w:pPr>
        <w:pStyle w:val="883"/>
        <w:ind w:firstLine="480"/>
        <w:spacing w:line="360" w:lineRule="auto"/>
        <w:rPr>
          <w:rFonts w:ascii="宋体" w:hAnsi="宋体"/>
          <w:bCs/>
          <w:color w:val="000000"/>
          <w:sz w:val="24"/>
          <w:szCs w:val="24"/>
        </w:rPr>
      </w:pPr>
      <w:r>
        <w:rPr>
          <w:rFonts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p>
    <w:p>
      <w:pPr>
        <w:pStyle w:val="883"/>
        <w:ind w:firstLine="480"/>
        <w:spacing w:line="360" w:lineRule="auto"/>
        <w:rPr>
          <w:rFonts w:ascii="宋体" w:hAnsi="宋体"/>
          <w:bCs/>
          <w:color w:val="000000"/>
          <w:sz w:val="24"/>
          <w:szCs w:val="24"/>
        </w:rPr>
      </w:pPr>
      <w:r>
        <w:rPr>
          <w:rFonts w:ascii="宋体" w:hAnsi="宋体"/>
          <w:bCs/>
          <w:color w:val="000000"/>
          <w:sz w:val="24"/>
          <w:szCs w:val="24"/>
        </w:rPr>
        <w:t xml:space="preserve">……</w:t>
      </w:r>
      <w:r/>
    </w:p>
    <w:p>
      <w:pPr>
        <w:pStyle w:val="883"/>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pStyle w:val="883"/>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rPr>
          <w:rFonts w:ascii="宋体" w:hAnsi="宋体"/>
          <w:bCs/>
          <w:color w:val="000000"/>
          <w:sz w:val="24"/>
          <w:szCs w:val="24"/>
        </w:rPr>
      </w:r>
      <w:r/>
    </w:p>
    <w:p>
      <w:pPr>
        <w:pStyle w:val="883"/>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3"/>
        <w:spacing w:line="360" w:lineRule="auto"/>
        <w:rPr>
          <w:rFonts w:ascii="宋体" w:hAnsi="宋体"/>
          <w:bCs/>
          <w:color w:val="000000"/>
          <w:sz w:val="24"/>
          <w:szCs w:val="24"/>
        </w:rPr>
      </w:pPr>
      <w:r>
        <w:rPr>
          <w:rFonts w:ascii="宋体" w:hAnsi="宋体"/>
          <w:bCs/>
          <w:color w:val="000000"/>
          <w:sz w:val="24"/>
          <w:szCs w:val="24"/>
        </w:rPr>
      </w:r>
      <w:r/>
    </w:p>
    <w:p>
      <w:pPr>
        <w:pStyle w:val="883"/>
        <w:ind w:firstLine="420"/>
        <w:spacing w:line="360" w:lineRule="auto"/>
        <w:rPr>
          <w:rFonts w:hint="eastAsia"/>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pStyle w:val="883"/>
        <w:ind w:firstLine="420"/>
        <w:spacing w:line="360" w:lineRule="auto"/>
        <w:rPr>
          <w:color w:val="000000"/>
        </w:rPr>
      </w:pPr>
      <w:r>
        <w:rPr>
          <w:rFonts w:hint="eastAsia"/>
          <w:color w:val="000000"/>
        </w:rPr>
        <w:t xml:space="preserve">（2）从业人员、营业收入、资产总额填报上一年度数据，无上一年度数据的新成立企业可不填报。</w:t>
      </w:r>
      <w:r>
        <w:rPr>
          <w:color w:val="000000"/>
        </w:rPr>
      </w:r>
      <w:r/>
    </w:p>
    <w:p>
      <w:pPr>
        <w:pStyle w:val="883"/>
        <w:ind w:firstLine="420"/>
        <w:spacing w:line="360" w:lineRule="auto"/>
        <w:rPr>
          <w:color w:val="000000"/>
        </w:rPr>
      </w:pPr>
      <w:r>
        <w:rPr>
          <w:rFonts w:hint="eastAsia"/>
          <w:color w:val="000000"/>
        </w:rPr>
        <w:t xml:space="preserve">（3）在货物采购项目中，供应商提供的货物既有中小企业制造货物，也有大型企业制造货物的，不享受本办法规定的中小企业扶持政策。</w:t>
      </w:r>
      <w:r>
        <w:rPr>
          <w:color w:val="000000"/>
        </w:rPr>
      </w:r>
      <w:r/>
    </w:p>
    <w:p>
      <w:pPr>
        <w:pStyle w:val="883"/>
        <w:ind w:firstLine="420"/>
        <w:spacing w:line="360" w:lineRule="auto"/>
        <w:rPr>
          <w:color w:val="000000"/>
        </w:rPr>
      </w:pPr>
      <w:r>
        <w:rPr>
          <w:rFonts w:hint="eastAsia"/>
          <w:color w:val="000000"/>
        </w:rPr>
        <w:t xml:space="preserve">（4）中标供应商的《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rPr>
          <w:color w:val="000000"/>
        </w:rPr>
      </w:r>
      <w:r/>
    </w:p>
    <w:p>
      <w:pPr>
        <w:pStyle w:val="883"/>
        <w:spacing w:line="360" w:lineRule="auto"/>
        <w:rPr>
          <w:rFonts w:hint="eastAsia" w:ascii="宋体" w:hAnsi="宋体" w:cs="宋体"/>
          <w:b/>
          <w:color w:val="000000"/>
          <w:sz w:val="28"/>
          <w:szCs w:val="28"/>
        </w:rPr>
      </w:pPr>
      <w:r>
        <w:rPr>
          <w:color w:val="000000"/>
        </w:rPr>
        <w:br w:type="page" w:clear="all"/>
      </w:r>
      <w:r>
        <w:rPr>
          <w:rFonts w:hint="eastAsia"/>
          <w:b/>
          <w:color w:val="000000"/>
          <w:sz w:val="28"/>
          <w:szCs w:val="28"/>
        </w:rPr>
        <w:t xml:space="preserve">五</w:t>
      </w:r>
      <w:r>
        <w:rPr>
          <w:rFonts w:hint="eastAsia" w:ascii="宋体" w:hAnsi="宋体" w:cs="宋体"/>
          <w:b/>
          <w:color w:val="000000"/>
          <w:sz w:val="28"/>
          <w:szCs w:val="28"/>
        </w:rPr>
        <w:t xml:space="preserve">、残疾人福利性单位声明函（给定格式）：</w:t>
      </w:r>
      <w:r/>
    </w:p>
    <w:p>
      <w:pPr>
        <w:pStyle w:val="883"/>
        <w:ind w:firstLine="482"/>
        <w:spacing w:line="440" w:lineRule="exact"/>
        <w:rPr>
          <w:rFonts w:ascii="Arial" w:hAnsi="Arial"/>
          <w:b/>
          <w:color w:val="000000"/>
          <w:sz w:val="24"/>
        </w:rPr>
      </w:pPr>
      <w:r>
        <w:rPr>
          <w:rFonts w:ascii="Arial" w:hAnsi="Arial"/>
          <w:b/>
          <w:color w:val="000000"/>
          <w:sz w:val="24"/>
        </w:rPr>
      </w:r>
      <w:r/>
    </w:p>
    <w:p>
      <w:pPr>
        <w:pStyle w:val="883"/>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3"/>
        <w:jc w:val="center"/>
        <w:rPr>
          <w:rFonts w:ascii="黑体" w:eastAsia="黑体"/>
          <w:bCs/>
          <w:color w:val="000000"/>
          <w:sz w:val="28"/>
          <w:szCs w:val="28"/>
        </w:rPr>
      </w:pPr>
      <w:r>
        <w:rPr>
          <w:rFonts w:ascii="黑体" w:eastAsia="黑体"/>
          <w:bCs/>
          <w:color w:val="000000"/>
          <w:sz w:val="28"/>
          <w:szCs w:val="28"/>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3"/>
        <w:spacing w:line="360" w:lineRule="auto"/>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 xml:space="preserve">六</w:t>
      </w:r>
      <w:r>
        <w:rPr>
          <w:b/>
          <w:color w:val="000000"/>
          <w:sz w:val="28"/>
          <w:szCs w:val="28"/>
        </w:rPr>
        <w:t xml:space="preserve">、投标函</w:t>
      </w:r>
      <w:r>
        <w:rPr>
          <w:rFonts w:hint="eastAsia"/>
          <w:b/>
          <w:color w:val="000000"/>
          <w:sz w:val="28"/>
          <w:szCs w:val="28"/>
        </w:rPr>
        <w:t xml:space="preserve">（给定格式）：</w:t>
      </w:r>
      <w:r/>
    </w:p>
    <w:p>
      <w:pPr>
        <w:pStyle w:val="883"/>
        <w:spacing w:line="360" w:lineRule="auto"/>
        <w:rPr>
          <w:rFonts w:hint="eastAsia"/>
          <w:b/>
          <w:color w:val="000000"/>
          <w:sz w:val="30"/>
          <w:szCs w:val="30"/>
        </w:rPr>
      </w:pPr>
      <w:r>
        <w:rPr>
          <w:rFonts w:hint="eastAsia"/>
          <w:b/>
          <w:color w:val="000000"/>
          <w:sz w:val="30"/>
          <w:szCs w:val="30"/>
        </w:rPr>
      </w:r>
      <w:r/>
    </w:p>
    <w:p>
      <w:pPr>
        <w:pStyle w:val="883"/>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3"/>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883"/>
        <w:ind w:firstLine="48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rPr>
        <w:t xml:space="preserve">JSZC-320200-JZCG-G2025-0047</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883"/>
        <w:numPr>
          <w:ilvl w:val="0"/>
          <w:numId w:val="11"/>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58"/>
          <w:bCs/>
          <w:color w:val="000000"/>
        </w:rPr>
      </w:pPr>
      <w:r>
        <w:rPr>
          <w:rFonts w:hint="eastAsia" w:ascii="宋体" w:hAnsi="宋体"/>
          <w:bCs/>
          <w:color w:val="000000"/>
          <w:sz w:val="24"/>
          <w:szCs w:val="24"/>
        </w:rPr>
        <w:t xml:space="preserve">我方愿意提供无锡市公共资源交易中心在招标文件中要求的文件、资料。</w:t>
      </w:r>
      <w:r>
        <w:rPr>
          <w:rStyle w:val="958"/>
          <w:bCs/>
          <w:color w:val="000000"/>
        </w:rPr>
      </w:r>
      <w:r/>
    </w:p>
    <w:p>
      <w:pPr>
        <w:pStyle w:val="88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3"/>
        <w:ind w:firstLine="72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3"/>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883"/>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883"/>
        <w:spacing w:line="360" w:lineRule="auto"/>
        <w:rPr>
          <w:rFonts w:hint="eastAsia"/>
          <w:b/>
          <w:color w:val="000000"/>
          <w:sz w:val="28"/>
          <w:szCs w:val="28"/>
        </w:rPr>
      </w:pPr>
      <w:r>
        <w:rPr>
          <w:rFonts w:hint="eastAsia" w:ascii="宋体" w:hAnsi="宋体"/>
          <w:bCs/>
          <w:color w:val="000000"/>
          <w:sz w:val="24"/>
          <w:szCs w:val="24"/>
        </w:rPr>
        <w:br w:type="page" w:clear="all"/>
      </w:r>
      <w:r>
        <w:rPr>
          <w:rFonts w:hint="eastAsia"/>
          <w:b/>
          <w:color w:val="000000"/>
          <w:sz w:val="28"/>
          <w:szCs w:val="28"/>
        </w:rPr>
        <w:t xml:space="preserve">七、承诺书（给定格式）：</w:t>
      </w:r>
      <w:r/>
    </w:p>
    <w:p>
      <w:pPr>
        <w:pStyle w:val="883"/>
        <w:jc w:val="center"/>
        <w:rPr>
          <w:rFonts w:hint="eastAsia" w:ascii="黑体" w:eastAsia="黑体"/>
          <w:bCs/>
          <w:color w:val="000000"/>
          <w:sz w:val="28"/>
          <w:szCs w:val="28"/>
        </w:rPr>
      </w:pPr>
      <w:r>
        <w:rPr>
          <w:rFonts w:hint="eastAsia" w:ascii="黑体" w:eastAsia="黑体"/>
          <w:bCs/>
          <w:color w:val="000000"/>
          <w:sz w:val="28"/>
          <w:szCs w:val="28"/>
        </w:rPr>
        <w:t xml:space="preserve">承诺书</w:t>
      </w:r>
      <w:r/>
    </w:p>
    <w:p>
      <w:pPr>
        <w:pStyle w:val="883"/>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名称）针对本项目</w:t>
      </w:r>
      <w:r>
        <w:rPr>
          <w:rFonts w:hint="eastAsia" w:ascii="宋体" w:hAnsi="宋体"/>
          <w:bCs/>
          <w:color w:val="000000"/>
          <w:sz w:val="24"/>
          <w:szCs w:val="24"/>
        </w:rPr>
        <w:t xml:space="preserve">JSZC-320200-JZCG-G2025-0047</w:t>
      </w:r>
      <w:r>
        <w:rPr>
          <w:rFonts w:hint="eastAsia" w:ascii="宋体" w:hAnsi="宋体"/>
          <w:color w:val="000000"/>
          <w:sz w:val="24"/>
          <w:szCs w:val="24"/>
        </w:rPr>
        <w:t xml:space="preserve">在此承诺：</w:t>
      </w:r>
      <w:r>
        <w:rPr>
          <w:rFonts w:ascii="宋体" w:hAnsi="宋体"/>
          <w:color w:val="000000"/>
          <w:sz w:val="24"/>
          <w:szCs w:val="24"/>
        </w:rPr>
      </w:r>
      <w:r/>
    </w:p>
    <w:p>
      <w:pPr>
        <w:pStyle w:val="883"/>
        <w:ind w:firstLine="480"/>
        <w:spacing w:line="48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对本项目所提供的货物均为原厂全新合格品，提供的服务符合招标文件要求。</w:t>
      </w:r>
      <w:r>
        <w:rPr>
          <w:rFonts w:ascii="宋体" w:hAnsi="宋体"/>
          <w:bCs/>
          <w:color w:val="000000"/>
          <w:sz w:val="24"/>
          <w:szCs w:val="24"/>
        </w:rPr>
      </w:r>
      <w:r/>
    </w:p>
    <w:p>
      <w:pPr>
        <w:pStyle w:val="883"/>
        <w:ind w:firstLine="480"/>
        <w:spacing w:line="480" w:lineRule="auto"/>
        <w:rPr>
          <w:rFonts w:hint="eastAsia" w:ascii="宋体"/>
          <w:bCs/>
          <w:color w:val="000000"/>
          <w:sz w:val="24"/>
          <w:szCs w:val="24"/>
        </w:rPr>
      </w:pPr>
      <w:r>
        <w:rPr>
          <w:rFonts w:hint="eastAsia" w:ascii="宋体"/>
          <w:bCs/>
          <w:color w:val="000000"/>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）对于中标产品的包装将严格按《关于印发〈商品包装政府采购需求标准（试行）〉、〈快递包装政府采购需求标准（试行）〉的通知》（财办库〔2020〕123号）文件执行。</w:t>
      </w:r>
      <w:r/>
    </w:p>
    <w:p>
      <w:pPr>
        <w:pStyle w:val="883"/>
        <w:ind w:firstLine="480"/>
        <w:spacing w:line="480" w:lineRule="auto"/>
        <w:rPr>
          <w:rFonts w:hint="eastAsia" w:ascii="宋体" w:hAnsi="宋体"/>
          <w:color w:val="000000"/>
          <w:sz w:val="24"/>
          <w:szCs w:val="24"/>
        </w:rPr>
      </w:pPr>
      <w:r>
        <w:rPr>
          <w:rFonts w:hint="eastAsia" w:ascii="宋体" w:hAnsi="宋体"/>
          <w:color w:val="000000"/>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883"/>
        <w:ind w:firstLine="480"/>
        <w:spacing w:line="480" w:lineRule="auto"/>
        <w:rPr>
          <w:rFonts w:ascii="宋体" w:hAnsi="宋体"/>
          <w:bCs/>
          <w:color w:val="000000"/>
          <w:sz w:val="24"/>
          <w:szCs w:val="24"/>
        </w:rPr>
      </w:pPr>
      <w:r>
        <w:rPr>
          <w:rFonts w:hint="eastAsia" w:ascii="宋体" w:hAnsi="宋体"/>
          <w:bCs/>
          <w:color w:val="000000"/>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将按规定执行国家和我省VOCs含量限制标准；如非强制性标准的，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rPr>
      </w:r>
      <w:r/>
    </w:p>
    <w:p>
      <w:pPr>
        <w:pStyle w:val="883"/>
        <w:ind w:firstLine="480"/>
        <w:spacing w:line="480" w:lineRule="auto"/>
        <w:rPr>
          <w:rFonts w:hint="eastAsia" w:ascii="宋体" w:hAnsi="宋体" w:cs="宋体"/>
          <w:color w:val="000000"/>
          <w:sz w:val="24"/>
          <w:szCs w:val="24"/>
        </w:rPr>
      </w:pPr>
      <w:r>
        <w:rPr>
          <w:rFonts w:hint="eastAsia" w:ascii="宋体"/>
          <w:bCs/>
          <w:color w:val="000000"/>
          <w:sz w:val="24"/>
          <w:szCs w:val="24"/>
        </w:rPr>
        <w:t xml:space="preserve">5.</w:t>
      </w:r>
      <w:r>
        <w:rPr>
          <w:rFonts w:hint="eastAsia" w:ascii="宋体" w:hAnsi="宋体" w:cs="宋体"/>
          <w:color w:val="000000"/>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）所投产品将</w:t>
      </w:r>
      <w:r>
        <w:rPr>
          <w:rFonts w:hint="eastAsia" w:ascii="宋体" w:hAnsi="宋体" w:cs="宋体"/>
          <w:color w:val="000000"/>
          <w:sz w:val="24"/>
          <w:szCs w:val="24"/>
        </w:rPr>
        <w:t xml:space="preserve">满足招标文件要求。如采购人在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）将予以配合。</w:t>
      </w:r>
      <w:r>
        <w:rPr>
          <w:rFonts w:hint="eastAsia" w:ascii="宋体" w:hAnsi="宋体" w:cs="宋体"/>
          <w:color w:val="000000"/>
          <w:sz w:val="24"/>
          <w:szCs w:val="24"/>
        </w:rPr>
      </w:r>
      <w:r/>
    </w:p>
    <w:p>
      <w:pPr>
        <w:pStyle w:val="883"/>
        <w:ind w:firstLine="480"/>
        <w:spacing w:line="480" w:lineRule="auto"/>
        <w:rPr>
          <w:rFonts w:hint="eastAsia" w:ascii="宋体"/>
          <w:bCs/>
          <w:color w:val="000000"/>
          <w:sz w:val="24"/>
          <w:szCs w:val="24"/>
        </w:rPr>
      </w:pPr>
      <w:r>
        <w:rPr>
          <w:rFonts w:hint="eastAsia" w:ascii="宋体"/>
          <w:bCs/>
          <w:color w:val="000000"/>
          <w:sz w:val="24"/>
          <w:szCs w:val="24"/>
        </w:rPr>
      </w:r>
      <w:r/>
    </w:p>
    <w:p>
      <w:pPr>
        <w:pStyle w:val="883"/>
        <w:ind w:firstLine="480"/>
        <w:spacing w:line="480" w:lineRule="auto"/>
        <w:rPr>
          <w:rFonts w:hint="eastAsia"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（投标人如有其他承诺的可在此处添加）</w:t>
      </w:r>
      <w:r/>
    </w:p>
    <w:p>
      <w:pPr>
        <w:pStyle w:val="883"/>
        <w:ind w:firstLine="480"/>
        <w:spacing w:line="480" w:lineRule="auto"/>
        <w:rPr>
          <w:rFonts w:hint="eastAsia" w:ascii="宋体"/>
          <w:bCs/>
          <w:color w:val="000000"/>
          <w:sz w:val="24"/>
          <w:szCs w:val="24"/>
        </w:rPr>
      </w:pPr>
      <w:r>
        <w:rPr>
          <w:rFonts w:hint="eastAsia" w:ascii="宋体"/>
          <w:bCs/>
          <w:color w:val="000000"/>
          <w:sz w:val="24"/>
          <w:szCs w:val="24"/>
        </w:rPr>
      </w:r>
      <w:r/>
    </w:p>
    <w:p>
      <w:pPr>
        <w:pStyle w:val="883"/>
        <w:ind w:firstLine="480"/>
        <w:spacing w:line="480" w:lineRule="auto"/>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ascii="宋体" w:hAnsi="宋体"/>
          <w:color w:val="000000"/>
          <w:sz w:val="24"/>
          <w:szCs w:val="20"/>
        </w:rPr>
      </w:r>
      <w:r/>
    </w:p>
    <w:p>
      <w:pPr>
        <w:pStyle w:val="883"/>
        <w:ind w:firstLine="5400"/>
        <w:spacing w:line="480" w:lineRule="auto"/>
        <w:rPr>
          <w:rFonts w:ascii="宋体" w:hAnsi="宋体"/>
          <w:bCs/>
          <w:color w:val="000000"/>
          <w:sz w:val="24"/>
          <w:szCs w:val="24"/>
        </w:rPr>
      </w:pPr>
      <w:r>
        <w:rPr>
          <w:rFonts w:ascii="宋体" w:hAnsi="宋体"/>
          <w:bCs/>
          <w:color w:val="000000"/>
          <w:sz w:val="24"/>
          <w:szCs w:val="24"/>
        </w:rPr>
      </w:r>
      <w:r/>
    </w:p>
    <w:p>
      <w:pPr>
        <w:pStyle w:val="883"/>
        <w:ind w:firstLine="3720"/>
        <w:spacing w:line="480" w:lineRule="auto"/>
        <w:rPr>
          <w:rFonts w:ascii="宋体" w:hAnsi="宋体"/>
          <w:bCs/>
          <w:color w:val="000000"/>
          <w:sz w:val="24"/>
          <w:szCs w:val="24"/>
        </w:rPr>
      </w:pPr>
      <w:r>
        <w:rPr>
          <w:rFonts w:hint="eastAsia" w:ascii="宋体" w:hAnsi="宋体"/>
          <w:bCs/>
          <w:color w:val="000000"/>
          <w:sz w:val="24"/>
          <w:szCs w:val="24"/>
        </w:rPr>
        <w:t xml:space="preserve">投标人名称（盖章）：</w:t>
      </w:r>
      <w:r>
        <w:rPr>
          <w:rFonts w:ascii="宋体" w:hAnsi="宋体"/>
          <w:bCs/>
          <w:color w:val="000000"/>
          <w:sz w:val="24"/>
          <w:szCs w:val="24"/>
        </w:rPr>
      </w:r>
      <w:r/>
    </w:p>
    <w:p>
      <w:pPr>
        <w:pStyle w:val="883"/>
        <w:rPr>
          <w:b/>
          <w:color w:val="000000"/>
          <w:sz w:val="28"/>
          <w:szCs w:val="28"/>
        </w:rPr>
        <w:outlineLvl w:val="0"/>
      </w:pPr>
      <w:r>
        <w:rPr>
          <w:rFonts w:ascii="宋体" w:hAnsi="宋体"/>
          <w:bCs/>
          <w:color w:val="000000"/>
          <w:sz w:val="24"/>
          <w:szCs w:val="24"/>
        </w:rPr>
        <w:br w:type="page" w:clear="all"/>
      </w:r>
      <w:r>
        <w:rPr>
          <w:b/>
          <w:color w:val="000000"/>
          <w:sz w:val="28"/>
          <w:szCs w:val="28"/>
        </w:rPr>
      </w:r>
      <w:r/>
    </w:p>
    <w:p>
      <w:pPr>
        <w:pStyle w:val="883"/>
        <w:spacing w:line="360" w:lineRule="auto"/>
        <w:rPr>
          <w:rFonts w:hint="eastAsia"/>
          <w:b/>
          <w:color w:val="000000"/>
          <w:sz w:val="28"/>
          <w:szCs w:val="28"/>
        </w:rPr>
      </w:pPr>
      <w:r>
        <w:rPr>
          <w:rFonts w:hint="eastAsia"/>
          <w:b/>
          <w:color w:val="000000"/>
          <w:sz w:val="28"/>
          <w:szCs w:val="28"/>
        </w:rPr>
        <w:t xml:space="preserve">八、开标一览表：</w:t>
      </w:r>
      <w:r/>
    </w:p>
    <w:p>
      <w:pPr>
        <w:pStyle w:val="883"/>
        <w:ind w:firstLine="482"/>
        <w:spacing w:line="440" w:lineRule="exact"/>
        <w:rPr>
          <w:rFonts w:hint="eastAsia" w:ascii="Arial" w:hAnsi="Arial"/>
          <w:b/>
          <w:color w:val="000000"/>
          <w:sz w:val="24"/>
        </w:rPr>
      </w:pPr>
      <w:r>
        <w:rPr>
          <w:rFonts w:hint="eastAsia" w:ascii="Arial" w:hAnsi="Arial"/>
          <w:b/>
          <w:color w:val="000000"/>
          <w:sz w:val="24"/>
        </w:rPr>
      </w:r>
      <w:r/>
    </w:p>
    <w:p>
      <w:pPr>
        <w:pStyle w:val="883"/>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3"/>
        <w:jc w:val="center"/>
        <w:rPr>
          <w:rFonts w:ascii="黑体" w:eastAsia="黑体"/>
          <w:bCs/>
          <w:color w:val="000000"/>
          <w:sz w:val="28"/>
          <w:szCs w:val="28"/>
        </w:rPr>
        <w:outlineLvl w:val="0"/>
      </w:pPr>
      <w:r>
        <w:rPr>
          <w:rFonts w:ascii="黑体" w:eastAsia="黑体"/>
          <w:bCs/>
          <w:color w:val="000000"/>
          <w:sz w:val="28"/>
          <w:szCs w:val="28"/>
        </w:rPr>
      </w:r>
      <w:r/>
    </w:p>
    <w:p>
      <w:pPr>
        <w:pStyle w:val="883"/>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pStyle w:val="883"/>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883"/>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JSZC-320200-JZCG-G2025-0047</w:t>
      </w:r>
      <w:r>
        <w:rPr>
          <w:rFonts w:ascii="黑体" w:eastAsia="黑体"/>
          <w:bCs/>
          <w:color w:val="000000"/>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997"/>
              <w:jc w:val="center"/>
              <w:spacing w:line="400" w:lineRule="exact"/>
              <w:rPr>
                <w:rFonts w:hAnsi="宋体"/>
                <w:bCs/>
                <w:color w:val="000000"/>
                <w:szCs w:val="24"/>
              </w:rPr>
            </w:pPr>
            <w:r>
              <w:rPr>
                <w:rFonts w:hint="eastAsia" w:hAnsi="宋体"/>
                <w:bCs/>
                <w:color w:val="000000"/>
                <w:szCs w:val="24"/>
              </w:rPr>
              <w:t xml:space="preserve">无锡市反诈中心业务技术用房信息化建设项目</w:t>
            </w:r>
            <w:r>
              <w:rPr>
                <w:rFonts w:hAnsi="宋体"/>
                <w:bCs/>
                <w:color w:val="000000"/>
                <w:szCs w:val="24"/>
              </w:rPr>
            </w:r>
            <w:r/>
          </w:p>
        </w:tc>
        <w:tc>
          <w:tcPr>
            <w:tcW w:w="3188" w:type="dxa"/>
            <w:vAlign w:val="center"/>
            <w:textDirection w:val="lrTb"/>
            <w:noWrap w:val="false"/>
          </w:tcPr>
          <w:p>
            <w:pPr>
              <w:pStyle w:val="997"/>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83"/>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p>
        </w:tc>
      </w:tr>
    </w:tbl>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883"/>
        <w:spacing w:line="360" w:lineRule="auto"/>
        <w:rPr>
          <w:rFonts w:hint="eastAsia" w:ascii="宋体" w:hAnsi="宋体"/>
          <w:bCs/>
          <w:color w:val="000000"/>
        </w:rPr>
      </w:pPr>
      <w:r>
        <w:rPr>
          <w:rFonts w:hint="eastAsia" w:ascii="黑体" w:eastAsia="黑体"/>
          <w:bCs/>
          <w:color w:val="000000"/>
          <w:sz w:val="24"/>
          <w:szCs w:val="24"/>
        </w:rPr>
        <w:br w:type="page" w:clear="all"/>
      </w:r>
      <w:r>
        <w:rPr>
          <w:rFonts w:hint="eastAsia"/>
          <w:b/>
          <w:color w:val="000000"/>
          <w:sz w:val="28"/>
          <w:szCs w:val="28"/>
        </w:rPr>
        <w:t xml:space="preserve">九、分项</w:t>
      </w:r>
      <w:r>
        <w:rPr>
          <w:b/>
          <w:color w:val="000000"/>
          <w:sz w:val="28"/>
          <w:szCs w:val="28"/>
        </w:rPr>
        <w:t xml:space="preserve">报价表</w:t>
      </w:r>
      <w:r>
        <w:rPr>
          <w:rFonts w:hint="eastAsia"/>
          <w:b/>
          <w:color w:val="000000"/>
          <w:sz w:val="28"/>
          <w:szCs w:val="28"/>
        </w:rPr>
        <w:t xml:space="preserve">（给定格式）：</w:t>
      </w:r>
      <w:bookmarkEnd w:id="196"/>
      <w:r/>
      <w:bookmarkEnd w:id="197"/>
      <w:r/>
      <w:bookmarkEnd w:id="198"/>
      <w:r/>
      <w:bookmarkStart w:id="200" w:name="_Toc120614284"/>
      <w:r>
        <w:rPr>
          <w:rFonts w:hint="eastAsia" w:ascii="宋体" w:hAnsi="宋体"/>
          <w:bCs/>
          <w:color w:val="000000"/>
        </w:rPr>
      </w:r>
      <w:r/>
    </w:p>
    <w:p>
      <w:pPr>
        <w:pStyle w:val="883"/>
        <w:jc w:val="center"/>
        <w:spacing w:line="360" w:lineRule="auto"/>
        <w:rPr>
          <w:b/>
          <w:color w:val="000000"/>
          <w:sz w:val="28"/>
          <w:szCs w:val="28"/>
        </w:rPr>
      </w:pPr>
      <w:r>
        <w:rPr>
          <w:rFonts w:hint="eastAsia" w:ascii="黑体" w:eastAsia="黑体"/>
          <w:bCs/>
          <w:color w:val="000000"/>
          <w:sz w:val="28"/>
          <w:szCs w:val="28"/>
        </w:rPr>
        <w:t xml:space="preserve">分项报价表</w:t>
      </w:r>
      <w:r>
        <w:rPr>
          <w:b/>
          <w:color w:val="000000"/>
          <w:sz w:val="28"/>
          <w:szCs w:val="28"/>
        </w:rPr>
      </w:r>
      <w:r/>
    </w:p>
    <w:p>
      <w:pPr>
        <w:pStyle w:val="883"/>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JSZC-320200-JZCG-G2025-0047</w:t>
      </w:r>
      <w:r>
        <w:rPr>
          <w:rFonts w:ascii="黑体" w:eastAsia="黑体"/>
          <w:bCs/>
          <w:color w:val="000000"/>
          <w:sz w:val="24"/>
          <w:szCs w:val="24"/>
        </w:rPr>
      </w:r>
      <w:r/>
    </w:p>
    <w:tbl>
      <w:tblPr>
        <w:tblW w:w="99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65"/>
        </w:trPr>
        <w:tc>
          <w:tcPr>
            <w:gridSpan w:val="9"/>
            <w:tcMar>
              <w:left w:w="15" w:type="dxa"/>
              <w:top w:w="15" w:type="dxa"/>
              <w:right w:w="15" w:type="dxa"/>
              <w:bottom w:w="0" w:type="dxa"/>
            </w:tcMar>
            <w:tcW w:w="9975" w:type="dxa"/>
            <w:vAlign w:val="center"/>
            <w:textDirection w:val="lrTb"/>
            <w:noWrap/>
          </w:tcPr>
          <w:p>
            <w:pPr>
              <w:pStyle w:val="883"/>
              <w:spacing w:before="5"/>
              <w:rPr>
                <w:color w:val="000000"/>
                <w:sz w:val="18"/>
              </w:rPr>
            </w:pPr>
            <w:r>
              <w:rPr>
                <w:rFonts w:hint="eastAsia"/>
                <w:b/>
                <w:bCs/>
                <w:color w:val="000000"/>
                <w:sz w:val="24"/>
                <w:szCs w:val="24"/>
              </w:rPr>
              <w:t xml:space="preserve">货物部分</w:t>
            </w:r>
            <w:r>
              <w:rPr>
                <w:color w:val="000000"/>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883"/>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1050" w:type="dxa"/>
            <w:vAlign w:val="center"/>
            <w:textDirection w:val="lrTb"/>
            <w:noWrap/>
          </w:tcPr>
          <w:p>
            <w:pPr>
              <w:pStyle w:val="883"/>
              <w:jc w:val="center"/>
              <w:spacing w:before="5"/>
              <w:rPr>
                <w:color w:val="000000"/>
                <w:sz w:val="18"/>
              </w:rPr>
            </w:pPr>
            <w:r>
              <w:rPr>
                <w:rFonts w:hint="eastAsia"/>
                <w:color w:val="000000"/>
                <w:sz w:val="18"/>
              </w:rPr>
              <w:t xml:space="preserve">名称</w:t>
            </w:r>
            <w:r>
              <w:rPr>
                <w:color w:val="000000"/>
                <w:sz w:val="18"/>
              </w:rPr>
            </w:r>
            <w:r/>
          </w:p>
        </w:tc>
        <w:tc>
          <w:tcPr>
            <w:tcMar>
              <w:left w:w="15" w:type="dxa"/>
              <w:top w:w="15" w:type="dxa"/>
              <w:right w:w="15" w:type="dxa"/>
              <w:bottom w:w="0" w:type="dxa"/>
            </w:tcMar>
            <w:tcW w:w="945" w:type="dxa"/>
            <w:vAlign w:val="center"/>
            <w:textDirection w:val="lrTb"/>
            <w:noWrap/>
          </w:tcPr>
          <w:p>
            <w:pPr>
              <w:pStyle w:val="883"/>
              <w:jc w:val="center"/>
              <w:spacing w:before="5"/>
              <w:rPr>
                <w:color w:val="000000"/>
                <w:sz w:val="18"/>
              </w:rPr>
            </w:pPr>
            <w:r>
              <w:rPr>
                <w:rFonts w:hint="eastAsia"/>
                <w:color w:val="000000"/>
                <w:sz w:val="18"/>
              </w:rPr>
              <w:t xml:space="preserve">品牌型号</w:t>
            </w:r>
            <w:r>
              <w:rPr>
                <w:color w:val="000000"/>
                <w:sz w:val="18"/>
              </w:rPr>
            </w:r>
            <w:r/>
          </w:p>
        </w:tc>
        <w:tc>
          <w:tcPr>
            <w:tcMar>
              <w:left w:w="15" w:type="dxa"/>
              <w:top w:w="15" w:type="dxa"/>
              <w:right w:w="15" w:type="dxa"/>
              <w:bottom w:w="0" w:type="dxa"/>
            </w:tcMar>
            <w:tcW w:w="3045" w:type="dxa"/>
            <w:vAlign w:val="center"/>
            <w:textDirection w:val="lrTb"/>
            <w:noWrap/>
          </w:tcPr>
          <w:p>
            <w:pPr>
              <w:pStyle w:val="883"/>
              <w:jc w:val="center"/>
              <w:spacing w:before="5"/>
              <w:rPr>
                <w:color w:val="000000"/>
                <w:sz w:val="18"/>
              </w:rPr>
            </w:pPr>
            <w:r>
              <w:rPr>
                <w:rFonts w:hint="eastAsia"/>
                <w:color w:val="000000"/>
                <w:sz w:val="18"/>
              </w:rPr>
              <w:t xml:space="preserve">性能指标</w:t>
            </w:r>
            <w:r>
              <w:rPr>
                <w:color w:val="000000"/>
                <w:sz w:val="18"/>
              </w:rPr>
            </w:r>
            <w:r/>
          </w:p>
        </w:tc>
        <w:tc>
          <w:tcPr>
            <w:tcMar>
              <w:left w:w="15" w:type="dxa"/>
              <w:top w:w="15" w:type="dxa"/>
              <w:right w:w="15" w:type="dxa"/>
              <w:bottom w:w="0" w:type="dxa"/>
            </w:tcMar>
            <w:tcW w:w="599" w:type="dxa"/>
            <w:vAlign w:val="center"/>
            <w:textDirection w:val="lrTb"/>
            <w:noWrap w:val="false"/>
          </w:tcPr>
          <w:p>
            <w:pPr>
              <w:pStyle w:val="883"/>
              <w:jc w:val="center"/>
              <w:spacing w:before="5"/>
              <w:rPr>
                <w:color w:val="000000"/>
                <w:sz w:val="18"/>
              </w:rPr>
            </w:pPr>
            <w:r>
              <w:rPr>
                <w:rFonts w:hint="eastAsia"/>
                <w:color w:val="000000"/>
                <w:sz w:val="18"/>
              </w:rPr>
              <w:t xml:space="preserve">数量</w:t>
            </w:r>
            <w:r>
              <w:rPr>
                <w:color w:val="000000"/>
                <w:sz w:val="18"/>
              </w:rPr>
            </w:r>
            <w:r/>
          </w:p>
        </w:tc>
        <w:tc>
          <w:tcPr>
            <w:tcW w:w="1276" w:type="dxa"/>
            <w:vAlign w:val="center"/>
            <w:textDirection w:val="lrTb"/>
            <w:noWrap w:val="false"/>
          </w:tcPr>
          <w:p>
            <w:pPr>
              <w:pStyle w:val="883"/>
              <w:jc w:val="center"/>
              <w:spacing w:before="5"/>
              <w:rPr>
                <w:color w:val="000000"/>
                <w:sz w:val="18"/>
              </w:rPr>
            </w:pPr>
            <w:r>
              <w:rPr>
                <w:rFonts w:hint="eastAsia"/>
                <w:color w:val="000000"/>
                <w:sz w:val="18"/>
              </w:rPr>
              <w:t xml:space="preserve">产地</w:t>
            </w:r>
            <w:r>
              <w:rPr>
                <w:color w:val="000000"/>
                <w:sz w:val="18"/>
              </w:rPr>
            </w:r>
            <w:r/>
          </w:p>
        </w:tc>
        <w:tc>
          <w:tcPr>
            <w:tcMar>
              <w:left w:w="15" w:type="dxa"/>
              <w:top w:w="15" w:type="dxa"/>
              <w:right w:w="15" w:type="dxa"/>
              <w:bottom w:w="0" w:type="dxa"/>
            </w:tcMar>
            <w:tcW w:w="992" w:type="dxa"/>
            <w:vAlign w:val="center"/>
            <w:textDirection w:val="lrTb"/>
            <w:noWrap/>
          </w:tcPr>
          <w:p>
            <w:pPr>
              <w:pStyle w:val="883"/>
              <w:jc w:val="center"/>
              <w:spacing w:before="5"/>
              <w:rPr>
                <w:color w:val="000000"/>
                <w:sz w:val="18"/>
              </w:rPr>
            </w:pPr>
            <w:r>
              <w:rPr>
                <w:rFonts w:hint="eastAsia"/>
                <w:color w:val="000000"/>
                <w:sz w:val="18"/>
              </w:rPr>
              <w:t xml:space="preserve">质保期</w:t>
            </w:r>
            <w:r>
              <w:rPr>
                <w:color w:val="000000"/>
                <w:sz w:val="18"/>
              </w:rPr>
            </w:r>
            <w:r/>
          </w:p>
        </w:tc>
        <w:tc>
          <w:tcPr>
            <w:tcW w:w="709" w:type="dxa"/>
            <w:vAlign w:val="center"/>
            <w:textDirection w:val="lrTb"/>
            <w:noWrap w:val="false"/>
          </w:tcPr>
          <w:p>
            <w:pPr>
              <w:pStyle w:val="883"/>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883"/>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33"/>
              <w:spacing w:before="5"/>
              <w:tabs>
                <w:tab w:val="clear" w:pos="4153" w:leader="none"/>
                <w:tab w:val="clear" w:pos="8306" w:leader="none"/>
              </w:tabs>
              <w:rPr>
                <w:rFonts w:ascii="宋体"/>
                <w:color w:val="000000"/>
              </w:rPr>
              <w:pBdr>
                <w:bottom w:val="none" w:color="000000" w:sz="0" w:space="0"/>
              </w:pBdr>
            </w:pPr>
            <w:r>
              <w:rPr>
                <w:rFonts w:hint="eastAsia" w:ascii="宋体"/>
                <w:color w:val="000000"/>
              </w:rPr>
              <w:t xml:space="preserve">1</w:t>
            </w:r>
            <w:r>
              <w:rPr>
                <w:rFonts w:ascii="宋体"/>
                <w:color w:val="000000"/>
              </w:rPr>
            </w:r>
            <w:r/>
          </w:p>
        </w:tc>
        <w:tc>
          <w:tcPr>
            <w:tcMar>
              <w:left w:w="15" w:type="dxa"/>
              <w:top w:w="15" w:type="dxa"/>
              <w:right w:w="15" w:type="dxa"/>
              <w:bottom w:w="0" w:type="dxa"/>
            </w:tcMar>
            <w:tcW w:w="1050" w:type="dxa"/>
            <w:vAlign w:val="center"/>
            <w:textDirection w:val="lrTb"/>
            <w:noWrap/>
          </w:tcPr>
          <w:p>
            <w:pPr>
              <w:pStyle w:val="933"/>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tcMar>
              <w:left w:w="15" w:type="dxa"/>
              <w:top w:w="15" w:type="dxa"/>
              <w:right w:w="15" w:type="dxa"/>
              <w:bottom w:w="0" w:type="dxa"/>
            </w:tcMar>
            <w:tcW w:w="945" w:type="dxa"/>
            <w:vAlign w:val="center"/>
            <w:textDirection w:val="lrTb"/>
            <w:noWrap w:val="false"/>
          </w:tcPr>
          <w:p>
            <w:pPr>
              <w:pStyle w:val="933"/>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tcMar>
              <w:left w:w="15" w:type="dxa"/>
              <w:top w:w="15" w:type="dxa"/>
              <w:right w:w="15" w:type="dxa"/>
              <w:bottom w:w="0" w:type="dxa"/>
            </w:tcMar>
            <w:tcW w:w="3045" w:type="dxa"/>
            <w:vAlign w:val="top"/>
            <w:textDirection w:val="lrTb"/>
            <w:noWrap w:val="false"/>
          </w:tcPr>
          <w:p>
            <w:pPr>
              <w:pStyle w:val="883"/>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883"/>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33"/>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tcMar>
              <w:left w:w="15" w:type="dxa"/>
              <w:top w:w="15" w:type="dxa"/>
              <w:right w:w="15" w:type="dxa"/>
              <w:bottom w:w="0" w:type="dxa"/>
            </w:tcMar>
            <w:tcW w:w="3045" w:type="dxa"/>
            <w:vAlign w:val="center"/>
            <w:textDirection w:val="lrTb"/>
            <w:noWrap w:val="false"/>
          </w:tcPr>
          <w:p>
            <w:pPr>
              <w:pStyle w:val="883"/>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34"/>
        </w:trPr>
        <w:tc>
          <w:tcPr>
            <w:tcMar>
              <w:left w:w="15" w:type="dxa"/>
              <w:top w:w="15" w:type="dxa"/>
              <w:right w:w="15" w:type="dxa"/>
              <w:bottom w:w="0" w:type="dxa"/>
            </w:tcMar>
            <w:tcW w:w="420" w:type="dxa"/>
            <w:vAlign w:val="center"/>
            <w:textDirection w:val="lrTb"/>
            <w:noWrap/>
          </w:tcPr>
          <w:p>
            <w:pPr>
              <w:pStyle w:val="883"/>
              <w:jc w:val="center"/>
              <w:rPr>
                <w:rFonts w:hint="eastAsia" w:ascii="宋体"/>
                <w:color w:val="000000"/>
                <w:sz w:val="18"/>
              </w:rPr>
            </w:pPr>
            <w:r>
              <w:rPr>
                <w:rFonts w:hint="eastAsia" w:ascii="宋体"/>
                <w:color w:val="000000"/>
                <w:sz w:val="18"/>
              </w:rPr>
            </w:r>
            <w:r/>
          </w:p>
        </w:tc>
        <w:tc>
          <w:tcPr>
            <w:tcMar>
              <w:left w:w="15" w:type="dxa"/>
              <w:top w:w="15" w:type="dxa"/>
              <w:right w:w="15" w:type="dxa"/>
              <w:bottom w:w="0" w:type="dxa"/>
            </w:tcMar>
            <w:tcW w:w="1050" w:type="dxa"/>
            <w:vAlign w:val="center"/>
            <w:textDirection w:val="lrTb"/>
            <w:noWrap/>
          </w:tcPr>
          <w:p>
            <w:pPr>
              <w:pStyle w:val="883"/>
              <w:jc w:val="center"/>
              <w:rPr>
                <w:rFonts w:ascii="宋体"/>
                <w:color w:val="000000"/>
              </w:rPr>
            </w:pPr>
            <w:r>
              <w:rPr>
                <w:rFonts w:hint="eastAsia"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33"/>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tcMar>
              <w:left w:w="15" w:type="dxa"/>
              <w:top w:w="15" w:type="dxa"/>
              <w:right w:w="15" w:type="dxa"/>
              <w:bottom w:w="0" w:type="dxa"/>
            </w:tcMar>
            <w:tcW w:w="3045" w:type="dxa"/>
            <w:vAlign w:val="center"/>
            <w:textDirection w:val="lrTb"/>
            <w:noWrap w:val="false"/>
          </w:tcPr>
          <w:p>
            <w:pPr>
              <w:pStyle w:val="883"/>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3"/>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3"/>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200"/>
        </w:trPr>
        <w:tc>
          <w:tcPr>
            <w:gridSpan w:val="9"/>
            <w:shd w:val="clear" w:color="auto" w:fill="bebebe"/>
            <w:tcMar>
              <w:left w:w="15" w:type="dxa"/>
              <w:top w:w="15" w:type="dxa"/>
              <w:right w:w="15" w:type="dxa"/>
              <w:bottom w:w="0" w:type="dxa"/>
            </w:tcMar>
            <w:tcW w:w="9975" w:type="dxa"/>
            <w:vAlign w:val="center"/>
            <w:textDirection w:val="lrTb"/>
            <w:noWrap/>
          </w:tcPr>
          <w:p>
            <w:pPr>
              <w:pStyle w:val="883"/>
              <w:spacing w:before="5"/>
              <w:rPr>
                <w:rFonts w:hint="eastAsia"/>
                <w:b/>
                <w:bCs/>
                <w:color w:val="000000"/>
                <w:sz w:val="24"/>
                <w:szCs w:val="24"/>
              </w:rPr>
            </w:pPr>
            <w:r>
              <w:rPr>
                <w:rFonts w:hint="eastAsia"/>
                <w:b/>
                <w:bCs/>
                <w:color w:val="000000"/>
                <w:sz w:val="24"/>
                <w:szCs w:val="24"/>
              </w:rPr>
            </w:r>
            <w:r/>
          </w:p>
        </w:tc>
      </w:tr>
      <w:tr>
        <w:trPr>
          <w:cantSplit/>
          <w:trHeight w:val="495"/>
        </w:trPr>
        <w:tc>
          <w:tcPr>
            <w:gridSpan w:val="9"/>
            <w:tcMar>
              <w:left w:w="15" w:type="dxa"/>
              <w:top w:w="15" w:type="dxa"/>
              <w:right w:w="15" w:type="dxa"/>
              <w:bottom w:w="0" w:type="dxa"/>
            </w:tcMar>
            <w:tcW w:w="9975" w:type="dxa"/>
            <w:vAlign w:val="center"/>
            <w:textDirection w:val="lrTb"/>
            <w:noWrap/>
          </w:tcPr>
          <w:p>
            <w:pPr>
              <w:pStyle w:val="883"/>
              <w:spacing w:before="5"/>
              <w:rPr>
                <w:rFonts w:hint="eastAsia"/>
                <w:color w:val="000000"/>
                <w:sz w:val="18"/>
              </w:rPr>
            </w:pPr>
            <w:r>
              <w:rPr>
                <w:rFonts w:hint="eastAsia"/>
                <w:b/>
                <w:bCs/>
                <w:color w:val="000000"/>
                <w:sz w:val="24"/>
                <w:szCs w:val="24"/>
              </w:rPr>
              <w:t xml:space="preserve">服务部分</w:t>
            </w:r>
            <w:r>
              <w:rPr>
                <w:rFonts w:hint="eastAsia"/>
                <w:color w:val="000000"/>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883"/>
              <w:jc w:val="center"/>
              <w:spacing w:before="5"/>
              <w:rPr>
                <w:color w:val="000000"/>
                <w:sz w:val="18"/>
              </w:rPr>
            </w:pPr>
            <w:r>
              <w:rPr>
                <w:rFonts w:hint="eastAsia"/>
                <w:color w:val="000000"/>
                <w:sz w:val="18"/>
              </w:rPr>
              <w:t xml:space="preserve">序号</w:t>
            </w:r>
            <w:r>
              <w:rPr>
                <w:color w:val="000000"/>
                <w:sz w:val="18"/>
              </w:rPr>
            </w:r>
            <w:r/>
          </w:p>
        </w:tc>
        <w:tc>
          <w:tcPr>
            <w:gridSpan w:val="4"/>
            <w:tcMar>
              <w:left w:w="15" w:type="dxa"/>
              <w:top w:w="15" w:type="dxa"/>
              <w:right w:w="15" w:type="dxa"/>
              <w:bottom w:w="0" w:type="dxa"/>
            </w:tcMar>
            <w:tcW w:w="5639" w:type="dxa"/>
            <w:vAlign w:val="center"/>
            <w:textDirection w:val="lrTb"/>
            <w:noWrap/>
          </w:tcPr>
          <w:p>
            <w:pPr>
              <w:pStyle w:val="883"/>
              <w:jc w:val="center"/>
              <w:spacing w:before="5"/>
              <w:rPr>
                <w:rFonts w:hint="eastAsia"/>
                <w:color w:val="000000"/>
                <w:sz w:val="18"/>
              </w:rPr>
            </w:pPr>
            <w:r>
              <w:rPr>
                <w:rFonts w:hint="eastAsia"/>
                <w:color w:val="000000"/>
                <w:sz w:val="18"/>
              </w:rPr>
              <w:t xml:space="preserve">服务内容</w:t>
            </w:r>
            <w:r/>
          </w:p>
        </w:tc>
        <w:tc>
          <w:tcPr>
            <w:tcW w:w="1276" w:type="dxa"/>
            <w:vAlign w:val="center"/>
            <w:textDirection w:val="lrTb"/>
            <w:noWrap w:val="false"/>
          </w:tcPr>
          <w:p>
            <w:pPr>
              <w:pStyle w:val="883"/>
              <w:jc w:val="center"/>
              <w:spacing w:before="5"/>
              <w:rPr>
                <w:rFonts w:hint="eastAsia"/>
                <w:color w:val="000000"/>
                <w:sz w:val="18"/>
              </w:rPr>
            </w:pPr>
            <w:r>
              <w:rPr>
                <w:rFonts w:hint="eastAsia"/>
                <w:color w:val="000000"/>
                <w:sz w:val="18"/>
              </w:rPr>
              <w:t xml:space="preserve">数量</w:t>
            </w:r>
            <w:r/>
          </w:p>
        </w:tc>
        <w:tc>
          <w:tcPr>
            <w:tcMar>
              <w:left w:w="15" w:type="dxa"/>
              <w:top w:w="15" w:type="dxa"/>
              <w:right w:w="15" w:type="dxa"/>
              <w:bottom w:w="0" w:type="dxa"/>
            </w:tcMar>
            <w:tcW w:w="992" w:type="dxa"/>
            <w:vAlign w:val="center"/>
            <w:textDirection w:val="lrTb"/>
            <w:noWrap/>
          </w:tcPr>
          <w:p>
            <w:pPr>
              <w:pStyle w:val="883"/>
              <w:jc w:val="center"/>
              <w:spacing w:before="5"/>
              <w:rPr>
                <w:rFonts w:hint="eastAsia"/>
                <w:color w:val="000000"/>
                <w:sz w:val="18"/>
              </w:rPr>
            </w:pPr>
            <w:r>
              <w:rPr>
                <w:rFonts w:hint="eastAsia"/>
                <w:color w:val="000000"/>
                <w:sz w:val="18"/>
              </w:rPr>
              <w:t xml:space="preserve">单位</w:t>
            </w:r>
            <w:r/>
          </w:p>
        </w:tc>
        <w:tc>
          <w:tcPr>
            <w:tcW w:w="709" w:type="dxa"/>
            <w:vAlign w:val="center"/>
            <w:textDirection w:val="lrTb"/>
            <w:noWrap w:val="false"/>
          </w:tcPr>
          <w:p>
            <w:pPr>
              <w:pStyle w:val="883"/>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883"/>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33"/>
              <w:spacing w:before="5"/>
              <w:tabs>
                <w:tab w:val="clear" w:pos="4153" w:leader="none"/>
                <w:tab w:val="clear" w:pos="8306" w:leader="none"/>
              </w:tabs>
              <w:rPr>
                <w:rFonts w:ascii="宋体"/>
                <w:color w:val="000000"/>
              </w:rPr>
              <w:pBdr>
                <w:bottom w:val="none" w:color="000000" w:sz="0" w:space="0"/>
              </w:pBdr>
            </w:pPr>
            <w:r>
              <w:rPr>
                <w:rFonts w:hint="eastAsia" w:ascii="宋体"/>
                <w:color w:val="000000"/>
              </w:rPr>
              <w:t xml:space="preserve">1</w:t>
            </w:r>
            <w:r>
              <w:rPr>
                <w:rFonts w:ascii="宋体"/>
                <w:color w:val="000000"/>
              </w:rPr>
            </w:r>
            <w:r/>
          </w:p>
        </w:tc>
        <w:tc>
          <w:tcPr>
            <w:gridSpan w:val="4"/>
            <w:tcMar>
              <w:left w:w="15" w:type="dxa"/>
              <w:top w:w="15" w:type="dxa"/>
              <w:right w:w="15" w:type="dxa"/>
              <w:bottom w:w="0" w:type="dxa"/>
            </w:tcMar>
            <w:tcW w:w="5639"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hint="eastAsia" w:ascii="宋体"/>
                <w:color w:val="000000"/>
                <w:sz w:val="18"/>
              </w:rPr>
              <w:t xml:space="preserve">2</w:t>
            </w: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775"/>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883"/>
              <w:jc w:val="center"/>
              <w:rPr>
                <w:rFonts w:hint="eastAsia" w:ascii="黑体" w:eastAsia="黑体"/>
                <w:b/>
                <w:bCs/>
                <w:color w:val="000000"/>
              </w:rPr>
            </w:pPr>
            <w:r>
              <w:rPr>
                <w:rFonts w:ascii="宋体"/>
                <w:color w:val="000000"/>
              </w:rPr>
              <w:t xml:space="preserve">……</w:t>
            </w:r>
            <w:r>
              <w:rPr>
                <w:rFonts w:hint="eastAsia" w:ascii="黑体" w:eastAsia="黑体"/>
                <w:b/>
                <w:bCs/>
                <w:color w:val="000000"/>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3"/>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883"/>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883"/>
        <w:spacing w:line="400" w:lineRule="exact"/>
        <w:rPr>
          <w:rFonts w:hint="eastAsia" w:ascii="宋体" w:hAnsi="宋体"/>
          <w:b/>
          <w:color w:val="000000"/>
        </w:rPr>
        <w:outlineLvl w:val="0"/>
      </w:pPr>
      <w:r>
        <w:rPr>
          <w:rFonts w:hint="eastAsia" w:ascii="宋体" w:hAnsi="宋体"/>
          <w:b/>
          <w:color w:val="000000"/>
        </w:rPr>
      </w:r>
      <w:r/>
    </w:p>
    <w:p>
      <w:pPr>
        <w:pStyle w:val="883"/>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rPr>
      </w:r>
      <w:r/>
    </w:p>
    <w:p>
      <w:pPr>
        <w:pStyle w:val="883"/>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）投标人应当根据“采购需求”的内容在上表中详细填写；</w:t>
      </w:r>
      <w:r>
        <w:rPr>
          <w:rFonts w:ascii="宋体"/>
          <w:bCs/>
          <w:color w:val="000000"/>
        </w:rPr>
      </w:r>
      <w:r/>
    </w:p>
    <w:p>
      <w:pPr>
        <w:pStyle w:val="883"/>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ascii="宋体" w:hAnsi="宋体"/>
          <w:bCs/>
          <w:color w:val="000000"/>
        </w:rPr>
      </w:r>
      <w:r/>
    </w:p>
    <w:p>
      <w:pPr>
        <w:pStyle w:val="883"/>
        <w:spacing w:line="400" w:lineRule="exact"/>
        <w:rPr>
          <w:rFonts w:ascii="宋体" w:hAnsi="宋体" w:cs="宋体"/>
          <w:color w:val="000000"/>
          <w:lang w:val="zh-CN"/>
        </w:rPr>
        <w:outlineLvl w:val="0"/>
      </w:pPr>
      <w:r>
        <w:rPr>
          <w:rFonts w:ascii="宋体" w:hAnsi="宋体" w:cs="宋体"/>
          <w:color w:val="000000"/>
          <w:lang w:val="zh-CN"/>
        </w:rPr>
        <w:t xml:space="preserve"> </w:t>
      </w:r>
      <w:r/>
    </w:p>
    <w:p>
      <w:pPr>
        <w:pStyle w:val="883"/>
        <w:spacing w:line="360" w:lineRule="auto"/>
        <w:rPr>
          <w:rFonts w:hint="eastAsia"/>
          <w:b/>
          <w:color w:val="000000"/>
          <w:sz w:val="28"/>
          <w:szCs w:val="28"/>
        </w:rPr>
      </w:pPr>
      <w:r>
        <w:rPr>
          <w:rFonts w:hint="eastAsia" w:ascii="宋体" w:hAnsi="宋体"/>
          <w:bCs/>
          <w:color w:val="000000"/>
        </w:rPr>
        <w:br w:type="page" w:clear="all"/>
      </w:r>
      <w:r>
        <w:rPr>
          <w:rFonts w:hint="eastAsia"/>
          <w:b/>
          <w:color w:val="000000"/>
          <w:sz w:val="28"/>
          <w:szCs w:val="28"/>
        </w:rPr>
        <w:t xml:space="preserve">十</w:t>
      </w:r>
      <w:r>
        <w:rPr>
          <w:b/>
          <w:color w:val="000000"/>
          <w:sz w:val="28"/>
          <w:szCs w:val="28"/>
        </w:rPr>
        <w:t xml:space="preserve">、</w:t>
      </w:r>
      <w:r>
        <w:rPr>
          <w:rFonts w:hint="eastAsia"/>
          <w:b/>
          <w:color w:val="000000"/>
          <w:sz w:val="28"/>
          <w:szCs w:val="28"/>
        </w:rPr>
        <w:t xml:space="preserve">投标偏离表（给定格式）：</w:t>
      </w:r>
      <w:r/>
    </w:p>
    <w:p>
      <w:pPr>
        <w:pStyle w:val="883"/>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3"/>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JSZC-320200-JZCG-G2025-0047</w:t>
      </w:r>
      <w:r>
        <w:rPr>
          <w:rFonts w:ascii="黑体" w:eastAsia="黑体"/>
          <w:bCs/>
          <w:color w:val="000000"/>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Cs/>
                <w:color w:val="000000"/>
              </w:rPr>
            </w:pPr>
            <w:r>
              <w:rPr>
                <w:rFonts w:ascii="宋体"/>
                <w:bCs/>
                <w:color w:val="000000"/>
              </w:rPr>
            </w:r>
            <w:r/>
          </w:p>
        </w:tc>
      </w:tr>
    </w:tbl>
    <w:p>
      <w:pPr>
        <w:pStyle w:val="883"/>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3"/>
        <w:rPr>
          <w:rFonts w:ascii="宋体"/>
          <w:bCs/>
          <w:color w:val="000000"/>
          <w:sz w:val="30"/>
        </w:rPr>
      </w:pPr>
      <w:r>
        <w:rPr>
          <w:rFonts w:ascii="宋体"/>
          <w:bCs/>
          <w:color w:val="000000"/>
          <w:sz w:val="30"/>
        </w:rPr>
      </w:r>
      <w:r/>
    </w:p>
    <w:p>
      <w:pPr>
        <w:pStyle w:val="883"/>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83"/>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883"/>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0"/>
      <w:r/>
      <w:bookmarkStart w:id="201" w:name="_Hlt26609389"/>
      <w:r/>
      <w:bookmarkEnd w:id="201"/>
      <w:r/>
      <w:bookmarkStart w:id="202" w:name="_Hlt26955066"/>
      <w:r/>
      <w:bookmarkEnd w:id="202"/>
      <w:r/>
      <w:bookmarkStart w:id="203" w:name="_格式2__法定代表人授权书"/>
      <w:r/>
      <w:bookmarkEnd w:id="203"/>
      <w:r/>
      <w:bookmarkStart w:id="204" w:name="_Hlt26671374"/>
      <w:r/>
      <w:bookmarkEnd w:id="204"/>
      <w:r>
        <w:rPr>
          <w:rFonts w:hint="eastAsia" w:ascii="宋体" w:hAnsi="宋体"/>
          <w:bCs/>
          <w:color w:val="000000"/>
          <w:sz w:val="24"/>
          <w:szCs w:val="24"/>
        </w:rPr>
      </w:r>
      <w:r/>
    </w:p>
    <w:p>
      <w:pPr>
        <w:pStyle w:val="883"/>
        <w:ind w:firstLine="420"/>
        <w:rPr>
          <w:rFonts w:ascii="宋体" w:hAnsi="宋体"/>
          <w:bCs/>
          <w:color w:val="000000"/>
          <w:sz w:val="24"/>
          <w:szCs w:val="24"/>
        </w:rPr>
        <w:outlineLvl w:val="0"/>
      </w:pPr>
      <w:r>
        <w:rPr>
          <w:rFonts w:ascii="宋体" w:hAnsi="宋体"/>
          <w:bCs/>
          <w:color w:val="000000"/>
          <w:sz w:val="24"/>
          <w:szCs w:val="24"/>
        </w:rPr>
      </w:r>
      <w:r/>
    </w:p>
    <w:p>
      <w:pPr>
        <w:pStyle w:val="883"/>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rPr>
          <w:b/>
          <w:color w:val="000000"/>
          <w:sz w:val="28"/>
          <w:szCs w:val="28"/>
        </w:rPr>
      </w:r>
      <w:r/>
    </w:p>
    <w:p>
      <w:pPr>
        <w:pStyle w:val="883"/>
        <w:spacing w:line="400" w:lineRule="exact"/>
        <w:rPr>
          <w:rFonts w:ascii="黑体" w:eastAsia="黑体"/>
          <w:bCs/>
          <w:color w:val="000000"/>
          <w:sz w:val="28"/>
          <w:szCs w:val="28"/>
        </w:rPr>
      </w:pPr>
      <w:r>
        <w:rPr>
          <w:rFonts w:ascii="黑体" w:eastAsia="黑体"/>
          <w:bCs/>
          <w:color w:val="000000"/>
          <w:sz w:val="28"/>
          <w:szCs w:val="28"/>
        </w:rPr>
      </w:r>
      <w:r/>
    </w:p>
    <w:p>
      <w:pPr>
        <w:pStyle w:val="883"/>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pStyle w:val="883"/>
        <w:jc w:val="center"/>
        <w:spacing w:line="400" w:lineRule="exact"/>
        <w:rPr>
          <w:rFonts w:ascii="黑体" w:eastAsia="黑体"/>
          <w:bCs/>
          <w:color w:val="000000"/>
          <w:sz w:val="28"/>
          <w:szCs w:val="28"/>
        </w:rPr>
      </w:pPr>
      <w:r>
        <w:rPr>
          <w:rFonts w:ascii="黑体" w:eastAsia="黑体"/>
          <w:bCs/>
          <w:color w:val="000000"/>
          <w:sz w:val="28"/>
          <w:szCs w:val="28"/>
        </w:rPr>
      </w:r>
      <w:r/>
    </w:p>
    <w:p>
      <w:pPr>
        <w:pStyle w:val="883"/>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JSZC-320200-JZCG-G2025-0047</w:t>
      </w:r>
      <w:r>
        <w:rPr>
          <w:rFonts w:ascii="黑体" w:eastAsia="黑体"/>
          <w:bCs/>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83"/>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883"/>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883"/>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883"/>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883"/>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bl>
    <w:p>
      <w:pPr>
        <w:pStyle w:val="883"/>
        <w:rPr>
          <w:b/>
          <w:bCs/>
          <w:color w:val="000000"/>
          <w:sz w:val="24"/>
          <w:szCs w:val="24"/>
        </w:rPr>
      </w:pPr>
      <w:r>
        <w:rPr>
          <w:rFonts w:hint="eastAsia" w:ascii="黑体" w:eastAsia="黑体"/>
          <w:bCs/>
          <w:color w:val="000000"/>
          <w:sz w:val="24"/>
          <w:szCs w:val="24"/>
        </w:rPr>
        <w:t xml:space="preserve">投标人名称（盖章）</w:t>
      </w:r>
      <w:r>
        <w:rPr>
          <w:b/>
          <w:bCs/>
          <w:color w:val="000000"/>
          <w:sz w:val="24"/>
          <w:szCs w:val="24"/>
        </w:rPr>
      </w:r>
      <w:r/>
    </w:p>
    <w:p>
      <w:pPr>
        <w:pStyle w:val="883"/>
        <w:rPr>
          <w:rFonts w:hint="eastAsia" w:ascii="宋体" w:hAnsi="宋体"/>
          <w:bCs/>
          <w:color w:val="000000"/>
        </w:rPr>
      </w:pPr>
      <w:r>
        <w:rPr>
          <w:rFonts w:hint="eastAsia" w:ascii="宋体" w:hAnsi="宋体"/>
          <w:bCs/>
          <w:color w:val="000000"/>
        </w:rPr>
      </w:r>
      <w:r/>
    </w:p>
    <w:p>
      <w:pPr>
        <w:pStyle w:val="883"/>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883"/>
        <w:ind w:firstLine="420"/>
        <w:rPr>
          <w:color w:val="000000"/>
        </w:rPr>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rPr>
      </w:r>
      <w:r/>
    </w:p>
    <w:p>
      <w:pPr>
        <w:pStyle w:val="883"/>
        <w:rPr>
          <w:rFonts w:hint="eastAsia" w:ascii="宋体" w:hAnsi="宋体"/>
          <w:bCs/>
          <w:color w:val="000000"/>
        </w:rPr>
        <w:outlineLvl w:val="0"/>
      </w:pPr>
      <w:r>
        <w:rPr>
          <w:rFonts w:hint="eastAsia" w:ascii="宋体" w:hAnsi="宋体"/>
          <w:bCs/>
          <w:color w:val="000000"/>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56"/>
        <w:rFonts w:ascii="宋体" w:hAnsi="宋体"/>
      </w:rPr>
      <w:framePr w:wrap="around" w:vAnchor="text" w:hAnchor="margin" w:xAlign="center" w:y="1"/>
    </w:pPr>
    <w:r>
      <w:rPr>
        <w:rFonts w:ascii="宋体" w:hAnsi="宋体"/>
      </w:rPr>
      <w:fldChar w:fldCharType="begin"/>
    </w:r>
    <w:r>
      <w:rPr>
        <w:rStyle w:val="956"/>
        <w:rFonts w:ascii="宋体" w:hAnsi="宋体"/>
      </w:rPr>
      <w:instrText xml:space="preserve">PAGE  </w:instrText>
    </w:r>
    <w:r>
      <w:rPr>
        <w:rFonts w:ascii="宋体" w:hAnsi="宋体"/>
      </w:rPr>
      <w:fldChar w:fldCharType="separate"/>
    </w:r>
    <w:r>
      <w:rPr>
        <w:rStyle w:val="956"/>
        <w:rFonts w:ascii="宋体" w:hAnsi="宋体"/>
      </w:rPr>
      <w:t xml:space="preserve">５</w:t>
    </w:r>
    <w:r>
      <w:rPr>
        <w:rFonts w:ascii="宋体" w:hAnsi="宋体"/>
      </w:rPr>
      <w:fldChar w:fldCharType="end"/>
    </w:r>
    <w:r>
      <w:rPr>
        <w:rStyle w:val="956"/>
        <w:rFonts w:ascii="宋体" w:hAnsi="宋体"/>
      </w:rPr>
    </w:r>
    <w:r/>
  </w:p>
  <w:p>
    <w:pPr>
      <w:pStyle w:val="931"/>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56"/>
      </w:rPr>
      <w:framePr w:wrap="around" w:vAnchor="text" w:hAnchor="margin" w:xAlign="center" w:y="1"/>
    </w:pPr>
    <w:r>
      <w:fldChar w:fldCharType="begin"/>
    </w:r>
    <w:r>
      <w:rPr>
        <w:rStyle w:val="956"/>
      </w:rPr>
      <w:instrText xml:space="preserve">PAGE  </w:instrText>
    </w:r>
    <w:r>
      <w:fldChar w:fldCharType="separate"/>
    </w:r>
    <w:r>
      <w:rPr>
        <w:rStyle w:val="956"/>
      </w:rPr>
      <w:t xml:space="preserve">1</w:t>
    </w:r>
    <w:r>
      <w:fldChar w:fldCharType="end"/>
    </w:r>
    <w:r>
      <w:rPr>
        <w:rStyle w:val="956"/>
      </w:rPr>
    </w:r>
    <w:r/>
  </w:p>
  <w:p>
    <w:pPr>
      <w:pStyle w:val="9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3"/>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5">
    <w:multiLevelType w:val="hybridMultilevel"/>
    <w:lvl w:ilvl="0">
      <w:start w:val="1"/>
      <w:numFmt w:val="decimal"/>
      <w:pStyle w:val="980"/>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7">
    <w:multiLevelType w:val="hybridMultilevel"/>
    <w:lvl w:ilvl="0">
      <w:start w:val="1"/>
      <w:numFmt w:val="decimal"/>
      <w:isLgl w:val="false"/>
      <w:suff w:val="tab"/>
      <w:lvlText w:val="%1."/>
      <w:lvlJc w:val="left"/>
      <w:pPr>
        <w:pStyle w:val="883"/>
        <w:ind w:left="510" w:hanging="360"/>
        <w:tabs>
          <w:tab w:val="num" w:pos="510" w:leader="none"/>
        </w:tabs>
      </w:pPr>
      <w:rPr>
        <w:rFonts w:hint="eastAsia" w:cs="Times New Roman"/>
      </w:rPr>
    </w:lvl>
    <w:lvl w:ilvl="1">
      <w:start w:val="1"/>
      <w:numFmt w:val="decimal"/>
      <w:isLgl w:val="false"/>
      <w:suff w:val="tab"/>
      <w:lvlText w:val="%2．"/>
      <w:lvlJc w:val="left"/>
      <w:pPr>
        <w:pStyle w:val="883"/>
        <w:ind w:left="1290" w:hanging="720"/>
        <w:tabs>
          <w:tab w:val="num" w:pos="1290" w:leader="none"/>
        </w:tabs>
      </w:pPr>
      <w:rPr>
        <w:rFonts w:hint="eastAsia" w:cs="Times New Roman"/>
      </w:rPr>
    </w:lvl>
    <w:lvl w:ilvl="2">
      <w:start w:val="3"/>
      <w:numFmt w:val="decimal"/>
      <w:isLgl w:val="false"/>
      <w:suff w:val="tab"/>
      <w:lvlText w:val="（%3）"/>
      <w:lvlJc w:val="left"/>
      <w:pPr>
        <w:pStyle w:val="883"/>
        <w:ind w:left="1140" w:hanging="720"/>
        <w:tabs>
          <w:tab w:val="num" w:pos="1140" w:leader="none"/>
        </w:tabs>
      </w:pPr>
      <w:rPr>
        <w:rFonts w:hint="eastAsia" w:cs="Times New Roman"/>
      </w:rPr>
    </w:lvl>
    <w:lvl w:ilvl="3">
      <w:start w:val="1"/>
      <w:numFmt w:val="decimal"/>
      <w:isLgl w:val="false"/>
      <w:suff w:val="tab"/>
      <w:lvlText w:val="（%4）"/>
      <w:lvlJc w:val="left"/>
      <w:pPr>
        <w:pStyle w:val="88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3"/>
        <w:ind w:left="2250" w:hanging="420"/>
        <w:tabs>
          <w:tab w:val="num" w:pos="2250" w:leader="none"/>
        </w:tabs>
      </w:pPr>
      <w:rPr>
        <w:rFonts w:hint="eastAsia"/>
        <w:b/>
        <w:lang w:val="en-US"/>
      </w:rPr>
    </w:lvl>
    <w:lvl w:ilvl="5">
      <w:start w:val="10"/>
      <w:numFmt w:val="japaneseCounting"/>
      <w:isLgl w:val="false"/>
      <w:suff w:val="tab"/>
      <w:lvlText w:val="（%6）"/>
      <w:lvlJc w:val="left"/>
      <w:pPr>
        <w:pStyle w:val="883"/>
        <w:ind w:left="2970" w:hanging="720"/>
      </w:pPr>
      <w:rPr>
        <w:rFonts w:cs="Times New Roman"/>
      </w:rPr>
    </w:lvl>
    <w:lvl w:ilvl="6">
      <w:start w:val="1"/>
      <w:numFmt w:val="decimal"/>
      <w:isLgl w:val="false"/>
      <w:suff w:val="tab"/>
      <w:lvlText w:val="（%7）"/>
      <w:lvlJc w:val="left"/>
      <w:pPr>
        <w:pStyle w:val="88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3"/>
        <w:ind w:left="3510" w:hanging="420"/>
        <w:tabs>
          <w:tab w:val="num" w:pos="3510" w:leader="none"/>
        </w:tabs>
      </w:pPr>
      <w:rPr>
        <w:rFonts w:cs="Times New Roman"/>
      </w:rPr>
    </w:lvl>
    <w:lvl w:ilvl="8">
      <w:start w:val="1"/>
      <w:numFmt w:val="lowerRoman"/>
      <w:isLgl w:val="false"/>
      <w:suff w:val="tab"/>
      <w:lvlText w:val="%9."/>
      <w:lvlJc w:val="right"/>
      <w:pPr>
        <w:pStyle w:val="883"/>
        <w:ind w:left="3930" w:hanging="420"/>
        <w:tabs>
          <w:tab w:val="num" w:pos="3930" w:leader="none"/>
        </w:tabs>
      </w:pPr>
      <w:rPr>
        <w:rFonts w:cs="Times New Roman"/>
      </w:rPr>
    </w:lvl>
  </w:abstractNum>
  <w:abstractNum w:abstractNumId="8">
    <w:multiLevelType w:val="hybridMultilevel"/>
    <w:lvl w:ilvl="0">
      <w:start w:val="1"/>
      <w:numFmt w:val="japaneseCounting"/>
      <w:isLgl w:val="false"/>
      <w:suff w:val="tab"/>
      <w:lvlText w:val="%1、"/>
      <w:lvlJc w:val="left"/>
      <w:pPr>
        <w:pStyle w:val="88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3"/>
        <w:ind w:left="840" w:hanging="420"/>
        <w:tabs>
          <w:tab w:val="num" w:pos="840" w:leader="none"/>
        </w:tabs>
      </w:pPr>
      <w:rPr>
        <w:rFonts w:cs="Times New Roman"/>
      </w:rPr>
    </w:lvl>
    <w:lvl w:ilvl="2">
      <w:start w:val="10"/>
      <w:numFmt w:val="decimal"/>
      <w:isLgl w:val="false"/>
      <w:suff w:val="tab"/>
      <w:lvlText w:val="%3."/>
      <w:lvlJc w:val="left"/>
      <w:pPr>
        <w:pStyle w:val="883"/>
        <w:ind w:left="1200" w:hanging="360"/>
        <w:tabs>
          <w:tab w:val="num" w:pos="120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10"/>
  </w:num>
  <w:num w:numId="5">
    <w:abstractNumId w:val="4"/>
  </w:num>
  <w:num w:numId="6">
    <w:abstractNumId w:val="1"/>
  </w:num>
  <w:num w:numId="7">
    <w:abstractNumId w:val="7"/>
  </w:num>
  <w:num w:numId="8">
    <w:abstractNumId w:val="2"/>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rFonts w:ascii="Times New Roman" w:hAnsi="Times New Roman"/>
      <w:sz w:val="21"/>
      <w:szCs w:val="21"/>
      <w:lang w:val="en-US" w:eastAsia="zh-CN" w:bidi="ar-SA"/>
    </w:rPr>
  </w:style>
  <w:style w:type="paragraph" w:styleId="884">
    <w:name w:val="标题 1"/>
    <w:basedOn w:val="883"/>
    <w:next w:val="883"/>
    <w:link w:val="896"/>
    <w:qFormat/>
    <w:pPr>
      <w:jc w:val="center"/>
      <w:keepNext/>
      <w:outlineLvl w:val="0"/>
    </w:pPr>
    <w:rPr>
      <w:rFonts w:ascii="楷体_GB2312" w:eastAsia="楷体_GB2312"/>
      <w:sz w:val="28"/>
      <w:szCs w:val="28"/>
    </w:rPr>
  </w:style>
  <w:style w:type="paragraph" w:styleId="885">
    <w:name w:val="标题 2"/>
    <w:basedOn w:val="883"/>
    <w:next w:val="898"/>
    <w:link w:val="897"/>
    <w:qFormat/>
    <w:pPr>
      <w:jc w:val="center"/>
      <w:keepLines/>
      <w:keepNext/>
      <w:spacing w:before="260" w:after="260" w:line="416" w:lineRule="auto"/>
      <w:outlineLvl w:val="1"/>
    </w:pPr>
    <w:rPr>
      <w:rFonts w:ascii="Arial" w:hAnsi="Arial" w:eastAsia="幼圆"/>
      <w:b/>
      <w:bCs/>
      <w:sz w:val="44"/>
      <w:szCs w:val="44"/>
    </w:rPr>
  </w:style>
  <w:style w:type="paragraph" w:styleId="886">
    <w:name w:val="标题 3"/>
    <w:basedOn w:val="883"/>
    <w:next w:val="883"/>
    <w:link w:val="900"/>
    <w:qFormat/>
    <w:pPr>
      <w:keepLines/>
      <w:keepNext/>
      <w:spacing w:before="260" w:after="260" w:line="416" w:lineRule="auto"/>
      <w:outlineLvl w:val="2"/>
    </w:pPr>
    <w:rPr>
      <w:b/>
      <w:bCs/>
      <w:sz w:val="32"/>
      <w:szCs w:val="32"/>
    </w:rPr>
  </w:style>
  <w:style w:type="paragraph" w:styleId="887">
    <w:name w:val="标题 4"/>
    <w:basedOn w:val="883"/>
    <w:next w:val="898"/>
    <w:link w:val="901"/>
    <w:qFormat/>
    <w:pPr>
      <w:keepLines/>
      <w:keepNext/>
      <w:spacing w:before="280" w:after="290" w:line="376" w:lineRule="auto"/>
      <w:outlineLvl w:val="3"/>
    </w:pPr>
    <w:rPr>
      <w:rFonts w:ascii="Arial" w:hAnsi="Arial" w:eastAsia="黑体"/>
      <w:b/>
      <w:bCs/>
      <w:sz w:val="28"/>
      <w:szCs w:val="28"/>
    </w:rPr>
  </w:style>
  <w:style w:type="paragraph" w:styleId="888">
    <w:name w:val="标题 5"/>
    <w:basedOn w:val="883"/>
    <w:next w:val="898"/>
    <w:link w:val="902"/>
    <w:qFormat/>
    <w:pPr>
      <w:keepNext/>
      <w:outlineLvl w:val="4"/>
    </w:pPr>
    <w:rPr>
      <w:rFonts w:ascii="宋体"/>
      <w:color w:val="000000"/>
      <w:sz w:val="28"/>
      <w:szCs w:val="28"/>
    </w:rPr>
  </w:style>
  <w:style w:type="paragraph" w:styleId="889">
    <w:name w:val="标题 6"/>
    <w:basedOn w:val="883"/>
    <w:next w:val="883"/>
    <w:link w:val="903"/>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4"/>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05"/>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06"/>
    <w:qFormat/>
    <w:pPr>
      <w:numPr>
        <w:ilvl w:val="8"/>
        <w:numId w:val="1"/>
      </w:numPr>
      <w:keepLines/>
      <w:keepNext/>
      <w:spacing w:before="240" w:after="64" w:line="320" w:lineRule="auto"/>
      <w:outlineLvl w:val="8"/>
    </w:pPr>
    <w:rPr>
      <w:rFonts w:ascii="Arial" w:hAnsi="Arial" w:eastAsia="黑体"/>
      <w:sz w:val="20"/>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numbering" w:styleId="895">
    <w:name w:val="无列表"/>
    <w:next w:val="895"/>
    <w:link w:val="883"/>
    <w:uiPriority w:val="99"/>
    <w:semiHidden/>
    <w:unhideWhenUsed/>
  </w:style>
  <w:style w:type="character" w:styleId="896">
    <w:name w:val="标题 1 Char"/>
    <w:next w:val="896"/>
    <w:link w:val="884"/>
    <w:rPr>
      <w:rFonts w:ascii="楷体_GB2312" w:hAnsi="Times New Roman" w:eastAsia="楷体_GB2312" w:cs="Times New Roman"/>
      <w:sz w:val="28"/>
      <w:szCs w:val="28"/>
    </w:rPr>
  </w:style>
  <w:style w:type="character" w:styleId="897">
    <w:name w:val="标题 2 Char"/>
    <w:next w:val="897"/>
    <w:link w:val="885"/>
    <w:rPr>
      <w:rFonts w:ascii="Arial" w:hAnsi="Arial" w:eastAsia="幼圆" w:cs="Arial"/>
      <w:b/>
      <w:bCs/>
      <w:sz w:val="44"/>
      <w:szCs w:val="44"/>
    </w:rPr>
  </w:style>
  <w:style w:type="paragraph" w:styleId="898">
    <w:name w:val="正文缩进"/>
    <w:basedOn w:val="883"/>
    <w:next w:val="898"/>
    <w:link w:val="899"/>
    <w:pPr>
      <w:ind w:firstLine="420"/>
    </w:pPr>
    <w:rPr>
      <w:sz w:val="20"/>
    </w:rPr>
  </w:style>
  <w:style w:type="character" w:styleId="899">
    <w:name w:val="正文缩进 Char"/>
    <w:next w:val="899"/>
    <w:link w:val="898"/>
    <w:rPr>
      <w:rFonts w:ascii="Times New Roman" w:hAnsi="Times New Roman" w:eastAsia="宋体" w:cs="Times New Roman"/>
      <w:szCs w:val="21"/>
    </w:rPr>
  </w:style>
  <w:style w:type="character" w:styleId="900">
    <w:name w:val="标题 3 Char"/>
    <w:next w:val="900"/>
    <w:link w:val="886"/>
    <w:rPr>
      <w:rFonts w:ascii="Times New Roman" w:hAnsi="Times New Roman" w:eastAsia="宋体" w:cs="Times New Roman"/>
      <w:b/>
      <w:bCs/>
      <w:sz w:val="32"/>
      <w:szCs w:val="32"/>
    </w:rPr>
  </w:style>
  <w:style w:type="character" w:styleId="901">
    <w:name w:val="标题 4 Char"/>
    <w:next w:val="901"/>
    <w:link w:val="887"/>
    <w:rPr>
      <w:rFonts w:ascii="Arial" w:hAnsi="Arial" w:eastAsia="黑体" w:cs="Arial"/>
      <w:b/>
      <w:bCs/>
      <w:sz w:val="28"/>
      <w:szCs w:val="28"/>
    </w:rPr>
  </w:style>
  <w:style w:type="character" w:styleId="902">
    <w:name w:val="标题 5 Char"/>
    <w:next w:val="902"/>
    <w:link w:val="888"/>
    <w:rPr>
      <w:rFonts w:ascii="宋体" w:hAnsi="Times New Roman" w:eastAsia="宋体" w:cs="Times New Roman"/>
      <w:color w:val="000000"/>
      <w:sz w:val="28"/>
      <w:szCs w:val="28"/>
    </w:rPr>
  </w:style>
  <w:style w:type="character" w:styleId="903">
    <w:name w:val="标题 6 Char"/>
    <w:next w:val="903"/>
    <w:link w:val="889"/>
    <w:rPr>
      <w:rFonts w:ascii="Arial" w:hAnsi="Arial" w:eastAsia="黑体" w:cs="Times New Roman"/>
      <w:b/>
      <w:bCs/>
      <w:sz w:val="24"/>
      <w:szCs w:val="24"/>
    </w:rPr>
  </w:style>
  <w:style w:type="character" w:styleId="904">
    <w:name w:val="标题 7 Char"/>
    <w:next w:val="904"/>
    <w:link w:val="890"/>
    <w:rPr>
      <w:rFonts w:ascii="Times New Roman" w:hAnsi="Times New Roman" w:eastAsia="宋体" w:cs="Times New Roman"/>
      <w:b/>
      <w:bCs/>
      <w:sz w:val="24"/>
      <w:szCs w:val="24"/>
    </w:rPr>
  </w:style>
  <w:style w:type="character" w:styleId="905">
    <w:name w:val="标题 8 Char"/>
    <w:next w:val="905"/>
    <w:link w:val="891"/>
    <w:rPr>
      <w:rFonts w:ascii="Arial" w:hAnsi="Arial" w:eastAsia="黑体" w:cs="Times New Roman"/>
      <w:sz w:val="24"/>
      <w:szCs w:val="24"/>
    </w:rPr>
  </w:style>
  <w:style w:type="character" w:styleId="906">
    <w:name w:val="标题 9 Char"/>
    <w:next w:val="906"/>
    <w:link w:val="892"/>
    <w:rPr>
      <w:rFonts w:ascii="Arial" w:hAnsi="Arial" w:eastAsia="黑体" w:cs="Times New Roman"/>
      <w:szCs w:val="21"/>
    </w:rPr>
  </w:style>
  <w:style w:type="paragraph" w:styleId="907">
    <w:name w:val="列表 3"/>
    <w:basedOn w:val="883"/>
    <w:next w:val="907"/>
    <w:link w:val="883"/>
    <w:pPr>
      <w:ind w:left="100" w:hanging="200"/>
    </w:pPr>
  </w:style>
  <w:style w:type="paragraph" w:styleId="908">
    <w:name w:val="目录 7"/>
    <w:basedOn w:val="883"/>
    <w:next w:val="883"/>
    <w:link w:val="883"/>
    <w:semiHidden/>
    <w:pPr>
      <w:ind w:left="1260"/>
      <w:jc w:val="left"/>
    </w:pPr>
  </w:style>
  <w:style w:type="paragraph" w:styleId="909">
    <w:name w:val="文档结构图"/>
    <w:basedOn w:val="883"/>
    <w:next w:val="909"/>
    <w:link w:val="910"/>
    <w:semiHidden/>
    <w:pPr>
      <w:shd w:val="clear" w:color="auto" w:fill="000080"/>
    </w:pPr>
    <w:rPr>
      <w:sz w:val="20"/>
    </w:rPr>
  </w:style>
  <w:style w:type="character" w:styleId="910">
    <w:name w:val="文档结构图 Char"/>
    <w:next w:val="910"/>
    <w:link w:val="909"/>
    <w:semiHidden/>
    <w:rPr>
      <w:rFonts w:ascii="Times New Roman" w:hAnsi="Times New Roman" w:eastAsia="宋体" w:cs="Times New Roman"/>
      <w:szCs w:val="21"/>
      <w:shd w:val="clear" w:color="auto" w:fill="000080"/>
    </w:rPr>
  </w:style>
  <w:style w:type="paragraph" w:styleId="911">
    <w:name w:val="批注文字"/>
    <w:basedOn w:val="883"/>
    <w:next w:val="911"/>
    <w:link w:val="912"/>
    <w:semiHidden/>
    <w:pPr>
      <w:jc w:val="left"/>
    </w:pPr>
    <w:rPr>
      <w:sz w:val="20"/>
    </w:rPr>
  </w:style>
  <w:style w:type="character" w:styleId="912">
    <w:name w:val="批注文字 Char"/>
    <w:next w:val="912"/>
    <w:link w:val="911"/>
    <w:semiHidden/>
    <w:rPr>
      <w:rFonts w:ascii="Times New Roman" w:hAnsi="Times New Roman" w:eastAsia="宋体" w:cs="Times New Roman"/>
      <w:szCs w:val="21"/>
    </w:rPr>
  </w:style>
  <w:style w:type="paragraph" w:styleId="913">
    <w:name w:val="正文文本 3"/>
    <w:basedOn w:val="883"/>
    <w:next w:val="913"/>
    <w:link w:val="914"/>
    <w:rPr>
      <w:rFonts w:ascii="仿宋_GB2312" w:hAnsi="Arial" w:eastAsia="仿宋_GB2312"/>
      <w:sz w:val="32"/>
      <w:szCs w:val="32"/>
    </w:rPr>
  </w:style>
  <w:style w:type="character" w:styleId="914">
    <w:name w:val="正文文本 3 Char"/>
    <w:next w:val="914"/>
    <w:link w:val="913"/>
    <w:rPr>
      <w:rFonts w:ascii="仿宋_GB2312" w:hAnsi="Arial" w:eastAsia="仿宋_GB2312" w:cs="Times New Roman"/>
      <w:sz w:val="32"/>
      <w:szCs w:val="32"/>
    </w:rPr>
  </w:style>
  <w:style w:type="paragraph" w:styleId="915">
    <w:name w:val="正文文本"/>
    <w:basedOn w:val="883"/>
    <w:next w:val="915"/>
    <w:link w:val="916"/>
    <w:rPr>
      <w:rFonts w:ascii="楷体_GB2312" w:hAnsi="Arial" w:eastAsia="楷体_GB2312"/>
      <w:sz w:val="28"/>
      <w:szCs w:val="28"/>
    </w:rPr>
  </w:style>
  <w:style w:type="character" w:styleId="916">
    <w:name w:val="正文文本 Char"/>
    <w:next w:val="916"/>
    <w:link w:val="915"/>
    <w:rPr>
      <w:rFonts w:ascii="楷体_GB2312" w:hAnsi="Arial" w:eastAsia="楷体_GB2312" w:cs="Times New Roman"/>
      <w:sz w:val="28"/>
      <w:szCs w:val="28"/>
    </w:rPr>
  </w:style>
  <w:style w:type="paragraph" w:styleId="917">
    <w:name w:val="正文文本缩进"/>
    <w:basedOn w:val="883"/>
    <w:next w:val="917"/>
    <w:link w:val="918"/>
    <w:pPr>
      <w:ind w:firstLine="645"/>
    </w:pPr>
    <w:rPr>
      <w:rFonts w:ascii="楷体_GB2312" w:eastAsia="楷体_GB2312"/>
      <w:sz w:val="32"/>
      <w:szCs w:val="32"/>
    </w:rPr>
  </w:style>
  <w:style w:type="character" w:styleId="918">
    <w:name w:val="正文文本缩进 Char"/>
    <w:next w:val="918"/>
    <w:link w:val="917"/>
    <w:rPr>
      <w:rFonts w:ascii="楷体_GB2312" w:hAnsi="Times New Roman" w:eastAsia="楷体_GB2312" w:cs="Times New Roman"/>
      <w:sz w:val="32"/>
      <w:szCs w:val="32"/>
    </w:rPr>
  </w:style>
  <w:style w:type="paragraph" w:styleId="919">
    <w:name w:val="列表 2"/>
    <w:basedOn w:val="883"/>
    <w:next w:val="919"/>
    <w:link w:val="883"/>
    <w:pPr>
      <w:ind w:left="100" w:hanging="200"/>
    </w:pPr>
  </w:style>
  <w:style w:type="paragraph" w:styleId="920">
    <w:name w:val="目录 5"/>
    <w:basedOn w:val="883"/>
    <w:next w:val="883"/>
    <w:link w:val="883"/>
    <w:semiHidden/>
    <w:pPr>
      <w:ind w:left="840"/>
      <w:jc w:val="left"/>
    </w:pPr>
  </w:style>
  <w:style w:type="paragraph" w:styleId="921">
    <w:name w:val="目录 3"/>
    <w:basedOn w:val="883"/>
    <w:next w:val="883"/>
    <w:link w:val="883"/>
    <w:semiHidden/>
    <w:pPr>
      <w:ind w:left="420"/>
      <w:jc w:val="left"/>
    </w:pPr>
    <w:rPr>
      <w:i/>
      <w:iCs/>
      <w:szCs w:val="24"/>
    </w:rPr>
  </w:style>
  <w:style w:type="paragraph" w:styleId="922">
    <w:name w:val="纯文本"/>
    <w:basedOn w:val="883"/>
    <w:next w:val="922"/>
    <w:link w:val="923"/>
    <w:rPr>
      <w:rFonts w:ascii="宋体" w:hAnsi="Courier New"/>
      <w:sz w:val="20"/>
    </w:rPr>
  </w:style>
  <w:style w:type="character" w:styleId="923">
    <w:name w:val="纯文本 Char"/>
    <w:next w:val="923"/>
    <w:link w:val="922"/>
    <w:rPr>
      <w:rFonts w:ascii="宋体" w:hAnsi="Courier New" w:eastAsia="宋体" w:cs="Courier New"/>
      <w:szCs w:val="21"/>
    </w:rPr>
  </w:style>
  <w:style w:type="paragraph" w:styleId="924">
    <w:name w:val="目录 8"/>
    <w:basedOn w:val="883"/>
    <w:next w:val="883"/>
    <w:link w:val="883"/>
    <w:semiHidden/>
    <w:pPr>
      <w:ind w:left="1470"/>
      <w:jc w:val="left"/>
    </w:pPr>
  </w:style>
  <w:style w:type="paragraph" w:styleId="925">
    <w:name w:val="日期"/>
    <w:basedOn w:val="883"/>
    <w:next w:val="883"/>
    <w:link w:val="926"/>
    <w:rPr>
      <w:sz w:val="24"/>
      <w:szCs w:val="24"/>
    </w:rPr>
  </w:style>
  <w:style w:type="character" w:styleId="926">
    <w:name w:val="日期 Char"/>
    <w:next w:val="926"/>
    <w:link w:val="925"/>
    <w:rPr>
      <w:rFonts w:ascii="Times New Roman" w:hAnsi="Times New Roman" w:eastAsia="宋体" w:cs="Times New Roman"/>
      <w:sz w:val="24"/>
      <w:szCs w:val="24"/>
    </w:rPr>
  </w:style>
  <w:style w:type="paragraph" w:styleId="927">
    <w:name w:val="正文文本缩进 2"/>
    <w:basedOn w:val="883"/>
    <w:next w:val="927"/>
    <w:link w:val="928"/>
    <w:pPr>
      <w:ind w:left="630" w:firstLine="645"/>
    </w:pPr>
    <w:rPr>
      <w:rFonts w:ascii="Arial" w:hAnsi="Arial" w:eastAsia="仿宋_GB2312"/>
      <w:sz w:val="32"/>
      <w:szCs w:val="32"/>
    </w:rPr>
  </w:style>
  <w:style w:type="character" w:styleId="928">
    <w:name w:val="正文文本缩进 2 Char"/>
    <w:next w:val="928"/>
    <w:link w:val="927"/>
    <w:rPr>
      <w:rFonts w:ascii="Arial" w:hAnsi="Arial" w:eastAsia="仿宋_GB2312" w:cs="Arial"/>
      <w:sz w:val="32"/>
      <w:szCs w:val="32"/>
    </w:rPr>
  </w:style>
  <w:style w:type="paragraph" w:styleId="929">
    <w:name w:val="批注框文本"/>
    <w:basedOn w:val="883"/>
    <w:next w:val="929"/>
    <w:link w:val="930"/>
    <w:semiHidden/>
    <w:rPr>
      <w:sz w:val="18"/>
      <w:szCs w:val="18"/>
    </w:rPr>
  </w:style>
  <w:style w:type="character" w:styleId="930">
    <w:name w:val="批注框文本 Char"/>
    <w:next w:val="930"/>
    <w:link w:val="929"/>
    <w:semiHidden/>
    <w:rPr>
      <w:rFonts w:ascii="Times New Roman" w:hAnsi="Times New Roman" w:eastAsia="宋体" w:cs="Times New Roman"/>
      <w:sz w:val="18"/>
      <w:szCs w:val="18"/>
    </w:rPr>
  </w:style>
  <w:style w:type="paragraph" w:styleId="931">
    <w:name w:val="页脚"/>
    <w:basedOn w:val="883"/>
    <w:next w:val="931"/>
    <w:link w:val="932"/>
    <w:pPr>
      <w:jc w:val="left"/>
      <w:tabs>
        <w:tab w:val="center" w:pos="4153" w:leader="none"/>
        <w:tab w:val="right" w:pos="8306" w:leader="none"/>
      </w:tabs>
    </w:pPr>
    <w:rPr>
      <w:sz w:val="18"/>
      <w:szCs w:val="18"/>
    </w:rPr>
  </w:style>
  <w:style w:type="character" w:styleId="932">
    <w:name w:val="页脚 Char"/>
    <w:next w:val="932"/>
    <w:link w:val="931"/>
    <w:rPr>
      <w:rFonts w:ascii="Times New Roman" w:hAnsi="Times New Roman" w:eastAsia="宋体" w:cs="Times New Roman"/>
      <w:sz w:val="18"/>
      <w:szCs w:val="18"/>
    </w:rPr>
  </w:style>
  <w:style w:type="paragraph" w:styleId="933">
    <w:name w:val="页眉"/>
    <w:basedOn w:val="883"/>
    <w:next w:val="933"/>
    <w:link w:val="934"/>
    <w:uiPriority w:val="99"/>
    <w:qFormat/>
    <w:pPr>
      <w:jc w:val="center"/>
      <w:tabs>
        <w:tab w:val="center" w:pos="4153" w:leader="none"/>
        <w:tab w:val="right" w:pos="8306" w:leader="none"/>
      </w:tabs>
      <w:pBdr>
        <w:bottom w:val="single" w:color="000000" w:sz="6" w:space="1"/>
      </w:pBdr>
    </w:pPr>
    <w:rPr>
      <w:sz w:val="18"/>
      <w:szCs w:val="18"/>
    </w:rPr>
  </w:style>
  <w:style w:type="character" w:styleId="934">
    <w:name w:val="页眉 Char"/>
    <w:next w:val="934"/>
    <w:link w:val="933"/>
    <w:uiPriority w:val="99"/>
    <w:qFormat/>
    <w:rPr>
      <w:rFonts w:ascii="Times New Roman" w:hAnsi="Times New Roman" w:eastAsia="宋体" w:cs="Times New Roman"/>
      <w:sz w:val="18"/>
      <w:szCs w:val="18"/>
    </w:rPr>
  </w:style>
  <w:style w:type="paragraph" w:styleId="935">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6">
    <w:name w:val="目录 4"/>
    <w:basedOn w:val="883"/>
    <w:next w:val="883"/>
    <w:link w:val="883"/>
    <w:semiHidden/>
    <w:pPr>
      <w:ind w:left="630"/>
      <w:jc w:val="left"/>
    </w:pPr>
  </w:style>
  <w:style w:type="paragraph" w:styleId="937">
    <w:name w:val="列表"/>
    <w:basedOn w:val="883"/>
    <w:next w:val="937"/>
    <w:link w:val="883"/>
    <w:pPr>
      <w:ind w:left="200" w:hanging="200"/>
    </w:pPr>
  </w:style>
  <w:style w:type="paragraph" w:styleId="938">
    <w:name w:val="目录 6"/>
    <w:basedOn w:val="883"/>
    <w:next w:val="883"/>
    <w:link w:val="883"/>
    <w:semiHidden/>
    <w:pPr>
      <w:ind w:left="1050"/>
      <w:jc w:val="left"/>
    </w:pPr>
  </w:style>
  <w:style w:type="paragraph" w:styleId="939">
    <w:name w:val="正文文本缩进 3"/>
    <w:basedOn w:val="883"/>
    <w:next w:val="939"/>
    <w:link w:val="940"/>
    <w:pPr>
      <w:ind w:left="645" w:firstLine="645"/>
    </w:pPr>
    <w:rPr>
      <w:rFonts w:ascii="Arial" w:hAnsi="Arial" w:eastAsia="仿宋_GB2312"/>
      <w:color w:val="ffff00"/>
      <w:sz w:val="32"/>
      <w:szCs w:val="32"/>
    </w:rPr>
  </w:style>
  <w:style w:type="character" w:styleId="940">
    <w:name w:val="正文文本缩进 3 Char"/>
    <w:next w:val="940"/>
    <w:link w:val="939"/>
    <w:rPr>
      <w:rFonts w:ascii="Arial" w:hAnsi="Arial" w:eastAsia="仿宋_GB2312" w:cs="Arial"/>
      <w:color w:val="ffff00"/>
      <w:sz w:val="32"/>
      <w:szCs w:val="32"/>
    </w:rPr>
  </w:style>
  <w:style w:type="paragraph" w:styleId="941">
    <w:name w:val="图表目录"/>
    <w:basedOn w:val="883"/>
    <w:next w:val="883"/>
    <w:link w:val="883"/>
    <w:semiHidden/>
    <w:pPr>
      <w:ind w:left="840" w:hanging="420"/>
    </w:pPr>
  </w:style>
  <w:style w:type="paragraph" w:styleId="942">
    <w:name w:val="目录 2"/>
    <w:basedOn w:val="883"/>
    <w:next w:val="883"/>
    <w:link w:val="883"/>
    <w:semiHidden/>
    <w:pPr>
      <w:ind w:left="210"/>
      <w:jc w:val="left"/>
    </w:pPr>
    <w:rPr>
      <w:smallCaps/>
      <w:szCs w:val="24"/>
    </w:rPr>
  </w:style>
  <w:style w:type="paragraph" w:styleId="943">
    <w:name w:val="目录 9"/>
    <w:basedOn w:val="883"/>
    <w:next w:val="883"/>
    <w:link w:val="883"/>
    <w:semiHidden/>
    <w:pPr>
      <w:ind w:left="1680"/>
      <w:jc w:val="left"/>
    </w:pPr>
  </w:style>
  <w:style w:type="paragraph" w:styleId="944">
    <w:name w:val="正文文本 2"/>
    <w:basedOn w:val="883"/>
    <w:next w:val="944"/>
    <w:link w:val="945"/>
    <w:pPr>
      <w:jc w:val="center"/>
      <w:widowControl/>
    </w:pPr>
    <w:rPr>
      <w:rFonts w:ascii="楷体_GB2312" w:eastAsia="楷体_GB2312"/>
      <w:sz w:val="28"/>
      <w:szCs w:val="28"/>
    </w:rPr>
  </w:style>
  <w:style w:type="character" w:styleId="945">
    <w:name w:val="正文文本 2 Char"/>
    <w:next w:val="945"/>
    <w:link w:val="944"/>
    <w:rPr>
      <w:rFonts w:ascii="楷体_GB2312" w:hAnsi="Times New Roman" w:eastAsia="楷体_GB2312" w:cs="Times New Roman"/>
      <w:sz w:val="28"/>
      <w:szCs w:val="28"/>
    </w:rPr>
  </w:style>
  <w:style w:type="paragraph" w:styleId="946">
    <w:name w:val="普通(网站)"/>
    <w:basedOn w:val="883"/>
    <w:next w:val="946"/>
    <w:link w:val="883"/>
    <w:uiPriority w:val="99"/>
    <w:pPr>
      <w:jc w:val="left"/>
      <w:spacing w:before="100" w:beforeAutospacing="1" w:after="100" w:afterAutospacing="1"/>
      <w:widowControl/>
    </w:pPr>
    <w:rPr>
      <w:rFonts w:ascii="宋体" w:hAnsi="宋体" w:cs="宋体"/>
      <w:sz w:val="24"/>
      <w:szCs w:val="24"/>
    </w:rPr>
  </w:style>
  <w:style w:type="paragraph" w:styleId="947">
    <w:name w:val="索引 1"/>
    <w:basedOn w:val="883"/>
    <w:next w:val="883"/>
    <w:link w:val="883"/>
    <w:semiHidden/>
    <w:pPr>
      <w:spacing w:line="240" w:lineRule="atLeast"/>
    </w:pPr>
    <w:rPr>
      <w:b/>
      <w:bCs/>
    </w:rPr>
  </w:style>
  <w:style w:type="paragraph" w:styleId="948">
    <w:name w:val="批注主题"/>
    <w:basedOn w:val="911"/>
    <w:next w:val="911"/>
    <w:link w:val="949"/>
    <w:semiHidden/>
    <w:rPr>
      <w:b/>
      <w:bCs/>
    </w:rPr>
  </w:style>
  <w:style w:type="character" w:styleId="949">
    <w:name w:val="批注主题 Char"/>
    <w:next w:val="949"/>
    <w:link w:val="948"/>
    <w:semiHidden/>
    <w:rPr>
      <w:rFonts w:ascii="Times New Roman" w:hAnsi="Times New Roman" w:eastAsia="宋体" w:cs="Times New Roman"/>
      <w:b/>
      <w:bCs/>
      <w:szCs w:val="21"/>
    </w:rPr>
  </w:style>
  <w:style w:type="paragraph" w:styleId="950">
    <w:name w:val="正文首行缩进"/>
    <w:basedOn w:val="883"/>
    <w:next w:val="950"/>
    <w:link w:val="951"/>
    <w:pPr>
      <w:ind w:firstLine="200"/>
      <w:spacing w:line="360" w:lineRule="auto"/>
    </w:pPr>
    <w:rPr>
      <w:rFonts w:ascii="仿宋_GB2312" w:eastAsia="仿宋_GB2312"/>
      <w:sz w:val="30"/>
      <w:szCs w:val="30"/>
    </w:rPr>
  </w:style>
  <w:style w:type="character" w:styleId="951">
    <w:name w:val="正文首行缩进 Char"/>
    <w:next w:val="951"/>
    <w:link w:val="950"/>
    <w:rPr>
      <w:rFonts w:ascii="仿宋_GB2312" w:hAnsi="Times New Roman" w:eastAsia="仿宋_GB2312" w:cs="Times New Roman"/>
      <w:sz w:val="30"/>
      <w:szCs w:val="30"/>
    </w:rPr>
  </w:style>
  <w:style w:type="paragraph" w:styleId="952">
    <w:name w:val="正文首行缩进 2"/>
    <w:basedOn w:val="917"/>
    <w:next w:val="952"/>
    <w:link w:val="953"/>
    <w:pPr>
      <w:ind w:firstLine="420"/>
      <w:spacing w:line="360" w:lineRule="auto"/>
    </w:pPr>
    <w:rPr>
      <w:rFonts w:ascii="宋体" w:hAnsi="宋体" w:eastAsia="宋体"/>
      <w:szCs w:val="20"/>
    </w:rPr>
  </w:style>
  <w:style w:type="character" w:styleId="953">
    <w:name w:val="正文首行缩进 2 Char"/>
    <w:next w:val="953"/>
    <w:link w:val="952"/>
    <w:rPr>
      <w:rFonts w:ascii="宋体" w:hAnsi="宋体" w:eastAsia="宋体" w:cs="Times New Roman"/>
      <w:sz w:val="32"/>
      <w:szCs w:val="20"/>
    </w:rPr>
  </w:style>
  <w:style w:type="table" w:styleId="954">
    <w:name w:val="网格型"/>
    <w:basedOn w:val="894"/>
    <w:next w:val="954"/>
    <w:link w:val="883"/>
    <w:pPr>
      <w:jc w:val="both"/>
      <w:widowControl w:val="off"/>
    </w:pPr>
    <w:rPr>
      <w:rFonts w:ascii="Times New Roman" w:hAnsi="Times New Roman" w:eastAsia="宋体" w:cs="Times New Roman"/>
      <w:sz w:val="20"/>
      <w:szCs w:val="20"/>
    </w:rPr>
    <w:tblPr/>
  </w:style>
  <w:style w:type="character" w:styleId="955">
    <w:name w:val="要点"/>
    <w:next w:val="955"/>
    <w:link w:val="883"/>
    <w:qFormat/>
    <w:rPr>
      <w:b/>
      <w:bCs/>
    </w:rPr>
  </w:style>
  <w:style w:type="character" w:styleId="956">
    <w:name w:val="页码"/>
    <w:next w:val="956"/>
    <w:link w:val="883"/>
  </w:style>
  <w:style w:type="character" w:styleId="957">
    <w:name w:val="访问过的超链接"/>
    <w:next w:val="957"/>
    <w:link w:val="883"/>
    <w:rPr>
      <w:color w:val="800080"/>
      <w:u w:val="single"/>
    </w:rPr>
  </w:style>
  <w:style w:type="character" w:styleId="958">
    <w:name w:val="HTML 打字机"/>
    <w:next w:val="958"/>
    <w:link w:val="883"/>
    <w:uiPriority w:val="99"/>
    <w:rPr>
      <w:rFonts w:ascii="宋体" w:hAnsi="宋体" w:eastAsia="宋体" w:cs="宋体"/>
      <w:sz w:val="24"/>
      <w:szCs w:val="24"/>
    </w:rPr>
  </w:style>
  <w:style w:type="character" w:styleId="959">
    <w:name w:val="超链接"/>
    <w:next w:val="959"/>
    <w:link w:val="883"/>
    <w:rPr>
      <w:color w:val="0000ff"/>
      <w:u w:val="single"/>
    </w:rPr>
  </w:style>
  <w:style w:type="character" w:styleId="960">
    <w:name w:val="批注引用"/>
    <w:next w:val="960"/>
    <w:link w:val="883"/>
    <w:semiHidden/>
    <w:rPr>
      <w:sz w:val="21"/>
      <w:szCs w:val="21"/>
    </w:rPr>
  </w:style>
  <w:style w:type="character" w:styleId="961">
    <w:name w:val="font5 Char"/>
    <w:next w:val="961"/>
    <w:link w:val="883"/>
    <w:rPr>
      <w:rFonts w:ascii="宋体" w:hAnsi="宋体" w:eastAsia="宋体"/>
      <w:sz w:val="28"/>
      <w:szCs w:val="28"/>
      <w:lang w:val="en-US" w:eastAsia="zh-CN" w:bidi="ar-SA"/>
    </w:rPr>
  </w:style>
  <w:style w:type="character" w:styleId="962">
    <w:name w:val="二级目录 Char"/>
    <w:next w:val="962"/>
    <w:link w:val="963"/>
    <w:rPr>
      <w:b/>
      <w:sz w:val="30"/>
      <w:szCs w:val="28"/>
      <w:lang w:val="en-US" w:eastAsia="zh-CN" w:bidi="ar-SA"/>
    </w:rPr>
  </w:style>
  <w:style w:type="paragraph" w:styleId="963">
    <w:name w:val="二级目录"/>
    <w:next w:val="883"/>
    <w:link w:val="962"/>
    <w:pPr>
      <w:numPr>
        <w:ilvl w:val="0"/>
        <w:numId w:val="2"/>
      </w:numPr>
      <w:tabs>
        <w:tab w:val="left" w:pos="907" w:leader="none"/>
        <w:tab w:val="left" w:pos="1145" w:leader="none"/>
      </w:tabs>
      <w:outlineLvl w:val="1"/>
    </w:pPr>
    <w:rPr>
      <w:b/>
      <w:sz w:val="30"/>
      <w:szCs w:val="28"/>
      <w:lang w:val="en-US" w:eastAsia="zh-CN" w:bidi="ar-SA"/>
    </w:rPr>
  </w:style>
  <w:style w:type="character" w:styleId="964">
    <w:name w:val="列出段落 Char,Bullet List Char,numbered Char,FooterText Char,List Paragraph1 Char,Paragraphe de liste1 Char"/>
    <w:next w:val="964"/>
    <w:link w:val="965"/>
    <w:rPr>
      <w:rFonts w:ascii="Calibri" w:hAnsi="Calibri"/>
      <w:sz w:val="24"/>
      <w:szCs w:val="24"/>
      <w:lang w:eastAsia="en-US" w:bidi="en-US"/>
    </w:rPr>
  </w:style>
  <w:style w:type="paragraph" w:styleId="965">
    <w:name w:val="列出段落1"/>
    <w:basedOn w:val="883"/>
    <w:next w:val="965"/>
    <w:link w:val="964"/>
    <w:qFormat/>
    <w:pPr>
      <w:contextualSpacing/>
      <w:ind w:left="720"/>
      <w:jc w:val="left"/>
      <w:widowControl/>
    </w:pPr>
    <w:rPr>
      <w:rFonts w:ascii="Calibri" w:hAnsi="Calibri"/>
      <w:sz w:val="24"/>
      <w:szCs w:val="24"/>
      <w:lang w:eastAsia="en-US" w:bidi="en-US"/>
    </w:rPr>
  </w:style>
  <w:style w:type="paragraph" w:styleId="966">
    <w:name w:val="Body Text(ch)"/>
    <w:basedOn w:val="883"/>
    <w:next w:val="915"/>
    <w:link w:val="883"/>
    <w:pPr>
      <w:spacing w:after="120"/>
    </w:pPr>
    <w:rPr>
      <w:rFonts w:ascii="宋体" w:hAnsi="Arial"/>
      <w:bCs/>
      <w:iCs/>
      <w:szCs w:val="24"/>
    </w:rPr>
  </w:style>
  <w:style w:type="paragraph" w:styleId="967">
    <w:name w:val="xl27"/>
    <w:basedOn w:val="883"/>
    <w:next w:val="967"/>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8">
    <w:name w:val="xl26"/>
    <w:basedOn w:val="883"/>
    <w:next w:val="968"/>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9">
    <w:name w:val="Char"/>
    <w:basedOn w:val="883"/>
    <w:next w:val="969"/>
    <w:link w:val="883"/>
    <w:pPr>
      <w:ind w:firstLine="200"/>
      <w:tabs>
        <w:tab w:val="left" w:pos="360" w:leader="none"/>
      </w:tabs>
    </w:pPr>
    <w:rPr>
      <w:sz w:val="28"/>
      <w:szCs w:val="30"/>
    </w:rPr>
  </w:style>
  <w:style w:type="paragraph" w:styleId="970">
    <w:name w:val=" Char"/>
    <w:basedOn w:val="909"/>
    <w:next w:val="970"/>
    <w:link w:val="883"/>
    <w:rPr>
      <w:rFonts w:ascii="Tahoma" w:hAnsi="Tahoma"/>
      <w:sz w:val="24"/>
      <w:szCs w:val="24"/>
    </w:rPr>
  </w:style>
  <w:style w:type="paragraph" w:styleId="971">
    <w:name w:val="普通正文"/>
    <w:basedOn w:val="883"/>
    <w:next w:val="971"/>
    <w:link w:val="883"/>
    <w:pPr>
      <w:ind w:firstLine="480"/>
      <w:jc w:val="left"/>
      <w:spacing w:before="120" w:after="120" w:line="360" w:lineRule="auto"/>
    </w:pPr>
    <w:rPr>
      <w:rFonts w:ascii="Arial" w:hAnsi="Arial"/>
      <w:sz w:val="24"/>
      <w:szCs w:val="24"/>
    </w:rPr>
  </w:style>
  <w:style w:type="paragraph" w:styleId="972">
    <w:name w:val="table_lines"/>
    <w:basedOn w:val="883"/>
    <w:next w:val="972"/>
    <w:link w:val="883"/>
    <w:pPr>
      <w:jc w:val="left"/>
      <w:widowControl/>
    </w:pPr>
    <w:rPr>
      <w:sz w:val="20"/>
      <w:szCs w:val="20"/>
      <w:lang w:val="de-DE" w:eastAsia="de-DE"/>
    </w:rPr>
  </w:style>
  <w:style w:type="paragraph" w:styleId="973">
    <w:name w:val="附录1"/>
    <w:next w:val="973"/>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4">
    <w:name w:val="font7"/>
    <w:basedOn w:val="883"/>
    <w:next w:val="974"/>
    <w:link w:val="883"/>
    <w:pPr>
      <w:jc w:val="left"/>
      <w:spacing w:before="100" w:beforeAutospacing="1" w:after="100" w:afterAutospacing="1"/>
      <w:widowControl/>
    </w:pPr>
    <w:rPr>
      <w:rFonts w:hint="eastAsia" w:ascii="宋体" w:hAnsi="宋体"/>
      <w:sz w:val="18"/>
      <w:szCs w:val="18"/>
    </w:rPr>
  </w:style>
  <w:style w:type="paragraph" w:styleId="975">
    <w:name w:val=" Char Char Char Char"/>
    <w:basedOn w:val="909"/>
    <w:next w:val="975"/>
    <w:link w:val="883"/>
    <w:pPr>
      <w:spacing w:line="360" w:lineRule="auto"/>
    </w:pPr>
    <w:rPr>
      <w:rFonts w:ascii="Tahoma" w:hAnsi="Tahoma"/>
      <w:sz w:val="24"/>
      <w:szCs w:val="24"/>
    </w:rPr>
  </w:style>
  <w:style w:type="paragraph" w:styleId="976">
    <w:name w:val="列出段落"/>
    <w:basedOn w:val="883"/>
    <w:next w:val="976"/>
    <w:link w:val="883"/>
    <w:uiPriority w:val="99"/>
    <w:qFormat/>
    <w:pPr>
      <w:contextualSpacing/>
      <w:ind w:left="720"/>
      <w:jc w:val="left"/>
      <w:widowControl/>
    </w:pPr>
    <w:rPr>
      <w:rFonts w:ascii="Calibri" w:hAnsi="Calibri"/>
      <w:sz w:val="24"/>
      <w:szCs w:val="24"/>
      <w:lang w:eastAsia="en-US" w:bidi="en-US"/>
    </w:rPr>
  </w:style>
  <w:style w:type="paragraph" w:styleId="977">
    <w:name w:val="4"/>
    <w:basedOn w:val="883"/>
    <w:next w:val="939"/>
    <w:link w:val="883"/>
    <w:pPr>
      <w:ind w:firstLine="420"/>
      <w:spacing w:line="360" w:lineRule="auto"/>
    </w:pPr>
    <w:rPr>
      <w:color w:val="ff0000"/>
      <w:sz w:val="24"/>
      <w:szCs w:val="24"/>
    </w:rPr>
  </w:style>
  <w:style w:type="paragraph" w:styleId="978">
    <w:name w:val="普通 (Web)"/>
    <w:basedOn w:val="883"/>
    <w:next w:val="978"/>
    <w:link w:val="883"/>
    <w:pPr>
      <w:jc w:val="left"/>
      <w:spacing w:before="100" w:beforeAutospacing="1" w:after="100" w:afterAutospacing="1"/>
      <w:widowControl/>
    </w:pPr>
    <w:rPr>
      <w:rFonts w:ascii="宋体" w:hAnsi="宋体"/>
      <w:sz w:val="24"/>
      <w:szCs w:val="24"/>
    </w:rPr>
  </w:style>
  <w:style w:type="paragraph" w:styleId="979">
    <w:name w:val=" Char Char Char Char Char Char Char Char Char Char"/>
    <w:basedOn w:val="883"/>
    <w:next w:val="979"/>
    <w:link w:val="883"/>
    <w:pPr>
      <w:spacing w:line="360" w:lineRule="auto"/>
    </w:pPr>
    <w:rPr>
      <w:sz w:val="24"/>
      <w:szCs w:val="20"/>
    </w:rPr>
  </w:style>
  <w:style w:type="paragraph" w:styleId="980">
    <w:name w:val="样式1"/>
    <w:basedOn w:val="883"/>
    <w:next w:val="980"/>
    <w:link w:val="883"/>
    <w:pPr>
      <w:numPr>
        <w:ilvl w:val="0"/>
        <w:numId w:val="3"/>
      </w:numPr>
      <w:tabs>
        <w:tab w:val="left" w:pos="709" w:leader="none"/>
      </w:tabs>
    </w:pPr>
    <w:rPr>
      <w:rFonts w:ascii="宋体" w:hAnsi="宋体"/>
    </w:rPr>
  </w:style>
  <w:style w:type="paragraph" w:styleId="981">
    <w:name w:val="font6"/>
    <w:basedOn w:val="883"/>
    <w:next w:val="981"/>
    <w:link w:val="883"/>
    <w:pPr>
      <w:jc w:val="left"/>
      <w:spacing w:before="100" w:beforeAutospacing="1" w:after="100" w:afterAutospacing="1"/>
      <w:widowControl/>
    </w:pPr>
    <w:rPr>
      <w:rFonts w:hint="eastAsia" w:ascii="宋体" w:hAnsi="宋体"/>
      <w:sz w:val="28"/>
      <w:szCs w:val="28"/>
      <w:u w:val="single"/>
    </w:rPr>
  </w:style>
  <w:style w:type="paragraph" w:styleId="982">
    <w:name w:val="xl25"/>
    <w:basedOn w:val="883"/>
    <w:next w:val="982"/>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4">
    <w:name w:val="标题3"/>
    <w:basedOn w:val="883"/>
    <w:next w:val="883"/>
    <w:link w:val="883"/>
    <w:pPr>
      <w:ind w:firstLine="624"/>
      <w:spacing w:line="590" w:lineRule="atLeast"/>
    </w:pPr>
    <w:rPr>
      <w:rFonts w:ascii="方正黑体_GBK" w:eastAsia="方正黑体_GBK"/>
      <w:sz w:val="32"/>
      <w:szCs w:val="32"/>
    </w:rPr>
  </w:style>
  <w:style w:type="paragraph" w:styleId="985">
    <w:name w:val="xl24"/>
    <w:basedOn w:val="883"/>
    <w:next w:val="985"/>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name w:val="xl29"/>
    <w:basedOn w:val="883"/>
    <w:next w:val="986"/>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7">
    <w:name w:val="Char Char Char Char Char Char Char Char"/>
    <w:basedOn w:val="883"/>
    <w:next w:val="987"/>
    <w:link w:val="883"/>
    <w:pPr>
      <w:jc w:val="left"/>
      <w:spacing w:after="160" w:line="240" w:lineRule="exact"/>
      <w:widowControl/>
    </w:pPr>
    <w:rPr>
      <w:rFonts w:ascii="Verdana" w:hAnsi="Verdana"/>
      <w:sz w:val="20"/>
      <w:szCs w:val="20"/>
      <w:lang w:eastAsia="en-US"/>
    </w:rPr>
  </w:style>
  <w:style w:type="paragraph" w:styleId="988">
    <w:name w:val="xl28"/>
    <w:basedOn w:val="883"/>
    <w:next w:val="988"/>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9">
    <w:name w:val=" Char Char Char Char Char Char Char Char"/>
    <w:basedOn w:val="883"/>
    <w:next w:val="989"/>
    <w:link w:val="883"/>
    <w:pPr>
      <w:jc w:val="left"/>
      <w:spacing w:after="160" w:line="240" w:lineRule="exact"/>
      <w:widowControl/>
    </w:pPr>
    <w:rPr>
      <w:rFonts w:ascii="Verdana" w:hAnsi="Verdana"/>
      <w:sz w:val="20"/>
      <w:szCs w:val="20"/>
      <w:lang w:eastAsia="en-US"/>
    </w:rPr>
  </w:style>
  <w:style w:type="paragraph" w:styleId="990">
    <w:name w:val="xl30"/>
    <w:basedOn w:val="883"/>
    <w:next w:val="990"/>
    <w:link w:val="883"/>
    <w:pPr>
      <w:jc w:val="center"/>
      <w:spacing w:before="100" w:beforeAutospacing="1" w:after="100" w:afterAutospacing="1"/>
      <w:widowControl/>
    </w:pPr>
    <w:rPr>
      <w:rFonts w:ascii="宋体" w:hAnsi="宋体"/>
      <w:b/>
      <w:bCs/>
      <w:sz w:val="36"/>
      <w:szCs w:val="36"/>
    </w:rPr>
  </w:style>
  <w:style w:type="paragraph" w:styleId="991">
    <w:name w:val="Char Char Char Char"/>
    <w:basedOn w:val="909"/>
    <w:next w:val="991"/>
    <w:link w:val="883"/>
    <w:pPr>
      <w:spacing w:line="360" w:lineRule="auto"/>
    </w:pPr>
    <w:rPr>
      <w:rFonts w:ascii="Tahoma" w:hAnsi="Tahoma"/>
      <w:sz w:val="24"/>
      <w:szCs w:val="24"/>
    </w:rPr>
  </w:style>
  <w:style w:type="paragraph" w:styleId="992">
    <w:name w:val="table_1stline"/>
    <w:basedOn w:val="883"/>
    <w:next w:val="992"/>
    <w:link w:val="883"/>
    <w:pPr>
      <w:jc w:val="left"/>
      <w:spacing w:before="120"/>
      <w:widowControl/>
    </w:pPr>
    <w:rPr>
      <w:bCs/>
      <w:sz w:val="20"/>
      <w:szCs w:val="20"/>
      <w:lang w:val="de-DE" w:eastAsia="de-DE"/>
    </w:rPr>
  </w:style>
  <w:style w:type="paragraph" w:styleId="993">
    <w:name w:val="font5"/>
    <w:basedOn w:val="883"/>
    <w:next w:val="993"/>
    <w:link w:val="883"/>
    <w:pPr>
      <w:jc w:val="left"/>
      <w:spacing w:before="100" w:beforeAutospacing="1" w:after="100" w:afterAutospacing="1"/>
      <w:widowControl/>
    </w:pPr>
    <w:rPr>
      <w:rFonts w:hint="eastAsia" w:ascii="宋体" w:hAnsi="宋体"/>
      <w:sz w:val="28"/>
      <w:szCs w:val="28"/>
    </w:rPr>
  </w:style>
  <w:style w:type="paragraph" w:styleId="994">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5">
    <w:name w:val="修订"/>
    <w:next w:val="995"/>
    <w:link w:val="883"/>
    <w:uiPriority w:val="99"/>
    <w:semiHidden/>
    <w:rPr>
      <w:rFonts w:ascii="Times New Roman" w:hAnsi="Times New Roman"/>
      <w:sz w:val="21"/>
      <w:szCs w:val="21"/>
      <w:lang w:val="en-US" w:eastAsia="zh-CN" w:bidi="ar-SA"/>
    </w:rPr>
  </w:style>
  <w:style w:type="paragraph" w:styleId="996">
    <w:name w:val="无间隔"/>
    <w:next w:val="996"/>
    <w:link w:val="883"/>
    <w:uiPriority w:val="99"/>
    <w:qFormat/>
    <w:pPr>
      <w:jc w:val="both"/>
      <w:widowControl w:val="off"/>
    </w:pPr>
    <w:rPr>
      <w:rFonts w:ascii="Times New Roman" w:hAnsi="Times New Roman"/>
      <w:sz w:val="21"/>
      <w:szCs w:val="21"/>
      <w:lang w:val="en-US" w:eastAsia="zh-CN" w:bidi="ar-SA"/>
    </w:rPr>
  </w:style>
  <w:style w:type="paragraph" w:styleId="997">
    <w:name w:val="普通文字"/>
    <w:basedOn w:val="883"/>
    <w:next w:val="883"/>
    <w:link w:val="883"/>
    <w:uiPriority w:val="99"/>
    <w:rPr>
      <w:rFonts w:ascii="宋体" w:hAnsi="Times New Roman" w:eastAsia="宋体" w:cs="Times New Roman"/>
      <w:sz w:val="24"/>
      <w:szCs w:val="20"/>
      <w:u w:val="none"/>
    </w:rPr>
  </w:style>
  <w:style w:type="paragraph" w:styleId="998">
    <w:name w:val="目录 111"/>
    <w:basedOn w:val="883"/>
    <w:next w:val="883"/>
    <w:link w:val="883"/>
    <w:uiPriority w:val="39"/>
    <w:unhideWhenUsed/>
    <w:qFormat/>
    <w:pPr>
      <w:jc w:val="left"/>
      <w:spacing w:after="100" w:line="259" w:lineRule="auto"/>
      <w:widowControl/>
    </w:pPr>
    <w:rPr>
      <w:rFonts w:ascii="Calibri" w:hAnsi="Calibri" w:eastAsia="宋体"/>
      <w:sz w:val="22"/>
      <w:szCs w:val="22"/>
    </w:rPr>
  </w:style>
  <w:style w:type="character" w:styleId="999" w:default="1">
    <w:name w:val="Default Paragraph Font"/>
    <w:uiPriority w:val="1"/>
    <w:semiHidden/>
    <w:unhideWhenUsed/>
  </w:style>
  <w:style w:type="numbering" w:styleId="1000" w:default="1">
    <w:name w:val="No List"/>
    <w:uiPriority w:val="99"/>
    <w:semiHidden/>
    <w:unhideWhenUsed/>
  </w:style>
  <w:style w:type="table" w:styleId="10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TYX</dc:creator>
  <cp:lastModifiedBy>邰云祥</cp:lastModifiedBy>
  <cp:revision>25</cp:revision>
  <dcterms:created xsi:type="dcterms:W3CDTF">2023-03-16T02:16:00Z</dcterms:created>
  <dcterms:modified xsi:type="dcterms:W3CDTF">2025-03-17T07:45:08Z</dcterms:modified>
  <cp:version>917504</cp:version>
</cp:coreProperties>
</file>