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bookmarkStart w:id="265" w:name="_GoBack"/>
      <w:r>
        <w:rPr>
          <w:rFonts w:hint="eastAsia" w:ascii="宋体" w:hAnsi="宋体" w:cs="Arial"/>
          <w:color w:val="auto"/>
          <w:sz w:val="24"/>
          <w:highlight w:val="none"/>
        </w:rPr>
        <w:t xml:space="preserve"> </w:t>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6"/>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6"/>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项目名称：公园综合管理服务</w:t>
      </w:r>
      <w:r/>
    </w:p>
    <w:p>
      <w:pPr>
        <w:pStyle w:val="1026"/>
        <w:ind w:firstLine="0"/>
        <w:jc w:val="center"/>
        <w:rPr>
          <w:rFonts w:ascii="宋体" w:hAnsi="宋体"/>
          <w:color w:val="auto"/>
          <w:sz w:val="32"/>
          <w:szCs w:val="32"/>
          <w:highlight w:val="none"/>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JSZC-320582-ZBHT-G2025-0031</w:t>
      </w:r>
      <w:r>
        <w:rPr>
          <w:rFonts w:hint="eastAsia" w:ascii="宋体" w:hAnsi="宋体"/>
          <w:b/>
          <w:color w:val="auto"/>
          <w:sz w:val="32"/>
          <w:szCs w:val="32"/>
          <w:highlight w:val="none"/>
        </w:rPr>
        <w:t xml:space="preserve"> </w:t>
      </w:r>
      <w:r/>
    </w:p>
    <w:p>
      <w:pPr>
        <w:pStyle w:val="1026"/>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6"/>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758"/>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张家港保税区恒泰工程建设咨询有限公司</w:t>
      </w:r>
      <w:bookmarkEnd w:id="0"/>
      <w:r/>
      <w:r/>
    </w:p>
    <w:p>
      <w:pPr>
        <w:pStyle w:val="1026"/>
        <w:ind w:firstLine="0"/>
        <w:jc w:val="center"/>
        <w:rPr>
          <w:rFonts w:ascii="宋体" w:hAnsi="宋体" w:cs="宋体"/>
          <w:b/>
          <w:bCs/>
          <w:color w:val="auto"/>
          <w:sz w:val="32"/>
          <w:highlight w:val="none"/>
        </w:rPr>
      </w:pPr>
      <w:r>
        <w:rPr>
          <w:rFonts w:hint="eastAsia" w:ascii="宋体" w:hAnsi="宋体" w:cs="宋体"/>
          <w:b/>
          <w:bCs/>
          <w:color w:val="auto"/>
          <w:sz w:val="32"/>
          <w:highlight w:val="none"/>
          <w:lang w:eastAsia="zh-CN"/>
        </w:rPr>
        <w:t xml:space="preserve">2025年8月4日</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1" w:name="_Toc120614210"/>
      <w:r/>
      <w:bookmarkStart w:id="2" w:name="_Toc479757206"/>
      <w:r/>
      <w:bookmarkStart w:id="3" w:name="_Toc523127445"/>
      <w:r/>
      <w:bookmarkStart w:id="4" w:name="_Toc16938516"/>
      <w:r/>
      <w:bookmarkStart w:id="5" w:name="_Toc20823272"/>
      <w:r/>
      <w:bookmarkStart w:id="6" w:name="_Toc513029200"/>
      <w:r>
        <w:rPr>
          <w:rFonts w:hint="eastAsia" w:ascii="宋体" w:hAnsi="宋体"/>
          <w:b/>
          <w:bCs/>
          <w:color w:val="auto"/>
          <w:sz w:val="44"/>
          <w:szCs w:val="44"/>
          <w:highlight w:val="none"/>
        </w:rPr>
        <w:t xml:space="preserve">总  目  录</w:t>
      </w:r>
      <w:r/>
    </w:p>
    <w:p>
      <w:pPr>
        <w:pStyle w:val="766"/>
        <w:tabs>
          <w:tab w:val="right" w:pos="10082" w:leader="dot"/>
        </w:tabs>
        <w:rPr>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color w:val="auto"/>
          <w:highlight w:val="none"/>
        </w:rPr>
        <w:instrText xml:space="preserve"> HYPERLINK \l "_Toc256000000" </w:instrText>
      </w:r>
      <w:r>
        <w:rPr>
          <w:color w:val="auto"/>
          <w:highlight w:val="none"/>
        </w:rPr>
        <w:fldChar w:fldCharType="separate"/>
      </w:r>
      <w:r>
        <w:rPr>
          <w:rStyle w:val="792"/>
          <w:rFonts w:hint="eastAsia" w:ascii="宋体" w:hAnsi="宋体"/>
          <w:color w:val="auto"/>
          <w:highlight w:val="none"/>
        </w:rPr>
        <w:t xml:space="preserve">第一章  投标邀请</w:t>
      </w:r>
      <w:r>
        <w:rPr>
          <w:rStyle w:val="792"/>
          <w:color w:val="auto"/>
          <w:highlight w:val="none"/>
        </w:rPr>
        <w:tab/>
      </w:r>
      <w:r>
        <w:rPr>
          <w:color w:val="auto"/>
          <w:highlight w:val="none"/>
        </w:rPr>
        <w:fldChar w:fldCharType="begin"/>
      </w:r>
      <w:r>
        <w:rPr>
          <w:rStyle w:val="792"/>
          <w:color w:val="auto"/>
          <w:highlight w:val="none"/>
        </w:rPr>
        <w:instrText xml:space="preserve"> PAGEREF _Toc256000000 \h </w:instrText>
      </w:r>
      <w:r>
        <w:rPr>
          <w:color w:val="auto"/>
          <w:highlight w:val="none"/>
        </w:rPr>
        <w:fldChar w:fldCharType="separate"/>
      </w:r>
      <w:r>
        <w:rPr>
          <w:rStyle w:val="792"/>
          <w:color w:val="auto"/>
          <w:highlight w:val="none"/>
        </w:rPr>
        <w:t xml:space="preserve">2</w:t>
      </w:r>
      <w:r>
        <w:rPr>
          <w:color w:val="auto"/>
          <w:highlight w:val="none"/>
        </w:rPr>
        <w:fldChar w:fldCharType="end"/>
      </w:r>
      <w:r>
        <w:rPr>
          <w:color w:val="auto"/>
          <w:highlight w:val="none"/>
        </w:rPr>
        <w:fldChar w:fldCharType="end"/>
      </w:r>
      <w:r/>
    </w:p>
    <w:p>
      <w:pPr>
        <w:pStyle w:val="766"/>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"_Toc256000001" </w:instrText>
      </w:r>
      <w:r>
        <w:rPr>
          <w:color w:val="auto"/>
          <w:highlight w:val="none"/>
        </w:rPr>
        <w:fldChar w:fldCharType="separate"/>
      </w:r>
      <w:r>
        <w:rPr>
          <w:rStyle w:val="792"/>
          <w:rFonts w:hint="eastAsia" w:ascii="宋体" w:hAnsi="宋体"/>
          <w:color w:val="auto"/>
          <w:highlight w:val="none"/>
        </w:rPr>
        <w:t xml:space="preserve">第二章  投标人须知</w:t>
      </w:r>
      <w:r>
        <w:rPr>
          <w:rStyle w:val="792"/>
          <w:color w:val="auto"/>
          <w:highlight w:val="none"/>
        </w:rPr>
        <w:tab/>
      </w:r>
      <w:r>
        <w:rPr>
          <w:color w:val="auto"/>
          <w:highlight w:val="none"/>
        </w:rPr>
        <w:fldChar w:fldCharType="begin"/>
      </w:r>
      <w:r>
        <w:rPr>
          <w:rStyle w:val="792"/>
          <w:color w:val="auto"/>
          <w:highlight w:val="none"/>
        </w:rPr>
        <w:instrText xml:space="preserve"> PAGEREF _Toc256000001 \h </w:instrText>
      </w:r>
      <w:r>
        <w:rPr>
          <w:color w:val="auto"/>
          <w:highlight w:val="none"/>
        </w:rPr>
        <w:fldChar w:fldCharType="separate"/>
      </w:r>
      <w:r>
        <w:rPr>
          <w:rStyle w:val="792"/>
          <w:color w:val="auto"/>
          <w:highlight w:val="none"/>
        </w:rPr>
        <w:t xml:space="preserve">7</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"_Toc256000002" </w:instrText>
      </w:r>
      <w:r>
        <w:rPr>
          <w:color w:val="auto"/>
          <w:highlight w:val="none"/>
        </w:rPr>
        <w:fldChar w:fldCharType="separate"/>
      </w:r>
      <w:r>
        <w:rPr>
          <w:rStyle w:val="792"/>
          <w:rFonts w:hint="eastAsia" w:ascii="宋体" w:hAnsi="宋体"/>
          <w:color w:val="auto"/>
          <w:highlight w:val="none"/>
        </w:rPr>
        <w:t xml:space="preserve">一、总则</w:t>
      </w:r>
      <w:r>
        <w:rPr>
          <w:rStyle w:val="792"/>
          <w:color w:val="auto"/>
          <w:highlight w:val="none"/>
        </w:rPr>
        <w:tab/>
      </w:r>
      <w:r>
        <w:rPr>
          <w:color w:val="auto"/>
          <w:highlight w:val="none"/>
        </w:rPr>
        <w:fldChar w:fldCharType="begin"/>
      </w:r>
      <w:r>
        <w:rPr>
          <w:rStyle w:val="792"/>
          <w:color w:val="auto"/>
          <w:highlight w:val="none"/>
        </w:rPr>
        <w:instrText xml:space="preserve"> PAGEREF _Toc256000002 \h </w:instrText>
      </w:r>
      <w:r>
        <w:rPr>
          <w:color w:val="auto"/>
          <w:highlight w:val="none"/>
        </w:rPr>
        <w:fldChar w:fldCharType="separate"/>
      </w:r>
      <w:r>
        <w:rPr>
          <w:rStyle w:val="792"/>
          <w:color w:val="auto"/>
          <w:highlight w:val="none"/>
        </w:rPr>
        <w:t xml:space="preserve">7</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"_Toc256000003" </w:instrText>
      </w:r>
      <w:r>
        <w:rPr>
          <w:color w:val="auto"/>
          <w:highlight w:val="none"/>
        </w:rPr>
        <w:fldChar w:fldCharType="separate"/>
      </w:r>
      <w:r>
        <w:rPr>
          <w:rStyle w:val="792"/>
          <w:rFonts w:hint="eastAsia" w:ascii="宋体" w:hAnsi="宋体"/>
          <w:color w:val="auto"/>
          <w:highlight w:val="none"/>
        </w:rPr>
        <w:t xml:space="preserve">二、招标文件</w:t>
      </w:r>
      <w:r>
        <w:rPr>
          <w:rStyle w:val="792"/>
          <w:color w:val="auto"/>
          <w:highlight w:val="none"/>
        </w:rPr>
        <w:tab/>
      </w:r>
      <w:r>
        <w:rPr>
          <w:color w:val="auto"/>
          <w:highlight w:val="none"/>
        </w:rPr>
        <w:fldChar w:fldCharType="begin"/>
      </w:r>
      <w:r>
        <w:rPr>
          <w:rStyle w:val="792"/>
          <w:color w:val="auto"/>
          <w:highlight w:val="none"/>
        </w:rPr>
        <w:instrText xml:space="preserve"> PAGEREF _Toc256000003 \h </w:instrText>
      </w:r>
      <w:r>
        <w:rPr>
          <w:color w:val="auto"/>
          <w:highlight w:val="none"/>
        </w:rPr>
        <w:fldChar w:fldCharType="separate"/>
      </w:r>
      <w:r>
        <w:rPr>
          <w:rStyle w:val="792"/>
          <w:color w:val="auto"/>
          <w:highlight w:val="none"/>
        </w:rPr>
        <w:t xml:space="preserve">7</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"_Toc256000004" </w:instrText>
      </w:r>
      <w:r>
        <w:rPr>
          <w:color w:val="auto"/>
          <w:highlight w:val="none"/>
        </w:rPr>
        <w:fldChar w:fldCharType="separate"/>
      </w:r>
      <w:r>
        <w:rPr>
          <w:rStyle w:val="792"/>
          <w:rFonts w:hint="eastAsia" w:ascii="宋体" w:hAnsi="宋体"/>
          <w:color w:val="auto"/>
          <w:highlight w:val="none"/>
        </w:rPr>
        <w:t xml:space="preserve">三、投标文件的编制</w:t>
      </w:r>
      <w:r>
        <w:rPr>
          <w:rStyle w:val="792"/>
          <w:color w:val="auto"/>
          <w:highlight w:val="none"/>
        </w:rPr>
        <w:tab/>
      </w:r>
      <w:r>
        <w:rPr>
          <w:color w:val="auto"/>
          <w:highlight w:val="none"/>
        </w:rPr>
        <w:fldChar w:fldCharType="begin"/>
      </w:r>
      <w:r>
        <w:rPr>
          <w:rStyle w:val="792"/>
          <w:color w:val="auto"/>
          <w:highlight w:val="none"/>
        </w:rPr>
        <w:instrText xml:space="preserve"> PAGEREF _Toc256000004 \h </w:instrText>
      </w:r>
      <w:r>
        <w:rPr>
          <w:color w:val="auto"/>
          <w:highlight w:val="none"/>
        </w:rPr>
        <w:fldChar w:fldCharType="separate"/>
      </w:r>
      <w:r>
        <w:rPr>
          <w:rStyle w:val="792"/>
          <w:color w:val="auto"/>
          <w:highlight w:val="none"/>
        </w:rPr>
        <w:t xml:space="preserve">8</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"_Toc256000005" </w:instrText>
      </w:r>
      <w:r>
        <w:rPr>
          <w:color w:val="auto"/>
          <w:highlight w:val="none"/>
        </w:rPr>
        <w:fldChar w:fldCharType="separate"/>
      </w:r>
      <w:r>
        <w:rPr>
          <w:rStyle w:val="792"/>
          <w:rFonts w:hint="eastAsia" w:ascii="宋体" w:hAnsi="宋体"/>
          <w:color w:val="auto"/>
          <w:highlight w:val="none"/>
        </w:rPr>
        <w:t xml:space="preserve">四、投标文件的制作、上传、递交</w:t>
      </w:r>
      <w:r>
        <w:rPr>
          <w:rStyle w:val="792"/>
          <w:color w:val="auto"/>
          <w:highlight w:val="none"/>
        </w:rPr>
        <w:tab/>
      </w:r>
      <w:r>
        <w:rPr>
          <w:color w:val="auto"/>
          <w:highlight w:val="none"/>
        </w:rPr>
        <w:fldChar w:fldCharType="begin"/>
      </w:r>
      <w:r>
        <w:rPr>
          <w:rStyle w:val="792"/>
          <w:color w:val="auto"/>
          <w:highlight w:val="none"/>
        </w:rPr>
        <w:instrText xml:space="preserve"> PAGEREF _Toc256000005 \h </w:instrText>
      </w:r>
      <w:r>
        <w:rPr>
          <w:color w:val="auto"/>
          <w:highlight w:val="none"/>
        </w:rPr>
        <w:fldChar w:fldCharType="separate"/>
      </w:r>
      <w:r>
        <w:rPr>
          <w:rStyle w:val="792"/>
          <w:color w:val="auto"/>
          <w:highlight w:val="none"/>
        </w:rPr>
        <w:t xml:space="preserve">10</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"_Toc256000006" </w:instrText>
      </w:r>
      <w:r>
        <w:rPr>
          <w:color w:val="auto"/>
          <w:highlight w:val="none"/>
        </w:rPr>
        <w:fldChar w:fldCharType="separate"/>
      </w:r>
      <w:r>
        <w:rPr>
          <w:rStyle w:val="792"/>
          <w:rFonts w:hint="eastAsia" w:ascii="宋体" w:hAnsi="宋体"/>
          <w:color w:val="auto"/>
          <w:highlight w:val="none"/>
        </w:rPr>
        <w:t xml:space="preserve">五、开标与评标</w:t>
      </w:r>
      <w:r>
        <w:rPr>
          <w:rStyle w:val="792"/>
          <w:color w:val="auto"/>
          <w:highlight w:val="none"/>
        </w:rPr>
        <w:tab/>
      </w:r>
      <w:r>
        <w:rPr>
          <w:color w:val="auto"/>
          <w:highlight w:val="none"/>
        </w:rPr>
        <w:fldChar w:fldCharType="begin"/>
      </w:r>
      <w:r>
        <w:rPr>
          <w:rStyle w:val="792"/>
          <w:color w:val="auto"/>
          <w:highlight w:val="none"/>
        </w:rPr>
        <w:instrText xml:space="preserve"> PAGEREF _Toc256000006 \h </w:instrText>
      </w:r>
      <w:r>
        <w:rPr>
          <w:color w:val="auto"/>
          <w:highlight w:val="none"/>
        </w:rPr>
        <w:fldChar w:fldCharType="separate"/>
      </w:r>
      <w:r>
        <w:rPr>
          <w:rStyle w:val="792"/>
          <w:color w:val="auto"/>
          <w:highlight w:val="none"/>
        </w:rPr>
        <w:t xml:space="preserve">10</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"_Toc256000007" </w:instrText>
      </w:r>
      <w:r>
        <w:rPr>
          <w:color w:val="auto"/>
          <w:highlight w:val="none"/>
        </w:rPr>
        <w:fldChar w:fldCharType="separate"/>
      </w:r>
      <w:r>
        <w:rPr>
          <w:rStyle w:val="792"/>
          <w:rFonts w:hint="eastAsia" w:ascii="宋体" w:hAnsi="宋体"/>
          <w:color w:val="auto"/>
          <w:highlight w:val="none"/>
        </w:rPr>
        <w:t xml:space="preserve">六、定标</w:t>
      </w:r>
      <w:r>
        <w:rPr>
          <w:rStyle w:val="792"/>
          <w:color w:val="auto"/>
          <w:highlight w:val="none"/>
        </w:rPr>
        <w:tab/>
      </w:r>
      <w:r>
        <w:rPr>
          <w:color w:val="auto"/>
          <w:highlight w:val="none"/>
        </w:rPr>
        <w:fldChar w:fldCharType="begin"/>
      </w:r>
      <w:r>
        <w:rPr>
          <w:rStyle w:val="792"/>
          <w:color w:val="auto"/>
          <w:highlight w:val="none"/>
        </w:rPr>
        <w:instrText xml:space="preserve"> PAGEREF _Toc256000007 \h </w:instrText>
      </w:r>
      <w:r>
        <w:rPr>
          <w:color w:val="auto"/>
          <w:highlight w:val="none"/>
        </w:rPr>
        <w:fldChar w:fldCharType="separate"/>
      </w:r>
      <w:r>
        <w:rPr>
          <w:rStyle w:val="792"/>
          <w:color w:val="auto"/>
          <w:highlight w:val="none"/>
        </w:rPr>
        <w:t xml:space="preserve">14</w:t>
      </w:r>
      <w:r>
        <w:rPr>
          <w:color w:val="auto"/>
          <w:highlight w:val="none"/>
        </w:rPr>
        <w:fldChar w:fldCharType="end"/>
      </w:r>
      <w:r>
        <w:rPr>
          <w:color w:val="auto"/>
          <w:highlight w:val="none"/>
        </w:rPr>
        <w:fldChar w:fldCharType="end"/>
      </w:r>
      <w:r/>
    </w:p>
    <w:p>
      <w:pPr>
        <w:pStyle w:val="766"/>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"_Toc256000008" </w:instrText>
      </w:r>
      <w:r>
        <w:rPr>
          <w:color w:val="auto"/>
          <w:highlight w:val="none"/>
        </w:rPr>
        <w:fldChar w:fldCharType="separate"/>
      </w:r>
      <w:r>
        <w:rPr>
          <w:rStyle w:val="792"/>
          <w:rFonts w:hint="eastAsia" w:ascii="宋体" w:hAnsi="宋体"/>
          <w:color w:val="auto"/>
          <w:highlight w:val="none"/>
        </w:rPr>
        <w:t xml:space="preserve">第三章 合同条款及格式</w:t>
      </w:r>
      <w:r>
        <w:rPr>
          <w:rStyle w:val="792"/>
          <w:color w:val="auto"/>
          <w:highlight w:val="none"/>
        </w:rPr>
        <w:tab/>
      </w:r>
      <w:r>
        <w:rPr>
          <w:color w:val="auto"/>
          <w:highlight w:val="none"/>
        </w:rPr>
        <w:fldChar w:fldCharType="begin"/>
      </w:r>
      <w:r>
        <w:rPr>
          <w:rStyle w:val="792"/>
          <w:color w:val="auto"/>
          <w:highlight w:val="none"/>
        </w:rPr>
        <w:instrText xml:space="preserve"> PAGEREF _Toc256000008 \h </w:instrText>
      </w:r>
      <w:r>
        <w:rPr>
          <w:color w:val="auto"/>
          <w:highlight w:val="none"/>
        </w:rPr>
        <w:fldChar w:fldCharType="separate"/>
      </w:r>
      <w:r>
        <w:rPr>
          <w:rStyle w:val="792"/>
          <w:color w:val="auto"/>
          <w:highlight w:val="none"/>
        </w:rPr>
        <w:t xml:space="preserve">17</w:t>
      </w:r>
      <w:r>
        <w:rPr>
          <w:color w:val="auto"/>
          <w:highlight w:val="none"/>
        </w:rPr>
        <w:fldChar w:fldCharType="end"/>
      </w:r>
      <w:r>
        <w:rPr>
          <w:color w:val="auto"/>
          <w:highlight w:val="none"/>
        </w:rPr>
        <w:fldChar w:fldCharType="end"/>
      </w:r>
      <w:r/>
    </w:p>
    <w:p>
      <w:pPr>
        <w:pStyle w:val="766"/>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"_Toc256000009" </w:instrText>
      </w:r>
      <w:r>
        <w:rPr>
          <w:color w:val="auto"/>
          <w:highlight w:val="none"/>
        </w:rPr>
        <w:fldChar w:fldCharType="separate"/>
      </w:r>
      <w:r>
        <w:rPr>
          <w:rStyle w:val="792"/>
          <w:rFonts w:hint="eastAsia" w:ascii="宋体" w:hAnsi="宋体"/>
          <w:color w:val="auto"/>
          <w:highlight w:val="none"/>
        </w:rPr>
        <w:t xml:space="preserve">第四章 项目需求</w:t>
      </w:r>
      <w:r>
        <w:rPr>
          <w:rStyle w:val="792"/>
          <w:color w:val="auto"/>
          <w:highlight w:val="none"/>
        </w:rPr>
        <w:tab/>
      </w:r>
      <w:r>
        <w:rPr>
          <w:color w:val="auto"/>
          <w:highlight w:val="none"/>
        </w:rPr>
        <w:fldChar w:fldCharType="begin"/>
      </w:r>
      <w:r>
        <w:rPr>
          <w:rStyle w:val="792"/>
          <w:color w:val="auto"/>
          <w:highlight w:val="none"/>
        </w:rPr>
        <w:instrText xml:space="preserve"> PAGEREF _Toc256000009 \h </w:instrText>
      </w:r>
      <w:r>
        <w:rPr>
          <w:color w:val="auto"/>
          <w:highlight w:val="none"/>
        </w:rPr>
        <w:fldChar w:fldCharType="separate"/>
      </w:r>
      <w:r>
        <w:rPr>
          <w:rStyle w:val="792"/>
          <w:color w:val="auto"/>
          <w:highlight w:val="none"/>
        </w:rPr>
        <w:t xml:space="preserve">22</w:t>
      </w:r>
      <w:r>
        <w:rPr>
          <w:color w:val="auto"/>
          <w:highlight w:val="none"/>
        </w:rPr>
        <w:fldChar w:fldCharType="end"/>
      </w:r>
      <w:r>
        <w:rPr>
          <w:color w:val="auto"/>
          <w:highlight w:val="none"/>
        </w:rPr>
        <w:fldChar w:fldCharType="end"/>
      </w:r>
      <w:r/>
    </w:p>
    <w:p>
      <w:pPr>
        <w:pStyle w:val="766"/>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"_Toc256000010" </w:instrText>
      </w:r>
      <w:r>
        <w:rPr>
          <w:color w:val="auto"/>
          <w:highlight w:val="none"/>
        </w:rPr>
        <w:fldChar w:fldCharType="separate"/>
      </w:r>
      <w:r>
        <w:rPr>
          <w:rStyle w:val="792"/>
          <w:rFonts w:hint="eastAsia" w:ascii="宋体" w:hAnsi="宋体"/>
          <w:color w:val="auto"/>
          <w:highlight w:val="none"/>
        </w:rPr>
        <w:t xml:space="preserve">第五章 评标方法与评标标准</w:t>
      </w:r>
      <w:r>
        <w:rPr>
          <w:rStyle w:val="792"/>
          <w:color w:val="auto"/>
          <w:highlight w:val="none"/>
        </w:rPr>
        <w:tab/>
      </w:r>
      <w:r>
        <w:rPr>
          <w:color w:val="auto"/>
          <w:highlight w:val="none"/>
        </w:rPr>
        <w:fldChar w:fldCharType="begin"/>
      </w:r>
      <w:r>
        <w:rPr>
          <w:rStyle w:val="792"/>
          <w:color w:val="auto"/>
          <w:highlight w:val="none"/>
        </w:rPr>
        <w:instrText xml:space="preserve"> PAGEREF _Toc256000010 \h </w:instrText>
      </w:r>
      <w:r>
        <w:rPr>
          <w:color w:val="auto"/>
          <w:highlight w:val="none"/>
        </w:rPr>
        <w:fldChar w:fldCharType="separate"/>
      </w:r>
      <w:r>
        <w:rPr>
          <w:rStyle w:val="792"/>
          <w:color w:val="auto"/>
          <w:highlight w:val="none"/>
        </w:rPr>
        <w:t xml:space="preserve">63</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"_Toc256000011" </w:instrText>
      </w:r>
      <w:r>
        <w:rPr>
          <w:color w:val="auto"/>
          <w:highlight w:val="none"/>
        </w:rPr>
        <w:fldChar w:fldCharType="separate"/>
      </w:r>
      <w:r>
        <w:rPr>
          <w:rStyle w:val="792"/>
          <w:rFonts w:hint="eastAsia" w:ascii="宋体" w:hAnsi="宋体"/>
          <w:color w:val="auto"/>
          <w:highlight w:val="none"/>
        </w:rPr>
        <w:t xml:space="preserve">一、评标方法与定标原则</w:t>
      </w:r>
      <w:r>
        <w:rPr>
          <w:rStyle w:val="792"/>
          <w:color w:val="auto"/>
          <w:highlight w:val="none"/>
        </w:rPr>
        <w:tab/>
      </w:r>
      <w:r>
        <w:rPr>
          <w:color w:val="auto"/>
          <w:highlight w:val="none"/>
        </w:rPr>
        <w:fldChar w:fldCharType="begin"/>
      </w:r>
      <w:r>
        <w:rPr>
          <w:rStyle w:val="792"/>
          <w:color w:val="auto"/>
          <w:highlight w:val="none"/>
        </w:rPr>
        <w:instrText xml:space="preserve"> PAGEREF _Toc256000011 \h </w:instrText>
      </w:r>
      <w:r>
        <w:rPr>
          <w:color w:val="auto"/>
          <w:highlight w:val="none"/>
        </w:rPr>
        <w:fldChar w:fldCharType="separate"/>
      </w:r>
      <w:r>
        <w:rPr>
          <w:rStyle w:val="792"/>
          <w:color w:val="auto"/>
          <w:highlight w:val="none"/>
        </w:rPr>
        <w:t xml:space="preserve">63</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"_Toc256000012" </w:instrText>
      </w:r>
      <w:r>
        <w:rPr>
          <w:color w:val="auto"/>
          <w:highlight w:val="none"/>
        </w:rPr>
        <w:fldChar w:fldCharType="separate"/>
      </w:r>
      <w:r>
        <w:rPr>
          <w:rStyle w:val="792"/>
          <w:rFonts w:hint="eastAsia" w:ascii="宋体" w:hAnsi="宋体"/>
          <w:color w:val="auto"/>
          <w:highlight w:val="none"/>
        </w:rPr>
        <w:t xml:space="preserve">二、评标标准</w:t>
      </w:r>
      <w:r>
        <w:rPr>
          <w:rStyle w:val="792"/>
          <w:color w:val="auto"/>
          <w:highlight w:val="none"/>
        </w:rPr>
        <w:tab/>
      </w:r>
      <w:r>
        <w:rPr>
          <w:color w:val="auto"/>
          <w:highlight w:val="none"/>
        </w:rPr>
        <w:fldChar w:fldCharType="begin"/>
      </w:r>
      <w:r>
        <w:rPr>
          <w:rStyle w:val="792"/>
          <w:color w:val="auto"/>
          <w:highlight w:val="none"/>
        </w:rPr>
        <w:instrText xml:space="preserve"> PAGEREF _Toc256000012 \h </w:instrText>
      </w:r>
      <w:r>
        <w:rPr>
          <w:color w:val="auto"/>
          <w:highlight w:val="none"/>
        </w:rPr>
        <w:fldChar w:fldCharType="separate"/>
      </w:r>
      <w:r>
        <w:rPr>
          <w:rStyle w:val="792"/>
          <w:color w:val="auto"/>
          <w:highlight w:val="none"/>
        </w:rPr>
        <w:t xml:space="preserve">64</w:t>
      </w:r>
      <w:r>
        <w:rPr>
          <w:color w:val="auto"/>
          <w:highlight w:val="none"/>
        </w:rPr>
        <w:fldChar w:fldCharType="end"/>
      </w:r>
      <w:r>
        <w:rPr>
          <w:color w:val="auto"/>
          <w:highlight w:val="none"/>
        </w:rPr>
        <w:fldChar w:fldCharType="end"/>
      </w:r>
      <w:r/>
    </w:p>
    <w:p>
      <w:pPr>
        <w:pStyle w:val="766"/>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"_Toc256000013" </w:instrText>
      </w:r>
      <w:r>
        <w:rPr>
          <w:color w:val="auto"/>
          <w:highlight w:val="none"/>
        </w:rPr>
        <w:fldChar w:fldCharType="separate"/>
      </w:r>
      <w:r>
        <w:rPr>
          <w:rStyle w:val="792"/>
          <w:rFonts w:hint="eastAsia" w:ascii="宋体" w:hAnsi="宋体"/>
          <w:color w:val="auto"/>
          <w:highlight w:val="none"/>
        </w:rPr>
        <w:t xml:space="preserve">第六章 投标文件格式</w:t>
      </w:r>
      <w:r>
        <w:rPr>
          <w:rStyle w:val="792"/>
          <w:color w:val="auto"/>
          <w:highlight w:val="none"/>
        </w:rPr>
        <w:tab/>
      </w:r>
      <w:r>
        <w:rPr>
          <w:color w:val="auto"/>
          <w:highlight w:val="none"/>
        </w:rPr>
        <w:fldChar w:fldCharType="begin"/>
      </w:r>
      <w:r>
        <w:rPr>
          <w:rStyle w:val="792"/>
          <w:color w:val="auto"/>
          <w:highlight w:val="none"/>
        </w:rPr>
        <w:instrText xml:space="preserve"> PAGEREF _Toc256000013 \h </w:instrText>
      </w:r>
      <w:r>
        <w:rPr>
          <w:color w:val="auto"/>
          <w:highlight w:val="none"/>
        </w:rPr>
        <w:fldChar w:fldCharType="separate"/>
      </w:r>
      <w:r>
        <w:rPr>
          <w:rStyle w:val="792"/>
          <w:color w:val="auto"/>
          <w:highlight w:val="none"/>
        </w:rPr>
        <w:t xml:space="preserve">68</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"_Toc256000014" </w:instrText>
      </w:r>
      <w:r>
        <w:rPr>
          <w:color w:val="auto"/>
          <w:highlight w:val="none"/>
        </w:rPr>
        <w:fldChar w:fldCharType="separate"/>
      </w:r>
      <w:r>
        <w:rPr>
          <w:rStyle w:val="792"/>
          <w:rFonts w:ascii="宋体" w:hAnsi="宋体" w:cs="宋体"/>
          <w:b/>
          <w:color w:val="auto"/>
          <w:highlight w:val="none"/>
        </w:rPr>
        <w:t xml:space="preserve">一、封面</w:t>
      </w:r>
      <w:r>
        <w:rPr>
          <w:rStyle w:val="792"/>
          <w:color w:val="auto"/>
          <w:highlight w:val="none"/>
        </w:rPr>
        <w:tab/>
      </w:r>
      <w:r>
        <w:rPr>
          <w:color w:val="auto"/>
          <w:highlight w:val="none"/>
        </w:rPr>
        <w:fldChar w:fldCharType="begin"/>
      </w:r>
      <w:r>
        <w:rPr>
          <w:rStyle w:val="792"/>
          <w:color w:val="auto"/>
          <w:highlight w:val="none"/>
        </w:rPr>
        <w:instrText xml:space="preserve"> PAGEREF _Toc256000014 \h </w:instrText>
      </w:r>
      <w:r>
        <w:rPr>
          <w:color w:val="auto"/>
          <w:highlight w:val="none"/>
        </w:rPr>
        <w:fldChar w:fldCharType="separate"/>
      </w:r>
      <w:r>
        <w:rPr>
          <w:rStyle w:val="792"/>
          <w:color w:val="auto"/>
          <w:highlight w:val="none"/>
        </w:rPr>
        <w:t xml:space="preserve">69</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"_Toc256000015" </w:instrText>
      </w:r>
      <w:r>
        <w:rPr>
          <w:color w:val="auto"/>
          <w:highlight w:val="none"/>
        </w:rPr>
        <w:fldChar w:fldCharType="separate"/>
      </w:r>
      <w:r>
        <w:rPr>
          <w:rStyle w:val="792"/>
          <w:rFonts w:ascii="宋体" w:hAnsi="宋体" w:cs="宋体"/>
          <w:b/>
          <w:color w:val="auto"/>
          <w:highlight w:val="none"/>
        </w:rPr>
        <w:t xml:space="preserve">二、投标函格式</w:t>
      </w:r>
      <w:r>
        <w:rPr>
          <w:rStyle w:val="792"/>
          <w:color w:val="auto"/>
          <w:highlight w:val="none"/>
        </w:rPr>
        <w:tab/>
      </w:r>
      <w:r>
        <w:rPr>
          <w:color w:val="auto"/>
          <w:highlight w:val="none"/>
        </w:rPr>
        <w:fldChar w:fldCharType="begin"/>
      </w:r>
      <w:r>
        <w:rPr>
          <w:rStyle w:val="792"/>
          <w:color w:val="auto"/>
          <w:highlight w:val="none"/>
        </w:rPr>
        <w:instrText xml:space="preserve"> PAGEREF _Toc256000015 \h </w:instrText>
      </w:r>
      <w:r>
        <w:rPr>
          <w:color w:val="auto"/>
          <w:highlight w:val="none"/>
        </w:rPr>
        <w:fldChar w:fldCharType="separate"/>
      </w:r>
      <w:r>
        <w:rPr>
          <w:rStyle w:val="792"/>
          <w:color w:val="auto"/>
          <w:highlight w:val="none"/>
        </w:rPr>
        <w:t xml:space="preserve">70</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"_Toc256000016" </w:instrText>
      </w:r>
      <w:r>
        <w:rPr>
          <w:color w:val="auto"/>
          <w:highlight w:val="none"/>
        </w:rPr>
        <w:fldChar w:fldCharType="separate"/>
      </w:r>
      <w:r>
        <w:rPr>
          <w:rStyle w:val="792"/>
          <w:rFonts w:ascii="宋体" w:hAnsi="宋体" w:cs="宋体"/>
          <w:b/>
          <w:color w:val="auto"/>
          <w:highlight w:val="none"/>
        </w:rPr>
        <w:t xml:space="preserve">三、开标一览表</w:t>
      </w:r>
      <w:r>
        <w:rPr>
          <w:rStyle w:val="792"/>
          <w:color w:val="auto"/>
          <w:highlight w:val="none"/>
        </w:rPr>
        <w:tab/>
      </w:r>
      <w:r>
        <w:rPr>
          <w:color w:val="auto"/>
          <w:highlight w:val="none"/>
        </w:rPr>
        <w:fldChar w:fldCharType="begin"/>
      </w:r>
      <w:r>
        <w:rPr>
          <w:rStyle w:val="792"/>
          <w:color w:val="auto"/>
          <w:highlight w:val="none"/>
        </w:rPr>
        <w:instrText xml:space="preserve"> PAGEREF _Toc256000016 \h </w:instrText>
      </w:r>
      <w:r>
        <w:rPr>
          <w:color w:val="auto"/>
          <w:highlight w:val="none"/>
        </w:rPr>
        <w:fldChar w:fldCharType="separate"/>
      </w:r>
      <w:r>
        <w:rPr>
          <w:rStyle w:val="792"/>
          <w:color w:val="auto"/>
          <w:highlight w:val="none"/>
        </w:rPr>
        <w:t xml:space="preserve">71</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"_Toc256000017" </w:instrText>
      </w:r>
      <w:r>
        <w:rPr>
          <w:color w:val="auto"/>
          <w:highlight w:val="none"/>
        </w:rPr>
        <w:fldChar w:fldCharType="separate"/>
      </w:r>
      <w:r>
        <w:rPr>
          <w:rStyle w:val="792"/>
          <w:rFonts w:ascii="宋体" w:hAnsi="宋体" w:cs="宋体"/>
          <w:b/>
          <w:color w:val="auto"/>
          <w:highlight w:val="none"/>
        </w:rPr>
        <w:t xml:space="preserve">四、资格证明文件</w:t>
      </w:r>
      <w:r>
        <w:rPr>
          <w:rStyle w:val="792"/>
          <w:color w:val="auto"/>
          <w:highlight w:val="none"/>
        </w:rPr>
        <w:tab/>
      </w:r>
      <w:r>
        <w:rPr>
          <w:color w:val="auto"/>
          <w:highlight w:val="none"/>
        </w:rPr>
        <w:fldChar w:fldCharType="begin"/>
      </w:r>
      <w:r>
        <w:rPr>
          <w:rStyle w:val="792"/>
          <w:color w:val="auto"/>
          <w:highlight w:val="none"/>
        </w:rPr>
        <w:instrText xml:space="preserve"> PAGEREF _Toc256000017 \h </w:instrText>
      </w:r>
      <w:r>
        <w:rPr>
          <w:color w:val="auto"/>
          <w:highlight w:val="none"/>
        </w:rPr>
        <w:fldChar w:fldCharType="separate"/>
      </w:r>
      <w:r>
        <w:rPr>
          <w:rStyle w:val="792"/>
          <w:color w:val="auto"/>
          <w:highlight w:val="none"/>
        </w:rPr>
        <w:t xml:space="preserve">73</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"_Toc256000018" </w:instrText>
      </w:r>
      <w:r>
        <w:rPr>
          <w:color w:val="auto"/>
          <w:highlight w:val="none"/>
        </w:rPr>
        <w:fldChar w:fldCharType="separate"/>
      </w:r>
      <w:r>
        <w:rPr>
          <w:rStyle w:val="792"/>
          <w:rFonts w:ascii="宋体" w:hAnsi="宋体" w:cs="宋体"/>
          <w:b/>
          <w:color w:val="auto"/>
          <w:highlight w:val="none"/>
        </w:rPr>
        <w:t xml:space="preserve">五、第四章项目需求中实质性要求响应对照表</w:t>
      </w:r>
      <w:r>
        <w:rPr>
          <w:rStyle w:val="792"/>
          <w:color w:val="auto"/>
          <w:highlight w:val="none"/>
        </w:rPr>
        <w:tab/>
      </w:r>
      <w:r>
        <w:rPr>
          <w:color w:val="auto"/>
          <w:highlight w:val="none"/>
        </w:rPr>
        <w:fldChar w:fldCharType="begin"/>
      </w:r>
      <w:r>
        <w:rPr>
          <w:rStyle w:val="792"/>
          <w:color w:val="auto"/>
          <w:highlight w:val="none"/>
        </w:rPr>
        <w:instrText xml:space="preserve"> PAGEREF _Toc256000018 \h </w:instrText>
      </w:r>
      <w:r>
        <w:rPr>
          <w:color w:val="auto"/>
          <w:highlight w:val="none"/>
        </w:rPr>
        <w:fldChar w:fldCharType="separate"/>
      </w:r>
      <w:r>
        <w:rPr>
          <w:rStyle w:val="792"/>
          <w:color w:val="auto"/>
          <w:highlight w:val="none"/>
        </w:rPr>
        <w:t xml:space="preserve">87</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"_Toc256000019" </w:instrText>
      </w:r>
      <w:r>
        <w:rPr>
          <w:color w:val="auto"/>
          <w:highlight w:val="none"/>
        </w:rPr>
        <w:fldChar w:fldCharType="separate"/>
      </w:r>
      <w:r>
        <w:rPr>
          <w:rStyle w:val="792"/>
          <w:rFonts w:ascii="宋体" w:hAnsi="宋体" w:cs="宋体"/>
          <w:b/>
          <w:color w:val="auto"/>
          <w:highlight w:val="none"/>
        </w:rPr>
        <w:t xml:space="preserve">六、服务方案</w:t>
      </w:r>
      <w:r>
        <w:rPr>
          <w:rStyle w:val="792"/>
          <w:color w:val="auto"/>
          <w:highlight w:val="none"/>
        </w:rPr>
        <w:tab/>
      </w:r>
      <w:r>
        <w:rPr>
          <w:color w:val="auto"/>
          <w:highlight w:val="none"/>
        </w:rPr>
        <w:fldChar w:fldCharType="begin"/>
      </w:r>
      <w:r>
        <w:rPr>
          <w:rStyle w:val="792"/>
          <w:color w:val="auto"/>
          <w:highlight w:val="none"/>
        </w:rPr>
        <w:instrText xml:space="preserve"> PAGEREF _Toc256000019 \h </w:instrText>
      </w:r>
      <w:r>
        <w:rPr>
          <w:color w:val="auto"/>
          <w:highlight w:val="none"/>
        </w:rPr>
        <w:fldChar w:fldCharType="separate"/>
      </w:r>
      <w:r>
        <w:rPr>
          <w:rStyle w:val="792"/>
          <w:color w:val="auto"/>
          <w:highlight w:val="none"/>
        </w:rPr>
        <w:t xml:space="preserve">88</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"_Toc256000020" </w:instrText>
      </w:r>
      <w:r>
        <w:rPr>
          <w:color w:val="auto"/>
          <w:highlight w:val="none"/>
        </w:rPr>
        <w:fldChar w:fldCharType="separate"/>
      </w:r>
      <w:r>
        <w:rPr>
          <w:rStyle w:val="792"/>
          <w:rFonts w:ascii="宋体" w:hAnsi="宋体" w:cs="宋体"/>
          <w:b/>
          <w:color w:val="auto"/>
          <w:highlight w:val="none"/>
        </w:rPr>
        <w:t xml:space="preserve">七、投标人情况介绍</w:t>
      </w:r>
      <w:r>
        <w:rPr>
          <w:rStyle w:val="792"/>
          <w:color w:val="auto"/>
          <w:highlight w:val="none"/>
        </w:rPr>
        <w:tab/>
      </w:r>
      <w:r>
        <w:rPr>
          <w:color w:val="auto"/>
          <w:highlight w:val="none"/>
        </w:rPr>
        <w:fldChar w:fldCharType="begin"/>
      </w:r>
      <w:r>
        <w:rPr>
          <w:rStyle w:val="792"/>
          <w:color w:val="auto"/>
          <w:highlight w:val="none"/>
        </w:rPr>
        <w:instrText xml:space="preserve"> PAGEREF _Toc256000020 \h </w:instrText>
      </w:r>
      <w:r>
        <w:rPr>
          <w:color w:val="auto"/>
          <w:highlight w:val="none"/>
        </w:rPr>
        <w:fldChar w:fldCharType="separate"/>
      </w:r>
      <w:r>
        <w:rPr>
          <w:rStyle w:val="792"/>
          <w:color w:val="auto"/>
          <w:highlight w:val="none"/>
        </w:rPr>
        <w:t xml:space="preserve">89</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"_Toc256000022" </w:instrText>
      </w:r>
      <w:r>
        <w:rPr>
          <w:color w:val="auto"/>
          <w:highlight w:val="none"/>
        </w:rPr>
        <w:fldChar w:fldCharType="separate"/>
      </w:r>
      <w:r>
        <w:rPr>
          <w:rStyle w:val="792"/>
          <w:rFonts w:hint="eastAsia" w:ascii="宋体" w:hAnsi="宋体" w:cs="宋体"/>
          <w:b/>
          <w:color w:val="auto"/>
          <w:highlight w:val="none"/>
        </w:rPr>
        <w:t xml:space="preserve">八</w:t>
      </w:r>
      <w:r>
        <w:rPr>
          <w:rStyle w:val="792"/>
          <w:rFonts w:ascii="宋体" w:hAnsi="宋体" w:cs="宋体"/>
          <w:b/>
          <w:color w:val="auto"/>
          <w:highlight w:val="none"/>
        </w:rPr>
        <w:t xml:space="preserve">、商务条款响应及偏离表</w:t>
      </w:r>
      <w:r>
        <w:rPr>
          <w:rStyle w:val="792"/>
          <w:color w:val="auto"/>
          <w:highlight w:val="none"/>
        </w:rPr>
        <w:tab/>
      </w:r>
      <w:r>
        <w:rPr>
          <w:color w:val="auto"/>
          <w:highlight w:val="none"/>
        </w:rPr>
        <w:fldChar w:fldCharType="begin"/>
      </w:r>
      <w:r>
        <w:rPr>
          <w:rStyle w:val="792"/>
          <w:color w:val="auto"/>
          <w:highlight w:val="none"/>
        </w:rPr>
        <w:instrText xml:space="preserve"> PAGEREF _Toc256000022 \h </w:instrText>
      </w:r>
      <w:r>
        <w:rPr>
          <w:color w:val="auto"/>
          <w:highlight w:val="none"/>
        </w:rPr>
        <w:fldChar w:fldCharType="separate"/>
      </w:r>
      <w:r>
        <w:rPr>
          <w:rStyle w:val="792"/>
          <w:color w:val="auto"/>
          <w:highlight w:val="none"/>
        </w:rPr>
        <w:t xml:space="preserve">94</w:t>
      </w:r>
      <w:r>
        <w:rPr>
          <w:color w:val="auto"/>
          <w:highlight w:val="none"/>
        </w:rPr>
        <w:fldChar w:fldCharType="end"/>
      </w:r>
      <w:r>
        <w:rPr>
          <w:color w:val="auto"/>
          <w:highlight w:val="none"/>
        </w:rPr>
        <w:fldChar w:fldCharType="end"/>
      </w:r>
      <w:r/>
    </w:p>
    <w:p>
      <w:pPr>
        <w:pStyle w:val="774"/>
        <w:tabs>
          <w:tab w:val="right" w:pos="10082" w:leader="dot"/>
        </w:tabs>
        <w:rPr>
          <w:color w:val="auto"/>
          <w:sz w:val="22"/>
          <w:highlight w:val="none"/>
        </w:rPr>
      </w:pPr>
      <w:r>
        <w:rPr>
          <w:color w:val="auto"/>
          <w:highlight w:val="none"/>
        </w:rPr>
        <w:fldChar w:fldCharType="begin"/>
      </w:r>
      <w:r>
        <w:rPr>
          <w:color w:val="auto"/>
          <w:highlight w:val="none"/>
        </w:rPr>
        <w:instrText xml:space="preserve"> HYPERLINK \l "_Toc256000023" </w:instrText>
      </w:r>
      <w:r>
        <w:rPr>
          <w:color w:val="auto"/>
          <w:highlight w:val="none"/>
        </w:rPr>
        <w:fldChar w:fldCharType="separate"/>
      </w:r>
      <w:r>
        <w:rPr>
          <w:rStyle w:val="792"/>
          <w:rFonts w:hint="eastAsia" w:ascii="宋体" w:hAnsi="宋体" w:cs="宋体"/>
          <w:b/>
          <w:color w:val="auto"/>
          <w:highlight w:val="none"/>
        </w:rPr>
        <w:t xml:space="preserve">九</w:t>
      </w:r>
      <w:r>
        <w:rPr>
          <w:rStyle w:val="792"/>
          <w:rFonts w:ascii="宋体" w:hAnsi="宋体" w:cs="宋体"/>
          <w:b/>
          <w:color w:val="auto"/>
          <w:highlight w:val="none"/>
        </w:rPr>
        <w:t xml:space="preserve">、其他材料</w:t>
      </w:r>
      <w:r>
        <w:rPr>
          <w:rStyle w:val="792"/>
          <w:color w:val="auto"/>
          <w:highlight w:val="none"/>
        </w:rPr>
        <w:tab/>
      </w:r>
      <w:r>
        <w:rPr>
          <w:color w:val="auto"/>
          <w:highlight w:val="none"/>
        </w:rPr>
        <w:fldChar w:fldCharType="begin"/>
      </w:r>
      <w:r>
        <w:rPr>
          <w:rStyle w:val="792"/>
          <w:color w:val="auto"/>
          <w:highlight w:val="none"/>
        </w:rPr>
        <w:instrText xml:space="preserve"> PAGEREF _Toc256000023 \h </w:instrText>
      </w:r>
      <w:r>
        <w:rPr>
          <w:color w:val="auto"/>
          <w:highlight w:val="none"/>
        </w:rPr>
        <w:fldChar w:fldCharType="separate"/>
      </w:r>
      <w:r>
        <w:rPr>
          <w:rStyle w:val="792"/>
          <w:color w:val="auto"/>
          <w:highlight w:val="none"/>
        </w:rPr>
        <w:t xml:space="preserve">95</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ascii="宋体" w:hAnsi="宋体"/>
          <w:b/>
          <w:bCs/>
          <w:color w:val="auto"/>
          <w:sz w:val="28"/>
          <w:szCs w:val="28"/>
          <w:highlight w:val="none"/>
        </w:rPr>
        <w:fldChar w:fldCharType="end"/>
      </w:r>
      <w:bookmarkEnd w:id="1"/>
      <w:r/>
      <w:r/>
    </w:p>
    <w:p>
      <w:pPr>
        <w:pStyle w:val="782"/>
        <w:spacing w:line="360" w:lineRule="auto"/>
        <w:rPr>
          <w:rFonts w:ascii="宋体" w:hAnsi="宋体" w:eastAsia="宋体"/>
          <w:color w:val="auto"/>
          <w:highlight w:val="none"/>
        </w:rPr>
      </w:pPr>
      <w:r/>
      <w:bookmarkStart w:id="7" w:name="_Toc38368118"/>
      <w:r/>
      <w:bookmarkStart w:id="8" w:name="_Toc54615237"/>
      <w:r/>
      <w:bookmarkStart w:id="9" w:name="_Toc256000000"/>
      <w:r/>
      <w:bookmarkStart w:id="10" w:name="_Toc35266018"/>
      <w:r>
        <w:rPr>
          <w:rFonts w:hint="eastAsia" w:ascii="宋体" w:hAnsi="宋体" w:eastAsia="宋体"/>
          <w:color w:val="auto"/>
          <w:highlight w:val="none"/>
        </w:rPr>
        <w:t xml:space="preserve">第一章  投标邀请</w:t>
      </w:r>
      <w:bookmarkEnd w:id="7"/>
      <w:r/>
      <w:bookmarkEnd w:id="8"/>
      <w:r/>
      <w:bookmarkEnd w:id="9"/>
      <w:r/>
      <w:bookmarkEnd w:id="10"/>
      <w:r/>
      <w:bookmarkStart w:id="11" w:name="_Toc120614211"/>
      <w:r/>
      <w:r/>
    </w:p>
    <w:p>
      <w:pPr>
        <w:spacing w:line="440" w:lineRule="exact"/>
        <w:shd w:val="clear" w:color="auto" w:fill="ffffff"/>
        <w:widowControl/>
        <w:rPr>
          <w:rFonts w:ascii="宋体" w:hAnsi="宋体"/>
          <w:color w:val="auto"/>
          <w:sz w:val="24"/>
          <w:highlight w:val="none"/>
        </w:rPr>
      </w:pPr>
      <w:r>
        <w:rPr>
          <w:rFonts w:hint="eastAsia" w:ascii="宋体" w:hAnsi="宋体" w:cs="宋体"/>
          <w:color w:val="auto"/>
          <w:spacing w:val="8"/>
          <w:sz w:val="24"/>
          <w:highlight w:val="none"/>
        </w:rPr>
        <w:t xml:space="preserve">公园综合管理服务招标项目</w:t>
      </w:r>
      <w:r>
        <w:rPr>
          <w:rFonts w:hint="eastAsia" w:ascii="宋体" w:hAnsi="宋体"/>
          <w:color w:val="auto"/>
          <w:sz w:val="24"/>
          <w:highlight w:val="none"/>
        </w:rPr>
        <w:t xml:space="preserve">的潜在投标人应在“苏采云政府采购一体化平台”中参与项目并下载获取电子招标文件，并于</w:t>
      </w:r>
      <w:bookmarkStart w:id="12" w:name="EBee70630b2b034e3b96b8b75da3c10212"/>
      <w:r>
        <w:rPr>
          <w:rFonts w:hint="eastAsia" w:ascii="宋体" w:hAnsi="宋体"/>
          <w:color w:val="auto"/>
          <w:sz w:val="24"/>
          <w:highlight w:val="none"/>
          <w:lang w:eastAsia="zh-CN"/>
        </w:rPr>
        <w:t xml:space="preserve">2025年8月26日</w:t>
      </w:r>
      <w:r>
        <w:rPr>
          <w:rFonts w:hint="eastAsia" w:ascii="宋体" w:hAnsi="宋体"/>
          <w:color w:val="auto"/>
          <w:sz w:val="24"/>
          <w:highlight w:val="none"/>
        </w:rPr>
        <w:t xml:space="preserve">14:</w:t>
      </w:r>
      <w:bookmarkEnd w:id="12"/>
      <w:r>
        <w:rPr>
          <w:rFonts w:hint="eastAsia" w:ascii="宋体" w:hAnsi="宋体"/>
          <w:color w:val="auto"/>
          <w:sz w:val="24"/>
          <w:highlight w:val="none"/>
        </w:rPr>
        <w:t xml:space="preserve">00（北京时间）前上传电子投标文件。</w:t>
      </w:r>
      <w:r/>
    </w:p>
    <w:p>
      <w:pPr>
        <w:ind w:firstLine="555"/>
        <w:spacing w:line="360" w:lineRule="auto"/>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JSZC-320582-ZBHT-G2025-0031</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项目名称：公园综合管理服务</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highlight w:val="none"/>
        </w:rPr>
        <w:t xml:space="preserve">预算金额：</w:t>
      </w:r>
      <w:r>
        <w:rPr>
          <w:rFonts w:hint="eastAsia" w:ascii="宋体" w:hAnsi="宋体" w:cs="宋体"/>
          <w:color w:val="auto"/>
          <w:spacing w:val="8"/>
          <w:sz w:val="24"/>
          <w:szCs w:val="24"/>
          <w:highlight w:val="none"/>
        </w:rPr>
        <w:t xml:space="preserve">35135000元（第1年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1301.3万元，第2年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1171.17万元，第3年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1041.03万元）</w:t>
      </w:r>
      <w:r>
        <w:rPr>
          <w:rFonts w:ascii="宋体" w:hAnsi="宋体" w:cs="宋体"/>
          <w:color w:val="auto"/>
          <w:spacing w:val="8"/>
          <w:sz w:val="24"/>
          <w:szCs w:val="24"/>
          <w:highlight w:val="none"/>
        </w:rPr>
        <w:t xml:space="preserve">；</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szCs w:val="24"/>
          <w:highlight w:val="none"/>
        </w:rPr>
        <w:t xml:space="preserve">35135000元（第1年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1301.3万元，第2年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1171.17万元，第3年</w:t>
      </w:r>
      <w:r>
        <w:rPr>
          <w:rFonts w:hint="eastAsia" w:ascii="宋体" w:hAnsi="宋体" w:cs="宋体"/>
          <w:color w:val="auto"/>
          <w:spacing w:val="8"/>
          <w:sz w:val="24"/>
          <w:szCs w:val="24"/>
          <w:highlight w:val="none"/>
          <w:lang w:val="en-US" w:eastAsia="zh-CN"/>
        </w:rPr>
        <w:t xml:space="preserve">度</w:t>
      </w:r>
      <w:r>
        <w:rPr>
          <w:rFonts w:hint="eastAsia" w:ascii="宋体" w:hAnsi="宋体" w:cs="宋体"/>
          <w:color w:val="auto"/>
          <w:spacing w:val="8"/>
          <w:sz w:val="24"/>
          <w:szCs w:val="24"/>
          <w:highlight w:val="none"/>
        </w:rPr>
        <w:t xml:space="preserve">1041.03万元）</w:t>
      </w:r>
      <w:r>
        <w:rPr>
          <w:rFonts w:ascii="宋体" w:hAnsi="宋体" w:cs="宋体"/>
          <w:color w:val="auto"/>
          <w:spacing w:val="8"/>
          <w:sz w:val="24"/>
          <w:szCs w:val="24"/>
          <w:highlight w:val="none"/>
        </w:rPr>
        <w:t xml:space="preserve">；</w:t>
      </w:r>
      <w:r/>
    </w:p>
    <w:p>
      <w:pPr>
        <w:ind w:firstLine="555"/>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分项最高限价一览表</w:t>
      </w:r>
      <w:r/>
    </w:p>
    <w:tbl>
      <w:tblPr>
        <w:tblStyle w:val="7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3"/>
        <w:gridCol w:w="2038"/>
        <w:gridCol w:w="1313"/>
        <w:gridCol w:w="1200"/>
        <w:gridCol w:w="1437"/>
        <w:gridCol w:w="3331"/>
      </w:tblGrid>
      <w:tr>
        <w:trP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righ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单位：万元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第一年度管理费</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第二年度管理费</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第三年度管理费</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保安服务</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478.67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卫生保洁</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96.03</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公园绿化、设施维修日常维护及重要改造,第三方设备维护、文明宣传费用</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val="false"/>
          </w:tcPr>
          <w:p>
            <w:pPr>
              <w:jc w:val="both"/>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ascii="宋体" w:hAnsi="宋体" w:eastAsia="宋体" w:cs="宋体"/>
                <w:color w:val="auto"/>
                <w:sz w:val="24"/>
                <w:szCs w:val="24"/>
                <w:highlight w:val="none"/>
              </w:rPr>
              <w:t xml:space="preserve">采购单位进行巡查派单，中标单位需按时且高质量完成采购单位所派发的全部任务。若因中标单位原因导致部分任务未完成，并</w:t>
            </w:r>
            <w:r>
              <w:rPr>
                <w:rFonts w:hint="eastAsia" w:ascii="宋体" w:hAnsi="宋体" w:cs="宋体"/>
                <w:color w:val="auto"/>
                <w:sz w:val="24"/>
                <w:szCs w:val="24"/>
                <w:highlight w:val="none"/>
                <w:lang w:eastAsia="zh-CN"/>
              </w:rPr>
              <w:t xml:space="preserve">由此造成的所有损失</w:t>
            </w:r>
            <w:r>
              <w:rPr>
                <w:rFonts w:ascii="宋体" w:hAnsi="宋体" w:eastAsia="宋体" w:cs="宋体"/>
                <w:color w:val="auto"/>
                <w:sz w:val="24"/>
                <w:szCs w:val="24"/>
                <w:highlight w:val="none"/>
              </w:rPr>
              <w:t xml:space="preserve">将由中标单位全额承担。</w:t>
            </w:r>
            <w:r>
              <w:rPr>
                <w:rFonts w:hint="eastAsia" w:ascii="宋体" w:hAnsi="宋体" w:eastAsia="宋体" w:cs="宋体"/>
                <w:color w:val="auto"/>
                <w:sz w:val="24"/>
                <w:szCs w:val="24"/>
                <w:highlight w:val="none"/>
              </w:rPr>
              <w:t xml:space="preserve">服务期结束后，所有投入资产所有权归政府所有，中标方不得擅自移除或破坏。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水电费</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jc w:val="center"/>
              <w:rPr>
                <w:rFonts w:hint="default"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rPr>
              <w:t xml:space="preserve">按实结算，最高不超过供应商该项报价</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1301.3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1171.17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1041.03</w:t>
            </w:r>
            <w:r/>
          </w:p>
        </w:tc>
        <w:tc>
          <w:tcPr>
            <w:shd w:val="clear" w:color="auto" w:fill="auto"/>
            <w:tcBorders>
              <w:top w:val="single" w:color="000000" w:sz="4" w:space="0"/>
              <w:left w:val="single" w:color="000000" w:sz="4" w:space="0"/>
              <w:bottom w:val="single" w:color="000000" w:sz="4" w:space="0"/>
              <w:right w:val="single" w:color="000000" w:sz="4" w:space="0"/>
            </w:tcBorders>
            <w:tcW w:w="167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rPr>
          <w:rStyle w:val="992"/>
          <w:rFonts w:hint="eastAsia" w:ascii="宋体" w:hAnsi="宋体" w:eastAsia="宋体" w:cs="宋体"/>
          <w:i/>
          <w:iCs/>
          <w:color w:val="auto"/>
          <w:spacing w:val="7"/>
          <w:sz w:val="24"/>
          <w:szCs w:val="24"/>
          <w:highlight w:val="none"/>
          <w:u w:val="single"/>
        </w:rPr>
        <w:t xml:space="preserve">采购需求：公园综合管理服务（详见招标文件第四章）。</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rPr>
          <w:rStyle w:val="992"/>
          <w:rFonts w:hint="eastAsia" w:ascii="宋体" w:hAnsi="宋体" w:eastAsia="宋体" w:cs="宋体"/>
          <w:i/>
          <w:iCs/>
          <w:color w:val="auto"/>
          <w:spacing w:val="7"/>
          <w:sz w:val="24"/>
          <w:szCs w:val="24"/>
          <w:highlight w:val="none"/>
          <w:u w:val="single"/>
        </w:rPr>
        <w:t xml:space="preserve">本项目的原保洁服务以及绿化养护服务还未到期（其中保洁服务2026年12月31日到期、绿化养护服务2026年12月31日到期）。中标单位中标后，本项目服务期内公园管理处、住建局等相关部门签订的针对本项目公园原各类还未到期的服务（不限于保洁和绿化养护），由中标单位进行支付剩余服务期内的服务费用，相关费用包含在本项目报价中。</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合同履行期限：3年。</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shd w:val="clear" w:color="auto" w:fill="ffffff"/>
        </w:rPr>
        <w:t xml:space="preserve">本项目（是/否）接受联合体投标：否</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rPr>
          <w:rStyle w:val="992"/>
          <w:rFonts w:hint="eastAsia" w:ascii="宋体" w:hAnsi="宋体" w:eastAsia="宋体" w:cs="宋体"/>
          <w:i/>
          <w:iCs/>
          <w:color w:val="auto"/>
          <w:spacing w:val="7"/>
          <w:sz w:val="24"/>
          <w:szCs w:val="24"/>
          <w:highlight w:val="none"/>
          <w:u w:val="single"/>
        </w:rPr>
        <w:t xml:space="preserve">1.满足《中华人民共和国政府采购法》第二十二条规定；</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rPr>
          <w:rStyle w:val="992"/>
          <w:rFonts w:hint="eastAsia" w:ascii="宋体" w:hAnsi="宋体" w:eastAsia="宋体" w:cs="宋体"/>
          <w:i/>
          <w:iCs/>
          <w:color w:val="auto"/>
          <w:spacing w:val="7"/>
          <w:sz w:val="24"/>
          <w:szCs w:val="24"/>
          <w:highlight w:val="none"/>
          <w:u w:val="single"/>
        </w:rPr>
        <w:t xml:space="preserve">2.落实政府采购政策需满足的资格要求:</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bookmarkStart w:id="13" w:name="EBb3688b4234134491b6f86e45c882287f"/>
      <w:r/>
      <w:bookmarkEnd w:id="13"/>
      <w:r>
        <w:rPr>
          <w:rStyle w:val="992"/>
          <w:rFonts w:hint="eastAsia" w:ascii="宋体" w:hAnsi="宋体" w:eastAsia="宋体" w:cs="宋体"/>
          <w:i/>
          <w:iCs/>
          <w:color w:val="auto"/>
          <w:spacing w:val="7"/>
          <w:sz w:val="24"/>
          <w:szCs w:val="24"/>
          <w:highlight w:val="none"/>
          <w:u w:val="single"/>
        </w:rPr>
        <w:t xml:space="preserve">无</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rPr>
          <w:rStyle w:val="992"/>
          <w:rFonts w:hint="eastAsia" w:ascii="宋体" w:hAnsi="宋体" w:eastAsia="宋体" w:cs="宋体"/>
          <w:i/>
          <w:iCs/>
          <w:color w:val="auto"/>
          <w:spacing w:val="7"/>
          <w:sz w:val="24"/>
          <w:szCs w:val="24"/>
          <w:highlight w:val="none"/>
          <w:u w:val="single"/>
        </w:rPr>
        <w:t xml:space="preserve">3.本项目的特定资格要求：</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lang w:val="en-US" w:eastAsia="zh-CN"/>
        </w:rPr>
      </w:pPr>
      <w:r>
        <w:rPr>
          <w:rStyle w:val="992"/>
          <w:rFonts w:hint="eastAsia" w:ascii="宋体" w:hAnsi="宋体" w:eastAsia="宋体" w:cs="宋体"/>
          <w:i/>
          <w:iCs/>
          <w:color w:val="auto"/>
          <w:spacing w:val="7"/>
          <w:sz w:val="24"/>
          <w:szCs w:val="24"/>
          <w:highlight w:val="none"/>
          <w:u w:val="single"/>
          <w:lang w:val="en-US" w:eastAsia="zh-CN"/>
        </w:rPr>
        <w:t xml:space="preserve">无</w:t>
      </w:r>
      <w:r/>
    </w:p>
    <w:p>
      <w:pPr>
        <w:ind w:firstLine="555"/>
        <w:spacing w:line="360" w:lineRule="auto"/>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4.本项目</w:t>
      </w:r>
      <w:bookmarkStart w:id="14" w:name="EBf23c5c8d1a2a4bd8a1b4170606046283"/>
      <w:r>
        <w:rPr>
          <w:rFonts w:hint="eastAsia" w:ascii="宋体" w:hAnsi="宋体" w:cs="宋体"/>
          <w:i/>
          <w:color w:val="auto"/>
          <w:spacing w:val="8"/>
          <w:sz w:val="24"/>
          <w:highlight w:val="none"/>
          <w:u w:val="single"/>
        </w:rPr>
        <w:t xml:space="preserve">不允许</w:t>
      </w:r>
      <w:bookmarkEnd w:id="14"/>
      <w:r>
        <w:rPr>
          <w:rFonts w:hint="eastAsia" w:ascii="宋体" w:hAnsi="宋体" w:cs="宋体"/>
          <w:i/>
          <w:color w:val="auto"/>
          <w:spacing w:val="8"/>
          <w:sz w:val="24"/>
          <w:highlight w:val="none"/>
          <w:u w:val="single"/>
        </w:rPr>
        <w:t xml:space="preserve">进口产品投标。</w:t>
      </w:r>
      <w:r/>
    </w:p>
    <w:p>
      <w:pPr>
        <w:ind w:firstLine="555"/>
        <w:spacing w:line="360" w:lineRule="auto"/>
        <w:shd w:val="clear" w:color="auto" w:fill="ffffff"/>
        <w:widowControl/>
        <w:rPr>
          <w:rStyle w:val="992"/>
          <w:rFonts w:ascii="宋体" w:hAnsi="宋体" w:cs="宋体"/>
          <w:i/>
          <w:iCs/>
          <w:color w:val="auto"/>
          <w:spacing w:val="7"/>
          <w:sz w:val="24"/>
          <w:szCs w:val="24"/>
          <w:highlight w:val="none"/>
          <w:u w:val="single"/>
        </w:rPr>
      </w:pPr>
      <w:r>
        <w:rPr>
          <w:rStyle w:val="992"/>
          <w:rFonts w:hint="eastAsia" w:ascii="宋体" w:hAnsi="宋体" w:cs="宋体"/>
          <w:i/>
          <w:iCs/>
          <w:color w:val="auto"/>
          <w:spacing w:val="7"/>
          <w:sz w:val="24"/>
          <w:szCs w:val="24"/>
          <w:highlight w:val="none"/>
          <w:u w:val="single"/>
        </w:rPr>
        <w:t xml:space="preserve">5.拒绝下述供应商参加本次采购活动：</w:t>
      </w:r>
      <w:r/>
    </w:p>
    <w:p>
      <w:pPr>
        <w:ind w:firstLine="555"/>
        <w:spacing w:line="360" w:lineRule="auto"/>
        <w:shd w:val="clear" w:color="auto" w:fill="ffffff"/>
        <w:widowControl/>
        <w:rPr>
          <w:rStyle w:val="992"/>
          <w:rFonts w:ascii="宋体" w:hAnsi="宋体" w:cs="宋体"/>
          <w:i/>
          <w:iCs/>
          <w:color w:val="auto"/>
          <w:spacing w:val="7"/>
          <w:sz w:val="24"/>
          <w:szCs w:val="24"/>
          <w:highlight w:val="none"/>
          <w:u w:val="single"/>
        </w:rPr>
      </w:pPr>
      <w:r>
        <w:rPr>
          <w:rStyle w:val="992"/>
          <w:rFonts w:hint="eastAsia" w:ascii="宋体" w:hAnsi="宋体" w:cs="宋体"/>
          <w:i/>
          <w:iCs/>
          <w:color w:val="auto"/>
          <w:spacing w:val="7"/>
          <w:sz w:val="24"/>
          <w:szCs w:val="24"/>
          <w:highlight w:val="none"/>
          <w:u w:val="single"/>
        </w:rPr>
        <w:t xml:space="preserve">5.1供应商单位负责人为同一人或者存在直接控股、管理关系的不同供应商，不得参加同一合同项下的政府采购活动。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992"/>
          <w:rFonts w:ascii="宋体" w:hAnsi="宋体" w:cs="宋体"/>
          <w:i/>
          <w:iCs/>
          <w:color w:val="auto"/>
          <w:spacing w:val="7"/>
          <w:sz w:val="24"/>
          <w:szCs w:val="24"/>
          <w:highlight w:val="none"/>
          <w:u w:val="single"/>
        </w:rPr>
      </w:pPr>
      <w:r>
        <w:rPr>
          <w:rStyle w:val="992"/>
          <w:rFonts w:hint="eastAsia" w:ascii="宋体" w:hAnsi="宋体" w:cs="宋体"/>
          <w:i/>
          <w:iCs/>
          <w:color w:val="auto"/>
          <w:spacing w:val="7"/>
          <w:sz w:val="24"/>
          <w:szCs w:val="24"/>
          <w:highlight w:val="none"/>
          <w:u w:val="single"/>
        </w:rPr>
        <w:t xml:space="preserve">5.2凡为采购项目提供整体设计、规范编制或者项目管理、监理、检测等服务的供应商，不得再参加本项目的采购活动。</w:t>
      </w:r>
      <w:r/>
    </w:p>
    <w:p>
      <w:pPr>
        <w:ind w:firstLine="555"/>
        <w:spacing w:line="360" w:lineRule="auto"/>
        <w:shd w:val="clear" w:color="auto" w:fill="ffffff"/>
        <w:widowControl/>
        <w:rPr>
          <w:rStyle w:val="992"/>
          <w:rFonts w:ascii="宋体" w:hAnsi="宋体" w:cs="宋体"/>
          <w:i/>
          <w:iCs/>
          <w:color w:val="auto"/>
          <w:spacing w:val="7"/>
          <w:sz w:val="24"/>
          <w:szCs w:val="24"/>
          <w:highlight w:val="none"/>
          <w:u w:val="single"/>
        </w:rPr>
      </w:pPr>
      <w:r>
        <w:rPr>
          <w:rStyle w:val="992"/>
          <w:rFonts w:hint="eastAsia" w:ascii="宋体" w:hAnsi="宋体" w:cs="宋体"/>
          <w:i/>
          <w:iCs/>
          <w:color w:val="auto"/>
          <w:spacing w:val="7"/>
          <w:sz w:val="24"/>
          <w:szCs w:val="24"/>
          <w:highlight w:val="none"/>
          <w:u w:val="single"/>
        </w:rPr>
        <w:t xml:space="preserve">5.3法人的分支机构不得参加投标（除银行、保险、石油石化、电力、电信等行业特殊情况外） </w:t>
      </w:r>
      <w:r/>
    </w:p>
    <w:p>
      <w:pPr>
        <w:ind w:firstLine="555"/>
        <w:spacing w:line="360" w:lineRule="auto"/>
        <w:shd w:val="clear" w:color="auto" w:fill="ffffff"/>
        <w:widowControl/>
        <w:rPr>
          <w:rStyle w:val="992"/>
          <w:rFonts w:ascii="宋体" w:hAnsi="宋体" w:cs="宋体"/>
          <w:i/>
          <w:iCs/>
          <w:color w:val="auto"/>
          <w:spacing w:val="7"/>
          <w:sz w:val="24"/>
          <w:szCs w:val="24"/>
          <w:highlight w:val="none"/>
          <w:u w:val="single"/>
        </w:rPr>
      </w:pPr>
      <w:r>
        <w:rPr>
          <w:rStyle w:val="992"/>
          <w:rFonts w:hint="eastAsia" w:ascii="宋体" w:hAnsi="宋体" w:cs="宋体"/>
          <w:i/>
          <w:iCs/>
          <w:color w:val="auto"/>
          <w:spacing w:val="7"/>
          <w:sz w:val="24"/>
          <w:szCs w:val="24"/>
          <w:highlight w:val="none"/>
          <w:u w:val="single"/>
        </w:rPr>
        <w:t xml:space="preserve">5.4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ind w:firstLine="5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时间：自公告发布之日起5个工作日</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地点：在“苏采云”系统（网址：http://jszfcg.jsczt.cn/）自行免费下载招标文件。</w:t>
      </w:r>
      <w:r/>
    </w:p>
    <w:p>
      <w:pPr>
        <w:ind w:firstLine="5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ind w:firstLine="54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系统使用指导与咨询：联系电话：18261002950。</w:t>
      </w:r>
      <w:r/>
    </w:p>
    <w:p>
      <w:pPr>
        <w:ind w:firstLine="5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4.售价：0.00元。</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1.加密的电子投标文件上传截止时间：</w:t>
      </w:r>
      <w:r>
        <w:rPr>
          <w:rFonts w:hint="eastAsia" w:ascii="宋体" w:hAnsi="宋体" w:cs="宋体"/>
          <w:color w:val="auto"/>
          <w:sz w:val="24"/>
          <w:szCs w:val="24"/>
          <w:highlight w:val="none"/>
          <w:lang w:eastAsia="zh-CN"/>
        </w:rPr>
        <w:t xml:space="preserve">2025年8月26日</w:t>
      </w:r>
      <w:r>
        <w:rPr>
          <w:rFonts w:hint="eastAsia" w:ascii="宋体" w:hAnsi="宋体" w:cs="宋体"/>
          <w:color w:val="auto"/>
          <w:sz w:val="24"/>
          <w:szCs w:val="24"/>
          <w:highlight w:val="none"/>
        </w:rPr>
        <w:t xml:space="preserve">14:00</w:t>
      </w:r>
      <w:r>
        <w:rPr>
          <w:rFonts w:hint="eastAsia" w:ascii="宋体" w:hAnsi="宋体" w:cs="宋体"/>
          <w:color w:val="auto"/>
          <w:spacing w:val="8"/>
          <w:sz w:val="24"/>
          <w:szCs w:val="24"/>
          <w:highlight w:val="none"/>
        </w:rPr>
        <w:t xml:space="preserve">（北京时间），投标人登录苏采云政府采购一体化平台，进入“参与详情”页面，上传电子投标文件。</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注：考虑网络上传速度因素，请投标供应商适当提前上传电子投标文件。</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2.开标时间：</w:t>
      </w:r>
      <w:r>
        <w:rPr>
          <w:rFonts w:hint="eastAsia" w:ascii="宋体" w:hAnsi="宋体" w:cs="宋体"/>
          <w:color w:val="auto"/>
          <w:sz w:val="24"/>
          <w:szCs w:val="24"/>
          <w:highlight w:val="none"/>
          <w:lang w:eastAsia="zh-CN"/>
        </w:rPr>
        <w:t xml:space="preserve">2025年8月26日</w:t>
      </w:r>
      <w:r>
        <w:rPr>
          <w:rFonts w:hint="eastAsia" w:ascii="宋体" w:hAnsi="宋体" w:cs="宋体"/>
          <w:color w:val="auto"/>
          <w:sz w:val="24"/>
          <w:szCs w:val="24"/>
          <w:highlight w:val="none"/>
        </w:rPr>
        <w:t xml:space="preserve">14:00</w:t>
      </w:r>
      <w:r>
        <w:rPr>
          <w:rFonts w:hint="eastAsia" w:ascii="宋体" w:hAnsi="宋体" w:cs="宋体"/>
          <w:color w:val="auto"/>
          <w:spacing w:val="8"/>
          <w:sz w:val="24"/>
          <w:szCs w:val="24"/>
          <w:highlight w:val="none"/>
        </w:rPr>
        <w:t xml:space="preserve">（北京时间）</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3.开标地点：“苏采云”系统（网址：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pacing w:val="8"/>
          <w:sz w:val="24"/>
          <w:szCs w:val="24"/>
          <w:highlight w:val="none"/>
        </w:rPr>
        <w:t xml:space="preserve">http://jszfcg.jsczt.cn/）。</w:t>
      </w:r>
      <w:r>
        <w:rPr>
          <w:rFonts w:hint="eastAsia" w:ascii="宋体" w:hAnsi="宋体" w:cs="宋体"/>
          <w:color w:val="auto"/>
          <w:spacing w:val="8"/>
          <w:sz w:val="24"/>
          <w:szCs w:val="24"/>
          <w:highlight w:val="none"/>
        </w:rPr>
        <w:fldChar w:fldCharType="end"/>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4.现场地址：张家港市杨舍镇滨河路1号(国泰金融广场C座8楼、9楼开标室)</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b/>
          <w:bCs/>
          <w:color w:val="auto"/>
          <w:spacing w:val="8"/>
          <w:sz w:val="24"/>
          <w:szCs w:val="24"/>
          <w:highlight w:val="none"/>
        </w:rPr>
        <w:t xml:space="preserve">请供应商确保电脑、系统及其他设备（视频输入输出设备等）无误，且开标直至项目结束始终保持系统在线状态。</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pStyle w:val="1041"/>
        <w:ind w:left="0" w:firstLine="512"/>
        <w:spacing w:line="360" w:lineRule="auto"/>
        <w:rPr>
          <w:rFonts w:ascii="宋体" w:hAnsi="宋体"/>
          <w:iCs/>
          <w:color w:val="auto"/>
          <w:spacing w:val="8"/>
          <w:highlight w:val="none"/>
          <w:lang w:eastAsia="zh-CN"/>
        </w:rPr>
      </w:pPr>
      <w:r>
        <w:rPr>
          <w:rFonts w:hint="eastAsia" w:ascii="宋体" w:hAnsi="宋体"/>
          <w:iCs/>
          <w:color w:val="auto"/>
          <w:spacing w:val="8"/>
          <w:highlight w:val="none"/>
          <w:lang w:eastAsia="zh-CN"/>
        </w:rPr>
        <w:t xml:space="preserve">1.本次采购的有关信息在以下网站上发布： 中国政府采购网、江苏政府采购网、苏州市政府采购网；</w:t>
      </w:r>
      <w:r/>
    </w:p>
    <w:p>
      <w:pPr>
        <w:pStyle w:val="1041"/>
        <w:ind w:left="0" w:firstLine="512"/>
        <w:spacing w:line="360" w:lineRule="auto"/>
        <w:rPr>
          <w:rFonts w:ascii="宋体" w:hAnsi="宋体"/>
          <w:iCs/>
          <w:color w:val="auto"/>
          <w:spacing w:val="8"/>
          <w:highlight w:val="none"/>
          <w:lang w:eastAsia="zh-CN"/>
        </w:rPr>
      </w:pPr>
      <w:r>
        <w:rPr>
          <w:rFonts w:hint="eastAsia" w:ascii="宋体" w:hAnsi="宋体"/>
          <w:iCs/>
          <w:color w:val="auto"/>
          <w:spacing w:val="8"/>
          <w:highlight w:val="none"/>
          <w:lang w:eastAsia="zh-CN"/>
        </w:rPr>
        <w:t xml:space="preserve">2.有关该采购项目的澄清、修正及中标等信息亦在以上网站发布，请随时关注。</w:t>
      </w:r>
      <w:r/>
    </w:p>
    <w:p>
      <w:pPr>
        <w:ind w:firstLine="512"/>
        <w:jc w:val="left"/>
        <w:widowControl/>
        <w:rPr>
          <w:color w:val="auto"/>
          <w:highlight w:val="none"/>
        </w:rPr>
      </w:pPr>
      <w:r>
        <w:rPr>
          <w:rFonts w:hint="eastAsia" w:ascii="宋体" w:hAnsi="宋体" w:cs="宋体"/>
          <w:iCs/>
          <w:color w:val="auto"/>
          <w:spacing w:val="8"/>
          <w:sz w:val="24"/>
          <w:highlight w:val="none"/>
        </w:rPr>
        <w:t xml:space="preserve">3.本次招标不收取投标保证金。</w:t>
      </w:r>
      <w:r/>
    </w:p>
    <w:p>
      <w:pPr>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称：张家港市住房和城乡建设局</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地址：张家港市杨舍镇人民中路68号</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徐平</w:t>
      </w:r>
      <w:r>
        <w:rPr>
          <w:rFonts w:hint="eastAsia" w:ascii="宋体" w:hAnsi="宋体" w:cs="宋体"/>
          <w:color w:val="auto"/>
          <w:spacing w:val="8"/>
          <w:sz w:val="24"/>
          <w:highlight w:val="none"/>
        </w:rPr>
        <w:t xml:space="preserve">       电话：0512-56992303  </w:t>
      </w:r>
      <w:r/>
    </w:p>
    <w:p>
      <w:pPr>
        <w:ind w:left="42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15" w:name="EB87bd51c9d802413bae3fcd0e825858ca"/>
      <w:r>
        <w:rPr>
          <w:rFonts w:hint="eastAsia" w:ascii="宋体" w:hAnsi="宋体" w:cs="宋体"/>
          <w:color w:val="auto"/>
          <w:spacing w:val="8"/>
          <w:sz w:val="24"/>
          <w:highlight w:val="none"/>
        </w:rPr>
        <w:t xml:space="preserve">张家港保税区恒泰工程建设咨询有限公司</w:t>
      </w:r>
      <w:bookmarkEnd w:id="15"/>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16" w:name="EB3628905c7ca0415cbb9a8f0a4d7b3377"/>
      <w:r>
        <w:rPr>
          <w:rFonts w:hint="eastAsia" w:ascii="宋体" w:hAnsi="宋体" w:cs="宋体"/>
          <w:color w:val="auto"/>
          <w:spacing w:val="8"/>
          <w:sz w:val="24"/>
          <w:highlight w:val="none"/>
        </w:rPr>
        <w:t xml:space="preserve">张家港市北二环路340号兴港大厦西侧楼4~5楼</w:t>
      </w:r>
      <w:bookmarkEnd w:id="16"/>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17" w:name="EB78fabdffbc284811a36702afe16991bc"/>
      <w:r>
        <w:rPr>
          <w:rFonts w:hint="eastAsia" w:ascii="宋体" w:hAnsi="宋体" w:cs="宋体"/>
          <w:color w:val="auto"/>
          <w:spacing w:val="8"/>
          <w:sz w:val="24"/>
          <w:highlight w:val="none"/>
        </w:rPr>
        <w:t xml:space="preserve">13913619258</w:t>
      </w:r>
      <w:bookmarkEnd w:id="17"/>
      <w:r/>
      <w:r/>
    </w:p>
    <w:p>
      <w:pPr>
        <w:ind w:firstLine="42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18" w:name="EBb77d6276561b43e597d82e487b8fcdfd"/>
      <w:r>
        <w:rPr>
          <w:rFonts w:hint="eastAsia" w:ascii="宋体" w:hAnsi="宋体" w:cs="宋体"/>
          <w:color w:val="auto"/>
          <w:spacing w:val="8"/>
          <w:sz w:val="24"/>
          <w:highlight w:val="none"/>
        </w:rPr>
        <w:t xml:space="preserve">吴建森</w:t>
      </w:r>
      <w:bookmarkEnd w:id="18"/>
      <w:r/>
      <w:r/>
    </w:p>
    <w:p>
      <w:pPr>
        <w:ind w:firstLine="840"/>
        <w:spacing w:line="360" w:lineRule="auto"/>
        <w:shd w:val="clear" w:color="auto" w:fill="ffffff"/>
        <w:widowControl/>
        <w:rPr>
          <w:rFonts w:ascii="宋体" w:hAnsi="宋体"/>
          <w:color w:val="auto"/>
          <w:sz w:val="24"/>
          <w:highlight w:val="none"/>
        </w:rPr>
      </w:pPr>
      <w:r>
        <w:rPr>
          <w:rFonts w:hint="eastAsia" w:ascii="宋体" w:hAnsi="宋体" w:cs="宋体"/>
          <w:color w:val="auto"/>
          <w:spacing w:val="8"/>
          <w:sz w:val="24"/>
          <w:highlight w:val="none"/>
        </w:rPr>
        <w:t xml:space="preserve">电　话：</w:t>
      </w:r>
      <w:bookmarkStart w:id="19" w:name="EB4fc5f1a47f18483c98cd86dc999982b2"/>
      <w:r>
        <w:rPr>
          <w:rFonts w:hint="eastAsia" w:ascii="宋体" w:hAnsi="宋体" w:cs="宋体"/>
          <w:color w:val="auto"/>
          <w:spacing w:val="8"/>
          <w:sz w:val="24"/>
          <w:highlight w:val="none"/>
        </w:rPr>
        <w:t xml:space="preserve">13913619258</w:t>
      </w:r>
      <w:bookmarkEnd w:id="19"/>
      <w:r/>
      <w:r/>
    </w:p>
    <w:p>
      <w:pPr>
        <w:pStyle w:val="782"/>
        <w:pageBreakBefore/>
        <w:spacing w:line="360" w:lineRule="auto"/>
        <w:rPr>
          <w:rFonts w:ascii="宋体" w:hAnsi="宋体" w:eastAsia="宋体"/>
          <w:color w:val="auto"/>
          <w:highlight w:val="none"/>
        </w:rPr>
      </w:pPr>
      <w:r/>
      <w:bookmarkStart w:id="20" w:name="_Toc35266019"/>
      <w:r/>
      <w:bookmarkStart w:id="21" w:name="_Toc256000001"/>
      <w:r/>
      <w:bookmarkStart w:id="22" w:name="_Toc54615238"/>
      <w:r/>
      <w:bookmarkStart w:id="23" w:name="_Toc38368119"/>
      <w:r>
        <w:rPr>
          <w:rFonts w:hint="eastAsia" w:ascii="宋体" w:hAnsi="宋体" w:eastAsia="宋体"/>
          <w:color w:val="auto"/>
          <w:highlight w:val="none"/>
        </w:rPr>
        <w:t xml:space="preserve">第二章  </w:t>
      </w:r>
      <w:bookmarkEnd w:id="2"/>
      <w:r/>
      <w:bookmarkEnd w:id="3"/>
      <w:r/>
      <w:bookmarkEnd w:id="4"/>
      <w:r/>
      <w:bookmarkEnd w:id="5"/>
      <w:r/>
      <w:bookmarkEnd w:id="6"/>
      <w:r/>
      <w:bookmarkEnd w:id="11"/>
      <w:r/>
      <w:bookmarkStart w:id="24" w:name="_Toc20823274"/>
      <w:r/>
      <w:bookmarkStart w:id="25" w:name="_Toc16938518"/>
      <w:r/>
      <w:bookmarkStart w:id="26" w:name="_Toc513029202"/>
      <w:r/>
      <w:bookmarkStart w:id="27" w:name="_Toc120614213"/>
      <w:r>
        <w:rPr>
          <w:rFonts w:hint="eastAsia" w:ascii="宋体" w:hAnsi="宋体" w:eastAsia="宋体"/>
          <w:color w:val="auto"/>
          <w:highlight w:val="none"/>
        </w:rPr>
        <w:t xml:space="preserve">投标人须知</w:t>
      </w:r>
      <w:bookmarkEnd w:id="20"/>
      <w:r/>
      <w:bookmarkEnd w:id="21"/>
      <w:r/>
      <w:bookmarkEnd w:id="22"/>
      <w:r/>
      <w:bookmarkEnd w:id="23"/>
      <w:r/>
      <w:bookmarkEnd w:id="24"/>
      <w:r/>
      <w:bookmarkEnd w:id="25"/>
      <w:r/>
      <w:bookmarkEnd w:id="26"/>
      <w:r/>
      <w:bookmarkEnd w:id="27"/>
      <w:r/>
      <w:r/>
    </w:p>
    <w:p>
      <w:pPr>
        <w:pStyle w:val="1331"/>
        <w:ind w:firstLine="480"/>
        <w:jc w:val="left"/>
        <w:spacing w:before="0" w:after="0" w:line="312" w:lineRule="auto"/>
        <w:rPr>
          <w:rStyle w:val="1332"/>
          <w:rFonts w:ascii="宋体" w:hAnsi="宋体" w:cs="宋体"/>
          <w:b w:val="0"/>
          <w:bCs w:val="0"/>
          <w:color w:val="auto"/>
          <w:sz w:val="24"/>
          <w:szCs w:val="24"/>
          <w:highlight w:val="none"/>
        </w:rPr>
      </w:pPr>
      <w:r/>
      <w:bookmarkStart w:id="28" w:name="_Toc120614214"/>
      <w:r/>
      <w:bookmarkStart w:id="29" w:name="_Toc16938519"/>
      <w:r/>
      <w:bookmarkStart w:id="30" w:name="_Toc54615239"/>
      <w:r/>
      <w:bookmarkStart w:id="31" w:name="_Toc35266020"/>
      <w:r/>
      <w:bookmarkStart w:id="32" w:name="_Toc256000002"/>
      <w:r/>
      <w:bookmarkStart w:id="33" w:name="_Toc20823275"/>
      <w:r/>
      <w:bookmarkStart w:id="34" w:name="_Toc513029203"/>
      <w:r/>
      <w:bookmarkStart w:id="35" w:name="_Toc38368120"/>
      <w:r/>
      <w:bookmarkStart w:id="36" w:name="_Toc120614221"/>
      <w:r/>
      <w:bookmarkStart w:id="37" w:name="_Toc20823314"/>
      <w:r/>
      <w:bookmarkStart w:id="38" w:name="_Toc513029242"/>
      <w:r/>
      <w:bookmarkStart w:id="39" w:name="_Toc479757207"/>
      <w:r/>
      <w:bookmarkStart w:id="40" w:name="_Toc16938558"/>
      <w:r>
        <w:rPr>
          <w:rStyle w:val="1332"/>
          <w:rFonts w:hint="eastAsia" w:ascii="宋体" w:hAnsi="宋体" w:cs="宋体"/>
          <w:b w:val="0"/>
          <w:bCs w:val="0"/>
          <w:color w:val="auto"/>
          <w:sz w:val="24"/>
          <w:szCs w:val="24"/>
          <w:highlight w:val="none"/>
        </w:rPr>
        <w:t xml:space="preserve">一、总则</w:t>
      </w:r>
      <w:bookmarkEnd w:id="28"/>
      <w:r/>
      <w:bookmarkEnd w:id="29"/>
      <w:r/>
      <w:bookmarkEnd w:id="30"/>
      <w:r/>
      <w:bookmarkEnd w:id="31"/>
      <w:r/>
      <w:bookmarkEnd w:id="32"/>
      <w:r/>
      <w:bookmarkEnd w:id="33"/>
      <w:r/>
      <w:bookmarkEnd w:id="34"/>
      <w:r/>
      <w:bookmarkEnd w:id="35"/>
      <w:r/>
      <w:r/>
    </w:p>
    <w:p>
      <w:pPr>
        <w:ind w:firstLine="480"/>
        <w:keepLines/>
        <w:keepNext/>
        <w:spacing w:line="312" w:lineRule="auto"/>
        <w:rPr>
          <w:rFonts w:ascii="宋体" w:hAnsi="宋体" w:cs="宋体"/>
          <w:color w:val="auto"/>
          <w:sz w:val="24"/>
          <w:szCs w:val="24"/>
          <w:highlight w:val="none"/>
        </w:rPr>
        <w:outlineLvl w:val="3"/>
      </w:pPr>
      <w:r/>
      <w:bookmarkStart w:id="41" w:name="_Hlt16619475"/>
      <w:r/>
      <w:bookmarkEnd w:id="41"/>
      <w:r/>
      <w:bookmarkStart w:id="42" w:name="_Toc458694821"/>
      <w:r/>
      <w:bookmarkStart w:id="43" w:name="_Toc20823276"/>
      <w:r/>
      <w:bookmarkStart w:id="44" w:name="_Toc16938520"/>
      <w:r/>
      <w:bookmarkStart w:id="45" w:name="_Toc513029204"/>
      <w:r>
        <w:rPr>
          <w:rFonts w:hint="eastAsia" w:ascii="宋体" w:hAnsi="宋体" w:cs="宋体"/>
          <w:color w:val="auto"/>
          <w:sz w:val="24"/>
          <w:szCs w:val="24"/>
          <w:highlight w:val="none"/>
        </w:rPr>
        <w:t xml:space="preserve">1</w:t>
      </w:r>
      <w:bookmarkEnd w:id="42"/>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招标方式</w:t>
      </w:r>
      <w:bookmarkEnd w:id="43"/>
      <w:r/>
      <w:bookmarkEnd w:id="44"/>
      <w:r/>
      <w:bookmarkEnd w:id="45"/>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1.1本次招标采取公开招标方式，本招标文件仅适用于招标公告中所述项目。</w:t>
      </w:r>
      <w:r/>
    </w:p>
    <w:p>
      <w:pPr>
        <w:ind w:firstLine="480"/>
        <w:keepLines/>
        <w:keepNext/>
        <w:spacing w:line="312" w:lineRule="auto"/>
        <w:rPr>
          <w:rFonts w:ascii="宋体" w:hAnsi="宋体" w:cs="宋体"/>
          <w:color w:val="auto"/>
          <w:sz w:val="24"/>
          <w:szCs w:val="24"/>
          <w:highlight w:val="none"/>
        </w:rPr>
        <w:outlineLvl w:val="3"/>
      </w:pPr>
      <w:r/>
      <w:bookmarkStart w:id="46" w:name="_Toc20823277"/>
      <w:r/>
      <w:bookmarkStart w:id="47" w:name="_Toc16938521"/>
      <w:r/>
      <w:bookmarkStart w:id="48" w:name="_Toc513029205"/>
      <w:r>
        <w:rPr>
          <w:rFonts w:hint="eastAsia" w:ascii="宋体" w:hAnsi="宋体" w:cs="宋体"/>
          <w:color w:val="auto"/>
          <w:sz w:val="24"/>
          <w:szCs w:val="24"/>
          <w:highlight w:val="none"/>
        </w:rPr>
        <w:t xml:space="preserve">2、合格的投标人</w:t>
      </w:r>
      <w:bookmarkEnd w:id="46"/>
      <w:r/>
      <w:bookmarkEnd w:id="47"/>
      <w:r/>
      <w:bookmarkEnd w:id="48"/>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312"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2.2满足本文件实质性要求的规定</w:t>
      </w:r>
      <w:r>
        <w:rPr>
          <w:rFonts w:hint="eastAsia" w:ascii="宋体" w:hAnsi="宋体" w:cs="宋体"/>
          <w:b/>
          <w:color w:val="auto"/>
          <w:sz w:val="24"/>
          <w:szCs w:val="24"/>
          <w:highlight w:val="none"/>
        </w:rPr>
        <w:t xml:space="preserve">（本招标文件中斜体且有下划线部分为实质性要求）。</w:t>
      </w:r>
      <w:r/>
    </w:p>
    <w:p>
      <w:pPr>
        <w:ind w:firstLine="480"/>
        <w:keepLines/>
        <w:keepNext/>
        <w:spacing w:line="312" w:lineRule="auto"/>
        <w:rPr>
          <w:rFonts w:ascii="宋体" w:hAnsi="宋体" w:cs="宋体"/>
          <w:color w:val="auto"/>
          <w:sz w:val="24"/>
          <w:szCs w:val="24"/>
          <w:highlight w:val="none"/>
        </w:rPr>
        <w:outlineLvl w:val="3"/>
      </w:pPr>
      <w:r/>
      <w:bookmarkStart w:id="49" w:name="_Toc20823278"/>
      <w:r/>
      <w:bookmarkStart w:id="50" w:name="_Toc16938522"/>
      <w:r/>
      <w:bookmarkStart w:id="51" w:name="_Toc513029206"/>
      <w:r>
        <w:rPr>
          <w:rFonts w:hint="eastAsia" w:ascii="宋体" w:hAnsi="宋体" w:cs="宋体"/>
          <w:color w:val="auto"/>
          <w:sz w:val="24"/>
          <w:szCs w:val="24"/>
          <w:highlight w:val="none"/>
        </w:rPr>
        <w:t xml:space="preserve">3、适用法律</w:t>
      </w:r>
      <w:bookmarkEnd w:id="49"/>
      <w:r/>
      <w:bookmarkEnd w:id="50"/>
      <w:r/>
      <w:bookmarkEnd w:id="51"/>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3.1本次招标及由此产生的合同受中华人民共和国有关的法律法规制约和保护。</w:t>
      </w:r>
      <w:r/>
    </w:p>
    <w:p>
      <w:pPr>
        <w:ind w:firstLine="480"/>
        <w:keepLines/>
        <w:keepNext/>
        <w:spacing w:line="312" w:lineRule="auto"/>
        <w:rPr>
          <w:rFonts w:ascii="宋体" w:hAnsi="宋体" w:cs="宋体"/>
          <w:color w:val="auto"/>
          <w:sz w:val="24"/>
          <w:szCs w:val="24"/>
          <w:highlight w:val="none"/>
        </w:rPr>
        <w:outlineLvl w:val="3"/>
      </w:pPr>
      <w:r/>
      <w:bookmarkStart w:id="52" w:name="_Toc16938523"/>
      <w:r/>
      <w:bookmarkStart w:id="53" w:name="_Toc462564067"/>
      <w:r/>
      <w:bookmarkStart w:id="54" w:name="_Toc20823279"/>
      <w:r/>
      <w:bookmarkStart w:id="55" w:name="_Toc513029207"/>
      <w:r>
        <w:rPr>
          <w:rFonts w:hint="eastAsia" w:ascii="宋体" w:hAnsi="宋体" w:cs="宋体"/>
          <w:color w:val="auto"/>
          <w:sz w:val="24"/>
          <w:szCs w:val="24"/>
          <w:highlight w:val="none"/>
        </w:rPr>
        <w:t xml:space="preserve">4、投标费用</w:t>
      </w:r>
      <w:bookmarkEnd w:id="52"/>
      <w:r/>
      <w:bookmarkEnd w:id="53"/>
      <w:r/>
      <w:bookmarkEnd w:id="54"/>
      <w:r/>
      <w:bookmarkEnd w:id="55"/>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投标人应自行承担所有与参加投标有关的费用，无论投标过程中的做法和结果如何，张家港保税区恒泰工程建设咨询有限公司在任何情况下均无义务和责任承担这些费用。</w:t>
      </w:r>
      <w:r/>
    </w:p>
    <w:p>
      <w:pPr>
        <w:pStyle w:val="1247"/>
        <w:ind w:firstLine="508"/>
        <w:spacing w:line="312" w:lineRule="auto"/>
        <w:rPr>
          <w:rFonts w:ascii="宋体" w:hAnsi="宋体" w:cs="宋体"/>
          <w:color w:val="auto"/>
          <w:spacing w:val="7"/>
          <w:sz w:val="24"/>
          <w:highlight w:val="none"/>
        </w:rPr>
      </w:pPr>
      <w:r>
        <w:rPr>
          <w:rFonts w:hint="eastAsia" w:ascii="宋体" w:hAnsi="宋体" w:cs="宋体"/>
          <w:color w:val="auto"/>
          <w:spacing w:val="7"/>
          <w:sz w:val="24"/>
          <w:highlight w:val="none"/>
        </w:rPr>
        <w:t xml:space="preserve">4.2本次招标采购代理机构收取代理服务费。</w:t>
      </w:r>
      <w:r/>
    </w:p>
    <w:p>
      <w:pPr>
        <w:pStyle w:val="1247"/>
        <w:ind w:firstLine="508"/>
        <w:spacing w:line="312" w:lineRule="auto"/>
        <w:rPr>
          <w:rFonts w:ascii="宋体" w:hAnsi="宋体" w:cs="宋体"/>
          <w:color w:val="auto"/>
          <w:spacing w:val="7"/>
          <w:sz w:val="24"/>
          <w:highlight w:val="none"/>
        </w:rPr>
      </w:pPr>
      <w:r>
        <w:rPr>
          <w:rFonts w:hint="eastAsia" w:ascii="宋体" w:hAnsi="宋体" w:cs="宋体"/>
          <w:color w:val="auto"/>
          <w:spacing w:val="7"/>
          <w:sz w:val="24"/>
          <w:highlight w:val="none"/>
        </w:rPr>
        <w:t xml:space="preserve">4.2.1本项目采购代理服务费由中标（成交）供应商支付;</w:t>
      </w:r>
      <w:r/>
    </w:p>
    <w:p>
      <w:pPr>
        <w:pStyle w:val="1247"/>
        <w:ind w:firstLine="508"/>
        <w:spacing w:line="312" w:lineRule="auto"/>
        <w:rPr>
          <w:rFonts w:ascii="宋体" w:hAnsi="宋体" w:cs="宋体"/>
          <w:color w:val="auto"/>
          <w:spacing w:val="7"/>
          <w:sz w:val="24"/>
          <w:highlight w:val="none"/>
        </w:rPr>
      </w:pPr>
      <w:r>
        <w:rPr>
          <w:rFonts w:hint="eastAsia" w:ascii="宋体" w:hAnsi="宋体" w:cs="宋体"/>
          <w:color w:val="auto"/>
          <w:spacing w:val="7"/>
          <w:sz w:val="24"/>
          <w:highlight w:val="none"/>
        </w:rPr>
        <w:t xml:space="preserve">4.2.2代理费用收取方式：转账</w:t>
      </w:r>
      <w:r/>
    </w:p>
    <w:p>
      <w:pPr>
        <w:pStyle w:val="1247"/>
        <w:ind w:firstLine="508"/>
        <w:spacing w:line="312" w:lineRule="auto"/>
        <w:rPr>
          <w:rFonts w:ascii="宋体" w:hAnsi="宋体" w:cs="宋体"/>
          <w:color w:val="auto"/>
          <w:spacing w:val="7"/>
          <w:sz w:val="24"/>
          <w:highlight w:val="none"/>
        </w:rPr>
      </w:pPr>
      <w:r>
        <w:rPr>
          <w:rFonts w:hint="eastAsia" w:ascii="宋体" w:hAnsi="宋体" w:cs="宋体"/>
          <w:color w:val="auto"/>
          <w:spacing w:val="7"/>
          <w:sz w:val="24"/>
          <w:highlight w:val="none"/>
        </w:rPr>
        <w:t xml:space="preserve">4.2.3收费金额：</w:t>
      </w:r>
      <w:r>
        <w:rPr>
          <w:rFonts w:hint="eastAsia" w:ascii="宋体" w:hAnsi="宋体" w:cs="宋体"/>
          <w:color w:val="auto"/>
          <w:spacing w:val="7"/>
          <w:sz w:val="24"/>
          <w:highlight w:val="none"/>
          <w:lang w:val="en-US" w:eastAsia="zh-CN"/>
        </w:rPr>
        <w:t xml:space="preserve">80000元</w:t>
      </w:r>
      <w:r>
        <w:rPr>
          <w:rFonts w:hint="eastAsia" w:ascii="宋体" w:hAnsi="宋体" w:cs="宋体"/>
          <w:color w:val="auto"/>
          <w:spacing w:val="7"/>
          <w:sz w:val="24"/>
          <w:highlight w:val="none"/>
        </w:rPr>
        <w:t xml:space="preserve">。</w:t>
      </w:r>
      <w:r/>
    </w:p>
    <w:p>
      <w:pPr>
        <w:ind w:firstLine="480"/>
        <w:keepLines/>
        <w:keepNext/>
        <w:spacing w:line="312" w:lineRule="auto"/>
        <w:rPr>
          <w:rFonts w:ascii="宋体" w:hAnsi="宋体" w:cs="宋体"/>
          <w:color w:val="auto"/>
          <w:sz w:val="24"/>
          <w:szCs w:val="24"/>
          <w:highlight w:val="none"/>
        </w:rPr>
        <w:outlineLvl w:val="3"/>
      </w:pPr>
      <w:r/>
      <w:bookmarkStart w:id="56" w:name="EB4bef91ec166246f78c716ddc8194a87a"/>
      <w:r/>
      <w:bookmarkEnd w:id="56"/>
      <w:r>
        <w:rPr>
          <w:rFonts w:hint="eastAsia" w:ascii="宋体" w:hAnsi="宋体" w:cs="宋体"/>
          <w:color w:val="auto"/>
          <w:sz w:val="24"/>
          <w:szCs w:val="24"/>
          <w:highlight w:val="none"/>
        </w:rPr>
        <w:t xml:space="preserve">5、招标文件的约束力</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投标人一旦在苏采云政府采购一体化平台下载本招标文件决定参加投标，即被认为接受了本招标文件的规定和约束，并且视为已经知道或应当知道自身权益是否受到了损害。</w:t>
      </w:r>
      <w:r/>
    </w:p>
    <w:p>
      <w:pPr>
        <w:pStyle w:val="1331"/>
        <w:ind w:firstLine="480"/>
        <w:jc w:val="left"/>
        <w:spacing w:before="0" w:after="0" w:line="312" w:lineRule="auto"/>
        <w:rPr>
          <w:rStyle w:val="1332"/>
          <w:rFonts w:ascii="宋体" w:hAnsi="宋体" w:cs="宋体"/>
          <w:b w:val="0"/>
          <w:bCs w:val="0"/>
          <w:color w:val="auto"/>
          <w:sz w:val="24"/>
          <w:szCs w:val="24"/>
          <w:highlight w:val="none"/>
        </w:rPr>
      </w:pPr>
      <w:r/>
      <w:bookmarkStart w:id="57" w:name="_Toc35266021"/>
      <w:r/>
      <w:bookmarkStart w:id="58" w:name="_Toc16938525"/>
      <w:r/>
      <w:bookmarkStart w:id="59" w:name="_Toc20823281"/>
      <w:r/>
      <w:bookmarkStart w:id="60" w:name="_Toc54615240"/>
      <w:r/>
      <w:bookmarkStart w:id="61" w:name="_Toc513029209"/>
      <w:r/>
      <w:bookmarkStart w:id="62" w:name="_Toc120614215"/>
      <w:r/>
      <w:bookmarkStart w:id="63" w:name="_Toc38368121"/>
      <w:r/>
      <w:bookmarkStart w:id="64" w:name="_Toc256000003"/>
      <w:r>
        <w:rPr>
          <w:rStyle w:val="1332"/>
          <w:rFonts w:hint="eastAsia" w:ascii="宋体" w:hAnsi="宋体" w:cs="宋体"/>
          <w:b w:val="0"/>
          <w:bCs w:val="0"/>
          <w:color w:val="auto"/>
          <w:sz w:val="24"/>
          <w:szCs w:val="24"/>
          <w:highlight w:val="none"/>
        </w:rPr>
        <w:t xml:space="preserve">二、招标文件</w:t>
      </w:r>
      <w:bookmarkEnd w:id="57"/>
      <w:r/>
      <w:bookmarkEnd w:id="58"/>
      <w:r/>
      <w:bookmarkEnd w:id="59"/>
      <w:r/>
      <w:bookmarkEnd w:id="60"/>
      <w:r/>
      <w:bookmarkEnd w:id="61"/>
      <w:r/>
      <w:bookmarkEnd w:id="62"/>
      <w:r/>
      <w:bookmarkEnd w:id="63"/>
      <w:r/>
      <w:bookmarkEnd w:id="64"/>
      <w:r/>
      <w:r/>
    </w:p>
    <w:p>
      <w:pPr>
        <w:ind w:firstLine="480"/>
        <w:keepLines/>
        <w:keepNext/>
        <w:spacing w:line="312" w:lineRule="auto"/>
        <w:rPr>
          <w:rFonts w:ascii="宋体" w:hAnsi="宋体" w:cs="宋体"/>
          <w:color w:val="auto"/>
          <w:sz w:val="24"/>
          <w:szCs w:val="24"/>
          <w:highlight w:val="none"/>
        </w:rPr>
        <w:outlineLvl w:val="3"/>
      </w:pPr>
      <w:r/>
      <w:bookmarkStart w:id="65" w:name="_Toc513029210"/>
      <w:r/>
      <w:bookmarkStart w:id="66" w:name="_Toc16938526"/>
      <w:r/>
      <w:bookmarkStart w:id="67" w:name="_Toc20823282"/>
      <w:r>
        <w:rPr>
          <w:rFonts w:hint="eastAsia" w:ascii="宋体" w:hAnsi="宋体" w:cs="宋体"/>
          <w:color w:val="auto"/>
          <w:sz w:val="24"/>
          <w:szCs w:val="24"/>
          <w:highlight w:val="none"/>
        </w:rPr>
        <w:t xml:space="preserve">6、招标文件构成</w:t>
      </w:r>
      <w:bookmarkEnd w:id="65"/>
      <w:r/>
      <w:bookmarkEnd w:id="66"/>
      <w:r/>
      <w:bookmarkEnd w:id="67"/>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招标文件有以下部分组成：</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请仔细检查招标文件是否齐全，如有缺漏请立即与张家港保税区恒泰工程建设咨询有限公司联系解决。</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12" w:lineRule="auto"/>
        <w:rPr>
          <w:rFonts w:ascii="宋体" w:hAnsi="宋体" w:cs="宋体"/>
          <w:color w:val="auto"/>
          <w:sz w:val="24"/>
          <w:szCs w:val="24"/>
          <w:highlight w:val="none"/>
        </w:rPr>
        <w:outlineLvl w:val="3"/>
      </w:pPr>
      <w:r/>
      <w:bookmarkStart w:id="68" w:name="_Toc462564070"/>
      <w:r/>
      <w:bookmarkStart w:id="69" w:name="_Toc20823283"/>
      <w:r/>
      <w:bookmarkStart w:id="70" w:name="_Toc16938527"/>
      <w:r/>
      <w:bookmarkStart w:id="71" w:name="_Toc513029211"/>
      <w:r>
        <w:rPr>
          <w:rFonts w:hint="eastAsia" w:ascii="宋体" w:hAnsi="宋体" w:cs="宋体"/>
          <w:color w:val="auto"/>
          <w:sz w:val="24"/>
          <w:szCs w:val="24"/>
          <w:highlight w:val="none"/>
        </w:rPr>
        <w:t xml:space="preserve">7、招标文件的澄清</w:t>
      </w:r>
      <w:bookmarkEnd w:id="68"/>
      <w:r/>
      <w:bookmarkEnd w:id="69"/>
      <w:r/>
      <w:bookmarkEnd w:id="70"/>
      <w:r/>
      <w:bookmarkEnd w:id="71"/>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7.1请各投标人根据自身投标需要，联系采购人勘察项目现场（未现场勘察和未提出疑义的投标人将被视为已勘察，认同招标项目要求的内容）。</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7.2</w:t>
      </w:r>
      <w:r>
        <w:rPr>
          <w:rFonts w:hint="eastAsia" w:ascii="宋体" w:hAnsi="宋体" w:cs="宋体"/>
          <w:color w:val="auto"/>
          <w:sz w:val="24"/>
          <w:szCs w:val="24"/>
          <w:highlight w:val="none"/>
        </w:rPr>
        <w:t xml:space="preserve">任何要求对招标文件进行澄清的投标人，均应在答疑时间截止前在苏采云政府采购一体化平台“网上提问”栏目提出。招标人对答疑时间截止前收到的任何澄清要求将以网上平台予以答复。</w:t>
      </w:r>
      <w:r/>
    </w:p>
    <w:p>
      <w:pPr>
        <w:ind w:firstLine="480"/>
        <w:keepLines/>
        <w:keepNext/>
        <w:spacing w:line="312" w:lineRule="auto"/>
        <w:rPr>
          <w:rFonts w:ascii="宋体" w:hAnsi="宋体" w:cs="宋体"/>
          <w:color w:val="auto"/>
          <w:sz w:val="24"/>
          <w:szCs w:val="24"/>
          <w:highlight w:val="none"/>
        </w:rPr>
        <w:outlineLvl w:val="3"/>
      </w:pPr>
      <w:r/>
      <w:bookmarkStart w:id="72" w:name="_Toc20823284"/>
      <w:r/>
      <w:bookmarkStart w:id="73" w:name="_Toc462564071"/>
      <w:r/>
      <w:bookmarkStart w:id="74" w:name="_Toc16938528"/>
      <w:r/>
      <w:bookmarkStart w:id="75" w:name="_Toc513029212"/>
      <w:r>
        <w:rPr>
          <w:rFonts w:hint="eastAsia" w:ascii="宋体" w:hAnsi="宋体" w:cs="宋体"/>
          <w:color w:val="auto"/>
          <w:sz w:val="24"/>
          <w:szCs w:val="24"/>
          <w:highlight w:val="none"/>
        </w:rPr>
        <w:t xml:space="preserve">8、招标文件的修改</w:t>
      </w:r>
      <w:bookmarkEnd w:id="72"/>
      <w:r/>
      <w:bookmarkEnd w:id="73"/>
      <w:r/>
      <w:bookmarkEnd w:id="74"/>
      <w:r/>
      <w:bookmarkEnd w:id="75"/>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在提交投标文件截止15日前的任何时候，无论出于何种原因，招标人均可主动地或在解答投标人提出的澄清问题时对招标文件进行修改。</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8.2张家港保税区恒泰工程建设咨询有限公司</w:t>
      </w:r>
      <w:r>
        <w:rPr>
          <w:rFonts w:hint="eastAsia" w:ascii="宋体" w:hAnsi="宋体" w:cs="宋体"/>
          <w:color w:val="auto"/>
          <w:sz w:val="24"/>
          <w:szCs w:val="24"/>
          <w:highlight w:val="none"/>
        </w:rPr>
        <w:t xml:space="preserve">有权按照法定的要求推迟投标截止日期和开标日期。</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8.3</w:t>
      </w:r>
      <w:r>
        <w:rPr>
          <w:rFonts w:hint="eastAsia" w:ascii="宋体" w:hAnsi="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1331"/>
        <w:ind w:firstLine="480"/>
        <w:jc w:val="left"/>
        <w:spacing w:before="0" w:after="0" w:line="312" w:lineRule="auto"/>
        <w:rPr>
          <w:rStyle w:val="1332"/>
          <w:rFonts w:ascii="宋体" w:hAnsi="宋体" w:cs="宋体"/>
          <w:b w:val="0"/>
          <w:bCs w:val="0"/>
          <w:color w:val="auto"/>
          <w:sz w:val="24"/>
          <w:szCs w:val="24"/>
          <w:highlight w:val="none"/>
        </w:rPr>
      </w:pPr>
      <w:r/>
      <w:bookmarkStart w:id="76" w:name="_Toc16938529"/>
      <w:r/>
      <w:bookmarkStart w:id="77" w:name="_Toc513029213"/>
      <w:r/>
      <w:bookmarkStart w:id="78" w:name="_Toc20823285"/>
      <w:r/>
      <w:bookmarkStart w:id="79" w:name="_Toc38368122"/>
      <w:r/>
      <w:bookmarkStart w:id="80" w:name="_Toc35266022"/>
      <w:r/>
      <w:bookmarkStart w:id="81" w:name="_Toc120614216"/>
      <w:r/>
      <w:bookmarkStart w:id="82" w:name="_Toc54615241"/>
      <w:r/>
      <w:bookmarkStart w:id="83" w:name="_Toc256000004"/>
      <w:r/>
      <w:bookmarkStart w:id="84" w:name="_Toc462564072"/>
      <w:r>
        <w:rPr>
          <w:rStyle w:val="1332"/>
          <w:rFonts w:hint="eastAsia" w:ascii="宋体" w:hAnsi="宋体" w:cs="宋体"/>
          <w:b w:val="0"/>
          <w:bCs w:val="0"/>
          <w:color w:val="auto"/>
          <w:sz w:val="24"/>
          <w:szCs w:val="24"/>
          <w:highlight w:val="none"/>
        </w:rPr>
        <w:t xml:space="preserve">三、投标文件的编制</w:t>
      </w:r>
      <w:bookmarkEnd w:id="76"/>
      <w:r/>
      <w:bookmarkEnd w:id="77"/>
      <w:r/>
      <w:bookmarkEnd w:id="78"/>
      <w:r/>
      <w:bookmarkEnd w:id="79"/>
      <w:r/>
      <w:bookmarkEnd w:id="80"/>
      <w:r/>
      <w:bookmarkEnd w:id="81"/>
      <w:r/>
      <w:bookmarkEnd w:id="82"/>
      <w:r/>
      <w:bookmarkEnd w:id="83"/>
      <w:r/>
      <w:bookmarkEnd w:id="84"/>
      <w:r/>
      <w:r/>
    </w:p>
    <w:p>
      <w:pPr>
        <w:ind w:firstLine="480"/>
        <w:keepLines/>
        <w:keepNext/>
        <w:spacing w:line="312" w:lineRule="auto"/>
        <w:rPr>
          <w:rFonts w:ascii="宋体" w:hAnsi="宋体" w:cs="宋体"/>
          <w:b/>
          <w:color w:val="auto"/>
          <w:sz w:val="24"/>
          <w:szCs w:val="24"/>
          <w:highlight w:val="none"/>
        </w:rPr>
        <w:outlineLvl w:val="3"/>
      </w:pPr>
      <w:r/>
      <w:bookmarkStart w:id="85" w:name="_Toc20823286"/>
      <w:r/>
      <w:bookmarkStart w:id="86" w:name="_Toc16938530"/>
      <w:r/>
      <w:bookmarkStart w:id="87" w:name="_Toc462564073"/>
      <w:r/>
      <w:bookmarkStart w:id="88" w:name="_Toc513029214"/>
      <w:r>
        <w:rPr>
          <w:rFonts w:hint="eastAsia" w:ascii="宋体" w:hAnsi="宋体" w:cs="宋体"/>
          <w:color w:val="auto"/>
          <w:sz w:val="24"/>
          <w:szCs w:val="24"/>
          <w:highlight w:val="none"/>
        </w:rPr>
        <w:t xml:space="preserve">9、投标文件的语言及度量衡单位</w:t>
      </w:r>
      <w:bookmarkEnd w:id="85"/>
      <w:r/>
      <w:bookmarkEnd w:id="86"/>
      <w:r/>
      <w:bookmarkEnd w:id="87"/>
      <w:r/>
      <w:bookmarkEnd w:id="88"/>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投标人提交的投标文件以及投标人与张家港保税区恒泰工程建设咨询有限公司就有关投标的所有来往通知、函件和文件均应使用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除技术性能另有规定外，投标文件所使用的度量衡单位，均须采用国家法定计量单位。</w:t>
      </w:r>
      <w:r/>
    </w:p>
    <w:p>
      <w:pPr>
        <w:ind w:firstLine="480"/>
        <w:keepLines/>
        <w:keepNext/>
        <w:spacing w:line="312" w:lineRule="auto"/>
        <w:rPr>
          <w:rFonts w:ascii="宋体" w:hAnsi="宋体" w:cs="宋体"/>
          <w:color w:val="auto"/>
          <w:sz w:val="24"/>
          <w:szCs w:val="24"/>
          <w:highlight w:val="none"/>
        </w:rPr>
        <w:outlineLvl w:val="3"/>
      </w:pPr>
      <w:r/>
      <w:bookmarkStart w:id="89" w:name="_Toc20823287"/>
      <w:r/>
      <w:bookmarkStart w:id="90" w:name="_Toc513029215"/>
      <w:r/>
      <w:bookmarkStart w:id="91" w:name="_Toc462564074"/>
      <w:r/>
      <w:bookmarkStart w:id="92" w:name="_Toc16938531"/>
      <w:r>
        <w:rPr>
          <w:rFonts w:hint="eastAsia" w:ascii="宋体" w:hAnsi="宋体" w:cs="宋体"/>
          <w:color w:val="auto"/>
          <w:sz w:val="24"/>
          <w:szCs w:val="24"/>
          <w:highlight w:val="none"/>
        </w:rPr>
        <w:t xml:space="preserve">10、投标文件构成</w:t>
      </w:r>
      <w:bookmarkEnd w:id="89"/>
      <w:r/>
      <w:bookmarkEnd w:id="90"/>
      <w:r/>
      <w:bookmarkEnd w:id="91"/>
      <w:r/>
      <w:bookmarkEnd w:id="92"/>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10.2特别提醒：投标人必须在投标文件接收截止时间之前在系统中提交所有与开评标相关的资料。开评标现场不接收任何资料。</w:t>
      </w:r>
      <w:r/>
    </w:p>
    <w:p>
      <w:pPr>
        <w:ind w:firstLine="480"/>
        <w:keepLines/>
        <w:keepNext/>
        <w:spacing w:line="312" w:lineRule="auto"/>
        <w:rPr>
          <w:rFonts w:ascii="宋体" w:hAnsi="宋体" w:cs="宋体"/>
          <w:color w:val="auto"/>
          <w:sz w:val="24"/>
          <w:szCs w:val="24"/>
          <w:highlight w:val="none"/>
        </w:rPr>
        <w:outlineLvl w:val="3"/>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cs="宋体"/>
          <w:color w:val="auto"/>
          <w:sz w:val="24"/>
          <w:szCs w:val="24"/>
          <w:highlight w:val="none"/>
        </w:rPr>
        <w:t xml:space="preserve">11、投标函和开标一览表</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color w:val="auto"/>
          <w:sz w:val="24"/>
          <w:szCs w:val="24"/>
          <w:highlight w:val="none"/>
        </w:rPr>
        <w:t xml:space="preserve">投标人应按照招标文件中提供的格式完整、正确填写投标函、开标一览表。</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11.2开标一览表中的价格应与投标文件中投标配置与分项报价表中的价格一致，若出现价格不一致的情况，评标时一律按开标一览表中价格为准</w:t>
      </w:r>
      <w:r>
        <w:rPr>
          <w:rFonts w:hint="eastAsia" w:ascii="宋体" w:hAnsi="宋体" w:cs="宋体"/>
          <w:b/>
          <w:bCs/>
          <w:color w:val="auto"/>
          <w:sz w:val="24"/>
          <w:szCs w:val="24"/>
          <w:highlight w:val="none"/>
        </w:rPr>
        <w:t xml:space="preserve">。</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12、投标人资格证明文件</w:t>
      </w:r>
      <w:bookmarkEnd w:id="96"/>
      <w:r/>
      <w:bookmarkEnd w:id="97"/>
      <w:r/>
      <w:bookmarkEnd w:id="98"/>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bookmarkStart w:id="102" w:name="_Hlt26668999"/>
      <w:r/>
      <w:bookmarkEnd w:id="102"/>
      <w:r>
        <w:rPr>
          <w:rFonts w:hint="eastAsia" w:ascii="宋体" w:hAnsi="宋体" w:cs="宋体"/>
          <w:color w:val="auto"/>
          <w:sz w:val="24"/>
          <w:szCs w:val="24"/>
          <w:highlight w:val="none"/>
        </w:rPr>
        <w:t xml:space="preserve">投标人应按招标文件的要求提交资格证明文件。</w:t>
      </w:r>
      <w:bookmarkEnd w:id="99"/>
      <w:r/>
      <w:bookmarkEnd w:id="100"/>
      <w:r/>
      <w:bookmarkEnd w:id="101"/>
      <w:r/>
      <w:r/>
    </w:p>
    <w:p>
      <w:pPr>
        <w:ind w:firstLine="480"/>
        <w:keepLines/>
        <w:keepNext/>
        <w:spacing w:line="312" w:lineRule="auto"/>
        <w:rPr>
          <w:rFonts w:ascii="宋体" w:hAnsi="宋体" w:cs="宋体"/>
          <w:color w:val="auto"/>
          <w:sz w:val="24"/>
          <w:szCs w:val="24"/>
          <w:highlight w:val="none"/>
        </w:rPr>
        <w:outlineLvl w:val="3"/>
      </w:pPr>
      <w:r/>
      <w:bookmarkStart w:id="103" w:name="_Toc14577355"/>
      <w:r/>
      <w:bookmarkStart w:id="104" w:name="_Toc49090508"/>
      <w:r>
        <w:rPr>
          <w:rFonts w:hint="eastAsia" w:ascii="宋体" w:hAnsi="宋体" w:cs="宋体"/>
          <w:color w:val="auto"/>
          <w:sz w:val="24"/>
          <w:szCs w:val="24"/>
          <w:highlight w:val="none"/>
        </w:rPr>
        <w:t xml:space="preserve">13、投标配置与分项报价</w:t>
      </w:r>
      <w:bookmarkStart w:id="105" w:name="_Hlt26670373"/>
      <w:r/>
      <w:bookmarkEnd w:id="105"/>
      <w:r>
        <w:rPr>
          <w:rFonts w:hint="eastAsia" w:ascii="宋体" w:hAnsi="宋体" w:cs="宋体"/>
          <w:color w:val="auto"/>
          <w:sz w:val="24"/>
          <w:szCs w:val="24"/>
          <w:highlight w:val="none"/>
        </w:rPr>
        <w:t xml:space="preserve">表</w:t>
      </w:r>
      <w:bookmarkEnd w:id="103"/>
      <w:r/>
      <w:bookmarkEnd w:id="104"/>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w:t>
      </w:r>
      <w:r>
        <w:rPr>
          <w:rFonts w:hint="eastAsia" w:ascii="宋体" w:hAnsi="宋体" w:cs="宋体"/>
          <w:b/>
          <w:color w:val="auto"/>
          <w:sz w:val="24"/>
          <w:szCs w:val="24"/>
          <w:highlight w:val="none"/>
        </w:rPr>
        <w:t xml:space="preserve">投标人应按照招标文件规定格式填报。每项货物和服务等只允许有一个报价。</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13.2标的物</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13.2.1采购人需求的有关服务等。</w:t>
      </w:r>
      <w:r/>
    </w:p>
    <w:p>
      <w:pPr>
        <w:pStyle w:val="1333"/>
        <w:ind w:firstLine="480"/>
        <w:spacing w:line="312" w:lineRule="auto"/>
        <w:rPr>
          <w:rFonts w:ascii="宋体" w:eastAsia="宋体" w:cs="宋体"/>
          <w:color w:val="auto"/>
          <w:sz w:val="24"/>
          <w:szCs w:val="24"/>
          <w:highlight w:val="none"/>
        </w:rPr>
      </w:pPr>
      <w:r>
        <w:rPr>
          <w:rFonts w:hint="eastAsia" w:ascii="宋体" w:eastAsia="宋体" w:cs="宋体"/>
          <w:bCs/>
          <w:color w:val="auto"/>
          <w:sz w:val="24"/>
          <w:szCs w:val="24"/>
          <w:highlight w:val="none"/>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13.3投标货币</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投标文件中的单价和总价无特殊规定的采用人民币报价，以元为</w:t>
      </w:r>
      <w:r>
        <w:rPr>
          <w:rFonts w:hint="eastAsia" w:ascii="宋体" w:hAnsi="宋体" w:cs="宋体"/>
          <w:bCs/>
          <w:color w:val="auto"/>
          <w:sz w:val="24"/>
          <w:szCs w:val="24"/>
          <w:highlight w:val="none"/>
        </w:rPr>
        <w:t xml:space="preserve">单位标注。招标文件中另有规定的按规定执行。</w:t>
      </w:r>
      <w:r/>
    </w:p>
    <w:p>
      <w:pPr>
        <w:pStyle w:val="1333"/>
        <w:ind w:firstLine="480"/>
        <w:spacing w:line="312" w:lineRule="auto"/>
        <w:rPr>
          <w:rFonts w:ascii="宋体" w:eastAsia="宋体" w:cs="宋体"/>
          <w:bCs/>
          <w:color w:val="auto"/>
          <w:sz w:val="24"/>
          <w:szCs w:val="24"/>
          <w:highlight w:val="none"/>
        </w:rPr>
      </w:pPr>
      <w:r>
        <w:rPr>
          <w:rFonts w:hint="eastAsia" w:ascii="宋体" w:eastAsia="宋体" w:cs="宋体"/>
          <w:bCs/>
          <w:color w:val="auto"/>
          <w:sz w:val="24"/>
          <w:szCs w:val="24"/>
          <w:highlight w:val="none"/>
        </w:rPr>
        <w:t xml:space="preserve">13.4项目总价应包括但不限于人员费用（工资、福利、培训、社会保险等）、服务所用设备工具购置及维修费用、服务所用材料消耗费用、保安、保洁、公园公共设施维修改造功能提升费用、中标服务费、管理费用、利润、税金、政策性文件规定及合同包含的所有风险、责任等各项应有费用。</w:t>
      </w:r>
      <w:r/>
    </w:p>
    <w:p>
      <w:pPr>
        <w:ind w:firstLine="480"/>
        <w:spacing w:line="312" w:lineRule="auto"/>
        <w:rPr>
          <w:rFonts w:ascii="宋体" w:hAnsi="宋体" w:cs="宋体"/>
          <w:bCs/>
          <w:color w:val="auto"/>
          <w:sz w:val="24"/>
          <w:szCs w:val="24"/>
          <w:highlight w:val="none"/>
        </w:rPr>
      </w:pPr>
      <w:r/>
      <w:bookmarkStart w:id="106" w:name="EB8486dd9157984dc9aa62437fb6aa6f0f"/>
      <w:r/>
      <w:bookmarkEnd w:id="106"/>
      <w:r>
        <w:rPr>
          <w:rFonts w:hint="eastAsia" w:ascii="宋体" w:hAnsi="宋体" w:cs="宋体"/>
          <w:bCs/>
          <w:color w:val="auto"/>
          <w:sz w:val="24"/>
          <w:szCs w:val="24"/>
          <w:highlight w:val="none"/>
        </w:rPr>
        <w:t xml:space="preserve">13.5本报价必须充分考虑所有可能影响到报价的价格因素，一旦投标结束最终成交，如发生漏、缺、少项，都将被认为是中标人的报价让利行为。</w:t>
      </w:r>
      <w:bookmarkStart w:id="107" w:name="_Hlt26954848"/>
      <w:r/>
      <w:bookmarkEnd w:id="107"/>
      <w:r/>
      <w:bookmarkStart w:id="108" w:name="_Hlt26954731"/>
      <w:r/>
      <w:bookmarkEnd w:id="108"/>
      <w:r/>
      <w:bookmarkStart w:id="109" w:name="_Hlt26670482"/>
      <w:r/>
      <w:bookmarkEnd w:id="109"/>
      <w:r/>
      <w:bookmarkStart w:id="110" w:name="_Hlt26670486"/>
      <w:r/>
      <w:bookmarkEnd w:id="110"/>
      <w:r/>
      <w:bookmarkStart w:id="111" w:name="_Hlt26954846"/>
      <w:r/>
      <w:bookmarkEnd w:id="111"/>
      <w:r/>
      <w:r/>
    </w:p>
    <w:p>
      <w:pPr>
        <w:ind w:firstLine="480"/>
        <w:keepLines/>
        <w:keepNext/>
        <w:spacing w:line="312" w:lineRule="auto"/>
        <w:rPr>
          <w:rFonts w:ascii="宋体" w:hAnsi="宋体" w:cs="宋体"/>
          <w:color w:val="auto"/>
          <w:sz w:val="24"/>
          <w:szCs w:val="24"/>
          <w:highlight w:val="none"/>
        </w:rPr>
        <w:outlineLvl w:val="3"/>
      </w:pPr>
      <w:r/>
      <w:bookmarkStart w:id="112" w:name="_Toc49090510"/>
      <w:r/>
      <w:bookmarkStart w:id="113" w:name="_Toc14577359"/>
      <w:r>
        <w:rPr>
          <w:rFonts w:hint="eastAsia" w:ascii="宋体" w:hAnsi="宋体" w:cs="宋体"/>
          <w:color w:val="auto"/>
          <w:sz w:val="24"/>
          <w:szCs w:val="24"/>
          <w:highlight w:val="none"/>
        </w:rPr>
        <w:t xml:space="preserve">14、技术及服务方案</w:t>
      </w:r>
      <w:r/>
    </w:p>
    <w:p>
      <w:pPr>
        <w:pStyle w:val="1222"/>
        <w:ind w:firstLine="480"/>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14.1根据自己对需求的理解撰写需求分析和服务方案。</w:t>
      </w:r>
      <w:r/>
    </w:p>
    <w:p>
      <w:pPr>
        <w:pStyle w:val="1222"/>
        <w:ind w:firstLine="480"/>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15、投标人情况介绍</w:t>
      </w:r>
      <w:r/>
    </w:p>
    <w:p>
      <w:pPr>
        <w:pStyle w:val="1255"/>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15.1投标人的总体情况应在电子投标文件中作出说明。</w:t>
      </w:r>
      <w:bookmarkEnd w:id="112"/>
      <w:r/>
      <w:bookmarkEnd w:id="113"/>
      <w:r/>
      <w:r/>
    </w:p>
    <w:p>
      <w:pPr>
        <w:ind w:firstLine="480"/>
        <w:keepLines/>
        <w:keepNext/>
        <w:spacing w:line="312" w:lineRule="auto"/>
        <w:rPr>
          <w:rFonts w:ascii="宋体" w:hAnsi="宋体" w:cs="宋体"/>
          <w:color w:val="auto"/>
          <w:sz w:val="24"/>
          <w:szCs w:val="24"/>
          <w:highlight w:val="none"/>
        </w:rPr>
        <w:outlineLvl w:val="3"/>
      </w:pPr>
      <w:r/>
      <w:bookmarkStart w:id="114" w:name="_Hlt26670489"/>
      <w:r/>
      <w:bookmarkEnd w:id="114"/>
      <w:r/>
      <w:bookmarkStart w:id="115" w:name="_Hlt26954734"/>
      <w:r/>
      <w:bookmarkEnd w:id="115"/>
      <w:r/>
      <w:bookmarkStart w:id="116" w:name="EBf6e5e332cb7245ab8f3a9801503c122b"/>
      <w:r/>
      <w:bookmarkEnd w:id="116"/>
      <w:r/>
      <w:bookmarkStart w:id="117" w:name="_Hlt26954850"/>
      <w:r/>
      <w:bookmarkEnd w:id="117"/>
      <w:r/>
      <w:bookmarkStart w:id="118" w:name="_Toc14577360"/>
      <w:r/>
      <w:bookmarkStart w:id="119" w:name="_Toc49090511"/>
      <w:r>
        <w:rPr>
          <w:rFonts w:hint="eastAsia" w:ascii="宋体" w:hAnsi="宋体" w:cs="宋体"/>
          <w:color w:val="auto"/>
          <w:sz w:val="24"/>
          <w:szCs w:val="24"/>
          <w:highlight w:val="none"/>
        </w:rPr>
        <w:t xml:space="preserve">16、投标保证金</w:t>
      </w:r>
      <w:r/>
    </w:p>
    <w:p>
      <w:pPr>
        <w:pStyle w:val="1222"/>
        <w:ind w:firstLine="480"/>
        <w:spacing w:line="312" w:lineRule="auto"/>
        <w:rPr>
          <w:rFonts w:ascii="宋体" w:hAnsi="宋体"/>
          <w:color w:val="auto"/>
          <w:sz w:val="24"/>
          <w:szCs w:val="24"/>
          <w:highlight w:val="none"/>
        </w:rPr>
      </w:pPr>
      <w:r>
        <w:rPr>
          <w:rFonts w:hint="eastAsia" w:ascii="宋体" w:hAnsi="宋体"/>
          <w:color w:val="auto"/>
          <w:sz w:val="24"/>
          <w:szCs w:val="24"/>
          <w:highlight w:val="none"/>
        </w:rPr>
        <w:t xml:space="preserve">16.1本次招标不收取投标保证金。</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17、投标有效期</w:t>
      </w:r>
      <w:bookmarkEnd w:id="118"/>
      <w:r/>
      <w:bookmarkEnd w:id="119"/>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投标有效期为张家港保税区恒泰工程建设咨询有限公司规定的开标之日后</w:t>
      </w:r>
      <w:r>
        <w:rPr>
          <w:rFonts w:hint="eastAsia" w:ascii="宋体" w:hAnsi="宋体" w:cs="宋体"/>
          <w:b/>
          <w:bCs/>
          <w:color w:val="auto"/>
          <w:sz w:val="24"/>
          <w:szCs w:val="24"/>
          <w:highlight w:val="none"/>
        </w:rPr>
        <w:t xml:space="preserve">九十（90）天</w:t>
      </w:r>
      <w:r>
        <w:rPr>
          <w:rFonts w:hint="eastAsia" w:ascii="宋体" w:hAnsi="宋体" w:cs="宋体"/>
          <w:bCs/>
          <w:color w:val="auto"/>
          <w:sz w:val="24"/>
          <w:szCs w:val="24"/>
          <w:highlight w:val="none"/>
        </w:rPr>
        <w:t xml:space="preserve">。投标有效期比规定短的将被视为非响应性投标而予以拒绝。</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17.2</w:t>
      </w:r>
      <w:r>
        <w:rPr>
          <w:rFonts w:hint="eastAsia" w:ascii="宋体" w:hAnsi="宋体" w:cs="宋体"/>
          <w:bCs/>
          <w:color w:val="auto"/>
          <w:sz w:val="24"/>
          <w:szCs w:val="24"/>
          <w:highlight w:val="none"/>
        </w:rPr>
        <w:t xml:space="preserve">在特殊情况下，张家港保税区恒泰工程建设咨询有限公司于原投标有效期满之前，可向投标人提出延长投标有效期的要求。这种要求与答复均应采用书面形式。投标人可以拒绝张家港保税区恒泰工程建设咨询有限公司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p>
    <w:p>
      <w:pPr>
        <w:pStyle w:val="1256"/>
        <w:ind w:firstLine="508"/>
        <w:spacing w:line="312" w:lineRule="auto"/>
        <w:rPr>
          <w:rFonts w:ascii="宋体" w:hAnsi="宋体" w:eastAsia="宋体" w:cs="宋体"/>
          <w:color w:val="auto"/>
          <w:spacing w:val="7"/>
          <w:highlight w:val="none"/>
        </w:rPr>
        <w:outlineLvl w:val="3"/>
      </w:pPr>
      <w:r>
        <w:rPr>
          <w:rFonts w:hint="eastAsia" w:ascii="宋体" w:hAnsi="宋体" w:eastAsia="宋体" w:cs="宋体"/>
          <w:color w:val="auto"/>
          <w:spacing w:val="7"/>
          <w:highlight w:val="none"/>
        </w:rPr>
        <w:t xml:space="preserve">18、投标文件的签署</w:t>
      </w:r>
      <w:r/>
    </w:p>
    <w:p>
      <w:pPr>
        <w:pStyle w:val="1256"/>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18.1本招标文件所表述（指定）的公章是指法定名称章，不包括合同专用章、业务专用章等印章。</w:t>
      </w:r>
      <w:r/>
    </w:p>
    <w:p>
      <w:pPr>
        <w:pStyle w:val="1331"/>
        <w:ind w:firstLine="480"/>
        <w:jc w:val="left"/>
        <w:spacing w:before="0" w:after="0" w:line="312" w:lineRule="auto"/>
        <w:rPr>
          <w:rFonts w:ascii="宋体" w:hAnsi="宋体" w:eastAsia="宋体" w:cs="宋体"/>
          <w:bCs w:val="0"/>
          <w:color w:val="auto"/>
          <w:sz w:val="24"/>
          <w:szCs w:val="24"/>
          <w:highlight w:val="none"/>
        </w:rPr>
      </w:pPr>
      <w:r/>
      <w:bookmarkStart w:id="120" w:name="_Hlt26954739"/>
      <w:r/>
      <w:bookmarkEnd w:id="120"/>
      <w:r/>
      <w:bookmarkStart w:id="121" w:name="EB7e0b0fb925f740a3a5b7858e7c64659b"/>
      <w:r/>
      <w:bookmarkEnd w:id="121"/>
      <w:r/>
      <w:bookmarkStart w:id="122" w:name="_Hlt26954852"/>
      <w:r/>
      <w:bookmarkEnd w:id="122"/>
      <w:r/>
      <w:bookmarkStart w:id="123" w:name="_Toc38368123"/>
      <w:r/>
      <w:bookmarkStart w:id="124" w:name="_Toc20823296"/>
      <w:r/>
      <w:bookmarkStart w:id="125" w:name="_Toc54615242"/>
      <w:r/>
      <w:bookmarkStart w:id="126" w:name="_Toc256000005"/>
      <w:r/>
      <w:bookmarkStart w:id="127" w:name="_Toc6389296"/>
      <w:r/>
      <w:bookmarkStart w:id="128" w:name="_Toc16938540"/>
      <w:r/>
      <w:bookmarkStart w:id="129" w:name="_Toc120614217"/>
      <w:r/>
      <w:bookmarkStart w:id="130" w:name="_Toc6388848"/>
      <w:r/>
      <w:bookmarkStart w:id="131" w:name="_Toc513029224"/>
      <w:r/>
      <w:bookmarkStart w:id="132" w:name="_Toc35266023"/>
      <w:r>
        <w:rPr>
          <w:rStyle w:val="1332"/>
          <w:rFonts w:hint="eastAsia" w:ascii="宋体" w:hAnsi="宋体" w:cs="宋体"/>
          <w:b w:val="0"/>
          <w:bCs w:val="0"/>
          <w:color w:val="auto"/>
          <w:sz w:val="24"/>
          <w:szCs w:val="24"/>
          <w:highlight w:val="none"/>
        </w:rPr>
        <w:t xml:space="preserve">四、投标文件的制作、上传、递交</w:t>
      </w:r>
      <w:bookmarkEnd w:id="123"/>
      <w:r/>
      <w:bookmarkEnd w:id="124"/>
      <w:r/>
      <w:bookmarkEnd w:id="125"/>
      <w:r/>
      <w:bookmarkEnd w:id="126"/>
      <w:r/>
      <w:bookmarkEnd w:id="127"/>
      <w:r/>
      <w:bookmarkEnd w:id="128"/>
      <w:r/>
      <w:bookmarkEnd w:id="129"/>
      <w:r/>
      <w:bookmarkEnd w:id="130"/>
      <w:r/>
      <w:bookmarkEnd w:id="131"/>
      <w:r/>
      <w:bookmarkEnd w:id="132"/>
      <w:r/>
      <w:r/>
    </w:p>
    <w:p>
      <w:pPr>
        <w:pStyle w:val="1257"/>
        <w:ind w:firstLine="508"/>
        <w:spacing w:line="312" w:lineRule="auto"/>
        <w:rPr>
          <w:rFonts w:ascii="宋体" w:hAnsi="宋体" w:eastAsia="宋体" w:cs="宋体"/>
          <w:color w:val="auto"/>
          <w:spacing w:val="7"/>
          <w:highlight w:val="none"/>
        </w:rPr>
        <w:outlineLvl w:val="3"/>
      </w:pPr>
      <w:r/>
      <w:bookmarkStart w:id="133" w:name="_Toc20823301"/>
      <w:r/>
      <w:bookmarkStart w:id="134" w:name="_Toc513029229"/>
      <w:r/>
      <w:bookmarkStart w:id="135" w:name="_Toc256000006"/>
      <w:r/>
      <w:bookmarkStart w:id="136" w:name="_Toc120614218"/>
      <w:r/>
      <w:bookmarkStart w:id="137" w:name="_Toc54615243"/>
      <w:r/>
      <w:bookmarkStart w:id="138" w:name="_Toc38368124"/>
      <w:r/>
      <w:bookmarkStart w:id="139" w:name="_Toc16938545"/>
      <w:r/>
      <w:bookmarkStart w:id="140" w:name="_Toc35266024"/>
      <w:r>
        <w:rPr>
          <w:rFonts w:hint="eastAsia" w:ascii="宋体" w:hAnsi="宋体" w:eastAsia="宋体" w:cs="宋体"/>
          <w:color w:val="auto"/>
          <w:spacing w:val="7"/>
          <w:highlight w:val="none"/>
        </w:rPr>
        <w:t xml:space="preserve">19、投标文件的递交</w:t>
      </w:r>
      <w:r/>
    </w:p>
    <w:p>
      <w:pPr>
        <w:pStyle w:val="1257"/>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19.1电子投标文件的递交投标人应当按照《操作手册》规定，在投标截止时间前制作并上传电子投标文件。</w:t>
      </w:r>
      <w:r/>
    </w:p>
    <w:p>
      <w:pPr>
        <w:ind w:firstLine="480"/>
        <w:keepLines/>
        <w:keepNext/>
        <w:spacing w:line="312" w:lineRule="auto"/>
        <w:rPr>
          <w:rFonts w:ascii="宋体" w:hAnsi="宋体" w:cs="宋体"/>
          <w:color w:val="auto"/>
          <w:sz w:val="24"/>
          <w:szCs w:val="24"/>
          <w:highlight w:val="none"/>
        </w:rPr>
        <w:outlineLvl w:val="3"/>
      </w:pPr>
      <w:r/>
      <w:bookmarkStart w:id="141" w:name="EBfc3777c758ec4babb4bf9b969f094487"/>
      <w:r/>
      <w:bookmarkEnd w:id="141"/>
      <w:r/>
      <w:bookmarkStart w:id="142" w:name="_Toc6389298"/>
      <w:r/>
      <w:bookmarkStart w:id="143" w:name="_Toc6388850"/>
      <w:r>
        <w:rPr>
          <w:rFonts w:hint="eastAsia" w:ascii="宋体" w:hAnsi="宋体" w:cs="宋体"/>
          <w:color w:val="auto"/>
          <w:sz w:val="24"/>
          <w:szCs w:val="24"/>
          <w:highlight w:val="none"/>
        </w:rPr>
        <w:t xml:space="preserve">20、投标截止日期</w:t>
      </w:r>
      <w:bookmarkEnd w:id="142"/>
      <w:r/>
      <w:bookmarkEnd w:id="143"/>
      <w:r/>
      <w:r/>
    </w:p>
    <w:p>
      <w:pPr>
        <w:pStyle w:val="1258"/>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20.1投标人上传电子投标文件的时间不得迟于招标公告中规定的投标截止时间。</w:t>
      </w:r>
      <w:r/>
    </w:p>
    <w:p>
      <w:pPr>
        <w:pStyle w:val="1258"/>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投标人应充分考虑到网络环境、网络带宽等风险因素，如因投标人自身原因造成的电子投标文件上传不成功由投标人自行承担全部责任。</w:t>
      </w:r>
      <w:r/>
    </w:p>
    <w:p>
      <w:pPr>
        <w:ind w:firstLine="480"/>
        <w:spacing w:line="312" w:lineRule="auto"/>
        <w:rPr>
          <w:rFonts w:ascii="宋体" w:hAnsi="宋体" w:cs="宋体"/>
          <w:color w:val="auto"/>
          <w:sz w:val="24"/>
          <w:szCs w:val="24"/>
          <w:highlight w:val="none"/>
        </w:rPr>
      </w:pPr>
      <w:r/>
      <w:bookmarkStart w:id="144" w:name="EBc8ad76a9f0394784bc2c7afade7308b0"/>
      <w:r/>
      <w:bookmarkEnd w:id="144"/>
      <w:r>
        <w:rPr>
          <w:rFonts w:hint="eastAsia" w:ascii="宋体" w:hAnsi="宋体" w:cs="宋体"/>
          <w:color w:val="auto"/>
          <w:sz w:val="24"/>
          <w:szCs w:val="24"/>
          <w:highlight w:val="none"/>
        </w:rPr>
        <w:t xml:space="preserve">20.2张家港保税区恒泰工程建设咨询有限公司可以按照规定，通过修改招标文件酌情延长投标截止日期，在此情况下，投标人的所有权利和义务均应以延长后新的截止日期为准。</w:t>
      </w:r>
      <w:r/>
    </w:p>
    <w:p>
      <w:pPr>
        <w:ind w:firstLine="480"/>
        <w:keepLines/>
        <w:keepNext/>
        <w:spacing w:line="312" w:lineRule="auto"/>
        <w:rPr>
          <w:rFonts w:ascii="宋体" w:hAnsi="宋体" w:cs="宋体"/>
          <w:color w:val="auto"/>
          <w:sz w:val="24"/>
          <w:szCs w:val="24"/>
          <w:highlight w:val="none"/>
        </w:rPr>
        <w:outlineLvl w:val="3"/>
      </w:pPr>
      <w:r/>
      <w:bookmarkStart w:id="145" w:name="_Toc6388851"/>
      <w:r/>
      <w:bookmarkStart w:id="146" w:name="_Toc6389299"/>
      <w:r>
        <w:rPr>
          <w:rFonts w:hint="eastAsia" w:ascii="宋体" w:hAnsi="宋体" w:cs="宋体"/>
          <w:color w:val="auto"/>
          <w:sz w:val="24"/>
          <w:szCs w:val="24"/>
          <w:highlight w:val="none"/>
        </w:rPr>
        <w:t xml:space="preserve">21、</w:t>
      </w:r>
      <w:bookmarkEnd w:id="145"/>
      <w:r/>
      <w:bookmarkEnd w:id="146"/>
      <w:r>
        <w:rPr>
          <w:rFonts w:hint="eastAsia" w:ascii="宋体" w:hAnsi="宋体" w:cs="宋体"/>
          <w:color w:val="auto"/>
          <w:sz w:val="24"/>
          <w:szCs w:val="24"/>
          <w:highlight w:val="none"/>
        </w:rPr>
        <w:t xml:space="preserve">迟交的投标文件</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21.1张家港保税区恒泰工程建设咨询有限公司拒绝接收在其规定的投标截止时间后递交的任何投标文件。</w:t>
      </w:r>
      <w:r/>
    </w:p>
    <w:p>
      <w:pPr>
        <w:ind w:firstLine="480"/>
        <w:keepLines/>
        <w:keepNext/>
        <w:spacing w:line="312" w:lineRule="auto"/>
        <w:rPr>
          <w:rFonts w:ascii="宋体" w:hAnsi="宋体" w:cs="宋体"/>
          <w:color w:val="auto"/>
          <w:sz w:val="24"/>
          <w:szCs w:val="24"/>
          <w:highlight w:val="none"/>
        </w:rPr>
        <w:outlineLvl w:val="3"/>
      </w:pPr>
      <w:r/>
      <w:bookmarkStart w:id="147" w:name="_Toc6389300"/>
      <w:r/>
      <w:bookmarkStart w:id="148" w:name="_Toc6388852"/>
      <w:r>
        <w:rPr>
          <w:rFonts w:hint="eastAsia" w:ascii="宋体" w:hAnsi="宋体" w:cs="宋体"/>
          <w:color w:val="auto"/>
          <w:sz w:val="24"/>
          <w:szCs w:val="24"/>
          <w:highlight w:val="none"/>
        </w:rPr>
        <w:t xml:space="preserve">22、投标文件的修改和撤回</w:t>
      </w:r>
      <w:bookmarkEnd w:id="147"/>
      <w:r/>
      <w:bookmarkEnd w:id="148"/>
      <w:r/>
      <w:r/>
    </w:p>
    <w:p>
      <w:pPr>
        <w:pStyle w:val="125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22.1投标人在递交投标文件后，可以修改或撤回其投标文件，但这种修改和撤回，必须在规定的投标截止时间前，具体操作方法见《操作手册》。</w:t>
      </w:r>
      <w:r/>
    </w:p>
    <w:p>
      <w:pPr>
        <w:pStyle w:val="125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22.2投标人撤回电子投标文件，则认为其不再参与本项目投标活动。</w:t>
      </w:r>
      <w:r/>
    </w:p>
    <w:p>
      <w:pPr>
        <w:pStyle w:val="125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22.3在投标截止时间之后，投标人不得对其电子投标文件作任何修改。</w:t>
      </w:r>
      <w:r/>
    </w:p>
    <w:p>
      <w:pPr>
        <w:pStyle w:val="125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22.4在投标截止时间至招标文件中规定的投标有效期满之间的这段时间内，投标人不得撤销其投标。</w:t>
      </w:r>
      <w:r/>
    </w:p>
    <w:p>
      <w:pPr>
        <w:pStyle w:val="1331"/>
        <w:ind w:firstLine="508"/>
        <w:jc w:val="left"/>
        <w:spacing w:before="0" w:after="0" w:line="312" w:lineRule="auto"/>
        <w:rPr>
          <w:rFonts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22.5不论投标人中标与否，投标文件均不退回</w:t>
      </w:r>
      <w:r/>
    </w:p>
    <w:p>
      <w:pPr>
        <w:pStyle w:val="1331"/>
        <w:ind w:firstLine="480"/>
        <w:jc w:val="left"/>
        <w:spacing w:before="0" w:after="0" w:line="312" w:lineRule="auto"/>
        <w:rPr>
          <w:rStyle w:val="1332"/>
          <w:rFonts w:ascii="宋体" w:hAnsi="宋体" w:cs="宋体"/>
          <w:b w:val="0"/>
          <w:bCs w:val="0"/>
          <w:color w:val="auto"/>
          <w:sz w:val="24"/>
          <w:szCs w:val="24"/>
          <w:highlight w:val="none"/>
        </w:rPr>
      </w:pPr>
      <w:r>
        <w:rPr>
          <w:rStyle w:val="1332"/>
          <w:rFonts w:hint="eastAsia" w:ascii="宋体" w:hAnsi="宋体" w:cs="宋体"/>
          <w:b w:val="0"/>
          <w:bCs w:val="0"/>
          <w:color w:val="auto"/>
          <w:sz w:val="24"/>
          <w:szCs w:val="24"/>
          <w:highlight w:val="none"/>
        </w:rPr>
        <w:t xml:space="preserve">五、开标与评标</w:t>
      </w:r>
      <w:bookmarkEnd w:id="133"/>
      <w:r/>
      <w:bookmarkEnd w:id="134"/>
      <w:r/>
      <w:bookmarkEnd w:id="135"/>
      <w:r/>
      <w:bookmarkEnd w:id="136"/>
      <w:r/>
      <w:bookmarkEnd w:id="137"/>
      <w:r/>
      <w:bookmarkEnd w:id="138"/>
      <w:r/>
      <w:bookmarkEnd w:id="139"/>
      <w:r/>
      <w:bookmarkEnd w:id="140"/>
      <w:r/>
      <w:r/>
    </w:p>
    <w:p>
      <w:pPr>
        <w:ind w:firstLine="480"/>
        <w:keepLines/>
        <w:keepNext/>
        <w:spacing w:line="312" w:lineRule="auto"/>
        <w:rPr>
          <w:rFonts w:ascii="宋体" w:hAnsi="宋体" w:cs="宋体"/>
          <w:color w:val="auto"/>
          <w:sz w:val="24"/>
          <w:szCs w:val="24"/>
          <w:highlight w:val="none"/>
        </w:rPr>
        <w:outlineLvl w:val="3"/>
      </w:pPr>
      <w:r/>
      <w:bookmarkStart w:id="149" w:name="_Toc20823302"/>
      <w:r/>
      <w:bookmarkStart w:id="150" w:name="_Toc16938546"/>
      <w:r/>
      <w:bookmarkStart w:id="151" w:name="_Toc513029230"/>
      <w:r>
        <w:rPr>
          <w:rFonts w:hint="eastAsia" w:ascii="宋体" w:hAnsi="宋体" w:cs="宋体"/>
          <w:color w:val="auto"/>
          <w:sz w:val="24"/>
          <w:szCs w:val="24"/>
          <w:highlight w:val="none"/>
        </w:rPr>
        <w:t xml:space="preserve">23、开标</w:t>
      </w:r>
      <w:bookmarkEnd w:id="149"/>
      <w:r/>
      <w:bookmarkEnd w:id="150"/>
      <w:r/>
      <w:bookmarkEnd w:id="151"/>
      <w:r/>
      <w:r/>
    </w:p>
    <w:p>
      <w:pPr>
        <w:pStyle w:val="126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23.1张家港保税区恒泰工程建设咨询有限公司将在招标公告中规定的时间和地点组织公开开标。</w:t>
      </w:r>
      <w:r/>
    </w:p>
    <w:p>
      <w:pPr>
        <w:pStyle w:val="126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23.2开标仪式由张家港保税区恒泰工程建设咨询有限公司主持，“苏采云系统”将自动对项目进行开标，宣布投标人名称、投标价格和招标文件规定的需要宣布的其他内容。</w:t>
      </w:r>
      <w:r/>
    </w:p>
    <w:p>
      <w:pPr>
        <w:pStyle w:val="126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23.3投标人在开标过程中涉及到的投标文件解密等工作，应按照《操作手册》规定执行。投标人须在规定时间（30分钟）内完成投标文件解密。</w:t>
      </w:r>
      <w:r/>
    </w:p>
    <w:p>
      <w:pPr>
        <w:pStyle w:val="1262"/>
        <w:ind w:firstLine="508"/>
        <w:spacing w:line="312" w:lineRule="auto"/>
        <w:rPr>
          <w:rStyle w:val="992"/>
          <w:rFonts w:ascii="宋体" w:hAnsi="宋体" w:eastAsia="宋体" w:cs="宋体"/>
          <w:color w:val="auto"/>
          <w:spacing w:val="7"/>
          <w:sz w:val="24"/>
          <w:szCs w:val="24"/>
          <w:highlight w:val="none"/>
        </w:rPr>
      </w:pPr>
      <w:r/>
      <w:bookmarkStart w:id="152" w:name="EBf9dbe4f0bfbe40c189b2b3fb5a93c56a"/>
      <w:r/>
      <w:bookmarkEnd w:id="152"/>
      <w:r>
        <w:rPr>
          <w:rStyle w:val="992"/>
          <w:rFonts w:hint="eastAsia" w:ascii="宋体" w:hAnsi="宋体" w:eastAsia="宋体" w:cs="宋体"/>
          <w:color w:val="auto"/>
          <w:spacing w:val="7"/>
          <w:sz w:val="24"/>
          <w:szCs w:val="24"/>
          <w:highlight w:val="none"/>
        </w:rPr>
        <w:t xml:space="preserve">23.4采购代理机构在开标仪式上，将公布投标人的名称、投标价格，并将作唱标记录。</w:t>
      </w:r>
      <w:r/>
    </w:p>
    <w:p>
      <w:pPr>
        <w:ind w:firstLine="508"/>
        <w:spacing w:line="312" w:lineRule="auto"/>
        <w:rPr>
          <w:rFonts w:ascii="宋体" w:hAnsi="宋体" w:cs="宋体"/>
          <w:color w:val="auto"/>
          <w:sz w:val="24"/>
          <w:szCs w:val="24"/>
          <w:highlight w:val="none"/>
        </w:rPr>
      </w:pPr>
      <w:r>
        <w:rPr>
          <w:rStyle w:val="992"/>
          <w:rFonts w:hint="eastAsia" w:ascii="宋体" w:hAnsi="宋体" w:cs="宋体"/>
          <w:color w:val="auto"/>
          <w:spacing w:val="7"/>
          <w:sz w:val="24"/>
          <w:szCs w:val="24"/>
          <w:highlight w:val="none"/>
        </w:rPr>
        <w:t xml:space="preserve">23.5投标人代表对开标过程和开标记录有疑义，以及认为采购人、采购代理机构相关工作人员有需要回避的情形的，应通过不见面开标大厅提出询问或者回避申请。采购人、采购代理机构对</w:t>
      </w:r>
      <w:r>
        <w:rPr>
          <w:rFonts w:hint="eastAsia" w:ascii="宋体" w:hAnsi="宋体" w:cs="宋体"/>
          <w:color w:val="auto"/>
          <w:sz w:val="24"/>
          <w:szCs w:val="24"/>
          <w:highlight w:val="none"/>
        </w:rPr>
        <w:t xml:space="preserve">投标人代表提出的询问或者回避申请应当及时处理。</w:t>
      </w:r>
      <w:r/>
    </w:p>
    <w:p>
      <w:pPr>
        <w:ind w:firstLine="480"/>
        <w:keepLines/>
        <w:keepNext/>
        <w:spacing w:line="312" w:lineRule="auto"/>
        <w:rPr>
          <w:rFonts w:ascii="宋体" w:hAnsi="宋体" w:cs="宋体"/>
          <w:color w:val="auto"/>
          <w:sz w:val="24"/>
          <w:szCs w:val="24"/>
          <w:highlight w:val="none"/>
        </w:rPr>
        <w:outlineLvl w:val="3"/>
      </w:pPr>
      <w:r/>
      <w:bookmarkStart w:id="153" w:name="EB45a41a7a147945c0bb92535f2d40058d"/>
      <w:r/>
      <w:bookmarkEnd w:id="153"/>
      <w:r/>
      <w:bookmarkStart w:id="154" w:name="_Toc513029231"/>
      <w:r/>
      <w:bookmarkStart w:id="155" w:name="_Toc16938547"/>
      <w:r/>
      <w:bookmarkStart w:id="156" w:name="_Toc20823303"/>
      <w:r>
        <w:rPr>
          <w:rFonts w:hint="eastAsia" w:ascii="宋体" w:hAnsi="宋体" w:cs="宋体"/>
          <w:color w:val="auto"/>
          <w:sz w:val="24"/>
          <w:szCs w:val="24"/>
          <w:highlight w:val="none"/>
        </w:rPr>
        <w:t xml:space="preserve">24、评标委员会</w:t>
      </w:r>
      <w:r/>
    </w:p>
    <w:p>
      <w:pPr>
        <w:ind w:firstLine="480"/>
        <w:spacing w:line="312"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24.1开标后，张家港保税区恒泰工程建设咨询有限公司将立即组织评标委员会（以下简称评委会）进行评标。</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24.2评委会由评审专家、采购人代表组成，且人员构成符合政府采购有关规定。</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24.4评委会将对投标人的商业、技术秘密予以保密。</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25．评标过程的保密</w:t>
      </w:r>
      <w:bookmarkEnd w:id="154"/>
      <w:r/>
      <w:bookmarkEnd w:id="155"/>
      <w:r/>
      <w:bookmarkEnd w:id="156"/>
      <w:r>
        <w:rPr>
          <w:rFonts w:hint="eastAsia" w:ascii="宋体" w:hAnsi="宋体" w:cs="宋体"/>
          <w:color w:val="auto"/>
          <w:sz w:val="24"/>
          <w:szCs w:val="24"/>
          <w:highlight w:val="none"/>
        </w:rPr>
        <w:t xml:space="preserve">与公正</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25.1</w:t>
      </w:r>
      <w:r>
        <w:rPr>
          <w:rFonts w:hint="eastAsia" w:ascii="宋体" w:hAnsi="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25.2在评标过程中，如果投标人试图向张家港保税区恒泰工程建设咨询有限公司和参与评标的人员施加任何影响，都将会导致其投标被拒绝。</w:t>
      </w:r>
      <w:r/>
    </w:p>
    <w:p>
      <w:pPr>
        <w:ind w:firstLine="480"/>
        <w:keepLines/>
        <w:keepNext/>
        <w:spacing w:line="312" w:lineRule="auto"/>
        <w:rPr>
          <w:rFonts w:ascii="宋体" w:hAnsi="宋体" w:cs="宋体"/>
          <w:color w:val="auto"/>
          <w:sz w:val="24"/>
          <w:szCs w:val="24"/>
          <w:highlight w:val="none"/>
        </w:rPr>
        <w:outlineLvl w:val="3"/>
      </w:pPr>
      <w:r/>
      <w:bookmarkStart w:id="157" w:name="_Toc20823304"/>
      <w:r/>
      <w:bookmarkStart w:id="158" w:name="_Toc513029232"/>
      <w:r/>
      <w:bookmarkStart w:id="159" w:name="_Toc16938548"/>
      <w:r>
        <w:rPr>
          <w:rFonts w:hint="eastAsia" w:ascii="宋体" w:hAnsi="宋体" w:cs="宋体"/>
          <w:color w:val="auto"/>
          <w:sz w:val="24"/>
          <w:szCs w:val="24"/>
          <w:highlight w:val="none"/>
        </w:rPr>
        <w:t xml:space="preserve">26．投标的澄清</w:t>
      </w:r>
      <w:bookmarkEnd w:id="157"/>
      <w:r/>
      <w:bookmarkEnd w:id="158"/>
      <w:r/>
      <w:bookmarkEnd w:id="159"/>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26.1评标期间，为有助于对投标文件的审查、评价和比较，评委会有权要求投标人对其投标文件进行澄清，但并非对每个投标人都作澄清要求。</w:t>
      </w:r>
      <w:r/>
    </w:p>
    <w:p>
      <w:pPr>
        <w:pStyle w:val="1261"/>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spacing w:line="312" w:lineRule="auto"/>
        <w:rPr>
          <w:rFonts w:ascii="宋体" w:hAnsi="宋体" w:cs="宋体"/>
          <w:color w:val="auto"/>
          <w:sz w:val="24"/>
          <w:szCs w:val="24"/>
          <w:highlight w:val="none"/>
        </w:rPr>
      </w:pPr>
      <w:r/>
      <w:bookmarkStart w:id="160" w:name="EB3164982f155e42e086cd4685f4d2aafa"/>
      <w:r/>
      <w:bookmarkEnd w:id="160"/>
      <w:r>
        <w:rPr>
          <w:rFonts w:hint="eastAsia" w:ascii="宋体" w:hAnsi="宋体" w:cs="宋体"/>
          <w:color w:val="auto"/>
          <w:sz w:val="24"/>
          <w:szCs w:val="24"/>
          <w:highlight w:val="none"/>
        </w:rPr>
        <w:t xml:space="preserve">26.3接到评委会澄清要求的投标人如未按规定作出澄清，其风险由投标人自行承担。</w:t>
      </w:r>
      <w:r/>
    </w:p>
    <w:p>
      <w:pPr>
        <w:ind w:firstLine="480"/>
        <w:keepLines/>
        <w:keepNext/>
        <w:spacing w:line="312" w:lineRule="auto"/>
        <w:rPr>
          <w:rFonts w:ascii="宋体" w:hAnsi="宋体" w:cs="宋体"/>
          <w:b/>
          <w:bCs/>
          <w:color w:val="auto"/>
          <w:sz w:val="24"/>
          <w:szCs w:val="24"/>
          <w:highlight w:val="none"/>
        </w:rPr>
        <w:outlineLvl w:val="3"/>
      </w:pPr>
      <w:r/>
      <w:bookmarkStart w:id="161" w:name="_Toc20823305"/>
      <w:r/>
      <w:bookmarkStart w:id="162" w:name="_Toc16938549"/>
      <w:r/>
      <w:bookmarkStart w:id="163" w:name="_Toc513029233"/>
      <w:r>
        <w:rPr>
          <w:rFonts w:hint="eastAsia" w:ascii="宋体" w:hAnsi="宋体" w:cs="宋体"/>
          <w:color w:val="auto"/>
          <w:sz w:val="24"/>
          <w:szCs w:val="24"/>
          <w:highlight w:val="none"/>
        </w:rPr>
        <w:t xml:space="preserve">27、</w:t>
      </w:r>
      <w:bookmarkEnd w:id="161"/>
      <w:r/>
      <w:bookmarkEnd w:id="162"/>
      <w:r/>
      <w:bookmarkEnd w:id="163"/>
      <w:r>
        <w:rPr>
          <w:rFonts w:hint="eastAsia" w:ascii="宋体" w:hAnsi="宋体" w:cs="宋体"/>
          <w:b/>
          <w:bCs/>
          <w:color w:val="auto"/>
          <w:sz w:val="24"/>
          <w:szCs w:val="24"/>
          <w:highlight w:val="none"/>
        </w:rPr>
        <w:t xml:space="preserve">对投标文件的初审</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bCs/>
          <w:color w:val="auto"/>
          <w:sz w:val="24"/>
          <w:szCs w:val="24"/>
          <w:highlight w:val="none"/>
        </w:rPr>
        <w:t xml:space="preserve">投标文件初审分为资格审查和符合性审查。</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27.1.1</w:t>
      </w:r>
      <w:r>
        <w:rPr>
          <w:rFonts w:hint="eastAsia" w:ascii="宋体" w:hAnsi="宋体" w:cs="宋体"/>
          <w:bCs/>
          <w:color w:val="auto"/>
          <w:sz w:val="24"/>
          <w:szCs w:val="24"/>
          <w:highlight w:val="none"/>
        </w:rPr>
        <w:t xml:space="preserve">资格性审查</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采购人或者采购代理机构依法对投标人的资格进行审查。</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关于诚信库：</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1.1.2</w:t>
      </w:r>
      <w:r>
        <w:rPr>
          <w:rFonts w:hint="eastAsia" w:ascii="宋体" w:hAnsi="宋体" w:cs="宋体"/>
          <w:color w:val="auto"/>
          <w:sz w:val="24"/>
          <w:szCs w:val="24"/>
          <w:highlight w:val="none"/>
          <w:lang w:val="zh-CN"/>
        </w:rPr>
        <w:t xml:space="preserve">查询时间：投标文件递交截止时间。</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查询渠道：“信用中国”。</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.1.1.2关于失信联合惩戒</w:t>
      </w:r>
      <w:r/>
    </w:p>
    <w:p>
      <w:pPr>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根据《国务院关于建立完善守信联合激励和失信联合惩戒制度加快推进社会诚信建设的指导意见》（国发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2016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33号）、《省政府关于印发江苏省加强政务诚信建设实施意见等文件的通知》（苏政发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2018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23号）、《市政府办公室印发关于建立完善守信联合激励和失信联合惩戒制度的实施意见的通知》（苏府办</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2017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273号）等文件要求,限制严重失信主体参与公共资源交易的投标等政府采购活动。</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27.1.2</w:t>
      </w:r>
      <w:r>
        <w:rPr>
          <w:rFonts w:hint="eastAsia" w:ascii="宋体" w:hAnsi="宋体" w:cs="宋体"/>
          <w:bCs/>
          <w:color w:val="auto"/>
          <w:sz w:val="24"/>
          <w:szCs w:val="24"/>
          <w:highlight w:val="none"/>
        </w:rPr>
        <w:t xml:space="preserve">符合性审查：</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依据招标文件的规定，由评委会对投标文件进行审查，以确定是否对招标文件的实质性要求作出响应。</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auto"/>
          <w:sz w:val="24"/>
          <w:szCs w:val="24"/>
          <w:highlight w:val="none"/>
        </w:rPr>
        <w:t xml:space="preserve">评委会决定投标文件的响应性只根据投标文件本身的内容，而不寻求外部的证据。</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27.3</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27.4投标文件报价出现前后不一致的，按下列规定修正：</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（2）大写金额和小写金额不一致的，以大写金额为准；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（4）总价金额与按单价汇总金额不一致的，以单价金额计算结果为准。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27.5评委会将允许修正投标文件中不构成重大偏离的、微小的、非正规的、不一致的或不规则的地方，但这些修改不能影响任何投标人相应的名次排列。</w:t>
      </w:r>
      <w:r/>
    </w:p>
    <w:p>
      <w:pPr>
        <w:pStyle w:val="1262"/>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27.6投标人在开、评标全过程中应</w:t>
      </w:r>
      <w:r>
        <w:rPr>
          <w:rFonts w:hint="eastAsia" w:ascii="宋体" w:hAnsi="宋体" w:eastAsia="宋体" w:cs="宋体"/>
          <w:color w:val="auto"/>
          <w:spacing w:val="7"/>
          <w:highlight w:val="none"/>
          <w:lang w:eastAsia="zh-CN"/>
        </w:rPr>
        <w:t xml:space="preserve">保持通信畅通</w:t>
      </w:r>
      <w:r>
        <w:rPr>
          <w:rFonts w:hint="eastAsia" w:ascii="宋体" w:hAnsi="宋体" w:eastAsia="宋体" w:cs="宋体"/>
          <w:color w:val="auto"/>
          <w:spacing w:val="7"/>
          <w:highlight w:val="none"/>
        </w:rPr>
        <w:t xml:space="preserve">。</w:t>
      </w:r>
      <w:r/>
    </w:p>
    <w:p>
      <w:pPr>
        <w:ind w:firstLine="480"/>
        <w:keepLines/>
        <w:keepNext/>
        <w:spacing w:line="312" w:lineRule="auto"/>
        <w:rPr>
          <w:rFonts w:ascii="宋体" w:hAnsi="宋体" w:cs="宋体"/>
          <w:color w:val="auto"/>
          <w:sz w:val="24"/>
          <w:szCs w:val="24"/>
          <w:highlight w:val="none"/>
        </w:rPr>
        <w:outlineLvl w:val="3"/>
      </w:pPr>
      <w:r/>
      <w:bookmarkStart w:id="164" w:name="EB8e3ec86c09a94dac9cc9034e6027ee19"/>
      <w:r/>
      <w:bookmarkEnd w:id="164"/>
      <w:r/>
      <w:bookmarkStart w:id="165" w:name="_Toc513029234"/>
      <w:r/>
      <w:bookmarkStart w:id="166" w:name="_Toc16938550"/>
      <w:r/>
      <w:bookmarkStart w:id="167" w:name="_Toc20823306"/>
      <w:r/>
      <w:bookmarkStart w:id="168" w:name="_Toc200451960"/>
      <w:r>
        <w:rPr>
          <w:rFonts w:hint="eastAsia" w:ascii="宋体" w:hAnsi="宋体" w:cs="宋体"/>
          <w:color w:val="auto"/>
          <w:sz w:val="24"/>
          <w:szCs w:val="24"/>
          <w:highlight w:val="none"/>
        </w:rPr>
        <w:t xml:space="preserve">28、</w:t>
      </w:r>
      <w:bookmarkEnd w:id="165"/>
      <w:r/>
      <w:bookmarkEnd w:id="166"/>
      <w:r/>
      <w:bookmarkEnd w:id="167"/>
      <w:r>
        <w:rPr>
          <w:rFonts w:hint="eastAsia" w:ascii="宋体" w:hAnsi="宋体" w:cs="宋体"/>
          <w:color w:val="auto"/>
          <w:sz w:val="24"/>
          <w:szCs w:val="24"/>
          <w:highlight w:val="none"/>
        </w:rPr>
        <w:t xml:space="preserve">无效投标条款和废标条款</w:t>
      </w:r>
      <w:r/>
    </w:p>
    <w:p>
      <w:pPr>
        <w:pStyle w:val="1267"/>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28.1无效投标条款</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28.1.1投标人未按照招标文件要求上传电子投标文件的；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28.1.2投标人在规定时间内不解密投标文件或未成功解密投标文件的（因系统原因导致的除外)；</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28.1.3投标文件中没有《开标一览表》或《开标一览表》未加盖投标人公章的；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28.1.4投标文件中任何有选择的报价；</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28.1.5投标文件报价出现前后不一致的，按招标文件规定修正后投标人不确认的；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28.1.6不同投标人的投标文件由同一单位或者个人编制；</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28.1.7不同投标人委托同一单位或者个人办理投标事宜；</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28.1.8不同投标人的投标文件载明的项目管理成员或者联系人员为同一人；</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28.1.9不同投标人的投标文件异常一致或者投标报价呈规律性差异；</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28.1.10不同投标人的投标文件制作机器码一致的；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28.1.11评标委员会认定投标人的报价明显低于其他通过符合性审</w:t>
      </w:r>
      <w:r>
        <w:rPr>
          <w:rFonts w:hint="eastAsia" w:ascii="宋体" w:hAnsi="宋体" w:eastAsia="宋体" w:cs="宋体"/>
          <w:color w:val="auto"/>
          <w:spacing w:val="7"/>
          <w:highlight w:val="none"/>
          <w:lang w:eastAsia="zh-CN"/>
        </w:rPr>
        <w:t xml:space="preserve">查的</w:t>
      </w:r>
      <w:r>
        <w:rPr>
          <w:rFonts w:hint="eastAsia" w:ascii="宋体" w:hAnsi="宋体" w:eastAsia="宋体" w:cs="宋体"/>
          <w:color w:val="auto"/>
          <w:spacing w:val="7"/>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28.1.13供应商被列入失信被执行人名单、重大税收违法案件当事人名单、政府采购严重违法失信行为记录名单的；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28.1.14不同供应商的单位负责人为同一人或者存在直接控股、管理关系的；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28.1.15为采购项目提供整体设计、规范编制或者项目管理、监理、检测等服务的；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28.1.16资格证明文件中要求加盖公章而未加盖公章的；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28.1.17投标文件未按招标文件要求签署、盖章的；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28.1.18不具备招标文件中规定的资格要求或未按招标文件规定的要求提供资格证明文件的；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28.1.19报价超过招标文件中规定的各年度对应的预算金额或者最高限价的</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或超过各分项对应最高限价的</w:t>
      </w:r>
      <w:r>
        <w:rPr>
          <w:rFonts w:hint="eastAsia" w:ascii="宋体" w:hAnsi="宋体" w:eastAsia="宋体" w:cs="宋体"/>
          <w:color w:val="auto"/>
          <w:spacing w:val="7"/>
          <w:highlight w:val="none"/>
        </w:rPr>
        <w:t xml:space="preserve">；</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28.1.20投标文件含有采购人不能接受的附加条件的；</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28.1.21不响应招标文件中规定的实质性要求的（本招标文件中斜体且有下划线部分为实质性要求）；</w:t>
      </w:r>
      <w:r/>
    </w:p>
    <w:p>
      <w:pPr>
        <w:pStyle w:val="1269"/>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28.1.22法律、法规和采购文件规定的其他无效情形;</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28.2废标条款：</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(1)符合专业条件的供应商或者对招标文件作实质响应的供应商不足三家的；</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(2)出现影响采购公正的违法、违规行为的；</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(3)投标人的报价均超过了采购预算，采购人不能支付的；</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(4)因重大变故，采购任务取消的。</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28.3投标截止时间结束后参加投标的供应商不足三家的处理：</w:t>
      </w:r>
      <w:r/>
    </w:p>
    <w:p>
      <w:pPr>
        <w:pStyle w:val="1270"/>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28.3.1如出现投标截止时间结束后参加投标的供应商或者在评标期间对招标文件做出实质响应的供应商不足三家情况，按财政部第87号令第四十三条的规定执行。</w:t>
      </w:r>
      <w:r/>
    </w:p>
    <w:p>
      <w:pPr>
        <w:pStyle w:val="1331"/>
        <w:ind w:firstLine="480"/>
        <w:jc w:val="left"/>
        <w:spacing w:before="0" w:after="0" w:line="312" w:lineRule="auto"/>
        <w:rPr>
          <w:rStyle w:val="1332"/>
          <w:rFonts w:ascii="宋体" w:hAnsi="宋体" w:cs="宋体"/>
          <w:b w:val="0"/>
          <w:bCs w:val="0"/>
          <w:color w:val="auto"/>
          <w:sz w:val="24"/>
          <w:szCs w:val="24"/>
          <w:highlight w:val="none"/>
        </w:rPr>
      </w:pPr>
      <w:r/>
      <w:bookmarkStart w:id="169" w:name="EB620d55f0994b45aab81e215d9bcff28c"/>
      <w:r/>
      <w:bookmarkEnd w:id="169"/>
      <w:r/>
      <w:bookmarkStart w:id="170" w:name="EB369a3ca3706348fd9a6451dab4968a5b"/>
      <w:r/>
      <w:bookmarkEnd w:id="170"/>
      <w:r/>
      <w:bookmarkStart w:id="171" w:name="_Toc16938551"/>
      <w:r/>
      <w:bookmarkStart w:id="172" w:name="_Toc20823307"/>
      <w:r/>
      <w:bookmarkStart w:id="173" w:name="_Toc513029235"/>
      <w:r/>
      <w:bookmarkStart w:id="174" w:name="_Toc35266025"/>
      <w:r/>
      <w:bookmarkStart w:id="175" w:name="_Toc120614219"/>
      <w:r/>
      <w:bookmarkStart w:id="176" w:name="_Toc54615244"/>
      <w:r/>
      <w:bookmarkStart w:id="177" w:name="_Toc38368125"/>
      <w:r/>
      <w:bookmarkStart w:id="178" w:name="_Toc256000007"/>
      <w:r>
        <w:rPr>
          <w:rStyle w:val="1332"/>
          <w:rFonts w:hint="eastAsia" w:ascii="宋体" w:hAnsi="宋体" w:cs="宋体"/>
          <w:b w:val="0"/>
          <w:bCs w:val="0"/>
          <w:color w:val="auto"/>
          <w:sz w:val="24"/>
          <w:szCs w:val="24"/>
          <w:highlight w:val="none"/>
        </w:rPr>
        <w:t xml:space="preserve">六、</w:t>
      </w:r>
      <w:bookmarkEnd w:id="171"/>
      <w:r/>
      <w:bookmarkEnd w:id="172"/>
      <w:r/>
      <w:bookmarkEnd w:id="173"/>
      <w:r>
        <w:rPr>
          <w:rStyle w:val="1332"/>
          <w:rFonts w:hint="eastAsia" w:ascii="宋体" w:hAnsi="宋体" w:cs="宋体"/>
          <w:b w:val="0"/>
          <w:bCs w:val="0"/>
          <w:color w:val="auto"/>
          <w:sz w:val="24"/>
          <w:szCs w:val="24"/>
          <w:highlight w:val="none"/>
        </w:rPr>
        <w:t xml:space="preserve">定标</w:t>
      </w:r>
      <w:bookmarkEnd w:id="174"/>
      <w:r/>
      <w:bookmarkEnd w:id="175"/>
      <w:r/>
      <w:bookmarkEnd w:id="176"/>
      <w:r/>
      <w:bookmarkEnd w:id="177"/>
      <w:r/>
      <w:bookmarkEnd w:id="178"/>
      <w:r/>
      <w:r/>
    </w:p>
    <w:p>
      <w:pPr>
        <w:ind w:firstLine="480"/>
        <w:keepLines/>
        <w:keepNext/>
        <w:spacing w:line="312" w:lineRule="auto"/>
        <w:rPr>
          <w:rFonts w:ascii="宋体" w:hAnsi="宋体" w:cs="宋体"/>
          <w:color w:val="auto"/>
          <w:sz w:val="24"/>
          <w:szCs w:val="24"/>
          <w:highlight w:val="none"/>
        </w:rPr>
        <w:outlineLvl w:val="3"/>
      </w:pPr>
      <w:r/>
      <w:bookmarkStart w:id="179" w:name="_Toc513029238"/>
      <w:r/>
      <w:bookmarkStart w:id="180" w:name="_Toc16938554"/>
      <w:r/>
      <w:bookmarkStart w:id="181" w:name="_Toc20823310"/>
      <w:r>
        <w:rPr>
          <w:rFonts w:hint="eastAsia" w:ascii="宋体" w:hAnsi="宋体" w:cs="宋体"/>
          <w:color w:val="auto"/>
          <w:sz w:val="24"/>
          <w:szCs w:val="24"/>
          <w:highlight w:val="none"/>
        </w:rPr>
        <w:t xml:space="preserve">29、</w:t>
      </w:r>
      <w:bookmarkEnd w:id="179"/>
      <w:r>
        <w:rPr>
          <w:rFonts w:hint="eastAsia" w:ascii="宋体" w:hAnsi="宋体" w:cs="宋体"/>
          <w:color w:val="auto"/>
          <w:sz w:val="24"/>
          <w:szCs w:val="24"/>
          <w:highlight w:val="none"/>
        </w:rPr>
        <w:t xml:space="preserve">确定</w:t>
      </w:r>
      <w:bookmarkEnd w:id="180"/>
      <w:r/>
      <w:bookmarkEnd w:id="181"/>
      <w:r>
        <w:rPr>
          <w:rFonts w:hint="eastAsia" w:ascii="宋体" w:hAnsi="宋体" w:cs="宋体"/>
          <w:color w:val="auto"/>
          <w:sz w:val="24"/>
          <w:szCs w:val="24"/>
          <w:highlight w:val="none"/>
        </w:rPr>
        <w:t xml:space="preserve">中标单位</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29.1评委会根据本招标文件规定评标办法与评标标准向采购人推荐出3名中标候选人。</w:t>
      </w:r>
      <w:r/>
    </w:p>
    <w:p>
      <w:pPr>
        <w:pStyle w:val="1263"/>
        <w:ind w:firstLine="508"/>
        <w:spacing w:line="312"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29.2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68"/>
      <w:r/>
      <w:r/>
    </w:p>
    <w:p>
      <w:pPr>
        <w:ind w:firstLine="480"/>
        <w:spacing w:line="312" w:lineRule="auto"/>
        <w:rPr>
          <w:rFonts w:ascii="宋体" w:hAnsi="宋体" w:cs="宋体"/>
          <w:color w:val="auto"/>
          <w:sz w:val="24"/>
          <w:szCs w:val="24"/>
          <w:highlight w:val="none"/>
        </w:rPr>
      </w:pPr>
      <w:r/>
      <w:bookmarkStart w:id="182" w:name="EBfa38c9fe4db84c47a946c1558a3ddb8f"/>
      <w:r/>
      <w:bookmarkEnd w:id="182"/>
      <w:r>
        <w:rPr>
          <w:rFonts w:hint="eastAsia" w:ascii="宋体" w:hAnsi="宋体" w:cs="宋体"/>
          <w:bCs/>
          <w:color w:val="auto"/>
          <w:sz w:val="24"/>
          <w:szCs w:val="24"/>
          <w:highlight w:val="none"/>
        </w:rPr>
        <w:t xml:space="preserve">29.3</w:t>
      </w:r>
      <w:r>
        <w:rPr>
          <w:rFonts w:hint="eastAsia" w:ascii="宋体" w:hAnsi="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29.4若有充分证据证明，中标人出现下列情况之一的，一经查实，将被取消中标资格：</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（1）提供虚假材料谋取中标的；</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（2）与评审专家、采购人、其他供应商或者采购代理机构恶意串通的；</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（3）向评审专家、采购人或者采购代理机构行贿或者提供其他不正当利益的；</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（4）不满足本招标文件规定的实质性要求，但在评标过程中又未被评委会发现的；</w:t>
      </w:r>
      <w:r/>
    </w:p>
    <w:p>
      <w:pPr>
        <w:ind w:firstLine="480"/>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（5）其他不符合法律、法规规定的。</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30、质疑</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30.2本次招标文件要求供应商在法定质疑期内一次性提出针对同一采购程序环节的质疑，否则不予受理。</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30.3供应商提出质疑应当提交质疑函和必要的证明材料，质疑函应当包括下列内容：</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30.5接收质疑函的方式：书面形式（当场送达或邮寄方式），具体联系方式详见招标公告。</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30.6以下情形的质疑不予受理</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30.6.1内容不符合《政府采购质疑和投诉办法》第十二条规定的质疑。</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30.6.2超出政府采购法定期限的质疑。</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30.6.3以传真、电子邮件等方式递交的非原件形式的质疑。</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30.6.4未参加投标活动的供应商或在投标活动中自身权益未受到损害的供应商所提出的质疑。</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30.6.5供应商组成联合体参加投标，联合体中任何一方或多方未按要求签字、盖章、加盖公章的质疑。</w:t>
      </w:r>
      <w:r/>
    </w:p>
    <w:p>
      <w:pPr>
        <w:pStyle w:val="967"/>
        <w:ind w:left="0" w:firstLine="480"/>
        <w:spacing w:line="312"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30.7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keepNext/>
        <w:spacing w:line="312"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31、中标通知书</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31.l在中标结果确定后2个工作日内，张家港保税区恒泰工程建设咨询有限公司向中标供应商发出中标通知书。</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七、授予合同</w:t>
      </w:r>
      <w:r/>
    </w:p>
    <w:p>
      <w:pPr>
        <w:ind w:firstLine="480"/>
        <w:keepLines/>
        <w:keepNext/>
        <w:spacing w:line="312" w:lineRule="auto"/>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32.签订合同</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32.l中标人应按中标通知书规定的时间、地点,按照招标文件确定的事项与采购人签订政府采购合同，且原则上不得迟于中标通知书发出之日起三十日，否则给采购人造成损失的，中标人应承担赔偿责任。</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32.2招标文件、中标人的投标文件及招标过程中有关澄清、承诺文件均应作为合同附件。</w:t>
      </w:r>
      <w:r/>
    </w:p>
    <w:p>
      <w:pPr>
        <w:ind w:firstLine="480"/>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32.3签订合同后，中标人不得将货物及其他相关服务进行转包</w:t>
      </w:r>
      <w:r>
        <w:rPr>
          <w:rFonts w:hint="eastAsia" w:ascii="宋体" w:hAnsi="宋体" w:cs="宋体"/>
          <w:color w:val="auto"/>
          <w:sz w:val="24"/>
          <w:szCs w:val="24"/>
          <w:highlight w:val="none"/>
        </w:rPr>
        <w:t xml:space="preserve">。</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33、履约保证金</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33.1 合同签订前，中标人向采购单位交付的履约保证金为合同总价款 </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w:t>
      </w:r>
      <w:r/>
    </w:p>
    <w:p>
      <w:pPr>
        <w:ind w:firstLine="480"/>
        <w:spacing w:line="312" w:lineRule="auto"/>
        <w:rPr>
          <w:rFonts w:ascii="宋体" w:hAnsi="宋体" w:cs="宋体"/>
          <w:bCs/>
          <w:color w:val="auto"/>
          <w:sz w:val="24"/>
          <w:szCs w:val="24"/>
          <w:highlight w:val="none"/>
        </w:rPr>
      </w:pPr>
      <w:r/>
      <w:bookmarkStart w:id="183" w:name="EB8c6891da72364e93a7598f4884fbe954"/>
      <w:r/>
      <w:bookmarkEnd w:id="183"/>
      <w:r>
        <w:rPr>
          <w:rFonts w:hint="eastAsia" w:ascii="宋体" w:hAnsi="宋体" w:cs="宋体"/>
          <w:bCs/>
          <w:color w:val="auto"/>
          <w:sz w:val="24"/>
          <w:szCs w:val="24"/>
          <w:highlight w:val="none"/>
        </w:rPr>
        <w:t xml:space="preserve">33.2 履约保证金必须是人民币。履约保证金应当以支票、汇票、本票或者金融机构、担保机构出具的保函等非现金形式提交。</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34、货物和服务的追加、减少和添购。</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spacing w:line="312" w:lineRule="auto"/>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35、监督和公证</w:t>
      </w:r>
      <w:r/>
    </w:p>
    <w:p>
      <w:pPr>
        <w:ind w:firstLine="480"/>
        <w:spacing w:line="440" w:lineRule="exact"/>
        <w:rPr>
          <w:rFonts w:ascii="宋体" w:hAnsi="宋体"/>
          <w:bCs/>
          <w:color w:val="auto"/>
          <w:sz w:val="24"/>
          <w:highlight w:val="none"/>
        </w:rPr>
      </w:pPr>
      <w:r>
        <w:rPr>
          <w:rFonts w:hint="eastAsia" w:ascii="宋体" w:hAnsi="宋体" w:cs="宋体"/>
          <w:bCs/>
          <w:color w:val="auto"/>
          <w:sz w:val="24"/>
          <w:szCs w:val="24"/>
          <w:highlight w:val="none"/>
        </w:rPr>
        <w:t xml:space="preserve">35.1政府有关监督部门将对投标全过程进行监督。</w:t>
      </w:r>
      <w:r/>
    </w:p>
    <w:p>
      <w:pPr>
        <w:ind w:firstLine="544"/>
        <w:spacing w:line="360" w:lineRule="auto"/>
        <w:rPr>
          <w:rFonts w:ascii="宋体" w:hAnsi="宋体"/>
          <w:color w:val="auto"/>
          <w:sz w:val="24"/>
          <w:szCs w:val="24"/>
          <w:highlight w:val="none"/>
        </w:rPr>
      </w:pPr>
      <w:r/>
      <w:bookmarkStart w:id="184" w:name="EB0f9f45dd5e234a13a81c333deb906690"/>
      <w:r/>
      <w:bookmarkEnd w:id="184"/>
      <w:r/>
      <w:r/>
    </w:p>
    <w:p>
      <w:pPr>
        <w:pStyle w:val="782"/>
        <w:pageBreakBefore/>
        <w:spacing w:line="360" w:lineRule="auto"/>
        <w:rPr>
          <w:rFonts w:ascii="宋体" w:hAnsi="宋体" w:eastAsia="宋体"/>
          <w:color w:val="auto"/>
          <w:highlight w:val="none"/>
        </w:rPr>
      </w:pPr>
      <w:r/>
      <w:bookmarkStart w:id="185" w:name="_Toc256000008"/>
      <w:r/>
      <w:bookmarkStart w:id="186" w:name="_Toc35266027"/>
      <w:r/>
      <w:bookmarkStart w:id="187" w:name="_Toc38368127"/>
      <w:r/>
      <w:bookmarkStart w:id="188" w:name="_Toc54615245"/>
      <w:r>
        <w:rPr>
          <w:rFonts w:hint="eastAsia" w:ascii="宋体" w:hAnsi="宋体" w:eastAsia="宋体"/>
          <w:color w:val="auto"/>
          <w:highlight w:val="none"/>
        </w:rPr>
        <w:t xml:space="preserve">第三章 合同条款及</w:t>
      </w:r>
      <w:bookmarkEnd w:id="36"/>
      <w:r/>
      <w:bookmarkEnd w:id="37"/>
      <w:r/>
      <w:bookmarkEnd w:id="38"/>
      <w:r/>
      <w:bookmarkEnd w:id="39"/>
      <w:r/>
      <w:bookmarkEnd w:id="40"/>
      <w:r>
        <w:rPr>
          <w:rFonts w:hint="eastAsia" w:ascii="宋体" w:hAnsi="宋体" w:eastAsia="宋体"/>
          <w:color w:val="auto"/>
          <w:highlight w:val="none"/>
        </w:rPr>
        <w:t xml:space="preserve">格式</w:t>
      </w:r>
      <w:bookmarkEnd w:id="185"/>
      <w:r/>
      <w:bookmarkEnd w:id="186"/>
      <w:r/>
      <w:bookmarkEnd w:id="187"/>
      <w:r/>
      <w:bookmarkEnd w:id="188"/>
      <w:r/>
      <w:r/>
    </w:p>
    <w:p>
      <w:pPr>
        <w:rPr>
          <w:rFonts w:ascii="宋体" w:hAnsi="宋体"/>
          <w:color w:val="auto"/>
          <w:highlight w:val="none"/>
        </w:rPr>
      </w:pPr>
      <w:r/>
      <w:bookmarkStart w:id="189" w:name="EB445c3bd035294764b52dfc379b7b9568"/>
      <w:r/>
      <w:r/>
    </w:p>
    <w:p>
      <w:pPr>
        <w:pStyle w:val="1247"/>
        <w:ind w:firstLine="480"/>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以下为中标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后签定本项目合同的通用条款，中标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供应商不得提出实质性的修改。</w:t>
      </w:r>
      <w:bookmarkEnd w:id="189"/>
      <w:r/>
      <w:r/>
    </w:p>
    <w:p>
      <w:pPr>
        <w:pStyle w:val="1247"/>
        <w:ind w:firstLine="643"/>
        <w:jc w:val="center"/>
        <w:rPr>
          <w:b/>
          <w:bCs/>
          <w:color w:val="auto"/>
          <w:sz w:val="32"/>
          <w:szCs w:val="32"/>
          <w:highlight w:val="none"/>
        </w:rPr>
      </w:pPr>
      <w:r>
        <w:rPr>
          <w:rFonts w:hint="eastAsia"/>
          <w:b/>
          <w:bCs/>
          <w:color w:val="auto"/>
          <w:sz w:val="32"/>
          <w:szCs w:val="32"/>
          <w:highlight w:val="none"/>
        </w:rPr>
        <w:t xml:space="preserve">张家港市政府采购合同</w:t>
      </w:r>
      <w:r/>
    </w:p>
    <w:p>
      <w:pPr>
        <w:pStyle w:val="1247"/>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bookmarkStart w:id="190" w:name="biaoduanname_1"/>
      <w:r>
        <w:rPr>
          <w:rFonts w:hint="eastAsia" w:ascii="宋体" w:hAnsi="宋体" w:cs="宋体"/>
          <w:color w:val="auto"/>
          <w:sz w:val="24"/>
          <w:highlight w:val="none"/>
        </w:rPr>
        <w:t xml:space="preserve">                  </w:t>
      </w:r>
      <w:bookmarkEnd w:id="190"/>
      <w:r>
        <w:rPr>
          <w:rFonts w:hint="eastAsia" w:ascii="宋体" w:hAnsi="宋体" w:cs="宋体"/>
          <w:color w:val="auto"/>
          <w:sz w:val="24"/>
          <w:highlight w:val="none"/>
        </w:rPr>
        <w:t xml:space="preserve">          </w:t>
      </w:r>
      <w:r/>
    </w:p>
    <w:p>
      <w:pPr>
        <w:pStyle w:val="1247"/>
        <w:ind w:firstLine="480"/>
        <w:rPr>
          <w:rFonts w:ascii="宋体" w:hAnsi="宋体" w:cs="宋体"/>
          <w:color w:val="auto"/>
          <w:sz w:val="24"/>
          <w:highlight w:val="none"/>
        </w:rPr>
      </w:pPr>
      <w:r>
        <w:rPr>
          <w:rFonts w:hint="eastAsia" w:ascii="宋体" w:hAnsi="宋体" w:cs="宋体"/>
          <w:color w:val="auto"/>
          <w:sz w:val="24"/>
          <w:highlight w:val="none"/>
        </w:rPr>
        <w:t xml:space="preserve">项目编号：</w:t>
      </w:r>
      <w:bookmarkStart w:id="191" w:name="projectno"/>
      <w:r>
        <w:rPr>
          <w:rFonts w:hint="eastAsia" w:ascii="宋体" w:hAnsi="宋体" w:cs="宋体"/>
          <w:color w:val="auto"/>
          <w:sz w:val="24"/>
          <w:highlight w:val="none"/>
        </w:rPr>
        <w:t xml:space="preserve">                  </w:t>
      </w:r>
      <w:bookmarkEnd w:id="191"/>
      <w:r>
        <w:rPr>
          <w:rFonts w:hint="eastAsia" w:ascii="宋体" w:hAnsi="宋体" w:cs="宋体"/>
          <w:color w:val="auto"/>
          <w:sz w:val="24"/>
          <w:highlight w:val="none"/>
        </w:rPr>
        <w:t xml:space="preserve">  </w:t>
      </w:r>
      <w:r/>
    </w:p>
    <w:p>
      <w:pPr>
        <w:pStyle w:val="1247"/>
        <w:ind w:firstLine="480"/>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w:t>
      </w:r>
      <w:bookmarkStart w:id="192" w:name="jianshedanwei_1"/>
      <w:r>
        <w:rPr>
          <w:rFonts w:hint="eastAsia" w:ascii="宋体" w:hAnsi="宋体" w:cs="宋体"/>
          <w:color w:val="auto"/>
          <w:sz w:val="24"/>
          <w:highlight w:val="none"/>
          <w:u w:val="single"/>
        </w:rPr>
        <w:t xml:space="preserve">        </w:t>
      </w:r>
      <w:bookmarkEnd w:id="192"/>
      <w:r>
        <w:rPr>
          <w:rFonts w:hint="eastAsia" w:ascii="宋体" w:hAnsi="宋体" w:cs="宋体"/>
          <w:color w:val="auto"/>
          <w:sz w:val="24"/>
          <w:highlight w:val="none"/>
          <w:u w:val="single"/>
        </w:rPr>
        <w:t xml:space="preserve"> </w:t>
      </w:r>
      <w:r/>
    </w:p>
    <w:p>
      <w:pPr>
        <w:pStyle w:val="1247"/>
        <w:ind w:firstLine="480"/>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bookmarkStart w:id="193" w:name="zhongbiaodanweiname_1"/>
      <w:r>
        <w:rPr>
          <w:rFonts w:hint="eastAsia" w:ascii="宋体" w:hAnsi="宋体" w:cs="宋体"/>
          <w:color w:val="auto"/>
          <w:sz w:val="24"/>
          <w:highlight w:val="none"/>
          <w:u w:val="single"/>
        </w:rPr>
        <w:t xml:space="preserve">          </w:t>
      </w:r>
      <w:bookmarkEnd w:id="193"/>
      <w:r>
        <w:rPr>
          <w:rFonts w:hint="eastAsia" w:ascii="宋体" w:hAnsi="宋体" w:cs="宋体"/>
          <w:color w:val="auto"/>
          <w:sz w:val="24"/>
          <w:highlight w:val="none"/>
          <w:u w:val="single"/>
        </w:rPr>
        <w:t xml:space="preserve"> </w:t>
      </w:r>
      <w:r/>
    </w:p>
    <w:p>
      <w:pPr>
        <w:ind w:firstLine="480"/>
        <w:jc w:val="left"/>
        <w:spacing w:line="300" w:lineRule="auto"/>
        <w:rPr>
          <w:rFonts w:ascii="Times New Roman" w:hAnsi="Times New Roman"/>
          <w:b/>
          <w:bCs/>
          <w:color w:val="auto"/>
          <w:sz w:val="24"/>
          <w:highlight w:val="none"/>
        </w:rPr>
      </w:pPr>
      <w:r>
        <w:rPr>
          <w:rFonts w:ascii="Times New Roman" w:hAnsi="Times New Roman"/>
          <w:color w:val="auto"/>
          <w:sz w:val="24"/>
          <w:highlight w:val="none"/>
        </w:rPr>
        <w:t xml:space="preserve">甲、乙双方根据</w:t>
      </w:r>
      <w:r>
        <w:rPr>
          <w:rFonts w:hint="eastAsia" w:ascii="Times New Roman" w:hAnsi="Times New Roman"/>
          <w:color w:val="auto"/>
          <w:sz w:val="24"/>
          <w:highlight w:val="none"/>
        </w:rPr>
        <w:t xml:space="preserve">张家港保税区恒泰工程建设咨询有限公司</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项目公开招标的结果，签署本合同。</w:t>
      </w:r>
      <w:r/>
    </w:p>
    <w:p>
      <w:pPr>
        <w:ind w:firstLine="472"/>
        <w:spacing w:line="300" w:lineRule="auto"/>
        <w:rPr>
          <w:rFonts w:ascii="Times New Roman" w:hAnsi="Times New Roman"/>
          <w:b/>
          <w:bCs/>
          <w:color w:val="auto"/>
          <w:sz w:val="24"/>
          <w:highlight w:val="none"/>
        </w:rPr>
      </w:pPr>
      <w:r>
        <w:rPr>
          <w:rFonts w:ascii="Times New Roman" w:hAnsi="Times New Roman"/>
          <w:b/>
          <w:bCs/>
          <w:color w:val="auto"/>
          <w:sz w:val="24"/>
          <w:highlight w:val="none"/>
        </w:rPr>
        <w:t xml:space="preserve">一、服务内容</w:t>
      </w:r>
      <w:r/>
    </w:p>
    <w:tbl>
      <w:tblPr>
        <w:tblStyle w:val="740"/>
        <w:tblW w:w="95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6"/>
        <w:gridCol w:w="2970"/>
        <w:gridCol w:w="1920"/>
        <w:gridCol w:w="1620"/>
        <w:gridCol w:w="1320"/>
      </w:tblGrid>
      <w:tr>
        <w:trPr>
          <w:cantSplit/>
          <w:jc w:val="center"/>
          <w:trHeight w:val="66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t xml:space="preserve">备注</w:t>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公园综合管理服务</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00" w:lineRule="auto"/>
              <w:rPr>
                <w:rFonts w:ascii="Times New Roman" w:hAnsi="Times New Roman"/>
                <w:color w:val="auto"/>
                <w:sz w:val="24"/>
                <w:highlight w:val="none"/>
              </w:rPr>
            </w:pPr>
            <w:r>
              <w:rPr>
                <w:color w:val="auto"/>
                <w:sz w:val="24"/>
                <w:highlight w:val="none"/>
              </w:rPr>
              <w:t xml:space="preserve">详见招标文件第四章项目需求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第1年度</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0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第2年度</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0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第3年度</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30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r>
    </w:tbl>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二、合同金额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2.1 本合同金额为（大写）：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（元）人民币（其中</w:t>
      </w:r>
      <w:r>
        <w:rPr>
          <w:rFonts w:hint="eastAsia" w:ascii="Times New Roman" w:hAnsi="Times New Roman"/>
          <w:color w:val="auto"/>
          <w:sz w:val="24"/>
          <w:highlight w:val="none"/>
        </w:rPr>
        <w:t xml:space="preserve">第1年度</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（元），</w:t>
      </w:r>
      <w:r>
        <w:rPr>
          <w:rFonts w:hint="eastAsia" w:ascii="Times New Roman" w:hAnsi="Times New Roman"/>
          <w:color w:val="auto"/>
          <w:sz w:val="24"/>
          <w:highlight w:val="none"/>
        </w:rPr>
        <w:t xml:space="preserve">第2年度</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（元）、</w:t>
      </w:r>
      <w:r>
        <w:rPr>
          <w:rFonts w:hint="eastAsia" w:ascii="Times New Roman" w:hAnsi="Times New Roman"/>
          <w:color w:val="auto"/>
          <w:sz w:val="24"/>
          <w:highlight w:val="none"/>
        </w:rPr>
        <w:t xml:space="preserve">第3年度</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（元））。</w:t>
      </w:r>
      <w:r>
        <w:rPr>
          <w:rFonts w:hint="eastAsia" w:ascii="宋体" w:hAnsi="宋体" w:cs="宋体"/>
          <w:b/>
          <w:bCs/>
          <w:color w:val="auto"/>
          <w:sz w:val="24"/>
          <w:szCs w:val="24"/>
          <w:highlight w:val="none"/>
          <w:lang w:bidi="ar"/>
        </w:rPr>
        <w:t xml:space="preserve">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总价为综合报价，应包括但不限于人员费用（工资、福利、培训、社会保险等）、服务所用设备工具购置及维修费用、服务所用材料消耗费用、管理费用、水电费、利润、税金、</w:t>
      </w:r>
      <w:r>
        <w:rPr>
          <w:rFonts w:hint="eastAsia" w:ascii="宋体" w:cs="宋体"/>
          <w:bCs/>
          <w:color w:val="auto"/>
          <w:sz w:val="24"/>
          <w:szCs w:val="24"/>
          <w:highlight w:val="none"/>
        </w:rPr>
        <w:t xml:space="preserve">保安、保洁、</w:t>
      </w:r>
      <w:r>
        <w:rPr>
          <w:rFonts w:hint="eastAsia" w:ascii="宋体" w:cs="宋体"/>
          <w:bCs/>
          <w:color w:val="auto"/>
          <w:sz w:val="24"/>
          <w:szCs w:val="24"/>
          <w:highlight w:val="none"/>
          <w:lang w:val="en-US" w:eastAsia="zh-CN"/>
        </w:rPr>
        <w:t xml:space="preserve">绿化养护、</w:t>
      </w:r>
      <w:r>
        <w:rPr>
          <w:rFonts w:hint="eastAsia" w:ascii="宋体" w:hAnsi="宋体" w:cs="宋体"/>
          <w:color w:val="auto"/>
          <w:sz w:val="24"/>
          <w:szCs w:val="24"/>
          <w:highlight w:val="none"/>
        </w:rPr>
        <w:t xml:space="preserve">公园公共设施维修改造功能提升费用、</w:t>
      </w:r>
      <w:r>
        <w:rPr>
          <w:rFonts w:hint="eastAsia" w:ascii="宋体" w:hAnsi="宋体" w:cs="宋体"/>
          <w:color w:val="auto"/>
          <w:sz w:val="24"/>
          <w:szCs w:val="24"/>
          <w:highlight w:val="none"/>
          <w:lang w:bidi="ar"/>
        </w:rPr>
        <w:t xml:space="preserve">中标服务费、政策性文件规定及合同包含的所有风险、责任等各项应有费用。 </w:t>
      </w:r>
      <w:r/>
    </w:p>
    <w:p>
      <w:pPr>
        <w:ind w:firstLine="482"/>
        <w:jc w:val="left"/>
        <w:spacing w:line="360" w:lineRule="auto"/>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三、履约保证金 </w:t>
      </w:r>
      <w:r/>
    </w:p>
    <w:p>
      <w:pPr>
        <w:ind w:firstLine="482"/>
        <w:jc w:val="left"/>
        <w:spacing w:line="360" w:lineRule="auto"/>
        <w:widowControl/>
        <w:rPr>
          <w:rFonts w:ascii="宋体" w:hAnsi="宋体" w:cs="宋体"/>
          <w:color w:val="auto"/>
          <w:szCs w:val="21"/>
          <w:highlight w:val="none"/>
          <w:lang w:bidi="ar"/>
        </w:rPr>
      </w:pPr>
      <w:r>
        <w:rPr>
          <w:rFonts w:hint="eastAsia" w:ascii="宋体" w:hAnsi="宋体" w:cs="宋体"/>
          <w:color w:val="auto"/>
          <w:sz w:val="24"/>
          <w:szCs w:val="24"/>
          <w:highlight w:val="none"/>
          <w:lang w:bidi="ar"/>
        </w:rPr>
        <w:t xml:space="preserve">3.1合同签订前，乙方向采购单位交纳人民币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元作为本合同的履约保证金。履约保证金应当以支票、汇票、本票或者金融机构、担保机构出具的保函等非现金形式提交。</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3.2乙方不履行或者不能完全履行与甲方订立的合同的，履约保证金不予退还。甲方主张的违约金可以优先从履行保证金</w:t>
      </w:r>
      <w:r>
        <w:rPr>
          <w:rFonts w:hint="eastAsia" w:ascii="宋体" w:hAnsi="宋体" w:cs="宋体"/>
          <w:color w:val="auto"/>
          <w:sz w:val="24"/>
          <w:szCs w:val="24"/>
          <w:highlight w:val="none"/>
          <w:lang w:val="en-US" w:eastAsia="zh-CN" w:bidi="ar"/>
        </w:rPr>
        <w:t xml:space="preserve">中</w:t>
      </w:r>
      <w:r>
        <w:rPr>
          <w:rFonts w:hint="eastAsia" w:ascii="宋体" w:hAnsi="宋体" w:cs="宋体"/>
          <w:color w:val="auto"/>
          <w:sz w:val="24"/>
          <w:szCs w:val="24"/>
          <w:highlight w:val="none"/>
          <w:lang w:bidi="ar"/>
        </w:rPr>
        <w:t xml:space="preserve">扣除，不足部分另行向乙方追偿。</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四、转包或分包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4.1 本合同范围的服务，应由乙方直接提供，不得转让他人提供； </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4.2 如有转包行为，甲方有权给予终止合同，且不再退回履行保证金并可以向乙方追究直接或间接损失赔偿。</w:t>
      </w:r>
      <w:r/>
    </w:p>
    <w:p>
      <w:pPr>
        <w:ind w:firstLine="482"/>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4.3</w:t>
      </w:r>
      <w:r>
        <w:rPr>
          <w:rFonts w:hint="eastAsia" w:ascii="宋体" w:hAnsi="宋体" w:cs="宋体"/>
          <w:color w:val="auto"/>
          <w:sz w:val="24"/>
          <w:szCs w:val="24"/>
          <w:highlight w:val="none"/>
          <w:lang w:bidi="ar"/>
        </w:rPr>
        <w:t xml:space="preserve">若本项目由大型企业中标，需将预算总额的40%预留出来，专门用于向中小企业进行分包。并且，在这部分预留预算中，分包给小微企业的比例不得低于60%。</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五、服务期限：</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服务期限为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个月。自 年 月 日到 年 月 日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六、货款支付 </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6.1 结付程序：中标人按合同内容合格地履行义务后，凭发票、服务期内考核结果及甲方要求的其他资料到采购单位办理服务款结算手续。</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6.2 结付期限： </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（1）合同签订后，甲方支付乙方</w:t>
      </w:r>
      <w:r>
        <w:rPr>
          <w:rFonts w:hint="eastAsia" w:ascii="宋体" w:hAnsi="宋体" w:cs="宋体"/>
          <w:color w:val="auto"/>
          <w:sz w:val="24"/>
          <w:szCs w:val="24"/>
          <w:highlight w:val="none"/>
          <w:lang w:eastAsia="zh-CN" w:bidi="ar"/>
        </w:rPr>
        <w:t xml:space="preserve">合同</w:t>
      </w:r>
      <w:r>
        <w:rPr>
          <w:rFonts w:hint="eastAsia" w:ascii="宋体" w:hAnsi="宋体" w:cs="宋体"/>
          <w:color w:val="auto"/>
          <w:sz w:val="24"/>
          <w:szCs w:val="24"/>
          <w:highlight w:val="none"/>
          <w:lang w:bidi="ar"/>
        </w:rPr>
        <w:t xml:space="preserve">金额的10%为预付款；剩余款项按季度支付，每季度支付的合同价款=对应年度合同金额扣除预付款后÷对应年度总季度数-考核扣款，每季度按财政审批流程后支付。</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（2）在签订合同时，乙方明确表示无需预付款或者主动要求降低预付款比例的，甲方可不适用上述关于预付款的规定。服务期结束返还履约保证金。考核办法见附件。</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6.3 乙方收款账户： </w:t>
      </w:r>
      <w:r/>
    </w:p>
    <w:p>
      <w:pPr>
        <w:ind w:firstLine="482"/>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6.4 甲方合同款支付方式：</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（若乙方为中小企业，不得强制其接受非现金支付方式）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七、税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7.1 本合同执行中相关的一切税费均由乙方负担。 乙方应提供合法有效的增值税发票，因发票问题导致的损失均由乙方承担。</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八、管理事项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按招标内容要求以及响应单位的承诺项目阐述。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九、双方权利义务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9.1甲方的权利和义务</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(1)甲方制定的委托乙方承担的项目管理内容。（详见项目需求）</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(2)检查监督乙方管理工作的实施及制度的执行情况，并进行考核。</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(3)审定乙方提出的项目管理计划。</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(4)协调处理本合同生效前发生的管理遗留问题。</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(5)协助乙方做好项目管理工作的宣传教育。</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(6)乙方有违约行为的，甲方有权解除合同并没收履约保证金及向乙方支付实际合同期内扣除考核扣款后的全部余款。</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(7)甲方有权对中标后再转包的乙方终止承包合同。</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(8)甲方委托张家港市</w:t>
      </w:r>
      <w:r>
        <w:rPr>
          <w:rFonts w:hint="eastAsia" w:ascii="宋体" w:hAnsi="宋体" w:cs="宋体"/>
          <w:color w:val="auto"/>
          <w:sz w:val="24"/>
          <w:szCs w:val="24"/>
          <w:highlight w:val="none"/>
          <w:lang w:val="en-US" w:eastAsia="zh-CN" w:bidi="ar"/>
        </w:rPr>
        <w:t xml:space="preserve">公园管理处</w:t>
      </w:r>
      <w:r>
        <w:rPr>
          <w:rFonts w:hint="eastAsia" w:ascii="宋体" w:hAnsi="宋体" w:cs="宋体"/>
          <w:color w:val="auto"/>
          <w:sz w:val="24"/>
          <w:szCs w:val="24"/>
          <w:highlight w:val="none"/>
          <w:lang w:bidi="ar"/>
        </w:rPr>
        <w:t xml:space="preserve">负责乙方服务情况的监督管理考核、组织验收、结算审核、资金拨付申请等管理事宜。</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9.2乙方的权利和义务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(1)根据有关法律、法规及本合同的约定，制订项目管理制度。</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(2)按合同约定，履行项目管理职责。</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(3)负责编制项目管理年度管理计划。</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(4)工作人员统一着装，并作好相关劳动安全防护工作，严格遵守各项管理规定。</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(5)如遇张家港市的各项重要活动、参观接待时，乙方应及时组织人员到位，完成各项突击任务。</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 乙方必须规范用工，签订用工合同。因乙方劳动用工、管理等原因导致的任何纠纷（包括但不限于劳动纠纷、劳务纠纷、工伤等）均由乙方承担，与甲方无关。</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 签订合同前，应对公园内原有资产清点后附双方移交清单，在合同期满时，乙方需对公园内资产进行全面清点，并确保以完整、可正常使用的状态向甲方移交。若经检查发现存在资产损坏等情况，依据甲乙双方确定的具有资质的第三方评估机构依据相关标准评估损失价值，并按价赔偿，确保公园资产完整性得以恢复。</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十、服务质量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乙方提供的管理服务应达到投标文件所约定的目标。对达标的理解有异议的，由双方共同认可的第三方予以评定。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十一、违约责任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11.1 甲方违反合同的约定，使乙方未完成规定目标，乙方有权要求甲方在一定期限内解决，逾期未解决的，乙方有权终止合同，造成乙方经济损失的，甲方给予乙方经济赔偿。</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11.2 甲方逾期办理合同款支付的,应当支付逾期利息，且逾期利息的利率不得低于合同订立时1年期贷款市场报价利率。</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11.3 乙方违反合同的约定，未能达到约定的管理目标，甲方有权要求乙方限期整改，逾期未整改的，甲方有权终止合同，造成甲方经济损失的，乙方给予甲方赔偿。</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11.4 本合同生效后，甲乙双方任何一方无正当理由要求终止合同的，除双方签订补充协议外，责任方须按本合同及其补充协议的有关条款之规定承担违约责任，并应向对方支付合同金额10%的违约金。服务期内发生在服务范围内的一切管理责任，造成其自身或者甲方及其他第三方财产损失、人身伤害的，由乙方承担并负责赔偿。违约金不足以弥补损失的，违约方还应赔偿守约方全部损失。</w:t>
      </w:r>
      <w:r/>
    </w:p>
    <w:p>
      <w:pPr>
        <w:pStyle w:val="1282"/>
        <w:ind w:firstLine="500"/>
        <w:spacing w:line="440" w:lineRule="exact"/>
        <w:rPr>
          <w:rFonts w:ascii="宋体" w:hAnsi="宋体" w:eastAsia="宋体" w:cs="宋体"/>
          <w:iCs/>
          <w:color w:val="auto"/>
          <w:spacing w:val="7"/>
          <w:highlight w:val="none"/>
        </w:rPr>
      </w:pPr>
      <w:r>
        <w:rPr>
          <w:rFonts w:hint="eastAsia" w:ascii="宋体" w:hAnsi="宋体" w:eastAsia="宋体" w:cs="宋体"/>
          <w:iCs/>
          <w:color w:val="auto"/>
          <w:spacing w:val="7"/>
          <w:highlight w:val="none"/>
        </w:rPr>
        <w:t xml:space="preserve">11.5</w:t>
      </w:r>
      <w:r>
        <w:rPr>
          <w:rFonts w:ascii="宋体" w:hAnsi="宋体" w:eastAsia="宋体" w:cs="宋体"/>
          <w:iCs/>
          <w:color w:val="auto"/>
          <w:spacing w:val="7"/>
          <w:highlight w:val="none"/>
        </w:rPr>
        <w:t xml:space="preserve">中标单位若出现以下</w:t>
      </w:r>
      <w:r>
        <w:rPr>
          <w:rFonts w:hint="eastAsia" w:ascii="宋体" w:hAnsi="宋体" w:eastAsia="宋体" w:cs="宋体"/>
          <w:iCs/>
          <w:color w:val="auto"/>
          <w:spacing w:val="7"/>
          <w:highlight w:val="none"/>
        </w:rPr>
        <w:t xml:space="preserve">任何一种</w:t>
      </w:r>
      <w:r>
        <w:rPr>
          <w:rFonts w:ascii="宋体" w:hAnsi="宋体" w:eastAsia="宋体" w:cs="宋体"/>
          <w:iCs/>
          <w:color w:val="auto"/>
          <w:spacing w:val="7"/>
          <w:highlight w:val="none"/>
        </w:rPr>
        <w:t xml:space="preserve">情况，</w:t>
      </w:r>
      <w:r>
        <w:rPr>
          <w:rFonts w:hint="eastAsia" w:ascii="宋体" w:hAnsi="宋体" w:eastAsia="宋体" w:cs="宋体"/>
          <w:iCs/>
          <w:color w:val="auto"/>
          <w:spacing w:val="7"/>
          <w:highlight w:val="none"/>
        </w:rPr>
        <w:t xml:space="preserve">采购单位</w:t>
      </w:r>
      <w:r>
        <w:rPr>
          <w:rFonts w:ascii="宋体" w:hAnsi="宋体" w:eastAsia="宋体" w:cs="宋体"/>
          <w:iCs/>
          <w:color w:val="auto"/>
          <w:spacing w:val="7"/>
          <w:highlight w:val="none"/>
        </w:rPr>
        <w:t xml:space="preserve">有权单方面</w:t>
      </w:r>
      <w:r>
        <w:rPr>
          <w:rFonts w:hint="eastAsia" w:ascii="宋体" w:hAnsi="宋体" w:eastAsia="宋体" w:cs="宋体"/>
          <w:iCs/>
          <w:color w:val="auto"/>
          <w:spacing w:val="7"/>
          <w:highlight w:val="none"/>
        </w:rPr>
        <w:t xml:space="preserve">解除本</w:t>
      </w:r>
      <w:r>
        <w:rPr>
          <w:rFonts w:ascii="宋体" w:hAnsi="宋体" w:eastAsia="宋体" w:cs="宋体"/>
          <w:iCs/>
          <w:color w:val="auto"/>
          <w:spacing w:val="7"/>
          <w:highlight w:val="none"/>
        </w:rPr>
        <w:t xml:space="preserve">合同，所有损失由中标单位承担：</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未按合同规定及相关规范要求进行养护，且造成严重后果的。</w:t>
      </w:r>
      <w:r/>
    </w:p>
    <w:p>
      <w:pPr>
        <w:pStyle w:val="1282"/>
        <w:numPr>
          <w:ilvl w:val="0"/>
          <w:numId w:val="9"/>
        </w:numPr>
        <w:spacing w:line="440" w:lineRule="exact"/>
        <w:rPr>
          <w:rFonts w:ascii="宋体" w:hAnsi="宋体" w:eastAsia="宋体" w:cs="宋体"/>
          <w:iCs/>
          <w:color w:val="auto"/>
          <w:spacing w:val="7"/>
          <w:highlight w:val="none"/>
        </w:rPr>
      </w:pPr>
      <w:r>
        <w:rPr>
          <w:rFonts w:hint="eastAsia" w:ascii="宋体" w:hAnsi="宋体" w:eastAsia="宋体" w:cs="宋体"/>
          <w:iCs/>
          <w:color w:val="auto"/>
          <w:spacing w:val="7"/>
          <w:highlight w:val="none"/>
        </w:rPr>
        <w:t xml:space="preserve">对采购单位</w:t>
      </w:r>
      <w:r>
        <w:rPr>
          <w:rFonts w:ascii="宋体" w:hAnsi="宋体" w:eastAsia="宋体" w:cs="宋体"/>
          <w:iCs/>
          <w:color w:val="auto"/>
          <w:spacing w:val="7"/>
          <w:highlight w:val="none"/>
        </w:rPr>
        <w:t xml:space="preserve">派发问题拒不整改的。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存在转包、违法分包等行为的。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未经行政主管部门审批，擅自对公园可经营资产进行盘活利用和升级改造的。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未经采购人书面确认同意，更改公园现有布局、占有绿地、私自封闭公园区域、违章建设的。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经营活动未合法合规进行，不符合城市</w:t>
      </w:r>
      <w:r>
        <w:rPr>
          <w:rFonts w:hint="eastAsia" w:ascii="宋体" w:hAnsi="宋体" w:eastAsia="宋体" w:cs="宋体"/>
          <w:iCs/>
          <w:color w:val="auto"/>
          <w:spacing w:val="7"/>
          <w:highlight w:val="none"/>
          <w:lang w:eastAsia="zh-CN"/>
        </w:rPr>
        <w:t xml:space="preserve">公园管理相关条例</w:t>
      </w:r>
      <w:r>
        <w:rPr>
          <w:rFonts w:ascii="宋体" w:hAnsi="宋体" w:eastAsia="宋体" w:cs="宋体"/>
          <w:iCs/>
          <w:color w:val="auto"/>
          <w:spacing w:val="7"/>
          <w:highlight w:val="none"/>
        </w:rPr>
        <w:t xml:space="preserve">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未保障公园的公益属性，向游客收取额外费用或改变公园免费开放模式的。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未按规定对公园内可经营项目进行审批，擅自开展经营活动的。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工作人员严重违反公园管理制度，造成恶劣影响的。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未及时处理游客投诉，导致游客满意度大幅下降且未积极改善的。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未按规定配备相关专业人员或人员资质不符合要求，且拒绝整改的。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未按规定进行日常巡检和定期维护，导致设施出现严重安全隐患的。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未按规定处理公园内的安全事故和突发事件，造成严重后果的。</w:t>
      </w:r>
      <w:r/>
    </w:p>
    <w:p>
      <w:pPr>
        <w:pStyle w:val="1282"/>
        <w:numPr>
          <w:ilvl w:val="0"/>
          <w:numId w:val="9"/>
        </w:numPr>
        <w:spacing w:line="440" w:lineRule="exact"/>
        <w:rPr>
          <w:rFonts w:ascii="宋体" w:hAnsi="宋体" w:eastAsia="宋体" w:cs="宋体"/>
          <w:iCs/>
          <w:color w:val="auto"/>
          <w:spacing w:val="7"/>
          <w:highlight w:val="none"/>
        </w:rPr>
      </w:pPr>
      <w:r>
        <w:rPr>
          <w:rFonts w:ascii="宋体" w:hAnsi="宋体" w:eastAsia="宋体" w:cs="宋体"/>
          <w:iCs/>
          <w:color w:val="auto"/>
          <w:spacing w:val="7"/>
          <w:highlight w:val="none"/>
        </w:rPr>
        <w:t xml:space="preserve">未按规定提供相关服务，如游客服务、信息咨询等，影响公园服务质量的。</w:t>
      </w:r>
      <w:r/>
    </w:p>
    <w:p>
      <w:pPr>
        <w:pStyle w:val="1282"/>
        <w:numPr>
          <w:ilvl w:val="0"/>
          <w:numId w:val="9"/>
        </w:numPr>
        <w:spacing w:line="440" w:lineRule="exact"/>
        <w:rPr>
          <w:rFonts w:ascii="宋体" w:hAnsi="宋体" w:eastAsia="宋体" w:cs="宋体"/>
          <w:iCs/>
          <w:color w:val="auto"/>
          <w:spacing w:val="7"/>
          <w:highlight w:val="none"/>
        </w:rPr>
      </w:pPr>
      <w:r>
        <w:rPr>
          <w:rFonts w:hint="eastAsia" w:ascii="宋体" w:hAnsi="宋体" w:eastAsia="宋体" w:cs="宋体"/>
          <w:iCs/>
          <w:color w:val="auto"/>
          <w:spacing w:val="7"/>
          <w:highlight w:val="none"/>
        </w:rPr>
        <w:t xml:space="preserve">未按投标文件响应情况进行人员投入的。</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十二、不可抗力事件处理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12.1 在合同有效期内，任何一方因不可抗力事件导致不能履行合同，则合同履行期可延长，其延长期与不可抗力影响期相同。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12.2 不可抗力事件发生后，应立即通知对方，并寄送有关权威机构出具的证明。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12.3 不可抗力事件延续 120 天以上，双方应通过友好协商，确定是否继续履行合同。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十三、诉讼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13.1 双方在执行合同中所发生的一切争议，应通过协商解决。如协商不成，可向合同签订地法院起诉，合同签订地在此约定为张家港市。违约方承担守约方因处理本合同项下争议所支付的所有费用，包括但不限于诉讼费、律师费、交通费、评估费、鉴定费等。</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十四、合同其他文件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14.1 下列文件为本合同不可分割部分，与本合同具有同等效力。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(1)中标通知书；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(2)供方中标的投标书；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(3)招标文件；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(4)供方在招投标过程中所作的其他承诺、声明、书面澄清等。 </w:t>
      </w:r>
      <w:r/>
    </w:p>
    <w:p>
      <w:pPr>
        <w:ind w:firstLine="482"/>
        <w:jc w:val="left"/>
        <w:spacing w:line="360" w:lineRule="auto"/>
        <w:widowControl/>
        <w:rPr>
          <w:color w:val="auto"/>
          <w:highlight w:val="none"/>
        </w:rPr>
      </w:pPr>
      <w:r>
        <w:rPr>
          <w:rFonts w:hint="eastAsia" w:ascii="宋体" w:hAnsi="宋体" w:cs="宋体"/>
          <w:b/>
          <w:bCs/>
          <w:color w:val="auto"/>
          <w:sz w:val="24"/>
          <w:szCs w:val="24"/>
          <w:highlight w:val="none"/>
          <w:lang w:bidi="ar"/>
        </w:rPr>
        <w:t xml:space="preserve">十五、合同生效及其他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15.1 合同经双方法定代表人（或负责人）或授权委托代表人签字并加盖单位公章后生效,生效后至张家港市政府采购管理中心备案。 </w:t>
      </w:r>
      <w:r/>
    </w:p>
    <w:p>
      <w:pPr>
        <w:ind w:firstLine="480"/>
        <w:jc w:val="left"/>
        <w:spacing w:line="360" w:lineRule="auto"/>
        <w:widowControl/>
        <w:rPr>
          <w:color w:val="auto"/>
          <w:highlight w:val="none"/>
        </w:rPr>
      </w:pPr>
      <w:r>
        <w:rPr>
          <w:rFonts w:hint="eastAsia" w:ascii="宋体" w:hAnsi="宋体" w:cs="宋体"/>
          <w:color w:val="auto"/>
          <w:sz w:val="24"/>
          <w:szCs w:val="24"/>
          <w:highlight w:val="none"/>
          <w:lang w:bidi="ar"/>
        </w:rPr>
        <w:t xml:space="preserve">15.2 本合同未尽事宜，遵照《中华人民共和国民法典》合同编经甲乙双方协商一致可签订补充协议。 </w:t>
      </w:r>
      <w:r/>
    </w:p>
    <w:p>
      <w:pPr>
        <w:pStyle w:val="1247"/>
        <w:ind w:left="480" w:hanging="480"/>
        <w:spacing w:line="420" w:lineRule="exact"/>
        <w:rPr>
          <w:rFonts w:ascii="宋体" w:hAnsi="宋体" w:cs="Courier New"/>
          <w:color w:val="auto"/>
          <w:sz w:val="24"/>
          <w:highlight w:val="none"/>
        </w:rPr>
      </w:pPr>
      <w:r>
        <w:rPr>
          <w:rFonts w:hint="eastAsia" w:ascii="宋体" w:hAnsi="宋体" w:cs="Courier New"/>
          <w:color w:val="auto"/>
          <w:sz w:val="24"/>
          <w:highlight w:val="none"/>
        </w:rPr>
        <w:t xml:space="preserve">     </w:t>
      </w:r>
      <w:r/>
    </w:p>
    <w:p>
      <w:pPr>
        <w:pStyle w:val="1247"/>
        <w:ind w:left="480" w:hanging="480"/>
        <w:spacing w:line="420" w:lineRule="exact"/>
        <w:rPr>
          <w:rFonts w:ascii="宋体" w:hAnsi="宋体" w:cs="Courier New"/>
          <w:color w:val="auto"/>
          <w:sz w:val="24"/>
          <w:highlight w:val="none"/>
        </w:rPr>
      </w:pPr>
      <w:r>
        <w:rPr>
          <w:rFonts w:ascii="宋体" w:hAnsi="宋体" w:cs="Courier New"/>
          <w:color w:val="auto"/>
          <w:sz w:val="24"/>
          <w:highlight w:val="none"/>
        </w:rPr>
      </w:r>
      <w:r/>
    </w:p>
    <w:tbl>
      <w:tblPr>
        <w:tblStyle w:val="1336"/>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4981" w:type="dxa"/>
            <w:textDirection w:val="lrTb"/>
            <w:noWrap w:val="false"/>
          </w:tcPr>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甲方：                </w:t>
            </w:r>
            <w:r>
              <w:rPr>
                <w:rStyle w:val="1338"/>
                <w:rFonts w:ascii="宋体" w:hAnsi="宋体" w:cs="Courier New"/>
                <w:color w:val="auto"/>
                <w:sz w:val="24"/>
                <w:szCs w:val="24"/>
                <w:highlight w:val="none"/>
              </w:rPr>
              <w:t xml:space="preserve">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地址：          </w:t>
            </w:r>
            <w:r>
              <w:rPr>
                <w:rStyle w:val="1338"/>
                <w:rFonts w:ascii="宋体" w:hAnsi="宋体" w:cs="Courier New"/>
                <w:color w:val="auto"/>
                <w:sz w:val="24"/>
                <w:szCs w:val="24"/>
                <w:highlight w:val="none"/>
              </w:rPr>
              <w:t xml:space="preserve">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法定代表人或授权代表：   </w:t>
            </w:r>
            <w:r>
              <w:rPr>
                <w:rStyle w:val="1338"/>
                <w:rFonts w:ascii="宋体" w:hAnsi="宋体" w:cs="Courier New"/>
                <w:color w:val="auto"/>
                <w:sz w:val="24"/>
                <w:szCs w:val="24"/>
                <w:highlight w:val="none"/>
              </w:rPr>
              <w:t xml:space="preserve">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联系电话：                    </w:t>
            </w:r>
            <w:r/>
          </w:p>
          <w:p>
            <w:pPr>
              <w:pStyle w:val="1251"/>
              <w:ind w:firstLine="0"/>
              <w:rPr>
                <w:rStyle w:val="1338"/>
                <w:rFonts w:ascii="宋体" w:hAnsi="宋体" w:cs="宋体"/>
                <w:color w:val="auto"/>
                <w:sz w:val="24"/>
                <w:szCs w:val="24"/>
                <w:highlight w:val="none"/>
              </w:rPr>
            </w:pPr>
            <w:r>
              <w:rPr>
                <w:rStyle w:val="1338"/>
                <w:rFonts w:hint="eastAsia" w:ascii="宋体" w:hAnsi="宋体" w:cs="Courier New"/>
                <w:color w:val="auto"/>
                <w:sz w:val="24"/>
                <w:szCs w:val="24"/>
                <w:highlight w:val="none"/>
              </w:rPr>
              <w:t xml:space="preserve">签订日期：      年    月  日 </w:t>
            </w:r>
            <w:r/>
          </w:p>
        </w:tc>
        <w:tc>
          <w:tcPr>
            <w:tcW w:w="4981" w:type="dxa"/>
            <w:textDirection w:val="lrTb"/>
            <w:noWrap w:val="false"/>
          </w:tcPr>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乙方：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地址：             </w:t>
            </w:r>
            <w:r/>
          </w:p>
          <w:p>
            <w:pPr>
              <w:pStyle w:val="1251"/>
              <w:ind w:firstLine="0"/>
              <w:spacing w:line="420" w:lineRule="exact"/>
              <w:rPr>
                <w:rStyle w:val="1338"/>
                <w:rFonts w:cs="Courier New"/>
                <w:color w:val="auto"/>
                <w:sz w:val="24"/>
                <w:szCs w:val="24"/>
                <w:highlight w:val="none"/>
              </w:rPr>
            </w:pPr>
            <w:r>
              <w:rPr>
                <w:rStyle w:val="1338"/>
                <w:rFonts w:hint="eastAsia" w:cs="Courier New"/>
                <w:color w:val="auto"/>
                <w:sz w:val="24"/>
                <w:szCs w:val="24"/>
                <w:highlight w:val="none"/>
              </w:rPr>
              <w:t xml:space="preserve">法定代表人</w:t>
            </w:r>
            <w:r>
              <w:rPr>
                <w:rStyle w:val="1338"/>
                <w:rFonts w:hint="eastAsia"/>
                <w:bCs/>
                <w:color w:val="auto"/>
                <w:sz w:val="24"/>
                <w:szCs w:val="24"/>
                <w:highlight w:val="none"/>
              </w:rPr>
              <w:t xml:space="preserve">（或负责人）</w:t>
            </w:r>
            <w:r>
              <w:rPr>
                <w:rStyle w:val="1338"/>
                <w:rFonts w:hint="eastAsia" w:cs="Courier New"/>
                <w:color w:val="auto"/>
                <w:sz w:val="24"/>
                <w:szCs w:val="24"/>
                <w:highlight w:val="none"/>
              </w:rPr>
              <w:t xml:space="preserve">或授权代表：              </w:t>
            </w:r>
            <w:r>
              <w:rPr>
                <w:rStyle w:val="1338"/>
                <w:rFonts w:cs="Courier New"/>
                <w:color w:val="auto"/>
                <w:sz w:val="24"/>
                <w:szCs w:val="24"/>
                <w:highlight w:val="none"/>
              </w:rPr>
              <w:t xml:space="preserve">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联系电话：                 </w:t>
            </w:r>
            <w:r/>
          </w:p>
          <w:p>
            <w:pPr>
              <w:pStyle w:val="1251"/>
              <w:ind w:firstLine="0"/>
              <w:spacing w:line="420" w:lineRule="exact"/>
              <w:rPr>
                <w:rStyle w:val="1338"/>
                <w:rFonts w:ascii="宋体" w:hAnsi="宋体" w:cs="Courier New"/>
                <w:color w:val="auto"/>
                <w:sz w:val="24"/>
                <w:szCs w:val="24"/>
                <w:highlight w:val="none"/>
              </w:rPr>
            </w:pPr>
            <w:r>
              <w:rPr>
                <w:rStyle w:val="1338"/>
                <w:rFonts w:hint="eastAsia" w:ascii="宋体" w:hAnsi="宋体" w:cs="Courier New"/>
                <w:color w:val="auto"/>
                <w:sz w:val="24"/>
                <w:szCs w:val="24"/>
                <w:highlight w:val="none"/>
              </w:rPr>
              <w:t xml:space="preserve">签订日期：      年    月  日</w:t>
            </w:r>
            <w:r/>
          </w:p>
          <w:p>
            <w:pPr>
              <w:pStyle w:val="1251"/>
              <w:ind w:firstLine="0"/>
              <w:rPr>
                <w:rStyle w:val="1338"/>
                <w:rFonts w:ascii="宋体" w:hAnsi="宋体" w:cs="宋体"/>
                <w:color w:val="auto"/>
                <w:sz w:val="24"/>
                <w:szCs w:val="24"/>
                <w:highlight w:val="none"/>
              </w:rPr>
            </w:pPr>
            <w:r>
              <w:rPr>
                <w:rFonts w:ascii="宋体" w:hAnsi="宋体" w:cs="宋体"/>
                <w:color w:val="auto"/>
                <w:sz w:val="24"/>
                <w:szCs w:val="24"/>
                <w:highlight w:val="none"/>
              </w:rPr>
            </w:r>
            <w:r/>
          </w:p>
        </w:tc>
      </w:tr>
      <w:tr>
        <w:trPr/>
        <w:tc>
          <w:tcPr>
            <w:tcW w:w="4981" w:type="dxa"/>
            <w:textDirection w:val="lrTb"/>
            <w:noWrap w:val="false"/>
          </w:tcPr>
          <w:p>
            <w:pPr>
              <w:pStyle w:val="1251"/>
              <w:ind w:firstLine="0"/>
              <w:rPr>
                <w:rStyle w:val="1338"/>
                <w:rFonts w:ascii="宋体" w:hAnsi="宋体" w:cs="宋体"/>
                <w:color w:val="auto"/>
                <w:sz w:val="24"/>
                <w:szCs w:val="24"/>
                <w:highlight w:val="none"/>
              </w:rPr>
            </w:pPr>
            <w:r>
              <w:rPr>
                <w:rStyle w:val="1338"/>
                <w:rFonts w:hint="eastAsia" w:ascii="宋体" w:hAnsi="宋体" w:cs="宋体"/>
                <w:color w:val="auto"/>
                <w:sz w:val="24"/>
                <w:szCs w:val="24"/>
                <w:highlight w:val="none"/>
              </w:rPr>
              <w:t xml:space="preserve">见证方：</w:t>
            </w:r>
            <w:r/>
          </w:p>
          <w:p>
            <w:pPr>
              <w:pStyle w:val="1249"/>
              <w:ind w:firstLine="0"/>
              <w:widowControl w:val="off"/>
              <w:rPr>
                <w:color w:val="auto"/>
                <w:highlight w:val="none"/>
              </w:rPr>
            </w:pPr>
            <w:r>
              <w:rPr>
                <w:color w:val="auto"/>
                <w:highlight w:val="none"/>
              </w:rPr>
            </w:r>
            <w:r/>
          </w:p>
          <w:p>
            <w:pPr>
              <w:pStyle w:val="1249"/>
              <w:ind w:firstLine="0"/>
              <w:widowControl w:val="off"/>
              <w:rPr>
                <w:color w:val="auto"/>
                <w:highlight w:val="none"/>
              </w:rPr>
            </w:pPr>
            <w:r>
              <w:rPr>
                <w:rStyle w:val="1338"/>
                <w:rFonts w:hint="eastAsia" w:cs="宋体"/>
                <w:color w:val="auto"/>
                <w:sz w:val="24"/>
                <w:szCs w:val="24"/>
                <w:highlight w:val="none"/>
              </w:rPr>
              <w:t xml:space="preserve">经办人：</w:t>
            </w:r>
            <w:r/>
          </w:p>
        </w:tc>
        <w:tc>
          <w:tcPr>
            <w:tcW w:w="4981" w:type="dxa"/>
            <w:textDirection w:val="lrTb"/>
            <w:noWrap w:val="false"/>
          </w:tcPr>
          <w:p>
            <w:pPr>
              <w:pStyle w:val="1251"/>
              <w:ind w:firstLine="0"/>
              <w:rPr>
                <w:rStyle w:val="1338"/>
                <w:rFonts w:ascii="宋体" w:hAnsi="宋体" w:cs="宋体"/>
                <w:color w:val="auto"/>
                <w:sz w:val="24"/>
                <w:szCs w:val="24"/>
                <w:highlight w:val="none"/>
              </w:rPr>
            </w:pPr>
            <w:r>
              <w:rPr>
                <w:rStyle w:val="1338"/>
                <w:rFonts w:hint="eastAsia" w:ascii="宋体" w:hAnsi="宋体" w:cs="宋体"/>
                <w:color w:val="auto"/>
                <w:sz w:val="24"/>
                <w:szCs w:val="24"/>
                <w:highlight w:val="none"/>
              </w:rPr>
              <w:t xml:space="preserve">备案方：</w:t>
            </w:r>
            <w:r/>
          </w:p>
        </w:tc>
      </w:tr>
    </w:tbl>
    <w:p>
      <w:pPr>
        <w:rPr>
          <w:rFonts w:ascii="宋体" w:hAnsi="宋体"/>
          <w:color w:val="auto"/>
          <w:sz w:val="20"/>
          <w:highlight w:val="none"/>
        </w:rPr>
      </w:pPr>
      <w:r>
        <w:rPr>
          <w:rFonts w:ascii="宋体" w:hAnsi="宋体"/>
          <w:color w:val="auto"/>
          <w:sz w:val="20"/>
          <w:highlight w:val="none"/>
        </w:rPr>
      </w:r>
      <w:r/>
    </w:p>
    <w:p>
      <w:pPr>
        <w:pStyle w:val="782"/>
        <w:pageBreakBefore/>
        <w:spacing w:line="360" w:lineRule="auto"/>
        <w:rPr>
          <w:rFonts w:ascii="宋体" w:hAnsi="宋体" w:eastAsia="宋体"/>
          <w:color w:val="auto"/>
          <w:highlight w:val="none"/>
        </w:rPr>
      </w:pPr>
      <w:r/>
      <w:bookmarkStart w:id="194" w:name="_Hlt16619350"/>
      <w:r/>
      <w:bookmarkStart w:id="195" w:name="_Toc256000009"/>
      <w:r/>
      <w:bookmarkStart w:id="196" w:name="_Toc16938590"/>
      <w:r/>
      <w:bookmarkStart w:id="197" w:name="_Toc35266028"/>
      <w:r/>
      <w:bookmarkStart w:id="198" w:name="_Toc38368128"/>
      <w:r/>
      <w:bookmarkStart w:id="199" w:name="_Toc54615246"/>
      <w:r/>
      <w:bookmarkStart w:id="200" w:name="_Toc120614244"/>
      <w:r/>
      <w:bookmarkStart w:id="201" w:name="_Toc20823346"/>
      <w:r/>
      <w:bookmarkStart w:id="202" w:name="_Toc11447"/>
      <w:r/>
      <w:bookmarkStart w:id="203" w:name="_Toc350255489"/>
      <w:r/>
      <w:bookmarkStart w:id="204" w:name="_Toc483515625"/>
      <w:r/>
      <w:bookmarkStart w:id="205" w:name="_Toc49090575"/>
      <w:r/>
      <w:bookmarkStart w:id="206" w:name="_Toc26554093"/>
      <w:r/>
      <w:bookmarkStart w:id="207" w:name="_Toc462564139"/>
      <w:r/>
      <w:bookmarkStart w:id="208" w:name="_Toc479757211"/>
      <w:r>
        <w:rPr>
          <w:rFonts w:hint="eastAsia" w:ascii="宋体" w:hAnsi="宋体" w:eastAsia="宋体"/>
          <w:color w:val="auto"/>
          <w:highlight w:val="none"/>
        </w:rPr>
        <w:t xml:space="preserve">第</w:t>
      </w:r>
      <w:bookmarkEnd w:id="194"/>
      <w:r>
        <w:rPr>
          <w:rFonts w:hint="eastAsia" w:ascii="宋体" w:hAnsi="宋体" w:eastAsia="宋体"/>
          <w:color w:val="auto"/>
          <w:highlight w:val="none"/>
        </w:rPr>
        <w:t xml:space="preserve">四章 项目需求</w:t>
      </w:r>
      <w:bookmarkEnd w:id="195"/>
      <w:r/>
      <w:bookmarkEnd w:id="196"/>
      <w:r/>
      <w:bookmarkEnd w:id="197"/>
      <w:r/>
      <w:bookmarkEnd w:id="198"/>
      <w:r/>
      <w:bookmarkEnd w:id="199"/>
      <w:r/>
      <w:bookmarkEnd w:id="200"/>
      <w:r/>
      <w:bookmarkEnd w:id="201"/>
      <w:r/>
      <w:bookmarkStart w:id="209" w:name="_Toc319429198"/>
      <w:r/>
      <w:bookmarkEnd w:id="209"/>
      <w:r/>
      <w:bookmarkStart w:id="210" w:name="_Toc274321794"/>
      <w:r/>
      <w:bookmarkEnd w:id="210"/>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71"/>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1.清单</w:t>
      </w:r>
      <w:r/>
    </w:p>
    <w:tbl>
      <w:tblPr>
        <w:tblStyle w:val="74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509"/>
        <w:gridCol w:w="1336"/>
        <w:gridCol w:w="689"/>
        <w:gridCol w:w="47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0"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9"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0" w:type="pct"/>
            <w:vAlign w:val="center"/>
            <w:textDirection w:val="lrTb"/>
            <w:noWrap w:val="false"/>
          </w:tcPr>
          <w:p>
            <w:pPr>
              <w:pStyle w:val="1272"/>
              <w:jc w:val="center"/>
              <w:rPr>
                <w:rFonts w:ascii="宋体" w:hAnsi="宋体" w:eastAsia="宋体" w:cs="宋体"/>
                <w:color w:val="auto"/>
                <w:highlight w:val="none"/>
              </w:rPr>
            </w:pPr>
            <w:r>
              <w:rPr>
                <w:rFonts w:hint="eastAsia" w:ascii="宋体" w:hAnsi="宋体" w:eastAsia="宋体" w:cs="宋体"/>
                <w:color w:val="auto"/>
                <w:highlight w:val="none"/>
              </w:rPr>
              <w:t xml:space="preserve">公园综合管理服务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272"/>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272"/>
              <w:jc w:val="center"/>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9" w:type="pct"/>
            <w:vAlign w:val="center"/>
            <w:textDirection w:val="lrTb"/>
            <w:noWrap w:val="false"/>
          </w:tcPr>
          <w:p>
            <w:pPr>
              <w:pStyle w:val="1272"/>
              <w:jc w:val="center"/>
              <w:rPr>
                <w:rFonts w:ascii="宋体" w:hAnsi="宋体" w:eastAsia="宋体" w:cs="宋体"/>
                <w:color w:val="auto"/>
                <w:highlight w:val="none"/>
              </w:rPr>
            </w:pPr>
            <w:r>
              <w:rPr>
                <w:rFonts w:ascii="宋体" w:hAnsi="宋体" w:eastAsia="宋体" w:cs="宋体"/>
                <w:color w:val="auto"/>
                <w:highlight w:val="none"/>
              </w:rPr>
              <w:t xml:space="preserve">其他未列明行业（包括科学研究和技术服务业，水利、环境和公共设施管理业，居民服务、修理和其他服务业，社会工作，文化、体育和娱乐业等）</w:t>
            </w:r>
            <w:r/>
          </w:p>
        </w:tc>
      </w:tr>
    </w:tbl>
    <w:p>
      <w:pPr>
        <w:pStyle w:val="127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27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27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7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27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27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27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numPr>
          <w:ilvl w:val="0"/>
          <w:numId w:val="10"/>
        </w:numPr>
        <w:spacing w:before="120" w:after="120" w:line="440" w:lineRule="exact"/>
        <w:rPr>
          <w:rFonts w:ascii="宋体" w:hAnsi="宋体" w:cs="宋体"/>
          <w:b/>
          <w:color w:val="auto"/>
          <w:sz w:val="28"/>
          <w:szCs w:val="28"/>
          <w:highlight w:val="none"/>
        </w:rPr>
      </w:pPr>
      <w:r/>
      <w:bookmarkStart w:id="211" w:name="EB408f2104b2e44804a6615a1921eee37c"/>
      <w:r/>
      <w:bookmarkEnd w:id="211"/>
      <w:r>
        <w:rPr>
          <w:rFonts w:hint="eastAsia" w:ascii="宋体" w:hAnsi="宋体" w:cs="宋体"/>
          <w:b/>
          <w:color w:val="auto"/>
          <w:sz w:val="28"/>
          <w:szCs w:val="28"/>
          <w:highlight w:val="none"/>
        </w:rPr>
        <w:t xml:space="preserve">技术要求</w:t>
      </w:r>
      <w:bookmarkEnd w:id="202"/>
      <w:r/>
      <w:r/>
    </w:p>
    <w:p>
      <w:pPr>
        <w:pStyle w:val="730"/>
        <w:numPr>
          <w:ilvl w:val="0"/>
          <w:numId w:val="11"/>
        </w:numPr>
        <w:ind w:firstLine="480"/>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项目概述</w:t>
      </w:r>
      <w:r/>
    </w:p>
    <w:p>
      <w:pPr>
        <w:pStyle w:val="750"/>
        <w:ind w:firstLine="480"/>
        <w:jc w:val="left"/>
        <w:spacing w:line="360" w:lineRule="auto"/>
        <w:rPr>
          <w:rFonts w:ascii="宋体" w:eastAsia="宋体" w:cs="宋体"/>
          <w:color w:val="auto"/>
          <w:sz w:val="24"/>
          <w:szCs w:val="24"/>
          <w:highlight w:val="none"/>
        </w:rPr>
      </w:pPr>
      <w:r>
        <w:rPr>
          <w:rFonts w:hint="eastAsia" w:ascii="宋体" w:eastAsia="宋体" w:cs="宋体"/>
          <w:color w:val="auto"/>
          <w:sz w:val="24"/>
          <w:highlight w:val="none"/>
        </w:rPr>
        <w:t xml:space="preserve">本项目旨在通过专业的园区运营管理服务，提升张家港公园、沙洲公园、梁丰生态园三个综合公园的整体品质和服务水平，确保公园的公益属性和可持续发展，为公众提供优质的游憩、观赏、娱乐、科普、体育锻炼以及开展公益志愿服务活动场所。服务期3年。</w:t>
      </w:r>
      <w:r/>
    </w:p>
    <w:p>
      <w:pPr>
        <w:pStyle w:val="730"/>
        <w:numPr>
          <w:ilvl w:val="0"/>
          <w:numId w:val="11"/>
        </w:numPr>
        <w:ind w:firstLine="480"/>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项目详细要求</w:t>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公园安保服务要求：</w:t>
      </w:r>
      <w:r/>
    </w:p>
    <w:tbl>
      <w:tblPr>
        <w:tblStyle w:val="74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67"/>
        <w:gridCol w:w="568"/>
        <w:gridCol w:w="882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供应商在张家港公园、沙洲公园、梁丰生态园范围内（含公园管理处办公楼）提供全天候安保服务，服务人员实行统一管理，按采购单位要求调配，具体名单须经采购单位确认备案并挂牌公示。</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供应商根据采购单位确认的《保安服务方案》，实施保安服务，包括门岗值守、巡逻检查、守护服务、秩序维护、车辆指引、防火防盗、安全检查管理、应急处置，按照《游园须知》管理来园人员等。</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重点职责</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按照合同要求足额配置保安服务人员，24小时执勤和巡逻，夏季夜间水面巡逻，维护公园正常秩序，保护公园公私财物和游客人身财产安全，预防和制止设施设备重大人为损坏、游客安全事故、火灾、盗抢敲诈等案件的发生，及时巡查发现设施、道路、水面、绿化，墙体存在的安全隐患，进行安全防护、封闭并汇报上级，完成上级交办的警卫任务，做好采购单位安排的力所能及的其它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2、规定时间开关公园设施，引导和维护门口车辆停放秩序，文明劝阻和劝离硬闯、滞留游客，对园内开展的各项活动进行监督和秩序维护以及登记。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3、负责监控设施的正常运转及录像资料的规范保存。</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4、执行劝阻宠物、车辆入园等相关禁令规定，登记和检查许可出入公园的车辆信息及车载物品，发现夹带公园财物出园的立即扣留并当即汇报采购单位。</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5、劝阻下湖戏水游泳、捕钓鱼、采摘花果、破坏绿化、放风筝等不文明游园行为，规范制止未经许可的商业活动、传单散发、非法集会等，依法规范处理不听劝阻行为。</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认真做好办公室、仿古建筑、车船码头、园林绿化、仓库、游客服务场所、公园维修施工场所等重点部位的保卫工作，发现火灾等灾害要立即报警并组织抢险。巡逻次数、区域符合工作岗位要求，及时检查发现公园内包括出租设施内存在各类问题无遗漏，对发现的园路、游乐设施、水面、建筑物、出租设施存在损坏及安全隐患及时登记上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7、坚决预防和及时制止打架斗殴、盗窃敲诈、抢夺抢劫等违法犯罪的发生，对未能及时制止的，要第一时间报警，保护现场、协助处理。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8、疏导分流游客人流集中区域，通过相关措施控制人流量，及时制止游客冲突，发现游客遇险等事故要第一时间组织救援并报警、报采购单位。</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9、搞好门房、监控室卫生，拾捡工作中所经区域视线内生活垃圾；配合采购单位做好公园设施设备零星维修工作；配合采购单位做好游览接待工作，驾驶电瓶游览车及游览线路疏通。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10、反馈游客意见建议，接受游客求助和投诉，及时对接公安、城管，按采购单位要求监督配合其他作业公司园区相关作业，做好游客服务工作等。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11、遇到突发或需要有权部门介入处理事件时，需立即对接公安、城管等及时处理、解决问题，避免发生重大人员伤亡、财产损失、环境破坏、危及公共安全的紧急事件。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12、配合采购单位完成交办的各项接待、管理、应急抢修、设施维护等其他工作任务。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人员配备要求</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供应商向张家港公园、梁丰生态园、沙洲公园派驻服务人员不少于75人(其中张家港公园不少于25人，梁丰生态园不少于35人，沙洲公园不少于15人，含班长9人)初中及以上文化学历，具体人员由采购人按实际情况分配。同时按采购单位要求适当配备女性保安员。使用残疾人须经采购单位同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保安服务人员年龄</w:t>
            </w:r>
            <w:r>
              <w:rPr>
                <w:rFonts w:hint="eastAsia" w:ascii="宋体" w:hAnsi="宋体" w:cs="宋体"/>
                <w:i/>
                <w:color w:val="auto"/>
                <w:spacing w:val="7"/>
                <w:sz w:val="24"/>
                <w:szCs w:val="24"/>
                <w:highlight w:val="none"/>
                <w:u w:val="single"/>
                <w:lang w:val="en-US" w:eastAsia="zh-CN" w:bidi="ar-SA"/>
              </w:rPr>
              <w:t xml:space="preserve">除保安负责人（队长）外</w:t>
            </w:r>
            <w:r>
              <w:rPr>
                <w:rFonts w:hint="eastAsia" w:ascii="宋体" w:hAnsi="宋体" w:eastAsia="宋体" w:cs="宋体"/>
                <w:i/>
                <w:color w:val="auto"/>
                <w:spacing w:val="7"/>
                <w:sz w:val="24"/>
                <w:szCs w:val="24"/>
                <w:highlight w:val="none"/>
                <w:u w:val="single"/>
                <w:lang w:val="en-US" w:eastAsia="zh-CN" w:bidi="ar-SA"/>
              </w:rPr>
              <w:t xml:space="preserve">应在50岁以下（含50岁），45岁以下人数应不少于70%（含45岁），35岁以下不少于20%（含35岁）。签订合同前提供上述人员名单及投标人为其缴纳的</w:t>
            </w:r>
            <w:r>
              <w:rPr>
                <w:rFonts w:hint="eastAsia" w:ascii="宋体" w:hAnsi="宋体" w:cs="宋体"/>
                <w:i/>
                <w:color w:val="auto"/>
                <w:spacing w:val="7"/>
                <w:sz w:val="24"/>
                <w:szCs w:val="24"/>
                <w:highlight w:val="none"/>
                <w:u w:val="single"/>
                <w:lang w:val="en-US" w:eastAsia="zh-CN" w:bidi="ar-SA"/>
              </w:rPr>
              <w:t xml:space="preserve">近期有效的</w:t>
            </w:r>
            <w:r>
              <w:rPr>
                <w:rFonts w:hint="eastAsia" w:ascii="宋体" w:hAnsi="宋体" w:eastAsia="宋体" w:cs="宋体"/>
                <w:i/>
                <w:color w:val="auto"/>
                <w:spacing w:val="7"/>
                <w:sz w:val="24"/>
                <w:szCs w:val="24"/>
                <w:highlight w:val="none"/>
                <w:u w:val="single"/>
                <w:lang w:val="en-US" w:eastAsia="zh-CN" w:bidi="ar-SA"/>
              </w:rPr>
              <w:t xml:space="preserve">社保证明材料。</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服务人员要求身体健康，无病患，可以胜任公园工作强度，讲普通话，具有正常沟通能力。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派驻</w:t>
            </w:r>
            <w:r>
              <w:rPr>
                <w:rFonts w:hint="eastAsia" w:ascii="宋体" w:hAnsi="宋体" w:cs="宋体"/>
                <w:i/>
                <w:color w:val="auto"/>
                <w:spacing w:val="7"/>
                <w:sz w:val="24"/>
                <w:szCs w:val="24"/>
                <w:highlight w:val="none"/>
                <w:u w:val="single"/>
                <w:lang w:val="en-US" w:eastAsia="zh-CN" w:bidi="ar-SA"/>
              </w:rPr>
              <w:t xml:space="preserve">保安负责人（队长）</w:t>
            </w:r>
            <w:r>
              <w:rPr>
                <w:rFonts w:hint="eastAsia" w:ascii="宋体" w:hAnsi="宋体" w:eastAsia="宋体" w:cs="宋体"/>
                <w:i/>
                <w:color w:val="auto"/>
                <w:spacing w:val="7"/>
                <w:sz w:val="24"/>
                <w:szCs w:val="24"/>
                <w:highlight w:val="none"/>
                <w:u w:val="single"/>
                <w:lang w:val="en-US" w:eastAsia="zh-CN" w:bidi="ar-SA"/>
              </w:rPr>
              <w:t xml:space="preserve">3人，每个公园1人，具有高级保安员资格证，每个公园队长1人及班长3人能熟练操作技防设备。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cs="宋体"/>
                <w:i/>
                <w:color w:val="auto"/>
                <w:spacing w:val="7"/>
                <w:sz w:val="24"/>
                <w:szCs w:val="24"/>
                <w:highlight w:val="none"/>
                <w:u w:val="single"/>
                <w:lang w:val="en-US" w:eastAsia="zh-CN" w:bidi="ar-SA"/>
              </w:rPr>
              <w:t xml:space="preserve">签订合同前，中标供应商需将上述人员的名单、身份证复印件、中标供应商为其缴纳的近期有效的社保向采购人进行备案并交给采购单位保存，如不符合以上要求，则取消中标资格。</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采购单位可根据自身需要，要求供应商调整服务岗位分工，供应商应在接到采购单位要求后一周内完成工作调整。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根据《中华人民共和国劳动合同法》、《中华人民共和国社会保险法》、《住房公积金管理条例》，中标单位必须依法规范用工，符合规定条件的人员须签订劳动合同，依法参加社会保险、缴存住房公积金 </w:t>
            </w:r>
            <w:r>
              <w:rPr>
                <w:rFonts w:hint="eastAsia" w:ascii="宋体" w:hAnsi="宋体" w:cs="宋体"/>
                <w:color w:val="auto"/>
                <w:sz w:val="24"/>
                <w:szCs w:val="24"/>
                <w:highlight w:val="none"/>
                <w:lang w:eastAsia="zh-CN"/>
              </w:rPr>
              <w:t xml:space="preserve">。</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人员培训要求:服务人员上岗前需经过有培训资质的公司对仪容仪表、队列、体能等的专业训练；熟悉基本常识，熟悉岗位职责和工作要求，掌握应急处置各类突发治安事件的工作技能和本领，不断提高服务业务工作水平和处置应变能力，提升队员综合素质和履职能力。要制定落实教育培训计划，每月每人落实教育训练不少于1天。需组织全体人员参与的安全相关演练不少于四次/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车辆要求</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供应商须配备电瓶巡逻车七辆，其中张家港公园四轮巡逻车一辆，两轮巡逻车两辆；梁丰生态园四轮巡逻车一辆，两轮巡逻车三辆，梁丰生态园同时配备夏季巡逻船（</w:t>
            </w:r>
            <w:r>
              <w:rPr>
                <w:rFonts w:hint="eastAsia" w:ascii="宋体" w:hAnsi="宋体" w:cs="宋体"/>
                <w:color w:val="auto"/>
                <w:spacing w:val="7"/>
                <w:highlight w:val="none"/>
              </w:rPr>
              <w:t xml:space="preserve">快艇</w:t>
            </w:r>
            <w:r>
              <w:rPr>
                <w:rFonts w:hint="eastAsia" w:ascii="宋体" w:hAnsi="宋体" w:cs="宋体"/>
                <w:color w:val="auto"/>
                <w:sz w:val="24"/>
                <w:szCs w:val="24"/>
                <w:highlight w:val="none"/>
              </w:rPr>
              <w:t xml:space="preserve">）一艘。各公园每个班全员须配备反光背心、头盔、警棍、盾牌、对讲机、电筒、探照灯、喊话器、救生器材等必要的器械各一套，并按照双方协商要求配备服装等其他安保服务装备。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1.内部管理制度和标准</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投标人应根据招标文件要求提供具体详实的内部管理架构方案。主要包括针对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制定日常考核：根据保安服务百分考核表进行系统的规划。激励考核机制：供应商可实施薪资激励、培训激励和合理的授权激励，提高执行力。</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监督机制：对每个岗位的管理服务过程建立原始记录，通过部门自查，项目经理和采购单位联合巡查，确保管理服务工作的监督机制有效运作。自我约束机制：供应商可实行巡视检查制，对于项目员工进行信息反馈及处理机制：定期向采购单位汇报服务工作，及时检讨跟进各项服务开展，征询各方意见与建议。管理架构应高效完善、制度健全，以满足</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服务要求。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2.岗位和巡逻责任制度</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投标人人员分工全面，主要包括针对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制定人员员工管理制度和标准，员工管理制度和标准包括但不限于根据招标文件要求提供对各个岗位的服务内容、形式及具体工作程序、细则，以及分别设置相应健全、明细的管理规章制度、标准情况等。投标人应根据招标文件要求提供具体详实的员工管理制度和标准，应科学、合理、高效。</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（1）、负责各类突发事件的控制和处理，及时组织人员控制事态发展，做好保护现场、监控录像工作，及时向采购人和公司领导汇报。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（2）、做好防火、防盗、防破坏、防泄密、防骗、防抢、防治安灾害事故的“七防”工作。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（3）、认真贯彻落实消防法规和制度，定期组织开展消防演习活动。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（4）、做好停车场管理服务工作。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（5）、建立并保管消防设备档案，对各种消防文件和资料及时整理、存档。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（6）、随时检查存在消防隐患的部门或区域，提出改进意见并监督整改。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（7）、实施全方位秩序维护、安全监督和巡查工作。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（8）、完成采购人交办的有关安保服务的其他工作。</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（9）巡逻次数、区域符合工作岗位要求，及时检查发现存在各类问题无遗漏，对发现的园路、游乐设施、水面存在损坏及安全隐患第一时间处理或围挡，及时汇报。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3.日常服务标准及措施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中标供应商应加强对员工的培训、管理，以达到符合采购人管理要求。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4.服务的重点难点和解决措施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投标人应根据招标文件要求提供服务的重点难点和解决措施方案，主要包括针对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制定重点难点和解决措施，概述详细，切合实际，能真实体现项目工作重点及存在的难点等。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5.进退场交接方案</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投标人应根据项目要求提供全面的进退场交接方案，主要包括针对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制定交接范围、交接内容分类、进场交接措施、退场交接措施、交接进度计划等。方案应完善、合理、详实具体、可行性强。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进场交接，实现无间隙移交，使服务工作顺利</w:t>
            </w:r>
            <w:r>
              <w:rPr>
                <w:rFonts w:hint="eastAsia" w:ascii="宋体" w:hAnsi="宋体" w:cs="宋体"/>
                <w:color w:val="auto"/>
                <w:sz w:val="24"/>
                <w:szCs w:val="24"/>
                <w:highlight w:val="none"/>
                <w:lang w:eastAsia="zh-CN"/>
              </w:rPr>
              <w:t xml:space="preserve">步入</w:t>
            </w:r>
            <w:r>
              <w:rPr>
                <w:rFonts w:hint="eastAsia" w:ascii="宋体" w:hAnsi="宋体" w:cs="宋体"/>
                <w:color w:val="auto"/>
                <w:sz w:val="24"/>
                <w:szCs w:val="24"/>
                <w:highlight w:val="none"/>
              </w:rPr>
              <w:t xml:space="preserve">正轨。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w:t>
            </w:r>
            <w:r>
              <w:rPr>
                <w:rFonts w:hint="eastAsia"/>
                <w:color w:val="auto"/>
                <w:highlight w:val="none"/>
                <w:lang w:val="en-US" w:eastAsia="zh-CN"/>
              </w:rPr>
              <w:t xml:space="preserve">应</w:t>
            </w:r>
            <w:r>
              <w:rPr>
                <w:rFonts w:hint="eastAsia" w:ascii="宋体" w:hAnsi="宋体" w:cs="宋体"/>
                <w:color w:val="auto"/>
                <w:sz w:val="24"/>
                <w:szCs w:val="24"/>
                <w:highlight w:val="none"/>
              </w:rPr>
              <w:t xml:space="preserve">提前委派专职的项目负责人介入</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的管理工作，尽快熟悉人员、地理位置和服务环境。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（2）.中标人立即组织投入设备、工具、耗材等综合管理专用物资，为顺利实施管理工作做好物质上的准备。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（3）.中标人要增派管理人员对现场服务工作进行督导。</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（4）.负责人员需事先制定好</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的作业及人员安排计划，以便进场后迅速开展工作。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（5）.根据</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的实际情况，建立区域管理平面图，划分区域，规定不同区域的工作时间、巡查频次等方面，</w:t>
            </w:r>
            <w:r>
              <w:rPr>
                <w:rFonts w:hint="eastAsia" w:ascii="宋体" w:hAnsi="宋体" w:cs="宋体"/>
                <w:color w:val="auto"/>
                <w:sz w:val="24"/>
                <w:szCs w:val="24"/>
                <w:highlight w:val="none"/>
                <w:lang w:eastAsia="zh-CN"/>
              </w:rPr>
              <w:t xml:space="preserve">切实</w:t>
            </w:r>
            <w:r>
              <w:rPr>
                <w:rFonts w:hint="eastAsia" w:ascii="宋体" w:hAnsi="宋体" w:cs="宋体"/>
                <w:color w:val="auto"/>
                <w:sz w:val="24"/>
                <w:szCs w:val="24"/>
                <w:highlight w:val="none"/>
              </w:rPr>
              <w:t xml:space="preserve">做到责任到人。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退场计划，在合同到期之前各管理人员需各尽其责</w:t>
            </w:r>
            <w:r>
              <w:rPr>
                <w:rFonts w:hint="eastAsia" w:ascii="宋体" w:hAnsi="宋体" w:cs="宋体"/>
                <w:color w:val="auto"/>
                <w:sz w:val="24"/>
                <w:szCs w:val="24"/>
                <w:highlight w:val="none"/>
                <w:lang w:eastAsia="zh-CN"/>
              </w:rPr>
              <w:t xml:space="preserve">地</w:t>
            </w:r>
            <w:r>
              <w:rPr>
                <w:rFonts w:hint="eastAsia" w:ascii="宋体" w:hAnsi="宋体" w:cs="宋体"/>
                <w:color w:val="auto"/>
                <w:sz w:val="24"/>
                <w:szCs w:val="24"/>
                <w:highlight w:val="none"/>
              </w:rPr>
              <w:t xml:space="preserve">完成退场交接工作，保证安保服务能够在下一家供应商进驻后顺利运行。</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（1）.仓库物资清点；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（2）.相关人员分流，安排合适的岗位；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（3）.相关资料的交接；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（4）.如采购人需求，可在移交时延长作业，以防止出现服务的漏洞；</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（5）.采取可行的措施，做好员工的思想稳定工作，实现平稳过渡。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6.应急措施方案</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对突发事件有应急处理计划和措施，遇突发事件第一时间到达现场，果断阻止不良事件发生，必要时及时报警并报告采购人，防止事态进一步恶化，协助保护现场。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成立突发事件应急处理小组，24小时电话畅通，随时待命服务，协调开展各项工作，汇总分析收集巡查记录信息，及时做出反馈。</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7.重大活动保障方案</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投标人应根据项目要求提供全面的重大活动保障方案，主要包括针对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制定要求足额配置保安服务人员，24小时执勤和巡逻，夏季夜间水面巡逻，维护公园正常秩序，保护公园公私财物和游客人身财产安全，预防和制止设施设备重大人为损坏、游客安全事故、火灾、盗抢敲诈等案件的发生，及时巡查发现设施、道路、水面、绿化，墙体存在的安全隐患，进行安全防护、封闭并汇报上级，完成上级交办的警卫任务，做好采购单位安排的力所能及的其它工作等。方案应完善、合理、详实具体、可行性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大型活动应指派专人负责管理安全，针对不同的活动制定不同的安保方案。</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① 开展大型活动的场地、通道、设施、环境必须符合公安、消防有关安全要求，保障人员紧急疏散和抢险、救援工作的应急需要。</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②在活动现场应落实专人负责安全。各执勤人员协作分工，配合公安机关做好警卫工作，确保重点部位及重要人员的安全，既要维护好现场秩序，又要防止意外事故发生。对动火活动，应准备消防器材防止火灾事故，要有现场安全监察员，落实安保方案的具体措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③重大活动结束后，应及时疏散人员和清理现场的易燃性物质，特别是重大动火活动，应将火种、火源及时扑灭，不留消防安全隐患。</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④重大安全事故和突发事件发生后应立即向主管领导和上级部门汇报，并成立疏散组、救援组、通信组、救护组等以开展各项工作，积极配合专业救援人员进行抢救。</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2落实现场环境布置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①为重大活动的顺利进行做好一切准备工作，组织人力、物力有针对性和主动地做好突击清洁工作，加大保洁力度，完成重大活动中安排的临时性工作。</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②必要时根据采购单位需求增派服务人员、水电工等协助。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③活动现场组织专人对活动场地反复进行检查，以免遗漏。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③重大活动结束后，迅速清理现场，并防止意外事故发生，如烟头、设备长期运转等引起的火灾，机密性文件的遗失等。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④结束后做好清理、清扫等善后工作。</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公园保洁服务要求：</w:t>
      </w:r>
      <w:r/>
    </w:p>
    <w:tbl>
      <w:tblPr>
        <w:tblStyle w:val="740"/>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497"/>
        <w:gridCol w:w="743"/>
        <w:gridCol w:w="871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工作范围</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 梁丰生态园工作范围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1、地面:柏油路长5236米约25228㎡；各类小圆路、木栈道、铺装道路长6494米约11100㎡；休闲健身场、塑胶跑道、停车场等14个约18334㎡。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2、残疾人通道、扶手、景观小品、花坛大理石、避难场所约3975㎡；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3、窨井:路面每隔5米一个下水道窨井211个。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4、水面165078㎡。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5、水景：2处，1055㎡。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6、主要建筑物：(盆景园、书屋)2处建筑面积4000㎡，书屋玻璃1924㎡。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7、建筑物地面及外墙面：三个门卫、三个电房、景观亭子、景观廊架等、保安值班亭9处建筑物立面3000㎡。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8、保安亭4处，47.36㎡。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9、座椅：275张，每张表面积1.44㎡；新增桌椅：170㎡。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10、垃圾箱：不锈钢103个，每个面积2.92㎡。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11、公共厕所：7座。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12、庭院灯：410只。。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13、监控：163只；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14、游乐设施及健身器材：1600㎡。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15、警示指示牌宣传窗灯箱等：403个。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16、草坪保洁：240000㎡。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17、垃圾分类房：1处。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18、篮球场:1个，1240.97平方米。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19、游览车：4辆。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20、盆景园二楼红木家具：14件。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21、厕所抽粪：10座.次。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22、天鹅喂食：每天二次，含饲料等。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23、其它未列明的。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投标人须完全响应上述全部工作范围，若不能完全响应将做无效标处理。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 沙洲公园工作范围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1、铺装类(各类园路、清水平台、喷泉池铺装、木栈道、健身步道、休闲场地等):11701.33㎡。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2、水面(内河、荷花池、小溪流、喷泉池等各类水面)：6217.9㎡。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3、草坪保洁：2600㎡。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4、建筑物3处约506㎡；园林服务站456㎡；各红木展厅662.82㎡。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5、长廊、亭子、景观小品等：1294㎡。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6、座椅：三种111张共162㎡。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7、垃圾箱：42只64.8㎡。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8、公共厕所：2座。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9、庭院灯、监控柱：190只。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10、体育设施：28套，230㎡。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11、指示标牌：39个。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12、河边栏杆：204米。。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13、垃圾分类房：1座。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14、各展厅红木家具：85件。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15、园林服务中心：460.61㎡。（含公园管理处办公楼）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16、静观楼：455.3㎡。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17、屋顶：2400㎡。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18、其它未列明的。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投标人须完全响应上述全部工作范围，若不能完全响应将做无效标处理。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1.3张家港公园工作范围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 工作范围</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张家港公园工作范围：</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1、地面:含沥青路面、各种园路、假山、汀步石等35000㎡；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2、水面：公园水面37000㎡、河道面积8000㎡。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3、建筑物地面及外墙面、屋顶清理：东大门门楼、饭店、游客中心、东大门长廊、各类亭子、码头房子等建筑5000㎡。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4、座椅：含成品及各种定做座椅面积300㎡。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5、垃圾箱：各种垃圾桶42㎡，损坏的垃圾桶及时购买更换。</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6、廊架：廊架外表面面积300㎡。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7、路灯、监控柱：路灯203个、监控柱56个。</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8、排水沟：沥青路面旁排水沟1800米长。</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9、护栏表面积：护栏5000㎡。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10、标识标牌等：标识标牌等2760㎡。</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11、绿地保洁：绿地内及树桩下枯枝落叶、生活垃圾等清理65696㎡。</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12、篮球场：篮球场面积679㎡。</w:t>
            </w:r>
            <w:r/>
          </w:p>
          <w:p>
            <w:pPr>
              <w:pStyle w:val="1278"/>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13、其他未列明的。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i w:val="0"/>
                <w:iCs w:val="0"/>
                <w:color w:val="auto"/>
                <w:sz w:val="24"/>
                <w:szCs w:val="24"/>
                <w:highlight w:val="none"/>
                <w:u w:val="none"/>
              </w:rPr>
            </w:pPr>
            <w:r>
              <w:rPr>
                <w:rFonts w:hint="eastAsia" w:ascii="宋体" w:hAnsi="宋体" w:cs="宋体"/>
                <w:i w:val="0"/>
                <w:iCs w:val="0"/>
                <w:color w:val="auto"/>
                <w:sz w:val="24"/>
                <w:szCs w:val="24"/>
                <w:highlight w:val="none"/>
                <w:u w:val="none"/>
              </w:rPr>
              <w:t xml:space="preserve">1.4 前溪园林服务站工作范围</w:t>
            </w:r>
            <w:r/>
          </w:p>
          <w:p>
            <w:pPr>
              <w:rPr>
                <w:rFonts w:ascii="宋体" w:hAnsi="宋体" w:cs="宋体"/>
                <w:i w:val="0"/>
                <w:iCs w:val="0"/>
                <w:color w:val="auto"/>
                <w:sz w:val="24"/>
                <w:szCs w:val="24"/>
                <w:highlight w:val="none"/>
                <w:u w:val="none"/>
              </w:rPr>
            </w:pPr>
            <w:r>
              <w:rPr>
                <w:rFonts w:hint="eastAsia" w:ascii="宋体" w:hAnsi="宋体" w:cs="宋体"/>
                <w:i w:val="0"/>
                <w:iCs w:val="0"/>
                <w:color w:val="auto"/>
                <w:sz w:val="24"/>
                <w:szCs w:val="24"/>
                <w:highlight w:val="none"/>
                <w:u w:val="none"/>
              </w:rPr>
              <w:t xml:space="preserve">（保洁服务至2026年12月）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1、厕所、防滑水磨石地面+坡道：121.09㎡。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2、玻璃幕墙+镜面：108.27㎡。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3、家具：展开面积165.8㎡。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4、其它未列明的。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投标人须完全响应上述全部工作范围，若不能完全响应将做无效标处理。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1.5 河西路园林服务站工作范围（保洁服务至2026年12月）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1、厕所、地面：105㎡；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2、家具：82.9㎡；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3、其它未列明的。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2.1 地面、铺装、绿地保洁内容与标准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1、废弃物控制指标：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（1）果皮（片/千平方米）≤5；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（2）纸屑、塑膜（片/千平方米）≤5；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（3）烟蒂（个/千平方米）≤6；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（4）污水（平方米/千平方米）≤0.5；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（5）其它（平方米/千平方米）≤2。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夏季6：00-20：00，冬季6:30-19:30清扫路面，捡拾垃圾,清除杂草、污渍，及时排水、清除积水冰雪、做好路面防滑措施；应对灾害天气，及时疏通下水道，避免路面积水。承担路滑或保洁不到位引起的安全事故责任，如节假日或举办重大活动，须配合采购人要求增加保洁人员与次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3、降雪天气，应及时组织铲雪作业。道路融雪后，路面灰沙及其它废弃物应及时清扫干净，铲除的积雪如有污染物不得堆入绿地内。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4、路面冲洗应在9：00～15：00之间进行，冲洗后路面应干净，无积水、无油渍，下水口不堵塞。结冰期不宜冲洗，其他可根据具体情况决定。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5、每日1次大清扫8：00前结束，落叶季节增加清扫2次，上下午各一次，16：30前结束；白天和夜间有灯光地段的纸屑、塑料袋、果壳等杂物1小时保洁制。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6、工人在作业时应统一着具有反光标志的工作装。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7、保洁质量要求：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（1）路面定期冲洗、基本见本色。</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（2）气温25℃以上时，平均每天洒水应不少于2次；气温15℃--25℃时，平均每天洒水应不少于1次。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（3）清扫无死角，园内基本无杂物，垃圾无漏收；雨后基本无积水，雨水窨井盖无阻塞。</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（4）桥面的保洁质量应与所连接的道路保洁质量标准相同，桥栏杆应整洁。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8、作业人员无拾荒。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9、清扫保洁垃圾倾倒到指定地方，并确保日清。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10、保洁车整洁，工具摆放整齐。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11、严格遵守交通法规，安全行车，作业时不得影响市民在公园内活动。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12、园内所有各种白色垃圾、绿地草坪、公园外围草坪内各种白色垃圾、自然产生的枯枝落叶垃圾等日清。确保每日清扫到位，1小时流动保洁1次。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13、铺装类园路。每日1次大清扫8：00前结束，落叶季节增大清扫2次上下午各一次16：30前结束；白天和夜间有灯光地段的纸屑、塑料袋、果壳等杂物1小时保洁制；及时排水、除冰雪、除苔藓、除杂草。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 公厕保洁、厕所抽粪内容与标准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厕所保洁时间：6:00-22:00，每日1次大清理8：00前结束；清扫地面，冲洗大小便池及淋浴房，擦拭门窗、台盆、水池等，清除积尘、污渍、乱张贴等，自行承担更换、维修厕所下水、冲水箱、大小冲水便阀、三角阀、台盆、水池、水龙头、隔断和扣件、灯具等费用；疏通厕所下水道，避免堵塞。</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2、每座公厕需要配备一名蹲点保洁员，厕所实行1小时保洁制；损坏卫生设施设备及时维修。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3、公厕内地面应保持整洁、无积水，做好防滑处理。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蹲位应整洁，大便槽两侧应无粪便污物，槽内无积粪，洁净见底；小便槽应无长期积累的水锈、尿垢、垃圾，做到便纸篓内无恶臭；粪槽、便槽和管道应无破损，保持畅通；公厕内墙面、天花板、门窗和隔离板应光洁无积灰、污渍、蛛网，无乱涂乱画，墙面、窗台、隔离板冲洗完毕后应将水渍擦干。</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5、公厕内设施干净，无积灰、污物，设施破损应及时维修。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6、公厕外环境应整洁，无乱堆杂物，保洁工具应放置整齐；外墙面整洁，墙面无非法广告。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7、公厕四周1m范围内（特殊情况例外），应无垃圾、粪便、污水等污物。</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8、专人看管的公厕管理人员不得在公厕内长时间清洗私人物品；节约用水，发现故障隐患、严重堵塞时及时消除、疏通。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9、专人看管的公厕，管理人员不得私自离岗，设施损坏严重的，管理人员应负一定责任。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10、文明作业，礼貌待人，不得乱收费，不得与他人争吵，下班锁门前应确保公厕内无人。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11、非特殊情况无障碍间不得上锁。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12、每年不少于10座.次厕所抽粪（提供记录），安排抽粪的公厕由采购人指定。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2.3主要建筑物保洁内容及标准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梁丰生态园盆景园及书屋，沙洲公园建筑、园林服务站各红木展厅，每日1次大清扫8：00前结束；实行1小时保洁制，清扫走廊、室内大厅，拾捡垃圾，清除积尘、污渍、蛛网、乱张贴等；擦拭玻璃、廓架、柱子、护栏、美人靠、座椅等，其中，玻璃内外每月擦拭1次，森林书屋顶面及墙面玻璃视情况定期擦拭（每年至少二次）。盆景园、森林书屋、沙洲公园红木展厅、公园管理处办公楼需要各配备一名蹲点保洁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2、建筑物地面及外墙面。每月清理擦拭一次立面。</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3、建筑物屋顶，每季度清理一次。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2.4设备设施保洁内容及标准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1、座椅。擦拭座椅，拾捡垃圾，清除积尘、污渍、蛛网、乱张贴等，每日1次擦拭。</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2、庭院灯。擦拭灯具、立杆，清除积尘、污渍、蛛网、乱张贴等，清除灯具内杂物。污渍、乱张贴等1小时保洁制；每月1次擦拭灯具、立杆。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3、游乐设施。每日1次擦拭8：00前结束，擦拭表面，清除积尘、污渍、乱张贴等；实行1小时保洁制。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4、警示、指示牌，宣传窗，灯箱。每日1次擦拭8：00前结束，擦拭表面，清除积尘、污渍、乱张贴等；实行1小时保洁制。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5、体育设施。每日1次擦拭8：00前结束，擦拭表面，清除积尘、污渍、乱张贴等；实行1小时保洁制。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6、各展厅红木家具及展厅：每周完成1次除尘、打蜡，每日进行擦拭、除尘，室内保洁。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7、监控柱。擦拭监控摄像头、立杆，清除积尘、污渍、蛛网、乱张贴等。污渍、乱张贴等1小时保洁制；每月1次擦拭摄像头、立杆。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8、游览车。每日1次车辆内外保洁，玻璃、座位、帘子等擦拭干净。</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9、篮球场。内外场地清扫落叶，清捡垃圾。纸屑、塑料袋、果壳饮料瓶等杂物1小时保洁制。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10、长廊、亭子等。擦拭除地面外玻璃、镜框、木结构等其它部位，擦拭装门面结构件表面。每周1次擦拭立面结构；墙体脚印等乱涂画当日清理。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11、河边栏杆。每日1次擦拭栏杆、扶手，及时清除油污、乱张贴等。8：00前完成。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2.5垃圾收集及清运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垃圾箱。每日1次8：00前清理结束，擦拭箱体表面做到无污渍，损坏垃圾箱及时维修。分类清运垃圾，清除灰尘、污渍、乱张贴等，自行承担维修垃圾箱费用；节假日增加次数；垃圾箱内垃圾日清，放垃圾袋，垃圾箱体及周边地面干净，垃圾箱摆放整齐，垃圾收集桶除清运时不得出现在路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2、工具车辆。车容整洁、标志清晰，车辆进出、停放规范，作业工具堆放整齐。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3、垃圾分类房。每日1次大清扫，8:00前清理结束.垃圾分类收集、清运出园，擦拭立面及清理地面。垃圾分类房要清洁整齐、分类收集，做到垃圾无外溢、无蚊蝇异味；擦拭内外立面，清理地面油污。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4、做好垃圾分类统计相关工作。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2.6水面、水景保洁内容与标准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1、水面。每日1次大清理12：00前结束，捞捡水面漂浮物、河边垃圾，清除水面浮尘，清除水草；水草生长季节全天卷割水草；纸屑、塑料袋等杂物1小时保洁制。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2、水景。纸屑、塑料袋等杂物1小时保洁制；水池清淤一月1次；清理水面飘浮物，清除水面浮尘，清淤。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2.7其他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根据要求规范除“四害”、定期对卫生器具消毒、按要求实行垃圾分类收集及其它安排任务、园内所有生活垃圾清理、其他未列明保洁相关工作等，及时完成突击任务。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1、人员数量安排，不少于34人，其中保洁负责人2名，梁丰生态园保洁人员19名（含1名班长），沙洲公园保洁人员6名（含1名班长），张家港公园保洁人员7名（含1名班长）。节假日需增派人手，且人员数量须与工作量相匹配。公园保洁岗位人员安排按照《公园保洁岗位表》执行。</w:t>
            </w:r>
            <w:r/>
          </w:p>
        </w:tc>
      </w:tr>
      <w:tr>
        <w:trPr>
          <w:trHeight w:val="911"/>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2、作业人员年龄要求50周岁（含）以</w:t>
            </w:r>
            <w:r>
              <w:rPr>
                <w:rFonts w:hint="eastAsia" w:ascii="宋体" w:hAnsi="宋体" w:cs="宋体"/>
                <w:i/>
                <w:color w:val="auto"/>
                <w:spacing w:val="7"/>
                <w:sz w:val="24"/>
                <w:szCs w:val="24"/>
                <w:highlight w:val="none"/>
                <w:u w:val="single"/>
                <w:lang w:val="en-US" w:eastAsia="zh-CN" w:bidi="ar-SA"/>
              </w:rPr>
              <w:t xml:space="preserve">内</w:t>
            </w:r>
            <w:r>
              <w:rPr>
                <w:rFonts w:hint="eastAsia" w:ascii="宋体" w:hAnsi="宋体" w:eastAsia="宋体" w:cs="宋体"/>
                <w:i/>
                <w:color w:val="auto"/>
                <w:spacing w:val="7"/>
                <w:sz w:val="24"/>
                <w:szCs w:val="24"/>
                <w:highlight w:val="none"/>
                <w:u w:val="single"/>
                <w:lang w:val="en-US" w:eastAsia="zh-CN" w:bidi="ar-SA"/>
              </w:rPr>
              <w:t xml:space="preserve">。作业期间作业人员变动必须在3个工作日内书面报告采购人；项目管理人员原则上不得更换，如有特殊情况确需更换的需提前一周书面报告采购人，经同意后方可更换。</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3、中标人应保持各岗位人员相对稳定，服务人数不得少于采购人要求的到岗人数，报价必须满足各岗位人员职数、人员素质和条件。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4、</w:t>
            </w:r>
            <w:r>
              <w:rPr>
                <w:rFonts w:hint="eastAsia" w:ascii="宋体" w:hAnsi="宋体" w:cs="宋体"/>
                <w:i/>
                <w:color w:val="auto"/>
                <w:spacing w:val="7"/>
                <w:sz w:val="24"/>
                <w:szCs w:val="24"/>
                <w:highlight w:val="none"/>
                <w:u w:val="single"/>
                <w:lang w:val="en-US" w:eastAsia="zh-CN" w:bidi="ar-SA"/>
              </w:rPr>
              <w:t xml:space="preserve">签订合同前，中标供应商需将上述人员的名单、身份证复印件、中标供应商为其缴纳的近期有效的社保向采购人进行备案并交给采购单位保存，如不符合以上要求，则取消中标资格。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pStyle w:val="748"/>
              <w:rPr>
                <w:rFonts w:ascii="宋体" w:hAnsi="宋体" w:cs="宋体"/>
                <w:color w:val="auto"/>
                <w:sz w:val="24"/>
                <w:szCs w:val="24"/>
                <w:highlight w:val="none"/>
              </w:rPr>
            </w:pPr>
            <w:r>
              <w:rPr>
                <w:rFonts w:hint="eastAsia" w:ascii="宋体" w:hAnsi="宋体" w:cs="宋体"/>
                <w:color w:val="auto"/>
                <w:sz w:val="24"/>
                <w:szCs w:val="24"/>
                <w:highlight w:val="none"/>
              </w:rPr>
              <w:t xml:space="preserve">5、中标人必须遵守劳动法，依法规范用工，符合规定条件的人员须签订劳动合同，必须遵守《中华人民共和国社会保险法》，参加社会保险，人身意外商业保险（保险范围须包括但不限于非工作时间以外发生的人身意外事故），工资应</w:t>
            </w:r>
            <w:r>
              <w:rPr>
                <w:rFonts w:hint="eastAsia" w:ascii="宋体" w:hAnsi="宋体" w:cs="宋体"/>
                <w:color w:val="auto"/>
                <w:sz w:val="24"/>
                <w:szCs w:val="24"/>
                <w:highlight w:val="none"/>
                <w:lang w:eastAsia="zh-CN"/>
              </w:rPr>
              <w:t xml:space="preserve">不低于投标人所在地最低工资标准</w:t>
            </w:r>
            <w:r>
              <w:rPr>
                <w:rFonts w:hint="eastAsia" w:ascii="宋体" w:hAnsi="宋体" w:cs="宋体"/>
                <w:color w:val="auto"/>
                <w:sz w:val="24"/>
                <w:szCs w:val="24"/>
                <w:highlight w:val="none"/>
              </w:rPr>
              <w:t xml:space="preserve">，加班费用支付按政策法规规定执行，并负责办理社会保险和商业保险</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理赔手续和发放保险金，并向采购人提供相关证明材料备案。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6、重大节日按采购单位要求增派人员，完成采购单位交待的任务。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项目机械、设备、器械要求</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pStyle w:val="1278"/>
              <w:rPr>
                <w:rFonts w:ascii="宋体" w:hAnsi="宋体" w:eastAsia="宋体" w:cs="宋体"/>
                <w:color w:val="auto"/>
                <w:highlight w:val="none"/>
              </w:rPr>
            </w:pPr>
            <w:r>
              <w:rPr>
                <w:rFonts w:hint="eastAsia" w:ascii="宋体" w:hAnsi="宋体" w:eastAsia="宋体" w:cs="宋体"/>
                <w:color w:val="auto"/>
                <w:highlight w:val="none"/>
              </w:rPr>
              <w:t xml:space="preserve">1、车辆器械配备安排，扫地车1辆，高压清洗车2辆、电瓶流动保洁车4辆、水面保洁船3艘、水泵（抽水冲洗道路）5个。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2、移动设备，具有移动终端一部，电脑、用以日常巡查、满足采购单位派发问题处理、资料上报等工作。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3、指纹打卡机二台，用于日常保洁人员考勤打卡管理。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4、本次招标包含垃圾处理费、突击费用（临时加班加点增加人员产生的费用），道路清洗车用水，除“四害”用品，公厕消杀用药、卫生用品，道路铺装防滑相关用品，以及其他与保洁相关用品的费用。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5、作业人员、车辆符合法律法规要求，所产生费用及事故责任均由中标人承担。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6、机械要求：签订合同前中标人必须满足投标文件中车辆机械等配备情况中所需设备的数量，并提供车辆行驶证或购车发票或产权证原件至采购单位，所报的作业车辆必须服务于中标区域。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项目管理要求</w:t>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1、按采购人要求在每月25日前按统一格式向采购人提供相关运行资料，包括但不限于从业人员信息、工资和加班费发放、车辆信息和自查考核情况等，并确保资料信息的真实性和规范性。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2、作业服务期内，采购人根据工作需要召开会议，中标人的</w:t>
            </w:r>
            <w:r>
              <w:rPr>
                <w:rFonts w:hint="eastAsia" w:ascii="宋体" w:hAnsi="宋体" w:cs="宋体"/>
                <w:color w:val="auto"/>
                <w:sz w:val="24"/>
                <w:szCs w:val="24"/>
                <w:highlight w:val="none"/>
                <w:lang w:eastAsia="zh-CN"/>
              </w:rPr>
              <w:t xml:space="preserve">法定代表人或</w:t>
            </w:r>
            <w:r>
              <w:rPr>
                <w:rFonts w:hint="eastAsia" w:ascii="宋体" w:hAnsi="宋体" w:cs="宋体"/>
                <w:color w:val="auto"/>
                <w:sz w:val="24"/>
                <w:szCs w:val="24"/>
                <w:highlight w:val="none"/>
              </w:rPr>
              <w:t xml:space="preserve">管理人员必须准时参加。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3、中标人应加强对员工的培训、管理，以达到符合招标方管理要求。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4、中标人应严格督导员工的行为规范，并要求员工严格执行采购人相关管理规定维护采购人整体形象。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numPr>
                <w:ilvl w:val="0"/>
                <w:numId w:val="13"/>
              </w:numPr>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中标人工作中应注意安全防范。因中标人工作不到位或工作不当，而发生的安全事故，或因不可抗力造成的意外事件，由中标人负责。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中标人按照采购人的要求，及时更换不能胜任工作的工作人员；负责处理合同服务期内所有劳资纠纷和调解管理纠纷；落实采购人根据规章制度和工作需要提出的其他管理要求，并向采购人提供相关证明材料备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、中标人应建立人员职业道德规范与行为准则、人员岗位责任制度、人员聘用、培训、管理</w:t>
            </w:r>
            <w:r>
              <w:rPr>
                <w:rFonts w:hint="eastAsia" w:ascii="宋体" w:hAnsi="宋体" w:cs="宋体"/>
                <w:color w:val="auto"/>
                <w:sz w:val="24"/>
                <w:szCs w:val="24"/>
                <w:highlight w:val="none"/>
              </w:rPr>
              <w:t xml:space="preserve">、考核与奖惩制度、技术服务规范与工作制度、服务质量管理制度等相关制度。落实文明管理、保洁服务的措施，提供文明优质的服务。因中标人原因或工作人员工作失职或故意行为或违法犯罪行为造成采购人声誉影响或经济损失的，中标人应根据公安机关的立案调查结果或法院判决，承担相应的赔偿责任；因中标人自身原因所引发的一切纠纷，由中标人负完全责任；工作人员在非工作时间内发生的人身意外或其他纠纷，由中标人负责处理。如中标人挪用工作人员工资和其他薪酬、社会保险和商业保险投保费用，除承担由此引发的一切法律责任外，采购人有权终止服务合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中标人须负责该项目作业人员的人事、劳资、保险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、中标人应承担服务所用设备、工具购置及维修费用、服务所用材料消耗费用、管理费用、利润、税金、政策性文件规定及合同包含的所有风险、责任等各项应有费用。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、投标单位针对</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应提供进退场交接方案，内容包含交接范围、交接分类、交接计划等内容，并结合自身实际情况自拟。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、投标单位应建立响应应急工作方案，在突发性公共污染事件、突发性灾害天气（台风、雾霾、扬尘等）等应急工作时能够快速、有效</w:t>
            </w:r>
            <w:r>
              <w:rPr>
                <w:rFonts w:hint="eastAsia" w:ascii="宋体" w:hAnsi="宋体" w:cs="宋体"/>
                <w:color w:val="auto"/>
                <w:sz w:val="24"/>
                <w:szCs w:val="24"/>
                <w:highlight w:val="none"/>
                <w:lang w:eastAsia="zh-CN"/>
              </w:rPr>
              <w:t xml:space="preserve">地</w:t>
            </w:r>
            <w:r>
              <w:rPr>
                <w:rFonts w:hint="eastAsia" w:ascii="宋体" w:hAnsi="宋体" w:cs="宋体"/>
                <w:color w:val="auto"/>
                <w:sz w:val="24"/>
                <w:szCs w:val="24"/>
                <w:highlight w:val="none"/>
              </w:rPr>
              <w:t xml:space="preserve">开展工作，并且制定相关应急人员配备名单表，相关人员应该有一定的工作经验。应对突发事件的时候有既定方案，并随时根据实际情况灵活调整，第一时间把问题解决。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、投标人应通过对现场的深入了解，结合实际情况，运用现有手段和资源，坚决服从采购人与各协调单位的调度，确保采购人对整个项目的统一领导、统一布局。</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tbl>
      <w:tblPr>
        <w:tblStyle w:val="74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84"/>
        <w:gridCol w:w="845"/>
        <w:gridCol w:w="1353"/>
        <w:gridCol w:w="665"/>
        <w:gridCol w:w="2465"/>
        <w:gridCol w:w="679"/>
        <w:gridCol w:w="2971"/>
      </w:tblGrid>
      <w:tr>
        <w:trPr>
          <w:trHeight w:val="681"/>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公园保洁岗位表</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总人数</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gridSpan w:val="4"/>
            <w:tcBorders>
              <w:top w:val="single" w:color="000000" w:sz="4" w:space="0"/>
              <w:left w:val="single" w:color="000000" w:sz="4" w:space="0"/>
              <w:bottom w:val="single" w:color="000000" w:sz="4" w:space="0"/>
              <w:right w:val="single" w:color="000000" w:sz="4" w:space="0"/>
            </w:tcBorders>
            <w:tcW w:w="3401"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工作安排</w:t>
            </w:r>
            <w:r/>
          </w:p>
        </w:tc>
      </w:tr>
      <w:tr>
        <w:trPr>
          <w:trHeight w:val="9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34人</w:t>
            </w:r>
            <w:r/>
          </w:p>
        </w:tc>
        <w:tc>
          <w:tcPr>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生态园</w:t>
            </w:r>
            <w:r/>
          </w:p>
        </w:tc>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保洁负责人1名及保洁人员19名（含1名班长）</w:t>
            </w:r>
            <w:r/>
          </w:p>
        </w:tc>
        <w:tc>
          <w:tcPr>
            <w:gridSpan w:val="2"/>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白班工作时间（夏季：6：-20:00；冬季：6:30-17:30）</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夜班工作时间（白班结束至22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00）</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19人</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厕所定点3人（北门、游乐场、书屋）</w:t>
            </w:r>
            <w:r/>
          </w:p>
        </w:tc>
        <w:tc>
          <w:tcPr>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6人</w:t>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厕所及周边流动保洁3人</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其余厕所及周边4人</w:t>
            </w:r>
            <w:r/>
          </w:p>
        </w:tc>
        <w:tc>
          <w:tcPr>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沙滩1人</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森林书屋1人</w:t>
            </w:r>
            <w:r/>
          </w:p>
        </w:tc>
        <w:tc>
          <w:tcPr>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停车场及南北门2人</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沙滩1人</w:t>
            </w:r>
            <w:r/>
          </w:p>
        </w:tc>
        <w:tc>
          <w:tcPr>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其余：保洁负责人1人，灵活9人</w:t>
            </w:r>
            <w:r/>
          </w:p>
        </w:tc>
        <w:tc>
          <w:tcPr>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张家港公园</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保洁负责人1名及保洁人员7名（含1名班长）</w:t>
            </w:r>
            <w:r/>
          </w:p>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8人</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4人</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沙洲公园</w:t>
            </w:r>
            <w:r/>
          </w:p>
        </w:tc>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6名（含1名班长）</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厕所2人</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厕所流动保洁2人</w:t>
            </w:r>
            <w:r/>
          </w:p>
        </w:tc>
      </w:tr>
      <w:tr>
        <w:trPr>
          <w:trHeight w:val="681"/>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其余保洁4人</w:t>
            </w:r>
            <w:r/>
          </w:p>
        </w:tc>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pct"/>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81"/>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备注：夏季时间：5月-10月；冬季时间：11月-次年4月。</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公园绿化养护要求：</w:t>
      </w:r>
      <w:r/>
    </w:p>
    <w:tbl>
      <w:tblPr>
        <w:tblStyle w:val="74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04"/>
        <w:gridCol w:w="696"/>
        <w:gridCol w:w="875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养护级别</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一级养护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绿地养护要求</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2.1总则</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绿地养护严格执行《城市绿化条例》、《江苏省城市园林绿化植物养护管理规范》、《张家港市市区绿地及草花养护管理考核办法》、《张家港市市区绿地养护管理百分考核细则》、《张家港市市区草花养护管理百分考核细则》，积极开展各项绿化养护工作，力求规范化、标准化、精细化，保证市区绿化景观效果优美。</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中标单位及时建档，明确养护区域，防止在后续养护中出现无人管理区域、养护范围模糊等现象；按时完成绿地交接工作，并做好</w:t>
            </w:r>
            <w:r>
              <w:rPr>
                <w:rFonts w:hint="eastAsia" w:ascii="宋体" w:hAnsi="宋体" w:cs="宋体"/>
                <w:color w:val="auto"/>
                <w:sz w:val="24"/>
                <w:szCs w:val="24"/>
                <w:highlight w:val="none"/>
                <w:lang w:eastAsia="zh-CN"/>
              </w:rPr>
              <w:t xml:space="preserve">影像资料</w:t>
            </w:r>
            <w:r>
              <w:rPr>
                <w:rFonts w:hint="eastAsia" w:ascii="宋体" w:hAnsi="宋体" w:cs="宋体"/>
                <w:color w:val="auto"/>
                <w:sz w:val="24"/>
                <w:szCs w:val="24"/>
                <w:highlight w:val="none"/>
              </w:rPr>
              <w:t xml:space="preserve">备份，包括标段内名贵树种、特色树种、大树的规格、位置、长势等情况；建立绿地养护台账，记录绿地内相关养护工作、苗木变化、行政开挖、绿化改造、应急抢险、环境整治突击等情况。</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养护服务期内，如遇用地性质改变、道路施工或其他原因导致绿地养护面积增减，则根据合同单价相应调整养护服务费用。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2.2日常养护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2.2.1绿化长势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绿地树木长势良好，乔灌木保存率100%，无死株、无缺株、残株。新栽树、扶正树支撑规范统一。花境植物搭配合理且层次错落有致，各植物间边界清晰，景观效果优美。草坪无空缺，无黄化、无杂草。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2.2.2整枝修剪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根据植物品种、生长阶段、长势强弱、花芽着生部位、开花季节等及时剥芽、修剪，修剪整齐规范。修剪前制定修剪技术方案，修剪后及时清运废弃物。</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①乔木。绿地内乔木通风透光良好，定枝、整枝合理均匀，无徒长枝、病虫枝、交叉枝、并生枝、下垂枝、萌蘖枝以及枯枝烂枝，修剪操作规范，剪口平整，及时涂抹防腐剂或生长素。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②行道树。常绿树每年进行一次疏枝修剪，落叶树每年冬天进行定型修剪；整理树形、清除内膛枝、枯枝，剪除分枝点过低的枝条，以增加树冠的通风、透光性，保证行道树健康生长，减少对交通通行的影响。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③造型植物。适时修剪，保证其原有艺术形态；萌发能力、长势强的造型树需定期重新造型，造型方式及工具、材料选择合理，不破坏树体，伤口处理科学，植物造型美观。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④灌木。按原设计造型或规定的形状和高度修剪，规则式绿篱、色块保持顶部和基部水平，做到无断层、无缺口、无光秃，线条应横平竖直，</w:t>
            </w:r>
            <w:r>
              <w:rPr>
                <w:rFonts w:hint="eastAsia" w:ascii="宋体" w:hAnsi="宋体" w:cs="宋体"/>
                <w:color w:val="auto"/>
                <w:sz w:val="24"/>
                <w:szCs w:val="24"/>
                <w:highlight w:val="none"/>
                <w:lang w:eastAsia="zh-CN"/>
              </w:rPr>
              <w:t xml:space="preserve">波浪形</w:t>
            </w:r>
            <w:r>
              <w:rPr>
                <w:rFonts w:hint="eastAsia" w:ascii="宋体" w:hAnsi="宋体" w:cs="宋体"/>
                <w:color w:val="auto"/>
                <w:sz w:val="24"/>
                <w:szCs w:val="24"/>
                <w:highlight w:val="none"/>
              </w:rPr>
              <w:t xml:space="preserve">等其他造型修剪应确保曲线润畅，轮廓明显，不同品种间过度平缓；球类修剪应圆整；列植式球类及柱状小乔木修剪需圆润饱满，顶部、下脚修剪高度一致；组团式球类修剪应错落有致。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⑤草坪。适时修剪，高度一致，修剪面平整，边角无遗留，草屑、枯草层及时清理运出。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⑥水生植物、芒草。修剪留茬高度一致、整齐，景观效果良好。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⑦宿根花卉。冬季枯黄后及时剪除地上部分；定时疏除繁殖过快种类或及时分株翻种。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⑧攀援植物。每年5、7、11月或开花后修剪，生长季节做好梳理、造型、固定等工作。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⑨浮床绿化。负责做好浮床植物的日常养护工作，及时清理浮床周边的野生水生植物，做好日常巡查，发现浮床位置变动及时纠正固定，确保浮床景观良好。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2.2.3病虫防治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预防为主、综合防治”，根据标段实际情况，建立病虫害防治台账，及时进行预测防治。发现病虫害及时汇报，生物、物理以及化学等防治多管齐下，化学防治需报备经采购单位审核同意；按规定使用农药，做到合理配比、选准药品、用量正确，无药害产生。在植物休眠期通过修剪、树木涂白及清洁栽植地等措施，减少越冬虫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2.2.4松土除草切边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树穴定期松土，松土深度不伤及根系生长；每年春秋两季进行草坪打孔工作；每年冬季进行片林空地整体深翻工作。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及时去除大型恶性杂草、杂树及蔓性藤本类杂草，以人工拔除为主，如采用生物和化学防治措施，需经采购单位审核同意；攀援类植物应控制长势、及时绑扎，避免攀爬至其他乔灌木树种。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灌木、地被、草坪间应进行切边处理，切边规范、不宜过宽过深，且流畅圆润，内部种植土应细碎平整。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2.2.5浇灌排水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实际，对绿地进行适树、适地、适时、适量浇灌，浇灌前应挖穴或打洞松土，保证水分渗透至植物根部。每年春季苗木萌发前浇春水至少1次，冬季休眠前浇防冻水至少1次；每年5-10月期间，连续15天无降雨需启动抗旱应急预案，配足水车、水泵等浇水设备，结合使用滴灌袋、抗蒸腾剂及保水剂，确保各类植物无干旱致死情况发生。浇水时间应避开夏季高温时段。夏季尽量选择在早晨或晚上适时适量进行浇灌作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雨季绿地内无积水，坑洼处必须及时填平，耐涝性差的树木应在6小时内排除积水、地被12小时内排除积水，低洼易积水处设置排水沟，确保雨后积水及时排除，道路景观林带内沟渠畅通无堵塞现象。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2.2.6施肥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树木应根据树种、树龄、生长势和土壤理化性质而科学施肥。树木休眠期施基肥，生长期施追肥1-2次，花灌木花前、花后补施花肥，行道树每年施棒肥。基肥应采用腐熟有机肥，追肥应以磷肥、氮肥为主，开花植物花前施磷、钾肥，花后施氮肥。香樟等出现黄化症状，应酸化根际土壤并树干注射、叶片喷施铁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施肥方法适当，用量合理，不产生肥害，施肥后及时覆盖。乔木类采用沟施或穴施，深度大于30cm，并及时覆盖；灌木、地被、草坪等撒施肥料后应及时充分浇水，肥料不得粘在花、叶上，以免灼伤，并且草坪应薄肥勤施；水生植物施肥不应污染水质；吸附类藤本应叶面施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2.2.7保洁保护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及时清理绿地内绿化垃圾、杂物，无卫生死角。植物修剪后枝叶、垃圾应及时清运不过夜，绿化废弃物应按规定运至指定绿化废弃物处理站点，不乱丢乱抛。</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冬季越冬，对需防寒的植物（新栽植植物、铁树、加拿利海枣、花境植物及造型树等）采取地面覆盖、包扎树体、搭建防寒棚等措施，必要时适当喷施防冻液，多举措进行冬季植物保暖工作。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绿化景观应保存完好，非法绿地开挖、交通事故、毁绿种菜、人为踩踏、砍伐绿化、偷盗等现象应及时发现、制止，拍照取证、统计破坏量并及时上报12319及采购单位、做好后期跟踪处理及绿地恢复等工作。（部分道路）隔离带围栏应保存完好，发现破损及时上报并维修。绿地内所有养护标识牌、植物铭牌等无破损、干净整洁，发现破损及时上报及修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2.2.8工具、车辆使用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根据实际情况合理使用各类园林机械、车辆，部分绿地严禁使用割灌机修剪草坪。部分公园、游园步道、塑胶场地严禁车辆驶入。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2.3组织管理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2.3.1制度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中标单位需落实人员上岗制度、安全文明作业制度、应急制度及机械设备保障制度。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①人员上岗制度。落实项目负责人、现场负责人、日常巡查制度，通讯（手机、QQ、微信等）设备畅通。按要求配齐配足不低于额定人数的养护作业人员（详见额定用工明细表），同时，依法规范用工，职龄内工作人员全部缴纳社保，所有工作人员须购买意外险，合同签订前中标单位必须将为养护工人购买的意外险等证明报采购单位备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入场前，每个项目作业人员需配备电子考勤工牌（或手环），并将系统接入“张家港市市区绿化养护管理系统”，每天工作期间开启定位功能，项目负责人需将现场养护作业人员的相关信息资料录入张家港市市区绿化养护管理系统，录入的人员数量必须在定额数量的100%-110%之间。项目负责人应确保上述信息资料的真实性以及人员的稳定性，现场养护作业人员如有增减或更换，中标单位需第一时间书面通知采购方，并及时更新养护作业人员信息资料。采购方可随时抽查现场养护作业人数并计入考核，未入库人员不在抽查范围，也不计入出勤人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单位项目负责人、现场负责人根据采购人要求安装"智慧住建APP"并加入养护微信群每天上、下午露脸打卡一次，每天7:00-17:00开启定位功能，处理平台派发的案卷、关注绿化养护微信群，完成采购人要求的各项任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养护开始之日前应将工作服发放到位，作业人员全部统一着装上岗，道路作业人员必须加穿反光背心。项目作业人员工作服要求：春秋冬季马夹二件、夏装二件、雨衣雨裤一套、安全帽一只，且标明养护单位名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②安全文明作业制度。中标单位严格按照安全生产操作流程及养护管理规范组织作业，保障人员安全，如作业工人需统一穿着安全警示服装、标志上岗；主干道路路面作业应放置安全警示锥、伸缩护栏或安全提示牌设施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③应急制度。中标单位需上报灾害性天气的应急预案。遇到因自然灾害、重大活动等突发情况引起的养护应急工作，中标单位需积极配合甲方，迅速组织机械设备及人员，做到措施应对迅速、有效。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④机械设备保障制度。中标单位需制定机械设备的日常管理方案及后期维护保养方案；机械设备用于本标段专职养护。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2.3.2其他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①日常整改。中标单位及时完成采购单位在“张家港市市区绿化养护管理系统”下发的日常整改问题，并按要求上传回复。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②月度整改。中标单位按照采购单位在月度集中考核时下发的整改通知书要求完成整改工作，并提交书面回复资料。</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③行政审批。根据采购单位的要求，中标单位及时完成因行政审批而产生的绿地养护、植物移栽等工作；同时，对非法开挖情况组织专人巡查，一旦发现立即制止，报12319、110处理并通知采购单位，专人看管遭破坏绿地并配合采购单位做好非法开挖的处理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④市民、相关部门反映养护问题。中标单位及时核实并处理12345便民服务、数字化城管等相关部门、群众、居民反映的养护问题。遇车祸破坏绿化，养护单位需及时上报采购单位，并记录破坏数量及规格详情以及现场损坏、数据测量照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专业技术人员要求及职责</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实行项目负责人、现场负责人制度，合同签订前中标单位必</w:t>
            </w:r>
            <w:r>
              <w:rPr>
                <w:rFonts w:hint="eastAsia" w:ascii="宋体" w:hAnsi="宋体" w:cs="宋体"/>
                <w:color w:val="auto"/>
                <w:sz w:val="24"/>
                <w:szCs w:val="24"/>
                <w:highlight w:val="none"/>
              </w:rPr>
              <w:t xml:space="preserve">须将投标时上报的项目负责人、现场负责人、高级绿化工、高级花卉工、高级植保工、高空作业工种等相应的职称证书、职业资格证书原件及复印件、在任职（承包）单位近期社保缴费证明上报采购单位进行备案。原则上服务周期内不得更换项目负责人及现场负责人，如需更换须提前15个工作日以书面通知采购人，并征得采购人同意才可更换。如因投标人项目负责人存在能力不达标或服务质量未达到采购人要求的，采购人有权要求更换相关负责人，投标人应无条件更换。任何情况下新更换的相关负责人职称等要求不得低于原相关负责人，且必须经甲方书面同意后方可更换。</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常养护时，项目负责人工作日（不含节假日）必须在养护标段内，现场负责人养护工作时段（雨、雪等不利开展养护的工作日，可只执行必要的巡查、工单和其他突发事件处置）全年在岗，需实行影像签到打卡制度，采购单位不定期进行相关负责人在场情况进行抽查，未征得采购单位书面请假同意无故不在现场的，采购单位将按照相应考核细则进行扣分，每月出勤天数低于应计出勤80%的，将发放书面整改通知书一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3.1项目负责人1名。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后，中标单位项目负责人按照采购单位要求开展绿地信息普查工作；制定绿地年度养护计划，上报采购单位；制定人员到岗制度、安全文明制度、应急预案制度等；参加养护会议及采购单位通知参加的其他会议、培训；配合采购单位参加养护月度考核；做好应急抢险、12345便民热线、数字化城管等工作以及采购单位安排的其他工作；各类通讯（手机、QQ、微信等）畅通并及时回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说明：必须具备园林绿化专业工程师(中级）及以上职称，其中园林绿化专业是指：与园林绿化工程规划、设计、施工及养护管理相关的专业，包括园林（含园林规划设计、园林植物、风景园林、园林绿化等）、园艺、城市规划、景观、植物（含植保、森保等）、风景旅游、环境艺术等专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3.2现场负责人1名。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年度养护计划开展绿地养护、保护及保洁工作；利用移动终端设备完成日常巡查工作，及时处理采购单位派发的养护问题；建立养护台账工作，按时上报养护巡查、养护日志、病虫害防治、苗木移植及死树清理记录、月度总结及计划（每月25-31日）至“智慧住建APP”；各类通讯（手机、QQ、微信等）畅通并及时回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（说明：必须具备园林绿化专业助理工程师及以上职称，或花卉园艺技师职业资格二级及以上资格。）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3.3项目技术人员：高级绿化工种4人，高级花卉工种1人，高级植保工种1人，高空作业工种2人（登高车作业需要）。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做好一线养护班组的指导、培训工作，把关养护细节及技术细节，掌握养护进度，做好养护人员安全工作以及采购单位安排的其他工作。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（说明：高处作业证为特种作业人员操作证，作业类别：高处作业，由国家安全生产监督管理总局监制或中华人民共和国应急管理部监制。）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投标人自有车辆及绿化机械等要求</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前，中标单位必须将相关车辆和绿化机械的证明材料交采购单位备案。采购单位将组织中标单位进行车辆及绿化机械的集中核查，核实后方可签订合同；如果相关要求未满足，采购单位不予签订合同，直至中标单位满足要求。除上述配置要求外，因养护需求或雪灾、干旱等恶劣天气引起的应急任务，中标单位需根据采购单位的要求配足车辆、器械等。所提供的车辆、绿化机械专用于</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4.1车辆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洒水车1辆（核定载质量≥4吨，加装GPS及流量计）且年检合格；巡视车1辆（车辆类型为轻型普通客/货车或轿车）且年检合格；皮卡车1辆且年检合格，方便巡视过程中遇到的一些应急情况及时处理；清运货车2辆（核定载质量≥1.6吨）且年检合格，用于苗木运输及绿化废弃物清运，登高车1辆（自有或租赁）且年检合格，确保完成采购单位安排的乔木高空修剪作业等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前，中标单位必须将相关车辆证明材料（洒水车、巡视车、皮卡车、清运货车、自有登高车车辆行驶证复印件或机动车登记证（产权证）复印件或购置发票复印件、交强险保单的复印件并加盖投标人公章。登高车如属租赁的提供租赁合同复印件及车辆行驶证复印件或机动车登记证（产权证）复印件或购置发票复印件、交强险保单的复印件并加盖投标人公章。）交由采购单位备案，所提供的车辆专用于</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4.2绿化机械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手推式草坪机6台（含不少于2台锂电草坪机，单次连续使用时间不低于8小时（可附带充电电池）），植保机6台，绿篱修剪机10台（含不少于3台锂电绿篱机，单次连续使用时间不低于8小时（可附带充电电池）），水泵6台，车载高射程喷雾器1台（风机功率≥12kw），油锯6台(含不少于3台锂电锯)，高枝油</w:t>
            </w:r>
            <w:r>
              <w:rPr>
                <w:rFonts w:hint="eastAsia" w:ascii="宋体" w:hAnsi="宋体" w:cs="宋体"/>
                <w:color w:val="auto"/>
                <w:sz w:val="24"/>
                <w:szCs w:val="24"/>
                <w:highlight w:val="none"/>
              </w:rPr>
              <w:t xml:space="preserve">锯2台，割灌机6台（含不少于3台锂电割灌机，单次连续使用时间不低于8小时（可附带充电电池）），背负式鼓风机4台（含不少于2台锂电（鼓）吹风机单次连续使用时间不低于8小时（可附带充电电池）），草坪打孔机2台，喷雾喷粉机2台，树木扶正器1台，人字梯10个（H＞1.6m），作业安全警示锥50个，作业安全提示牌6片,竹竿30根（H＞6m）。考虑设施、设备折旧更新情况，所提供的设备应当为2019年以后购买且可正常使用，合同签订前，中标单位必须提供2019年1月1日后购买的发票复印件交采购单位备案，所提供绿化机械专用于</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4.3移动设备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移动终端一部，用以标段日常巡查、采购单位“智慧住建APP”派发问题处理、资料上报等工作。（合同签订前提供购买发票复印件交采购单位备案。）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投标方案要求（投标方案应当至少包括以下内容）</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5.1企业养护管理制度：应当包括管理制度、标准、管理程序、项目管理人员及其他工作人员职责、人员技术培训方案及安全教育等。养护管理制度应当保证能满足养护要求。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5.2全年绿地养护管理计划：计划应根据季节变化，考虑各类植物（如草坪、地被、绿篱、花灌木、乔木、行道树、水生植物等）特性，结合标段内不同种类绿地（公园绿地、道路绿地、广场绿地、防护绿地）特点，体现每月的养护要点和突出问题，完整、全面，科学、合理，可操作性强、符合本项服务需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5.3绿地养护方案：结合季节变化，考虑各类植物特点，针对日常养护类明显突出问题，制定除草、修剪、病虫害防治、苗木补植、绿地保洁等各类养护方案。方案应完善具体、可操作性强。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5.4人员配置及考勤管理方案：投标人应当在投标文件中制定项目管理人员的配备方案、及作业人员的配备方案、作业人员管理方案及人员考勤方案，管理人员应当满足项目需求，在</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中可操作。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5.5应急抢险方案：投标文件中应当制定①针对不可抗力的应急预案②重大活动、重要接待的应急方案③针对遇非法侵占绿地、损坏绿化的处置方案，方案应组织合理，人员、机械、材料、通讯及相关协调准备到位，完全满足招标要求，程序规范，责任明确，可操作性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5.6安全文明作业方案：方案内容中至少包含日常作业安全、作业标示标牌设置、垃圾清运、人员培训及作业如何减少对周边居民生活和出行的影响、扬尘预防等内容，安全文明作业及规范用工的保障措施健全，能保证符合2.3.1其他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5.7拟投入</w:t>
            </w:r>
            <w:r>
              <w:rPr>
                <w:rFonts w:hint="eastAsia" w:ascii="宋体" w:hAnsi="宋体" w:cs="宋体"/>
                <w:color w:val="auto"/>
                <w:sz w:val="24"/>
                <w:szCs w:val="24"/>
                <w:highlight w:val="none"/>
                <w:lang w:eastAsia="zh-CN"/>
              </w:rPr>
              <w:t xml:space="preserve">本项服务</w:t>
            </w:r>
            <w:r>
              <w:rPr>
                <w:rFonts w:hint="eastAsia" w:ascii="宋体" w:hAnsi="宋体" w:cs="宋体"/>
                <w:color w:val="auto"/>
                <w:sz w:val="24"/>
                <w:szCs w:val="24"/>
                <w:highlight w:val="none"/>
              </w:rPr>
              <w:t xml:space="preserve">的技术人员方案，高级绿化工种4人，高级花卉工种1人，高级植保工种1人，高空作业工种2人，做好一线养护班组的指导、培训工作，把关养护细节及技术细节，掌握养护进度，做好养护人员安全工作以及采购单位安排的其他工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5.8针对本次招标的标段内具体情况提出具有可操作性的实施方案（供应商可现场自行踏勘提出针对具体标段内苗木品种、长势特点、疏密情况、枯枝死树及存在问题等等的养护方案。方案应详细、科学合理、有针对性、可操作性强，措施扎实得当，能够完全满足或优于招标清单中具体养护等级需求，且对后期提升养护质量有指导作用或建设性建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5.9车辆、设备设施作业管理维护方案：包含车辆、机械、设施根据不同标段现状的作业安排及车辆、机械、设施日常管理及后期维护保养方案，至少能保证满足项目需求的车辆维护到位。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28"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6.1以上标段报价均含苗木补缺费用；重要地段草坪追播黑麦草费用，裸露地被、片林下空地籽播花卉、草籽等费用；绿地内正常的苗木搬迁、调整、归并移植费用；部分路段隔离带护栏、养护标识牌、植物铭牌等的维护费用；水生植物、水草（浮萍）清理费用，水生植物及水草清理时船只购买或租赁费用；养护人员购买意外险等保险的费用、养护责任铭牌的费用；所有车辆、机械的购买或登高车租赁费用；各类灾害天气应急抢险涉及的所有费用；其他绿化养护涉及到的相关费用。</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额定用工明细表</w:t>
      </w:r>
      <w:r/>
    </w:p>
    <w:tbl>
      <w:tblPr>
        <w:tblStyle w:val="74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960"/>
        <w:gridCol w:w="1944"/>
        <w:gridCol w:w="1944"/>
        <w:gridCol w:w="1944"/>
        <w:gridCol w:w="1968"/>
      </w:tblGrid>
      <w:tr>
        <w:trPr>
          <w:trHeight w:val="23"/>
        </w:trPr>
        <w:tc>
          <w:tcPr>
            <w:tcMar>
              <w:left w:w="15" w:type="dxa"/>
              <w:top w:w="15" w:type="dxa"/>
              <w:right w:w="15" w:type="dxa"/>
              <w:bottom w:w="0" w:type="dxa"/>
            </w:tcMar>
            <w:tcW w:w="1004"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地方</w:t>
            </w:r>
            <w:r/>
          </w:p>
        </w:tc>
        <w:tc>
          <w:tcPr>
            <w:tcMar>
              <w:left w:w="15" w:type="dxa"/>
              <w:top w:w="15" w:type="dxa"/>
              <w:right w:w="15" w:type="dxa"/>
              <w:bottom w:w="0" w:type="dxa"/>
            </w:tcMar>
            <w:tcW w:w="99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项目负责人</w:t>
            </w:r>
            <w:r/>
          </w:p>
        </w:tc>
        <w:tc>
          <w:tcPr>
            <w:tcMar>
              <w:left w:w="15" w:type="dxa"/>
              <w:top w:w="15" w:type="dxa"/>
              <w:right w:w="15" w:type="dxa"/>
              <w:bottom w:w="0" w:type="dxa"/>
            </w:tcMar>
            <w:tcW w:w="99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现场负责人</w:t>
            </w:r>
            <w:r/>
          </w:p>
        </w:tc>
        <w:tc>
          <w:tcPr>
            <w:tcMar>
              <w:left w:w="15" w:type="dxa"/>
              <w:top w:w="15" w:type="dxa"/>
              <w:right w:w="15" w:type="dxa"/>
              <w:bottom w:w="0" w:type="dxa"/>
            </w:tcMar>
            <w:tcW w:w="996"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最低用工人数</w:t>
            </w:r>
            <w:r/>
          </w:p>
        </w:tc>
        <w:tc>
          <w:tcPr>
            <w:tcMar>
              <w:left w:w="15" w:type="dxa"/>
              <w:top w:w="15" w:type="dxa"/>
              <w:right w:w="15" w:type="dxa"/>
              <w:bottom w:w="0" w:type="dxa"/>
            </w:tcMar>
            <w:tcW w:w="100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备注</w:t>
            </w:r>
            <w:r/>
          </w:p>
        </w:tc>
      </w:tr>
      <w:tr>
        <w:trPr>
          <w:trHeight w:val="23"/>
        </w:trPr>
        <w:tc>
          <w:tcPr>
            <w:tcMar>
              <w:left w:w="15" w:type="dxa"/>
              <w:top w:w="15" w:type="dxa"/>
              <w:right w:w="15" w:type="dxa"/>
              <w:bottom w:w="0" w:type="dxa"/>
            </w:tcMar>
            <w:tcW w:w="1004"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梁丰生态园</w:t>
            </w:r>
            <w:r/>
          </w:p>
        </w:tc>
        <w:tc>
          <w:tcPr>
            <w:tcMar>
              <w:left w:w="15" w:type="dxa"/>
              <w:top w:w="15" w:type="dxa"/>
              <w:right w:w="15" w:type="dxa"/>
              <w:bottom w:w="0" w:type="dxa"/>
            </w:tcMar>
            <w:tcW w:w="996" w:type="pct"/>
            <w:vAlign w:val="center"/>
            <w:vMerge w:val="restart"/>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1</w:t>
            </w:r>
            <w:r/>
          </w:p>
        </w:tc>
        <w:tc>
          <w:tcPr>
            <w:tcMar>
              <w:left w:w="15" w:type="dxa"/>
              <w:top w:w="15" w:type="dxa"/>
              <w:right w:w="15" w:type="dxa"/>
              <w:bottom w:w="0" w:type="dxa"/>
            </w:tcMar>
            <w:tcW w:w="996" w:type="pct"/>
            <w:vAlign w:val="center"/>
            <w:vMerge w:val="restart"/>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1</w:t>
            </w:r>
            <w:r/>
          </w:p>
        </w:tc>
        <w:tc>
          <w:tcPr>
            <w:tcMar>
              <w:left w:w="15" w:type="dxa"/>
              <w:top w:w="15" w:type="dxa"/>
              <w:right w:w="15" w:type="dxa"/>
              <w:bottom w:w="0" w:type="dxa"/>
            </w:tcMar>
            <w:tcW w:w="99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37</w:t>
            </w:r>
            <w:r/>
          </w:p>
        </w:tc>
        <w:tc>
          <w:tcPr>
            <w:tcMar>
              <w:left w:w="15" w:type="dxa"/>
              <w:top w:w="15" w:type="dxa"/>
              <w:right w:w="15" w:type="dxa"/>
              <w:bottom w:w="0" w:type="dxa"/>
            </w:tcMar>
            <w:tcW w:w="1006" w:type="pct"/>
            <w:vAlign w:val="center"/>
            <w:vMerge w:val="restart"/>
            <w:textDirection w:val="lrTb"/>
            <w:noWrap w:val="false"/>
          </w:tcPr>
          <w:p>
            <w:pPr>
              <w:jc w:val="center"/>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合计54人</w:t>
            </w:r>
            <w:r/>
          </w:p>
        </w:tc>
      </w:tr>
      <w:tr>
        <w:trPr>
          <w:trHeight w:val="23"/>
        </w:trPr>
        <w:tc>
          <w:tcPr>
            <w:tcMar>
              <w:left w:w="15" w:type="dxa"/>
              <w:top w:w="15" w:type="dxa"/>
              <w:right w:w="15" w:type="dxa"/>
              <w:bottom w:w="0" w:type="dxa"/>
            </w:tcMar>
            <w:tcW w:w="1004"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沙洲公园</w:t>
            </w:r>
            <w:r/>
          </w:p>
        </w:tc>
        <w:tc>
          <w:tcPr>
            <w:tcMar>
              <w:left w:w="15" w:type="dxa"/>
              <w:top w:w="15" w:type="dxa"/>
              <w:right w:w="15" w:type="dxa"/>
              <w:bottom w:w="0" w:type="dxa"/>
            </w:tcMar>
            <w:tcW w:w="996" w:type="pct"/>
            <w:vAlign w:val="center"/>
            <w:vMerge w:val="continue"/>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tcMar>
              <w:left w:w="15" w:type="dxa"/>
              <w:top w:w="15" w:type="dxa"/>
              <w:right w:w="15" w:type="dxa"/>
              <w:bottom w:w="0" w:type="dxa"/>
            </w:tcMar>
            <w:tcW w:w="996" w:type="pct"/>
            <w:vAlign w:val="center"/>
            <w:vMerge w:val="continue"/>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tcMar>
              <w:left w:w="15" w:type="dxa"/>
              <w:top w:w="15" w:type="dxa"/>
              <w:right w:w="15" w:type="dxa"/>
              <w:bottom w:w="0" w:type="dxa"/>
            </w:tcMar>
            <w:tcW w:w="99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5</w:t>
            </w:r>
            <w:r/>
          </w:p>
        </w:tc>
        <w:tc>
          <w:tcPr>
            <w:tcMar>
              <w:left w:w="15" w:type="dxa"/>
              <w:top w:w="15" w:type="dxa"/>
              <w:right w:w="15" w:type="dxa"/>
              <w:bottom w:w="0" w:type="dxa"/>
            </w:tcMar>
            <w:tcW w:w="1006"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r>
      <w:tr>
        <w:trPr>
          <w:trHeight w:val="23"/>
        </w:trPr>
        <w:tc>
          <w:tcPr>
            <w:tcMar>
              <w:left w:w="15" w:type="dxa"/>
              <w:top w:w="15" w:type="dxa"/>
              <w:right w:w="15" w:type="dxa"/>
              <w:bottom w:w="0" w:type="dxa"/>
            </w:tcMar>
            <w:tcW w:w="1004"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张家港公园</w:t>
            </w:r>
            <w:r/>
          </w:p>
        </w:tc>
        <w:tc>
          <w:tcPr>
            <w:tcMar>
              <w:left w:w="15" w:type="dxa"/>
              <w:top w:w="15" w:type="dxa"/>
              <w:right w:w="15" w:type="dxa"/>
              <w:bottom w:w="0" w:type="dxa"/>
            </w:tcMar>
            <w:tcW w:w="996" w:type="pct"/>
            <w:vAlign w:val="center"/>
            <w:vMerge w:val="continue"/>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tcMar>
              <w:left w:w="15" w:type="dxa"/>
              <w:top w:w="15" w:type="dxa"/>
              <w:right w:w="15" w:type="dxa"/>
              <w:bottom w:w="0" w:type="dxa"/>
            </w:tcMar>
            <w:tcW w:w="996" w:type="pct"/>
            <w:vAlign w:val="center"/>
            <w:vMerge w:val="continue"/>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tcMar>
              <w:left w:w="15" w:type="dxa"/>
              <w:top w:w="15" w:type="dxa"/>
              <w:right w:w="15" w:type="dxa"/>
              <w:bottom w:w="0" w:type="dxa"/>
            </w:tcMar>
            <w:tcW w:w="996" w:type="pct"/>
            <w:vAlign w:val="center"/>
            <w:textDirection w:val="lrTb"/>
            <w:noWrap/>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10</w:t>
            </w:r>
            <w:r/>
          </w:p>
        </w:tc>
        <w:tc>
          <w:tcPr>
            <w:tcMar>
              <w:left w:w="15" w:type="dxa"/>
              <w:top w:w="15" w:type="dxa"/>
              <w:right w:w="15" w:type="dxa"/>
              <w:bottom w:w="0" w:type="dxa"/>
            </w:tcMar>
            <w:tcW w:w="1006"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r>
      <w:tr>
        <w:trPr>
          <w:trHeight w:val="23"/>
        </w:trPr>
        <w:tc>
          <w:tcPr>
            <w:gridSpan w:val="5"/>
            <w:tcMar>
              <w:left w:w="15" w:type="dxa"/>
              <w:top w:w="15" w:type="dxa"/>
              <w:right w:w="15" w:type="dxa"/>
              <w:bottom w:w="0" w:type="dxa"/>
            </w:tcMar>
            <w:tcW w:w="5000"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签订合同前，中标供应商需将上述人员的名单、身份证复印件、中标供应商为其缴纳的</w:t>
            </w:r>
            <w:r>
              <w:rPr>
                <w:rFonts w:hint="eastAsia" w:ascii="宋体" w:hAnsi="宋体" w:cs="宋体"/>
                <w:i/>
                <w:color w:val="auto"/>
                <w:spacing w:val="7"/>
                <w:sz w:val="24"/>
                <w:szCs w:val="24"/>
                <w:highlight w:val="none"/>
                <w:u w:val="single"/>
                <w:lang w:val="en-US" w:eastAsia="zh-CN" w:bidi="ar-SA"/>
              </w:rPr>
              <w:t xml:space="preserve">近期有效的</w:t>
            </w:r>
            <w:r>
              <w:rPr>
                <w:rFonts w:hint="eastAsia" w:ascii="宋体" w:hAnsi="宋体" w:eastAsia="宋体" w:cs="宋体"/>
                <w:i/>
                <w:color w:val="auto"/>
                <w:spacing w:val="7"/>
                <w:sz w:val="24"/>
                <w:szCs w:val="24"/>
                <w:highlight w:val="none"/>
                <w:u w:val="single"/>
                <w:lang w:val="en-US" w:eastAsia="zh-CN" w:bidi="ar-SA"/>
              </w:rPr>
              <w:t xml:space="preserve">社保向采购人进行备案并交给采购单位保存</w:t>
            </w:r>
            <w:r>
              <w:rPr>
                <w:rFonts w:hint="eastAsia" w:ascii="宋体" w:hAnsi="宋体" w:cs="宋体"/>
                <w:i/>
                <w:color w:val="auto"/>
                <w:spacing w:val="7"/>
                <w:sz w:val="24"/>
                <w:szCs w:val="24"/>
                <w:highlight w:val="none"/>
                <w:u w:val="single"/>
                <w:lang w:val="en-US" w:eastAsia="zh-CN" w:bidi="ar-SA"/>
              </w:rPr>
              <w:t xml:space="preserve">，如不符合以上要求，则取消中标资格</w:t>
            </w:r>
            <w:r>
              <w:rPr>
                <w:rFonts w:hint="eastAsia" w:ascii="宋体" w:hAnsi="宋体" w:eastAsia="宋体" w:cs="宋体"/>
                <w:i/>
                <w:color w:val="auto"/>
                <w:spacing w:val="7"/>
                <w:sz w:val="24"/>
                <w:szCs w:val="24"/>
                <w:highlight w:val="none"/>
                <w:u w:val="single"/>
                <w:lang w:val="en-US" w:eastAsia="zh-CN" w:bidi="ar-SA"/>
              </w:rPr>
              <w:t xml:space="preserve">。</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公园设施维护管理要求：</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日常巡检：</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每日对公园内步道、休息座椅、照明系统、游乐设施、健身器材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污水管网</w:t>
      </w:r>
      <w:r>
        <w:rPr>
          <w:rFonts w:hint="eastAsia" w:ascii="宋体" w:hAnsi="宋体" w:cs="宋体"/>
          <w:color w:val="auto"/>
          <w:sz w:val="24"/>
          <w:szCs w:val="24"/>
          <w:highlight w:val="none"/>
        </w:rPr>
        <w:t xml:space="preserve">等各类设施开展全面巡检。</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建立详尽的巡检记录档案，涵盖巡检时间、人员、设施状况、发现问题及处理情况等信息。</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发现有安全隐患应及时采取防护措施，并及时组织修复。确保设施完好，满足游客服务。</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定期维护：</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5"/>
        <w:gridCol w:w="2605"/>
        <w:gridCol w:w="5312"/>
      </w:tblGrid>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设施类型</w:t>
            </w:r>
            <w:r/>
          </w:p>
        </w:tc>
        <w:tc>
          <w:tcPr>
            <w:shd w:val="clear" w:color="auto" w:fill="auto"/>
            <w:tcW w:w="130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维护周期</w:t>
            </w:r>
            <w:r/>
          </w:p>
        </w:tc>
        <w:tc>
          <w:tcPr>
            <w:shd w:val="clear" w:color="auto" w:fill="auto"/>
            <w:tcW w:w="266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维护内容</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步道铺装</w:t>
            </w:r>
            <w:r/>
          </w:p>
        </w:tc>
        <w:tc>
          <w:tcPr>
            <w:shd w:val="clear" w:color="auto" w:fill="auto"/>
            <w:tcW w:w="130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每月至少一次全面清扫和检查，每季度一次修补和保养</w:t>
            </w:r>
            <w:r/>
          </w:p>
        </w:tc>
        <w:tc>
          <w:tcPr>
            <w:shd w:val="clear" w:color="auto" w:fill="auto"/>
            <w:tcW w:w="266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确保步道平整、无破损、无积水</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休息座椅</w:t>
            </w:r>
            <w:r/>
          </w:p>
        </w:tc>
        <w:tc>
          <w:tcPr>
            <w:shd w:val="clear" w:color="auto" w:fill="auto"/>
            <w:tcW w:w="130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每周清洁和检查，每半年防腐处理和加固</w:t>
            </w:r>
            <w:r/>
          </w:p>
        </w:tc>
        <w:tc>
          <w:tcPr>
            <w:shd w:val="clear" w:color="auto" w:fill="auto"/>
            <w:tcW w:w="266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保证座椅安全、舒适、美观</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照明系统</w:t>
            </w:r>
            <w:r/>
          </w:p>
        </w:tc>
        <w:tc>
          <w:tcPr>
            <w:shd w:val="clear" w:color="auto" w:fill="auto"/>
            <w:tcW w:w="130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每周检查亮灯情况，每月全面清洁和维护，每半年检测线路</w:t>
            </w:r>
            <w:r/>
          </w:p>
        </w:tc>
        <w:tc>
          <w:tcPr>
            <w:shd w:val="clear" w:color="auto" w:fill="auto"/>
            <w:tcW w:w="266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确保照明系统正常运行，亮灯率不低于98%</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游乐设施和健身器材</w:t>
            </w:r>
            <w:r/>
          </w:p>
        </w:tc>
        <w:tc>
          <w:tcPr>
            <w:shd w:val="clear" w:color="auto" w:fill="auto"/>
            <w:tcW w:w="130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每日清洁和简单检查，每周全面维护，每月邀请专业机构安全检测</w:t>
            </w:r>
            <w:r/>
          </w:p>
        </w:tc>
        <w:tc>
          <w:tcPr>
            <w:shd w:val="clear" w:color="auto" w:fill="auto"/>
            <w:tcW w:w="2665"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确保符合国家安全标准，无安全隐患</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水电设施  </w:t>
            </w:r>
            <w:r/>
          </w:p>
          <w:p>
            <w:pP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307"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电房：每周巡检，每月全面检查；电路：每周巡查，根据实际情况及时维修</w:t>
            </w:r>
            <w:r/>
          </w:p>
        </w:tc>
        <w:tc>
          <w:tcPr>
            <w:shd w:val="clear" w:color="auto" w:fill="auto"/>
            <w:tcW w:w="2665"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电房每周进行巡检，检查设备运行状态、仪表读数、温度湿度等情况，每月进行全面检查，包括设备清洁、线路连接紧固、绝缘检测等。电路每周巡查，查看线路是否有破损、老化、漏电等现象，发现问题根据实际情况及时维修，确保水电设施正常运行，满足公园运营及游客使用需求</w:t>
            </w:r>
            <w:r/>
          </w:p>
        </w:tc>
      </w:tr>
      <w:tr>
        <w:trPr/>
        <w:tc>
          <w:tcPr>
            <w:shd w:val="clear" w:color="auto" w:fill="auto"/>
            <w:tcW w:w="1026"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房屋建筑</w:t>
            </w:r>
            <w:r/>
          </w:p>
        </w:tc>
        <w:tc>
          <w:tcPr>
            <w:shd w:val="clear" w:color="auto" w:fill="auto"/>
            <w:tcW w:w="1307"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每月外观检查，每年进行一次全面检测评估（包括结构、防水、电气等方面）</w:t>
            </w:r>
            <w:r/>
          </w:p>
        </w:tc>
        <w:tc>
          <w:tcPr>
            <w:shd w:val="clear" w:color="auto" w:fill="auto"/>
            <w:tcW w:w="2665"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每月对房屋建筑外观进行检查，查看墙体是否有裂缝、脱落，门窗是否损坏等情况。每年对房屋建筑进行一次全面检测评估，涵盖结构安全性、防水性能、电气系统等方面，确保房屋处于正常使用状态，保障公园相关活动的正常开展</w:t>
            </w:r>
            <w:r/>
          </w:p>
        </w:tc>
      </w:tr>
    </w:tbl>
    <w:p>
      <w:pPr>
        <w:rPr>
          <w:rFonts w:ascii="宋体" w:hAnsi="宋体" w:cs="宋体"/>
          <w:color w:val="auto"/>
          <w:sz w:val="24"/>
          <w:szCs w:val="24"/>
          <w:highlight w:val="none"/>
        </w:rPr>
      </w:pPr>
      <w:r>
        <w:rPr>
          <w:rFonts w:hint="eastAsia" w:ascii="宋体" w:hAnsi="宋体" w:cs="宋体"/>
          <w:color w:val="auto"/>
          <w:sz w:val="24"/>
          <w:szCs w:val="24"/>
          <w:highlight w:val="none"/>
        </w:rPr>
        <w:t xml:space="preserve">设施更新与升级：</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依据设施使用年限、损坏程度以及公园发展需求，适时制定设施更新与升级方案，对公园可经营资产进行盘活利用和升级改造，但所有可经营项目需经行政主管部门审批后方可实施。</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所有更新改造项目必须经采购人书面确认同意后方能进行，原则上不得更改公园现有布局，不得占有绿地，不得私自封闭公园区域。不得违章</w:t>
      </w:r>
      <w:r>
        <w:rPr>
          <w:rFonts w:hint="eastAsia" w:ascii="宋体" w:hAnsi="宋体" w:cs="宋体"/>
          <w:color w:val="auto"/>
          <w:sz w:val="24"/>
          <w:szCs w:val="24"/>
          <w:highlight w:val="none"/>
          <w:lang w:val="en-US" w:eastAsia="zh-CN"/>
        </w:rPr>
        <w:t xml:space="preserve">建筑</w:t>
      </w:r>
      <w:r>
        <w:rPr>
          <w:rFonts w:hint="eastAsia" w:ascii="宋体" w:hAnsi="宋体" w:cs="宋体"/>
          <w:color w:val="auto"/>
          <w:sz w:val="24"/>
          <w:szCs w:val="24"/>
          <w:highlight w:val="none"/>
        </w:rPr>
        <w:t xml:space="preserve">，经营活动必须合法合规，符合城市</w:t>
      </w:r>
      <w:r>
        <w:rPr>
          <w:rFonts w:hint="eastAsia" w:ascii="宋体" w:hAnsi="宋体" w:cs="宋体"/>
          <w:color w:val="auto"/>
          <w:sz w:val="24"/>
          <w:szCs w:val="24"/>
          <w:highlight w:val="none"/>
          <w:lang w:eastAsia="zh-CN"/>
        </w:rPr>
        <w:t xml:space="preserve">公园管理相关条例</w:t>
      </w:r>
      <w:r>
        <w:rPr>
          <w:rFonts w:hint="eastAsia" w:ascii="宋体" w:hAnsi="宋体" w:cs="宋体"/>
          <w:color w:val="auto"/>
          <w:sz w:val="24"/>
          <w:szCs w:val="24"/>
          <w:highlight w:val="none"/>
        </w:rPr>
        <w:t xml:space="preserve">。不得破坏公园内绿植及所有设施设备，不得损坏道渠。公园内资产以交付当天确认的清单为准，每年对公园内资产进行核查，如有缺损，按价赔偿，并承担违法后果。</w:t>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公园市民游客服务要求：</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中标单位按照向社会公告的游园须知、安全告示等管理公园游客秩序、提供游园服务，在公园入口和主要景点设置游客服务中心或咨询点，提供信息咨询、导游、失物招领、投诉处理等服务。在公园运营管理过程中，中标单位需切实保障公园的公益属性，始终遵循原有的免费开放模式，不得向游客收取额外费用，确保公共服务设施持续按照原有的开放方式供市民使用，并为市民游客提供免费的便民服务。</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工作人员以热情、礼貌、耐心的态度对待游客，及时解答问题和处理投诉，确保投诉处理率达100%，游客满意度达90%以上。</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提供休憩座椅、药箱、遮阳伞、饮水机、母婴室等便民服务设施，方便游客使用。</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根据公园特点和市民需求，定期组织各类文化活动，丰富市民业余生活。每年组织的公众参与的公益活动不得少于12场次，在活动组织过程中，做好策划、宣传、组织实施和安全保障工作，确保活动顺利进行。</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必须按照城市公园相关要求和规定做好公园相关公益服务及文明创建，公园内相关设施必须按照原使用方式开放，提供公益服务，配合市民游客及相关部门在公园内举行各种公益活动。 </w:t>
      </w:r>
      <w:r/>
    </w:p>
    <w:p>
      <w:pPr>
        <w:numPr>
          <w:ilvl w:val="0"/>
          <w:numId w:val="14"/>
        </w:numPr>
        <w:rPr>
          <w:rFonts w:ascii="宋体" w:hAnsi="宋体" w:cs="宋体"/>
          <w:color w:val="auto"/>
          <w:sz w:val="24"/>
          <w:szCs w:val="24"/>
          <w:highlight w:val="none"/>
        </w:rPr>
      </w:pPr>
      <w:r>
        <w:rPr>
          <w:rFonts w:hint="eastAsia" w:ascii="宋体" w:hAnsi="宋体" w:cs="宋体"/>
          <w:color w:val="auto"/>
          <w:sz w:val="24"/>
          <w:szCs w:val="24"/>
          <w:highlight w:val="none"/>
        </w:rPr>
        <w:t xml:space="preserve">对游客进行安全管理与秩序维护，发生事故第一时间进行调查并后续纠错。对来园游客及公园内设施购买必要的人身及财产意外险，以降低意外事件带来的损失。同时，加强安全设施建设与维护，如在危险区域设置明显的警示标识，安装防护栏等；定期对游乐设施、健身器材等进行安全检查与维护，确保其安全可靠；制定完善的应急预案，针对火灾、地震、突发疾病等各类紧急情况进行模拟演练，提高工作人员的应急处理能力，保障游客在公园内的人身安全与财产安全。</w:t>
      </w:r>
      <w:r/>
    </w:p>
    <w:p>
      <w:pPr>
        <w:numPr>
          <w:ilvl w:val="0"/>
          <w:numId w:val="12"/>
        </w:numPr>
        <w:rPr>
          <w:rFonts w:ascii="宋体" w:hAnsi="宋体" w:cs="宋体"/>
          <w:b/>
          <w:color w:val="auto"/>
          <w:sz w:val="24"/>
          <w:szCs w:val="24"/>
          <w:highlight w:val="none"/>
        </w:rPr>
      </w:pPr>
      <w:r>
        <w:rPr>
          <w:rFonts w:hint="eastAsia" w:ascii="宋体" w:hAnsi="宋体" w:cs="宋体"/>
          <w:b/>
          <w:color w:val="auto"/>
          <w:sz w:val="24"/>
          <w:szCs w:val="24"/>
          <w:highlight w:val="none"/>
        </w:rPr>
        <w:t xml:space="preserve">人员要求</w:t>
      </w:r>
      <w:r/>
    </w:p>
    <w:p>
      <w:pPr>
        <w:rPr>
          <w:rFonts w:ascii="宋体" w:hAnsi="宋体" w:cs="宋体"/>
          <w:color w:val="auto"/>
          <w:sz w:val="24"/>
          <w:szCs w:val="24"/>
          <w:highlight w:val="none"/>
        </w:rPr>
      </w:pPr>
      <w:r>
        <w:rPr>
          <w:rFonts w:ascii="宋体" w:hAnsi="宋体" w:cs="宋体"/>
          <w:color w:val="auto"/>
          <w:sz w:val="24"/>
          <w:szCs w:val="24"/>
          <w:highlight w:val="none"/>
        </w:rPr>
      </w:r>
      <w:r/>
    </w:p>
    <w:tbl>
      <w:tblPr>
        <w:tblStyle w:val="740"/>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7"/>
        <w:gridCol w:w="853"/>
        <w:gridCol w:w="1941"/>
        <w:gridCol w:w="5990"/>
        <w:gridCol w:w="599"/>
      </w:tblGrid>
      <w:tr>
        <w:trPr>
          <w:trHeight w:val="23"/>
        </w:trPr>
        <w:tc>
          <w:tcPr>
            <w:shd w:val="clear" w:color="auto" w:fill="auto"/>
            <w:tcW w:w="280"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W w:w="4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岗位</w:t>
            </w:r>
            <w:r/>
          </w:p>
        </w:tc>
        <w:tc>
          <w:tcPr>
            <w:shd w:val="clear" w:color="auto" w:fill="auto"/>
            <w:tcW w:w="97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人数要求（不少于以下数量）</w:t>
            </w:r>
            <w:r/>
          </w:p>
        </w:tc>
        <w:tc>
          <w:tcPr>
            <w:shd w:val="clear" w:color="auto" w:fill="auto"/>
            <w:tcW w:w="3011"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人员具体要求</w:t>
            </w:r>
            <w:r/>
          </w:p>
        </w:tc>
        <w:tc>
          <w:tcPr>
            <w:shd w:val="clear" w:color="auto" w:fill="auto"/>
            <w:tcW w:w="301"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trHeight w:val="23"/>
        </w:trPr>
        <w:tc>
          <w:tcPr>
            <w:shd w:val="clear" w:color="auto" w:fill="auto"/>
            <w:tcW w:w="280"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W w:w="429" w:type="pct"/>
            <w:vAlign w:val="center"/>
            <w:vMerge w:val="restart"/>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项目经理</w:t>
            </w:r>
            <w:r/>
          </w:p>
        </w:tc>
        <w:tc>
          <w:tcPr>
            <w:shd w:val="clear" w:color="auto" w:fill="auto"/>
            <w:tcW w:w="976" w:type="pct"/>
            <w:vAlign w:val="center"/>
            <w:vMerge w:val="restart"/>
            <w:textDirection w:val="lrTb"/>
            <w:noWrap w:val="false"/>
          </w:tcPr>
          <w:p>
            <w:pPr>
              <w:jc w:val="center"/>
              <w:rPr>
                <w:rFonts w:hint="default" w:ascii="宋体" w:hAnsi="宋体" w:eastAsia="宋体" w:cs="宋体"/>
                <w:i/>
                <w:color w:val="auto"/>
                <w:spacing w:val="7"/>
                <w:sz w:val="24"/>
                <w:szCs w:val="24"/>
                <w:highlight w:val="none"/>
                <w:u w:val="single"/>
                <w:lang w:val="en-US" w:eastAsia="zh-CN" w:bidi="ar-SA"/>
              </w:rPr>
            </w:pPr>
            <w:r>
              <w:rPr>
                <w:rFonts w:hint="eastAsia" w:ascii="宋体" w:hAnsi="宋体" w:cs="宋体"/>
                <w:i/>
                <w:color w:val="auto"/>
                <w:spacing w:val="7"/>
                <w:sz w:val="24"/>
                <w:szCs w:val="24"/>
                <w:highlight w:val="none"/>
                <w:u w:val="single"/>
                <w:lang w:val="en-US" w:eastAsia="zh-CN" w:bidi="ar-SA"/>
              </w:rPr>
              <w:t xml:space="preserve">1人</w:t>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学历要求：具备深厚的管理理论知识和丰富的项目管理经验，能够全面统筹和协调公园综合管理服务的各项工作。</w:t>
            </w:r>
            <w:r/>
          </w:p>
        </w:tc>
        <w:tc>
          <w:tcPr>
            <w:shd w:val="clear" w:color="auto" w:fill="auto"/>
            <w:tcW w:w="301"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23"/>
        </w:trPr>
        <w:tc>
          <w:tcPr>
            <w:shd w:val="clear" w:color="auto" w:fill="auto"/>
            <w:tcW w:w="280" w:type="pct"/>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29"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shd w:val="clear" w:color="auto" w:fill="auto"/>
            <w:tcW w:w="976"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沟通协调能力：具备良好的沟通协调能力，能够与政府部门、业主、供应商等各方保持良好的合作关系，及时解决项目中的各种问题。</w:t>
            </w:r>
            <w:r/>
          </w:p>
        </w:tc>
        <w:tc>
          <w:tcPr>
            <w:shd w:val="clear" w:color="auto" w:fill="auto"/>
            <w:tcW w:w="301" w:type="pct"/>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23"/>
        </w:trPr>
        <w:tc>
          <w:tcPr>
            <w:shd w:val="clear" w:color="auto" w:fill="auto"/>
            <w:tcW w:w="280"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W w:w="429" w:type="pct"/>
            <w:vAlign w:val="center"/>
            <w:vMerge w:val="restart"/>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保安服务人员</w:t>
            </w:r>
            <w:r/>
          </w:p>
        </w:tc>
        <w:tc>
          <w:tcPr>
            <w:gridSpan w:val="2"/>
            <w:shd w:val="clear" w:color="auto" w:fill="auto"/>
            <w:tcW w:w="3988"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default" w:ascii="宋体" w:hAnsi="宋体" w:eastAsia="宋体" w:cs="宋体"/>
                <w:i/>
                <w:color w:val="auto"/>
                <w:spacing w:val="7"/>
                <w:sz w:val="24"/>
                <w:szCs w:val="24"/>
                <w:highlight w:val="none"/>
                <w:u w:val="single"/>
                <w:lang w:val="en-US" w:eastAsia="zh-CN" w:bidi="ar-SA"/>
              </w:rPr>
              <w:t xml:space="preserve">1．</w:t>
            </w:r>
            <w:r>
              <w:rPr>
                <w:rFonts w:hint="eastAsia" w:ascii="宋体" w:hAnsi="宋体" w:eastAsia="宋体" w:cs="宋体"/>
                <w:i/>
                <w:color w:val="auto"/>
                <w:spacing w:val="7"/>
                <w:sz w:val="24"/>
                <w:szCs w:val="24"/>
                <w:highlight w:val="none"/>
                <w:u w:val="single"/>
                <w:lang w:val="en-US" w:eastAsia="zh-CN" w:bidi="ar-SA"/>
              </w:rPr>
              <w:t xml:space="preserve">供应商向张家港公园、梁丰生态园、沙洲公园派驻服务人员不少于75人(其中张家港公园不少于25人，梁丰生态园不少于35人，沙洲公园不少于15人，含班长9人)初中及以上文化学历，具体人员由采购人按实际情况分配。同时按采购单位要求适当配备女性保安员。使用残疾人须经采购单位同意。</w:t>
            </w:r>
            <w:r/>
          </w:p>
          <w:p>
            <w:pPr>
              <w:jc w:val="left"/>
              <w:rPr>
                <w:rFonts w:hint="eastAsia" w:ascii="宋体" w:hAnsi="宋体" w:eastAsia="宋体" w:cs="宋体"/>
                <w:i/>
                <w:color w:val="auto"/>
                <w:spacing w:val="7"/>
                <w:sz w:val="24"/>
                <w:szCs w:val="24"/>
                <w:highlight w:val="none"/>
                <w:u w:val="single"/>
                <w:lang w:val="en-US" w:eastAsia="zh-CN" w:bidi="ar-SA"/>
              </w:rPr>
            </w:pPr>
            <w:r>
              <w:rPr>
                <w:rFonts w:hint="default" w:ascii="宋体" w:hAnsi="宋体" w:eastAsia="宋体" w:cs="宋体"/>
                <w:i/>
                <w:color w:val="auto"/>
                <w:spacing w:val="7"/>
                <w:sz w:val="24"/>
                <w:szCs w:val="24"/>
                <w:highlight w:val="none"/>
                <w:u w:val="single"/>
                <w:lang w:val="en-US" w:eastAsia="zh-CN" w:bidi="ar-SA"/>
              </w:rPr>
              <w:t xml:space="preserve">2．</w:t>
            </w:r>
            <w:r>
              <w:rPr>
                <w:rFonts w:hint="eastAsia" w:ascii="宋体" w:hAnsi="宋体" w:eastAsia="宋体" w:cs="宋体"/>
                <w:i/>
                <w:color w:val="auto"/>
                <w:spacing w:val="7"/>
                <w:sz w:val="24"/>
                <w:szCs w:val="24"/>
                <w:highlight w:val="none"/>
                <w:u w:val="single"/>
                <w:lang w:val="en-US" w:eastAsia="zh-CN" w:bidi="ar-SA"/>
              </w:rPr>
              <w:t xml:space="preserve">保安服务人员年龄</w:t>
            </w:r>
            <w:r>
              <w:rPr>
                <w:rFonts w:hint="eastAsia" w:ascii="宋体" w:hAnsi="宋体" w:cs="宋体"/>
                <w:i/>
                <w:color w:val="auto"/>
                <w:spacing w:val="7"/>
                <w:sz w:val="24"/>
                <w:szCs w:val="24"/>
                <w:highlight w:val="none"/>
                <w:u w:val="single"/>
                <w:lang w:val="en-US" w:eastAsia="zh-CN" w:bidi="ar-SA"/>
              </w:rPr>
              <w:t xml:space="preserve">除保安负责人（队长）</w:t>
            </w:r>
            <w:r>
              <w:rPr>
                <w:rFonts w:hint="eastAsia" w:ascii="宋体" w:hAnsi="宋体" w:eastAsia="宋体" w:cs="宋体"/>
                <w:i/>
                <w:color w:val="auto"/>
                <w:spacing w:val="7"/>
                <w:sz w:val="24"/>
                <w:szCs w:val="24"/>
                <w:highlight w:val="none"/>
                <w:u w:val="single"/>
                <w:lang w:val="en-US" w:eastAsia="zh-CN" w:bidi="ar-SA"/>
              </w:rPr>
              <w:t xml:space="preserve">外应在50岁以下（含50岁），45岁以下人数应不少于70%（含45岁），35岁以下不少于20%（含35岁）。签订合同前提供上述人员名单及投标人为其缴纳的</w:t>
            </w:r>
            <w:r>
              <w:rPr>
                <w:rFonts w:hint="eastAsia" w:ascii="宋体" w:hAnsi="宋体" w:cs="宋体"/>
                <w:i/>
                <w:color w:val="auto"/>
                <w:spacing w:val="7"/>
                <w:sz w:val="24"/>
                <w:szCs w:val="24"/>
                <w:highlight w:val="none"/>
                <w:u w:val="single"/>
                <w:lang w:val="en-US" w:eastAsia="zh-CN" w:bidi="ar-SA"/>
              </w:rPr>
              <w:t xml:space="preserve">近期有效的</w:t>
            </w:r>
            <w:r>
              <w:rPr>
                <w:rFonts w:hint="eastAsia" w:ascii="宋体" w:hAnsi="宋体" w:eastAsia="宋体" w:cs="宋体"/>
                <w:i/>
                <w:color w:val="auto"/>
                <w:spacing w:val="7"/>
                <w:sz w:val="24"/>
                <w:szCs w:val="24"/>
                <w:highlight w:val="none"/>
                <w:u w:val="single"/>
                <w:lang w:val="en-US" w:eastAsia="zh-CN" w:bidi="ar-SA"/>
              </w:rPr>
              <w:t xml:space="preserve">社保证明材料。</w:t>
            </w:r>
            <w:r/>
          </w:p>
          <w:p>
            <w:pPr>
              <w:jc w:val="left"/>
              <w:rPr>
                <w:rFonts w:hint="eastAsia" w:ascii="宋体" w:hAnsi="宋体" w:eastAsia="宋体" w:cs="宋体"/>
                <w:i/>
                <w:color w:val="auto"/>
                <w:spacing w:val="7"/>
                <w:sz w:val="24"/>
                <w:szCs w:val="24"/>
                <w:highlight w:val="none"/>
                <w:u w:val="single"/>
                <w:lang w:val="en-US" w:eastAsia="zh-CN" w:bidi="ar-SA"/>
              </w:rPr>
            </w:pPr>
            <w:r>
              <w:rPr>
                <w:rFonts w:hint="default" w:ascii="宋体" w:hAnsi="宋体" w:eastAsia="宋体" w:cs="宋体"/>
                <w:i/>
                <w:color w:val="auto"/>
                <w:spacing w:val="7"/>
                <w:sz w:val="24"/>
                <w:szCs w:val="24"/>
                <w:highlight w:val="none"/>
                <w:u w:val="single"/>
                <w:lang w:val="en-US" w:eastAsia="zh-CN" w:bidi="ar-SA"/>
              </w:rPr>
              <w:t xml:space="preserve">3．</w:t>
            </w:r>
            <w:r>
              <w:rPr>
                <w:rFonts w:hint="eastAsia" w:ascii="宋体" w:hAnsi="宋体" w:eastAsia="宋体" w:cs="宋体"/>
                <w:i/>
                <w:color w:val="auto"/>
                <w:spacing w:val="7"/>
                <w:sz w:val="24"/>
                <w:szCs w:val="24"/>
                <w:highlight w:val="none"/>
                <w:u w:val="single"/>
                <w:lang w:val="en-US" w:eastAsia="zh-CN" w:bidi="ar-SA"/>
              </w:rPr>
              <w:t xml:space="preserve">服务人员要求身体健康，无病患，可以胜任公园工作强度，讲普通话，具有正常沟通能力。</w:t>
            </w:r>
            <w:r/>
          </w:p>
          <w:p>
            <w:pPr>
              <w:jc w:val="left"/>
              <w:rPr>
                <w:rFonts w:hint="eastAsia" w:ascii="宋体" w:hAnsi="宋体" w:eastAsia="宋体" w:cs="宋体"/>
                <w:i/>
                <w:color w:val="auto"/>
                <w:spacing w:val="7"/>
                <w:sz w:val="24"/>
                <w:szCs w:val="24"/>
                <w:highlight w:val="none"/>
                <w:u w:val="single"/>
                <w:lang w:val="en-US" w:eastAsia="zh-CN" w:bidi="ar-SA"/>
              </w:rPr>
            </w:pPr>
            <w:r>
              <w:rPr>
                <w:rFonts w:hint="default" w:ascii="宋体" w:hAnsi="宋体" w:eastAsia="宋体" w:cs="宋体"/>
                <w:i/>
                <w:color w:val="auto"/>
                <w:spacing w:val="7"/>
                <w:sz w:val="24"/>
                <w:szCs w:val="24"/>
                <w:highlight w:val="none"/>
                <w:u w:val="single"/>
                <w:lang w:val="en-US" w:eastAsia="zh-CN" w:bidi="ar-SA"/>
              </w:rPr>
              <w:t xml:space="preserve">4．</w:t>
            </w:r>
            <w:r>
              <w:rPr>
                <w:rFonts w:hint="eastAsia" w:ascii="宋体" w:hAnsi="宋体" w:eastAsia="宋体" w:cs="宋体"/>
                <w:i/>
                <w:color w:val="auto"/>
                <w:spacing w:val="7"/>
                <w:sz w:val="24"/>
                <w:szCs w:val="24"/>
                <w:highlight w:val="none"/>
                <w:u w:val="single"/>
                <w:lang w:val="en-US" w:eastAsia="zh-CN" w:bidi="ar-SA"/>
              </w:rPr>
              <w:t xml:space="preserve">派驻</w:t>
            </w:r>
            <w:r>
              <w:rPr>
                <w:rFonts w:hint="eastAsia" w:ascii="宋体" w:hAnsi="宋体" w:cs="宋体"/>
                <w:i/>
                <w:color w:val="auto"/>
                <w:spacing w:val="7"/>
                <w:sz w:val="24"/>
                <w:szCs w:val="24"/>
                <w:highlight w:val="none"/>
                <w:u w:val="single"/>
                <w:lang w:val="en-US" w:eastAsia="zh-CN" w:bidi="ar-SA"/>
              </w:rPr>
              <w:t xml:space="preserve">保安负责人（队长）</w:t>
            </w:r>
            <w:r>
              <w:rPr>
                <w:rFonts w:hint="eastAsia" w:ascii="宋体" w:hAnsi="宋体" w:eastAsia="宋体" w:cs="宋体"/>
                <w:i/>
                <w:color w:val="auto"/>
                <w:spacing w:val="7"/>
                <w:sz w:val="24"/>
                <w:szCs w:val="24"/>
                <w:highlight w:val="none"/>
                <w:u w:val="single"/>
                <w:lang w:val="en-US" w:eastAsia="zh-CN" w:bidi="ar-SA"/>
              </w:rPr>
              <w:t xml:space="preserve">3人，每个公园1人，具有高级保安员资格证，每个公园队长1人及班长3人能熟练操作技防设备。</w:t>
            </w:r>
            <w:r/>
          </w:p>
        </w:tc>
        <w:tc>
          <w:tcPr>
            <w:shd w:val="clear" w:color="auto" w:fill="auto"/>
            <w:tcW w:w="301"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23"/>
        </w:trPr>
        <w:tc>
          <w:tcPr>
            <w:shd w:val="clear" w:color="auto" w:fill="auto"/>
            <w:tcW w:w="28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W w:w="429"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保洁服务人员</w:t>
            </w:r>
            <w:r/>
          </w:p>
        </w:tc>
        <w:tc>
          <w:tcPr>
            <w:gridSpan w:val="2"/>
            <w:shd w:val="clear" w:color="auto" w:fill="auto"/>
            <w:tcW w:w="3988"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1、人员数量安排，不少于34人，其中保洁负责人2名，梁丰生态园保洁人员19名（含1名班长），沙洲公园保洁人员6名（含1名班长），张家港公园保洁人员7名（含1名班长）。节假日需增派人手，且人员数量须与工作量相匹配。公园保洁岗位人员安排按照《公园保洁岗位表》执行。</w:t>
            </w:r>
            <w:r/>
          </w:p>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2、作业人员年龄要求50周岁（含）以</w:t>
            </w:r>
            <w:r>
              <w:rPr>
                <w:rFonts w:hint="eastAsia" w:ascii="宋体" w:hAnsi="宋体" w:cs="宋体"/>
                <w:i/>
                <w:color w:val="auto"/>
                <w:spacing w:val="7"/>
                <w:sz w:val="24"/>
                <w:szCs w:val="24"/>
                <w:highlight w:val="none"/>
                <w:u w:val="single"/>
                <w:lang w:val="en-US" w:eastAsia="zh-CN" w:bidi="ar-SA"/>
              </w:rPr>
              <w:t xml:space="preserve">内</w:t>
            </w:r>
            <w:r>
              <w:rPr>
                <w:rFonts w:hint="eastAsia" w:ascii="宋体" w:hAnsi="宋体" w:eastAsia="宋体" w:cs="宋体"/>
                <w:i/>
                <w:color w:val="auto"/>
                <w:spacing w:val="7"/>
                <w:sz w:val="24"/>
                <w:szCs w:val="24"/>
                <w:highlight w:val="none"/>
                <w:u w:val="single"/>
                <w:lang w:val="en-US" w:eastAsia="zh-CN" w:bidi="ar-SA"/>
              </w:rPr>
              <w:t xml:space="preserve">。作业期间作业人员变动必须在3个工作日内书面报告采购人；项目管理人员原则上不得更换，如有特殊情况确需更换的需提前一周书面报告采购人，经同意后方可更换。</w:t>
            </w:r>
            <w:r/>
          </w:p>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3、中标人应保持各岗位人员相对稳定，服务人数不得少于采购人要求的到岗人数，报价必须满足各岗位人员职数、人员素质和条件。</w:t>
            </w:r>
            <w:r/>
          </w:p>
        </w:tc>
        <w:tc>
          <w:tcPr>
            <w:shd w:val="clear" w:color="auto" w:fill="auto"/>
            <w:tcW w:w="301"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23"/>
        </w:trPr>
        <w:tc>
          <w:tcPr>
            <w:shd w:val="clear" w:color="auto" w:fill="auto"/>
            <w:tcW w:w="28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W w:w="429"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绿化养护人员</w:t>
            </w:r>
            <w:r/>
          </w:p>
        </w:tc>
        <w:tc>
          <w:tcPr>
            <w:shd w:val="clear" w:color="auto" w:fill="auto"/>
            <w:tcW w:w="976" w:type="pct"/>
            <w:vAlign w:val="center"/>
            <w:textDirection w:val="lrTb"/>
            <w:noWrap w:val="false"/>
          </w:tcPr>
          <w:p>
            <w:pPr>
              <w:jc w:val="center"/>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梁丰生态园37人，沙洲公园5人，张家港公园10人，项目负责人1人，现场负责人1人</w:t>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人员需满足各岗位专业技能要求，如项目负责人具备园林绿化专业工程师(中级）及以上职称；现场负责人具备园林绿化专业助理工程师及以上职称，或花卉园艺技师职业资格二级及以上资格；配备高级绿化工种4人，高级花卉工种1人，高级植保工种1人，高空作业工种2人等，做好一线养护班组的指导等工作。</w:t>
            </w:r>
            <w:r/>
          </w:p>
        </w:tc>
        <w:tc>
          <w:tcPr>
            <w:shd w:val="clear" w:color="auto" w:fill="auto"/>
            <w:tcW w:w="301"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23"/>
        </w:trPr>
        <w:tc>
          <w:tcPr>
            <w:shd w:val="clear" w:color="auto" w:fill="auto"/>
            <w:tcW w:w="280"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W w:w="429" w:type="pct"/>
            <w:vAlign w:val="center"/>
            <w:vMerge w:val="restart"/>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设施维护人员</w:t>
            </w:r>
            <w:r/>
          </w:p>
        </w:tc>
        <w:tc>
          <w:tcPr>
            <w:shd w:val="clear" w:color="auto" w:fill="auto"/>
            <w:tcW w:w="976" w:type="pct"/>
            <w:vAlign w:val="center"/>
            <w:vMerge w:val="restart"/>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若干,高压电工3人</w:t>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根据公园综合管理服务的实际需求，配备其他相关专业人员。这些人员应具备相应的专业技能和工作经验，能够为公园的建设和管理提供专业的技术支持和服务。</w:t>
            </w:r>
            <w:r/>
          </w:p>
        </w:tc>
        <w:tc>
          <w:tcPr>
            <w:shd w:val="clear" w:color="auto" w:fill="auto"/>
            <w:tcW w:w="301" w:type="pct"/>
            <w:vAlign w:val="center"/>
            <w:vMerge w:val="restart"/>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23"/>
        </w:trPr>
        <w:tc>
          <w:tcPr>
            <w:shd w:val="clear" w:color="auto" w:fill="auto"/>
            <w:tcW w:w="280" w:type="pct"/>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29"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shd w:val="clear" w:color="auto" w:fill="auto"/>
            <w:tcW w:w="976" w:type="pct"/>
            <w:vAlign w:val="center"/>
            <w:vMerge w:val="continue"/>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必备高压电工3人（非借用），负责3个高压电房值班。</w:t>
            </w:r>
            <w:r/>
          </w:p>
        </w:tc>
        <w:tc>
          <w:tcPr>
            <w:shd w:val="clear" w:color="auto" w:fill="auto"/>
            <w:tcW w:w="301" w:type="pct"/>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23"/>
        </w:trPr>
        <w:tc>
          <w:tcPr>
            <w:shd w:val="clear" w:color="auto" w:fill="auto"/>
            <w:tcW w:w="28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W w:w="429"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游客服务人员</w:t>
            </w:r>
            <w:r/>
          </w:p>
        </w:tc>
        <w:tc>
          <w:tcPr>
            <w:shd w:val="clear" w:color="auto" w:fill="auto"/>
            <w:tcW w:w="976" w:type="pct"/>
            <w:vAlign w:val="center"/>
            <w:textDirection w:val="lrTb"/>
            <w:noWrap w:val="false"/>
          </w:tcPr>
          <w:p>
            <w:pPr>
              <w:jc w:val="center"/>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导游人员根据实际需求配备</w:t>
            </w:r>
            <w:r/>
          </w:p>
        </w:tc>
        <w:tc>
          <w:tcPr>
            <w:shd w:val="clear" w:color="auto" w:fill="auto"/>
            <w:tcW w:w="3011" w:type="pct"/>
            <w:vAlign w:val="center"/>
            <w:textDirection w:val="lrTb"/>
            <w:noWrap w:val="false"/>
          </w:tcPr>
          <w:p>
            <w:pPr>
              <w:jc w:val="left"/>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具备导游相关专业知识和技能，能够为游客提供专业、热情的导游服务，熟悉公园景点及相关文化知识，为游客讲解介绍，解答游客疑问。</w:t>
            </w:r>
            <w:r/>
          </w:p>
        </w:tc>
        <w:tc>
          <w:tcPr>
            <w:shd w:val="clear" w:color="auto" w:fill="auto"/>
            <w:tcW w:w="301"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bl>
    <w:p>
      <w:pPr>
        <w:pStyle w:val="750"/>
        <w:numPr>
          <w:ilvl w:val="0"/>
          <w:numId w:val="15"/>
        </w:numPr>
        <w:ind w:left="0" w:firstLine="400"/>
        <w:jc w:val="left"/>
        <w:spacing w:line="360" w:lineRule="auto"/>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综合人员：本项目所有人员基本工资、人员社保每人每月不低于投标人所在地最低工资标准。每年6、7、8、9月为高温月，高温费每月每人不低于300元。</w:t>
      </w:r>
      <w:r/>
    </w:p>
    <w:p>
      <w:pPr>
        <w:pStyle w:val="818"/>
        <w:numPr>
          <w:ilvl w:val="0"/>
          <w:numId w:val="15"/>
        </w:numPr>
        <w:ind w:left="0" w:firstLine="400"/>
        <w:spacing w:line="300" w:lineRule="auto"/>
        <w:rPr>
          <w:rFonts w:hint="eastAsia" w:ascii="宋体" w:hAnsi="宋体" w:eastAsia="宋体" w:cs="宋体"/>
          <w:i/>
          <w:color w:val="auto"/>
          <w:spacing w:val="7"/>
          <w:sz w:val="24"/>
          <w:szCs w:val="24"/>
          <w:highlight w:val="none"/>
          <w:u w:val="single"/>
          <w:lang w:val="en-US" w:eastAsia="zh-CN" w:bidi="ar-SA"/>
        </w:rPr>
        <w:outlineLvl w:val="9"/>
      </w:pPr>
      <w:r>
        <w:rPr>
          <w:rFonts w:hint="eastAsia" w:ascii="宋体" w:hAnsi="宋体" w:eastAsia="宋体" w:cs="宋体"/>
          <w:i/>
          <w:color w:val="auto"/>
          <w:spacing w:val="7"/>
          <w:sz w:val="24"/>
          <w:szCs w:val="24"/>
          <w:highlight w:val="none"/>
          <w:u w:val="single"/>
          <w:lang w:val="en-US" w:eastAsia="zh-CN" w:bidi="ar-SA"/>
        </w:rPr>
        <w:t xml:space="preserve">本项目中标人需在合同签订前将上述人员的名单、身份证复印件、中标供应商为其缴纳的</w:t>
      </w:r>
      <w:r>
        <w:rPr>
          <w:rFonts w:hint="eastAsia" w:cs="宋体"/>
          <w:i/>
          <w:color w:val="auto"/>
          <w:spacing w:val="7"/>
          <w:sz w:val="24"/>
          <w:szCs w:val="24"/>
          <w:highlight w:val="none"/>
          <w:u w:val="single"/>
          <w:lang w:val="en-US" w:eastAsia="zh-CN" w:bidi="ar-SA"/>
        </w:rPr>
        <w:t xml:space="preserve">近期有效的</w:t>
      </w:r>
      <w:r>
        <w:rPr>
          <w:rFonts w:hint="eastAsia" w:ascii="宋体" w:hAnsi="宋体" w:eastAsia="宋体" w:cs="宋体"/>
          <w:i/>
          <w:color w:val="auto"/>
          <w:spacing w:val="7"/>
          <w:sz w:val="24"/>
          <w:szCs w:val="24"/>
          <w:highlight w:val="none"/>
          <w:u w:val="single"/>
          <w:lang w:val="en-US" w:eastAsia="zh-CN" w:bidi="ar-SA"/>
        </w:rPr>
        <w:t xml:space="preserve">社保向采购人进行备案并交给采购单位保存，如有未</w:t>
      </w:r>
      <w:r>
        <w:rPr>
          <w:rFonts w:hint="eastAsia" w:cs="宋体"/>
          <w:i/>
          <w:color w:val="auto"/>
          <w:spacing w:val="7"/>
          <w:sz w:val="24"/>
          <w:szCs w:val="24"/>
          <w:highlight w:val="none"/>
          <w:u w:val="single"/>
          <w:lang w:val="en-US" w:eastAsia="zh-CN" w:bidi="ar-SA"/>
        </w:rPr>
        <w:t xml:space="preserve">按招标文件要求提供</w:t>
      </w:r>
      <w:r>
        <w:rPr>
          <w:rFonts w:hint="eastAsia" w:ascii="宋体" w:hAnsi="宋体" w:eastAsia="宋体" w:cs="宋体"/>
          <w:i/>
          <w:color w:val="auto"/>
          <w:spacing w:val="7"/>
          <w:sz w:val="24"/>
          <w:szCs w:val="24"/>
          <w:highlight w:val="none"/>
          <w:u w:val="single"/>
          <w:lang w:val="en-US" w:eastAsia="zh-CN" w:bidi="ar-SA"/>
        </w:rPr>
        <w:t xml:space="preserve">相关证明材料或发现有提供虚假材料（弄虚作假）的行为，采购单位将按本招标文件（第二章 第29.4条）要求取消中标人中标资格。</w:t>
      </w:r>
      <w:r/>
    </w:p>
    <w:p>
      <w:pPr>
        <w:pStyle w:val="818"/>
        <w:numPr>
          <w:ilvl w:val="0"/>
          <w:numId w:val="15"/>
        </w:numPr>
        <w:ind w:left="0" w:firstLine="400"/>
        <w:spacing w:line="300" w:lineRule="auto"/>
        <w:rPr>
          <w:rFonts w:hint="eastAsia" w:ascii="宋体" w:hAnsi="宋体" w:eastAsia="宋体" w:cs="宋体"/>
          <w:i/>
          <w:color w:val="auto"/>
          <w:spacing w:val="7"/>
          <w:sz w:val="24"/>
          <w:szCs w:val="24"/>
          <w:highlight w:val="none"/>
          <w:u w:val="single"/>
          <w:lang w:val="en-US" w:eastAsia="zh-CN" w:bidi="ar-SA"/>
        </w:rPr>
        <w:outlineLvl w:val="9"/>
      </w:pPr>
      <w:r>
        <w:rPr>
          <w:rFonts w:hint="eastAsia" w:ascii="宋体" w:hAnsi="宋体" w:eastAsia="宋体" w:cs="宋体"/>
          <w:i/>
          <w:color w:val="auto"/>
          <w:spacing w:val="7"/>
          <w:sz w:val="24"/>
          <w:szCs w:val="24"/>
          <w:highlight w:val="none"/>
          <w:u w:val="single"/>
          <w:lang w:val="en-US" w:eastAsia="zh-CN" w:bidi="ar-SA"/>
        </w:rPr>
        <w:t xml:space="preserve">拟投入本项目人员具有政府部门颁发或监制的特种作业操作证（高处作业）证书有12人，具有特种作业操作证（高压电工作业）证书3人，具有特种作业操作证（低压电工作业）证书5人，特种作业操作证（焊接与热切割作业）证书2人，在投标文件中提供证书原件的扫描件及投标人为以上人员缴纳的</w:t>
      </w:r>
      <w:r>
        <w:rPr>
          <w:rFonts w:hint="eastAsia" w:cs="宋体"/>
          <w:i/>
          <w:color w:val="auto"/>
          <w:spacing w:val="7"/>
          <w:sz w:val="24"/>
          <w:szCs w:val="24"/>
          <w:highlight w:val="none"/>
          <w:u w:val="single"/>
          <w:lang w:val="en-US" w:eastAsia="zh-CN" w:bidi="ar-SA"/>
        </w:rPr>
        <w:t xml:space="preserve">近期有效</w:t>
      </w:r>
      <w:r>
        <w:rPr>
          <w:rFonts w:hint="eastAsia" w:ascii="宋体" w:hAnsi="宋体" w:eastAsia="宋体" w:cs="宋体"/>
          <w:i/>
          <w:color w:val="auto"/>
          <w:spacing w:val="7"/>
          <w:sz w:val="24"/>
          <w:szCs w:val="24"/>
          <w:highlight w:val="none"/>
          <w:u w:val="single"/>
          <w:lang w:val="en-US" w:eastAsia="zh-CN" w:bidi="ar-SA"/>
        </w:rPr>
        <w:t xml:space="preserve">的社保证明，未提供的视为未响应招标文件实质性要求。</w:t>
      </w:r>
      <w:r/>
    </w:p>
    <w:p>
      <w:pPr>
        <w:pStyle w:val="818"/>
        <w:numPr>
          <w:ilvl w:val="0"/>
          <w:numId w:val="15"/>
        </w:numPr>
        <w:ind w:left="0" w:firstLine="400"/>
        <w:spacing w:line="300" w:lineRule="auto"/>
        <w:rPr>
          <w:rFonts w:hint="default" w:ascii="宋体" w:hAnsi="宋体" w:eastAsia="宋体" w:cs="宋体"/>
          <w:i/>
          <w:color w:val="auto"/>
          <w:spacing w:val="7"/>
          <w:sz w:val="24"/>
          <w:szCs w:val="24"/>
          <w:highlight w:val="none"/>
          <w:u w:val="single"/>
          <w:lang w:val="en-US" w:eastAsia="zh-CN" w:bidi="ar-SA"/>
        </w:rPr>
        <w:outlineLvl w:val="9"/>
      </w:pPr>
      <w:r>
        <w:rPr>
          <w:rFonts w:hint="eastAsia" w:ascii="宋体" w:hAnsi="宋体" w:eastAsia="宋体" w:cs="宋体"/>
          <w:i/>
          <w:color w:val="auto"/>
          <w:spacing w:val="7"/>
          <w:sz w:val="24"/>
          <w:szCs w:val="24"/>
          <w:highlight w:val="none"/>
          <w:u w:val="single"/>
          <w:lang w:val="en-US" w:eastAsia="zh-CN" w:bidi="ar-SA"/>
        </w:rPr>
        <w:t xml:space="preserve">拟投入本项目人员具有消防设施操作员职业资格证书4人，在投标文件中提供证书原件的扫描件及投标人为以上人员缴纳的</w:t>
      </w:r>
      <w:r>
        <w:rPr>
          <w:rFonts w:hint="eastAsia" w:cs="宋体"/>
          <w:i/>
          <w:color w:val="auto"/>
          <w:spacing w:val="7"/>
          <w:sz w:val="24"/>
          <w:szCs w:val="24"/>
          <w:highlight w:val="none"/>
          <w:u w:val="single"/>
          <w:lang w:val="en-US" w:eastAsia="zh-CN" w:bidi="ar-SA"/>
        </w:rPr>
        <w:t xml:space="preserve">近期有效</w:t>
      </w:r>
      <w:r>
        <w:rPr>
          <w:rFonts w:hint="eastAsia" w:ascii="宋体" w:hAnsi="宋体" w:eastAsia="宋体" w:cs="宋体"/>
          <w:i/>
          <w:color w:val="auto"/>
          <w:spacing w:val="7"/>
          <w:sz w:val="24"/>
          <w:szCs w:val="24"/>
          <w:highlight w:val="none"/>
          <w:u w:val="single"/>
          <w:lang w:val="en-US" w:eastAsia="zh-CN" w:bidi="ar-SA"/>
        </w:rPr>
        <w:t xml:space="preserve">的社保证明，未提供的视为未响应招标文件实质性要求。</w:t>
      </w:r>
      <w:r/>
    </w:p>
    <w:p>
      <w:pPr>
        <w:pStyle w:val="730"/>
        <w:numPr>
          <w:ilvl w:val="0"/>
          <w:numId w:val="11"/>
        </w:numPr>
        <w:ind w:firstLine="480"/>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其他要求</w:t>
      </w:r>
      <w:r/>
    </w:p>
    <w:p>
      <w:pPr>
        <w:pStyle w:val="731"/>
        <w:numPr>
          <w:ilvl w:val="0"/>
          <w:numId w:val="16"/>
        </w:numPr>
        <w:ind w:left="0" w:firstLine="480"/>
        <w:jc w:val="left"/>
        <w:spacing w:before="0" w:after="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改造升级</w:t>
      </w:r>
      <w:r/>
    </w:p>
    <w:p>
      <w:pPr>
        <w:pStyle w:val="750"/>
        <w:numPr>
          <w:ilvl w:val="0"/>
          <w:numId w:val="17"/>
        </w:numPr>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该举措对公园品质提升得到保证：</w:t>
      </w:r>
      <w:r/>
    </w:p>
    <w:p>
      <w:pPr>
        <w:pStyle w:val="750"/>
        <w:numPr>
          <w:ilvl w:val="0"/>
          <w:numId w:val="17"/>
        </w:numPr>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完善设施功能：</w:t>
      </w:r>
      <w:r>
        <w:rPr>
          <w:rFonts w:ascii="宋体" w:eastAsia="宋体" w:cs="宋体"/>
          <w:color w:val="auto"/>
          <w:sz w:val="24"/>
          <w:szCs w:val="24"/>
          <w:highlight w:val="none"/>
        </w:rPr>
        <w:t xml:space="preserve">对公园公共设施进行全面改造，包括但不限于翻新步道，修复或更换损坏的路面，提升游客行走的安全性；更新休憩座椅，增加座椅数量和舒适度；升级照明系统，改善公园夜间照明条件，保障游客安全。</w:t>
      </w:r>
      <w:r/>
    </w:p>
    <w:p>
      <w:pPr>
        <w:pStyle w:val="750"/>
        <w:numPr>
          <w:ilvl w:val="0"/>
          <w:numId w:val="17"/>
        </w:numPr>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产品选用原则：遵循节能环保、安全可靠、美观实用原则。选用符合国家标准、与公园整体风格协调一致的优质产品，确保设施改造后达到高品质的效果。</w:t>
      </w:r>
      <w:r/>
    </w:p>
    <w:p>
      <w:pPr>
        <w:pStyle w:val="750"/>
        <w:numPr>
          <w:ilvl w:val="0"/>
          <w:numId w:val="17"/>
        </w:numPr>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增强公园吸引力需求</w:t>
      </w:r>
      <w:r>
        <w:rPr>
          <w:rFonts w:hint="eastAsia" w:ascii="宋体" w:eastAsia="宋体" w:cs="宋体"/>
          <w:color w:val="auto"/>
          <w:sz w:val="24"/>
          <w:szCs w:val="24"/>
          <w:highlight w:val="none"/>
        </w:rPr>
        <w:t xml:space="preserve">：</w:t>
      </w:r>
      <w:r>
        <w:rPr>
          <w:rFonts w:ascii="宋体" w:eastAsia="宋体" w:cs="宋体"/>
          <w:color w:val="auto"/>
          <w:sz w:val="24"/>
          <w:szCs w:val="24"/>
          <w:highlight w:val="none"/>
        </w:rPr>
        <w:t xml:space="preserve">将公园打造成为市民休闲娱乐的理想场所和城市形象展示的重要窗口。通过提升公园品质，吸引更多游客，满足市民日益增长的休闲需求，同时提升城市的知名度和美誉度。</w:t>
      </w:r>
      <w:r/>
    </w:p>
    <w:p>
      <w:pPr>
        <w:pStyle w:val="750"/>
        <w:numPr>
          <w:ilvl w:val="0"/>
          <w:numId w:val="17"/>
        </w:numPr>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推动可持续发展需求</w:t>
      </w:r>
      <w:r>
        <w:rPr>
          <w:rFonts w:hint="eastAsia" w:ascii="宋体" w:eastAsia="宋体" w:cs="宋体"/>
          <w:color w:val="auto"/>
          <w:sz w:val="24"/>
          <w:szCs w:val="24"/>
          <w:highlight w:val="none"/>
        </w:rPr>
        <w:t xml:space="preserve">：</w:t>
      </w:r>
      <w:r>
        <w:rPr>
          <w:rFonts w:ascii="宋体" w:eastAsia="宋体" w:cs="宋体"/>
          <w:color w:val="auto"/>
          <w:sz w:val="24"/>
          <w:szCs w:val="24"/>
          <w:highlight w:val="none"/>
        </w:rPr>
        <w:t xml:space="preserve">在改造过程中融入生态理念，如采用节水灌溉系统，降低水资源消耗；使用环保材料进行设施建设，减少对环境的影响。以实现公园生态效益和社会效益的长期发展。</w:t>
      </w:r>
      <w:r/>
    </w:p>
    <w:p>
      <w:pPr>
        <w:pStyle w:val="750"/>
        <w:numPr>
          <w:ilvl w:val="0"/>
          <w:numId w:val="17"/>
        </w:numPr>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科学规划要求：改造方案应充分考虑游客需求和公园场地特色。通过市场调研、问卷调查等方式了解游客的期望和需求，结合公园的自然环境、历史文化等特点，制定切实可行的改造方案。</w:t>
      </w:r>
      <w:r/>
    </w:p>
    <w:p>
      <w:pPr>
        <w:pStyle w:val="750"/>
        <w:numPr>
          <w:ilvl w:val="0"/>
          <w:numId w:val="17"/>
        </w:numPr>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透明监管要求</w:t>
      </w:r>
      <w:r>
        <w:rPr>
          <w:rFonts w:hint="eastAsia" w:ascii="宋体" w:eastAsia="宋体" w:cs="宋体"/>
          <w:color w:val="auto"/>
          <w:sz w:val="24"/>
          <w:szCs w:val="24"/>
          <w:highlight w:val="none"/>
        </w:rPr>
        <w:t xml:space="preserve">：</w:t>
      </w:r>
      <w:r>
        <w:rPr>
          <w:rFonts w:ascii="宋体" w:eastAsia="宋体" w:cs="宋体"/>
          <w:color w:val="auto"/>
          <w:sz w:val="24"/>
          <w:szCs w:val="24"/>
          <w:highlight w:val="none"/>
        </w:rPr>
        <w:t xml:space="preserve">建立严格的资金监管机制，确保专项资金的合理使用和高效运作。定期公布资金使用情况，接受政府相关部门和社会公众的监督，杜绝资金滥用现象。</w:t>
      </w:r>
      <w:r/>
    </w:p>
    <w:p>
      <w:pPr>
        <w:pStyle w:val="750"/>
        <w:numPr>
          <w:ilvl w:val="0"/>
          <w:numId w:val="17"/>
        </w:numPr>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动态评估要求</w:t>
      </w:r>
      <w:r>
        <w:rPr>
          <w:rFonts w:hint="eastAsia" w:ascii="宋体" w:eastAsia="宋体" w:cs="宋体"/>
          <w:color w:val="auto"/>
          <w:sz w:val="24"/>
          <w:szCs w:val="24"/>
          <w:highlight w:val="none"/>
        </w:rPr>
        <w:t xml:space="preserve">：</w:t>
      </w:r>
      <w:r>
        <w:rPr>
          <w:rFonts w:ascii="宋体" w:eastAsia="宋体" w:cs="宋体"/>
          <w:color w:val="auto"/>
          <w:sz w:val="24"/>
          <w:szCs w:val="24"/>
          <w:highlight w:val="none"/>
        </w:rPr>
        <w:t xml:space="preserve">定期收集游客反馈，对改造效果进行动态评估。根据评估结果及时调整和优化改造方案，持续提升公园品质，以更好地满足游客需求。</w:t>
      </w:r>
      <w:r/>
    </w:p>
    <w:p>
      <w:pPr>
        <w:pStyle w:val="731"/>
        <w:numPr>
          <w:ilvl w:val="0"/>
          <w:numId w:val="16"/>
        </w:numPr>
        <w:ind w:left="0" w:firstLine="480"/>
        <w:jc w:val="left"/>
        <w:spacing w:before="0" w:after="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公园开放规定</w:t>
      </w:r>
      <w:r/>
    </w:p>
    <w:p>
      <w:pPr>
        <w:pStyle w:val="750"/>
        <w:ind w:firstLine="480"/>
        <w:jc w:val="left"/>
        <w:spacing w:line="360" w:lineRule="auto"/>
        <w:rPr>
          <w:rFonts w:ascii="宋体" w:cs="宋体"/>
          <w:i/>
          <w:color w:val="auto"/>
          <w:spacing w:val="7"/>
          <w:sz w:val="24"/>
          <w:szCs w:val="24"/>
          <w:highlight w:val="none"/>
          <w:u w:val="single"/>
        </w:rPr>
      </w:pPr>
      <w:r>
        <w:rPr>
          <w:rFonts w:hint="eastAsia" w:ascii="宋体" w:eastAsia="宋体" w:cs="宋体"/>
          <w:color w:val="auto"/>
          <w:sz w:val="24"/>
          <w:szCs w:val="24"/>
          <w:highlight w:val="none"/>
        </w:rPr>
        <w:t xml:space="preserve">除不可抗力因素外，公园必须保持24小时免费开放，并配备安保人员，保障游客安全和公园秩序。</w:t>
      </w:r>
      <w:r/>
    </w:p>
    <w:p>
      <w:pPr>
        <w:pStyle w:val="750"/>
        <w:ind w:firstLine="480"/>
        <w:jc w:val="left"/>
        <w:spacing w:line="360" w:lineRule="auto"/>
        <w:rPr>
          <w:rFonts w:ascii="宋体" w:eastAsia="宋体" w:cs="宋体"/>
          <w:i/>
          <w:iCs/>
          <w:color w:val="auto"/>
          <w:sz w:val="24"/>
          <w:szCs w:val="24"/>
          <w:highlight w:val="none"/>
          <w:u w:val="single"/>
        </w:rPr>
      </w:pPr>
      <w:r>
        <w:rPr>
          <w:rFonts w:hint="eastAsia" w:ascii="宋体" w:eastAsia="宋体" w:cs="宋体"/>
          <w:i/>
          <w:iCs/>
          <w:color w:val="auto"/>
          <w:sz w:val="24"/>
          <w:szCs w:val="24"/>
          <w:highlight w:val="none"/>
          <w:u w:val="single"/>
        </w:rPr>
        <w:t xml:space="preserve">每个公园配备一台无人机巡逻管理。</w:t>
      </w:r>
      <w:r/>
    </w:p>
    <w:p>
      <w:pPr>
        <w:pStyle w:val="731"/>
        <w:numPr>
          <w:ilvl w:val="0"/>
          <w:numId w:val="16"/>
        </w:numPr>
        <w:ind w:left="0" w:firstLine="480"/>
        <w:jc w:val="left"/>
        <w:spacing w:before="0" w:after="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合规管理要求</w:t>
      </w:r>
      <w:r/>
    </w:p>
    <w:p>
      <w:pPr>
        <w:pStyle w:val="750"/>
        <w:ind w:firstLine="480"/>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本项目标的为列入城市公园名录的公益性公园，中标单位务必严格遵循《城市公园管理办法》</w:t>
      </w:r>
      <w:r>
        <w:rPr>
          <w:rFonts w:hint="eastAsia" w:ascii="宋体" w:eastAsia="宋体" w:cs="宋体"/>
          <w:color w:val="auto"/>
          <w:sz w:val="24"/>
          <w:szCs w:val="24"/>
          <w:highlight w:val="none"/>
        </w:rPr>
        <w:t xml:space="preserve">、</w:t>
      </w:r>
      <w:r>
        <w:rPr>
          <w:rFonts w:ascii="宋体" w:eastAsia="宋体" w:cs="宋体"/>
          <w:color w:val="auto"/>
          <w:sz w:val="24"/>
          <w:szCs w:val="24"/>
          <w:highlight w:val="none"/>
        </w:rPr>
        <w:t xml:space="preserve">《城市公园配套服务项目经营管理暂行办法》与《苏州市公园管理办法》的各项条款，全力保障公园的公益属性不受侵犯。</w:t>
      </w:r>
      <w:r/>
    </w:p>
    <w:p>
      <w:pPr>
        <w:pStyle w:val="750"/>
        <w:ind w:firstLine="480"/>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在涉及公园经营资产相关事务时，中标单位同样需严格恪守相关规定，确保任何经营活动均依法依规进行，维护公园的公益功能与公共利益。</w:t>
      </w:r>
      <w:r/>
    </w:p>
    <w:p>
      <w:pPr>
        <w:pStyle w:val="731"/>
        <w:numPr>
          <w:ilvl w:val="0"/>
          <w:numId w:val="16"/>
        </w:numPr>
        <w:ind w:left="0" w:firstLine="480"/>
        <w:jc w:val="left"/>
        <w:spacing w:before="0" w:after="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可经营资产利用</w:t>
      </w:r>
      <w:r/>
    </w:p>
    <w:p>
      <w:pPr>
        <w:pStyle w:val="732"/>
        <w:numPr>
          <w:ilvl w:val="0"/>
          <w:numId w:val="18"/>
        </w:numPr>
        <w:ind w:firstLine="480"/>
        <w:jc w:val="left"/>
        <w:spacing w:before="0" w:after="0"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总体原则</w:t>
      </w:r>
      <w:r/>
    </w:p>
    <w:p>
      <w:pPr>
        <w:pStyle w:val="750"/>
        <w:ind w:firstLine="480"/>
        <w:jc w:val="left"/>
        <w:spacing w:line="360" w:lineRule="auto"/>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rPr>
        <w:t xml:space="preserve">中标方可对公园内可经营资产进行盘活利用和升级改造，但所有可经营项目均需事先获得行政主管部门审批同意。盘活后的收益扣除中标人运营成本后全部用于公园的后期维护。</w:t>
      </w:r>
      <w:r/>
    </w:p>
    <w:p>
      <w:pPr>
        <w:pStyle w:val="750"/>
        <w:ind w:firstLine="480"/>
        <w:jc w:val="left"/>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所有更新改造项目必须经采购人书面确认同意后方能进行，原则上不得更改公园现有布局，不得占有绿地，不得私自封闭公园区域。不得违章</w:t>
      </w:r>
      <w:r>
        <w:rPr>
          <w:rFonts w:hint="eastAsia" w:ascii="宋体" w:eastAsia="宋体" w:cs="宋体"/>
          <w:color w:val="auto"/>
          <w:sz w:val="24"/>
          <w:szCs w:val="24"/>
          <w:highlight w:val="none"/>
          <w:lang w:eastAsia="zh-CN"/>
        </w:rPr>
        <w:t xml:space="preserve">建设</w:t>
      </w:r>
      <w:r>
        <w:rPr>
          <w:rFonts w:hint="eastAsia" w:ascii="宋体" w:eastAsia="宋体" w:cs="宋体"/>
          <w:color w:val="auto"/>
          <w:sz w:val="24"/>
          <w:szCs w:val="24"/>
          <w:highlight w:val="none"/>
        </w:rPr>
        <w:t xml:space="preserve">，经营活动必须合法合规，符合城市</w:t>
      </w:r>
      <w:r>
        <w:rPr>
          <w:rFonts w:hint="eastAsia" w:ascii="宋体" w:eastAsia="宋体" w:cs="宋体"/>
          <w:color w:val="auto"/>
          <w:sz w:val="24"/>
          <w:szCs w:val="24"/>
          <w:highlight w:val="none"/>
          <w:lang w:eastAsia="zh-CN"/>
        </w:rPr>
        <w:t xml:space="preserve">公园管理相关条例</w:t>
      </w:r>
      <w:r>
        <w:rPr>
          <w:rFonts w:hint="eastAsia" w:ascii="宋体" w:eastAsia="宋体" w:cs="宋体"/>
          <w:color w:val="auto"/>
          <w:sz w:val="24"/>
          <w:szCs w:val="24"/>
          <w:highlight w:val="none"/>
        </w:rPr>
        <w:t xml:space="preserve">。不得破坏公园内绿植及所有设施设备，不得损坏道渠。公园内资产以交付当天确认的清单为准，每年对公园内资产进行核查，如有缺损，按价赔偿，并承担违法后果。</w:t>
      </w:r>
      <w:r/>
    </w:p>
    <w:p>
      <w:pPr>
        <w:ind w:firstLine="555"/>
        <w:spacing w:line="360" w:lineRule="auto"/>
        <w:shd w:val="clear" w:color="auto" w:fill="ffffff"/>
        <w:widowControl/>
        <w:rPr>
          <w:rStyle w:val="992"/>
          <w:rFonts w:hint="eastAsia" w:ascii="宋体" w:hAnsi="宋体" w:eastAsia="宋体" w:cs="宋体"/>
          <w:i/>
          <w:iCs/>
          <w:color w:val="auto"/>
          <w:spacing w:val="7"/>
          <w:sz w:val="24"/>
          <w:szCs w:val="24"/>
          <w:highlight w:val="none"/>
          <w:u w:val="single"/>
        </w:rPr>
      </w:pPr>
      <w:r/>
      <w:bookmarkStart w:id="212" w:name="EBb0ab975038a04efd86af0f0eaa5a524b"/>
      <w:r/>
      <w:bookmarkEnd w:id="212"/>
      <w:r>
        <w:rPr>
          <w:rStyle w:val="992"/>
          <w:rFonts w:hint="eastAsia" w:ascii="宋体" w:hAnsi="宋体" w:cs="宋体"/>
          <w:i/>
          <w:iCs/>
          <w:color w:val="auto"/>
          <w:spacing w:val="7"/>
          <w:sz w:val="24"/>
          <w:szCs w:val="24"/>
          <w:highlight w:val="none"/>
          <w:u w:val="single"/>
          <w:lang w:val="en-US"/>
        </w:rPr>
        <w:t xml:space="preserve">5.</w:t>
      </w:r>
      <w:r>
        <w:rPr>
          <w:rStyle w:val="992"/>
          <w:rFonts w:hint="eastAsia" w:ascii="宋体" w:hAnsi="宋体" w:eastAsia="宋体" w:cs="宋体"/>
          <w:i/>
          <w:iCs/>
          <w:color w:val="auto"/>
          <w:spacing w:val="7"/>
          <w:sz w:val="24"/>
          <w:szCs w:val="24"/>
          <w:highlight w:val="none"/>
          <w:u w:val="single"/>
        </w:rPr>
        <w:t xml:space="preserve">本项目的原保洁服务以及绿化养护服务还未到期（其中保洁服务2026年12月31日到期、绿化养护服务2026年12月31日到期）。中标单位中标后，本项目服务期内公园管理处、住建局等相关部门签订的针对本项目公园原各类还未到期的服务（不限于保洁和绿化养护），由中标单位进行支付剩余服务期内的服务费用，相关费用包含在本项目报价中。</w:t>
      </w:r>
      <w:r/>
    </w:p>
    <w:p>
      <w:pPr>
        <w:pStyle w:val="818"/>
        <w:numPr>
          <w:ilvl w:val="0"/>
          <w:numId w:val="0"/>
        </w:numPr>
        <w:jc w:val="left"/>
        <w:spacing w:line="360" w:lineRule="auto"/>
        <w:widowControl w:val="off"/>
        <w:rPr>
          <w:color w:val="auto"/>
          <w:highlight w:val="none"/>
        </w:rPr>
      </w:pPr>
      <w:r>
        <w:rPr>
          <w:color w:val="auto"/>
          <w:highlight w:val="none"/>
        </w:rPr>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部分合同费用如下:</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保洁：</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城曦物业每月18333.33元，</w:t>
      </w:r>
      <w:r>
        <w:rPr>
          <w:rFonts w:hint="eastAsia" w:ascii="宋体" w:hAnsi="宋体" w:cs="宋体"/>
          <w:color w:val="auto"/>
          <w:spacing w:val="8"/>
          <w:sz w:val="24"/>
          <w:highlight w:val="none"/>
          <w:lang w:eastAsia="zh-CN"/>
        </w:rPr>
        <w:t xml:space="preserve">2025年9月--2026年12月</w:t>
      </w:r>
      <w:r>
        <w:rPr>
          <w:rFonts w:hint="eastAsia" w:ascii="宋体" w:hAnsi="宋体" w:cs="宋体"/>
          <w:color w:val="auto"/>
          <w:spacing w:val="8"/>
          <w:sz w:val="24"/>
          <w:highlight w:val="none"/>
        </w:rPr>
        <w:t xml:space="preserve">合计293333.33元。</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今日物业每月74608元，</w:t>
      </w:r>
      <w:r>
        <w:rPr>
          <w:rFonts w:hint="eastAsia" w:ascii="宋体" w:hAnsi="宋体" w:cs="宋体"/>
          <w:color w:val="auto"/>
          <w:spacing w:val="8"/>
          <w:sz w:val="24"/>
          <w:highlight w:val="none"/>
          <w:lang w:eastAsia="zh-CN"/>
        </w:rPr>
        <w:t xml:space="preserve">2025年9月--2026年12月</w:t>
      </w:r>
      <w:r>
        <w:rPr>
          <w:rFonts w:hint="eastAsia" w:ascii="宋体" w:hAnsi="宋体" w:cs="宋体"/>
          <w:color w:val="auto"/>
          <w:spacing w:val="8"/>
          <w:sz w:val="24"/>
          <w:highlight w:val="none"/>
        </w:rPr>
        <w:t xml:space="preserve">合计1193728元。</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绿化养护服务：</w:t>
      </w:r>
      <w:r/>
    </w:p>
    <w:tbl>
      <w:tblPr>
        <w:tblStyle w:val="74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05"/>
        <w:gridCol w:w="2993"/>
        <w:gridCol w:w="1963"/>
        <w:gridCol w:w="1829"/>
        <w:gridCol w:w="1368"/>
      </w:tblGrid>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公园名称</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养护企业</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合同总价(万元/36月)</w:t>
            </w:r>
            <w:r/>
          </w:p>
        </w:tc>
        <w:tc>
          <w:tcPr>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年养护费(万元/年)</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月(万元/月)</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沙洲公园</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张家港市园林建设工程有限公司</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59.5617 </w:t>
            </w:r>
            <w:r/>
          </w:p>
        </w:tc>
        <w:tc>
          <w:tcPr>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19.8539 </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1.6545 </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梁丰生态园(绿地)</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张家港市园林建设工程有限公司</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501.7326 </w:t>
            </w:r>
            <w:r/>
          </w:p>
        </w:tc>
        <w:tc>
          <w:tcPr>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167.2442 </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13.937 </w:t>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张家港公园</w:t>
            </w:r>
            <w:r/>
          </w:p>
        </w:tc>
        <w:tc>
          <w:tcPr>
            <w:shd w:val="clear" w:color="auto" w:fill="auto"/>
            <w:tcBorders>
              <w:top w:val="single" w:color="000000" w:sz="4" w:space="0"/>
              <w:left w:val="single" w:color="000000" w:sz="4" w:space="0"/>
              <w:bottom w:val="single" w:color="000000" w:sz="4" w:space="0"/>
              <w:right w:val="single" w:color="000000" w:sz="4" w:space="0"/>
            </w:tcBorders>
            <w:tcW w:w="1502"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苏州工业园区景观绿化工程有限公司</w:t>
            </w:r>
            <w:r/>
          </w:p>
        </w:tc>
        <w:tc>
          <w:tcPr>
            <w:shd w:val="clear" w:color="auto" w:fill="auto"/>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124.1451 </w:t>
            </w:r>
            <w:r/>
          </w:p>
        </w:tc>
        <w:tc>
          <w:tcPr>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41.3817 </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keepLines w:val="0"/>
              <w:keepNext w:val="0"/>
              <w:widowControl/>
              <w:rPr>
                <w:rFonts w:ascii="宋体" w:hAnsi="宋体" w:eastAsia="宋体" w:cs="宋体"/>
                <w:i w:val="0"/>
                <w:iCs w:val="0"/>
                <w:color w:val="auto"/>
                <w:sz w:val="26"/>
                <w:szCs w:val="26"/>
                <w:highlight w:val="none"/>
                <w:u w:val="none"/>
              </w:rPr>
              <w:suppressLineNumbers w:val="0"/>
            </w:pPr>
            <w:r>
              <w:rPr>
                <w:rFonts w:ascii="宋体" w:hAnsi="宋体" w:eastAsia="宋体" w:cs="宋体"/>
                <w:i w:val="0"/>
                <w:iCs w:val="0"/>
                <w:color w:val="auto"/>
                <w:sz w:val="26"/>
                <w:szCs w:val="26"/>
                <w:highlight w:val="none"/>
                <w:u w:val="none"/>
                <w:lang w:val="en-US" w:eastAsia="zh-CN" w:bidi="ar"/>
              </w:rPr>
              <w:t xml:space="preserve">3.4485 </w:t>
            </w:r>
            <w:r/>
          </w:p>
        </w:tc>
      </w:tr>
    </w:tbl>
    <w:p>
      <w:pPr>
        <w:rPr>
          <w:rFonts w:ascii="宋体" w:hAnsi="宋体" w:cs="宋体"/>
          <w:b/>
          <w:color w:val="auto"/>
          <w:sz w:val="28"/>
          <w:szCs w:val="28"/>
          <w:highlight w:val="none"/>
        </w:rPr>
      </w:pPr>
      <w:r>
        <w:rPr>
          <w:rFonts w:ascii="宋体" w:hAnsi="宋体" w:cs="宋体"/>
          <w:b/>
          <w:color w:val="auto"/>
          <w:sz w:val="28"/>
          <w:szCs w:val="28"/>
          <w:highlight w:val="none"/>
        </w:rPr>
      </w:r>
      <w:r/>
    </w:p>
    <w:p>
      <w:pPr>
        <w:ind w:firstLine="482"/>
        <w:keepLines w:val="0"/>
        <w:keepNext w:val="0"/>
        <w:pageBreakBefore w:val="0"/>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5、其他相关要求</w:t>
      </w:r>
      <w:r/>
    </w:p>
    <w:p>
      <w:pPr>
        <w:ind w:firstLine="482"/>
        <w:keepLines w:val="0"/>
        <w:keepNext w:val="0"/>
        <w:pageBreakBefore w:val="0"/>
        <w:widowControl w:val="off"/>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rPr>
        <w:t xml:space="preserve">1、支付三个公园</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张家港公园、梁丰生态园、沙洲公园</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及相关点位的水电费等市政相关费用，包括公园管理处办公楼、河西路服务站等、以及三个公园内其他水电表，以移交清单为准</w:t>
      </w:r>
      <w:r>
        <w:rPr>
          <w:rFonts w:hint="eastAsia" w:ascii="宋体" w:hAnsi="宋体" w:cs="宋体"/>
          <w:b/>
          <w:color w:val="auto"/>
          <w:sz w:val="24"/>
          <w:szCs w:val="24"/>
          <w:highlight w:val="none"/>
          <w:lang w:val="en-US" w:eastAsia="zh-CN"/>
        </w:rPr>
        <w:t xml:space="preserve">。</w:t>
      </w:r>
      <w:r/>
    </w:p>
    <w:p>
      <w:pPr>
        <w:ind w:firstLine="482"/>
        <w:keepLines w:val="0"/>
        <w:keepNext w:val="0"/>
        <w:pageBreakBefore w:val="0"/>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2、完成</w:t>
      </w:r>
      <w:r>
        <w:rPr>
          <w:rFonts w:hint="eastAsia" w:ascii="宋体" w:hAnsi="宋体" w:cs="宋体"/>
          <w:b/>
          <w:color w:val="auto"/>
          <w:sz w:val="24"/>
          <w:szCs w:val="24"/>
          <w:highlight w:val="none"/>
          <w:lang w:val="en-US" w:eastAsia="zh-CN"/>
        </w:rPr>
        <w:t xml:space="preserve">采购单位</w:t>
      </w:r>
      <w:r>
        <w:rPr>
          <w:rFonts w:hint="eastAsia" w:ascii="宋体" w:hAnsi="宋体" w:cs="宋体"/>
          <w:b/>
          <w:color w:val="auto"/>
          <w:sz w:val="24"/>
          <w:szCs w:val="24"/>
          <w:highlight w:val="none"/>
        </w:rPr>
        <w:t xml:space="preserve">安排的其他任务，包括每年的张家港市菊花展。以及上级布置的其它任务。</w:t>
      </w:r>
      <w:r/>
    </w:p>
    <w:p>
      <w:pPr>
        <w:ind w:firstLine="482"/>
        <w:keepLines w:val="0"/>
        <w:keepNext w:val="0"/>
        <w:pageBreakBefore w:val="0"/>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282"/>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1 服务期限</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1.1、服务期限</w:t>
      </w:r>
      <w:r/>
    </w:p>
    <w:p>
      <w:pPr>
        <w:pStyle w:val="1282"/>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3年。</w:t>
      </w:r>
      <w:r/>
    </w:p>
    <w:p>
      <w:pPr>
        <w:pStyle w:val="1282"/>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2 货款支付</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2.1、结付程序</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中标人按合同内容合格地履行义务后，凭发票到采购单位办理</w:t>
      </w:r>
      <w:r>
        <w:rPr>
          <w:rFonts w:hint="eastAsia" w:ascii="宋体" w:hAnsi="宋体" w:eastAsia="宋体" w:cs="宋体"/>
          <w:i/>
          <w:color w:val="auto"/>
          <w:spacing w:val="7"/>
          <w:highlight w:val="none"/>
          <w:u w:val="single"/>
        </w:rPr>
        <w:t xml:space="preserve">服务款</w:t>
      </w:r>
      <w:r>
        <w:rPr>
          <w:rFonts w:ascii="宋体" w:hAnsi="宋体" w:eastAsia="宋体" w:cs="宋体"/>
          <w:i/>
          <w:color w:val="auto"/>
          <w:spacing w:val="7"/>
          <w:highlight w:val="none"/>
          <w:u w:val="single"/>
        </w:rPr>
        <w:t xml:space="preserve">结算手续。</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2.2、结付期限</w:t>
      </w:r>
      <w:r/>
    </w:p>
    <w:p>
      <w:pPr>
        <w:pStyle w:val="1282"/>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（1）合同签订后，甲方支付乙方</w:t>
      </w:r>
      <w:bookmarkStart w:id="213" w:name="_Hlk188540559"/>
      <w:r>
        <w:rPr>
          <w:rFonts w:hint="eastAsia" w:ascii="宋体" w:hAnsi="宋体" w:eastAsia="宋体" w:cs="宋体"/>
          <w:i/>
          <w:color w:val="auto"/>
          <w:spacing w:val="7"/>
          <w:highlight w:val="none"/>
          <w:u w:val="single"/>
          <w:lang w:eastAsia="zh-CN"/>
        </w:rPr>
        <w:t xml:space="preserve">合同金额</w:t>
      </w:r>
      <w:r>
        <w:rPr>
          <w:rFonts w:hint="eastAsia" w:ascii="宋体" w:hAnsi="宋体" w:eastAsia="宋体" w:cs="宋体"/>
          <w:i/>
          <w:color w:val="auto"/>
          <w:spacing w:val="7"/>
          <w:highlight w:val="none"/>
          <w:u w:val="single"/>
        </w:rPr>
        <w:t xml:space="preserve">的10%为</w:t>
      </w:r>
      <w:bookmarkEnd w:id="213"/>
      <w:r>
        <w:rPr>
          <w:rFonts w:hint="eastAsia" w:ascii="宋体" w:hAnsi="宋体" w:eastAsia="宋体" w:cs="宋体"/>
          <w:i/>
          <w:color w:val="auto"/>
          <w:spacing w:val="7"/>
          <w:highlight w:val="none"/>
          <w:u w:val="single"/>
        </w:rPr>
        <w:t xml:space="preserve">预付款；剩余款项</w:t>
      </w:r>
      <w:r>
        <w:rPr>
          <w:rFonts w:hint="eastAsia" w:ascii="宋体" w:hAnsi="宋体" w:eastAsia="宋体" w:cs="宋体"/>
          <w:i/>
          <w:color w:val="auto"/>
          <w:spacing w:val="7"/>
          <w:highlight w:val="none"/>
          <w:u w:val="single"/>
          <w:lang w:eastAsia="zh-CN"/>
        </w:rPr>
        <w:t xml:space="preserve">按季度支付</w:t>
      </w:r>
      <w:r>
        <w:rPr>
          <w:rFonts w:hint="eastAsia"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lang w:eastAsia="zh-CN"/>
        </w:rPr>
        <w:t xml:space="preserve">每季度支付</w:t>
      </w:r>
      <w:r>
        <w:rPr>
          <w:rFonts w:hint="eastAsia" w:ascii="宋体" w:hAnsi="宋体" w:eastAsia="宋体" w:cs="宋体"/>
          <w:i/>
          <w:color w:val="auto"/>
          <w:spacing w:val="7"/>
          <w:highlight w:val="none"/>
          <w:u w:val="single"/>
        </w:rPr>
        <w:t xml:space="preserve">的合同价款=对应年度合同金额扣除预付款后÷对应年度总</w:t>
      </w:r>
      <w:r>
        <w:rPr>
          <w:rFonts w:hint="eastAsia" w:ascii="宋体" w:hAnsi="宋体" w:eastAsia="宋体" w:cs="宋体"/>
          <w:i/>
          <w:color w:val="auto"/>
          <w:spacing w:val="7"/>
          <w:highlight w:val="none"/>
          <w:u w:val="single"/>
          <w:lang w:eastAsia="zh-CN"/>
        </w:rPr>
        <w:t xml:space="preserve">季度</w:t>
      </w:r>
      <w:r>
        <w:rPr>
          <w:rFonts w:hint="eastAsia" w:ascii="宋体" w:hAnsi="宋体" w:eastAsia="宋体" w:cs="宋体"/>
          <w:i/>
          <w:color w:val="auto"/>
          <w:spacing w:val="7"/>
          <w:highlight w:val="none"/>
          <w:u w:val="single"/>
        </w:rPr>
        <w:t xml:space="preserve">数-考核扣款，每</w:t>
      </w:r>
      <w:r>
        <w:rPr>
          <w:rFonts w:hint="eastAsia" w:ascii="宋体" w:hAnsi="宋体" w:eastAsia="宋体" w:cs="宋体"/>
          <w:i/>
          <w:color w:val="auto"/>
          <w:spacing w:val="7"/>
          <w:highlight w:val="none"/>
          <w:u w:val="single"/>
          <w:lang w:eastAsia="zh-CN"/>
        </w:rPr>
        <w:t xml:space="preserve">季度</w:t>
      </w:r>
      <w:r>
        <w:rPr>
          <w:rFonts w:hint="eastAsia" w:ascii="宋体" w:hAnsi="宋体" w:eastAsia="宋体" w:cs="宋体"/>
          <w:i/>
          <w:color w:val="auto"/>
          <w:spacing w:val="7"/>
          <w:highlight w:val="none"/>
          <w:u w:val="single"/>
        </w:rPr>
        <w:t xml:space="preserve">按财政审批流程后支付。</w:t>
      </w:r>
      <w:r/>
    </w:p>
    <w:p>
      <w:pPr>
        <w:pStyle w:val="1282"/>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（2）在签订合同时，乙方明确表示无需预付款或者主动要求降低预付款比例的，甲方可不适用上述关于预付款的规定。服务期结束返还履约保证金</w:t>
      </w:r>
      <w:r>
        <w:rPr>
          <w:rFonts w:ascii="宋体" w:hAnsi="宋体" w:eastAsia="宋体" w:cs="宋体"/>
          <w:i/>
          <w:color w:val="auto"/>
          <w:spacing w:val="7"/>
          <w:highlight w:val="none"/>
          <w:u w:val="single"/>
        </w:rPr>
        <w:t xml:space="preserve">。</w:t>
      </w:r>
      <w:r/>
    </w:p>
    <w:p>
      <w:pPr>
        <w:pStyle w:val="1282"/>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3 投标货币</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3.1、投标货币</w:t>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rPr>
          <w:rFonts w:ascii="宋体" w:hAnsi="宋体" w:cs="宋体"/>
          <w:i/>
          <w:color w:val="auto"/>
          <w:spacing w:val="7"/>
          <w:sz w:val="24"/>
          <w:highlight w:val="none"/>
          <w:u w:val="single"/>
        </w:rPr>
      </w:pPr>
      <w:r>
        <w:rPr>
          <w:rFonts w:ascii="宋体" w:hAnsi="宋体" w:cs="宋体"/>
          <w:i/>
          <w:color w:val="auto"/>
          <w:spacing w:val="7"/>
          <w:sz w:val="24"/>
          <w:highlight w:val="none"/>
          <w:u w:val="single"/>
        </w:rPr>
        <w:br w:type="page" w:clear="all"/>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四、其他要求 </w:t>
      </w:r>
      <w:r/>
    </w:p>
    <w:p>
      <w:pPr>
        <w:pStyle w:val="750"/>
        <w:ind w:firstLine="480"/>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上级单位对张家港公园、沙洲公园和梁丰生态园这三个公园开展督查与指导工作，督查结果将直接关联并影响</w:t>
      </w:r>
      <w:r>
        <w:rPr>
          <w:rFonts w:hint="eastAsia" w:ascii="宋体" w:eastAsia="宋体" w:cs="宋体"/>
          <w:color w:val="auto"/>
          <w:sz w:val="24"/>
          <w:szCs w:val="24"/>
          <w:highlight w:val="none"/>
        </w:rPr>
        <w:t xml:space="preserve">付款</w:t>
      </w:r>
      <w:r>
        <w:rPr>
          <w:rFonts w:ascii="宋体" w:eastAsia="宋体" w:cs="宋体"/>
          <w:color w:val="auto"/>
          <w:sz w:val="24"/>
          <w:szCs w:val="24"/>
          <w:highlight w:val="none"/>
        </w:rPr>
        <w:t xml:space="preserve">。一旦发现问题，中标单位需即刻纠正。</w:t>
      </w:r>
      <w:r/>
    </w:p>
    <w:p>
      <w:pPr>
        <w:pStyle w:val="750"/>
        <w:ind w:firstLine="480"/>
        <w:jc w:val="left"/>
        <w:spacing w:line="360" w:lineRule="auto"/>
        <w:rPr>
          <w:rFonts w:ascii="宋体" w:eastAsia="宋体" w:cs="宋体"/>
          <w:color w:val="auto"/>
          <w:sz w:val="24"/>
          <w:szCs w:val="24"/>
          <w:highlight w:val="none"/>
        </w:rPr>
      </w:pPr>
      <w:r>
        <w:rPr>
          <w:rFonts w:ascii="宋体" w:eastAsia="宋体" w:cs="宋体"/>
          <w:color w:val="auto"/>
          <w:sz w:val="24"/>
          <w:szCs w:val="24"/>
          <w:highlight w:val="none"/>
        </w:rPr>
        <w:t xml:space="preserve">倘若中标单位的工作人员违反公园的各项制度规定，管理处有权要求中标单位更换涉事人员，中标单位应无条件执行该要求。</w:t>
      </w:r>
      <w:r/>
    </w:p>
    <w:p>
      <w:pPr>
        <w:pStyle w:val="1282"/>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下列</w:t>
      </w:r>
      <w:r>
        <w:rPr>
          <w:rFonts w:hint="eastAsia" w:ascii="宋体" w:hAnsi="宋体" w:eastAsia="宋体" w:cs="宋体"/>
          <w:i/>
          <w:color w:val="auto"/>
          <w:spacing w:val="7"/>
          <w:highlight w:val="none"/>
          <w:u w:val="single"/>
        </w:rPr>
        <w:t xml:space="preserve">考核</w:t>
      </w:r>
      <w:r>
        <w:rPr>
          <w:rFonts w:hint="eastAsia" w:ascii="宋体" w:hAnsi="宋体" w:eastAsia="宋体" w:cs="宋体"/>
          <w:i/>
          <w:color w:val="auto"/>
          <w:spacing w:val="7"/>
          <w:highlight w:val="none"/>
          <w:u w:val="single"/>
          <w:lang w:val="en-US" w:eastAsia="zh-CN"/>
        </w:rPr>
        <w:t xml:space="preserve">累计两</w:t>
      </w:r>
      <w:r>
        <w:rPr>
          <w:rFonts w:hint="eastAsia" w:ascii="宋体" w:hAnsi="宋体" w:eastAsia="宋体" w:cs="宋体"/>
          <w:i/>
          <w:color w:val="auto"/>
          <w:spacing w:val="7"/>
          <w:highlight w:val="none"/>
          <w:u w:val="single"/>
        </w:rPr>
        <w:t xml:space="preserve">个月考核得分低于80分或某个月考核得分低于75分的，</w:t>
      </w:r>
      <w:r>
        <w:rPr>
          <w:rFonts w:hint="eastAsia" w:ascii="宋体" w:hAnsi="宋体" w:eastAsia="宋体" w:cs="宋体"/>
          <w:i/>
          <w:color w:val="auto"/>
          <w:spacing w:val="7"/>
          <w:highlight w:val="none"/>
          <w:u w:val="single"/>
          <w:lang w:val="en-US" w:eastAsia="zh-CN"/>
        </w:rPr>
        <w:t xml:space="preserve">采购单位</w:t>
      </w:r>
      <w:r>
        <w:rPr>
          <w:rFonts w:hint="eastAsia" w:ascii="宋体" w:hAnsi="宋体" w:eastAsia="宋体" w:cs="宋体"/>
          <w:i/>
          <w:color w:val="auto"/>
          <w:spacing w:val="7"/>
          <w:highlight w:val="none"/>
          <w:u w:val="single"/>
        </w:rPr>
        <w:t xml:space="preserve">有权收回其管理权，并取消下一轮</w:t>
      </w:r>
      <w:r>
        <w:rPr>
          <w:rFonts w:hint="eastAsia" w:ascii="宋体" w:hAnsi="宋体" w:eastAsia="宋体" w:cs="宋体"/>
          <w:i/>
          <w:color w:val="auto"/>
          <w:spacing w:val="7"/>
          <w:highlight w:val="none"/>
          <w:u w:val="single"/>
          <w:lang w:val="en-US" w:eastAsia="zh-CN"/>
        </w:rPr>
        <w:t xml:space="preserve">本项目</w:t>
      </w:r>
      <w:r>
        <w:rPr>
          <w:rFonts w:hint="eastAsia" w:ascii="宋体" w:hAnsi="宋体" w:eastAsia="宋体" w:cs="宋体"/>
          <w:i/>
          <w:color w:val="auto"/>
          <w:spacing w:val="7"/>
          <w:highlight w:val="none"/>
          <w:u w:val="single"/>
        </w:rPr>
        <w:t xml:space="preserve">投标资格及1年内由</w:t>
      </w:r>
      <w:r>
        <w:rPr>
          <w:rFonts w:hint="eastAsia" w:ascii="宋体" w:hAnsi="宋体" w:eastAsia="宋体" w:cs="宋体"/>
          <w:i/>
          <w:color w:val="auto"/>
          <w:spacing w:val="7"/>
          <w:highlight w:val="none"/>
          <w:u w:val="single"/>
          <w:lang w:val="en-US" w:eastAsia="zh-CN"/>
        </w:rPr>
        <w:t xml:space="preserve">采购单位</w:t>
      </w:r>
      <w:r>
        <w:rPr>
          <w:rFonts w:hint="eastAsia" w:ascii="宋体" w:hAnsi="宋体" w:eastAsia="宋体" w:cs="宋体"/>
          <w:i/>
          <w:color w:val="auto"/>
          <w:spacing w:val="7"/>
          <w:highlight w:val="none"/>
          <w:u w:val="single"/>
        </w:rPr>
        <w:t xml:space="preserve">组织实施的绿化工程投标资格，且记严重不良行为。</w:t>
      </w:r>
      <w:r/>
    </w:p>
    <w:p>
      <w:pPr>
        <w:pStyle w:val="1282"/>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中标单位</w:t>
      </w:r>
      <w:r>
        <w:rPr>
          <w:rFonts w:hint="eastAsia" w:ascii="宋体" w:hAnsi="宋体" w:eastAsia="宋体" w:cs="宋体"/>
          <w:i/>
          <w:color w:val="auto"/>
          <w:spacing w:val="7"/>
          <w:highlight w:val="none"/>
          <w:u w:val="single"/>
        </w:rPr>
        <w:t xml:space="preserve">若不能按时保质地完成</w:t>
      </w:r>
      <w:r>
        <w:rPr>
          <w:rFonts w:hint="eastAsia" w:ascii="宋体" w:hAnsi="宋体" w:eastAsia="宋体" w:cs="宋体"/>
          <w:i/>
          <w:color w:val="auto"/>
          <w:spacing w:val="7"/>
          <w:highlight w:val="none"/>
          <w:u w:val="single"/>
          <w:lang w:eastAsia="zh-CN"/>
        </w:rPr>
        <w:t xml:space="preserve">服务工作</w:t>
      </w:r>
      <w:r>
        <w:rPr>
          <w:rFonts w:hint="eastAsia"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lang w:eastAsia="zh-CN"/>
        </w:rPr>
        <w:t xml:space="preserve">采购单位</w:t>
      </w:r>
      <w:r>
        <w:rPr>
          <w:rFonts w:hint="eastAsia" w:ascii="宋体" w:hAnsi="宋体" w:eastAsia="宋体" w:cs="宋体"/>
          <w:i/>
          <w:color w:val="auto"/>
          <w:spacing w:val="7"/>
          <w:highlight w:val="none"/>
          <w:u w:val="single"/>
        </w:rPr>
        <w:t xml:space="preserve">有权要求</w:t>
      </w:r>
      <w:r>
        <w:rPr>
          <w:rFonts w:hint="eastAsia" w:ascii="宋体" w:hAnsi="宋体" w:eastAsia="宋体" w:cs="宋体"/>
          <w:i/>
          <w:color w:val="auto"/>
          <w:spacing w:val="7"/>
          <w:highlight w:val="none"/>
          <w:u w:val="single"/>
          <w:lang w:eastAsia="zh-CN"/>
        </w:rPr>
        <w:t xml:space="preserve">中标单位</w:t>
      </w:r>
      <w:r>
        <w:rPr>
          <w:rFonts w:hint="eastAsia" w:ascii="宋体" w:hAnsi="宋体" w:eastAsia="宋体" w:cs="宋体"/>
          <w:i/>
          <w:color w:val="auto"/>
          <w:spacing w:val="7"/>
          <w:highlight w:val="none"/>
          <w:u w:val="single"/>
        </w:rPr>
        <w:t xml:space="preserve">无偿返工，直至达标；若</w:t>
      </w:r>
      <w:r>
        <w:rPr>
          <w:rFonts w:hint="eastAsia" w:ascii="宋体" w:hAnsi="宋体" w:eastAsia="宋体" w:cs="宋体"/>
          <w:i/>
          <w:color w:val="auto"/>
          <w:spacing w:val="7"/>
          <w:highlight w:val="none"/>
          <w:u w:val="single"/>
          <w:lang w:eastAsia="zh-CN"/>
        </w:rPr>
        <w:t xml:space="preserve">中标单位</w:t>
      </w:r>
      <w:r>
        <w:rPr>
          <w:rFonts w:hint="eastAsia" w:ascii="宋体" w:hAnsi="宋体" w:eastAsia="宋体" w:cs="宋体"/>
          <w:i/>
          <w:color w:val="auto"/>
          <w:spacing w:val="7"/>
          <w:highlight w:val="none"/>
          <w:u w:val="single"/>
        </w:rPr>
        <w:t xml:space="preserve">不积极配合，</w:t>
      </w:r>
      <w:r>
        <w:rPr>
          <w:rFonts w:hint="eastAsia" w:ascii="宋体" w:hAnsi="宋体" w:eastAsia="宋体" w:cs="宋体"/>
          <w:i/>
          <w:color w:val="auto"/>
          <w:spacing w:val="7"/>
          <w:highlight w:val="none"/>
          <w:u w:val="single"/>
          <w:lang w:eastAsia="zh-CN"/>
        </w:rPr>
        <w:t xml:space="preserve">采购单位</w:t>
      </w:r>
      <w:r>
        <w:rPr>
          <w:rFonts w:hint="eastAsia" w:ascii="宋体" w:hAnsi="宋体" w:eastAsia="宋体" w:cs="宋体"/>
          <w:i/>
          <w:color w:val="auto"/>
          <w:spacing w:val="7"/>
          <w:highlight w:val="none"/>
          <w:u w:val="single"/>
        </w:rPr>
        <w:t xml:space="preserve">有权安排第三方进行</w:t>
      </w:r>
      <w:r>
        <w:rPr>
          <w:rFonts w:hint="eastAsia" w:ascii="宋体" w:hAnsi="宋体" w:eastAsia="宋体" w:cs="宋体"/>
          <w:i/>
          <w:color w:val="auto"/>
          <w:spacing w:val="7"/>
          <w:highlight w:val="none"/>
          <w:u w:val="single"/>
          <w:lang w:eastAsia="zh-CN"/>
        </w:rPr>
        <w:t xml:space="preserve">服务</w:t>
      </w:r>
      <w:r>
        <w:rPr>
          <w:rFonts w:hint="eastAsia" w:ascii="宋体" w:hAnsi="宋体" w:eastAsia="宋体" w:cs="宋体"/>
          <w:i/>
          <w:color w:val="auto"/>
          <w:spacing w:val="7"/>
          <w:highlight w:val="none"/>
          <w:u w:val="single"/>
        </w:rPr>
        <w:t xml:space="preserve">，所产生的费用从</w:t>
      </w:r>
      <w:r>
        <w:rPr>
          <w:rFonts w:hint="eastAsia" w:ascii="宋体" w:hAnsi="宋体" w:eastAsia="宋体" w:cs="宋体"/>
          <w:i/>
          <w:color w:val="auto"/>
          <w:spacing w:val="7"/>
          <w:highlight w:val="none"/>
          <w:u w:val="single"/>
          <w:lang w:eastAsia="zh-CN"/>
        </w:rPr>
        <w:t xml:space="preserve">中标单位</w:t>
      </w:r>
      <w:r>
        <w:rPr>
          <w:rFonts w:hint="eastAsia" w:ascii="宋体" w:hAnsi="宋体" w:eastAsia="宋体" w:cs="宋体"/>
          <w:i/>
          <w:color w:val="auto"/>
          <w:spacing w:val="7"/>
          <w:highlight w:val="none"/>
          <w:u w:val="single"/>
        </w:rPr>
        <w:t xml:space="preserve">的月度</w:t>
      </w:r>
      <w:r>
        <w:rPr>
          <w:rFonts w:hint="eastAsia" w:ascii="宋体" w:hAnsi="宋体" w:eastAsia="宋体" w:cs="宋体"/>
          <w:i/>
          <w:color w:val="auto"/>
          <w:spacing w:val="7"/>
          <w:highlight w:val="none"/>
          <w:u w:val="single"/>
          <w:lang w:eastAsia="zh-CN"/>
        </w:rPr>
        <w:t xml:space="preserve">服务</w:t>
      </w:r>
      <w:r>
        <w:rPr>
          <w:rFonts w:hint="eastAsia" w:ascii="宋体" w:hAnsi="宋体" w:eastAsia="宋体" w:cs="宋体"/>
          <w:i/>
          <w:color w:val="auto"/>
          <w:spacing w:val="7"/>
          <w:highlight w:val="none"/>
          <w:u w:val="single"/>
        </w:rPr>
        <w:t xml:space="preserve">费中扣除。</w:t>
      </w:r>
      <w:r/>
    </w:p>
    <w:p>
      <w:pPr>
        <w:pStyle w:val="1282"/>
        <w:ind w:firstLine="500"/>
        <w:spacing w:line="440" w:lineRule="exact"/>
        <w:rPr>
          <w:rFonts w:hint="default"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中标单位若出现以下情况，</w:t>
      </w:r>
      <w:r>
        <w:rPr>
          <w:rFonts w:hint="eastAsia" w:ascii="宋体" w:hAnsi="宋体" w:eastAsia="宋体" w:cs="宋体"/>
          <w:i/>
          <w:color w:val="auto"/>
          <w:spacing w:val="7"/>
          <w:highlight w:val="none"/>
          <w:u w:val="single"/>
          <w:lang w:eastAsia="zh-CN"/>
        </w:rPr>
        <w:t xml:space="preserve">采购单位</w:t>
      </w:r>
      <w:r>
        <w:rPr>
          <w:rFonts w:hint="default" w:ascii="宋体" w:hAnsi="宋体" w:eastAsia="宋体" w:cs="宋体"/>
          <w:i/>
          <w:color w:val="auto"/>
          <w:spacing w:val="7"/>
          <w:highlight w:val="none"/>
          <w:u w:val="single"/>
        </w:rPr>
        <w:t xml:space="preserve">有权单方面终止合同，所有损失由中标单位承担：</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未按合同规定及相关规范要求进行养护，且造成严重后果的。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对采购单位</w:t>
      </w:r>
      <w:r>
        <w:rPr>
          <w:rFonts w:hint="default" w:ascii="宋体" w:hAnsi="宋体" w:eastAsia="宋体" w:cs="宋体"/>
          <w:i/>
          <w:color w:val="auto"/>
          <w:spacing w:val="7"/>
          <w:highlight w:val="none"/>
          <w:u w:val="single"/>
        </w:rPr>
        <w:t xml:space="preserve">派发问题拒不整改的。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存在转包、违法分包等行为的。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未经行政主管部门审批，擅自对公园可经营资产进行盘活利用和升级改造的。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未经采购人书面确认同意，更改公园现有布局、占有绿地、私自封闭公园区域、违章建设的。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经营活动未合法合规进行，不符合城市</w:t>
      </w:r>
      <w:r>
        <w:rPr>
          <w:rFonts w:hint="eastAsia" w:ascii="宋体" w:hAnsi="宋体" w:eastAsia="宋体" w:cs="宋体"/>
          <w:i/>
          <w:color w:val="auto"/>
          <w:spacing w:val="7"/>
          <w:highlight w:val="none"/>
          <w:u w:val="single"/>
          <w:lang w:eastAsia="zh-CN"/>
        </w:rPr>
        <w:t xml:space="preserve">公园管理相关条例</w:t>
      </w:r>
      <w:r>
        <w:rPr>
          <w:rFonts w:hint="default" w:ascii="宋体" w:hAnsi="宋体" w:eastAsia="宋体" w:cs="宋体"/>
          <w:i/>
          <w:color w:val="auto"/>
          <w:spacing w:val="7"/>
          <w:highlight w:val="none"/>
          <w:u w:val="single"/>
        </w:rPr>
        <w:t xml:space="preserve">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未保障公园的公益属性，向游客收取额外费用或改变公园免费开放模式的。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未按规定对公园内可经营项目进行审批，擅自开展经营活动的。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工作人员严重违反公园管理制度，造成恶劣影响的。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未及时处理游客投诉，导致游客满意度大幅下降且未积极改善的。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未按规定配备相关专业人员或人员资质不符合要求，且拒绝整改的。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未按规定进行日常巡检和定期维护，导致设施出现严重安全隐患的。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未按规定处理公园内的安全事故和突发事件，造成严重后果的。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default" w:ascii="宋体" w:hAnsi="宋体" w:eastAsia="宋体" w:cs="宋体"/>
          <w:i/>
          <w:color w:val="auto"/>
          <w:spacing w:val="7"/>
          <w:highlight w:val="none"/>
          <w:u w:val="single"/>
        </w:rPr>
        <w:t xml:space="preserve">未按规定提供相关服务，如游客服务、信息咨询等，影响公园服务质量的。</w:t>
      </w:r>
      <w:r/>
    </w:p>
    <w:p>
      <w:pPr>
        <w:pStyle w:val="1282"/>
        <w:numPr>
          <w:ilvl w:val="0"/>
          <w:numId w:val="19"/>
        </w:numPr>
        <w:ind w:left="0" w:firstLine="4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未按投标文件响应情况进行人员投入的。</w:t>
      </w:r>
      <w:r/>
    </w:p>
    <w:p>
      <w:pPr>
        <w:pStyle w:val="1282"/>
        <w:numPr>
          <w:ilvl w:val="0"/>
          <w:numId w:val="0"/>
        </w:numPr>
        <w:ind w:left="4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r>
      <w:r/>
    </w:p>
    <w:p>
      <w:pPr>
        <w:pStyle w:val="1282"/>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r>
      <w:r/>
    </w:p>
    <w:p>
      <w:pPr>
        <w:rPr>
          <w:rFonts w:ascii="宋体" w:eastAsia="宋体" w:cs="宋体"/>
          <w:color w:val="auto"/>
          <w:sz w:val="24"/>
          <w:szCs w:val="24"/>
          <w:highlight w:val="none"/>
        </w:rPr>
      </w:pPr>
      <w:r>
        <w:rPr>
          <w:rFonts w:ascii="宋体" w:eastAsia="宋体" w:cs="宋体"/>
          <w:color w:val="auto"/>
          <w:sz w:val="24"/>
          <w:szCs w:val="24"/>
          <w:highlight w:val="none"/>
        </w:rPr>
      </w:r>
      <w:r/>
    </w:p>
    <w:p>
      <w:pPr>
        <w:jc w:val="center"/>
        <w:rPr>
          <w:rFonts w:hint="default" w:ascii="宋体" w:eastAsia="黑体" w:cs="宋体"/>
          <w:color w:val="auto"/>
          <w:sz w:val="24"/>
          <w:szCs w:val="24"/>
          <w:highlight w:val="none"/>
          <w:lang w:val="en-US" w:eastAsia="zh-CN"/>
        </w:rPr>
      </w:pPr>
      <w:r>
        <w:rPr>
          <w:rFonts w:ascii="黑体" w:hAnsi="黑体" w:eastAsia="黑体" w:cs="黑体"/>
          <w:b/>
          <w:bCs/>
          <w:color w:val="auto"/>
          <w:sz w:val="32"/>
          <w:szCs w:val="32"/>
          <w:highlight w:val="none"/>
        </w:rPr>
        <w:t xml:space="preserve">公园保安服务</w:t>
      </w:r>
      <w:r>
        <w:rPr>
          <w:rFonts w:hint="eastAsia" w:ascii="黑体" w:hAnsi="黑体" w:eastAsia="黑体" w:cs="黑体"/>
          <w:b/>
          <w:bCs/>
          <w:color w:val="auto"/>
          <w:sz w:val="32"/>
          <w:szCs w:val="32"/>
          <w:highlight w:val="none"/>
          <w:lang w:val="en-US" w:eastAsia="zh-CN"/>
        </w:rPr>
        <w:t xml:space="preserve">考核办法</w:t>
      </w:r>
      <w:r/>
    </w:p>
    <w:p>
      <w:pPr>
        <w:pStyle w:val="1279"/>
        <w:ind w:firstLine="500"/>
        <w:keepLines w:val="0"/>
        <w:keepNext w:val="0"/>
        <w:pageBreakBefore w:val="0"/>
        <w:spacing w:line="360" w:lineRule="auto"/>
        <w:rPr>
          <w:rFonts w:ascii="宋体" w:hAnsi="宋体" w:eastAsia="宋体" w:cs="宋体"/>
          <w:i w:val="0"/>
          <w:iCs/>
          <w:color w:val="auto"/>
          <w:spacing w:val="7"/>
          <w:sz w:val="24"/>
          <w:szCs w:val="24"/>
          <w:highlight w:val="none"/>
          <w:u w:val="none"/>
        </w:rPr>
      </w:pPr>
      <w:r>
        <w:rPr>
          <w:rFonts w:hint="eastAsia" w:ascii="宋体" w:hAnsi="宋体" w:eastAsia="宋体" w:cs="宋体"/>
          <w:i w:val="0"/>
          <w:iCs/>
          <w:color w:val="auto"/>
          <w:spacing w:val="7"/>
          <w:sz w:val="24"/>
          <w:szCs w:val="24"/>
          <w:highlight w:val="none"/>
          <w:u w:val="none"/>
        </w:rPr>
        <w:t xml:space="preserve">1</w:t>
      </w:r>
      <w:r>
        <w:rPr>
          <w:rFonts w:ascii="宋体" w:hAnsi="宋体" w:eastAsia="宋体" w:cs="宋体"/>
          <w:i w:val="0"/>
          <w:iCs/>
          <w:color w:val="auto"/>
          <w:spacing w:val="7"/>
          <w:sz w:val="24"/>
          <w:szCs w:val="24"/>
          <w:highlight w:val="none"/>
          <w:u w:val="none"/>
        </w:rPr>
        <w:t xml:space="preserve">、</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每月对</w:t>
      </w:r>
      <w:r>
        <w:rPr>
          <w:rFonts w:hint="eastAsia" w:ascii="宋体" w:hAnsi="宋体" w:eastAsia="宋体" w:cs="宋体"/>
          <w:i w:val="0"/>
          <w:iCs/>
          <w:color w:val="auto"/>
          <w:spacing w:val="7"/>
          <w:sz w:val="24"/>
          <w:szCs w:val="24"/>
          <w:highlight w:val="none"/>
          <w:u w:val="none"/>
        </w:rPr>
        <w:t xml:space="preserve">供应商</w:t>
      </w:r>
      <w:r>
        <w:rPr>
          <w:rFonts w:ascii="宋体" w:hAnsi="宋体" w:eastAsia="宋体" w:cs="宋体"/>
          <w:i w:val="0"/>
          <w:iCs/>
          <w:color w:val="auto"/>
          <w:spacing w:val="7"/>
          <w:sz w:val="24"/>
          <w:szCs w:val="24"/>
          <w:highlight w:val="none"/>
          <w:u w:val="none"/>
        </w:rPr>
        <w:t xml:space="preserve">组织考核评分，对梁丰生态园，张家港公园，沙洲公园的安保服务分别打分。</w:t>
      </w:r>
      <w:r>
        <w:rPr>
          <w:rFonts w:hint="eastAsia" w:ascii="宋体" w:hAnsi="宋体" w:eastAsia="宋体" w:cs="宋体"/>
          <w:i w:val="0"/>
          <w:iCs/>
          <w:color w:val="auto"/>
          <w:spacing w:val="7"/>
          <w:sz w:val="24"/>
          <w:szCs w:val="24"/>
          <w:highlight w:val="none"/>
          <w:u w:val="none"/>
        </w:rPr>
        <w:t xml:space="preserve">月度服务费的95%根据月度考核结果发放，</w:t>
      </w:r>
      <w:r>
        <w:rPr>
          <w:rFonts w:ascii="宋体" w:hAnsi="宋体" w:eastAsia="宋体" w:cs="宋体"/>
          <w:i w:val="0"/>
          <w:iCs/>
          <w:color w:val="auto"/>
          <w:spacing w:val="7"/>
          <w:sz w:val="24"/>
          <w:szCs w:val="24"/>
          <w:highlight w:val="none"/>
          <w:u w:val="none"/>
        </w:rPr>
        <w:t xml:space="preserve">总分为</w:t>
      </w:r>
      <w:r>
        <w:rPr>
          <w:rFonts w:hint="eastAsia" w:ascii="宋体" w:hAnsi="宋体" w:eastAsia="宋体" w:cs="宋体"/>
          <w:i w:val="0"/>
          <w:iCs/>
          <w:color w:val="auto"/>
          <w:spacing w:val="7"/>
          <w:sz w:val="24"/>
          <w:szCs w:val="24"/>
          <w:highlight w:val="none"/>
          <w:u w:val="none"/>
        </w:rPr>
        <w:t xml:space="preserve">99</w:t>
      </w:r>
      <w:r>
        <w:rPr>
          <w:rFonts w:ascii="宋体" w:hAnsi="宋体" w:eastAsia="宋体" w:cs="宋体"/>
          <w:i w:val="0"/>
          <w:iCs/>
          <w:color w:val="auto"/>
          <w:spacing w:val="7"/>
          <w:sz w:val="24"/>
          <w:szCs w:val="24"/>
          <w:highlight w:val="none"/>
          <w:u w:val="none"/>
        </w:rPr>
        <w:t xml:space="preserve">分</w:t>
      </w:r>
      <w:r>
        <w:rPr>
          <w:rFonts w:hint="eastAsia" w:ascii="宋体" w:hAnsi="宋体" w:eastAsia="宋体" w:cs="宋体"/>
          <w:i w:val="0"/>
          <w:iCs/>
          <w:color w:val="auto"/>
          <w:spacing w:val="7"/>
          <w:sz w:val="24"/>
          <w:szCs w:val="24"/>
          <w:highlight w:val="none"/>
          <w:u w:val="none"/>
        </w:rPr>
        <w:t xml:space="preserve">及以上</w:t>
      </w:r>
      <w:r>
        <w:rPr>
          <w:rFonts w:ascii="宋体" w:hAnsi="宋体" w:eastAsia="宋体" w:cs="宋体"/>
          <w:i w:val="0"/>
          <w:iCs/>
          <w:color w:val="auto"/>
          <w:spacing w:val="7"/>
          <w:sz w:val="24"/>
          <w:szCs w:val="24"/>
          <w:highlight w:val="none"/>
          <w:u w:val="none"/>
        </w:rPr>
        <w:t xml:space="preserve">的，按照财政拨款进度全额支付</w:t>
      </w:r>
      <w:r>
        <w:rPr>
          <w:rFonts w:hint="eastAsia" w:ascii="宋体" w:hAnsi="宋体" w:eastAsia="宋体" w:cs="宋体"/>
          <w:i w:val="0"/>
          <w:iCs/>
          <w:color w:val="auto"/>
          <w:spacing w:val="7"/>
          <w:sz w:val="24"/>
          <w:szCs w:val="24"/>
          <w:highlight w:val="none"/>
          <w:u w:val="none"/>
        </w:rPr>
        <w:t xml:space="preserve">月度服务费的95%</w:t>
      </w:r>
      <w:r>
        <w:rPr>
          <w:rFonts w:ascii="宋体" w:hAnsi="宋体" w:eastAsia="宋体" w:cs="宋体"/>
          <w:i w:val="0"/>
          <w:iCs/>
          <w:color w:val="auto"/>
          <w:spacing w:val="7"/>
          <w:sz w:val="24"/>
          <w:szCs w:val="24"/>
          <w:highlight w:val="none"/>
          <w:u w:val="none"/>
        </w:rPr>
        <w:t xml:space="preserve">；低于99分的，</w:t>
      </w:r>
      <w:r>
        <w:rPr>
          <w:rFonts w:hint="eastAsia" w:ascii="宋体" w:hAnsi="宋体" w:eastAsia="宋体" w:cs="宋体"/>
          <w:i w:val="0"/>
          <w:iCs/>
          <w:color w:val="auto"/>
          <w:spacing w:val="7"/>
          <w:sz w:val="24"/>
          <w:szCs w:val="24"/>
          <w:highlight w:val="none"/>
          <w:u w:val="none"/>
        </w:rPr>
        <w:t xml:space="preserve">沙洲公园每低0.5分</w:t>
      </w:r>
      <w:r>
        <w:rPr>
          <w:rFonts w:ascii="宋体" w:hAnsi="宋体" w:eastAsia="宋体" w:cs="宋体"/>
          <w:i w:val="0"/>
          <w:iCs/>
          <w:color w:val="auto"/>
          <w:spacing w:val="7"/>
          <w:sz w:val="24"/>
          <w:szCs w:val="24"/>
          <w:highlight w:val="none"/>
          <w:u w:val="none"/>
        </w:rPr>
        <w:t xml:space="preserve">扣发当月保安服务费人民币伍佰元（500元）</w:t>
      </w:r>
      <w:r>
        <w:rPr>
          <w:rFonts w:hint="eastAsia" w:ascii="宋体" w:hAnsi="宋体" w:eastAsia="宋体" w:cs="宋体"/>
          <w:i w:val="0"/>
          <w:iCs/>
          <w:color w:val="auto"/>
          <w:spacing w:val="7"/>
          <w:sz w:val="24"/>
          <w:szCs w:val="24"/>
          <w:highlight w:val="none"/>
          <w:u w:val="none"/>
        </w:rPr>
        <w:t xml:space="preserve">，张家港公园每低0.5分</w:t>
      </w:r>
      <w:r>
        <w:rPr>
          <w:rFonts w:ascii="宋体" w:hAnsi="宋体" w:eastAsia="宋体" w:cs="宋体"/>
          <w:i w:val="0"/>
          <w:iCs/>
          <w:color w:val="auto"/>
          <w:spacing w:val="7"/>
          <w:sz w:val="24"/>
          <w:szCs w:val="24"/>
          <w:highlight w:val="none"/>
          <w:u w:val="none"/>
        </w:rPr>
        <w:t xml:space="preserve">扣发当月保安服务费人民币</w:t>
      </w:r>
      <w:r>
        <w:rPr>
          <w:rFonts w:hint="eastAsia" w:ascii="宋体" w:hAnsi="宋体" w:eastAsia="宋体" w:cs="宋体"/>
          <w:i w:val="0"/>
          <w:iCs/>
          <w:color w:val="auto"/>
          <w:spacing w:val="7"/>
          <w:sz w:val="24"/>
          <w:szCs w:val="24"/>
          <w:highlight w:val="none"/>
          <w:u w:val="none"/>
        </w:rPr>
        <w:t xml:space="preserve">柒佰伍拾</w:t>
      </w:r>
      <w:r>
        <w:rPr>
          <w:rFonts w:ascii="宋体" w:hAnsi="宋体" w:eastAsia="宋体" w:cs="宋体"/>
          <w:i w:val="0"/>
          <w:iCs/>
          <w:color w:val="auto"/>
          <w:spacing w:val="7"/>
          <w:sz w:val="24"/>
          <w:szCs w:val="24"/>
          <w:highlight w:val="none"/>
          <w:u w:val="none"/>
        </w:rPr>
        <w:t xml:space="preserve">元（</w:t>
      </w:r>
      <w:r>
        <w:rPr>
          <w:rFonts w:hint="eastAsia" w:ascii="宋体" w:hAnsi="宋体" w:eastAsia="宋体" w:cs="宋体"/>
          <w:i w:val="0"/>
          <w:iCs/>
          <w:color w:val="auto"/>
          <w:spacing w:val="7"/>
          <w:sz w:val="24"/>
          <w:szCs w:val="24"/>
          <w:highlight w:val="none"/>
          <w:u w:val="none"/>
        </w:rPr>
        <w:t xml:space="preserve">750</w:t>
      </w:r>
      <w:r>
        <w:rPr>
          <w:rFonts w:ascii="宋体" w:hAnsi="宋体" w:eastAsia="宋体" w:cs="宋体"/>
          <w:i w:val="0"/>
          <w:iCs/>
          <w:color w:val="auto"/>
          <w:spacing w:val="7"/>
          <w:sz w:val="24"/>
          <w:szCs w:val="24"/>
          <w:highlight w:val="none"/>
          <w:u w:val="none"/>
        </w:rPr>
        <w:t xml:space="preserve">元），</w:t>
      </w:r>
      <w:r>
        <w:rPr>
          <w:rFonts w:hint="eastAsia" w:ascii="宋体" w:hAnsi="宋体" w:eastAsia="宋体" w:cs="宋体"/>
          <w:i w:val="0"/>
          <w:iCs/>
          <w:color w:val="auto"/>
          <w:spacing w:val="7"/>
          <w:sz w:val="24"/>
          <w:szCs w:val="24"/>
          <w:highlight w:val="none"/>
          <w:u w:val="none"/>
        </w:rPr>
        <w:t xml:space="preserve">梁丰生态园每低0.5分</w:t>
      </w:r>
      <w:r>
        <w:rPr>
          <w:rFonts w:ascii="宋体" w:hAnsi="宋体" w:eastAsia="宋体" w:cs="宋体"/>
          <w:i w:val="0"/>
          <w:iCs/>
          <w:color w:val="auto"/>
          <w:spacing w:val="7"/>
          <w:sz w:val="24"/>
          <w:szCs w:val="24"/>
          <w:highlight w:val="none"/>
          <w:u w:val="none"/>
        </w:rPr>
        <w:t xml:space="preserve">扣发当月保安服务费人民币</w:t>
      </w:r>
      <w:r>
        <w:rPr>
          <w:rFonts w:hint="eastAsia" w:ascii="宋体" w:hAnsi="宋体" w:eastAsia="宋体" w:cs="宋体"/>
          <w:i w:val="0"/>
          <w:iCs/>
          <w:color w:val="auto"/>
          <w:spacing w:val="7"/>
          <w:sz w:val="24"/>
          <w:szCs w:val="24"/>
          <w:highlight w:val="none"/>
          <w:u w:val="none"/>
        </w:rPr>
        <w:t xml:space="preserve">壹仟</w:t>
      </w:r>
      <w:r>
        <w:rPr>
          <w:rFonts w:ascii="宋体" w:hAnsi="宋体" w:eastAsia="宋体" w:cs="宋体"/>
          <w:i w:val="0"/>
          <w:iCs/>
          <w:color w:val="auto"/>
          <w:spacing w:val="7"/>
          <w:sz w:val="24"/>
          <w:szCs w:val="24"/>
          <w:highlight w:val="none"/>
          <w:u w:val="none"/>
        </w:rPr>
        <w:t xml:space="preserve">元（</w:t>
      </w:r>
      <w:r>
        <w:rPr>
          <w:rFonts w:hint="eastAsia" w:ascii="宋体" w:hAnsi="宋体" w:eastAsia="宋体" w:cs="宋体"/>
          <w:i w:val="0"/>
          <w:iCs/>
          <w:color w:val="auto"/>
          <w:spacing w:val="7"/>
          <w:sz w:val="24"/>
          <w:szCs w:val="24"/>
          <w:highlight w:val="none"/>
          <w:u w:val="none"/>
        </w:rPr>
        <w:t xml:space="preserve">1000</w:t>
      </w:r>
      <w:r>
        <w:rPr>
          <w:rFonts w:ascii="宋体" w:hAnsi="宋体" w:eastAsia="宋体" w:cs="宋体"/>
          <w:i w:val="0"/>
          <w:iCs/>
          <w:color w:val="auto"/>
          <w:spacing w:val="7"/>
          <w:sz w:val="24"/>
          <w:szCs w:val="24"/>
          <w:highlight w:val="none"/>
          <w:u w:val="none"/>
        </w:rPr>
        <w:t xml:space="preserve">元），并依次类推。</w:t>
      </w:r>
      <w:r/>
    </w:p>
    <w:p>
      <w:pPr>
        <w:pStyle w:val="1279"/>
        <w:ind w:firstLine="500"/>
        <w:keepLines w:val="0"/>
        <w:keepNext w:val="0"/>
        <w:pageBreakBefore w:val="0"/>
        <w:spacing w:line="360" w:lineRule="auto"/>
        <w:rPr>
          <w:rFonts w:ascii="宋体" w:hAnsi="宋体" w:eastAsia="宋体" w:cs="宋体"/>
          <w:i w:val="0"/>
          <w:iCs/>
          <w:color w:val="auto"/>
          <w:spacing w:val="7"/>
          <w:sz w:val="24"/>
          <w:szCs w:val="24"/>
          <w:highlight w:val="none"/>
          <w:u w:val="none"/>
        </w:rPr>
      </w:pPr>
      <w:r>
        <w:rPr>
          <w:rFonts w:hint="eastAsia" w:ascii="宋体" w:hAnsi="宋体" w:eastAsia="宋体" w:cs="宋体"/>
          <w:i w:val="0"/>
          <w:iCs/>
          <w:color w:val="auto"/>
          <w:spacing w:val="7"/>
          <w:sz w:val="24"/>
          <w:szCs w:val="24"/>
          <w:highlight w:val="none"/>
          <w:u w:val="none"/>
        </w:rPr>
        <w:t xml:space="preserve">季度内每个月服务费的5%，根据季度考核结果发放，季度内服务单位对员工未实施激励奖惩机制的扣发季度服务费1.5%，实施激励机制不到位的扣1%，未组织全体人员参与的安全相关演练扣发季度服务费1.5%，演练培训不到位的扣1%、有违反劳动法用工情况扣发季度服务费1.5%。</w:t>
      </w:r>
      <w:r/>
    </w:p>
    <w:p>
      <w:pPr>
        <w:pStyle w:val="1279"/>
        <w:ind w:firstLine="500"/>
        <w:keepLines w:val="0"/>
        <w:keepNext w:val="0"/>
        <w:pageBreakBefore w:val="0"/>
        <w:spacing w:line="360" w:lineRule="auto"/>
        <w:rPr>
          <w:rFonts w:ascii="宋体" w:hAnsi="宋体" w:eastAsia="宋体" w:cs="宋体"/>
          <w:i w:val="0"/>
          <w:iCs/>
          <w:color w:val="auto"/>
          <w:spacing w:val="7"/>
          <w:sz w:val="24"/>
          <w:szCs w:val="24"/>
          <w:highlight w:val="none"/>
          <w:u w:val="none"/>
        </w:rPr>
      </w:pPr>
      <w:r>
        <w:rPr>
          <w:rFonts w:ascii="宋体" w:hAnsi="宋体" w:eastAsia="宋体" w:cs="宋体"/>
          <w:i w:val="0"/>
          <w:iCs/>
          <w:color w:val="auto"/>
          <w:spacing w:val="7"/>
          <w:sz w:val="24"/>
          <w:szCs w:val="24"/>
          <w:highlight w:val="none"/>
          <w:u w:val="none"/>
        </w:rPr>
        <w:t xml:space="preserve">2、单个公园的保安服务月考核得分未达95分的，</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另行扣发保安服务费叁仟元（3000元）。</w:t>
      </w:r>
      <w:r/>
    </w:p>
    <w:p>
      <w:pPr>
        <w:pStyle w:val="1279"/>
        <w:ind w:firstLine="500"/>
        <w:keepLines w:val="0"/>
        <w:keepNext w:val="0"/>
        <w:pageBreakBefore w:val="0"/>
        <w:spacing w:line="360" w:lineRule="auto"/>
        <w:rPr>
          <w:rFonts w:ascii="宋体" w:hAnsi="宋体" w:eastAsia="宋体" w:cs="宋体"/>
          <w:i w:val="0"/>
          <w:iCs/>
          <w:color w:val="auto"/>
          <w:spacing w:val="7"/>
          <w:sz w:val="24"/>
          <w:szCs w:val="24"/>
          <w:highlight w:val="none"/>
          <w:u w:val="none"/>
        </w:rPr>
      </w:pPr>
      <w:r>
        <w:rPr>
          <w:rFonts w:ascii="宋体" w:hAnsi="宋体" w:eastAsia="宋体" w:cs="宋体"/>
          <w:i w:val="0"/>
          <w:iCs/>
          <w:color w:val="auto"/>
          <w:spacing w:val="7"/>
          <w:sz w:val="24"/>
          <w:szCs w:val="24"/>
          <w:highlight w:val="none"/>
          <w:u w:val="none"/>
        </w:rPr>
        <w:t xml:space="preserve">3、公园保安服务出色，</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可以建议</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上级主管部门给予奖励表彰。</w:t>
      </w:r>
      <w:r/>
    </w:p>
    <w:p>
      <w:pPr>
        <w:keepLines w:val="0"/>
        <w:keepNext w:val="0"/>
        <w:pageBreakBefore w:val="0"/>
        <w:spacing w:line="360" w:lineRule="auto"/>
        <w:rPr>
          <w:rFonts w:ascii="宋体" w:eastAsia="宋体" w:cs="宋体"/>
          <w:i w:val="0"/>
          <w:iCs/>
          <w:color w:val="auto"/>
          <w:sz w:val="24"/>
          <w:szCs w:val="24"/>
          <w:highlight w:val="none"/>
          <w:u w:val="none"/>
        </w:rPr>
      </w:pPr>
      <w:r>
        <w:rPr>
          <w:rFonts w:hint="eastAsia" w:ascii="宋体" w:hAnsi="宋体" w:eastAsia="宋体" w:cs="宋体"/>
          <w:i w:val="0"/>
          <w:iCs/>
          <w:color w:val="auto"/>
          <w:spacing w:val="7"/>
          <w:sz w:val="24"/>
          <w:szCs w:val="24"/>
          <w:highlight w:val="none"/>
          <w:u w:val="none"/>
        </w:rPr>
        <w:t xml:space="preserve">供应商</w:t>
      </w:r>
      <w:r>
        <w:rPr>
          <w:rFonts w:ascii="宋体" w:hAnsi="宋体" w:eastAsia="宋体" w:cs="宋体"/>
          <w:i w:val="0"/>
          <w:iCs/>
          <w:color w:val="auto"/>
          <w:spacing w:val="7"/>
          <w:sz w:val="24"/>
          <w:szCs w:val="24"/>
          <w:highlight w:val="none"/>
          <w:u w:val="none"/>
        </w:rPr>
        <w:t xml:space="preserve">认可</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对</w:t>
      </w:r>
      <w:r>
        <w:rPr>
          <w:rFonts w:hint="eastAsia" w:ascii="宋体" w:hAnsi="宋体" w:eastAsia="宋体" w:cs="宋体"/>
          <w:i w:val="0"/>
          <w:iCs/>
          <w:color w:val="auto"/>
          <w:spacing w:val="7"/>
          <w:sz w:val="24"/>
          <w:szCs w:val="24"/>
          <w:highlight w:val="none"/>
          <w:u w:val="none"/>
        </w:rPr>
        <w:t xml:space="preserve">供应商</w:t>
      </w:r>
      <w:r>
        <w:rPr>
          <w:rFonts w:ascii="宋体" w:hAnsi="宋体" w:eastAsia="宋体" w:cs="宋体"/>
          <w:i w:val="0"/>
          <w:iCs/>
          <w:color w:val="auto"/>
          <w:spacing w:val="7"/>
          <w:sz w:val="24"/>
          <w:szCs w:val="24"/>
          <w:highlight w:val="none"/>
          <w:u w:val="none"/>
        </w:rPr>
        <w:t xml:space="preserve">的单方考评方式。如</w:t>
      </w:r>
      <w:r>
        <w:rPr>
          <w:rFonts w:hint="eastAsia" w:ascii="宋体" w:hAnsi="宋体" w:eastAsia="宋体" w:cs="宋体"/>
          <w:i w:val="0"/>
          <w:iCs/>
          <w:color w:val="auto"/>
          <w:spacing w:val="7"/>
          <w:sz w:val="24"/>
          <w:szCs w:val="24"/>
          <w:highlight w:val="none"/>
          <w:u w:val="none"/>
        </w:rPr>
        <w:t xml:space="preserve">供应商</w:t>
      </w:r>
      <w:r>
        <w:rPr>
          <w:rFonts w:ascii="宋体" w:hAnsi="宋体" w:eastAsia="宋体" w:cs="宋体"/>
          <w:i w:val="0"/>
          <w:iCs/>
          <w:color w:val="auto"/>
          <w:spacing w:val="7"/>
          <w:sz w:val="24"/>
          <w:szCs w:val="24"/>
          <w:highlight w:val="none"/>
          <w:u w:val="none"/>
        </w:rPr>
        <w:t xml:space="preserve">对</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的考评结果有异议，则应在考评后3日内书面向</w:t>
      </w:r>
      <w:r>
        <w:rPr>
          <w:rFonts w:hint="eastAsia" w:ascii="宋体" w:hAnsi="宋体" w:eastAsia="宋体" w:cs="宋体"/>
          <w:i w:val="0"/>
          <w:iCs/>
          <w:color w:val="auto"/>
          <w:spacing w:val="7"/>
          <w:sz w:val="24"/>
          <w:szCs w:val="24"/>
          <w:highlight w:val="none"/>
          <w:u w:val="none"/>
        </w:rPr>
        <w:t xml:space="preserve">采购单位</w:t>
      </w:r>
      <w:r>
        <w:rPr>
          <w:rFonts w:ascii="宋体" w:hAnsi="宋体" w:eastAsia="宋体" w:cs="宋体"/>
          <w:i w:val="0"/>
          <w:iCs/>
          <w:color w:val="auto"/>
          <w:spacing w:val="7"/>
          <w:sz w:val="24"/>
          <w:szCs w:val="24"/>
          <w:highlight w:val="none"/>
          <w:u w:val="none"/>
        </w:rPr>
        <w:t xml:space="preserve">提出，否则视为认可考评结果。</w:t>
      </w:r>
      <w:r>
        <w:rPr>
          <w:rFonts w:hint="eastAsia" w:ascii="宋体" w:hAnsi="宋体" w:eastAsia="宋体" w:cs="宋体"/>
          <w:i w:val="0"/>
          <w:iCs/>
          <w:color w:val="auto"/>
          <w:spacing w:val="7"/>
          <w:sz w:val="24"/>
          <w:szCs w:val="24"/>
          <w:highlight w:val="none"/>
          <w:u w:val="none"/>
        </w:rPr>
        <w:t xml:space="preserve">供应商</w:t>
      </w:r>
      <w:r>
        <w:rPr>
          <w:rFonts w:ascii="宋体" w:hAnsi="宋体" w:eastAsia="宋体" w:cs="宋体"/>
          <w:i w:val="0"/>
          <w:iCs/>
          <w:color w:val="auto"/>
          <w:spacing w:val="7"/>
          <w:sz w:val="24"/>
          <w:szCs w:val="24"/>
          <w:highlight w:val="none"/>
          <w:u w:val="none"/>
        </w:rPr>
        <w:t xml:space="preserve">书面提出异议的，应对异议内容承担全部举证责任。</w:t>
      </w:r>
      <w:r/>
    </w:p>
    <w:p>
      <w:pPr>
        <w:pStyle w:val="1282"/>
        <w:ind w:firstLine="500"/>
        <w:jc w:val="center"/>
        <w:spacing w:line="440" w:lineRule="exact"/>
        <w:rPr>
          <w:rFonts w:ascii="宋体" w:hAnsi="宋体" w:eastAsia="宋体" w:cs="宋体"/>
          <w:i/>
          <w:color w:val="auto"/>
          <w:spacing w:val="7"/>
          <w:highlight w:val="none"/>
          <w:u w:val="single"/>
        </w:rPr>
      </w:pPr>
      <w:r>
        <w:rPr>
          <w:rFonts w:ascii="黑体" w:hAnsi="黑体" w:eastAsia="黑体" w:cs="黑体"/>
          <w:b/>
          <w:bCs/>
          <w:color w:val="auto"/>
          <w:sz w:val="32"/>
          <w:szCs w:val="32"/>
          <w:highlight w:val="none"/>
        </w:rPr>
        <w:t xml:space="preserve">公园保安服务百分考核表</w:t>
      </w:r>
      <w:r>
        <w:rPr>
          <w:rFonts w:hint="eastAsia" w:ascii="黑体" w:hAnsi="黑体" w:eastAsia="黑体" w:cs="黑体"/>
          <w:b/>
          <w:bCs/>
          <w:color w:val="auto"/>
          <w:sz w:val="32"/>
          <w:szCs w:val="32"/>
          <w:highlight w:val="none"/>
        </w:rPr>
        <w:t xml:space="preserve">（月度）</w:t>
      </w:r>
      <w:r/>
    </w:p>
    <w:tbl>
      <w:tblPr>
        <w:tblStyle w:val="740"/>
        <w:tblW w:w="4995" w:type="pct"/>
        <w:tblInd w:w="0" w:type="dxa"/>
        <w:tblLayout w:type="autofit"/>
        <w:tblCellMar>
          <w:left w:w="15" w:type="dxa"/>
          <w:top w:w="15" w:type="dxa"/>
          <w:right w:w="15" w:type="dxa"/>
          <w:bottom w:w="15" w:type="dxa"/>
        </w:tblCellMar>
        <w:tblLook w:val="04A0" w:firstRow="1" w:lastRow="0" w:firstColumn="1" w:lastColumn="0" w:noHBand="0" w:noVBand="1"/>
      </w:tblPr>
      <w:tblGrid>
        <w:gridCol w:w="330"/>
        <w:gridCol w:w="2797"/>
        <w:gridCol w:w="745"/>
        <w:gridCol w:w="5894"/>
      </w:tblGrid>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项目</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43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考核评分内容</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标准分</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考核扣分标准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组织实施13分</w:t>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1、每月工作总结和制定部署下月计划，检查、抽查井然有序，定期组织业务培训，交办事项有着落，有当月书面记录，上岗人员报采购单位备案</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工作部署指挥混乱无序扣0.5分；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无节前安全检查及措施的扣1分；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25日前未上报本月总结和下月计划扣0.5分；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未组织例会讲评或业务培训扣0.5分；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队长未每日检查抽查的扣0.5分；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人员未备案（新员工上岗必须提供社保证明及保安员证到采购单位备案）每次扣0.5分；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当月无书面记录扣0.5分；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交办事项未及时完成1次扣0.5分。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2、保安服务人员应选用高素质人员，做到精神饱满，按时到岗到位，不使用超龄、初中以下文化、听不懂普通话人员，公开服务承诺和岗位职责</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6</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人员缺岗每人次扣1分；夜班睡觉每次扣0.5分；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使用超龄、初中以下文化、听不懂普通话人员每人次扣0.5分；未按采购单位要求配备相关特定人员的每次扣1分。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未公开岗位职责和服务承诺，或人员未公示上墙的扣0.5分。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3、保安服务制度健全、装备到位、管理严格、记录齐全</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考核、考勤、执勤记录不完整规范每次扣0.5分；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808080" w:sz="8" w:space="0"/>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上班、考勤、考核、交接班等基本制度不健全或执行制度记录不全的1次扣0.5分.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岗位执勤22分</w:t>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4、岗位实行24小时执勤，加强文明游园宣传引导，监控设备正常运转</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7</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执勤时不能完成执行文明游园、《游客须知》规定禁止行为的、未登记检查许可入园机动和非机动车辆信息及物品、未登记反馈游客建议意见等工作要求的，1次扣0.5分；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脱岗15分钟以上1次扣0.5分，超过1小时按缺岗处理；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监控、录像资料不能正常运转、保存未及时汇报1次扣0.5分。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5、按合同规定配足人员，遵守请销假制度，严格控制外来及内部代班数量，保安请假超过2日，应书面报采购单位。双休、节假日，保安服务负责人必须到岗</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10</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无保安请假代班记录的每次扣0.5分；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保安代班不提前通知采购单位每次扣0.5分；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未经同意发现每周外来及内部保安代班总量超过3个，每超一个扣0.5分；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双休、节假日负责人未到岗每次扣0.5分。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除负责人（队长）外</w:t>
            </w:r>
            <w:r>
              <w:rPr>
                <w:rFonts w:hint="eastAsia" w:ascii="宋体" w:hAnsi="宋体" w:eastAsia="宋体" w:cs="宋体"/>
                <w:color w:val="auto"/>
                <w:sz w:val="18"/>
                <w:szCs w:val="18"/>
                <w:highlight w:val="none"/>
              </w:rPr>
              <w:t xml:space="preserve">，所有队员年龄在50岁以下，45岁以下人数应占总人数的70%，每超一个扣1分；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6、履行岗位职责</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未能履行岗位职责的每人次扣0.5分；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808080" w:sz="8" w:space="0"/>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造成不良影响或损失的每次扣1-3分；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808080" w:sz="8" w:space="0"/>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门卫不在门外站立执勤的每人次扣0.5分。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重要守护18分</w:t>
            </w:r>
            <w:r/>
          </w:p>
        </w:tc>
        <w:tc>
          <w:tcPr>
            <w:tcBorders>
              <w:bottom w:val="single" w:color="808080" w:sz="8" w:space="0"/>
              <w:right w:val="single" w:color="808080" w:sz="8" w:space="0"/>
            </w:tcBorders>
            <w:tcMar>
              <w:left w:w="15" w:type="dxa"/>
              <w:top w:w="15" w:type="dxa"/>
              <w:right w:w="15" w:type="dxa"/>
              <w:bottom w:w="0" w:type="dxa"/>
            </w:tcMar>
            <w:tcW w:w="1431"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7、完成市委、市政府和上级交办的保卫任务</w:t>
            </w:r>
            <w:r/>
          </w:p>
        </w:tc>
        <w:tc>
          <w:tcPr>
            <w:tcBorders>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未完成或受到上级批评的，不服从领导安排任务的，安排任务执行打折扣的，每次扣2-4分。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8、重大节假日或有重大活动时保卫得当</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无针对性保安服务方案的1次扣1分；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未疏导游客集中区域发生践踏、出现人员伤亡等事故的扣5分。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9、做好防火、防灾、防盗、防抢、防破坏，不发生人员伤亡和财产偷盗、破坏事件。</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9</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巡查保卫不力、制止不及时、处置不当等出现打架斗殴、盗窃敲诈、抢夺抢劫等突发事件或火灾、溺水等安全事故的，1次扣3分；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巡查保卫不力、制止不及时、处置不当造成财产损失 5000元以上的，按照实际损失40%予以赔偿。</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园内名贵花木如巡查保卫不力，发生失窃，按照苗木补植结算价赔偿。</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巡逻维护21分</w:t>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巡逻次数、区域符合工作岗位要求，及时检查发现存在各类问题无遗漏，对发现的园路、游乐设施、水面存在损坏及安全隐患第一时间处理或围挡，及时汇报。23:00--5:00时段，每3小时各巡逻点不少于1次。夏季进行夜间水面巡逻每天不少于3次。</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ind w:firstLine="18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未满足班次巡逻次数或未能按规定要求巡逻的，1次扣0.5分；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发现设施设备损坏存在安全隐患未及时汇报的，1次扣0.5分；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发现车辆宠物等已入园、游泳和捕鱼等不文明游园及违反游客须知行为、未当场劝离、劝阻、制止，或虽劝阻制止但对不听从劝阻制止的不能依法采取其它方式处理的，1次扣0.5分。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11、制止、处置违反法律法规和公园管理规定禁止的行为。</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ind w:firstLine="18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发现未经公园许可的商业活动、散发传单等活动未当场制止劝离的，1次扣0.5分；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发现吸毒、非法集会等违法犯罪活动未报警处置的，1次扣2分。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12、发生火灾、溺水、游客昏倒等可能影响重大财产损失、生命危险的事件，要保护现场、控制事态，第一时间根据先生命，后财产原则组织救援，并同步报警、报采购单位</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未能发现存在安全隐患或损坏，并造成不良后果的，在当月保安服务费内扣款进行补偿。发现事故后保安第一时间未开展救援和报警，每次扣3分；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未保护现场的，每次扣3分；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夜间发生事件在监控拍摄范围内未拍摄到过程也未及时制止报警处理的每次扣3分。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车辆指引9分</w:t>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13、指引特许车辆进入园内有序停放。车队入园后停车位置引领停车。对入园车辆进行登记，督查许可入园机动车辆入园后有序停放。禁止一般车辆进入特定区域。</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私自许可机动车辆入园，或未指引规范机动车辆停放的，或除特殊情况外车辆入园未登记的，每次1辆扣0.5分；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未能引领车辆按照要求线路行驶，停放的，每辆次扣0.5分。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14、门岗执行出租户及临时进入电动车、三轮车、自行车凭证入园，做好作业人员一般车辆的停放指引。甄别外来车辆。</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不指令一般作业车辆在规定区域停放的，1次扣0.5分；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不相干自行车、电瓶车、三轮车入园的每次扣0.5分.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文明服务17分</w:t>
            </w:r>
            <w:r/>
          </w:p>
        </w:tc>
        <w:tc>
          <w:tcPr>
            <w:tcBorders>
              <w:bottom w:val="single" w:color="808080" w:sz="8" w:space="0"/>
              <w:right w:val="single" w:color="808080" w:sz="8" w:space="0"/>
            </w:tcBorders>
            <w:tcMar>
              <w:left w:w="15" w:type="dxa"/>
              <w:top w:w="15" w:type="dxa"/>
              <w:right w:w="15" w:type="dxa"/>
              <w:bottom w:w="0" w:type="dxa"/>
            </w:tcMar>
            <w:tcW w:w="1431"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15、统一着装、佩戴工号、仪表整洁、举止文明。</w:t>
            </w:r>
            <w:r/>
          </w:p>
        </w:tc>
        <w:tc>
          <w:tcPr>
            <w:tcBorders>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在岗时着装不规范、站岗姿势不端正的，出现吸游烟、玩手机、打瞌睡、看书报、听音乐，与他人聊天等举止行为的，1次扣0.5分。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16、配备安防器械，按规定正确使用</w:t>
            </w:r>
            <w:r/>
          </w:p>
        </w:tc>
        <w:tc>
          <w:tcPr>
            <w:tcBorders>
              <w:bottom w:val="single" w:color="808080" w:sz="8" w:space="0"/>
              <w:right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2</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不按要求配备安防器械每项扣0.5分；安防器械长期故障不能使用的的每次扣1分；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违反规定使用的，1次扣0.5分。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17、工作场所环境整洁，物品摆放整齐。</w:t>
            </w:r>
            <w:r/>
          </w:p>
        </w:tc>
        <w:tc>
          <w:tcPr>
            <w:tcBorders>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2</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违反规定的，1次扣0.5分。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18、参加公园文明创建活动、做好服务工作，完成交办的相关工作任务。提出加强和改进公园管理的合理化建议</w:t>
            </w:r>
            <w:r/>
          </w:p>
        </w:tc>
        <w:tc>
          <w:tcPr>
            <w:tcBorders>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不配合参加，未完成任务的1次扣2分。对采购单位指出的供应商问题长期得不到解决的，每次扣2-5分。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Mar>
              <w:left w:w="15" w:type="dxa"/>
              <w:top w:w="15" w:type="dxa"/>
              <w:right w:w="15" w:type="dxa"/>
              <w:bottom w:w="0" w:type="dxa"/>
            </w:tcMar>
            <w:tcW w:w="1431" w:type="pct"/>
            <w:vAlign w:val="center"/>
            <w:vMerge w:val="restart"/>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19、规范文明执行工作职责</w:t>
            </w:r>
            <w:r/>
          </w:p>
        </w:tc>
        <w:tc>
          <w:tcPr>
            <w:tcBorders>
              <w:bottom w:val="single" w:color="808080" w:sz="8" w:space="0"/>
            </w:tcBorders>
            <w:tcMar>
              <w:left w:w="15" w:type="dxa"/>
              <w:top w:w="15" w:type="dxa"/>
              <w:right w:w="15" w:type="dxa"/>
              <w:bottom w:w="0" w:type="dxa"/>
            </w:tcMar>
            <w:tcW w:w="381" w:type="pct"/>
            <w:vAlign w:val="center"/>
            <w:vMerge w:val="restart"/>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4</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不文明规范执行工作职责引起投诉经查实的，1次扣0.5分；</w:t>
            </w:r>
            <w:r/>
          </w:p>
        </w:tc>
      </w:tr>
      <w:tr>
        <w:trPr>
          <w:trHeight w:val="23"/>
        </w:trPr>
        <w:tc>
          <w:tcPr>
            <w:tcBorders>
              <w:left w:val="single" w:color="808080" w:sz="8" w:space="0"/>
              <w:bottom w:val="single" w:color="808080" w:sz="8" w:space="0"/>
              <w:right w:val="single" w:color="808080" w:sz="8" w:space="0"/>
            </w:tcBorders>
            <w:tcW w:w="169"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right w:val="single" w:color="808080" w:sz="8" w:space="0"/>
            </w:tcBorders>
            <w:tcW w:w="143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bottom w:val="single" w:color="808080" w:sz="8" w:space="0"/>
            </w:tcBorders>
            <w:tcW w:w="381" w:type="pct"/>
            <w:vAlign w:val="center"/>
            <w:vMerge w:val="continue"/>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因工作不到位被新闻单位曝光或上级批评的，1次扣1分。</w:t>
            </w:r>
            <w:r/>
          </w:p>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15" w:type="dxa"/>
            </w:tcMar>
            <w:tcW w:w="169" w:type="pct"/>
            <w:vAlign w:val="center"/>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Borders>
              <w:bottom w:val="single" w:color="808080" w:sz="8" w:space="0"/>
              <w:right w:val="single" w:color="808080" w:sz="8" w:space="0"/>
            </w:tcBorders>
            <w:tcMar>
              <w:left w:w="15" w:type="dxa"/>
              <w:top w:w="15" w:type="dxa"/>
              <w:right w:w="15" w:type="dxa"/>
              <w:bottom w:w="15" w:type="dxa"/>
            </w:tcMar>
            <w:tcW w:w="1431" w:type="pct"/>
            <w:vAlign w:val="center"/>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在工作中对招标文件和合同相关约定未履行或履行不到位</w:t>
            </w:r>
            <w:r/>
          </w:p>
        </w:tc>
        <w:tc>
          <w:tcPr>
            <w:tcBorders>
              <w:bottom w:val="single" w:color="808080" w:sz="8" w:space="0"/>
            </w:tcBorders>
            <w:tcMar>
              <w:left w:w="15" w:type="dxa"/>
              <w:top w:w="15" w:type="dxa"/>
              <w:right w:w="15" w:type="dxa"/>
              <w:bottom w:w="15" w:type="dxa"/>
            </w:tcMar>
            <w:tcW w:w="381" w:type="pct"/>
            <w:vAlign w:val="center"/>
            <w:textDirection w:val="lrTb"/>
            <w:noWrap w:val="false"/>
          </w:tcPr>
          <w:p>
            <w:pPr>
              <w:pStyle w:val="12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视情况扣3-8分</w:t>
            </w:r>
            <w:r/>
          </w:p>
        </w:tc>
      </w:tr>
      <w:tr>
        <w:trPr>
          <w:trHeight w:val="23"/>
        </w:trPr>
        <w:tc>
          <w:tcPr>
            <w:tcBorders>
              <w:left w:val="single" w:color="808080" w:sz="8" w:space="0"/>
              <w:bottom w:val="single" w:color="808080" w:sz="8" w:space="0"/>
              <w:right w:val="single" w:color="808080" w:sz="8" w:space="0"/>
            </w:tcBorders>
            <w:tcMar>
              <w:left w:w="15" w:type="dxa"/>
              <w:top w:w="15" w:type="dxa"/>
              <w:right w:w="15" w:type="dxa"/>
              <w:bottom w:w="0" w:type="dxa"/>
            </w:tcMar>
            <w:tcW w:w="169"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w:t>
            </w:r>
            <w:r/>
          </w:p>
        </w:tc>
        <w:tc>
          <w:tcPr>
            <w:tcBorders>
              <w:bottom w:val="single" w:color="808080" w:sz="8" w:space="0"/>
              <w:right w:val="single" w:color="808080" w:sz="8" w:space="0"/>
            </w:tcBorders>
            <w:tcMar>
              <w:left w:w="15" w:type="dxa"/>
              <w:top w:w="15" w:type="dxa"/>
              <w:right w:w="15" w:type="dxa"/>
              <w:bottom w:w="0" w:type="dxa"/>
            </w:tcMar>
            <w:tcW w:w="1431" w:type="pct"/>
            <w:vAlign w:val="bottom"/>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381" w:type="pct"/>
            <w:vAlign w:val="center"/>
            <w:textDirection w:val="lrTb"/>
            <w:noWrap w:val="false"/>
          </w:tcPr>
          <w:p>
            <w:pPr>
              <w:pStyle w:val="1268"/>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100</w:t>
            </w:r>
            <w:r/>
          </w:p>
        </w:tc>
        <w:tc>
          <w:tcPr>
            <w:tcBorders>
              <w:bottom w:val="single" w:color="808080" w:sz="8" w:space="0"/>
              <w:right w:val="single" w:color="808080" w:sz="8" w:space="0"/>
            </w:tcBorders>
            <w:tcMar>
              <w:left w:w="15" w:type="dxa"/>
              <w:top w:w="15" w:type="dxa"/>
              <w:right w:w="15" w:type="dxa"/>
              <w:bottom w:w="0" w:type="dxa"/>
            </w:tcMar>
            <w:tcW w:w="3016" w:type="pct"/>
            <w:vAlign w:val="center"/>
            <w:textDirection w:val="lrTb"/>
            <w:noWrap w:val="false"/>
          </w:tcPr>
          <w:p>
            <w:pPr>
              <w:pStyle w:val="1268"/>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bl>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r>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张家港市公园保洁管理考核办法</w:t>
      </w:r>
      <w:r/>
    </w:p>
    <w:p>
      <w:pPr>
        <w:pStyle w:val="122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为了进一步提升公园景观效果，规范公园保洁管理考核行为，完善公园保洁监督管理制度，特制订本考核办法。</w:t>
      </w:r>
      <w:r/>
    </w:p>
    <w:p>
      <w:pPr>
        <w:pStyle w:val="1222"/>
        <w:ind w:left="0" w:firstLine="482"/>
        <w:keepLines w:val="0"/>
        <w:keepNext w:val="0"/>
        <w:pageBreakBefore w:val="0"/>
        <w:spacing w:line="312"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考核范围</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张家港市公园管理处（以下简称市公园处）负责管理的公园保洁等项目均适用本考核办法。</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考核主体</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考核主体为市公园管理处（以下简称市公园处）工作人员，市住建局相关职能科室、单位相关人员参与。</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三、考核方法</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1.考核人员按照《张家港市公园卫生保洁百分考核细则》进行打分，每月月底累计得分。</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人员对标段进行不定期日常巡查，对检查过程中发现的问题，拍照记录，通过移动端派单养护单位，责令其限期整改，每月底统计汇总派单完成情况以及移动端中各养护单位日常巡查、月度资料上报等情况。</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此外，根据12345便民服务、数字化城管等第三方平台，每月汇总群众举报或投诉问题的完成情况。</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3.在考核过程中发现的问题，以照片及文字形式下发至保洁单位，限期整改完成，月底统计汇总整改完成情况。</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4.考核中发现的重大问题，如果连续两个月重复出现，对应考核细则中的扣分项加倍扣分，依次累加；保洁单位对于需整改问题整改不到位或整改不彻底，对应考核细则中的扣分项加倍扣分，依次累加。</w:t>
      </w:r>
      <w:r/>
    </w:p>
    <w:p>
      <w:pPr>
        <w:pStyle w:val="1222"/>
        <w:ind w:left="0" w:firstLine="480"/>
        <w:keepLines w:val="0"/>
        <w:keepNext w:val="0"/>
        <w:pageBreakBefore w:val="0"/>
        <w:spacing w:line="312"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5.保洁单位根据标段情况，阶段性保洁工作突出的，或遇重大节日活动、突击整治工作时</w:t>
      </w:r>
      <w:r>
        <w:rPr>
          <w:rFonts w:hint="eastAsia" w:ascii="宋体" w:hAnsi="宋体" w:eastAsia="宋体" w:cs="宋体"/>
          <w:i w:val="0"/>
          <w:iCs w:val="0"/>
          <w:color w:val="auto"/>
          <w:sz w:val="24"/>
          <w:szCs w:val="24"/>
          <w:highlight w:val="none"/>
          <w:u w:val="none"/>
        </w:rPr>
        <w:t xml:space="preserve">应对有力、表现突出的，保洁考核中酌情加分。</w:t>
      </w:r>
      <w:r/>
    </w:p>
    <w:p>
      <w:pPr>
        <w:pStyle w:val="1222"/>
        <w:ind w:left="0" w:firstLine="480"/>
        <w:keepLines w:val="0"/>
        <w:keepNext w:val="0"/>
        <w:pageBreakBefore w:val="0"/>
        <w:spacing w:line="312"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6.考核分数与当月保洁经费挂钩：月平均得分为90分的，全额发放保洁单位当月</w:t>
      </w:r>
      <w:r>
        <w:rPr>
          <w:rFonts w:hint="eastAsia" w:ascii="宋体" w:hAnsi="宋体" w:cs="宋体"/>
          <w:i w:val="0"/>
          <w:iCs w:val="0"/>
          <w:color w:val="auto"/>
          <w:sz w:val="24"/>
          <w:szCs w:val="24"/>
          <w:highlight w:val="none"/>
          <w:u w:val="none"/>
          <w:lang w:eastAsia="zh-CN"/>
        </w:rPr>
        <w:t xml:space="preserve">保洁服务费</w:t>
      </w:r>
      <w:r>
        <w:rPr>
          <w:rFonts w:hint="eastAsia" w:ascii="宋体" w:hAnsi="宋体" w:eastAsia="宋体" w:cs="宋体"/>
          <w:i w:val="0"/>
          <w:iCs w:val="0"/>
          <w:color w:val="auto"/>
          <w:sz w:val="24"/>
          <w:szCs w:val="24"/>
          <w:highlight w:val="none"/>
          <w:u w:val="none"/>
        </w:rPr>
        <w:t xml:space="preserve">；低于90分的，得分在85-90分之间的（含85分，不包含90分），每低1分扣除保洁单位</w:t>
      </w:r>
      <w:r>
        <w:rPr>
          <w:rFonts w:hint="eastAsia" w:ascii="宋体" w:hAnsi="宋体" w:cs="宋体"/>
          <w:i w:val="0"/>
          <w:iCs w:val="0"/>
          <w:color w:val="auto"/>
          <w:sz w:val="24"/>
          <w:szCs w:val="24"/>
          <w:highlight w:val="none"/>
          <w:u w:val="none"/>
          <w:lang w:eastAsia="zh-CN"/>
        </w:rPr>
        <w:t xml:space="preserve">当月保洁服务费</w:t>
      </w:r>
      <w:r>
        <w:rPr>
          <w:rFonts w:hint="eastAsia" w:ascii="宋体" w:hAnsi="宋体" w:eastAsia="宋体" w:cs="宋体"/>
          <w:i w:val="0"/>
          <w:iCs w:val="0"/>
          <w:color w:val="auto"/>
          <w:sz w:val="24"/>
          <w:szCs w:val="24"/>
          <w:highlight w:val="none"/>
          <w:u w:val="none"/>
        </w:rPr>
        <w:t xml:space="preserve">基数的3%；得分在80-85分之间的（含80分），每低1分扣除保洁单位</w:t>
      </w:r>
      <w:r>
        <w:rPr>
          <w:rFonts w:hint="eastAsia" w:ascii="宋体" w:hAnsi="宋体" w:cs="宋体"/>
          <w:i w:val="0"/>
          <w:iCs w:val="0"/>
          <w:color w:val="auto"/>
          <w:sz w:val="24"/>
          <w:szCs w:val="24"/>
          <w:highlight w:val="none"/>
          <w:u w:val="none"/>
          <w:lang w:eastAsia="zh-CN"/>
        </w:rPr>
        <w:t xml:space="preserve">当月保洁服务费</w:t>
      </w:r>
      <w:r>
        <w:rPr>
          <w:rFonts w:hint="eastAsia" w:ascii="宋体" w:hAnsi="宋体" w:eastAsia="宋体" w:cs="宋体"/>
          <w:i w:val="0"/>
          <w:iCs w:val="0"/>
          <w:color w:val="auto"/>
          <w:sz w:val="24"/>
          <w:szCs w:val="24"/>
          <w:highlight w:val="none"/>
          <w:u w:val="none"/>
        </w:rPr>
        <w:t xml:space="preserve">基数的5%；得分在80分以下的，每低1分扣除保洁单位</w:t>
      </w:r>
      <w:r>
        <w:rPr>
          <w:rFonts w:hint="eastAsia" w:ascii="宋体" w:hAnsi="宋体" w:cs="宋体"/>
          <w:i w:val="0"/>
          <w:iCs w:val="0"/>
          <w:color w:val="auto"/>
          <w:sz w:val="24"/>
          <w:szCs w:val="24"/>
          <w:highlight w:val="none"/>
          <w:u w:val="none"/>
          <w:lang w:eastAsia="zh-CN"/>
        </w:rPr>
        <w:t xml:space="preserve">当月保洁服务费</w:t>
      </w:r>
      <w:r>
        <w:rPr>
          <w:rFonts w:hint="eastAsia" w:ascii="宋体" w:hAnsi="宋体" w:eastAsia="宋体" w:cs="宋体"/>
          <w:i w:val="0"/>
          <w:iCs w:val="0"/>
          <w:color w:val="auto"/>
          <w:sz w:val="24"/>
          <w:szCs w:val="24"/>
          <w:highlight w:val="none"/>
          <w:u w:val="none"/>
        </w:rPr>
        <w:t xml:space="preserve">基数的8%;高于90分的，每高1分奖励保洁单位</w:t>
      </w:r>
      <w:r>
        <w:rPr>
          <w:rFonts w:hint="eastAsia" w:ascii="宋体" w:hAnsi="宋体" w:cs="宋体"/>
          <w:i w:val="0"/>
          <w:iCs w:val="0"/>
          <w:color w:val="auto"/>
          <w:sz w:val="24"/>
          <w:szCs w:val="24"/>
          <w:highlight w:val="none"/>
          <w:u w:val="none"/>
          <w:lang w:eastAsia="zh-CN"/>
        </w:rPr>
        <w:t xml:space="preserve">当月保洁服务费</w:t>
      </w:r>
      <w:r>
        <w:rPr>
          <w:rFonts w:hint="eastAsia" w:ascii="宋体" w:hAnsi="宋体" w:eastAsia="宋体" w:cs="宋体"/>
          <w:i w:val="0"/>
          <w:iCs w:val="0"/>
          <w:color w:val="auto"/>
          <w:sz w:val="24"/>
          <w:szCs w:val="24"/>
          <w:highlight w:val="none"/>
          <w:u w:val="none"/>
        </w:rPr>
        <w:t xml:space="preserve">基数的3%。</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四、考核要求</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1.保洁质量</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保洁单位需对照项目需求进行公园保洁工作，力求保洁工作规范化、标准化、精细化。遇特定区域特殊景观需要，按照市公园处的统一标准进行保洁。</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2.保洁制度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2.1人员上岗制度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应落实项目负责人、现场负责人制度，并按照每月保洁重点合理安排保洁人员；同时，安排专人每天对标段所有区域进行巡查，按要求完成移动端中派发的巡查任务以及养护问题，并及时发现、处理标段内的保洁问题。</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项目负责人、现场负责人等应按时参加定期的保洁例会及市公园处要求参加的其他会议、培训等，严格执行请销假制度；保洁单位的项目负责人、现场负责人一经备案，无特殊原因、未经市公园处同意不得随意更换。</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2.2安全文明作业制度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应制订并完善项目安全文明作业制度，保洁作业需采取周密的安全措施：保洁工人作业需统一穿着安全警示服装、标志上岗；保洁作业应根据具体情况需要，放置安全警示锥、伸缩护栏、安全提示牌等相关设施；严格按照安全生产操作流程组织作业；保洁单位需为所有保洁工人购买意外险等保险。 </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如发生因保洁工作不当（如路面铺装冰冻湿滑造成他人摔倒，车辆交通事故）或其他情形引起的人身及其他财产损失的，由保洁单位承担一切责任；如发生重大责任事故或安全生产事故，保洁单位承担一切责任。</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2.3应急制度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因自然灾害等不可抗拒因素导致的保洁工作，保洁单位必须制定应急预案，积极配合市公园处开展应急抢险工作，要求项目负责人、现场负责人24小时通讯畅通，人员、车辆、机械、物资等及时到位，措施应对迅速、有效。</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针对重大活动、重要接待等情况，保洁单位应做好标段内的保洁保障、整治工作，确保景观效果；12345便民服务、数字化城管等相关部门反映的保洁问题，保洁单位应及时核实并处理。</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2.4机械设备保障制度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保洁单位根据保洁投标要求，保质保量配备保洁工作需要的器械设备，并制定日常管理方案及后期维护保养方案。若因器械设备原因导致保洁工作滞后、公园景观退化的，则进行相应的考核扣分。</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3.保洁台账</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保洁单位应按要求建立健全保洁台账，于每周五按要求格式及内容上报保洁日志，于每月25-30日按要求格式及内容上报月度保洁计划、记录等台账资料，并按要求做好其他保洁相关台账工作。</w:t>
      </w:r>
      <w:r/>
    </w:p>
    <w:p>
      <w:pPr>
        <w:pStyle w:val="1222"/>
        <w:ind w:left="0" w:firstLine="482"/>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4.其他方面</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4.1保洁单位若不能按时保质地完成保洁工作，市公园处有权要求保洁单位无偿返工，直至达标；若保洁单位不积极配合，市公园处有权安排第三方进行保洁，所产生的费用从保洁单位的月度保洁费中扣除。</w:t>
      </w:r>
      <w:r/>
    </w:p>
    <w:p>
      <w:pPr>
        <w:pStyle w:val="1222"/>
        <w:ind w:left="0" w:firstLine="48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4.2保洁单位若未按合同规定及相关规范要求进行保洁，且造成严重后果的，或对市公园处派发问题拒不整改的，或存在转包、违法分包等行为的，市公园处有权单方面终止合同，所有损失由保洁单位承担。</w:t>
      </w:r>
      <w:r/>
    </w:p>
    <w:p>
      <w:pPr>
        <w:jc w:val="center"/>
        <w:spacing w:line="360" w:lineRule="auto"/>
        <w:tabs>
          <w:tab w:val="left" w:pos="0" w:leader="none"/>
          <w:tab w:val="left" w:pos="3840" w:leader="none"/>
        </w:tabs>
        <w:rPr>
          <w:b/>
          <w:color w:val="auto"/>
          <w:sz w:val="24"/>
          <w:highlight w:val="none"/>
        </w:rPr>
      </w:pPr>
      <w:r>
        <w:rPr>
          <w:rFonts w:hint="eastAsia"/>
          <w:b/>
          <w:color w:val="auto"/>
          <w:sz w:val="24"/>
          <w:highlight w:val="none"/>
        </w:rPr>
        <w:t xml:space="preserve"> 张家港市公园卫生保洁百分考核细则</w:t>
      </w:r>
      <w:r/>
    </w:p>
    <w:tbl>
      <w:tblPr>
        <w:tblStyle w:val="740"/>
        <w:tblW w:w="9787" w:type="dxa"/>
        <w:jc w:val="center"/>
        <w:tblLayout w:type="autofit"/>
        <w:tblCellMar>
          <w:left w:w="108" w:type="dxa"/>
          <w:top w:w="0" w:type="dxa"/>
          <w:right w:w="108" w:type="dxa"/>
          <w:bottom w:w="0" w:type="dxa"/>
        </w:tblCellMar>
        <w:tblLook w:val="04A0" w:firstRow="1" w:lastRow="0" w:firstColumn="1" w:lastColumn="0" w:noHBand="0" w:noVBand="1"/>
      </w:tblPr>
      <w:tblGrid>
        <w:gridCol w:w="879"/>
        <w:gridCol w:w="2070"/>
        <w:gridCol w:w="688"/>
        <w:gridCol w:w="6150"/>
      </w:tblGrid>
      <w:tr>
        <w:trPr>
          <w:jc w:val="center"/>
          <w:trHeight w:val="2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项目</w:t>
            </w:r>
            <w:r/>
          </w:p>
        </w:tc>
        <w:tc>
          <w:tcPr>
            <w:tcBorders>
              <w:top w:val="single" w:color="auto"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考核内容</w:t>
            </w:r>
            <w:r/>
          </w:p>
        </w:tc>
        <w:tc>
          <w:tcPr>
            <w:tcBorders>
              <w:top w:val="single" w:color="auto"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分值</w:t>
            </w:r>
            <w:r/>
          </w:p>
        </w:tc>
        <w:tc>
          <w:tcPr>
            <w:tcBorders>
              <w:top w:val="single" w:color="auto" w:sz="4" w:space="0"/>
              <w:left w:val="none" w:color="000000" w:sz="4" w:space="0"/>
              <w:bottom w:val="single" w:color="auto" w:sz="4" w:space="0"/>
              <w:right w:val="single" w:color="auto" w:sz="4" w:space="0"/>
            </w:tcBorders>
            <w:tcW w:w="6150"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评分细则</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组织管理</w:t>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内部管理规范，日常检查考核健全，准时参加会议，信息反馈及时，公开承诺，人员信息上墙。</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工作部署指挥混乱无序、职责不清扣0.5分；不参加工作例会扣0.5分；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保洁经理未查岗检查、日常考核、规章制度和保洁维修书面记录不全等扣0.5分；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生态园未配备指纹考勤机（损坏未及时修复或更换视为未配备）扣0.5分；考核、考勤、执勤记录上报不完整规范每次扣0.5分；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未及时反馈游客投诉建议扣0.5分。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25日前未上报本月总结和下月计划扣0.5分；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人员未备案每次扣0.5分；厕所未公开岗位职责和服务承诺，人员未上墙公示每人次扣0.5分。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作业人员统一着装，仪表端庄，行为语言规范文明.</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作业期间未着装1人次扣1分，夜间未着反光警示标志1人次扣0.5分；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作业期间吸游烟、打骂、吵架等不文明行为1人次扣0.5分，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聚堆聊天超十分钟的一处扣0.5分，消极、怠工、瞌睡，打牌1人次扣0.5分。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作业人数、时间符合岗位要求。</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缺岗、离岗、脱岗、迟到、早退1人次扣0.5分（按日结算），因前项导致相关区域出现质量问题的加扣1分；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未在规定时间内完成大清扫和大清理、未根据规定时间巡回保洁1次扣0.5分，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使用超龄、听不懂普通话人员每人次扣0.5分；少于合同约定人员每人扣1分/每天</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车容整洁、标志清晰，车辆进出、停放规范，作业工具堆放整齐。</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工具车辆不整洁、标志不清晰的1辆次扣0.5分；未从指定道口进出1次扣0.5分，未停放指定区域1次扣0.5分；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夜间电瓶保洁三轮车未开警示灯光扣0.5分；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作业工具堆放杂乱1次扣1分。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保洁服务</w:t>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广场、路面、桥梁、休闲场地等各类地面干净整洁、无杂草、无积水、无结冰，下水道、污水管无堵塞。</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累计检查有果壳、烟蒂、纸屑、污渍、污物、乱张贴等垃圾1处扣0.5分；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板材圆路杂草面积较大1处扣1分；路牙积泥沙、雨水口堵塞1处扣0.5分；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暴雨前未及时打开、暴雨后未及时盖上出水口盖板扣0.5分；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雨后二小时有积水每处扣0.5分；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未及时清除积雪、路面结冰每处扣0.5分。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下水道、污水管堵塞或外溢每次扣1分/处</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喷泉池、水池、水面及河边干净无杂物，视线内河底不见明显水草、杂物。</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Borders>
              <w:top w:val="single" w:color="auto"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有果壳、纸屑、塑料袋等杂物1处扣0.5分；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水面有可见明显水草、大面积浮尘1处扣1分；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有果壳、纸屑、塑料袋等漂浮物1处扣0.5分；出现大量浮尘1处扣0.5分；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水池底部有可视杂物1处扣0.5分；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喷泉池底部及侧壁未及时清理污泥杂物，污渍的，每次扣0.5分。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建筑物公共区域地面墙面干净整洁，结构件无污渍、积尘，玻璃窗通透明亮</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地面、墙面、廊架、走廊、美人靠、柱子、护栏等结构件有果壳、烟蒂、纸屑、污渍、污物、积尘、蛛网、乱张贴等1处扣0.5分；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玻璃窗有明显污渍积尘1处扣0.5分；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墙面脚印未及时处理的每次扣0.5分。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座椅干净无污渍，座椅座下及周围无杂物</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座椅有积尘、污渍、蛛网、乱张贴1处扣0.5分；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座下及周边有果壳、烟蒂、纸屑、污渍、污物等1处扣0.5分。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垃圾日产日清，垃圾箱内放垃圾袋，垃圾箱体及周边地面干净，垃圾箱摆放整齐，垃圾收集桶除清运时不得出现在路边，做好垃圾分类工作</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垃圾未与环卫处签订清运合同扣2分；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环卫处清运收集桶垃圾时未有专人保洁清理后残留垃圾的每次扣0.5分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垃圾未集中存放垃圾收集桶1次扣1分，未日产日清1日扣0.5分；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垃圾箱体及周边地面有积尘、污渍、蛛网、乱张贴1处扣0.5分；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垃圾箱门锁、合页等配件损坏未及时维修更换扣0.5分；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垃圾箱摆放不正、箱门未关好1只扣0.5分，垃圾收集桶在清运时间以外出现在路边的每次扣0.5分。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未做好垃圾分类收集清运工作每次扣1分，未做好垃圾分类相关统计资料扣2分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公共厕所专人定点负责，设施运行良好，环境干净整洁，无“四害”，如有损坏、故障及时汇报上级确定维修主体及时维修。</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Borders>
              <w:top w:val="single" w:color="auto"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下水堵塞、冲水箱、大小便阀、三角阀、龙头、台盆、水池、卫生隔断及五金、电源开关、灯具及光源等损坏未维修更换扣1分，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未及时清理果壳、烟蒂、纸屑、污渍、污物、积尘、蛛网、乱张贴1处扣0.5分，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手纸篓未放垃圾袋或满溢未及时清理1处扣0.5分；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大小便池未冲刷干净有积便、尿垢等1处扣0.5分；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未定期采取消杀措施、杀毒扣0.5分，出现明显“四害”扣0.5分，出现明显异味扣0.5分。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化粪池外溢每次扣2分。本年度未抽粪该项最后一个考核月不得分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厕所未定专人蹲点的每次扣1分。蹲点人员不在岗每次扣0.5分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游乐体育设施、电瓶车、宣传窗、灯箱、指示标牌、庭院灯干净整洁，按要求清理灯罩。</w:t>
            </w:r>
            <w:r/>
          </w:p>
        </w:tc>
        <w:tc>
          <w:tcPr>
            <w:tcBorders>
              <w:top w:val="none" w:color="000000" w:sz="4" w:space="0"/>
              <w:left w:val="single" w:color="auto" w:sz="4" w:space="0"/>
              <w:bottom w:val="single" w:color="auto" w:sz="4" w:space="0"/>
              <w:right w:val="single" w:color="auto" w:sz="4" w:space="0"/>
            </w:tcBorders>
            <w:tcW w:w="68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有积尘、蛛网、乱张贴1处扣0.5分；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07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688"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灯罩内未部未按管理处要求及时清理每次扣1分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森林书屋保洁每天不定时擦拭清理所有设施，标牌、花盆、绿植，及时清理地面、水面、走廊，清运垃圾，定时清理内外立面玻璃。</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发现有设施保洁不到位的每次扣0.5分，标牌、花盆、绿植及时清理地面、水面、走廊，清运垃圾未到位的每次扣0.5分。内外玻璃未按要求定时保洁的每次扣1分。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红木家具及红木展厅</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每日擦拭，展厅内保洁不到位扣0.5分/次，每周打蜡不到位每次扣1分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其他工作</w:t>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及时完成创建、领导考察等保洁保障突击任务，及时完成保洁合同范围以外甲方指定保洁工作（费用事后按实结算）</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不能完成任务1次扣3分。完成工作不符合要求按情节1次扣1-3分.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规范合法用工，保障职工权益</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不按合同人员要求配备职工，发现一次扣1分；未按法律法规规范合法用工、保障权益，引起后果的扣5分。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规范除“四害”</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未根据市爱卫会等部门下发的文件和要求做好除“四害”工作1次扣1分。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及时处置投诉</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保洁范围作业人员、保洁内容被投诉、曝光1次未及时处理的每次扣1分；投诉后处置未妥善的1次扣1分。</w:t>
            </w:r>
            <w:r/>
          </w:p>
        </w:tc>
      </w:tr>
      <w:tr>
        <w:trPr>
          <w:jc w:val="center"/>
          <w:trHeight w:val="23"/>
        </w:trPr>
        <w:tc>
          <w:tcPr>
            <w:tcBorders>
              <w:top w:val="none" w:color="000000" w:sz="4" w:space="0"/>
              <w:left w:val="single" w:color="auto" w:sz="4" w:space="0"/>
              <w:bottom w:val="single" w:color="auto" w:sz="4" w:space="0"/>
              <w:right w:val="single" w:color="auto" w:sz="4" w:space="0"/>
            </w:tcBorders>
            <w:tcW w:w="879"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共  计</w:t>
            </w:r>
            <w:r/>
          </w:p>
        </w:tc>
        <w:tc>
          <w:tcPr>
            <w:tcBorders>
              <w:top w:val="none" w:color="000000"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100</w:t>
            </w:r>
            <w:r/>
          </w:p>
        </w:tc>
        <w:tc>
          <w:tcPr>
            <w:tcBorders>
              <w:top w:val="none" w:color="000000"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ind w:firstLine="0"/>
              <w:jc w:val="center"/>
              <w:keepLines w:val="0"/>
              <w:keepNext w:val="0"/>
              <w:pageBreakBefore w:val="0"/>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single" w:color="auto" w:sz="4" w:space="0"/>
              <w:left w:val="none" w:color="000000" w:sz="4" w:space="0"/>
              <w:bottom w:val="single" w:color="auto" w:sz="4" w:space="0"/>
              <w:right w:val="single" w:color="auto" w:sz="4" w:space="0"/>
            </w:tcBorders>
            <w:tcW w:w="2070"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在工作中对招标文件和合同相关约定未履行或履行不到位</w:t>
            </w:r>
            <w:r/>
          </w:p>
        </w:tc>
        <w:tc>
          <w:tcPr>
            <w:tcBorders>
              <w:top w:val="single" w:color="auto" w:sz="4" w:space="0"/>
              <w:left w:val="none" w:color="000000" w:sz="4" w:space="0"/>
              <w:bottom w:val="single" w:color="auto" w:sz="4" w:space="0"/>
              <w:right w:val="single" w:color="auto" w:sz="4" w:space="0"/>
            </w:tcBorders>
            <w:tcW w:w="68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none" w:color="000000" w:sz="4" w:space="0"/>
              <w:bottom w:val="single" w:color="auto" w:sz="4" w:space="0"/>
              <w:right w:val="single" w:color="auto" w:sz="4" w:space="0"/>
            </w:tcBorders>
            <w:tcW w:w="6150"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视情况扣3-8分。</w:t>
            </w:r>
            <w:r/>
          </w:p>
        </w:tc>
      </w:tr>
    </w:tbl>
    <w:p>
      <w:pPr>
        <w:pStyle w:val="1222"/>
        <w:ind w:firstLine="0"/>
        <w:jc w:val="center"/>
        <w:keepLines w:val="0"/>
        <w:keepNext w:val="0"/>
        <w:pageBreakBefore w:val="0"/>
        <w:spacing w:line="360" w:lineRule="auto"/>
        <w:widowControl/>
        <w:rPr>
          <w:rFonts w:hint="eastAsia" w:ascii="宋体" w:hAnsi="宋体" w:eastAsia="宋体"/>
          <w:b/>
          <w:color w:val="auto"/>
          <w:sz w:val="30"/>
          <w:szCs w:val="30"/>
          <w:highlight w:val="none"/>
          <w:lang w:val="en-US" w:eastAsia="zh-CN"/>
        </w:rPr>
      </w:pPr>
      <w:r>
        <w:rPr>
          <w:rFonts w:hint="eastAsia" w:ascii="宋体" w:hAnsi="宋体"/>
          <w:b/>
          <w:color w:val="auto"/>
          <w:sz w:val="30"/>
          <w:szCs w:val="30"/>
          <w:highlight w:val="none"/>
          <w:lang w:val="en-US" w:eastAsia="zh-CN"/>
        </w:rPr>
        <w:t xml:space="preserve">1</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pStyle w:val="1222"/>
        <w:ind w:firstLine="560"/>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张家港市市区绿地及草花养护管理考核办法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为了进一步提升城市绿地景观效果，提高绿化养护管理水平，规范绿化养护管理考核行为，完善绿化养护监督管理制度，特制订本考核办法。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一、考核依据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依据《江苏省城市园林绿化植物养护管理规范》、《苏州市城市绿化条例》等文件，结合本市实际，制定本办法。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二、考核范围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张家港市住房和城乡建设局张家港市园林绿化建设管理处（以下简称市住建局园林处）负责管理的绿地及草花等项目均适用本考核办法。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三、考核主体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市住建局园林处成立养护考核小组，考核主体为市住建局相关职能科室、市住建局园林处工作人员、市公园处等相关人员参与。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四、考核方法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片区负责人日常考核及考核小组月度集中考核相结合的方式，依据《张家港市市区绿地养护管理百分考核细则》、《张家港市市区草花养护管理百分考核细则》、《张家港市市区公园卫生保洁百分考核细则》进行打分，每月最终得分取日常考核和月度集中考核得分的平均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日常考核：片区负责人对负责标段进行不定期日常巡查，对巡查过程中发现的问题，拍照记录，通过“智慧住建APP”派单养护单位，责令其限期整改，每月底统计汇总派单完成情况以及养护系统中各养护单位日常巡查、月度资料上报等情况。此外，根据12345便民服务、数字化城管等第三方平台，每月汇总群众举报或投诉问题的完成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度集中考核：养护考核小组每月中下旬进行各养护标段集中现场考核，采取重点地块必查与一般地块抽查相结合的办法。在考核过程中发现的问题，以书面的整改通知书形式下发至养护单位，限期整改完成，月底统计汇总整改完成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日常考核及月度集中考核中发现的问题，如果连续两个月重复出现，对应考核细则中的扣分项加倍扣分，依次累加；养护单位对于需整改问题整改不到位或整改不彻底，对应考核细则中的扣分项加倍扣分，依次累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5.养护单位根据标段情况，阶段性养护工作突出的，或遇重大节日活动、突击整治工作时应对有力、表现突出的，养护考核中酌情加分。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考核分数与当月养护经费挂钩：月平均得分为90分的，全额发放养护单位当月应得的月管护费；低于90分的，得分在85-90分之间的（含85分，不包含90分），每低1分扣除养护单位当月管护费基数的3%；得分在80-85分之间的（含80分），每低1分扣除养护单位当月管护费基数的5%；得分在80分以下的，每低1分扣除养护单位当月管护费基数的8%;高于90分的，每高1分奖励养护单位当月管护费基数的3%。</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五、考核要求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1.养护质量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需对照《江苏省城市园林绿化植物养护管理规范》进行植物浇水、修剪、施肥、病虫害防治等养护工作，力求养护工作规范化、标准化、精细化。遇特定区域特殊景观需要，按照市住建局园林处的统一标准进行养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养护期间，因养护单位原因造成的苗木死亡，养护单位需按同品种同规格及时补植，确保绿地内苗木无空缺，如因自然灾害、车祸等非养护单位原因造成的苗木死亡，养护单位需及时上报市住建局园林处备案，并做好现场处理及后续绿化修复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2.1人员上岗制度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应落实项目负责人、现场负责人制度，并按照每月养护重点合理安排种植、养护人员；同时，安排专人每天对标段所有区域进行巡查，按要求完成养护系统中派发的巡查任务以及养护问题，并及时发现、处理标段内的养护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项目负责人、现场负责人等应按时参加定期的养护例会及市住建局园林处要求参加的其他会议、培训等，严格执行请销假制度；养护单位的项目负责人、现场负责人一经备案，无特殊原因、未经市住建局园林处同意不得随意更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2.2安全文明作业制度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应制订并完善项目安全文明作业制度，养护作业需采取周密的安全措施：养护工人作业需统一穿着安全警示服装、标志上岗；养护作业应根据具体情况需要，放置安全警示锥、伸缩护栏、安全提示牌等相关设施；严格按照安全生产操作流程组织作业；养护单位需为所有养护工人购买意外险等保险。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因养护工作不当（如喷洒农药喷到人或车、蛀干虫害未及时防治引起的枝条砸落等）或其他情形引起的人身及其他财产损失的，由养护单位承担一切责任；如发生重大责任事故或安全生产事故，养护单位承担一切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2.3应急制度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因自然灾害等不可抗拒因素导致的养护工作，养护单位必须制定应急预案，积极配合市住建局园林处开展应急抢险工作，要求项目负责人、现场负责人24小时通讯畅通，人员、车辆、机械、物资等及时到位，措施应对迅速、有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重大活动、重要接待等情况，养护单位应做好标段内的养护保障、整治工作，确保景观效果；12345便民服务、数字化城管等相关部门反映的养护问题，养护单位应及时核实并处理；日常巡查中遇非法侵占绿地、损坏绿化的情况，需及时拨打12319报案处理并报市住建局园林处，配合执法部门及市住建局园林处做好后续处理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2.4机械设备保障制度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养护单位根据养护投标要求，保质保量配备养护工作需要的器械设备，并制定日常管理方案及后期维护保养方案。若因器械设备原因导致养护工作滞后、绿地景观退化的，则进行相应的考核扣分。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3.养护台账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应按要求建立健全养护台账，每日按要求格式及内容在智慧住建APP中上报绿地巡查记录、养护日志，每月25-30日在在智慧住建APP中按要求格式及内容上报月度养护计划，按照实际养护情况于相应养护工作发生当日按要求格式及内容在智慧住建APP中上报病虫害防治记录、苗木移植、死树清理记录等台账资料，并按要求做好其他养护相关台账工作。</w:t>
      </w:r>
      <w:r/>
    </w:p>
    <w:p>
      <w:pPr>
        <w:pStyle w:val="1222"/>
        <w:ind w:firstLine="420"/>
        <w:jc w:val="center"/>
        <w:spacing w:line="360" w:lineRule="auto"/>
        <w:rPr>
          <w:color w:val="auto"/>
          <w:highlight w:val="none"/>
        </w:rPr>
      </w:pPr>
      <w:r>
        <w:rPr>
          <w:color w:val="auto"/>
          <w:highlight w:val="none"/>
        </w:rPr>
      </w:r>
      <w:r/>
    </w:p>
    <w:tbl>
      <w:tblPr>
        <w:tblStyle w:val="74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52"/>
        <w:gridCol w:w="452"/>
        <w:gridCol w:w="452"/>
        <w:gridCol w:w="3158"/>
        <w:gridCol w:w="450"/>
        <w:gridCol w:w="2726"/>
        <w:gridCol w:w="727"/>
        <w:gridCol w:w="805"/>
        <w:gridCol w:w="740"/>
      </w:tblGrid>
      <w:tr>
        <w:trPr>
          <w:trHeight w:val="23"/>
        </w:trPr>
        <w:tc>
          <w:tcPr>
            <w:gridSpan w:val="9"/>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 xml:space="preserve">张家港市市区绿地养护管理百分考核细则</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类别</w:t>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分类</w:t>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考核内容及管护要求</w:t>
            </w:r>
            <w:r/>
          </w:p>
        </w:tc>
        <w:tc>
          <w:tcPr>
            <w:shd w:val="clear" w:color="auto" w:fill="auto"/>
            <w:tcBorders>
              <w:top w:val="none" w:color="000000" w:sz="4" w:space="0"/>
              <w:left w:val="none" w:color="000000" w:sz="4" w:space="0"/>
              <w:bottom w:val="single" w:color="auto" w:sz="4" w:space="0"/>
              <w:right w:val="single" w:color="auto" w:sz="4" w:space="0"/>
            </w:tcBorders>
            <w:tcW w:w="226"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扣分内容</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一级扣分</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二级扣分</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三级扣分</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整体效果</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绿化长势</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树木无死株、缺株、半截子树、断枝及枯枝；非落叶季节，树木无大片光秃落叶，乔木、花灌木、球类保存率100%。灌木、地被基本无空缺。乔灌木、地被有缺株、空缺时应及时补植，少数因季节不能及时补种的除外。</w:t>
            </w:r>
            <w:r/>
          </w:p>
        </w:tc>
        <w:tc>
          <w:tcPr>
            <w:shd w:val="clear" w:color="auto" w:fill="auto"/>
            <w:tcBorders>
              <w:top w:val="none" w:color="000000" w:sz="4" w:space="0"/>
              <w:left w:val="single" w:color="auto" w:sz="4" w:space="0"/>
              <w:bottom w:val="single" w:color="auto" w:sz="4" w:space="0"/>
              <w:right w:val="single" w:color="auto" w:sz="4" w:space="0"/>
            </w:tcBorders>
            <w:tcW w:w="226"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因管护不当造成乔灌木、地被、草坪成片死亡；</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乔木有死株、缺株、半截子树，灌木、地被、草坪有大空缺；</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花境植物长势良好，花境内植物搭配合理且层次错落有致，不杂乱，无空缺，各植物间边界清晰，生长互不影响，景观效果优美。</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有断枝、枯枝、落叶等成堆未及时清理；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花境植物杂乱、长势不佳；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草坪应长势良好，无空缺，无黄化、无杂草。如有空缺、草坪退化区域应根据实际情况进行追播、重铺或改种地被。</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死亡乔灌木、地被、草坪未及时进行补缺；</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树木倒伏未及时处理；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除特殊景观要求外，树木倾斜超过10°必须扶正。新栽植树木和扶正树木应进行支撑加固。支撑应规范统一，着力点与树干接触处应铺垫软质材料。破损或绑扎过紧应及时修复或重绑。</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树木倾斜未及时扶正；</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树木支撑缺失、破损、不规范；</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树木长势不良，未采取措施改善；</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日常养护</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整枝修剪</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树木品种、生长阶段、生长势强弱、花芽着生部位、开花季节等及时剥芽、修剪，确保树木通风透光良好。树木修剪规范整齐，定枝、整枝合理均匀，无徒长枝、病虫枝、交叉枝、并生枝、下垂枝、萌蘖枝以及枯枝烂枝，修剪操作规范，剪口平整，及时涂抹防腐剂或生长素。行道树常绿树每年进行一次疏枝修剪，落叶树每年冬天进行定型修剪。</w:t>
            </w:r>
            <w:r/>
          </w:p>
        </w:tc>
        <w:tc>
          <w:tcPr>
            <w:shd w:val="clear" w:color="auto" w:fill="auto"/>
            <w:tcBorders>
              <w:top w:val="none" w:color="000000" w:sz="4" w:space="0"/>
              <w:left w:val="single" w:color="auto" w:sz="4" w:space="0"/>
              <w:bottom w:val="single" w:color="auto" w:sz="4" w:space="0"/>
              <w:right w:val="single" w:color="auto" w:sz="4" w:space="0"/>
            </w:tcBorders>
            <w:tcW w:w="226"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55分</w:t>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修剪不合时宜，私自乱修，造成不良景观效果； </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乔木有大量徒长枝、病虫枝、交叉枝等；</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乔木修剪不规范，剪口不平整、无保护措施；</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绿地内乔灌木（银杏、紫叶李、山楂、香橼、木瓜等）疏果不及时，居民自行采摘造成断枝；</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灌木类修剪应及时、准确，应按原设计造型或规定的形状和高度修剪。规则式绿篱、色块修剪应保持顶部和基部水平，做到无断层、无缺口、无光秃，线条应横平竖直，波浪型等其他造型修剪应确保曲线润畅，轮廓明显，不同品种间过度平缓。球类修剪应圆整。列植式球类及柱状小乔木修剪需圆润饱满，顶部、下脚修剪高度一致；组团式球类修剪应错落有致。</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行道树未按要求进行修剪；</w:t>
            </w:r>
            <w:r>
              <w:rPr>
                <w:rFonts w:hint="eastAsia" w:ascii="宋体" w:hAnsi="宋体" w:eastAsia="宋体" w:cs="宋体"/>
                <w:color w:val="auto"/>
                <w:sz w:val="18"/>
                <w:szCs w:val="18"/>
                <w:highlight w:val="none"/>
                <w:lang w:eastAsia="zh-CN"/>
              </w:rPr>
              <w:t xml:space="preserve">落叶树未按要求进行冬季定型修剪；</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行道树（银杏）疏果不及时，造成树木长势不良；</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灌木修剪，</w:t>
            </w:r>
            <w:r>
              <w:rPr>
                <w:rFonts w:hint="eastAsia" w:ascii="宋体" w:hAnsi="宋体" w:eastAsia="宋体" w:cs="宋体"/>
                <w:color w:val="auto"/>
                <w:sz w:val="18"/>
                <w:szCs w:val="18"/>
                <w:highlight w:val="none"/>
                <w:lang w:eastAsia="zh-CN"/>
              </w:rPr>
              <w:t xml:space="preserve">冒高枝条修剪不及时，</w:t>
            </w:r>
            <w:r>
              <w:rPr>
                <w:rFonts w:hint="eastAsia" w:ascii="宋体" w:hAnsi="宋体" w:eastAsia="宋体" w:cs="宋体"/>
                <w:color w:val="auto"/>
                <w:sz w:val="18"/>
                <w:szCs w:val="18"/>
                <w:highlight w:val="none"/>
              </w:rPr>
              <w:t xml:space="preserve">形状不完整、线条不流畅；</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造型植物修剪缺乏美感，造型不合理；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造型植物适时修剪，保证其原有艺术形态。萌发能力、长势强的造型树需定期重新造型，造型方式及工具、材料选择合理，不破坏树体，伤口处理及时科学，造型等无重大失误。</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造型植物钢丝等未及时松解，月季、樱花等支撑未及时松绑；</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草坪修剪不</w:t>
            </w:r>
            <w:r>
              <w:rPr>
                <w:rFonts w:hint="eastAsia" w:ascii="宋体" w:hAnsi="宋体" w:eastAsia="宋体" w:cs="宋体"/>
                <w:color w:val="auto"/>
                <w:sz w:val="18"/>
                <w:szCs w:val="18"/>
                <w:highlight w:val="none"/>
                <w:lang w:eastAsia="zh-CN"/>
              </w:rPr>
              <w:t xml:space="preserve">及时、不</w:t>
            </w:r>
            <w:r>
              <w:rPr>
                <w:rFonts w:hint="eastAsia" w:ascii="宋体" w:hAnsi="宋体" w:eastAsia="宋体" w:cs="宋体"/>
                <w:color w:val="auto"/>
                <w:sz w:val="18"/>
                <w:szCs w:val="18"/>
                <w:highlight w:val="none"/>
              </w:rPr>
              <w:t xml:space="preserve">平整、色斑明显；</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草坪修剪太低导致枯黄，扣2分/处；</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草坪要适时进行修剪，保持一定高度，修剪面平整，边角无遗留，草屑、枯草层及时清理运出。</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水生植物、宿根花卉等地被类未按要求分株翻种、冬季未按规定修剪；</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水生植物、芒草修剪，留茬高度一致、整齐，景观效果良好。宿根花卉类应在冬季枯黄后及时剪除地上部分，及时清理枯枝残叶及杂物，定时疏除繁殖过快种类，必要时3-4年进行1次分株翻种。</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攀援植物未按要求修剪；</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植株修剪时，未按要求做好安全防护措施；</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整枝修剪</w:t>
            </w:r>
            <w:r/>
          </w:p>
        </w:tc>
        <w:tc>
          <w:tcPr>
            <w:shd w:val="clear" w:color="auto" w:fill="auto"/>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攀援植物在5、7、11月或开花后进行修剪，生长季节做好梳理、造型、固定等工作。定期清除枯死枝、老弱枝，减少枝条重叠。</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修剪物、草屑等未及时清理；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因修剪物、草屑清运不及时导致植物病害；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病虫防治</w:t>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“预防为主、综合防治”，生物、物理以及化学等防治多管齐下，化学防治需报备经审核同意，科学用药，及时准确。</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发生破坏生态环境的严重虫害；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春秋两季，重点防治刺吸性害虫，植物生长期注意防治食叶类害虫及钻蛀性害虫，水生植物重点防治侵染性病害，草坪及多年生地被类应重点防治地下害虫。</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使用违禁农药，用药配比、用量等不合理，产生药害；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未按要求开展各种病虫害防治工作，绿地内出现成片蚧壳虫、蛾类、天牛等害虫危害症状；有检疫性害虫未及时发现或发现不报告；因虫害诱发社会矛盾及居民投诉；</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发现病虫害及时汇报，按规定使用农药，做到合理配比、选准药品、用量正确，无药害产生。</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病虫害发生后，防治不及时</w:t>
            </w:r>
            <w:r>
              <w:rPr>
                <w:rFonts w:hint="eastAsia" w:ascii="宋体" w:hAnsi="宋体" w:eastAsia="宋体" w:cs="宋体"/>
                <w:color w:val="auto"/>
                <w:sz w:val="18"/>
                <w:szCs w:val="18"/>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在植物休眠期通过修剪、树木涂白及清洁栽植地等措施，减少越冬虫源。</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冬季未按要求对树木进行涂白、虫害枝修剪；</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根据标段实际情况，建立病虫害防治台账，及时进行预测防治。</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未建立病虫害防治计划及台账；</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松土除草</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树穴应定期进行松土，确保苗木根部周围土壤疏松，松土深度以不伤根系生长为宜。每年春秋两季应进行草坪打孔工作，确保草坪长势良好。每年冬季，片林空地进行整体深翻1次。</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树穴土壤板结，长期不疏松；</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未按要求进行草坪打孔工作；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未按要求进行片林空地深翻工作；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除草应除早、除小，及时去除大型恶性杂草及杂树。草坪除草以人工拔除为主，适当采用生物和化学防治措施，除草剂选用需报备，经审核同意后方可使用。</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杂草清理不及时；</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草坪除草使用违禁除草剂；</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乔灌木上的蔓性藤本杂草，未及时清除；</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蔓性藤本类杂草应及时清除，攀援类植物应控制长势、及时绑扎，避免攀爬至其他乔灌木树种。</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因蔓性藤本杂草导致乔灌木死亡；</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攀援植物未提前干预，导致爬到乔灌木上； </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灌木、地被、草坪间应进行切边处理，且切边应规范，不宜过宽、过深，切边需流畅圆润，其内种植土应细碎平整。</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灌木、地被、草坪间未进行切边处理；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灌木、地被、草坪间切边不规范，过宽或过深或线条不流畅；</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浇灌排水</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根据实际，对绿地进行适树、适地、适时、适量浇灌，确保植物正常生长所需水分。</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高温抗旱期间，因措施不力导致大量植物焦头、枯死；</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未按要求浇春水或防冻水；</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每年春季苗木萌发前浇春水至少1次，冬季休眠前浇防冻水至少1次，确保植物长势良好。每年5-10月期间，连续15天无降雨需启动抗旱应急预案，配足水车、水泵等浇水设备，确保各类植物无干旱致死情况发生。</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日常浇水不及时，导致植物长势不佳；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日常浇水不及时，导致植物枯死；</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旱季未按要求使用滴灌袋、抗蒸腾剂及保水剂等措施，导致景观树长势不佳；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浇灌前应挖穴或打洞松土，以浇透为宜，水分应渗透至植物根部。高温干旱时，应结合叶面喷雾或树干保湿，浇灌效果不理想的情况下使用滴灌袋、抗蒸腾剂及保水剂等措施。</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浇灌不规范，浇灌前未挖穴松土，浇灌不彻底；</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雨季雨后绿地、草坪积水未及时排出；</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雨季绿地内无积水，坑洼处必须及时填平，耐涝性差的树木应在6小时内排除积水、地被12小时内排除积水，低洼易积水处设置排水沟，确保雨后积水及时排除，道路景观林带内沟渠畅通无堵塞现象。</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雨季积水未及时排出，导致树木烂根、死亡；</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浇灌时间、措施等不合时宜，影响交通秩序或引发其他投诉；</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浇水时间应避开行人、车辆上下班高峰期及夏季高温时段。夏季尽量选择在早晨或晚上适时适量进行浇灌作业。夏季抗旱期间，根据甲方安排，按规定使用消防栓取水，消防栓如有破损，按规定赔偿。</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违规使用消防栓；</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消防栓因使用不规范造成破损；</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水源应确保无有害物质，提倡使用中水、雨水和河水浇灌。</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使用不合规定的水源；</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因水源质量问题，导致植物长势不佳、产生病害；</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树木应根据树种、树龄、生长势和土壤理化性质而科学施肥。树木休眠期施基肥，生长期施追肥1-2次，花灌木花前、花后补施花肥，行道树每年施棒肥。施肥后及时覆盖。</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偷工减料，甲供肥挪作他用；</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因施肥发生严重肥害，并导致植物死亡；</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基肥应采用腐熟有机肥，追肥应以磷肥、氮肥为主，开花植物花前施磷、钾肥，花后施氮肥。香樟等出现黄化症状，应酸化根际土壤并树干注射、叶片喷施铁肥。</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未按要求开展施肥工作；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施肥用量不合理，导致植物长势不好；</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shd w:val="clear" w:color="auto" w:fill="auto"/>
            <w:tcBorders>
              <w:top w:val="none" w:color="000000" w:sz="4" w:space="0"/>
              <w:left w:val="single" w:color="auto" w:sz="4" w:space="0"/>
              <w:bottom w:val="single" w:color="000000"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方法适当，用量合理，不产生肥害。乔木类采用沟施或穴施，深度大于30cm，并及时覆盖。灌木、地被、草坪等撒施肥料后应及时充分浇水，肥料不得粘在花、叶上，以免灼伤。水生植物施肥不应污染水质。吸附类藤本应叶面施肥。草坪应薄肥勤施。</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施肥时间不合时宜；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施肥不规范，操作不合理，如施肥后未覆盖等；</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肥料质量不佳，导致植物长势不好；</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保洁保护</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及时清理绿地内垃圾、杂物，无卫生死角。植物修剪后枝叶、垃圾应及时清运不过夜，绿化废弃物应按规定运至指定绿化废弃物处理站点，不乱丢乱抛</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绿地内垃圾随意偷倒；</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1分/次</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绿地内有垃圾、杂物；</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冬季越冬，对需防寒的植物（新栽植植物、铁树、加拿利海枣、花境植物及造型树等）采取地面覆盖、包扎树体、搭建防寒棚等措施，必要时适当喷施防冻液，多举措进行冬季植物保暖工作。</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垃圾、杂物乱堆放，未日清；</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绿化垃圾未按规定运至指定处理站点；</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未对植物进行越冬保护；</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绿化景观应保存完好，非法绿地开挖、交通事故、毁绿种菜、人为踩踏、砍伐绿化、偷盗等现象应及时发现、制止，拍照取证、统计破坏量并及时上报12319及甲方、做好后期跟踪处理及绿地恢复等工作。</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非审批事由造成的绿地破坏未及时上报、修复；</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有菜地未清理；</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000000"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有菜地增加；</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shd w:val="clear" w:color="auto" w:fill="auto"/>
            <w:tcBorders>
              <w:top w:val="none" w:color="000000" w:sz="4" w:space="0"/>
              <w:left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上岗人员</w:t>
            </w:r>
            <w:r/>
          </w:p>
        </w:tc>
        <w:tc>
          <w:tcPr>
            <w:shd w:val="clear" w:color="auto" w:fill="auto"/>
            <w:tcBorders>
              <w:top w:val="none" w:color="000000" w:sz="4" w:space="0"/>
              <w:left w:val="none" w:color="000000"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人员数量</w:t>
            </w:r>
            <w:r/>
          </w:p>
        </w:tc>
        <w:tc>
          <w:tcPr>
            <w:shd w:val="clear" w:color="auto" w:fill="auto"/>
            <w:tcBorders>
              <w:top w:val="none" w:color="000000" w:sz="4" w:space="0"/>
              <w:left w:val="none" w:color="000000"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w:t>
            </w:r>
            <w:r/>
          </w:p>
        </w:tc>
        <w:tc>
          <w:tcPr>
            <w:shd w:val="clear" w:color="000000" w:fill="ffffff"/>
            <w:tcBorders>
              <w:top w:val="none" w:color="000000" w:sz="4" w:space="0"/>
              <w:left w:val="none" w:color="000000"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每个标段需按要求配备项目负责人、现场负责人各1名。按要求配齐配足不低于各标段额定人数的养护作业人员（详见附件一，</w:t>
            </w:r>
            <w:r>
              <w:rPr>
                <w:rFonts w:hint="eastAsia" w:ascii="宋体" w:hAnsi="宋体" w:eastAsia="宋体" w:cs="宋体"/>
                <w:color w:val="auto"/>
                <w:sz w:val="18"/>
                <w:szCs w:val="18"/>
                <w:highlight w:val="none"/>
                <w:lang w:val="en-US" w:eastAsia="zh-CN"/>
              </w:rPr>
              <w:t xml:space="preserve">2024-2026年度</w:t>
            </w:r>
            <w:r>
              <w:rPr>
                <w:rFonts w:hint="eastAsia" w:ascii="宋体" w:hAnsi="宋体" w:eastAsia="宋体" w:cs="宋体"/>
                <w:color w:val="auto"/>
                <w:sz w:val="18"/>
                <w:szCs w:val="18"/>
                <w:highlight w:val="none"/>
              </w:rPr>
              <w:t xml:space="preserve">市区公共绿地养护服务额定用工明细表），养护作业人员中，男工占比不低于30%（65周岁以下男性壮劳力应占比20%以上），女工65周岁以下应占比40%以上，行道树养护应独立成立一支专业养护队伍，且要求全部为男性壮劳力。</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eastAsia="zh-CN"/>
              </w:rPr>
              <w:t xml:space="preserve">现场负责人每日</w:t>
            </w:r>
            <w:r>
              <w:rPr>
                <w:rFonts w:hint="eastAsia" w:ascii="宋体" w:hAnsi="宋体" w:eastAsia="宋体" w:cs="宋体"/>
                <w:color w:val="auto"/>
                <w:sz w:val="18"/>
                <w:szCs w:val="18"/>
                <w:highlight w:val="none"/>
                <w:lang w:val="en-US" w:eastAsia="zh-CN"/>
              </w:rPr>
              <w:t xml:space="preserve">9:00前完成当日出勤作业人员考勤工作，并将出勤作业人员人数及作业内容上报智慧住建APP。</w:t>
            </w:r>
            <w:r/>
          </w:p>
        </w:tc>
        <w:tc>
          <w:tcPr>
            <w:shd w:val="clear" w:color="auto" w:fill="auto"/>
            <w:tcBorders>
              <w:top w:val="none" w:color="000000" w:sz="4" w:space="0"/>
              <w:left w:val="none" w:color="000000" w:sz="4" w:space="0"/>
              <w:right w:val="single" w:color="auto" w:sz="4" w:space="0"/>
            </w:tcBorders>
            <w:tcW w:w="226"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shd w:val="clear" w:color="000000" w:fill="ffffff"/>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 xml:space="preserve">每月不定期、不定次对标段养护作业人员进行抽查</w:t>
            </w:r>
            <w:r>
              <w:rPr>
                <w:rFonts w:hint="eastAsia" w:ascii="宋体" w:hAnsi="宋体" w:eastAsia="宋体" w:cs="宋体"/>
                <w:color w:val="auto"/>
                <w:sz w:val="18"/>
                <w:szCs w:val="18"/>
                <w:highlight w:val="none"/>
                <w:lang w:val="en-US" w:eastAsia="zh-CN"/>
              </w:rPr>
              <w:t xml:space="preserve">；抽查人数少于额定人数；</w:t>
            </w:r>
            <w:r/>
          </w:p>
        </w:tc>
        <w:tc>
          <w:tcPr>
            <w:gridSpan w:val="3"/>
            <w:shd w:val="clear" w:color="auto" w:fill="auto"/>
            <w:tcBorders>
              <w:top w:val="none" w:color="000000" w:sz="4" w:space="0"/>
              <w:left w:val="none" w:color="000000" w:sz="4" w:space="0"/>
              <w:bottom w:val="single" w:color="auto" w:sz="4" w:space="0"/>
              <w:right w:val="single" w:color="auto" w:sz="4" w:space="0"/>
            </w:tcBorders>
            <w:tcW w:w="1138" w:type="pct"/>
            <w:vAlign w:val="center"/>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出勤人数少于额定数的，每少10%，扣一分/次；出勤人数/额定人数低于80%（不含）的，</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每少1人*次(较额定人数)，扣0.5分；上报人数与抽查人数不符，存在谎报、虚报的每发现一次扣一分。</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组织管理</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养护台账</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33</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每周按时按规定上报养护日志、日常巡查记录；每月按时按规定上报养护计划、病虫害防治、苗木移植记录、死树清理记录等。签证资料需于工程结束一周内及时上交。</w:t>
            </w:r>
            <w:r/>
          </w:p>
        </w:tc>
        <w:tc>
          <w:tcPr>
            <w:shd w:val="clear" w:color="auto" w:fill="auto"/>
            <w:tcBorders>
              <w:top w:val="none" w:color="000000" w:sz="4" w:space="0"/>
              <w:left w:val="single" w:color="auto" w:sz="4" w:space="0"/>
              <w:bottom w:val="single" w:color="auto" w:sz="4" w:space="0"/>
              <w:right w:val="single" w:color="auto" w:sz="4" w:space="0"/>
            </w:tcBorders>
            <w:tcW w:w="226"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25分</w:t>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未按要求上报月度养护计划、养护日志、</w:t>
            </w:r>
            <w:r>
              <w:rPr>
                <w:rFonts w:hint="eastAsia" w:ascii="宋体" w:hAnsi="宋体" w:eastAsia="宋体" w:cs="宋体"/>
                <w:color w:val="auto"/>
                <w:sz w:val="18"/>
                <w:szCs w:val="18"/>
                <w:highlight w:val="none"/>
                <w:lang w:eastAsia="zh-CN"/>
              </w:rPr>
              <w:t xml:space="preserve">巡查记录、</w:t>
            </w:r>
            <w:r>
              <w:rPr>
                <w:rFonts w:hint="eastAsia" w:ascii="宋体" w:hAnsi="宋体" w:eastAsia="宋体" w:cs="宋体"/>
                <w:color w:val="auto"/>
                <w:sz w:val="18"/>
                <w:szCs w:val="18"/>
                <w:highlight w:val="none"/>
              </w:rPr>
              <w:t xml:space="preserve">病虫害防治、苗木移植记录、死树清理，按系统结果；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single" w:color="auto"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未按时上报签证资料及其他要求上报的资料；</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养护制度</w:t>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落实项目负责人、现场负责人、日常巡查制度，通讯（手机、QQ、微信等）设备畅通，自然灾害等特殊时间24小时通讯畅通；无特殊原因，未经甲方同意，无特殊原因不得更换项目负责人、现场负责人；合理安排日常巡查及养护工作，按时至巡查点报到。</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发生重大责任事故或安全生产事故；</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应急工作未配合甲方，或甲方催促后仍未配合；</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开展应急工作的设备、人员等未及时到位，或措施不达标；</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落实安全文明作业制度，标段内严格按安全生产操作流程及养护管理规范组织作业，保障人员安全。</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项目负责人、现场负责人未经同意随意变更；</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项目负责人、现场负责人通讯设备不通畅、未及时回复；</w:t>
            </w:r>
            <w:r>
              <w:rPr>
                <w:rFonts w:hint="eastAsia" w:ascii="宋体" w:hAnsi="宋体" w:eastAsia="宋体" w:cs="宋体"/>
                <w:color w:val="auto"/>
                <w:sz w:val="18"/>
                <w:szCs w:val="18"/>
                <w:highlight w:val="none"/>
                <w:u w:val="none"/>
                <w:lang w:eastAsia="zh-CN"/>
              </w:rPr>
              <w:t xml:space="preserve">未经书面请假批准，无故不在现场；</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落实应急制度，积极配合甲方需求，快速安排因自然灾害、重大活动等情况引起的养护应急工作；设备、人员等及时到位，措施应对迅速、有效。</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现场负责人未至巡查点报到或漏报；</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养护工人着装不规范；</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落实机械设备保障制度，制定日常管理方案及后期维护保养方案，机械设备用于本标段专职养护。</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养护工作安全措施不到位；</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车辆、机械设备用于其他工程、养护工作；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38</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按要求准时参加会议、活动及各类业务培训。</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会议、培训等无故缺席；</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会议、培训等无故迟到。</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8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按照整改通知书按时完成月度整改工作并提交书面回复资料。</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未及时完成月度整改工作；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“张家港市市区绿化养护管理系统”下发的日常整改问题需及时完成并按要求上传回复。</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同一问题多次派单整改未果；</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10分/次</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5分/次</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3分/次</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未及时上交整改通知书；</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41</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核实并及时处理12345便民服务、数字化城管等相关部门、群众、居民反映的养护问题以及甲方派发的其他临时突击的养护工作内容。</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提交的整改通知书内容与整改要求不对应；</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养护管理系统派单、12345便民服务及数字化城管等部门反映的问题，处理后未按要求反馈；</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227"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w:t>
            </w:r>
            <w:r/>
          </w:p>
        </w:tc>
        <w:tc>
          <w:tcPr>
            <w:shd w:val="clear" w:color="auto" w:fill="auto"/>
            <w:tcBorders>
              <w:top w:val="none" w:color="000000" w:sz="4" w:space="0"/>
              <w:left w:val="single" w:color="auto" w:sz="4" w:space="0"/>
              <w:bottom w:val="single" w:color="auto" w:sz="4" w:space="0"/>
              <w:right w:val="single" w:color="auto" w:sz="4" w:space="0"/>
            </w:tcBorders>
            <w:tcW w:w="1585" w:type="pct"/>
            <w:vAlign w:val="center"/>
            <w:vMerge w:val="restart"/>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按要求完成甲方派发的其他工作任务。</w:t>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有关部门、12345便民服务等投诉的养护问题，经核实后属实；</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r>
        <w:trPr>
          <w:trHeight w:val="23"/>
        </w:trPr>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7"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1585"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none" w:color="000000" w:sz="4" w:space="0"/>
              <w:left w:val="single" w:color="auto" w:sz="4" w:space="0"/>
              <w:bottom w:val="single" w:color="auto" w:sz="4" w:space="0"/>
              <w:right w:val="single" w:color="auto" w:sz="4" w:space="0"/>
            </w:tcBorders>
            <w:tcW w:w="226" w:type="pct"/>
            <w:vAlign w:val="center"/>
            <w:vMerge w:val="continue"/>
            <w:textDirection w:val="lrTb"/>
            <w:noWrap w:val="false"/>
          </w:tcPr>
          <w:p>
            <w:pPr>
              <w:jc w:val="left"/>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未按要求完成甲方安排的其他工作任务。</w:t>
            </w:r>
            <w:r/>
          </w:p>
        </w:tc>
        <w:tc>
          <w:tcPr>
            <w:shd w:val="clear" w:color="auto" w:fill="auto"/>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2分/处</w:t>
            </w:r>
            <w:r/>
          </w:p>
        </w:tc>
        <w:tc>
          <w:tcPr>
            <w:shd w:val="clear" w:color="auto" w:fill="auto"/>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1分/处</w:t>
            </w:r>
            <w:r/>
          </w:p>
        </w:tc>
        <w:tc>
          <w:tcPr>
            <w:shd w:val="clear" w:color="auto" w:fill="auto"/>
            <w:tcBorders>
              <w:top w:val="none" w:color="000000" w:sz="4" w:space="0"/>
              <w:left w:val="none" w:color="000000" w:sz="4" w:space="0"/>
              <w:bottom w:val="single" w:color="auto" w:sz="4" w:space="0"/>
              <w:right w:val="single" w:color="auto" w:sz="4" w:space="0"/>
            </w:tcBorders>
            <w:tcW w:w="368" w:type="pct"/>
            <w:vAlign w:val="center"/>
            <w:textDirection w:val="lrTb"/>
            <w:noWrap w:val="false"/>
          </w:tcPr>
          <w:p>
            <w:pPr>
              <w:jc w:val="lef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0.5分/处</w:t>
            </w:r>
            <w:r/>
          </w:p>
        </w:tc>
      </w:tr>
    </w:tbl>
    <w:p>
      <w:pPr>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br w:type="page" w:clear="all"/>
      </w:r>
      <w:r/>
    </w:p>
    <w:p>
      <w:pPr>
        <w:pStyle w:val="73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公园设施维修考核办法</w:t>
      </w:r>
      <w:r/>
    </w:p>
    <w:p>
      <w:pPr>
        <w:pStyle w:val="731"/>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一、考核范围</w:t>
      </w:r>
      <w:r/>
    </w:p>
    <w:p>
      <w:pPr>
        <w:pStyle w:val="1348"/>
        <w:ind w:left="0" w:firstLine="48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适用于公园内各类设施维修养护项目，包括但不限于：</w:t>
      </w:r>
      <w:r/>
    </w:p>
    <w:p>
      <w:pPr>
        <w:pStyle w:val="1348"/>
        <w:numPr>
          <w:ilvl w:val="0"/>
          <w:numId w:val="0"/>
        </w:numPr>
        <w:ind w:left="0" w:firstLine="480"/>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步道铺装、休息座椅、照明系统</w:t>
      </w:r>
      <w:r/>
    </w:p>
    <w:p>
      <w:pPr>
        <w:pStyle w:val="1348"/>
        <w:numPr>
          <w:ilvl w:val="0"/>
          <w:numId w:val="0"/>
        </w:numPr>
        <w:ind w:left="0" w:firstLine="480"/>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游乐设施、健身器材、水电设施</w:t>
      </w:r>
      <w:r/>
    </w:p>
    <w:p>
      <w:pPr>
        <w:pStyle w:val="1348"/>
        <w:numPr>
          <w:ilvl w:val="0"/>
          <w:numId w:val="0"/>
        </w:numPr>
        <w:ind w:left="0" w:firstLine="480"/>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房屋建筑、园林景观设施等</w:t>
      </w:r>
      <w:r/>
    </w:p>
    <w:p>
      <w:pPr>
        <w:pStyle w:val="1348"/>
        <w:numPr>
          <w:ilvl w:val="0"/>
          <w:numId w:val="0"/>
        </w:numPr>
        <w:ind w:left="0" w:firstLine="480"/>
        <w:pageBreakBefore w:val="0"/>
        <w:spacing w:before="0" w:after="0" w:line="360" w:lineRule="auto"/>
        <w:tabs>
          <w:tab w:val="left" w:pos="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因中标单位维修维护不到位引起的安全事故，由中标单位自行承担全部责任。</w:t>
      </w:r>
      <w:r/>
    </w:p>
    <w:p>
      <w:pPr>
        <w:pStyle w:val="731"/>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二、考核主体</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市公园处成立设施维修考核小组，成员包括市住建局相关职能科室、市公园处工作人员。</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考核小组每月开展集中考核，结合日常巡查结果综合评分。</w:t>
      </w:r>
      <w:r/>
    </w:p>
    <w:p>
      <w:pPr>
        <w:pStyle w:val="731"/>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三、考核方法</w:t>
      </w:r>
      <w:r/>
    </w:p>
    <w:p>
      <w:pPr>
        <w:pStyle w:val="732"/>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（一）考核周期</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月度考核</w:t>
      </w:r>
      <w:r>
        <w:rPr>
          <w:rFonts w:hint="eastAsia" w:ascii="宋体" w:hAnsi="宋体" w:eastAsia="宋体" w:cs="宋体"/>
          <w:color w:val="auto"/>
          <w:sz w:val="24"/>
          <w:szCs w:val="24"/>
          <w:highlight w:val="none"/>
        </w:rPr>
        <w:t xml:space="preserve">：每月依据《公园设施维修百分考核细则》打分，满分 100 分。</w:t>
      </w:r>
      <w:r/>
    </w:p>
    <w:p>
      <w:pPr>
        <w:pStyle w:val="732"/>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（二）评分标准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日常巡检（25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未按要求每日巡检设施并记录，每次扣 2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巡检发现安全隐患未及时采取防护措施，每次扣 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巡检记录不完整（缺时间、人员、问题描述），每项扣 1 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维修及时性（30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一般故障（如座椅损坏、照明不亮）未在 24 小时内修复，每次扣 3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重大安全隐患（如步道塌陷、游乐设施结构损坏）未在 4 小时内响应，每次扣 10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维修完成后未及时反馈至采购单位，每次扣 2 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维修质量（20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维修后设施未达到使用标准（如步道不平整、座椅松动），每次扣 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维修材料不符合要求（如使用劣质配件），每次扣 10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维修后未清理现场杂物，每次扣 2 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定期维护（15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未按周期开展维护（如步道季度修补、座椅半年防腐），每次扣 3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维护记录缺失或造假，每次扣 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维护后设施性能未提升（如照明系统亮灯率低于 98%），每次扣 3 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应急响应（10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未制定设施突发故障应急预案，扣 5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应急事件（如暴雨导致设施损坏）响应超时，每次扣 3 分；</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未配合采购单位完成重大活动保障任务，每次扣 5 分。</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扣分项</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同一问题连续两个月重复出现，扣分加倍；</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因维修不当导致游客受伤或财产损失，每次扣 20 分并承担赔偿责任；</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未经采购单位书面同意擅自改造设施，每次扣 15 分。</w:t>
      </w:r>
      <w:r/>
    </w:p>
    <w:p>
      <w:pPr>
        <w:pStyle w:val="731"/>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四、考核与付款挂钩机制</w:t>
      </w:r>
      <w:r/>
    </w:p>
    <w:p>
      <w:pPr>
        <w:pStyle w:val="1348"/>
        <w:numPr>
          <w:ilvl w:val="0"/>
          <w:numId w:val="0"/>
        </w:numP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月度付款</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得分≥90 分：全额支付当月</w:t>
      </w:r>
      <w:r>
        <w:rPr>
          <w:rFonts w:hint="eastAsia" w:ascii="宋体" w:hAnsi="宋体" w:eastAsia="宋体" w:cs="宋体"/>
          <w:color w:val="auto"/>
          <w:sz w:val="24"/>
          <w:szCs w:val="24"/>
          <w:highlight w:val="none"/>
          <w:lang w:val="en-US" w:eastAsia="zh-CN"/>
        </w:rPr>
        <w:t xml:space="preserve">对应部分</w:t>
      </w:r>
      <w:r>
        <w:rPr>
          <w:rFonts w:hint="eastAsia" w:ascii="宋体" w:hAnsi="宋体" w:eastAsia="宋体" w:cs="宋体"/>
          <w:color w:val="auto"/>
          <w:sz w:val="24"/>
          <w:szCs w:val="24"/>
          <w:highlight w:val="none"/>
        </w:rPr>
        <w:t xml:space="preserve">服务费；</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分≤得分＜90 分：每低 1 分扣除当月服务费基数的 3%；</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 分≤得分＜85 分：每低 1 分扣除当月服务费基数的 5%；</w:t>
      </w:r>
      <w:r/>
    </w:p>
    <w:p>
      <w:pPr>
        <w:pStyle w:val="1348"/>
        <w:numPr>
          <w:ilvl w:val="1"/>
          <w:numId w:val="20"/>
        </w:numPr>
        <w:ind w:left="-62" w:firstLine="482"/>
        <w:pageBreakBefore w:val="0"/>
        <w:spacing w:before="0" w:after="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得分＜80 分：每低 1 分扣除当月服务费基数的 8%。</w:t>
      </w:r>
      <w:r/>
    </w:p>
    <w:p>
      <w:pPr>
        <w:pStyle w:val="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、其他规定</w:t>
      </w:r>
      <w:r/>
    </w:p>
    <w:p>
      <w:pPr>
        <w:pStyle w:val="1348"/>
        <w:numPr>
          <w:ilvl w:val="0"/>
          <w:numId w:val="0"/>
        </w:num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整改要求</w:t>
      </w:r>
      <w:r/>
    </w:p>
    <w:p>
      <w:pPr>
        <w:pStyle w:val="13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考核中发现的问题需在 3 个工作日内整改完毕，未按时整改加倍扣分。</w:t>
      </w:r>
      <w:bookmarkEnd w:id="203"/>
      <w:bookmarkEnd w:id="204"/>
      <w:r/>
    </w:p>
    <w:p>
      <w:pPr>
        <w:pStyle w:val="1282"/>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r>
      <w:r/>
    </w:p>
    <w:p>
      <w:pPr>
        <w:pStyle w:val="782"/>
        <w:pageBreakBefore/>
        <w:spacing w:line="360" w:lineRule="auto"/>
        <w:rPr>
          <w:rFonts w:ascii="宋体" w:hAnsi="宋体" w:eastAsia="宋体"/>
          <w:b w:val="0"/>
          <w:color w:val="auto"/>
          <w:sz w:val="24"/>
          <w:highlight w:val="none"/>
        </w:rPr>
      </w:pPr>
      <w:r/>
      <w:bookmarkStart w:id="214" w:name="_Toc256000010"/>
      <w:r/>
      <w:bookmarkStart w:id="215" w:name="_Toc54615247"/>
      <w:r/>
      <w:bookmarkStart w:id="216" w:name="_Toc35266029"/>
      <w:r/>
      <w:bookmarkStart w:id="217" w:name="_Toc38368129"/>
      <w:r/>
      <w:bookmarkStart w:id="218" w:name="_Toc120614281"/>
      <w:r>
        <w:rPr>
          <w:rFonts w:hint="eastAsia" w:ascii="宋体" w:hAnsi="宋体" w:eastAsia="宋体"/>
          <w:color w:val="auto"/>
          <w:highlight w:val="none"/>
        </w:rPr>
        <w:t xml:space="preserve">第五章 评标方法与评标标准</w:t>
      </w:r>
      <w:bookmarkEnd w:id="214"/>
      <w:r/>
      <w:bookmarkEnd w:id="215"/>
      <w:r/>
      <w:bookmarkEnd w:id="216"/>
      <w:r/>
      <w:bookmarkEnd w:id="217"/>
      <w:r/>
      <w:r/>
    </w:p>
    <w:p>
      <w:pPr>
        <w:pStyle w:val="1250"/>
        <w:ind w:firstLine="500"/>
        <w:keepLines w:val="0"/>
        <w:keepNext w:val="0"/>
        <w:pageBreakBefore w:val="0"/>
        <w:spacing w:line="360" w:lineRule="auto"/>
        <w:rPr>
          <w:rFonts w:ascii="宋体" w:hAnsi="宋体" w:eastAsia="宋体" w:cs="宋体"/>
          <w:color w:val="auto"/>
          <w:spacing w:val="7"/>
          <w:highlight w:val="none"/>
        </w:rPr>
      </w:pPr>
      <w:r/>
      <w:bookmarkStart w:id="219" w:name="_Toc38368130"/>
      <w:r/>
      <w:bookmarkStart w:id="220" w:name="_Toc256000011"/>
      <w:r/>
      <w:bookmarkStart w:id="221" w:name="_Toc54615248"/>
      <w:r/>
      <w:bookmarkStart w:id="222" w:name="_Toc35266030"/>
      <w:r>
        <w:rPr>
          <w:rFonts w:hint="eastAsia" w:ascii="宋体" w:hAnsi="宋体" w:eastAsia="宋体" w:cs="宋体"/>
          <w:color w:val="auto"/>
          <w:spacing w:val="7"/>
          <w:highlight w:val="none"/>
        </w:rPr>
        <w:t xml:space="preserve">一、评标方法与定标原则</w:t>
      </w:r>
      <w:bookmarkEnd w:id="219"/>
      <w:r/>
      <w:bookmarkEnd w:id="220"/>
      <w:r/>
      <w:bookmarkEnd w:id="221"/>
      <w:r/>
      <w:bookmarkEnd w:id="222"/>
      <w:r/>
      <w:r/>
    </w:p>
    <w:p>
      <w:pPr>
        <w:pStyle w:val="1266"/>
        <w:ind w:firstLine="500"/>
        <w:keepLines w:val="0"/>
        <w:keepNext w:val="0"/>
        <w:pageBreakBefore w:val="0"/>
        <w:spacing w:line="360" w:lineRule="auto"/>
        <w:rPr>
          <w:rFonts w:ascii="宋体" w:hAnsi="宋体" w:eastAsia="宋体" w:cs="宋体"/>
          <w:color w:val="auto"/>
          <w:spacing w:val="7"/>
          <w:highlight w:val="none"/>
        </w:rPr>
      </w:pPr>
      <w:r/>
      <w:bookmarkStart w:id="223" w:name="EBd9567453f96a4fca96262d13cc886515"/>
      <w:r/>
      <w:bookmarkEnd w:id="223"/>
      <w:r/>
      <w:bookmarkStart w:id="224" w:name="EB408935d55b7f476780d0a00454bdff5b"/>
      <w:r>
        <w:rPr>
          <w:rFonts w:ascii="宋体" w:hAnsi="宋体" w:eastAsia="宋体" w:cs="宋体"/>
          <w:color w:val="auto"/>
          <w:spacing w:val="7"/>
          <w:highlight w:val="none"/>
        </w:rPr>
        <w:t xml:space="preserve"> 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2、针对中小型企业的评审：</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注：①中小企业参加政府采购活动，应当出具《中小企业声明函》，否则不得享受相关中小企业扶持政策；</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②以上规定未尽事项，按《政府采购促进中小企业发展管理办法》等有关制度规定执行。</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（2）根据《关于促进残疾人就业政府采购政策的通知》（财库〔2017〕141号）的通知规定：</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注：投标人如不提供以上声明函的，不得享受相关政府采购政策。</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（3）根据《关于政府采购支持监狱企业发展有关问题的通知》（财库〔2014〕68号）的通知规定：</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269"/>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注：投标人如不提供以上证明材料的，不得享受相关政府采购政策。</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落实</w:t>
      </w:r>
      <w:r>
        <w:rPr>
          <w:rFonts w:hint="default" w:ascii="宋体" w:hAnsi="宋体" w:eastAsia="宋体" w:cs="宋体"/>
          <w:color w:val="auto"/>
          <w:spacing w:val="7"/>
          <w:highlight w:val="none"/>
          <w:lang w:val="en-US" w:eastAsia="zh-CN"/>
        </w:rPr>
        <w:t xml:space="preserve">政府采购异常低价审查</w:t>
      </w:r>
      <w:r>
        <w:rPr>
          <w:rFonts w:hint="eastAsia" w:ascii="宋体" w:hAnsi="宋体" w:eastAsia="宋体" w:cs="宋体"/>
          <w:color w:val="auto"/>
          <w:spacing w:val="7"/>
          <w:highlight w:val="none"/>
          <w:lang w:val="en-US" w:eastAsia="zh-CN"/>
        </w:rPr>
        <w:t xml:space="preserve">。</w:t>
      </w:r>
      <w:bookmarkEnd w:id="224"/>
      <w:r/>
      <w:bookmarkStart w:id="225" w:name="_Toc35266031"/>
      <w:r/>
      <w:bookmarkStart w:id="226" w:name="_Toc38368131"/>
      <w:r/>
      <w:bookmarkStart w:id="227" w:name="_Toc54615249"/>
      <w:r/>
      <w:bookmarkStart w:id="228" w:name="_Toc256000012"/>
      <w:r/>
      <w:r/>
    </w:p>
    <w:p>
      <w:pPr>
        <w:pStyle w:val="1250"/>
        <w:ind w:firstLine="500"/>
        <w:keepLines w:val="0"/>
        <w:keepNext w:val="0"/>
        <w:pageBreakBefore w:val="0"/>
        <w:spacing w:line="360" w:lineRule="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（一）</w:t>
      </w:r>
      <w:r>
        <w:rPr>
          <w:rFonts w:hint="default" w:ascii="宋体" w:hAnsi="宋体" w:eastAsia="宋体" w:cs="宋体"/>
          <w:color w:val="auto"/>
          <w:spacing w:val="7"/>
          <w:highlight w:val="none"/>
          <w:lang w:val="en-US" w:eastAsia="zh-CN"/>
        </w:rPr>
        <w:t xml:space="preserve">评审过程中出现下列情形之一的，评审委员会应当启动异常低价投标（响应）审查程序：</w:t>
      </w:r>
      <w:r/>
    </w:p>
    <w:p>
      <w:pPr>
        <w:pStyle w:val="1250"/>
        <w:ind w:firstLine="500"/>
        <w:keepLines w:val="0"/>
        <w:keepNext w:val="0"/>
        <w:pageBreakBefore w:val="0"/>
        <w:spacing w:line="360" w:lineRule="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1.</w:t>
      </w:r>
      <w:r>
        <w:rPr>
          <w:rFonts w:hint="default" w:ascii="宋体" w:hAnsi="宋体" w:eastAsia="宋体" w:cs="宋体"/>
          <w:color w:val="auto"/>
          <w:spacing w:val="7"/>
          <w:highlight w:val="none"/>
          <w:lang w:val="en-US" w:eastAsia="zh-CN"/>
        </w:rPr>
        <w:t xml:space="preserve">投标（响应）报价低于采购项目预算50%的，即投标（响应）报价&lt;采购项目预算×50%；</w:t>
      </w:r>
      <w:r/>
    </w:p>
    <w:p>
      <w:pPr>
        <w:pStyle w:val="1250"/>
        <w:ind w:firstLine="500"/>
        <w:keepLines w:val="0"/>
        <w:keepNext w:val="0"/>
        <w:pageBreakBefore w:val="0"/>
        <w:spacing w:line="360" w:lineRule="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2.</w:t>
      </w:r>
      <w:r>
        <w:rPr>
          <w:rFonts w:hint="default" w:ascii="宋体" w:hAnsi="宋体" w:eastAsia="宋体" w:cs="宋体"/>
          <w:color w:val="auto"/>
          <w:spacing w:val="7"/>
          <w:highlight w:val="none"/>
          <w:lang w:val="en-US" w:eastAsia="zh-CN"/>
        </w:rPr>
        <w:t xml:space="preserve">投标（响应）报价低于采购项目最高限价45%的，即投标（响应）报价&lt;采购项目最高限价×45%；</w:t>
      </w:r>
      <w:r/>
    </w:p>
    <w:p>
      <w:pPr>
        <w:pStyle w:val="1250"/>
        <w:ind w:firstLine="500"/>
        <w:keepLines w:val="0"/>
        <w:keepNext w:val="0"/>
        <w:pageBreakBefore w:val="0"/>
        <w:spacing w:line="360" w:lineRule="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w:t>
      </w:r>
      <w:r>
        <w:rPr>
          <w:rFonts w:hint="default" w:ascii="宋体" w:hAnsi="宋体" w:eastAsia="宋体" w:cs="宋体"/>
          <w:color w:val="auto"/>
          <w:spacing w:val="7"/>
          <w:highlight w:val="none"/>
          <w:lang w:val="en-US" w:eastAsia="zh-CN"/>
        </w:rPr>
        <w:t xml:space="preserve">评审委员会认定的供应商报价过低、有可能影响产品质量或者不能诚信履约的其他情形。</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二、评标标准</w:t>
      </w:r>
      <w:bookmarkEnd w:id="225"/>
      <w:r/>
      <w:bookmarkEnd w:id="226"/>
      <w:r/>
      <w:bookmarkEnd w:id="227"/>
      <w:r/>
      <w:bookmarkEnd w:id="228"/>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（一）、价格分（10 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采用低价优先法计算，满足招标文件要求且投标价格最低的投标价为评标基准价，其价格分为满分 10分。其他投标人的价格分统一按照下列公式计算：</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 =（评标基准价 / 投标报价）× 10× 100%（保留两位小数）</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（二）、技术服务方案分（</w:t>
      </w:r>
      <w:r>
        <w:rPr>
          <w:rFonts w:hint="eastAsia" w:ascii="宋体" w:hAnsi="宋体" w:eastAsia="宋体" w:cs="宋体"/>
          <w:color w:val="auto"/>
          <w:spacing w:val="7"/>
          <w:highlight w:val="none"/>
          <w:lang w:val="en-US" w:eastAsia="zh-CN"/>
        </w:rPr>
        <w:t xml:space="preserve">39</w:t>
      </w:r>
      <w:r>
        <w:rPr>
          <w:rFonts w:hint="eastAsia" w:ascii="宋体" w:hAnsi="宋体" w:eastAsia="宋体" w:cs="宋体"/>
          <w:color w:val="auto"/>
          <w:spacing w:val="7"/>
          <w:highlight w:val="none"/>
        </w:rPr>
        <w:t xml:space="preserve"> 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1.组织架构与管理机制（5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内部管理架构、员工考核管理办法以及信息反馈及处理机制全面、科学且具有可操作性的得 5 分；较全面、科学，操作性一般的得2 分；不太全面、科学，操作性差的得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2.项目内部管理制度（5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涵盖员工合同管理制度、财务制度，档案管理制度，培训制度，电瓶车管理制度，工程管理制度，市场营销工作制度，消防人员消防安全制度，游客投诉处理机制等在内的项目内部管理制度健全，管理措施操作性强的得 5 分；制度基本健全，管理措施基本可操作的得 2 分；规章制度不太健全，管理措施操作性差的得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3.设施维护管理方案（5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针对步道、休息座椅、照明系统、游乐设施、健身器材等设施的维护管理方案完整、细致，符合项目需求且操作性强的得 5 分；方案较为完整、细致，基本符合需求，操作性较强的得 2 分；方案不完整、不细致，与项目需求响应度低，操作性差的得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4.绿化养护管理方案（5分）：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企业绿地养护管理制度，台帐管理制度，绿地卫生保洁方案，草花种植、名木古树、水生植物养护方案完善、规范、合理，符合植物生长规律和公园景观需求，操作性强的得5分；方案较为完善、规范，基本符合需求，操作性较强的得 2 分；方案不完整、不规范，与项目需求响应度低，操作性差的得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5.安全管理方案（5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人员安全、游客安全、设施设备安全管理等方面措施科学、严密、合理，描述详细且具有针对性的得 5 分；较合理、严密，描述较为详细，不存在实施难度的得 2 分；具有不合理项、描述欠缺、存在实施难度得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6.公共服务质量提升方案（</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环境卫生管理、游客服务、文化活动组织等方面方案完整、细致，符合项目需求，能有效提升服务质量，操作性强的得 </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 分；方案较为完整、细致，基本符合需求，操作性较强的得 2 分；方案不完整、不细致，与项目需求响应度低，操作性差的得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7.应急响应预案（</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 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针对节假日客流、恶劣天气、突发事件、防汛应急等制定的应急预案完备健全，针对性强，可实施性强的得 </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分；预案基本完整，可实施性较强的得 2 分；预案不完善，可实施性差的得 1 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8、可经营资产运营方案分（</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运营方案清晰阐述三个公园具体可经营资产如何产生利润，涵盖合理运营规划、过程管理，且采购环节流程规范、符合公园整体要求，得</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分；对利润产生、运营有一定阐述，但不够完善，得2分；仅有简单提及，内容不完整、可行性差，得1分；未提供不得分。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（三）、人员配备分（</w:t>
      </w:r>
      <w:r>
        <w:rPr>
          <w:rFonts w:hint="eastAsia" w:ascii="宋体" w:hAnsi="宋体" w:eastAsia="宋体" w:cs="宋体"/>
          <w:color w:val="auto"/>
          <w:spacing w:val="7"/>
          <w:highlight w:val="none"/>
          <w:lang w:val="en-US" w:eastAsia="zh-CN"/>
        </w:rPr>
        <w:t xml:space="preserve">31</w:t>
      </w:r>
      <w:r>
        <w:rPr>
          <w:rFonts w:hint="eastAsia" w:ascii="宋体" w:hAnsi="宋体" w:eastAsia="宋体" w:cs="宋体"/>
          <w:color w:val="auto"/>
          <w:spacing w:val="7"/>
          <w:highlight w:val="none"/>
        </w:rPr>
        <w:t xml:space="preserve">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1.职称证书（2分）：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拟投入本项目人员具有</w:t>
      </w:r>
      <w:r>
        <w:rPr>
          <w:rFonts w:hint="eastAsia" w:ascii="宋体" w:hAnsi="宋体" w:eastAsia="宋体" w:cs="宋体"/>
          <w:color w:val="auto"/>
          <w:spacing w:val="7"/>
          <w:highlight w:val="none"/>
          <w:lang w:val="en-US" w:eastAsia="zh-CN"/>
        </w:rPr>
        <w:t xml:space="preserve">机械或机械管理相关专业</w:t>
      </w:r>
      <w:r>
        <w:rPr>
          <w:rFonts w:hint="eastAsia" w:ascii="宋体" w:hAnsi="宋体" w:eastAsia="宋体" w:cs="宋体"/>
          <w:color w:val="auto"/>
          <w:spacing w:val="7"/>
          <w:highlight w:val="none"/>
        </w:rPr>
        <w:t xml:space="preserve">中级及以上职称证书有1人得1分，最高得2分，提供证书原件的扫描件及投标人为以上人员缴纳的</w:t>
      </w:r>
      <w:r>
        <w:rPr>
          <w:rFonts w:hint="eastAsia" w:ascii="宋体" w:hAnsi="宋体" w:eastAsia="宋体" w:cs="宋体"/>
          <w:color w:val="auto"/>
          <w:spacing w:val="7"/>
          <w:highlight w:val="none"/>
          <w:lang w:eastAsia="zh-CN"/>
        </w:rPr>
        <w:t xml:space="preserve">近期有效</w:t>
      </w:r>
      <w:r>
        <w:rPr>
          <w:rFonts w:hint="eastAsia" w:ascii="宋体" w:hAnsi="宋体" w:eastAsia="宋体" w:cs="宋体"/>
          <w:color w:val="auto"/>
          <w:spacing w:val="7"/>
          <w:highlight w:val="none"/>
        </w:rPr>
        <w:t xml:space="preserve">的社保证明，未提供不得分。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w:t>
      </w:r>
      <w:r>
        <w:rPr>
          <w:rFonts w:ascii="宋体" w:hAnsi="宋体" w:eastAsia="宋体" w:cs="宋体"/>
          <w:color w:val="auto"/>
          <w:spacing w:val="7"/>
          <w:highlight w:val="none"/>
        </w:rPr>
        <w:t xml:space="preserve">特种设备安全管理和作业人员证</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18</w:t>
      </w:r>
      <w:r>
        <w:rPr>
          <w:rFonts w:hint="eastAsia" w:ascii="宋体" w:hAnsi="宋体" w:eastAsia="宋体" w:cs="宋体"/>
          <w:color w:val="auto"/>
          <w:spacing w:val="7"/>
          <w:highlight w:val="none"/>
        </w:rPr>
        <w:t xml:space="preserve">分）： </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拟投入本项目人员具有政府部门颁发的</w:t>
      </w:r>
      <w:r>
        <w:rPr>
          <w:rFonts w:ascii="宋体" w:hAnsi="宋体" w:eastAsia="宋体" w:cs="宋体"/>
          <w:color w:val="auto"/>
          <w:spacing w:val="7"/>
          <w:highlight w:val="none"/>
        </w:rPr>
        <w:t xml:space="preserve">特种设备安全管理和作业人员证</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有1人得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分，最高得</w:t>
      </w:r>
      <w:r>
        <w:rPr>
          <w:rFonts w:hint="eastAsia" w:ascii="宋体" w:hAnsi="宋体" w:eastAsia="宋体" w:cs="宋体"/>
          <w:color w:val="auto"/>
          <w:spacing w:val="7"/>
          <w:highlight w:val="none"/>
          <w:lang w:val="en-US" w:eastAsia="zh-CN"/>
        </w:rPr>
        <w:t xml:space="preserve">18</w:t>
      </w:r>
      <w:r>
        <w:rPr>
          <w:rFonts w:hint="eastAsia" w:ascii="宋体" w:hAnsi="宋体" w:eastAsia="宋体" w:cs="宋体"/>
          <w:color w:val="auto"/>
          <w:spacing w:val="7"/>
          <w:highlight w:val="none"/>
        </w:rPr>
        <w:t xml:space="preserve">分，提供证书原件的扫描件及投标人为以上人员缴纳的</w:t>
      </w:r>
      <w:r>
        <w:rPr>
          <w:rFonts w:hint="eastAsia" w:ascii="宋体" w:hAnsi="宋体" w:eastAsia="宋体" w:cs="宋体"/>
          <w:color w:val="auto"/>
          <w:spacing w:val="7"/>
          <w:highlight w:val="none"/>
          <w:lang w:eastAsia="zh-CN"/>
        </w:rPr>
        <w:t xml:space="preserve">近期有效</w:t>
      </w:r>
      <w:r>
        <w:rPr>
          <w:rFonts w:hint="eastAsia" w:ascii="宋体" w:hAnsi="宋体" w:eastAsia="宋体" w:cs="宋体"/>
          <w:color w:val="auto"/>
          <w:spacing w:val="7"/>
          <w:highlight w:val="none"/>
        </w:rPr>
        <w:t xml:space="preserve">的社保证明，未提供不得分。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.导游证（</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 </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拟投入本项目人员具有政府部门颁发或监制的导游证有1人得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分，最高得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分，提供证书原件的扫描件及投标人为以上人员缴纳的</w:t>
      </w:r>
      <w:r>
        <w:rPr>
          <w:rFonts w:hint="eastAsia" w:ascii="宋体" w:hAnsi="宋体" w:eastAsia="宋体" w:cs="宋体"/>
          <w:color w:val="auto"/>
          <w:spacing w:val="7"/>
          <w:highlight w:val="none"/>
          <w:lang w:eastAsia="zh-CN"/>
        </w:rPr>
        <w:t xml:space="preserve">近期有效</w:t>
      </w:r>
      <w:r>
        <w:rPr>
          <w:rFonts w:hint="eastAsia" w:ascii="宋体" w:hAnsi="宋体" w:eastAsia="宋体" w:cs="宋体"/>
          <w:color w:val="auto"/>
          <w:spacing w:val="7"/>
          <w:highlight w:val="none"/>
        </w:rPr>
        <w:t xml:space="preserve">的社保证明，未提供不得分。</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.安全培训合格证书（5分）： </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拟投入本项目人员具有经安全生产监管监察部门认定的具备相应资质的培训机构</w:t>
      </w:r>
      <w:r>
        <w:rPr>
          <w:rFonts w:hint="eastAsia" w:ascii="宋体" w:hAnsi="宋体" w:eastAsia="宋体" w:cs="宋体"/>
          <w:color w:val="auto"/>
          <w:spacing w:val="7"/>
          <w:highlight w:val="none"/>
          <w:lang w:val="en-US" w:eastAsia="zh-CN"/>
        </w:rPr>
        <w:t xml:space="preserve">颁发</w:t>
      </w:r>
      <w:r>
        <w:rPr>
          <w:rFonts w:hint="eastAsia" w:ascii="宋体" w:hAnsi="宋体" w:eastAsia="宋体" w:cs="宋体"/>
          <w:color w:val="auto"/>
          <w:spacing w:val="7"/>
          <w:highlight w:val="none"/>
        </w:rPr>
        <w:t xml:space="preserve">的安全培训合格证书（证书类型:主要负责人或安全生产管理人员）有1人得1分，最高得5分，提供证书原件的扫描件及投标人为以上人员缴纳的</w:t>
      </w:r>
      <w:r>
        <w:rPr>
          <w:rFonts w:hint="eastAsia" w:ascii="宋体" w:hAnsi="宋体" w:eastAsia="宋体" w:cs="宋体"/>
          <w:color w:val="auto"/>
          <w:spacing w:val="7"/>
          <w:highlight w:val="none"/>
          <w:lang w:eastAsia="zh-CN"/>
        </w:rPr>
        <w:t xml:space="preserve">近期有效</w:t>
      </w:r>
      <w:r>
        <w:rPr>
          <w:rFonts w:hint="eastAsia" w:ascii="宋体" w:hAnsi="宋体" w:eastAsia="宋体" w:cs="宋体"/>
          <w:color w:val="auto"/>
          <w:spacing w:val="7"/>
          <w:highlight w:val="none"/>
        </w:rPr>
        <w:t xml:space="preserve">的社保证明，未提供不得分。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（四）、履约能力分（</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4分）</w:t>
      </w:r>
      <w:r/>
    </w:p>
    <w:p>
      <w:pPr>
        <w:pStyle w:val="1250"/>
        <w:ind w:left="239" w:firstLine="35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1.业绩（</w:t>
      </w:r>
      <w:r>
        <w:rPr>
          <w:rFonts w:hint="eastAsia" w:ascii="宋体" w:hAnsi="宋体" w:eastAsia="宋体" w:cs="宋体"/>
          <w:color w:val="auto"/>
          <w:spacing w:val="7"/>
          <w:highlight w:val="none"/>
          <w:lang w:val="en-US" w:eastAsia="zh-CN"/>
        </w:rPr>
        <w:t xml:space="preserve">9</w:t>
      </w:r>
      <w:r>
        <w:rPr>
          <w:rFonts w:hint="eastAsia" w:ascii="宋体" w:hAnsi="宋体" w:eastAsia="宋体" w:cs="宋体"/>
          <w:color w:val="auto"/>
          <w:spacing w:val="7"/>
          <w:highlight w:val="none"/>
        </w:rPr>
        <w:t xml:space="preserve"> 分）：</w:t>
      </w:r>
      <w:r/>
    </w:p>
    <w:p>
      <w:pPr>
        <w:pStyle w:val="1250"/>
        <w:ind w:left="239" w:firstLine="35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投标人</w:t>
      </w:r>
      <w:r>
        <w:rPr>
          <w:rFonts w:hint="eastAsia" w:ascii="宋体" w:hAnsi="宋体" w:eastAsia="宋体" w:cs="宋体"/>
          <w:color w:val="auto"/>
          <w:spacing w:val="7"/>
          <w:highlight w:val="none"/>
        </w:rPr>
        <w:t xml:space="preserve">自 2022年以来（以合同签订时间为准）承接过的</w:t>
      </w:r>
      <w:r>
        <w:rPr>
          <w:rFonts w:hint="eastAsia" w:ascii="宋体" w:hAnsi="宋体" w:eastAsia="宋体" w:cs="宋体"/>
          <w:color w:val="auto"/>
          <w:spacing w:val="7"/>
          <w:highlight w:val="none"/>
          <w:lang w:val="en-US" w:eastAsia="zh-CN"/>
        </w:rPr>
        <w:t xml:space="preserve">类似项目，其中50万平方米以下的，有1个得1分，50万平方米以上且100万平方米以下的，有1个得2分，100万平方米及以上的，有1个得3分，本项目限评3个业绩，最高得9分。提供有效证明材料（合同中含公园面积，无面积提供其他有效面积证明材料）、地级市及以上行政部门颁发的文件（证明公园为城市公园），材料中至少体现保安、保洁、绿化养护、设施设备维修改造、公园运营管理、游客服务等内容</w:t>
      </w:r>
      <w:r>
        <w:rPr>
          <w:rFonts w:hint="eastAsia" w:ascii="宋体" w:hAnsi="宋体" w:eastAsia="宋体" w:cs="宋体"/>
          <w:color w:val="auto"/>
          <w:spacing w:val="7"/>
          <w:highlight w:val="none"/>
          <w:lang w:eastAsia="zh-CN"/>
        </w:rPr>
        <w:t xml:space="preserve">，以上内容不全或不体现的</w:t>
      </w:r>
      <w:r>
        <w:rPr>
          <w:rFonts w:hint="eastAsia" w:ascii="宋体" w:hAnsi="宋体" w:eastAsia="宋体" w:cs="宋体"/>
          <w:color w:val="auto"/>
          <w:spacing w:val="7"/>
          <w:highlight w:val="none"/>
          <w:lang w:val="en-US" w:eastAsia="zh-CN"/>
        </w:rPr>
        <w:t xml:space="preserve">不得分</w:t>
      </w:r>
      <w:r>
        <w:rPr>
          <w:rFonts w:hint="eastAsia" w:ascii="宋体" w:hAnsi="宋体" w:eastAsia="宋体" w:cs="宋体"/>
          <w:color w:val="auto"/>
          <w:spacing w:val="7"/>
          <w:highlight w:val="none"/>
        </w:rPr>
        <w:t xml:space="preserve">。</w:t>
      </w:r>
      <w:r/>
    </w:p>
    <w:p>
      <w:pPr>
        <w:pStyle w:val="1250"/>
        <w:ind w:left="239" w:firstLine="331"/>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2.政府荣誉表彰（</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rPr>
        <w:t xml:space="preserve"> 分）：</w:t>
      </w:r>
      <w:r/>
    </w:p>
    <w:p>
      <w:pPr>
        <w:pStyle w:val="1250"/>
        <w:ind w:firstLine="500"/>
        <w:keepLines w:val="0"/>
        <w:keepNext w:val="0"/>
        <w:pageBreakBefore w:val="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自 2022 年起，投标单位所获县级及以上政府机构颁发的各类荣誉、表彰的，每项计 </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分。本项总分上限为</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分。投标单位需提供相关证书或政府机构的通知</w:t>
      </w:r>
      <w:r>
        <w:rPr>
          <w:rFonts w:hint="eastAsia" w:ascii="宋体" w:hAnsi="宋体" w:eastAsia="宋体" w:cs="宋体"/>
          <w:color w:val="auto"/>
          <w:spacing w:val="7"/>
          <w:highlight w:val="none"/>
          <w:lang w:val="en-US" w:eastAsia="zh-CN"/>
        </w:rPr>
        <w:t xml:space="preserve">扫描件</w:t>
      </w:r>
      <w:r>
        <w:rPr>
          <w:rFonts w:hint="eastAsia" w:ascii="宋体" w:hAnsi="宋体" w:eastAsia="宋体" w:cs="宋体"/>
          <w:color w:val="auto"/>
          <w:spacing w:val="7"/>
          <w:highlight w:val="none"/>
        </w:rPr>
        <w:t xml:space="preserve">，未按要求提供的不予计分。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（五）、公园车船配备分（6分）</w:t>
      </w:r>
      <w:r/>
    </w:p>
    <w:p>
      <w:pPr>
        <w:pStyle w:val="1250"/>
        <w:ind w:firstLine="500"/>
        <w:keepLines w:val="0"/>
        <w:keepNext w:val="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1.景区 4 轮巡逻电动车：每配备 1 辆得 1 分，最高可得 2 分；</w:t>
      </w:r>
      <w:r>
        <w:rPr>
          <w:rFonts w:hint="eastAsia" w:ascii="宋体" w:hAnsi="宋体" w:eastAsia="宋体" w:cs="宋体"/>
          <w:color w:val="auto"/>
          <w:spacing w:val="7"/>
          <w:highlight w:val="none"/>
          <w:lang w:val="en-US" w:eastAsia="zh-CN"/>
        </w:rPr>
        <w:t xml:space="preserve">14</w:t>
      </w:r>
      <w:r>
        <w:rPr>
          <w:rFonts w:hint="eastAsia" w:ascii="宋体" w:hAnsi="宋体" w:eastAsia="宋体" w:cs="宋体"/>
          <w:color w:val="auto"/>
          <w:spacing w:val="7"/>
          <w:highlight w:val="none"/>
        </w:rPr>
        <w:t xml:space="preserve"> 座及以上景区观光车：须具有场（厂）车牌照，每配备 1 辆得 1 分，最高可得 2 分；自有：提供购置发票原件扫描件、含车牌的车辆实景图片（车辆正前方、侧后方各 1 张）。租赁：除按自有车辆要求提供证明材料（购置发票仅需提供复印件或原件扫描件并签章）外，还需额外提供租赁协议及租赁费发票原件扫描件并签章。</w:t>
      </w:r>
      <w:r/>
    </w:p>
    <w:p>
      <w:pPr>
        <w:pStyle w:val="1250"/>
        <w:ind w:firstLine="500"/>
        <w:keepLines w:val="0"/>
        <w:keepNext w:val="0"/>
        <w:pageBreakBefore w:val="0"/>
        <w:spacing w:line="360" w:lineRule="auto"/>
        <w:rPr>
          <w:rFonts w:ascii="宋体" w:hAnsi="宋体"/>
          <w:color w:val="auto"/>
          <w:highlight w:val="none"/>
        </w:rPr>
      </w:pPr>
      <w:r>
        <w:rPr>
          <w:rFonts w:hint="eastAsia" w:ascii="宋体" w:hAnsi="宋体" w:eastAsia="宋体" w:cs="宋体"/>
          <w:color w:val="auto"/>
          <w:spacing w:val="7"/>
          <w:highlight w:val="none"/>
        </w:rPr>
        <w:t xml:space="preserve">2.快艇：每配备 1 艘得 2 分，最多可得 2 分。自有：提供购置发票原件扫描件、快艇实景图片（正前方、侧后方各 1 张）。租赁：除按自有要求提供证明材料（购置发票仅需提供复印件或原件扫描件并签章）外，还需额外提供租赁协议及租赁费发票原件扫描件并签章。</w:t>
      </w:r>
      <w:r/>
    </w:p>
    <w:p>
      <w:pPr>
        <w:ind w:right="-124"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eastAsia="宋体" w:cs="Times New Roman"/>
          <w:color w:val="auto"/>
          <w:sz w:val="24"/>
          <w:highlight w:val="none"/>
        </w:rPr>
        <w:t xml:space="preserve">以上证明材料，不提供不得分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中标后</w:t>
      </w:r>
      <w:r>
        <w:rPr>
          <w:rFonts w:hint="eastAsia" w:ascii="宋体" w:hAnsi="宋体" w:cs="Times New Roman"/>
          <w:color w:val="auto"/>
          <w:sz w:val="24"/>
          <w:highlight w:val="none"/>
          <w:lang w:val="en-US" w:eastAsia="zh-CN"/>
        </w:rPr>
        <w:t xml:space="preserve">签订合同前</w:t>
      </w:r>
      <w:r>
        <w:rPr>
          <w:rFonts w:hint="eastAsia" w:ascii="宋体" w:hAnsi="宋体" w:eastAsia="宋体" w:cs="Times New Roman"/>
          <w:color w:val="auto"/>
          <w:sz w:val="24"/>
          <w:highlight w:val="none"/>
          <w:lang w:val="en-US" w:eastAsia="zh-CN"/>
        </w:rPr>
        <w:t xml:space="preserve">采购单位有权对投标人所提供的业绩等进行现场考察，如有造假采购单位将按本招标文件（第二章 第29.4条）要求取消中标人中标资格。</w:t>
      </w:r>
      <w:r/>
    </w:p>
    <w:p>
      <w:pPr>
        <w:pStyle w:val="782"/>
        <w:pageBreakBefore/>
        <w:spacing w:line="360" w:lineRule="auto"/>
        <w:rPr>
          <w:rFonts w:ascii="宋体" w:hAnsi="宋体" w:eastAsia="宋体"/>
          <w:color w:val="auto"/>
          <w:highlight w:val="none"/>
        </w:rPr>
      </w:pPr>
      <w:r/>
      <w:bookmarkStart w:id="229" w:name="_Toc35266032"/>
      <w:r/>
      <w:bookmarkStart w:id="230" w:name="_Toc256000013"/>
      <w:r/>
      <w:bookmarkStart w:id="231" w:name="_Toc54615250"/>
      <w:r/>
      <w:bookmarkStart w:id="232" w:name="_Toc38368132"/>
      <w:r>
        <w:rPr>
          <w:rFonts w:hint="eastAsia" w:ascii="宋体" w:hAnsi="宋体" w:eastAsia="宋体"/>
          <w:color w:val="auto"/>
          <w:highlight w:val="none"/>
        </w:rPr>
        <w:t xml:space="preserve">第六章 投标</w:t>
      </w:r>
      <w:bookmarkEnd w:id="205"/>
      <w:r/>
      <w:bookmarkEnd w:id="206"/>
      <w:r/>
      <w:bookmarkEnd w:id="218"/>
      <w:r>
        <w:rPr>
          <w:rFonts w:hint="eastAsia" w:ascii="宋体" w:hAnsi="宋体" w:eastAsia="宋体"/>
          <w:color w:val="auto"/>
          <w:highlight w:val="none"/>
        </w:rPr>
        <w:t xml:space="preserve">文件格式</w:t>
      </w:r>
      <w:bookmarkEnd w:id="229"/>
      <w:r/>
      <w:bookmarkEnd w:id="230"/>
      <w:r/>
      <w:bookmarkEnd w:id="231"/>
      <w:r/>
      <w:bookmarkEnd w:id="232"/>
      <w:r/>
      <w:r/>
    </w:p>
    <w:p>
      <w:pPr>
        <w:spacing w:line="360" w:lineRule="auto"/>
        <w:rPr>
          <w:rFonts w:ascii="宋体" w:hAnsi="宋体"/>
          <w:b/>
          <w:bCs/>
          <w:color w:val="auto"/>
          <w:sz w:val="32"/>
          <w:szCs w:val="32"/>
          <w:highlight w:val="none"/>
        </w:rPr>
      </w:pPr>
      <w:r/>
      <w:bookmarkStart w:id="233" w:name="_Hlt26955039"/>
      <w:r/>
      <w:bookmarkStart w:id="234" w:name="_Toc26554094"/>
      <w:r/>
      <w:r/>
    </w:p>
    <w:p>
      <w:pPr>
        <w:pStyle w:val="1282"/>
        <w:jc w:val="center"/>
        <w:spacing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投标主要文件目录</w:t>
      </w:r>
      <w:r/>
    </w:p>
    <w:p>
      <w:pPr>
        <w:pStyle w:val="128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一、封面</w:t>
      </w:r>
      <w:r/>
    </w:p>
    <w:p>
      <w:pPr>
        <w:pStyle w:val="128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二、投标函格式</w:t>
      </w:r>
      <w:r/>
    </w:p>
    <w:p>
      <w:pPr>
        <w:pStyle w:val="128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三、开标一览表</w:t>
      </w:r>
      <w:r/>
    </w:p>
    <w:p>
      <w:pPr>
        <w:pStyle w:val="128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四、资格证明文件</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法人或者其他组织的营业执照等证明文件，自然人的身份证明</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财务状况报告（成立不满一年不需要提供）</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依法缴纳税收和社会保障资金的相关材料</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具备履行合同所必需的设备和专业技术能力的书面声明</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参加政府采购活动前3年内在经营活动中没有重大违法记录的书面声明</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若供应商法定代表人亲自参加投标的，提供本人的有效身份证扫描件；若授权代表参加投标的，则提供授权委托书和供应商法定代表人的有效身份证扫描件和被授权人本人的有效身份证扫描件；</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关于资格证明文件的书面承诺</w:t>
      </w:r>
      <w:r/>
    </w:p>
    <w:p>
      <w:pPr>
        <w:pStyle w:val="1282"/>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五、第四章项目需求中实质性要求响应对照表</w:t>
      </w:r>
      <w:r/>
    </w:p>
    <w:p>
      <w:pPr>
        <w:pStyle w:val="1282"/>
        <w:spacing w:before="240" w:after="240" w:line="160" w:lineRule="atLeast"/>
        <w:rPr>
          <w:rFonts w:ascii="宋体" w:hAnsi="宋体" w:eastAsia="宋体" w:cs="宋体"/>
          <w:color w:val="auto"/>
          <w:highlight w:val="none"/>
        </w:rPr>
      </w:pPr>
      <w:r>
        <w:rPr>
          <w:rFonts w:hint="eastAsia" w:ascii="宋体" w:hAnsi="宋体" w:eastAsia="宋体" w:cs="宋体"/>
          <w:color w:val="auto"/>
          <w:highlight w:val="none"/>
        </w:rPr>
        <w:t xml:space="preserve">六、服务方案</w:t>
      </w:r>
      <w:r/>
    </w:p>
    <w:p>
      <w:pPr>
        <w:pStyle w:val="1282"/>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rPr>
        <w:t xml:space="preserve">七</w:t>
      </w:r>
      <w:r>
        <w:rPr>
          <w:rFonts w:ascii="宋体" w:hAnsi="宋体" w:eastAsia="宋体" w:cs="宋体"/>
          <w:color w:val="auto"/>
          <w:highlight w:val="none"/>
        </w:rPr>
        <w:t xml:space="preserve">、投标人情况介绍</w:t>
      </w:r>
      <w:r/>
    </w:p>
    <w:p>
      <w:pPr>
        <w:pStyle w:val="1282"/>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八、服务要求及商务条款响应及偏离表</w:t>
      </w:r>
      <w:r/>
    </w:p>
    <w:p>
      <w:pPr>
        <w:pStyle w:val="1282"/>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rPr>
        <w:t xml:space="preserve">九</w:t>
      </w:r>
      <w:r>
        <w:rPr>
          <w:rFonts w:ascii="宋体" w:hAnsi="宋体" w:eastAsia="宋体" w:cs="宋体"/>
          <w:color w:val="auto"/>
          <w:highlight w:val="none"/>
        </w:rPr>
        <w:t xml:space="preserve">、其他材料</w:t>
      </w:r>
      <w:r/>
    </w:p>
    <w:p>
      <w:pPr>
        <w:pStyle w:val="1283"/>
        <w:rPr>
          <w:color w:val="auto"/>
          <w:highlight w:val="none"/>
        </w:rPr>
        <w:outlineLvl w:val="1"/>
      </w:pPr>
      <w:r>
        <w:rPr>
          <w:color w:val="auto"/>
          <w:highlight w:val="none"/>
        </w:rPr>
        <w:br w:type="page" w:clear="all"/>
      </w:r>
      <w:bookmarkStart w:id="235" w:name="_Toc256000014"/>
      <w:r>
        <w:rPr>
          <w:rFonts w:ascii="宋体" w:hAnsi="宋体" w:eastAsia="宋体" w:cs="宋体"/>
          <w:b/>
          <w:color w:val="auto"/>
          <w:sz w:val="32"/>
          <w:highlight w:val="none"/>
        </w:rPr>
        <w:t xml:space="preserve">一、封面</w:t>
      </w:r>
      <w:bookmarkEnd w:id="235"/>
      <w:r/>
      <w:r/>
    </w:p>
    <w:p>
      <w:pPr>
        <w:pStyle w:val="1284"/>
        <w:spacing w:line="440" w:lineRule="exact"/>
        <w:rPr>
          <w:color w:val="auto"/>
          <w:spacing w:val="7"/>
          <w:highlight w:val="none"/>
        </w:rPr>
      </w:pPr>
      <w:r>
        <w:rPr>
          <w:rFonts w:ascii="宋体" w:hAnsi="宋体" w:eastAsia="宋体" w:cs="宋体"/>
          <w:color w:val="auto"/>
          <w:highlight w:val="none"/>
        </w:rPr>
        <w:t xml:space="preserve">﻿ </w:t>
      </w:r>
      <w:r/>
    </w:p>
    <w:p>
      <w:pPr>
        <w:pStyle w:val="1284"/>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28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4"/>
        <w:jc w:val="center"/>
        <w:spacing w:before="400"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28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284"/>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5"/>
        <w:rPr>
          <w:color w:val="auto"/>
          <w:highlight w:val="none"/>
        </w:rPr>
        <w:outlineLvl w:val="1"/>
      </w:pPr>
      <w:r>
        <w:rPr>
          <w:color w:val="auto"/>
          <w:highlight w:val="none"/>
        </w:rPr>
        <w:br w:type="page" w:clear="all"/>
      </w:r>
      <w:bookmarkStart w:id="236" w:name="_Toc256000015"/>
      <w:r>
        <w:rPr>
          <w:rFonts w:ascii="宋体" w:hAnsi="宋体" w:eastAsia="宋体" w:cs="宋体"/>
          <w:b/>
          <w:color w:val="auto"/>
          <w:sz w:val="32"/>
          <w:highlight w:val="none"/>
        </w:rPr>
        <w:t xml:space="preserve">二、投标函格式</w:t>
      </w:r>
      <w:bookmarkEnd w:id="236"/>
      <w:r/>
      <w:r/>
    </w:p>
    <w:p>
      <w:pPr>
        <w:pStyle w:val="1286"/>
        <w:spacing w:line="440" w:lineRule="exact"/>
        <w:rPr>
          <w:color w:val="auto"/>
          <w:spacing w:val="7"/>
          <w:highlight w:val="none"/>
        </w:rPr>
      </w:pPr>
      <w:r>
        <w:rPr>
          <w:rFonts w:ascii="宋体" w:hAnsi="宋体" w:eastAsia="宋体" w:cs="宋体"/>
          <w:color w:val="auto"/>
          <w:highlight w:val="none"/>
        </w:rPr>
        <w:t xml:space="preserve">﻿ </w:t>
      </w:r>
      <w:r/>
    </w:p>
    <w:p>
      <w:pPr>
        <w:pStyle w:val="128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致：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邮编：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传真：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28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7"/>
        <w:rPr>
          <w:color w:val="auto"/>
          <w:highlight w:val="none"/>
        </w:rPr>
        <w:outlineLvl w:val="1"/>
      </w:pPr>
      <w:r>
        <w:rPr>
          <w:color w:val="auto"/>
          <w:highlight w:val="none"/>
        </w:rPr>
        <w:br w:type="page" w:clear="all"/>
      </w:r>
      <w:bookmarkStart w:id="237" w:name="_Toc256000016"/>
      <w:r>
        <w:rPr>
          <w:rFonts w:ascii="宋体" w:hAnsi="宋体" w:eastAsia="宋体" w:cs="宋体"/>
          <w:b/>
          <w:color w:val="auto"/>
          <w:sz w:val="32"/>
          <w:highlight w:val="none"/>
        </w:rPr>
        <w:t xml:space="preserve">三、开标一览表</w:t>
      </w:r>
      <w:bookmarkEnd w:id="237"/>
      <w:r/>
      <w:r/>
    </w:p>
    <w:p>
      <w:pPr>
        <w:pStyle w:val="1288"/>
        <w:spacing w:line="440" w:lineRule="exact"/>
        <w:rPr>
          <w:color w:val="auto"/>
          <w:spacing w:val="7"/>
          <w:highlight w:val="none"/>
        </w:rPr>
      </w:pPr>
      <w:r>
        <w:rPr>
          <w:rFonts w:ascii="宋体" w:hAnsi="宋体" w:eastAsia="宋体" w:cs="宋体"/>
          <w:color w:val="auto"/>
          <w:highlight w:val="none"/>
        </w:rPr>
        <w:t xml:space="preserve">﻿ </w:t>
      </w:r>
      <w:r/>
    </w:p>
    <w:p>
      <w:pPr>
        <w:pStyle w:val="779"/>
        <w:jc w:val="center"/>
        <w:rPr>
          <w:color w:val="auto"/>
          <w:highlight w:val="none"/>
        </w:rPr>
      </w:pPr>
      <w:r>
        <w:rPr>
          <w:color w:val="auto"/>
          <w:highlight w:val="none"/>
        </w:rPr>
        <w:t xml:space="preserve">开标一览表（总报价）</w:t>
      </w:r>
      <w:r/>
    </w:p>
    <w:p>
      <w:pPr>
        <w:pStyle w:val="779"/>
        <w:rPr>
          <w:color w:val="auto"/>
          <w:highlight w:val="none"/>
        </w:rPr>
      </w:pPr>
      <w:r>
        <w:rPr>
          <w:color w:val="auto"/>
          <w:highlight w:val="none"/>
        </w:rPr>
        <w:t xml:space="preserve">投标人全称（加盖公章）：供应商名称 </w:t>
      </w:r>
      <w:r/>
    </w:p>
    <w:p>
      <w:pPr>
        <w:pStyle w:val="779"/>
        <w:rPr>
          <w:color w:val="auto"/>
          <w:highlight w:val="none"/>
        </w:rPr>
      </w:pPr>
      <w:r>
        <w:rPr>
          <w:color w:val="auto"/>
          <w:highlight w:val="none"/>
        </w:rPr>
        <w:t xml:space="preserve">项目编号：项目编号 </w:t>
      </w:r>
      <w:r/>
    </w:p>
    <w:p>
      <w:pPr>
        <w:pStyle w:val="779"/>
        <w:rPr>
          <w:color w:val="auto"/>
          <w:highlight w:val="none"/>
        </w:rPr>
      </w:pPr>
      <w:r>
        <w:rPr>
          <w:color w:val="auto"/>
          <w:highlight w:val="none"/>
        </w:rPr>
        <w:t xml:space="preserve">分包号：分包号 </w:t>
      </w:r>
      <w:r/>
    </w:p>
    <w:tbl>
      <w:tblPr>
        <w:tblStyle w:val="740"/>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97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投标总报价</w:t>
            </w:r>
            <w:r/>
          </w:p>
        </w:tc>
      </w:tr>
      <w:tr>
        <w:trPr>
          <w:trHeight w:val="1122"/>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小写： （元人民币）</w:t>
            </w:r>
            <w:r/>
          </w:p>
        </w:tc>
      </w:tr>
      <w:tr>
        <w:trPr>
          <w:trHeight w:val="105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sz w:val="22"/>
                <w:szCs w:val="24"/>
                <w:highlight w:val="none"/>
              </w:rPr>
            </w:pPr>
            <w:r>
              <w:rPr>
                <w:rFonts w:ascii="宋体" w:hAnsi="宋体" w:cs="宋体"/>
                <w:color w:val="auto"/>
                <w:sz w:val="28"/>
                <w:szCs w:val="28"/>
                <w:highlight w:val="none"/>
                <w:lang w:bidi="ar"/>
              </w:rPr>
              <w:t xml:space="preserve">金额大写 </w:t>
            </w:r>
            <w:r/>
          </w:p>
        </w:tc>
      </w:tr>
      <w:tr>
        <w:trPr>
          <w:trHeight w:val="105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第一年报价</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t xml:space="preserve">小写： （元人民币）</w:t>
            </w:r>
            <w:r/>
          </w:p>
        </w:tc>
      </w:tr>
      <w:tr>
        <w:trPr>
          <w:trHeight w:val="105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第二年报价</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t xml:space="preserve">小写： （元人民币）</w:t>
            </w:r>
            <w:r/>
          </w:p>
        </w:tc>
      </w:tr>
      <w:tr>
        <w:trPr>
          <w:trHeight w:val="105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auto"/>
                <w:sz w:val="28"/>
                <w:szCs w:val="28"/>
                <w:highlight w:val="none"/>
                <w:lang w:bidi="ar"/>
              </w:rPr>
            </w:pPr>
            <w:r>
              <w:rPr>
                <w:rFonts w:hint="eastAsia" w:ascii="宋体" w:hAnsi="宋体" w:cs="宋体"/>
                <w:color w:val="auto"/>
                <w:sz w:val="28"/>
                <w:szCs w:val="28"/>
                <w:highlight w:val="none"/>
                <w:lang w:bidi="ar"/>
              </w:rPr>
              <w:t xml:space="preserve">第三年报价</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ascii="宋体" w:hAnsi="宋体" w:cs="宋体"/>
                <w:color w:val="auto"/>
                <w:sz w:val="28"/>
                <w:szCs w:val="28"/>
                <w:highlight w:val="none"/>
                <w:lang w:bidi="ar"/>
              </w:rPr>
            </w:pPr>
            <w:r>
              <w:rPr>
                <w:rFonts w:ascii="宋体" w:hAnsi="宋体" w:cs="宋体"/>
                <w:color w:val="auto"/>
                <w:sz w:val="28"/>
                <w:szCs w:val="28"/>
                <w:highlight w:val="none"/>
                <w:lang w:bidi="ar"/>
              </w:rPr>
              <w:t xml:space="preserve">小写： （元人民币）</w:t>
            </w:r>
            <w:r/>
          </w:p>
        </w:tc>
      </w:tr>
    </w:tbl>
    <w:p>
      <w:pPr>
        <w:pStyle w:val="779"/>
        <w:jc w:val="right"/>
        <w:rPr>
          <w:color w:val="auto"/>
          <w:highlight w:val="none"/>
        </w:rPr>
      </w:pPr>
      <w:r>
        <w:rPr>
          <w:color w:val="auto"/>
          <w:highlight w:val="none"/>
        </w:rPr>
        <w:t xml:space="preserve">日期： 年 月 </w:t>
      </w:r>
      <w:r>
        <w:rPr>
          <w:rFonts w:hint="eastAsia"/>
          <w:color w:val="auto"/>
          <w:highlight w:val="none"/>
        </w:rPr>
        <w:t xml:space="preserve">日</w:t>
      </w:r>
      <w:r/>
    </w:p>
    <w:p>
      <w:pPr>
        <w:pStyle w:val="779"/>
        <w:rPr>
          <w:rStyle w:val="791"/>
          <w:rFonts w:ascii="Times New Roman" w:hAnsi="Times New Roman"/>
          <w:color w:val="auto"/>
          <w:highlight w:val="none"/>
          <w:u w:val="single"/>
        </w:rPr>
      </w:pPr>
      <w:r>
        <w:rPr>
          <w:color w:val="auto"/>
          <w:highlight w:val="none"/>
        </w:rPr>
        <w:t xml:space="preserve">填写说明：</w:t>
      </w:r>
      <w:r/>
    </w:p>
    <w:p>
      <w:pPr>
        <w:pStyle w:val="779"/>
        <w:rPr>
          <w:rStyle w:val="791"/>
          <w:rFonts w:ascii="Times New Roman" w:hAnsi="Times New Roman"/>
          <w:color w:val="auto"/>
          <w:highlight w:val="none"/>
          <w:u w:val="single"/>
        </w:rPr>
      </w:pPr>
      <w:r>
        <w:rPr>
          <w:rStyle w:val="791"/>
          <w:rFonts w:ascii="Times New Roman" w:hAnsi="Times New Roman"/>
          <w:color w:val="auto"/>
          <w:highlight w:val="none"/>
          <w:u w:val="single"/>
        </w:rPr>
        <w:t xml:space="preserve">1、开标一览表必须加盖投标人公章（复印件无效）</w:t>
      </w:r>
      <w:r>
        <w:rPr>
          <w:rStyle w:val="791"/>
          <w:rFonts w:hint="eastAsia" w:ascii="Times New Roman" w:hAnsi="Times New Roman"/>
          <w:color w:val="auto"/>
          <w:highlight w:val="none"/>
          <w:u w:val="single"/>
        </w:rPr>
        <w:t xml:space="preserve">，三年报价合计应与投标报价相同</w:t>
      </w:r>
      <w:r>
        <w:rPr>
          <w:rStyle w:val="791"/>
          <w:rFonts w:ascii="Times New Roman" w:hAnsi="Times New Roman"/>
          <w:color w:val="auto"/>
          <w:highlight w:val="none"/>
          <w:u w:val="single"/>
        </w:rPr>
        <w:t xml:space="preserve">。</w:t>
      </w:r>
      <w:r/>
    </w:p>
    <w:p>
      <w:pPr>
        <w:pStyle w:val="779"/>
        <w:rPr>
          <w:rStyle w:val="791"/>
          <w:color w:val="auto"/>
          <w:highlight w:val="none"/>
          <w:u w:val="single"/>
        </w:rPr>
      </w:pPr>
      <w:r>
        <w:rPr>
          <w:rStyle w:val="791"/>
          <w:color w:val="auto"/>
          <w:highlight w:val="none"/>
          <w:u w:val="single"/>
        </w:rPr>
        <w:t xml:space="preserve">2、如有分包，投标人投任何一个包的标的，都需单独填写开标一览表。</w:t>
      </w:r>
      <w:r/>
    </w:p>
    <w:p>
      <w:pPr>
        <w:rPr>
          <w:rStyle w:val="791"/>
          <w:color w:val="auto"/>
          <w:highlight w:val="none"/>
          <w:u w:val="single"/>
        </w:rPr>
      </w:pPr>
      <w:r>
        <w:rPr>
          <w:rStyle w:val="791"/>
          <w:color w:val="auto"/>
          <w:highlight w:val="none"/>
          <w:u w:val="single"/>
        </w:rPr>
        <w:br w:type="page" w:clear="all"/>
      </w:r>
      <w:r/>
    </w:p>
    <w:p>
      <w:pPr>
        <w:pStyle w:val="779"/>
        <w:jc w:val="center"/>
        <w:rPr>
          <w:rStyle w:val="791"/>
          <w:color w:val="auto"/>
          <w:highlight w:val="none"/>
          <w:u w:val="single"/>
        </w:rPr>
      </w:pPr>
      <w:r>
        <w:rPr>
          <w:rStyle w:val="791"/>
          <w:rFonts w:hint="eastAsia"/>
          <w:color w:val="auto"/>
          <w:highlight w:val="none"/>
          <w:u w:val="single"/>
        </w:rPr>
        <w:t xml:space="preserve">分项报价表</w:t>
      </w:r>
      <w:r/>
    </w:p>
    <w:tbl>
      <w:tblPr>
        <w:tblStyle w:val="7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3"/>
        <w:gridCol w:w="1601"/>
        <w:gridCol w:w="1737"/>
        <w:gridCol w:w="1225"/>
        <w:gridCol w:w="1275"/>
        <w:gridCol w:w="3481"/>
      </w:tblGrid>
      <w:tr>
        <w:trP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righ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单位：万元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第一年度管理费</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第二年度</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第三年度</w:t>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保安服务</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卫生保洁</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公园绿化、设施维修日常维护及重要改造,第三方设备维护、文明宣传费用</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ascii="宋体" w:hAnsi="宋体" w:eastAsia="宋体" w:cs="宋体"/>
                <w:color w:val="auto"/>
                <w:sz w:val="24"/>
                <w:szCs w:val="24"/>
                <w:highlight w:val="none"/>
              </w:rPr>
              <w:t xml:space="preserve">采购单位进行巡查派单，中标单位需按时且高质量完成采购单位所派发的全部任务。若因中标单位原因导致部分任务未完成，并</w:t>
            </w:r>
            <w:r>
              <w:rPr>
                <w:rFonts w:hint="eastAsia" w:ascii="宋体" w:hAnsi="宋体" w:cs="宋体"/>
                <w:color w:val="auto"/>
                <w:sz w:val="24"/>
                <w:szCs w:val="24"/>
                <w:highlight w:val="none"/>
                <w:lang w:eastAsia="zh-CN"/>
              </w:rPr>
              <w:t xml:space="preserve">由此造成的所有损失</w:t>
            </w:r>
            <w:r>
              <w:rPr>
                <w:rFonts w:ascii="宋体" w:hAnsi="宋体" w:eastAsia="宋体" w:cs="宋体"/>
                <w:color w:val="auto"/>
                <w:sz w:val="24"/>
                <w:szCs w:val="24"/>
                <w:highlight w:val="none"/>
              </w:rPr>
              <w:t xml:space="preserve">将由中标单位全额承担。</w:t>
            </w:r>
            <w:r>
              <w:rPr>
                <w:rFonts w:hint="eastAsia" w:ascii="宋体" w:hAnsi="宋体" w:eastAsia="宋体" w:cs="宋体"/>
                <w:color w:val="auto"/>
                <w:sz w:val="24"/>
                <w:szCs w:val="24"/>
                <w:highlight w:val="none"/>
              </w:rPr>
              <w:t xml:space="preserve">服务期结束后，所有投入资产所有权归政府所有，中标方不得擅自移除或破坏。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水电费</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 xml:space="preserve">按实结算，最高不超过供应商该项报价</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51"/>
        <w:ind w:firstLine="482"/>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pStyle w:val="748"/>
        <w:rPr>
          <w:color w:val="auto"/>
          <w:highlight w:val="none"/>
        </w:rPr>
      </w:pPr>
      <w:r>
        <w:rPr>
          <w:color w:val="auto"/>
          <w:highlight w:val="none"/>
        </w:rPr>
      </w:r>
      <w:r/>
    </w:p>
    <w:p>
      <w:pPr>
        <w:pStyle w:val="748"/>
        <w:rPr>
          <w:color w:val="auto"/>
          <w:highlight w:val="none"/>
        </w:rPr>
      </w:pPr>
      <w:r>
        <w:rPr>
          <w:rFonts w:hint="eastAsia"/>
          <w:color w:val="auto"/>
          <w:highlight w:val="none"/>
        </w:rPr>
        <w:t xml:space="preserve">此表合计总价应与开标一览表中的总价一致。</w:t>
      </w:r>
      <w:r/>
    </w:p>
    <w:p>
      <w:pPr>
        <w:pStyle w:val="1289"/>
        <w:rPr>
          <w:color w:val="auto"/>
          <w:highlight w:val="none"/>
        </w:rPr>
        <w:outlineLvl w:val="1"/>
      </w:pPr>
      <w:r>
        <w:rPr>
          <w:color w:val="auto"/>
          <w:highlight w:val="none"/>
        </w:rPr>
        <w:br w:type="page" w:clear="all"/>
      </w:r>
      <w:bookmarkStart w:id="238" w:name="_Toc256000017"/>
      <w:r>
        <w:rPr>
          <w:rFonts w:ascii="宋体" w:hAnsi="宋体" w:eastAsia="宋体" w:cs="宋体"/>
          <w:b/>
          <w:color w:val="auto"/>
          <w:sz w:val="32"/>
          <w:highlight w:val="none"/>
        </w:rPr>
        <w:t xml:space="preserve">四、资格证明文件</w:t>
      </w:r>
      <w:bookmarkEnd w:id="238"/>
      <w:r/>
      <w:r/>
    </w:p>
    <w:p>
      <w:pPr>
        <w:pStyle w:val="1290"/>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法人或者其他组织的营业执照等证明文件，自然人的身份证明</w:t>
      </w:r>
      <w:r/>
    </w:p>
    <w:p>
      <w:pPr>
        <w:pStyle w:val="1291"/>
        <w:spacing w:line="440" w:lineRule="exact"/>
        <w:rPr>
          <w:color w:val="auto"/>
          <w:spacing w:val="7"/>
          <w:highlight w:val="none"/>
        </w:rPr>
      </w:pPr>
      <w:r>
        <w:rPr>
          <w:color w:val="auto"/>
          <w:highlight w:val="none"/>
        </w:rPr>
        <w:t xml:space="preserve">﻿ </w:t>
      </w:r>
      <w:r/>
    </w:p>
    <w:p>
      <w:pPr>
        <w:pStyle w:val="1291"/>
        <w:spacing w:before="240" w:after="240"/>
        <w:rPr>
          <w:color w:val="auto"/>
          <w:highlight w:val="none"/>
        </w:rPr>
      </w:pPr>
      <w:r>
        <w:rPr>
          <w:color w:val="auto"/>
          <w:highlight w:val="none"/>
        </w:rPr>
        <w:t xml:space="preserve">  </w:t>
      </w:r>
      <w:r/>
    </w:p>
    <w:p>
      <w:pPr>
        <w:pStyle w:val="1291"/>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法人或者其他组织的营业执照等证明文件，自然人的身份证明 </w:t>
      </w:r>
      <w:r/>
    </w:p>
    <w:tbl>
      <w:tblPr>
        <w:tblStyle w:val="74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91"/>
              <w:jc w:val="center"/>
              <w:rPr>
                <w:rFonts w:ascii="宋体" w:hAnsi="宋体" w:eastAsia="宋体" w:cs="宋体"/>
                <w:color w:val="auto"/>
                <w:highlight w:val="none"/>
              </w:rPr>
            </w:pPr>
            <w:r>
              <w:rPr>
                <w:rFonts w:ascii="宋体" w:hAnsi="宋体" w:eastAsia="宋体" w:cs="宋体"/>
                <w:color w:val="auto"/>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1"/>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91"/>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1"/>
              <w:jc w:val="center"/>
              <w:rPr>
                <w:rFonts w:ascii="宋体" w:hAnsi="宋体" w:eastAsia="宋体" w:cs="宋体"/>
                <w:color w:val="auto"/>
                <w:highlight w:val="none"/>
              </w:rPr>
            </w:pPr>
            <w:r/>
            <w:bookmarkStart w:id="239" w:name="A1"/>
            <w:r/>
            <w:bookmarkEnd w:id="23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1"/>
              <w:rPr>
                <w:rFonts w:ascii="宋体" w:hAnsi="宋体" w:eastAsia="宋体" w:cs="宋体"/>
                <w:color w:val="auto"/>
                <w:highlight w:val="none"/>
              </w:rPr>
            </w:pPr>
            <w:r/>
            <w:bookmarkStart w:id="240" w:name="MC"/>
            <w:r/>
            <w:bookmarkEnd w:id="24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1"/>
              <w:jc w:val="center"/>
              <w:rPr>
                <w:rFonts w:ascii="宋体" w:hAnsi="宋体" w:eastAsia="宋体" w:cs="宋体"/>
                <w:color w:val="auto"/>
                <w:highlight w:val="none"/>
              </w:rPr>
            </w:pPr>
            <w:r/>
            <w:bookmarkStart w:id="241" w:name="ChaKan"/>
            <w:r/>
            <w:bookmarkEnd w:id="241"/>
            <w:r>
              <w:rPr>
                <w:rFonts w:ascii="宋体" w:hAnsi="宋体" w:eastAsia="宋体" w:cs="宋体"/>
                <w:color w:val="auto"/>
                <w:highlight w:val="none"/>
              </w:rPr>
              <w:t xml:space="preserve">  </w:t>
            </w:r>
            <w:r/>
          </w:p>
        </w:tc>
      </w:tr>
    </w:tbl>
    <w:p>
      <w:pPr>
        <w:pStyle w:val="1291"/>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91"/>
        <w:jc w:val="center"/>
        <w:spacing w:before="240" w:after="240"/>
        <w:rPr>
          <w:color w:val="auto"/>
          <w:highlight w:val="none"/>
        </w:rPr>
      </w:pPr>
      <w:r>
        <w:rPr>
          <w:color w:val="auto"/>
          <w:highlight w:val="none"/>
        </w:rPr>
        <w:t xml:space="preserve">  </w:t>
      </w:r>
      <w:r/>
    </w:p>
    <w:p>
      <w:pPr>
        <w:pStyle w:val="1292"/>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财务状况报告（成立不满一年不需要提供）</w:t>
      </w:r>
      <w:r/>
    </w:p>
    <w:p>
      <w:pPr>
        <w:pStyle w:val="1293"/>
        <w:spacing w:line="440" w:lineRule="exact"/>
        <w:rPr>
          <w:color w:val="auto"/>
          <w:spacing w:val="7"/>
          <w:highlight w:val="none"/>
        </w:rPr>
      </w:pPr>
      <w:r>
        <w:rPr>
          <w:color w:val="auto"/>
          <w:highlight w:val="none"/>
        </w:rPr>
        <w:t xml:space="preserve">﻿ </w:t>
      </w:r>
      <w:r/>
    </w:p>
    <w:p>
      <w:pPr>
        <w:pStyle w:val="1293"/>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tbl>
      <w:tblPr>
        <w:tblStyle w:val="74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93"/>
              <w:jc w:val="center"/>
              <w:rPr>
                <w:rFonts w:ascii="宋体" w:hAnsi="宋体" w:eastAsia="宋体" w:cs="宋体"/>
                <w:color w:val="auto"/>
                <w:highlight w:val="none"/>
              </w:rPr>
            </w:pPr>
            <w:r>
              <w:rPr>
                <w:rFonts w:ascii="宋体" w:hAnsi="宋体" w:eastAsia="宋体" w:cs="宋体"/>
                <w:color w:val="auto"/>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jc w:val="center"/>
              <w:rPr>
                <w:rFonts w:ascii="宋体" w:hAnsi="宋体" w:eastAsia="宋体" w:cs="宋体"/>
                <w:color w:val="auto"/>
                <w:highlight w:val="none"/>
              </w:rPr>
            </w:pPr>
            <w:r>
              <w:rPr>
                <w:rFonts w:ascii="宋体" w:hAnsi="宋体" w:eastAsia="宋体" w:cs="宋体"/>
                <w:color w:val="auto"/>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93"/>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ascii="宋体" w:hAnsi="宋体" w:eastAsia="宋体" w:cs="宋体"/>
                <w:color w:val="auto"/>
                <w:highlight w:val="none"/>
              </w:rPr>
            </w:pPr>
            <w:r/>
            <w:bookmarkStart w:id="242" w:name="Year"/>
            <w:r/>
            <w:bookmarkEnd w:id="242"/>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ascii="宋体" w:hAnsi="宋体" w:eastAsia="宋体" w:cs="宋体"/>
                <w:color w:val="auto"/>
                <w:highlight w:val="none"/>
              </w:rPr>
            </w:pPr>
            <w:r/>
            <w:bookmarkStart w:id="243" w:name="ReMark"/>
            <w:r/>
            <w:bookmarkEnd w:id="24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ascii="宋体" w:hAnsi="宋体" w:eastAsia="宋体" w:cs="宋体"/>
                <w:color w:val="auto"/>
                <w:highlight w:val="none"/>
              </w:rPr>
            </w:pPr>
            <w:r/>
            <w:bookmarkStart w:id="244" w:name="ChaKan_0"/>
            <w:r/>
            <w:bookmarkEnd w:id="244"/>
            <w:r/>
            <w:r/>
          </w:p>
        </w:tc>
      </w:tr>
    </w:tbl>
    <w:p>
      <w:pPr>
        <w:pStyle w:val="1293"/>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294"/>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依法缴纳税收和社会保障资金的相关材料</w:t>
      </w:r>
      <w:r/>
    </w:p>
    <w:p>
      <w:pPr>
        <w:pStyle w:val="1295"/>
        <w:rPr>
          <w:color w:val="auto"/>
          <w:highlight w:val="none"/>
        </w:rPr>
      </w:pPr>
      <w:r>
        <w:rPr>
          <w:rFonts w:hint="eastAsia"/>
          <w:color w:val="auto"/>
          <w:highlight w:val="none"/>
        </w:rPr>
        <w:t xml:space="preserve">依法缴纳税收和社会保障资金的相关材料 </w:t>
      </w:r>
      <w:r/>
    </w:p>
    <w:p>
      <w:pPr>
        <w:pStyle w:val="129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具备履行合同所必需的设备和专业技术能力的书面声明</w:t>
      </w:r>
      <w:r/>
    </w:p>
    <w:p>
      <w:pPr>
        <w:pStyle w:val="1297"/>
        <w:spacing w:line="440" w:lineRule="exact"/>
        <w:rPr>
          <w:color w:val="auto"/>
          <w:spacing w:val="7"/>
          <w:highlight w:val="none"/>
        </w:rPr>
      </w:pPr>
      <w:r>
        <w:rPr>
          <w:rFonts w:ascii="宋体" w:hAnsi="宋体" w:eastAsia="宋体" w:cs="宋体"/>
          <w:color w:val="auto"/>
          <w:highlight w:val="none"/>
        </w:rPr>
        <w:t xml:space="preserve">﻿ </w:t>
      </w:r>
      <w:r/>
    </w:p>
    <w:p>
      <w:pPr>
        <w:pStyle w:val="129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 我单位具备履行本项采购合同所必需的设备和专业技术能力。 </w:t>
      </w:r>
      <w:r/>
    </w:p>
    <w:p>
      <w:pPr>
        <w:pStyle w:val="1297"/>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7"/>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7"/>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7"/>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7"/>
        <w:spacing w:before="210" w:after="21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投标单位（加盖公章）：   </w:t>
      </w:r>
      <w:r/>
    </w:p>
    <w:p>
      <w:pPr>
        <w:pStyle w:val="1298"/>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参加政府采购活动前3年内在经营活动中没有重大违法记录的书面声明</w:t>
      </w:r>
      <w:r/>
    </w:p>
    <w:p>
      <w:pPr>
        <w:pStyle w:val="1299"/>
        <w:spacing w:line="440" w:lineRule="exact"/>
        <w:rPr>
          <w:color w:val="auto"/>
          <w:spacing w:val="7"/>
          <w:highlight w:val="none"/>
        </w:rPr>
      </w:pPr>
      <w:r>
        <w:rPr>
          <w:rFonts w:ascii="宋体" w:hAnsi="宋体" w:eastAsia="宋体" w:cs="宋体"/>
          <w:color w:val="auto"/>
          <w:highlight w:val="none"/>
        </w:rPr>
        <w:t xml:space="preserve">﻿ </w:t>
      </w:r>
      <w:r/>
    </w:p>
    <w:p>
      <w:pPr>
        <w:pStyle w:val="1299"/>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参加政府采购活动前3年内在经营活动中没有重大违法记录的书面声明</w:t>
      </w:r>
      <w:r/>
    </w:p>
    <w:p>
      <w:pPr>
        <w:pStyle w:val="129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299"/>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声明</w:t>
      </w:r>
      <w:r/>
    </w:p>
    <w:p>
      <w:pPr>
        <w:pStyle w:val="129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29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9"/>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00"/>
        <w:rPr>
          <w:color w:val="auto"/>
          <w:highlight w:val="none"/>
        </w:rPr>
        <w:outlineLvl w:val="2"/>
      </w:pPr>
      <w:r>
        <w:rPr>
          <w:color w:val="auto"/>
          <w:highlight w:val="none"/>
        </w:rPr>
        <w:br w:type="page" w:clear="all"/>
      </w:r>
      <w:r>
        <w:rPr>
          <w:rFonts w:hint="eastAsia" w:ascii="宋体" w:hAnsi="宋体" w:cs="宋体"/>
          <w:color w:val="auto"/>
          <w:highlight w:val="none"/>
        </w:rPr>
        <w:t xml:space="preserve">若供应商法定代表人亲自参加投标的，提供本人的有效身份证</w:t>
      </w:r>
      <w:r>
        <w:rPr>
          <w:rFonts w:hint="eastAsia" w:ascii="宋体" w:hAnsi="宋体" w:eastAsia="宋体" w:cs="宋体"/>
          <w:color w:val="auto"/>
          <w:highlight w:val="none"/>
        </w:rPr>
        <w:t xml:space="preserve">扫描件</w:t>
      </w:r>
      <w:r>
        <w:rPr>
          <w:rFonts w:hint="eastAsia" w:ascii="宋体" w:hAnsi="宋体" w:cs="宋体"/>
          <w:color w:val="auto"/>
          <w:highlight w:val="none"/>
        </w:rPr>
        <w:t xml:space="preserve">；若授权代表参加投标的，则提供授权委托书和供应商法定代表人的有效身份证</w:t>
      </w:r>
      <w:r>
        <w:rPr>
          <w:rFonts w:hint="eastAsia" w:ascii="宋体" w:hAnsi="宋体" w:eastAsia="宋体" w:cs="宋体"/>
          <w:color w:val="auto"/>
          <w:highlight w:val="none"/>
        </w:rPr>
        <w:t xml:space="preserve">扫描件</w:t>
      </w:r>
      <w:r>
        <w:rPr>
          <w:rFonts w:hint="eastAsia" w:ascii="宋体" w:hAnsi="宋体" w:cs="宋体"/>
          <w:color w:val="auto"/>
          <w:highlight w:val="none"/>
        </w:rPr>
        <w:t xml:space="preserve">和被授权人本人的有效身份证</w:t>
      </w:r>
      <w:r>
        <w:rPr>
          <w:rFonts w:hint="eastAsia" w:ascii="宋体" w:hAnsi="宋体" w:eastAsia="宋体" w:cs="宋体"/>
          <w:color w:val="auto"/>
          <w:highlight w:val="none"/>
        </w:rPr>
        <w:t xml:space="preserve">扫描件</w:t>
      </w:r>
      <w:r>
        <w:rPr>
          <w:rFonts w:hint="eastAsia" w:ascii="宋体" w:hAnsi="宋体" w:cs="宋体"/>
          <w:color w:val="auto"/>
          <w:highlight w:val="none"/>
        </w:rPr>
        <w:t xml:space="preserve">；</w:t>
      </w:r>
      <w:r/>
    </w:p>
    <w:p>
      <w:pPr>
        <w:pStyle w:val="1301"/>
        <w:spacing w:line="440" w:lineRule="exact"/>
        <w:rPr>
          <w:color w:val="auto"/>
          <w:spacing w:val="7"/>
          <w:highlight w:val="none"/>
        </w:rPr>
      </w:pPr>
      <w:r>
        <w:rPr>
          <w:color w:val="auto"/>
          <w:highlight w:val="none"/>
        </w:rPr>
        <w:t xml:space="preserve">﻿ </w:t>
      </w:r>
      <w:r/>
    </w:p>
    <w:p>
      <w:pPr>
        <w:pStyle w:val="1301"/>
        <w:jc w:val="center"/>
        <w:spacing w:before="320" w:after="320"/>
        <w:rPr>
          <w:b/>
          <w:bCs/>
          <w:color w:val="auto"/>
          <w:sz w:val="32"/>
          <w:szCs w:val="32"/>
          <w:highlight w:val="none"/>
        </w:rPr>
      </w:pPr>
      <w:r>
        <w:rPr>
          <w:b/>
          <w:bCs/>
          <w:color w:val="auto"/>
          <w:sz w:val="32"/>
          <w:szCs w:val="32"/>
          <w:highlight w:val="none"/>
        </w:rPr>
        <w:t xml:space="preserve">授权委托书</w:t>
      </w:r>
      <w:r/>
    </w:p>
    <w:p>
      <w:pPr>
        <w:pStyle w:val="1301"/>
        <w:spacing w:before="240" w:after="240"/>
        <w:rPr>
          <w:color w:val="auto"/>
          <w:highlight w:val="none"/>
        </w:rPr>
      </w:pPr>
      <w:r>
        <w:rPr>
          <w:color w:val="auto"/>
          <w:highlight w:val="none"/>
        </w:rPr>
        <w:t xml:space="preserve"> </w:t>
      </w:r>
      <w:r/>
    </w:p>
    <w:p>
      <w:pPr>
        <w:pStyle w:val="1301"/>
        <w:ind w:firstLine="500"/>
        <w:spacing w:before="240" w:after="240"/>
        <w:rPr>
          <w:color w:val="auto"/>
          <w:highlight w:val="none"/>
        </w:rPr>
      </w:pPr>
      <w:r>
        <w:rPr>
          <w:color w:val="auto"/>
          <w:highlight w:val="none"/>
        </w:rPr>
        <w:t xml:space="preserve">本授权书声明：   （投标人名称）授权</w:t>
      </w:r>
      <w:bookmarkStart w:id="245" w:name="sys_STR"/>
      <w:r/>
      <w:bookmarkEnd w:id="245"/>
      <w:r>
        <w:rPr>
          <w:color w:val="auto"/>
          <w:highlight w:val="none"/>
        </w:rPr>
        <w:t xml:space="preserve">(被授权人的姓名)为我方就   项目采购活动的合法代理人，以本单位名义全权处理一切与该项目采购有关的事务。 </w:t>
      </w:r>
      <w:r/>
    </w:p>
    <w:p>
      <w:pPr>
        <w:pStyle w:val="1301"/>
        <w:ind w:firstLine="500"/>
        <w:spacing w:before="240" w:after="240"/>
        <w:rPr>
          <w:color w:val="auto"/>
          <w:highlight w:val="none"/>
        </w:rPr>
      </w:pPr>
      <w:r>
        <w:rPr>
          <w:color w:val="auto"/>
          <w:highlight w:val="none"/>
        </w:rPr>
        <w:t xml:space="preserve">本授权书于   起生效，特此声明。  </w:t>
      </w:r>
      <w:r/>
    </w:p>
    <w:p>
      <w:pPr>
        <w:pStyle w:val="1301"/>
        <w:spacing w:before="240" w:after="240"/>
        <w:rPr>
          <w:color w:val="auto"/>
          <w:highlight w:val="none"/>
        </w:rPr>
      </w:pPr>
      <w:r>
        <w:rPr>
          <w:color w:val="auto"/>
          <w:highlight w:val="none"/>
        </w:rPr>
        <w:t xml:space="preserve"> </w:t>
      </w:r>
      <w:r/>
    </w:p>
    <w:p>
      <w:pPr>
        <w:pStyle w:val="1301"/>
        <w:ind w:firstLine="3570"/>
        <w:spacing w:before="240" w:after="240"/>
        <w:rPr>
          <w:color w:val="auto"/>
          <w:highlight w:val="none"/>
        </w:rPr>
      </w:pPr>
      <w:r>
        <w:rPr>
          <w:color w:val="auto"/>
          <w:highlight w:val="none"/>
        </w:rPr>
        <w:t xml:space="preserve">被授权人身份证号码：   </w:t>
      </w:r>
      <w:r/>
    </w:p>
    <w:p>
      <w:pPr>
        <w:pStyle w:val="1301"/>
        <w:ind w:firstLine="3570"/>
        <w:spacing w:before="240" w:after="240"/>
        <w:rPr>
          <w:color w:val="auto"/>
          <w:highlight w:val="none"/>
        </w:rPr>
      </w:pPr>
      <w:r>
        <w:rPr>
          <w:color w:val="auto"/>
          <w:highlight w:val="none"/>
        </w:rPr>
        <w:t xml:space="preserve">被授权人联系电话：（手机）   </w:t>
      </w:r>
      <w:r/>
    </w:p>
    <w:p>
      <w:pPr>
        <w:pStyle w:val="1301"/>
        <w:ind w:firstLine="3570"/>
        <w:spacing w:before="240" w:after="240"/>
        <w:rPr>
          <w:color w:val="auto"/>
          <w:highlight w:val="none"/>
        </w:rPr>
      </w:pPr>
      <w:r>
        <w:rPr>
          <w:color w:val="auto"/>
          <w:highlight w:val="none"/>
        </w:rPr>
        <w:t xml:space="preserve">授权单位名称：   （加盖公章）</w:t>
      </w:r>
      <w:r/>
    </w:p>
    <w:p>
      <w:pPr>
        <w:pStyle w:val="1301"/>
        <w:ind w:firstLine="3570"/>
        <w:spacing w:before="240" w:after="240"/>
        <w:rPr>
          <w:color w:val="auto"/>
          <w:highlight w:val="none"/>
        </w:rPr>
      </w:pPr>
      <w:r>
        <w:rPr>
          <w:color w:val="auto"/>
          <w:highlight w:val="none"/>
        </w:rPr>
        <w:t xml:space="preserve">单位地址：   </w:t>
      </w:r>
      <w:r/>
    </w:p>
    <w:p>
      <w:pPr>
        <w:pStyle w:val="1301"/>
        <w:ind w:firstLine="4830"/>
        <w:spacing w:before="240" w:after="240"/>
        <w:rPr>
          <w:color w:val="auto"/>
          <w:highlight w:val="none"/>
        </w:rPr>
      </w:pPr>
      <w:r>
        <w:rPr>
          <w:color w:val="auto"/>
          <w:highlight w:val="none"/>
        </w:rPr>
        <w:t xml:space="preserve">日期：   </w:t>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r>
      <w:r/>
    </w:p>
    <w:p>
      <w:pPr>
        <w:rPr>
          <w:rFonts w:ascii="Times New Roman" w:hAnsi="Times New Roman" w:eastAsia="Times New Roman"/>
          <w:color w:val="auto"/>
          <w:highlight w:val="none"/>
        </w:rPr>
      </w:pPr>
      <w:r>
        <w:rPr>
          <w:rFonts w:ascii="Times New Roman" w:hAnsi="Times New Roman" w:eastAsia="Times New Roman"/>
          <w:color w:val="auto"/>
          <w:highlight w:val="none"/>
        </w:rPr>
        <w:br w:type="page" w:clear="all"/>
      </w:r>
      <w:r/>
    </w:p>
    <w:p>
      <w:pPr>
        <w:jc w:val="center"/>
        <w:rPr>
          <w:rFonts w:ascii="Times New Roman" w:hAnsi="Times New Roman" w:eastAsia="Times New Roman"/>
          <w:color w:val="auto"/>
          <w:highlight w:val="none"/>
        </w:rPr>
      </w:pPr>
      <w:r>
        <w:rPr>
          <w:rFonts w:ascii="宋体" w:hAnsi="宋体" w:cs="宋体"/>
          <w:b/>
          <w:color w:val="auto"/>
          <w:sz w:val="28"/>
          <w:highlight w:val="none"/>
        </w:rPr>
        <w:t xml:space="preserve">关于资格证明文件的书面承诺</w:t>
      </w:r>
      <w:r/>
    </w:p>
    <w:p>
      <w:pPr>
        <w:pStyle w:val="1303"/>
        <w:spacing w:line="440" w:lineRule="exact"/>
        <w:rPr>
          <w:color w:val="auto"/>
          <w:spacing w:val="7"/>
          <w:highlight w:val="none"/>
        </w:rPr>
      </w:pPr>
      <w:r>
        <w:rPr>
          <w:rFonts w:ascii="宋体" w:hAnsi="宋体" w:eastAsia="宋体" w:cs="宋体"/>
          <w:color w:val="auto"/>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关于资格证明文件的书面承诺</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04"/>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中小企业声明函</w:t>
      </w:r>
      <w:r/>
    </w:p>
    <w:p>
      <w:pPr>
        <w:pStyle w:val="1305"/>
        <w:spacing w:line="440" w:lineRule="exact"/>
        <w:rPr>
          <w:color w:val="auto"/>
          <w:spacing w:val="7"/>
          <w:highlight w:val="none"/>
        </w:rPr>
      </w:pPr>
      <w:r>
        <w:rPr>
          <w:rFonts w:ascii="宋体" w:hAnsi="宋体" w:eastAsia="宋体" w:cs="宋体"/>
          <w:color w:val="auto"/>
          <w:highlight w:val="none"/>
        </w:rPr>
        <w:t xml:space="preserve">﻿ </w:t>
      </w:r>
      <w:r/>
    </w:p>
    <w:p>
      <w:pPr>
        <w:pStyle w:val="130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5"/>
        <w:jc w:val="center"/>
        <w:spacing w:before="320" w:after="320"/>
        <w:rPr>
          <w:rStyle w:val="1334"/>
          <w:rFonts w:ascii="宋体" w:hAnsi="宋体" w:cs="宋体"/>
          <w:color w:val="auto"/>
          <w:sz w:val="32"/>
          <w:szCs w:val="32"/>
          <w:highlight w:val="none"/>
        </w:rPr>
      </w:pPr>
      <w:r>
        <w:rPr>
          <w:rStyle w:val="1334"/>
          <w:rFonts w:ascii="宋体" w:hAnsi="宋体" w:cs="宋体"/>
          <w:color w:val="auto"/>
          <w:sz w:val="32"/>
          <w:szCs w:val="32"/>
          <w:highlight w:val="none"/>
        </w:rPr>
        <w:t xml:space="preserve">中小企业声明函（服务）</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 </w:t>
      </w:r>
      <w:r/>
    </w:p>
    <w:p>
      <w:pPr>
        <w:pStyle w:val="1305"/>
        <w:jc w:val="center"/>
        <w:spacing w:before="320" w:after="320"/>
        <w:rPr>
          <w:rStyle w:val="1334"/>
          <w:rFonts w:ascii="宋体" w:hAnsi="宋体" w:cs="宋体"/>
          <w:color w:val="auto"/>
          <w:sz w:val="32"/>
          <w:szCs w:val="32"/>
          <w:highlight w:val="none"/>
        </w:rPr>
      </w:pPr>
      <w:r>
        <w:rPr>
          <w:rStyle w:val="1334"/>
          <w:rFonts w:ascii="宋体" w:hAnsi="宋体" w:cs="宋体"/>
          <w:color w:val="auto"/>
          <w:sz w:val="32"/>
          <w:szCs w:val="32"/>
          <w:highlight w:val="none"/>
        </w:rPr>
        <w:t xml:space="preserve">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本公司郑重声明，根据《政府采购促进中小企业发展管理办法》 </w:t>
      </w:r>
      <w:r>
        <w:rPr>
          <w:rStyle w:val="1334"/>
          <w:rFonts w:hint="eastAsia" w:ascii="宋体" w:hAnsi="宋体" w:cs="宋体"/>
          <w:color w:val="auto"/>
          <w:highlight w:val="none"/>
        </w:rPr>
        <w:t xml:space="preserve">（</w:t>
      </w:r>
      <w:r>
        <w:rPr>
          <w:rStyle w:val="1334"/>
          <w:rFonts w:ascii="宋体" w:hAnsi="宋体" w:cs="宋体"/>
          <w:color w:val="auto"/>
          <w:highlight w:val="none"/>
        </w:rPr>
        <w:t xml:space="preserve">财库〔2020〕46号</w:t>
      </w:r>
      <w:r>
        <w:rPr>
          <w:rStyle w:val="1334"/>
          <w:rFonts w:hint="eastAsia" w:ascii="宋体" w:hAnsi="宋体" w:cs="宋体"/>
          <w:color w:val="auto"/>
          <w:highlight w:val="none"/>
        </w:rPr>
        <w:t xml:space="preserve">）</w:t>
      </w:r>
      <w:r>
        <w:rPr>
          <w:rStyle w:val="1334"/>
          <w:rFonts w:ascii="宋体" w:hAnsi="宋体" w:cs="宋体"/>
          <w:color w:val="auto"/>
          <w:highlight w:val="none"/>
        </w:rPr>
        <w:t xml:space="preserve">的规定，本公司参加</w:t>
      </w:r>
      <w:r>
        <w:rPr>
          <w:rStyle w:val="1334"/>
          <w:rFonts w:ascii="宋体" w:hAnsi="宋体" w:cs="宋体"/>
          <w:color w:val="auto"/>
          <w:highlight w:val="none"/>
          <w:u w:val="single"/>
        </w:rPr>
        <w:t xml:space="preserve">   （单位名称）</w:t>
      </w:r>
      <w:r>
        <w:rPr>
          <w:rStyle w:val="1334"/>
          <w:rFonts w:ascii="宋体" w:hAnsi="宋体" w:cs="宋体"/>
          <w:color w:val="auto"/>
          <w:highlight w:val="none"/>
        </w:rPr>
        <w:t xml:space="preserve">的</w:t>
      </w:r>
      <w:r>
        <w:rPr>
          <w:rStyle w:val="1334"/>
          <w:rFonts w:ascii="宋体" w:hAnsi="宋体" w:cs="宋体"/>
          <w:color w:val="auto"/>
          <w:highlight w:val="none"/>
          <w:u w:val="single"/>
        </w:rPr>
        <w:t xml:space="preserve">   （项目名称）</w:t>
      </w:r>
      <w:r>
        <w:rPr>
          <w:rStyle w:val="1334"/>
          <w:rFonts w:ascii="宋体" w:hAnsi="宋体" w:cs="宋体"/>
          <w:color w:val="auto"/>
          <w:highlight w:val="none"/>
        </w:rPr>
        <w:t xml:space="preserve">采购活动，服务全部由符合政策要求的中小企业承接。相关企业的具体情况如下：</w:t>
      </w:r>
      <w:r/>
    </w:p>
    <w:p>
      <w:pPr>
        <w:pStyle w:val="1305"/>
        <w:spacing w:before="240" w:after="240"/>
        <w:rPr>
          <w:rStyle w:val="1334"/>
          <w:rFonts w:ascii="宋体" w:hAnsi="宋体" w:cs="宋体"/>
          <w:color w:val="auto"/>
          <w:highlight w:val="none"/>
        </w:rPr>
      </w:pPr>
      <w:r>
        <w:rPr>
          <w:rFonts w:ascii="宋体" w:hAnsi="宋体" w:cs="宋体"/>
          <w:color w:val="auto"/>
          <w:highlight w:val="none"/>
        </w:rPr>
      </w:r>
      <w:r/>
    </w:p>
    <w:p>
      <w:pPr>
        <w:jc w:val="left"/>
        <w:spacing w:before="15" w:line="15" w:lineRule="atLeast"/>
        <w:shd w:val="clear" w:color="auto" w:fill="ffffff"/>
        <w:widowControl/>
        <w:rPr>
          <w:rStyle w:val="1334"/>
          <w:rFonts w:ascii="宋体" w:hAnsi="宋体" w:cs="宋体"/>
          <w:color w:val="auto"/>
          <w:sz w:val="24"/>
          <w:szCs w:val="24"/>
          <w:highlight w:val="none"/>
        </w:rPr>
      </w:pP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u w:val="single"/>
        </w:rPr>
        <w:t xml:space="preserve">（标的名称）</w:t>
      </w:r>
      <w:r>
        <w:rPr>
          <w:rStyle w:val="1334"/>
          <w:rFonts w:ascii="宋体" w:hAnsi="宋体" w:cs="宋体"/>
          <w:color w:val="auto"/>
          <w:sz w:val="24"/>
          <w:szCs w:val="24"/>
          <w:highlight w:val="none"/>
        </w:rPr>
        <w:t xml:space="preserve">,属于</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u w:val="single"/>
        </w:rPr>
        <w:t xml:space="preserve">（采购文件中明确的所属行业）</w:t>
      </w:r>
      <w:r>
        <w:rPr>
          <w:rStyle w:val="1334"/>
          <w:rFonts w:ascii="宋体" w:hAnsi="宋体" w:cs="宋体"/>
          <w:color w:val="auto"/>
          <w:sz w:val="24"/>
          <w:szCs w:val="24"/>
          <w:highlight w:val="none"/>
        </w:rPr>
        <w:t xml:space="preserve">行业；承接企业为</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u w:val="single"/>
        </w:rPr>
        <w:t xml:space="preserve">（企业名称）</w:t>
      </w:r>
      <w:r>
        <w:rPr>
          <w:rStyle w:val="1334"/>
          <w:rFonts w:ascii="宋体" w:hAnsi="宋体" w:cs="宋体"/>
          <w:color w:val="auto"/>
          <w:sz w:val="24"/>
          <w:szCs w:val="24"/>
          <w:highlight w:val="none"/>
        </w:rPr>
        <w:t xml:space="preserve">，从业人员</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rPr>
        <w:t xml:space="preserve">人，营业收入为</w:t>
      </w:r>
      <w:r>
        <w:rPr>
          <w:rStyle w:val="1334"/>
          <w:rFonts w:hint="eastAsia" w:ascii="宋体" w:hAnsi="宋体" w:cs="宋体"/>
          <w:color w:val="auto"/>
          <w:sz w:val="24"/>
          <w:szCs w:val="24"/>
          <w:highlight w:val="none"/>
        </w:rPr>
        <w:t xml:space="preserve"> </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rPr>
        <w:t xml:space="preserve">万元，资产总额为</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sz w:val="24"/>
          <w:szCs w:val="24"/>
          <w:highlight w:val="none"/>
        </w:rPr>
        <w:t xml:space="preserve">万元，属于</w:t>
      </w:r>
      <w:r>
        <w:rPr>
          <w:rStyle w:val="1334"/>
          <w:rFonts w:hint="eastAsia" w:ascii="宋体" w:hAnsi="宋体" w:cs="宋体"/>
          <w:color w:val="auto"/>
          <w:sz w:val="24"/>
          <w:szCs w:val="24"/>
          <w:highlight w:val="none"/>
          <w:u w:val="single"/>
        </w:rPr>
        <w:t xml:space="preserve">     </w:t>
      </w:r>
      <w:r>
        <w:rPr>
          <w:rStyle w:val="1334"/>
          <w:rFonts w:ascii="宋体" w:hAnsi="宋体" w:cs="宋体"/>
          <w:color w:val="auto"/>
          <w:highlight w:val="none"/>
        </w:rPr>
        <w:t xml:space="preserve">（中/小/微企业）</w:t>
      </w:r>
      <w:r>
        <w:rPr>
          <w:rStyle w:val="1334"/>
          <w:rFonts w:ascii="宋体" w:hAnsi="宋体" w:cs="宋体"/>
          <w:color w:val="auto"/>
          <w:sz w:val="24"/>
          <w:szCs w:val="24"/>
          <w:highlight w:val="none"/>
        </w:rPr>
        <w:t xml:space="preserve">；</w:t>
      </w:r>
      <w:r/>
    </w:p>
    <w:p>
      <w:pPr>
        <w:pStyle w:val="1305"/>
        <w:spacing w:before="240" w:after="240"/>
        <w:rPr>
          <w:rStyle w:val="1334"/>
          <w:rFonts w:ascii="宋体" w:hAnsi="宋体" w:cs="宋体"/>
          <w:color w:val="auto"/>
          <w:sz w:val="24"/>
          <w:szCs w:val="24"/>
          <w:highlight w:val="none"/>
        </w:rPr>
      </w:pPr>
      <w:r>
        <w:rPr>
          <w:rFonts w:ascii="宋体" w:hAnsi="宋体" w:cs="宋体"/>
          <w:color w:val="auto"/>
          <w:sz w:val="24"/>
          <w:szCs w:val="24"/>
          <w:highlight w:val="none"/>
        </w:rPr>
      </w:r>
      <w:r/>
    </w:p>
    <w:p>
      <w:pPr>
        <w:pStyle w:val="1305"/>
        <w:spacing w:before="240" w:after="240"/>
        <w:rPr>
          <w:rStyle w:val="1334"/>
          <w:rFonts w:ascii="宋体" w:hAnsi="宋体" w:cs="宋体"/>
          <w:color w:val="auto"/>
          <w:highlight w:val="none"/>
        </w:rPr>
      </w:pPr>
      <w:r>
        <w:rPr>
          <w:rFonts w:ascii="宋体" w:hAnsi="宋体" w:cs="宋体"/>
          <w:color w:val="auto"/>
          <w:highlight w:val="none"/>
        </w:rPr>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以上企业，不属于大企业的分支机构，不存在控股股东为大企业的情形，也不存在与大企业的负责人为同一人的情形。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本企业对上述声明内容的真实性负责。如有虚假，将依法承担相应责任。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企业名称（盖章）：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日期：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注：供应商对照《关于印发中小企业划型标准规定的通知》（工信部联企业【2011】300号）中的标准，明确标的承接企业所属企业类型。</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备注：1.从业人员、营业收入、资产总额填报上一年度数据，无上一年度数据的新成立企业可不填报。</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      2.在服务采购项目中，服务由中小企业承接，即提供服务的人员为中小企业依照《中华人民共和国劳动合同法》订立劳动合同的从业人员。</w:t>
      </w:r>
      <w:r>
        <w:rPr>
          <w:rStyle w:val="1334"/>
          <w:rFonts w:ascii="宋体" w:hAnsi="宋体" w:cs="宋体"/>
          <w:b/>
          <w:bCs/>
          <w:color w:val="auto"/>
          <w:highlight w:val="none"/>
        </w:rPr>
        <w:t xml:space="preserve">服务类项目中供应商若使用退休人员，将不享受相应扶持政策。</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附：中小企业划型标准规定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05"/>
        <w:spacing w:before="240" w:after="240"/>
        <w:rPr>
          <w:rStyle w:val="1334"/>
          <w:rFonts w:ascii="宋体" w:hAnsi="宋体" w:cs="宋体"/>
          <w:color w:val="auto"/>
          <w:sz w:val="24"/>
          <w:szCs w:val="24"/>
          <w:highlight w:val="none"/>
        </w:rPr>
      </w:pPr>
      <w:r>
        <w:rPr>
          <w:rStyle w:val="1334"/>
          <w:rFonts w:ascii="宋体" w:hAnsi="宋体" w:cs="宋体"/>
          <w:color w:val="auto"/>
          <w:highlight w:val="none"/>
        </w:rPr>
        <w:t xml:space="preserve">（十五）租赁和商务服务业。从业人员300人以下或资产总额</w:t>
      </w:r>
      <w:r>
        <w:rPr>
          <w:rStyle w:val="1334"/>
          <w:rFonts w:hint="eastAsia" w:ascii="宋体" w:hAnsi="宋体" w:cs="宋体"/>
          <w:color w:val="auto"/>
          <w:highlight w:val="none"/>
        </w:rPr>
        <w:t xml:space="preserve">900000</w:t>
      </w:r>
      <w:r>
        <w:rPr>
          <w:rStyle w:val="1334"/>
          <w:rFonts w:ascii="宋体" w:hAnsi="宋体" w:cs="宋体"/>
          <w:color w:val="auto"/>
          <w:highlight w:val="none"/>
        </w:rPr>
        <w:t xml:space="preserve">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05"/>
        <w:spacing w:before="240" w:after="240"/>
        <w:rPr>
          <w:rFonts w:ascii="宋体" w:hAnsi="宋体" w:eastAsia="宋体" w:cs="宋体"/>
          <w:color w:val="auto"/>
          <w:highlight w:val="none"/>
        </w:rPr>
      </w:pPr>
      <w:r>
        <w:rPr>
          <w:rStyle w:val="1334"/>
          <w:rFonts w:ascii="宋体" w:hAnsi="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0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残疾人福利性单位声明函（专门面向中小企业）</w:t>
      </w:r>
      <w:r/>
    </w:p>
    <w:p>
      <w:pPr>
        <w:pStyle w:val="1307"/>
        <w:spacing w:line="440" w:lineRule="exact"/>
        <w:rPr>
          <w:color w:val="auto"/>
          <w:spacing w:val="7"/>
          <w:highlight w:val="none"/>
        </w:rPr>
      </w:pPr>
      <w:r>
        <w:rPr>
          <w:rFonts w:ascii="宋体" w:hAnsi="宋体" w:eastAsia="宋体" w:cs="宋体"/>
          <w:color w:val="auto"/>
          <w:highlight w:val="none"/>
        </w:rPr>
        <w:t xml:space="preserve">﻿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0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w:t>
      </w:r>
      <w:r>
        <w:rPr>
          <w:rFonts w:hint="eastAsia" w:ascii="宋体" w:hAnsi="宋体" w:eastAsia="宋体" w:cs="宋体"/>
          <w:color w:val="auto"/>
          <w:highlight w:val="none"/>
        </w:rPr>
        <w:t xml:space="preserve">中华人民共和国政府采购法</w:t>
      </w:r>
      <w:r>
        <w:rPr>
          <w:rFonts w:ascii="宋体" w:hAnsi="宋体" w:eastAsia="宋体" w:cs="宋体"/>
          <w:color w:val="auto"/>
          <w:highlight w:val="none"/>
        </w:rPr>
        <w:t xml:space="preserve">》第七十七条第一款的规定追究法律责任。</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07"/>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08"/>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监狱企业的证明文件（专门面向中小企业）</w:t>
      </w:r>
      <w:r/>
    </w:p>
    <w:p>
      <w:pPr>
        <w:pStyle w:val="1309"/>
        <w:jc w:val="center"/>
        <w:rPr>
          <w:color w:val="auto"/>
          <w:sz w:val="32"/>
          <w:szCs w:val="32"/>
          <w:highlight w:val="none"/>
        </w:rPr>
      </w:pPr>
      <w:r>
        <w:rPr>
          <w:rFonts w:hint="eastAsia"/>
          <w:color w:val="auto"/>
          <w:sz w:val="32"/>
          <w:szCs w:val="32"/>
          <w:highlight w:val="none"/>
        </w:rPr>
        <w:t xml:space="preserve">监狱企业的证明文件</w:t>
      </w:r>
      <w:r/>
    </w:p>
    <w:p>
      <w:pPr>
        <w:pStyle w:val="1309"/>
        <w:rPr>
          <w:rFonts w:ascii="等线" w:hAnsi="等线" w:eastAsia="等线"/>
          <w:color w:val="auto"/>
          <w:highlight w:val="none"/>
        </w:rPr>
      </w:pPr>
      <w:r>
        <w:rPr>
          <w:rFonts w:ascii="等线" w:hAnsi="等线" w:eastAsia="等线"/>
          <w:color w:val="auto"/>
          <w:highlight w:val="none"/>
        </w:rPr>
      </w:r>
      <w:r/>
    </w:p>
    <w:p>
      <w:pPr>
        <w:pStyle w:val="1309"/>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9"/>
        <w:rPr>
          <w:rFonts w:ascii="等线" w:hAnsi="等线" w:eastAsia="等线"/>
          <w:color w:val="auto"/>
          <w:highlight w:val="none"/>
        </w:rPr>
      </w:pPr>
      <w:r>
        <w:rPr>
          <w:rFonts w:hint="eastAsia" w:ascii="等线" w:hAnsi="等线" w:eastAsia="等线"/>
          <w:color w:val="auto"/>
          <w:highlight w:val="none"/>
        </w:rPr>
        <w:t xml:space="preserve">      </w:t>
      </w:r>
      <w:r/>
    </w:p>
    <w:p>
      <w:pPr>
        <w:pStyle w:val="1309"/>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09"/>
        <w:rPr>
          <w:rFonts w:ascii="等线" w:hAnsi="等线" w:eastAsia="等线"/>
          <w:color w:val="auto"/>
          <w:highlight w:val="none"/>
        </w:rPr>
      </w:pPr>
      <w:r>
        <w:rPr>
          <w:rFonts w:ascii="等线" w:hAnsi="等线" w:eastAsia="等线"/>
          <w:color w:val="auto"/>
          <w:highlight w:val="none"/>
        </w:rPr>
      </w:r>
      <w:r/>
    </w:p>
    <w:p>
      <w:pPr>
        <w:pStyle w:val="1309"/>
        <w:rPr>
          <w:color w:val="auto"/>
          <w:highlight w:val="none"/>
        </w:rPr>
      </w:pPr>
      <w:r>
        <w:rPr>
          <w:rFonts w:hint="eastAsia"/>
          <w:color w:val="auto"/>
          <w:highlight w:val="none"/>
        </w:rPr>
        <w:t xml:space="preserve"> </w:t>
      </w:r>
      <w:r/>
    </w:p>
    <w:p>
      <w:pPr>
        <w:pStyle w:val="1310"/>
        <w:rPr>
          <w:color w:val="auto"/>
          <w:highlight w:val="none"/>
        </w:rPr>
        <w:outlineLvl w:val="1"/>
      </w:pPr>
      <w:r>
        <w:rPr>
          <w:color w:val="auto"/>
          <w:highlight w:val="none"/>
        </w:rPr>
        <w:br w:type="page" w:clear="all"/>
      </w:r>
      <w:bookmarkStart w:id="246" w:name="_Toc256000018"/>
      <w:r>
        <w:rPr>
          <w:rFonts w:ascii="宋体" w:hAnsi="宋体" w:eastAsia="宋体" w:cs="宋体"/>
          <w:b/>
          <w:color w:val="auto"/>
          <w:sz w:val="32"/>
          <w:highlight w:val="none"/>
        </w:rPr>
        <w:t xml:space="preserve">五、第四章项目需求中实质性要求响应对照表</w:t>
      </w:r>
      <w:bookmarkEnd w:id="246"/>
      <w:r/>
      <w:r/>
    </w:p>
    <w:p>
      <w:pPr>
        <w:pStyle w:val="1311"/>
        <w:spacing w:line="440" w:lineRule="exact"/>
        <w:rPr>
          <w:color w:val="auto"/>
          <w:spacing w:val="7"/>
          <w:highlight w:val="none"/>
        </w:rPr>
      </w:pPr>
      <w:r>
        <w:rPr>
          <w:rFonts w:ascii="宋体" w:hAnsi="宋体" w:eastAsia="宋体" w:cs="宋体"/>
          <w:color w:val="auto"/>
          <w:highlight w:val="none"/>
        </w:rPr>
        <w:t xml:space="preserve">﻿ </w:t>
      </w:r>
      <w:r/>
    </w:p>
    <w:p>
      <w:pPr>
        <w:pStyle w:val="1311"/>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第四章项目需求中实质性要求响应对照表 </w:t>
      </w:r>
      <w:r/>
    </w:p>
    <w:p>
      <w:pPr>
        <w:pStyle w:val="131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4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1"/>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11"/>
        <w:rPr>
          <w:rFonts w:ascii="宋体" w:hAnsi="宋体" w:eastAsia="宋体" w:cs="宋体"/>
          <w:color w:val="auto"/>
          <w:highlight w:val="none"/>
        </w:rPr>
      </w:pPr>
      <w:r>
        <w:rPr>
          <w:rFonts w:ascii="宋体" w:hAnsi="宋体" w:eastAsia="宋体" w:cs="宋体"/>
          <w:color w:val="auto"/>
          <w:highlight w:val="none"/>
        </w:rPr>
      </w:r>
      <w:r/>
    </w:p>
    <w:p>
      <w:pPr>
        <w:pStyle w:val="1312"/>
        <w:rPr>
          <w:color w:val="auto"/>
          <w:highlight w:val="none"/>
        </w:rPr>
        <w:outlineLvl w:val="1"/>
      </w:pPr>
      <w:r>
        <w:rPr>
          <w:color w:val="auto"/>
          <w:highlight w:val="none"/>
        </w:rPr>
        <w:br w:type="page" w:clear="all"/>
      </w:r>
      <w:bookmarkStart w:id="247" w:name="_Toc256000019"/>
      <w:r>
        <w:rPr>
          <w:rFonts w:ascii="宋体" w:hAnsi="宋体" w:eastAsia="宋体" w:cs="宋体"/>
          <w:b/>
          <w:color w:val="auto"/>
          <w:sz w:val="32"/>
          <w:highlight w:val="none"/>
        </w:rPr>
        <w:t xml:space="preserve">六、服务方案</w:t>
      </w:r>
      <w:bookmarkEnd w:id="247"/>
      <w:r/>
      <w:r/>
    </w:p>
    <w:p>
      <w:pPr>
        <w:pStyle w:val="1313"/>
        <w:jc w:val="center"/>
        <w:keepLines/>
        <w:keepNext/>
        <w:spacing w:before="260" w:after="260" w:line="415" w:lineRule="auto"/>
        <w:rPr>
          <w:rFonts w:ascii="宋体" w:hAnsi="宋体"/>
          <w:b/>
          <w:bCs/>
          <w:color w:val="auto"/>
          <w:sz w:val="28"/>
          <w:szCs w:val="28"/>
          <w:highlight w:val="none"/>
        </w:rPr>
      </w:pPr>
      <w:r/>
      <w:bookmarkStart w:id="248" w:name="_Toc35266041"/>
      <w:r/>
      <w:bookmarkStart w:id="249" w:name="_Toc43285583"/>
      <w:r>
        <w:rPr>
          <w:rFonts w:hint="eastAsia" w:ascii="宋体" w:hAnsi="宋体"/>
          <w:b/>
          <w:bCs/>
          <w:color w:val="auto"/>
          <w:sz w:val="28"/>
          <w:szCs w:val="28"/>
          <w:highlight w:val="none"/>
        </w:rPr>
        <w:t xml:space="preserve">服务方案</w:t>
      </w:r>
      <w:bookmarkEnd w:id="248"/>
      <w:r/>
      <w:bookmarkEnd w:id="249"/>
      <w:r/>
      <w:r/>
    </w:p>
    <w:p>
      <w:pPr>
        <w:pStyle w:val="1313"/>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313"/>
        <w:jc w:val="center"/>
        <w:spacing w:line="360" w:lineRule="auto"/>
        <w:rPr>
          <w:rFonts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pStyle w:val="1315"/>
        <w:rPr>
          <w:color w:val="auto"/>
          <w:highlight w:val="none"/>
        </w:rPr>
        <w:outlineLvl w:val="1"/>
      </w:pPr>
      <w:r>
        <w:rPr>
          <w:color w:val="auto"/>
          <w:highlight w:val="none"/>
        </w:rPr>
        <w:br w:type="page" w:clear="all"/>
      </w:r>
      <w:bookmarkStart w:id="250" w:name="_Toc256000020"/>
      <w:r>
        <w:rPr>
          <w:rFonts w:ascii="宋体" w:hAnsi="宋体" w:eastAsia="宋体" w:cs="宋体"/>
          <w:b/>
          <w:color w:val="auto"/>
          <w:sz w:val="32"/>
          <w:highlight w:val="none"/>
        </w:rPr>
        <w:t xml:space="preserve">七、投标人情况介绍</w:t>
      </w:r>
      <w:bookmarkEnd w:id="250"/>
      <w:r/>
      <w:r/>
    </w:p>
    <w:p>
      <w:pPr>
        <w:pStyle w:val="131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投标人拥有的设施设备情况</w:t>
      </w:r>
      <w:r/>
    </w:p>
    <w:p>
      <w:pPr>
        <w:pStyle w:val="1317"/>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pStyle w:val="1317"/>
        <w:jc w:val="center"/>
        <w:spacing w:line="360" w:lineRule="auto"/>
        <w:rPr>
          <w:b/>
          <w:bCs/>
          <w:color w:val="auto"/>
          <w:sz w:val="28"/>
          <w:szCs w:val="28"/>
          <w:highlight w:val="none"/>
        </w:rPr>
      </w:pPr>
      <w:r>
        <w:rPr>
          <w:rFonts w:hint="eastAsia" w:ascii="宋体" w:hAnsi="宋体"/>
          <w:b/>
          <w:bCs/>
          <w:color w:val="auto"/>
          <w:sz w:val="28"/>
          <w:szCs w:val="28"/>
          <w:highlight w:val="none"/>
        </w:rPr>
        <w:t xml:space="preserve">投标人拥有的设施设备情况（若有的话）</w:t>
      </w:r>
      <w:r/>
    </w:p>
    <w:p>
      <w:pPr>
        <w:pStyle w:val="1319"/>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类似业绩一览表</w:t>
      </w:r>
      <w:r/>
    </w:p>
    <w:p>
      <w:pPr>
        <w:pStyle w:val="1320"/>
        <w:spacing w:line="440" w:lineRule="exact"/>
        <w:rPr>
          <w:color w:val="auto"/>
          <w:spacing w:val="7"/>
          <w:highlight w:val="none"/>
        </w:rPr>
      </w:pPr>
      <w:r>
        <w:rPr>
          <w:color w:val="auto"/>
          <w:highlight w:val="none"/>
        </w:rPr>
        <w:t xml:space="preserve">﻿ </w:t>
      </w:r>
      <w:r/>
    </w:p>
    <w:p>
      <w:pPr>
        <w:pStyle w:val="1320"/>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类似业绩一览表 </w:t>
      </w:r>
      <w:r/>
    </w:p>
    <w:tbl>
      <w:tblPr>
        <w:tblStyle w:val="74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rPr>
                <w:rFonts w:ascii="宋体" w:hAnsi="宋体" w:eastAsia="宋体" w:cs="宋体"/>
                <w:color w:val="auto"/>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rPr>
                <w:rFonts w:ascii="宋体" w:hAnsi="宋体" w:eastAsia="宋体" w:cs="宋体"/>
                <w:color w:val="auto"/>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rPr>
                <w:rFonts w:ascii="宋体" w:hAnsi="宋体" w:eastAsia="宋体" w:cs="宋体"/>
                <w:color w:val="auto"/>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bookmarkStart w:id="251" w:name="xh"/>
            <w:r/>
            <w:bookmarkEnd w:id="25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bookmarkStart w:id="252" w:name="XmName"/>
            <w:r/>
            <w:bookmarkEnd w:id="252"/>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0"/>
              <w:rPr>
                <w:rFonts w:ascii="宋体" w:hAnsi="宋体" w:eastAsia="宋体" w:cs="宋体"/>
                <w:color w:val="auto"/>
                <w:highlight w:val="none"/>
              </w:rPr>
            </w:pPr>
            <w:r/>
            <w:bookmarkStart w:id="253" w:name="ZhongBiaoJia"/>
            <w:r/>
            <w:bookmarkEnd w:id="253"/>
            <w:r/>
            <w:r/>
          </w:p>
        </w:tc>
      </w:tr>
    </w:tbl>
    <w:p>
      <w:pPr>
        <w:pStyle w:val="1320"/>
        <w:jc w:val="center"/>
        <w:spacing w:before="240" w:after="240"/>
        <w:rPr>
          <w:color w:val="auto"/>
          <w:highlight w:val="none"/>
        </w:rPr>
      </w:pPr>
      <w:r>
        <w:rPr>
          <w:color w:val="auto"/>
          <w:highlight w:val="none"/>
        </w:rPr>
        <w:t xml:space="preserve">  </w:t>
      </w:r>
      <w:r/>
    </w:p>
    <w:p>
      <w:pPr>
        <w:pStyle w:val="1321"/>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投标人获得的相关证书</w:t>
      </w:r>
      <w:r/>
    </w:p>
    <w:p>
      <w:pPr>
        <w:pStyle w:val="1322"/>
        <w:spacing w:line="440" w:lineRule="exact"/>
        <w:rPr>
          <w:color w:val="auto"/>
          <w:spacing w:val="7"/>
          <w:highlight w:val="none"/>
        </w:rPr>
      </w:pPr>
      <w:r>
        <w:rPr>
          <w:color w:val="auto"/>
          <w:highlight w:val="none"/>
        </w:rPr>
        <w:t xml:space="preserve">﻿ </w:t>
      </w:r>
      <w:r/>
    </w:p>
    <w:p>
      <w:pPr>
        <w:pStyle w:val="1322"/>
        <w:spacing w:before="240" w:after="240"/>
        <w:rPr>
          <w:color w:val="auto"/>
          <w:highlight w:val="none"/>
        </w:rPr>
      </w:pPr>
      <w:r>
        <w:rPr>
          <w:color w:val="auto"/>
          <w:highlight w:val="none"/>
        </w:rPr>
        <w:t xml:space="preserve"> </w:t>
      </w:r>
      <w:r/>
    </w:p>
    <w:p>
      <w:pPr>
        <w:pStyle w:val="1322"/>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各类证书</w:t>
      </w:r>
      <w:r/>
    </w:p>
    <w:tbl>
      <w:tblPr>
        <w:tblStyle w:val="74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2"/>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22"/>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2"/>
              <w:rPr>
                <w:rFonts w:ascii="宋体" w:hAnsi="宋体" w:eastAsia="宋体" w:cs="宋体"/>
                <w:color w:val="auto"/>
                <w:highlight w:val="none"/>
              </w:rPr>
            </w:pPr>
            <w:r/>
            <w:bookmarkStart w:id="254" w:name="MC_0"/>
            <w:r/>
            <w:bookmarkEnd w:id="254"/>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2"/>
              <w:rPr>
                <w:rFonts w:ascii="宋体" w:hAnsi="宋体" w:eastAsia="宋体" w:cs="宋体"/>
                <w:color w:val="auto"/>
                <w:highlight w:val="none"/>
              </w:rPr>
            </w:pPr>
            <w:r/>
            <w:bookmarkStart w:id="255" w:name="ChaKan_1"/>
            <w:r/>
            <w:bookmarkEnd w:id="255"/>
            <w:r/>
            <w:r/>
          </w:p>
        </w:tc>
      </w:tr>
    </w:tbl>
    <w:p>
      <w:pPr>
        <w:pStyle w:val="1322"/>
        <w:spacing w:before="240" w:after="240"/>
        <w:rPr>
          <w:color w:val="auto"/>
          <w:highlight w:val="none"/>
        </w:rPr>
      </w:pPr>
      <w:r>
        <w:rPr>
          <w:color w:val="auto"/>
          <w:highlight w:val="none"/>
        </w:rPr>
        <w:t xml:space="preserve"> </w:t>
      </w:r>
      <w:r/>
    </w:p>
    <w:p>
      <w:pPr>
        <w:pStyle w:val="1322"/>
        <w:spacing w:before="240" w:after="240"/>
        <w:rPr>
          <w:color w:val="auto"/>
          <w:highlight w:val="none"/>
        </w:rPr>
      </w:pPr>
      <w:r>
        <w:rPr>
          <w:color w:val="auto"/>
          <w:highlight w:val="none"/>
        </w:rPr>
        <w:t xml:space="preserve"> </w:t>
      </w:r>
      <w:r/>
    </w:p>
    <w:p>
      <w:pPr>
        <w:pStyle w:val="1322"/>
        <w:spacing w:before="240" w:after="240"/>
        <w:rPr>
          <w:color w:val="auto"/>
          <w:highlight w:val="none"/>
        </w:rPr>
      </w:pPr>
      <w:r>
        <w:rPr>
          <w:color w:val="auto"/>
          <w:highlight w:val="none"/>
        </w:rPr>
        <w:t xml:space="preserve"> </w:t>
      </w:r>
      <w:r/>
    </w:p>
    <w:p>
      <w:pPr>
        <w:pStyle w:val="1323"/>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投标人获得的相关奖项</w:t>
      </w:r>
      <w:r/>
    </w:p>
    <w:p>
      <w:pPr>
        <w:pStyle w:val="1324"/>
        <w:spacing w:line="440" w:lineRule="exact"/>
        <w:rPr>
          <w:color w:val="auto"/>
          <w:spacing w:val="7"/>
          <w:highlight w:val="none"/>
        </w:rPr>
      </w:pPr>
      <w:r>
        <w:rPr>
          <w:color w:val="auto"/>
          <w:highlight w:val="none"/>
        </w:rPr>
        <w:t xml:space="preserve">﻿ </w:t>
      </w:r>
      <w:r/>
    </w:p>
    <w:p>
      <w:pPr>
        <w:pStyle w:val="1324"/>
        <w:spacing w:before="240" w:after="240"/>
        <w:rPr>
          <w:color w:val="auto"/>
          <w:highlight w:val="none"/>
        </w:rPr>
      </w:pPr>
      <w:r>
        <w:rPr>
          <w:color w:val="auto"/>
          <w:highlight w:val="none"/>
        </w:rPr>
        <w:t xml:space="preserve"> </w:t>
      </w:r>
      <w:r/>
    </w:p>
    <w:p>
      <w:pPr>
        <w:pStyle w:val="1324"/>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各类奖项</w:t>
      </w:r>
      <w:r/>
    </w:p>
    <w:tbl>
      <w:tblPr>
        <w:tblStyle w:val="74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4"/>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24"/>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4"/>
              <w:rPr>
                <w:rFonts w:ascii="宋体" w:hAnsi="宋体" w:eastAsia="宋体" w:cs="宋体"/>
                <w:color w:val="auto"/>
                <w:highlight w:val="none"/>
              </w:rPr>
            </w:pPr>
            <w:r/>
            <w:bookmarkStart w:id="256" w:name="MC_1"/>
            <w:r/>
            <w:bookmarkEnd w:id="256"/>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4"/>
              <w:rPr>
                <w:rFonts w:ascii="宋体" w:hAnsi="宋体" w:eastAsia="宋体" w:cs="宋体"/>
                <w:color w:val="auto"/>
                <w:highlight w:val="none"/>
              </w:rPr>
            </w:pPr>
            <w:r/>
            <w:bookmarkStart w:id="257" w:name="ChaKan_2"/>
            <w:r/>
            <w:bookmarkEnd w:id="257"/>
            <w:r/>
            <w:r/>
          </w:p>
        </w:tc>
      </w:tr>
    </w:tbl>
    <w:p>
      <w:pPr>
        <w:pStyle w:val="1324"/>
        <w:spacing w:before="240" w:after="240"/>
        <w:rPr>
          <w:color w:val="auto"/>
          <w:highlight w:val="none"/>
        </w:rPr>
      </w:pPr>
      <w:r>
        <w:rPr>
          <w:color w:val="auto"/>
          <w:highlight w:val="none"/>
        </w:rPr>
        <w:t xml:space="preserve"> </w:t>
      </w:r>
      <w:r/>
    </w:p>
    <w:p>
      <w:pPr>
        <w:pStyle w:val="1324"/>
        <w:spacing w:before="240" w:after="240"/>
        <w:rPr>
          <w:color w:val="auto"/>
          <w:highlight w:val="none"/>
        </w:rPr>
      </w:pPr>
      <w:r>
        <w:rPr>
          <w:color w:val="auto"/>
          <w:highlight w:val="none"/>
        </w:rPr>
        <w:t xml:space="preserve"> </w:t>
      </w:r>
      <w:r/>
    </w:p>
    <w:p>
      <w:pPr>
        <w:pStyle w:val="1324"/>
        <w:spacing w:before="240" w:after="240"/>
        <w:rPr>
          <w:color w:val="auto"/>
          <w:highlight w:val="none"/>
        </w:rPr>
      </w:pPr>
      <w:r>
        <w:rPr>
          <w:color w:val="auto"/>
          <w:highlight w:val="none"/>
        </w:rPr>
        <w:t xml:space="preserve"> </w:t>
      </w:r>
      <w:r/>
    </w:p>
    <w:p>
      <w:pPr>
        <w:pStyle w:val="1327"/>
        <w:rPr>
          <w:color w:val="auto"/>
          <w:highlight w:val="none"/>
        </w:rPr>
        <w:outlineLvl w:val="1"/>
      </w:pPr>
      <w:r>
        <w:rPr>
          <w:color w:val="auto"/>
          <w:highlight w:val="none"/>
        </w:rPr>
        <w:br w:type="page" w:clear="all"/>
      </w:r>
      <w:bookmarkStart w:id="258" w:name="_Toc256000021"/>
      <w:r>
        <w:rPr>
          <w:rFonts w:ascii="宋体" w:hAnsi="宋体" w:eastAsia="宋体" w:cs="宋体"/>
          <w:b/>
          <w:color w:val="auto"/>
          <w:sz w:val="32"/>
          <w:highlight w:val="none"/>
        </w:rPr>
        <w:t xml:space="preserve">八、</w:t>
      </w:r>
      <w:bookmarkEnd w:id="258"/>
      <w:r/>
      <w:bookmarkStart w:id="259" w:name="_Toc256000022"/>
      <w:r>
        <w:rPr>
          <w:rFonts w:hint="eastAsia" w:ascii="宋体" w:hAnsi="宋体" w:eastAsia="宋体" w:cs="宋体"/>
          <w:b/>
          <w:color w:val="auto"/>
          <w:sz w:val="32"/>
          <w:highlight w:val="none"/>
        </w:rPr>
        <w:t xml:space="preserve">服务要求及</w:t>
      </w:r>
      <w:r>
        <w:rPr>
          <w:rFonts w:ascii="宋体" w:hAnsi="宋体" w:eastAsia="宋体" w:cs="宋体"/>
          <w:b/>
          <w:color w:val="auto"/>
          <w:sz w:val="32"/>
          <w:highlight w:val="none"/>
        </w:rPr>
        <w:t xml:space="preserve">商务条款响应及偏离表</w:t>
      </w:r>
      <w:bookmarkEnd w:id="259"/>
      <w:r/>
      <w:r/>
    </w:p>
    <w:p>
      <w:pPr>
        <w:pStyle w:val="1328"/>
        <w:spacing w:line="440" w:lineRule="exact"/>
        <w:rPr>
          <w:color w:val="auto"/>
          <w:spacing w:val="7"/>
          <w:highlight w:val="none"/>
        </w:rPr>
      </w:pPr>
      <w:r>
        <w:rPr>
          <w:rFonts w:ascii="宋体" w:hAnsi="宋体" w:eastAsia="宋体" w:cs="宋体"/>
          <w:color w:val="auto"/>
          <w:highlight w:val="none"/>
        </w:rPr>
        <w:t xml:space="preserve">﻿ </w:t>
      </w:r>
      <w:r/>
    </w:p>
    <w:p>
      <w:pPr>
        <w:pStyle w:val="1328"/>
        <w:jc w:val="center"/>
        <w:spacing w:before="320" w:after="320" w:line="300" w:lineRule="auto"/>
        <w:rPr>
          <w:rFonts w:ascii="黑体" w:hAnsi="黑体" w:eastAsia="黑体" w:cs="黑体"/>
          <w:b/>
          <w:bCs/>
          <w:color w:val="auto"/>
          <w:sz w:val="32"/>
          <w:szCs w:val="32"/>
          <w:highlight w:val="none"/>
        </w:rPr>
      </w:pPr>
      <w:r>
        <w:rPr>
          <w:rFonts w:hint="eastAsia" w:ascii="宋体" w:hAnsi="宋体" w:eastAsia="宋体" w:cs="宋体"/>
          <w:b/>
          <w:color w:val="auto"/>
          <w:sz w:val="32"/>
          <w:highlight w:val="none"/>
        </w:rPr>
        <w:t xml:space="preserve">服务要求及</w:t>
      </w:r>
      <w:r>
        <w:rPr>
          <w:rFonts w:ascii="黑体" w:hAnsi="黑体" w:eastAsia="黑体" w:cs="黑体"/>
          <w:b/>
          <w:bCs/>
          <w:color w:val="auto"/>
          <w:sz w:val="32"/>
          <w:szCs w:val="32"/>
          <w:highlight w:val="none"/>
        </w:rPr>
        <w:t xml:space="preserve">商务条款响应及偏离表 </w:t>
      </w:r>
      <w:r/>
    </w:p>
    <w:p>
      <w:pPr>
        <w:pStyle w:val="132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4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28"/>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2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29"/>
        <w:rPr>
          <w:color w:val="auto"/>
          <w:highlight w:val="none"/>
        </w:rPr>
        <w:outlineLvl w:val="1"/>
      </w:pPr>
      <w:r>
        <w:rPr>
          <w:color w:val="auto"/>
          <w:highlight w:val="none"/>
        </w:rPr>
        <w:br w:type="page" w:clear="all"/>
      </w:r>
      <w:bookmarkStart w:id="260" w:name="_Toc256000023"/>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、其他材料</w:t>
      </w:r>
      <w:bookmarkEnd w:id="233"/>
      <w:r/>
      <w:bookmarkEnd w:id="260"/>
      <w:r/>
      <w:r/>
    </w:p>
    <w:p>
      <w:pPr>
        <w:spacing w:line="360" w:lineRule="auto"/>
        <w:rPr>
          <w:rFonts w:ascii="宋体" w:hAnsi="宋体"/>
          <w:b/>
          <w:bCs/>
          <w:color w:val="auto"/>
          <w:sz w:val="20"/>
          <w:szCs w:val="32"/>
          <w:highlight w:val="none"/>
        </w:rPr>
      </w:pPr>
      <w:r/>
      <w:bookmarkStart w:id="261" w:name="_Hlt26671244"/>
      <w:r/>
      <w:bookmarkEnd w:id="261"/>
      <w:r/>
      <w:bookmarkStart w:id="262" w:name="EB588535cb89c848fcab6b1c628a21da1b"/>
      <w:r/>
      <w:bookmarkStart w:id="263" w:name="_Toc49090576"/>
      <w:r/>
      <w:bookmarkStart w:id="264" w:name="_Toc120614282"/>
      <w:r>
        <w:rPr>
          <w:rFonts w:ascii="宋体" w:hAnsi="宋体"/>
          <w:b/>
          <w:bCs/>
          <w:color w:val="auto"/>
          <w:sz w:val="20"/>
          <w:szCs w:val="32"/>
          <w:highlight w:val="none"/>
        </w:rPr>
        <w:t xml:space="preserve"> </w:t>
      </w:r>
      <w:bookmarkEnd w:id="207"/>
      <w:r/>
      <w:bookmarkEnd w:id="208"/>
      <w:r/>
      <w:bookmarkEnd w:id="234"/>
      <w:r/>
      <w:bookmarkEnd w:id="262"/>
      <w:r/>
      <w:bookmarkEnd w:id="263"/>
      <w:r/>
      <w:bookmarkEnd w:id="264"/>
      <w:r/>
      <w:r/>
    </w:p>
    <w:p>
      <w:pPr>
        <w:ind w:firstLine="480"/>
        <w:spacing w:line="360" w:lineRule="auto"/>
        <w:rPr>
          <w:rFonts w:ascii="宋体" w:hAnsi="宋体"/>
          <w:color w:val="auto"/>
          <w:sz w:val="24"/>
          <w:highlight w:val="none"/>
        </w:rPr>
      </w:pPr>
      <w:r>
        <w:rPr>
          <w:rFonts w:ascii="宋体" w:hAnsi="宋体"/>
          <w:color w:val="auto"/>
          <w:sz w:val="24"/>
          <w:highlight w:val="none"/>
        </w:rPr>
      </w:r>
      <w:bookmarkEnd w:id="265"/>
      <w:r/>
    </w:p>
    <w:sectPr>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Arial Unicode MS">
    <w:panose1 w:val="020B0604020202020204"/>
  </w:font>
  <w:font w:name="Trebuchet MS">
    <w:panose1 w:val="020B06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创艺简仿宋">
    <w:panose1 w:val="020B0503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9"/>
      </w:rPr>
      <w:framePr w:wrap="around" w:vAnchor="text" w:hAnchor="margin" w:xAlign="center" w:y="1"/>
    </w:pPr>
    <w:r>
      <w:fldChar w:fldCharType="begin"/>
    </w:r>
    <w:r>
      <w:rPr>
        <w:rStyle w:val="789"/>
        <w:highlight w:val="white"/>
      </w:rPr>
      <w:instrText xml:space="preserve">PAGE  </w:instrText>
    </w:r>
    <w:r>
      <w:fldChar w:fldCharType="separate"/>
    </w:r>
    <w:r>
      <w:rPr>
        <w:rStyle w:val="789"/>
        <w:highlight w:val="white"/>
      </w:rPr>
      <w:t xml:space="preserve">1</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9"/>
      </w:rPr>
      <w:framePr w:wrap="around" w:vAnchor="text" w:hAnchor="margin" w:xAlign="center" w:y="1"/>
    </w:pPr>
    <w:r>
      <w:fldChar w:fldCharType="begin"/>
    </w:r>
    <w:r>
      <w:rPr>
        <w:rStyle w:val="789"/>
        <w:highlight w:val="white"/>
      </w:rPr>
      <w:instrText xml:space="preserve">PAGE  </w:instrText>
    </w:r>
    <w: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rPr>
        <w:rStyle w:val="789"/>
      </w:rPr>
      <w:framePr w:wrap="around" w:vAnchor="text" w:hAnchor="margin" w:xAlign="right" w:y="1"/>
    </w:pPr>
    <w:r>
      <w:fldChar w:fldCharType="begin"/>
    </w:r>
    <w:r>
      <w:rPr>
        <w:rStyle w:val="789"/>
        <w:color w:val="000000"/>
        <w:highlight w:val="white"/>
      </w:rPr>
      <w:instrText xml:space="preserve">PAGE  </w:instrText>
    </w:r>
    <w:r>
      <w:fldChar w:fldCharType="end"/>
    </w:r>
    <w:r/>
  </w:p>
  <w:p>
    <w:pPr>
      <w:pStyle w:val="762"/>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6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3"/>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1">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1"/>
      <w:isLgl w:val="false"/>
      <w:suff w:val="tab"/>
      <w:lvlText w:val="第%1章"/>
      <w:lvlJc w:val="left"/>
      <w:pPr>
        <w:ind w:left="709" w:hanging="425"/>
      </w:pPr>
      <w:rPr>
        <w:rFonts w:hint="eastAsia" w:eastAsia="宋体"/>
        <w:sz w:val="28"/>
        <w:lang w:val="en-US"/>
      </w:rPr>
    </w:lvl>
    <w:lvl w:ilvl="1">
      <w:start w:val="1"/>
      <w:numFmt w:val="decimal"/>
      <w:pStyle w:val="1120"/>
      <w:isLgl w:val="false"/>
      <w:suff w:val="tab"/>
      <w:lvlText w:val="%1.%2"/>
      <w:lvlJc w:val="left"/>
      <w:pPr>
        <w:ind w:left="880" w:hanging="879"/>
      </w:pPr>
      <w:rPr>
        <w:rFonts w:hint="eastAsia" w:ascii="宋体" w:hAnsi="宋体" w:eastAsia="宋体"/>
        <w:sz w:val="28"/>
      </w:rPr>
    </w:lvl>
    <w:lvl w:ilvl="2">
      <w:start w:val="1"/>
      <w:numFmt w:val="decimal"/>
      <w:pStyle w:val="1145"/>
      <w:isLgl w:val="false"/>
      <w:suff w:val="tab"/>
      <w:lvlText w:val="%1.%2.%3"/>
      <w:lvlJc w:val="left"/>
      <w:pPr>
        <w:ind w:left="5444" w:hanging="1191"/>
      </w:pPr>
      <w:rPr>
        <w:rFonts w:hint="eastAsia" w:ascii="宋体" w:hAnsi="宋体" w:eastAsia="宋体"/>
        <w:sz w:val="28"/>
      </w:rPr>
    </w:lvl>
    <w:lvl w:ilvl="3">
      <w:start w:val="1"/>
      <w:numFmt w:val="decimal"/>
      <w:pStyle w:val="1144"/>
      <w:isLgl w:val="false"/>
      <w:suff w:val="tab"/>
      <w:lvlText w:val="%1.%2.%3.%4"/>
      <w:lvlJc w:val="left"/>
      <w:pPr>
        <w:ind w:left="1275" w:hanging="1644"/>
      </w:pPr>
      <w:rPr>
        <w:rFonts w:hint="eastAsia" w:ascii="宋体" w:hAnsi="宋体" w:eastAsia="宋体"/>
        <w:sz w:val="28"/>
      </w:rPr>
    </w:lvl>
    <w:lvl w:ilvl="4">
      <w:start w:val="1"/>
      <w:numFmt w:val="decimal"/>
      <w:pStyle w:val="1194"/>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3">
    <w:multiLevelType w:val="hybridMultilevel"/>
    <w:lvl w:ilvl="0">
      <w:start w:val="1"/>
      <w:numFmt w:val="bullet"/>
      <w:pStyle w:val="1001"/>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43"/>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20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62"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35"/>
      <w:isLgl w:val="false"/>
      <w:suff w:val="nothing"/>
      <w:lvlText w:val=""/>
      <w:lvlJc w:val="left"/>
      <w:pPr>
        <w:ind w:left="0" w:firstLine="0"/>
        <w:tabs>
          <w:tab w:val="left" w:pos="0" w:leader="none"/>
        </w:tabs>
      </w:pPr>
    </w:lvl>
    <w:lvl w:ilvl="6">
      <w:start w:val="1"/>
      <w:numFmt w:val="none"/>
      <w:pStyle w:val="736"/>
      <w:isLgl w:val="false"/>
      <w:suff w:val="nothing"/>
      <w:lvlText w:val=""/>
      <w:lvlJc w:val="left"/>
      <w:pPr>
        <w:ind w:left="0" w:firstLine="0"/>
        <w:tabs>
          <w:tab w:val="left" w:pos="0" w:leader="none"/>
        </w:tabs>
      </w:pPr>
    </w:lvl>
    <w:lvl w:ilvl="7">
      <w:start w:val="1"/>
      <w:numFmt w:val="none"/>
      <w:pStyle w:val="737"/>
      <w:isLgl w:val="false"/>
      <w:suff w:val="nothing"/>
      <w:lvlText w:val=""/>
      <w:lvlJc w:val="left"/>
      <w:pPr>
        <w:ind w:left="0" w:firstLine="0"/>
        <w:tabs>
          <w:tab w:val="left" w:pos="0" w:leader="none"/>
        </w:tabs>
      </w:pPr>
    </w:lvl>
    <w:lvl w:ilvl="8">
      <w:start w:val="1"/>
      <w:numFmt w:val="none"/>
      <w:pStyle w:val="738"/>
      <w:isLgl w:val="false"/>
      <w:suff w:val="nothing"/>
      <w:lvlText w:val=""/>
      <w:lvlJc w:val="left"/>
      <w:pPr>
        <w:ind w:left="0" w:firstLine="0"/>
        <w:tabs>
          <w:tab w:val="left" w:pos="0" w:leader="none"/>
        </w:tabs>
      </w:pPr>
    </w:lvl>
  </w:abstractNum>
  <w:abstractNum w:abstractNumId="10">
    <w:multiLevelType w:val="hybridMultilevel"/>
    <w:lvl w:ilvl="0">
      <w:start w:val="1"/>
      <w:numFmt w:val="upperLetter"/>
      <w:pStyle w:val="114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77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180"/>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5"/>
  </w:num>
  <w:num w:numId="4">
    <w:abstractNumId w:val="3"/>
  </w:num>
  <w:num w:numId="5">
    <w:abstractNumId w:val="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16"/>
  </w:num>
  <w:num w:numId="11">
    <w:abstractNumId w:val="4"/>
  </w:num>
  <w:num w:numId="12">
    <w:abstractNumId w:val="14"/>
  </w:num>
  <w:num w:numId="13">
    <w:abstractNumId w:val="8"/>
  </w:num>
  <w:num w:numId="14">
    <w:abstractNumId w:val="11"/>
  </w:num>
  <w:num w:numId="15">
    <w:abstractNumId w:val="7"/>
  </w:num>
  <w:num w:numId="16">
    <w:abstractNumId w:val="6"/>
  </w:num>
  <w:num w:numId="17">
    <w:abstractNumId w:val="1"/>
  </w:num>
  <w:num w:numId="18">
    <w:abstractNumId w:val="13"/>
  </w:num>
  <w:num w:numId="19">
    <w:abstractNumId w:val="17"/>
  </w:num>
  <w:num w:numId="2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0">
    <w:name w:val="Heading 1"/>
    <w:basedOn w:val="729"/>
    <w:next w:val="729"/>
    <w:link w:val="969"/>
    <w:uiPriority w:val="9"/>
    <w:qFormat/>
    <w:pPr>
      <w:jc w:val="center"/>
      <w:keepNext/>
      <w:outlineLvl w:val="0"/>
    </w:pPr>
    <w:rPr>
      <w:rFonts w:ascii="楷体_GB2312" w:hAnsi="宋体" w:eastAsia="楷体_GB2312"/>
      <w:sz w:val="28"/>
      <w:szCs w:val="28"/>
    </w:rPr>
  </w:style>
  <w:style w:type="paragraph" w:styleId="731">
    <w:name w:val="Heading 2"/>
    <w:basedOn w:val="729"/>
    <w:next w:val="729"/>
    <w:link w:val="970"/>
    <w:uiPriority w:val="0"/>
    <w:qFormat/>
    <w:pPr>
      <w:jc w:val="center"/>
      <w:keepLines/>
      <w:keepNext/>
      <w:spacing w:before="260" w:after="260" w:line="415" w:lineRule="auto"/>
      <w:outlineLvl w:val="1"/>
    </w:pPr>
    <w:rPr>
      <w:rFonts w:ascii="Arial" w:hAnsi="Arial" w:eastAsia="幼圆"/>
      <w:b/>
      <w:bCs/>
      <w:sz w:val="44"/>
      <w:szCs w:val="44"/>
    </w:rPr>
  </w:style>
  <w:style w:type="paragraph" w:styleId="732">
    <w:name w:val="Heading 3"/>
    <w:basedOn w:val="729"/>
    <w:next w:val="729"/>
    <w:link w:val="971"/>
    <w:uiPriority w:val="9"/>
    <w:qFormat/>
    <w:pPr>
      <w:keepLines/>
      <w:keepNext/>
      <w:spacing w:before="260" w:after="260" w:line="415" w:lineRule="auto"/>
      <w:outlineLvl w:val="2"/>
    </w:pPr>
    <w:rPr>
      <w:b/>
      <w:bCs/>
      <w:sz w:val="32"/>
      <w:szCs w:val="32"/>
    </w:rPr>
  </w:style>
  <w:style w:type="paragraph" w:styleId="733">
    <w:name w:val="Heading 4"/>
    <w:basedOn w:val="729"/>
    <w:link w:val="972"/>
    <w:uiPriority w:val="9"/>
    <w:qFormat/>
    <w:pPr>
      <w:keepLines/>
      <w:keepNext/>
      <w:spacing w:before="280" w:after="290" w:line="376" w:lineRule="auto"/>
      <w:outlineLvl w:val="3"/>
    </w:pPr>
    <w:rPr>
      <w:rFonts w:ascii="Arial" w:hAnsi="Arial" w:eastAsia="黑体"/>
      <w:b/>
      <w:bCs/>
      <w:sz w:val="28"/>
      <w:szCs w:val="28"/>
    </w:rPr>
  </w:style>
  <w:style w:type="paragraph" w:styleId="734">
    <w:name w:val="Heading 5"/>
    <w:basedOn w:val="729"/>
    <w:link w:val="973"/>
    <w:uiPriority w:val="0"/>
    <w:qFormat/>
    <w:pPr>
      <w:keepNext/>
      <w:outlineLvl w:val="4"/>
    </w:pPr>
    <w:rPr>
      <w:rFonts w:ascii="宋体" w:hAnsi="宋体"/>
      <w:color w:val="000000"/>
      <w:sz w:val="28"/>
      <w:szCs w:val="28"/>
    </w:rPr>
  </w:style>
  <w:style w:type="paragraph" w:styleId="735">
    <w:name w:val="Heading 6"/>
    <w:basedOn w:val="729"/>
    <w:next w:val="729"/>
    <w:link w:val="97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36">
    <w:name w:val="Heading 7"/>
    <w:basedOn w:val="729"/>
    <w:next w:val="729"/>
    <w:link w:val="975"/>
    <w:uiPriority w:val="0"/>
    <w:qFormat/>
    <w:pPr>
      <w:numPr>
        <w:ilvl w:val="6"/>
        <w:numId w:val="1"/>
      </w:numPr>
      <w:keepLines/>
      <w:keepNext/>
      <w:spacing w:before="240" w:after="64" w:line="319" w:lineRule="auto"/>
      <w:outlineLvl w:val="6"/>
    </w:pPr>
    <w:rPr>
      <w:b/>
      <w:bCs/>
      <w:sz w:val="24"/>
    </w:rPr>
  </w:style>
  <w:style w:type="paragraph" w:styleId="737">
    <w:name w:val="Heading 8"/>
    <w:basedOn w:val="729"/>
    <w:next w:val="729"/>
    <w:link w:val="976"/>
    <w:uiPriority w:val="0"/>
    <w:qFormat/>
    <w:pPr>
      <w:numPr>
        <w:ilvl w:val="7"/>
        <w:numId w:val="1"/>
      </w:numPr>
      <w:keepLines/>
      <w:keepNext/>
      <w:spacing w:before="240" w:after="64" w:line="319" w:lineRule="auto"/>
      <w:outlineLvl w:val="7"/>
    </w:pPr>
    <w:rPr>
      <w:rFonts w:ascii="Arial" w:hAnsi="Arial" w:eastAsia="黑体"/>
      <w:sz w:val="24"/>
    </w:rPr>
  </w:style>
  <w:style w:type="paragraph" w:styleId="738">
    <w:name w:val="Heading 9"/>
    <w:basedOn w:val="729"/>
    <w:next w:val="729"/>
    <w:link w:val="977"/>
    <w:uiPriority w:val="0"/>
    <w:qFormat/>
    <w:pPr>
      <w:numPr>
        <w:ilvl w:val="8"/>
        <w:numId w:val="1"/>
      </w:numPr>
      <w:keepLines/>
      <w:keepNext/>
      <w:spacing w:before="240" w:after="64" w:line="319" w:lineRule="auto"/>
      <w:outlineLvl w:val="8"/>
    </w:pPr>
    <w:rPr>
      <w:rFonts w:ascii="Arial" w:hAnsi="Arial" w:eastAsia="黑体"/>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List 3"/>
    <w:basedOn w:val="729"/>
    <w:uiPriority w:val="0"/>
    <w:qFormat/>
    <w:pPr>
      <w:ind w:hanging="200"/>
    </w:pPr>
    <w:rPr>
      <w:szCs w:val="21"/>
    </w:rPr>
  </w:style>
  <w:style w:type="paragraph" w:styleId="742">
    <w:name w:val="toc 7"/>
    <w:basedOn w:val="729"/>
    <w:next w:val="729"/>
    <w:uiPriority w:val="39"/>
    <w:qFormat/>
    <w:pPr>
      <w:ind w:left="1260"/>
      <w:jc w:val="left"/>
    </w:pPr>
    <w:rPr>
      <w:rFonts w:cs="Calibri"/>
      <w:sz w:val="18"/>
      <w:szCs w:val="18"/>
    </w:rPr>
  </w:style>
  <w:style w:type="paragraph" w:styleId="743">
    <w:name w:val="List Number"/>
    <w:basedOn w:val="729"/>
    <w:uiPriority w:val="0"/>
    <w:qFormat/>
    <w:pPr>
      <w:numPr>
        <w:ilvl w:val="0"/>
        <w:numId w:val="2"/>
      </w:numPr>
      <w:ind w:left="0" w:firstLine="0"/>
      <w:tabs>
        <w:tab w:val="clear" w:pos="420" w:leader="none"/>
      </w:tabs>
    </w:pPr>
    <w:rPr>
      <w:szCs w:val="20"/>
    </w:rPr>
  </w:style>
  <w:style w:type="paragraph" w:styleId="744">
    <w:name w:val="Normal Indent"/>
    <w:basedOn w:val="729"/>
    <w:link w:val="978"/>
    <w:uiPriority w:val="99"/>
    <w:qFormat/>
    <w:pPr>
      <w:ind w:firstLine="420"/>
    </w:pPr>
    <w:rPr>
      <w:szCs w:val="21"/>
    </w:rPr>
  </w:style>
  <w:style w:type="paragraph" w:styleId="745">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Document Map"/>
    <w:basedOn w:val="729"/>
    <w:link w:val="979"/>
    <w:uiPriority w:val="99"/>
    <w:qFormat/>
    <w:pPr>
      <w:shd w:val="clear" w:color="auto" w:fill="000080"/>
    </w:pPr>
    <w:rPr>
      <w:szCs w:val="21"/>
    </w:rPr>
  </w:style>
  <w:style w:type="paragraph" w:styleId="747">
    <w:name w:val="toa heading"/>
    <w:basedOn w:val="729"/>
    <w:next w:val="729"/>
    <w:uiPriority w:val="0"/>
    <w:qFormat/>
    <w:pPr>
      <w:spacing w:before="120"/>
    </w:pPr>
    <w:rPr>
      <w:rFonts w:ascii="Arial" w:hAnsi="Arial" w:cs="Arial"/>
      <w:sz w:val="24"/>
    </w:rPr>
  </w:style>
  <w:style w:type="paragraph" w:styleId="748">
    <w:name w:val="annotation text"/>
    <w:basedOn w:val="729"/>
    <w:link w:val="980"/>
    <w:uiPriority w:val="99"/>
    <w:qFormat/>
    <w:pPr>
      <w:jc w:val="left"/>
    </w:pPr>
    <w:rPr>
      <w:szCs w:val="21"/>
    </w:rPr>
  </w:style>
  <w:style w:type="paragraph" w:styleId="749">
    <w:name w:val="Body Text 3"/>
    <w:basedOn w:val="729"/>
    <w:uiPriority w:val="0"/>
    <w:qFormat/>
    <w:rPr>
      <w:rFonts w:ascii="仿宋_GB2312" w:hAnsi="宋体" w:eastAsia="仿宋_GB2312" w:cs="宋体"/>
      <w:sz w:val="32"/>
      <w:szCs w:val="32"/>
    </w:rPr>
  </w:style>
  <w:style w:type="paragraph" w:styleId="750">
    <w:name w:val="Body Text"/>
    <w:basedOn w:val="729"/>
    <w:next w:val="729"/>
    <w:link w:val="981"/>
    <w:uiPriority w:val="99"/>
    <w:qFormat/>
    <w:rPr>
      <w:rFonts w:ascii="楷体_GB2312" w:hAnsi="宋体" w:eastAsia="楷体_GB2312"/>
      <w:sz w:val="28"/>
      <w:szCs w:val="28"/>
    </w:rPr>
  </w:style>
  <w:style w:type="paragraph" w:styleId="751">
    <w:name w:val="Body Text Indent"/>
    <w:basedOn w:val="729"/>
    <w:next w:val="729"/>
    <w:uiPriority w:val="0"/>
    <w:qFormat/>
    <w:pPr>
      <w:ind w:firstLine="645"/>
    </w:pPr>
    <w:rPr>
      <w:rFonts w:ascii="楷体_GB2312" w:hAnsi="宋体" w:eastAsia="楷体_GB2312" w:cs="宋体"/>
      <w:sz w:val="32"/>
      <w:szCs w:val="32"/>
    </w:rPr>
  </w:style>
  <w:style w:type="paragraph" w:styleId="752">
    <w:name w:val="List 2"/>
    <w:basedOn w:val="729"/>
    <w:uiPriority w:val="0"/>
    <w:qFormat/>
    <w:pPr>
      <w:ind w:hanging="200"/>
    </w:pPr>
    <w:rPr>
      <w:szCs w:val="21"/>
    </w:rPr>
  </w:style>
  <w:style w:type="paragraph" w:styleId="753">
    <w:name w:val="HTML Address"/>
    <w:basedOn w:val="729"/>
    <w:uiPriority w:val="0"/>
    <w:qFormat/>
    <w:rPr>
      <w:i/>
      <w:iCs/>
      <w:szCs w:val="21"/>
    </w:rPr>
  </w:style>
  <w:style w:type="paragraph" w:styleId="754">
    <w:name w:val="toc 5"/>
    <w:basedOn w:val="729"/>
    <w:next w:val="729"/>
    <w:uiPriority w:val="39"/>
    <w:qFormat/>
    <w:pPr>
      <w:ind w:left="840"/>
      <w:jc w:val="left"/>
    </w:pPr>
    <w:rPr>
      <w:rFonts w:cs="Calibri"/>
      <w:sz w:val="18"/>
      <w:szCs w:val="18"/>
    </w:rPr>
  </w:style>
  <w:style w:type="paragraph" w:styleId="755">
    <w:name w:val="toc 3"/>
    <w:basedOn w:val="729"/>
    <w:next w:val="729"/>
    <w:uiPriority w:val="39"/>
    <w:qFormat/>
    <w:pPr>
      <w:ind w:left="420"/>
      <w:jc w:val="left"/>
    </w:pPr>
    <w:rPr>
      <w:rFonts w:cs="Calibri"/>
      <w:i/>
      <w:iCs/>
      <w:sz w:val="20"/>
      <w:szCs w:val="20"/>
    </w:rPr>
  </w:style>
  <w:style w:type="paragraph" w:styleId="756">
    <w:name w:val="Plain Text"/>
    <w:basedOn w:val="729"/>
    <w:link w:val="982"/>
    <w:uiPriority w:val="99"/>
    <w:qFormat/>
    <w:rPr>
      <w:rFonts w:ascii="宋体" w:hAnsi="宋体"/>
      <w:szCs w:val="21"/>
    </w:rPr>
  </w:style>
  <w:style w:type="paragraph" w:styleId="757">
    <w:name w:val="toc 8"/>
    <w:basedOn w:val="729"/>
    <w:next w:val="729"/>
    <w:uiPriority w:val="39"/>
    <w:qFormat/>
    <w:pPr>
      <w:ind w:left="1470"/>
      <w:jc w:val="left"/>
    </w:pPr>
    <w:rPr>
      <w:rFonts w:cs="Calibri"/>
      <w:sz w:val="18"/>
      <w:szCs w:val="18"/>
    </w:rPr>
  </w:style>
  <w:style w:type="paragraph" w:styleId="758">
    <w:name w:val="Date"/>
    <w:basedOn w:val="729"/>
    <w:next w:val="729"/>
    <w:link w:val="983"/>
    <w:uiPriority w:val="0"/>
    <w:qFormat/>
    <w:rPr>
      <w:sz w:val="24"/>
    </w:rPr>
  </w:style>
  <w:style w:type="paragraph" w:styleId="759">
    <w:name w:val="Body Text Indent 2"/>
    <w:basedOn w:val="729"/>
    <w:uiPriority w:val="0"/>
    <w:qFormat/>
    <w:pPr>
      <w:ind w:left="630" w:firstLine="645"/>
    </w:pPr>
    <w:rPr>
      <w:rFonts w:ascii="Arial" w:hAnsi="Arial" w:eastAsia="仿宋_GB2312" w:cs="Arial"/>
      <w:sz w:val="32"/>
      <w:szCs w:val="32"/>
    </w:rPr>
  </w:style>
  <w:style w:type="paragraph" w:styleId="760">
    <w:name w:val="endnote text"/>
    <w:basedOn w:val="729"/>
    <w:link w:val="965"/>
    <w:uiPriority w:val="99"/>
    <w:semiHidden/>
    <w:unhideWhenUsed/>
    <w:qFormat/>
    <w:rPr>
      <w:sz w:val="20"/>
    </w:rPr>
  </w:style>
  <w:style w:type="paragraph" w:styleId="761">
    <w:name w:val="Balloon Text"/>
    <w:basedOn w:val="729"/>
    <w:link w:val="984"/>
    <w:uiPriority w:val="99"/>
    <w:qFormat/>
    <w:rPr>
      <w:sz w:val="18"/>
      <w:szCs w:val="18"/>
    </w:rPr>
  </w:style>
  <w:style w:type="paragraph" w:styleId="762">
    <w:name w:val="Footer"/>
    <w:basedOn w:val="729"/>
    <w:next w:val="763"/>
    <w:link w:val="985"/>
    <w:uiPriority w:val="99"/>
    <w:qFormat/>
    <w:pPr>
      <w:jc w:val="left"/>
      <w:tabs>
        <w:tab w:val="center" w:pos="4153" w:leader="none"/>
        <w:tab w:val="right" w:pos="8306" w:leader="none"/>
      </w:tabs>
    </w:pPr>
    <w:rPr>
      <w:sz w:val="18"/>
      <w:szCs w:val="18"/>
    </w:rPr>
  </w:style>
  <w:style w:type="paragraph" w:styleId="763" w:customStyle="1">
    <w:name w:val="Char Char Char Char Char Char Char Char Char Char Char Char Char"/>
    <w:basedOn w:val="730"/>
    <w:next w:val="729"/>
    <w:uiPriority w:val="0"/>
    <w:qFormat/>
    <w:pPr>
      <w:ind w:firstLine="3584"/>
      <w:spacing w:after="160" w:line="240" w:lineRule="exact"/>
    </w:pPr>
    <w:rPr>
      <w:rFonts w:ascii="Times New Roman" w:hAnsi="Times New Roman"/>
    </w:rPr>
  </w:style>
  <w:style w:type="paragraph" w:styleId="764">
    <w:name w:val="envelope return"/>
    <w:basedOn w:val="729"/>
    <w:uiPriority w:val="99"/>
    <w:qFormat/>
    <w:rPr>
      <w:rFonts w:ascii="Arial" w:hAnsi="Arial"/>
    </w:rPr>
  </w:style>
  <w:style w:type="paragraph" w:styleId="765">
    <w:name w:val="Header"/>
    <w:basedOn w:val="729"/>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29"/>
    <w:next w:val="729"/>
    <w:uiPriority w:val="39"/>
    <w:qFormat/>
    <w:pPr>
      <w:jc w:val="left"/>
      <w:spacing w:before="120" w:after="120"/>
    </w:pPr>
    <w:rPr>
      <w:rFonts w:cs="Calibri"/>
      <w:b/>
      <w:bCs/>
      <w:caps/>
      <w:sz w:val="20"/>
      <w:szCs w:val="20"/>
    </w:rPr>
  </w:style>
  <w:style w:type="paragraph" w:styleId="767">
    <w:name w:val="toc 4"/>
    <w:basedOn w:val="729"/>
    <w:next w:val="729"/>
    <w:uiPriority w:val="39"/>
    <w:qFormat/>
    <w:pPr>
      <w:ind w:left="630"/>
      <w:jc w:val="left"/>
    </w:pPr>
    <w:rPr>
      <w:rFonts w:cs="Calibri"/>
      <w:sz w:val="18"/>
      <w:szCs w:val="18"/>
    </w:rPr>
  </w:style>
  <w:style w:type="paragraph" w:styleId="768">
    <w:name w:val="Subtitle"/>
    <w:basedOn w:val="729"/>
    <w:next w:val="729"/>
    <w:link w:val="98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69">
    <w:name w:val="List"/>
    <w:basedOn w:val="729"/>
    <w:uiPriority w:val="99"/>
    <w:qFormat/>
    <w:pPr>
      <w:ind w:left="200" w:hanging="200"/>
    </w:pPr>
    <w:rPr>
      <w:szCs w:val="21"/>
    </w:rPr>
  </w:style>
  <w:style w:type="paragraph" w:styleId="770">
    <w:name w:val="footnote text"/>
    <w:basedOn w:val="729"/>
    <w:uiPriority w:val="0"/>
    <w:qFormat/>
    <w:pPr>
      <w:jc w:val="left"/>
      <w:widowControl/>
    </w:pPr>
    <w:rPr>
      <w:sz w:val="20"/>
      <w:szCs w:val="20"/>
    </w:rPr>
  </w:style>
  <w:style w:type="paragraph" w:styleId="771">
    <w:name w:val="toc 6"/>
    <w:basedOn w:val="729"/>
    <w:next w:val="729"/>
    <w:uiPriority w:val="39"/>
    <w:qFormat/>
    <w:pPr>
      <w:ind w:left="1050"/>
      <w:jc w:val="left"/>
    </w:pPr>
    <w:rPr>
      <w:rFonts w:cs="Calibri"/>
      <w:sz w:val="18"/>
      <w:szCs w:val="18"/>
    </w:rPr>
  </w:style>
  <w:style w:type="paragraph" w:styleId="772">
    <w:name w:val="Body Text Indent 3"/>
    <w:basedOn w:val="729"/>
    <w:uiPriority w:val="0"/>
    <w:qFormat/>
    <w:pPr>
      <w:ind w:left="645" w:firstLine="645"/>
    </w:pPr>
    <w:rPr>
      <w:rFonts w:ascii="Arial" w:hAnsi="Arial" w:eastAsia="仿宋_GB2312" w:cs="Arial"/>
      <w:color w:val="ffff00"/>
      <w:sz w:val="32"/>
      <w:szCs w:val="32"/>
    </w:rPr>
  </w:style>
  <w:style w:type="paragraph" w:styleId="773">
    <w:name w:val="table of figures"/>
    <w:basedOn w:val="729"/>
    <w:next w:val="729"/>
    <w:uiPriority w:val="0"/>
    <w:qFormat/>
    <w:pPr>
      <w:ind w:left="840" w:hanging="420"/>
    </w:pPr>
    <w:rPr>
      <w:szCs w:val="21"/>
    </w:rPr>
  </w:style>
  <w:style w:type="paragraph" w:styleId="774">
    <w:name w:val="toc 2"/>
    <w:basedOn w:val="729"/>
    <w:next w:val="729"/>
    <w:uiPriority w:val="39"/>
    <w:qFormat/>
    <w:pPr>
      <w:ind w:left="210"/>
      <w:jc w:val="left"/>
    </w:pPr>
    <w:rPr>
      <w:rFonts w:cs="Calibri"/>
      <w:smallCaps/>
      <w:sz w:val="20"/>
      <w:szCs w:val="20"/>
    </w:rPr>
  </w:style>
  <w:style w:type="paragraph" w:styleId="775">
    <w:name w:val="toc 9"/>
    <w:basedOn w:val="729"/>
    <w:next w:val="729"/>
    <w:uiPriority w:val="39"/>
    <w:qFormat/>
    <w:pPr>
      <w:ind w:left="1680"/>
      <w:jc w:val="left"/>
    </w:pPr>
    <w:rPr>
      <w:rFonts w:cs="Calibri"/>
      <w:sz w:val="18"/>
      <w:szCs w:val="18"/>
    </w:rPr>
  </w:style>
  <w:style w:type="paragraph" w:styleId="776">
    <w:name w:val="Body Text 2"/>
    <w:basedOn w:val="729"/>
    <w:uiPriority w:val="0"/>
    <w:qFormat/>
    <w:pPr>
      <w:jc w:val="center"/>
      <w:widowControl/>
    </w:pPr>
    <w:rPr>
      <w:rFonts w:ascii="楷体_GB2312" w:hAnsi="宋体" w:eastAsia="楷体_GB2312" w:cs="宋体"/>
      <w:sz w:val="28"/>
      <w:szCs w:val="28"/>
    </w:rPr>
  </w:style>
  <w:style w:type="paragraph" w:styleId="777">
    <w:name w:val="List 4"/>
    <w:basedOn w:val="729"/>
    <w:uiPriority w:val="0"/>
    <w:qFormat/>
    <w:pPr>
      <w:numPr>
        <w:ilvl w:val="0"/>
        <w:numId w:val="3"/>
      </w:numPr>
      <w:ind w:left="100" w:hanging="200"/>
      <w:tabs>
        <w:tab w:val="clear" w:pos="709" w:leader="none"/>
      </w:tabs>
    </w:pPr>
    <w:rPr>
      <w:szCs w:val="21"/>
    </w:rPr>
  </w:style>
  <w:style w:type="paragraph" w:styleId="778">
    <w:name w:val="HTML Preformatted"/>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9">
    <w:name w:val="Normal (Web)"/>
    <w:basedOn w:val="729"/>
    <w:link w:val="988"/>
    <w:uiPriority w:val="99"/>
    <w:qFormat/>
    <w:pPr>
      <w:jc w:val="left"/>
      <w:spacing w:before="100" w:beforeAutospacing="1" w:after="100" w:afterAutospacing="1"/>
      <w:widowControl/>
    </w:pPr>
    <w:rPr>
      <w:rFonts w:ascii="宋体" w:hAnsi="宋体"/>
      <w:sz w:val="24"/>
    </w:rPr>
  </w:style>
  <w:style w:type="paragraph" w:styleId="780">
    <w:name w:val="List Continue 3"/>
    <w:basedOn w:val="729"/>
    <w:uiPriority w:val="0"/>
    <w:qFormat/>
    <w:pPr>
      <w:ind w:left="1260"/>
      <w:spacing w:after="120"/>
    </w:pPr>
    <w:rPr>
      <w:szCs w:val="20"/>
    </w:rPr>
  </w:style>
  <w:style w:type="paragraph" w:styleId="781">
    <w:name w:val="index 1"/>
    <w:basedOn w:val="729"/>
    <w:next w:val="729"/>
    <w:uiPriority w:val="0"/>
    <w:qFormat/>
    <w:pPr>
      <w:spacing w:line="240" w:lineRule="atLeast"/>
    </w:pPr>
    <w:rPr>
      <w:b/>
      <w:bCs/>
      <w:szCs w:val="21"/>
    </w:rPr>
  </w:style>
  <w:style w:type="paragraph" w:styleId="782">
    <w:name w:val="Title"/>
    <w:basedOn w:val="729"/>
    <w:link w:val="989"/>
    <w:uiPriority w:val="0"/>
    <w:qFormat/>
    <w:pPr>
      <w:jc w:val="center"/>
      <w:spacing w:before="240" w:after="60"/>
      <w:outlineLvl w:val="0"/>
    </w:pPr>
    <w:rPr>
      <w:rFonts w:ascii="Arial" w:hAnsi="Arial" w:eastAsia="黑体"/>
      <w:b/>
      <w:bCs/>
      <w:sz w:val="44"/>
      <w:szCs w:val="32"/>
    </w:rPr>
  </w:style>
  <w:style w:type="paragraph" w:styleId="783">
    <w:name w:val="annotation subject"/>
    <w:basedOn w:val="748"/>
    <w:next w:val="748"/>
    <w:link w:val="990"/>
    <w:uiPriority w:val="99"/>
    <w:qFormat/>
    <w:rPr>
      <w:b/>
      <w:bCs/>
    </w:rPr>
  </w:style>
  <w:style w:type="paragraph" w:styleId="784">
    <w:name w:val="Body Text First Indent"/>
    <w:basedOn w:val="729"/>
    <w:link w:val="991"/>
    <w:uiPriority w:val="0"/>
    <w:qFormat/>
    <w:pPr>
      <w:ind w:firstLine="200"/>
      <w:spacing w:line="360" w:lineRule="auto"/>
    </w:pPr>
    <w:rPr>
      <w:rFonts w:ascii="仿宋_GB2312" w:hAnsi="宋体" w:eastAsia="仿宋_GB2312"/>
      <w:sz w:val="30"/>
      <w:szCs w:val="30"/>
    </w:rPr>
  </w:style>
  <w:style w:type="paragraph" w:styleId="785">
    <w:name w:val="Body Text First Indent 2"/>
    <w:basedOn w:val="751"/>
    <w:uiPriority w:val="0"/>
    <w:qFormat/>
    <w:pPr>
      <w:ind w:firstLine="200"/>
      <w:spacing w:line="360" w:lineRule="auto"/>
    </w:pPr>
    <w:rPr>
      <w:rFonts w:ascii="宋体" w:eastAsia="宋体"/>
      <w:sz w:val="21"/>
      <w:szCs w:val="20"/>
    </w:rPr>
  </w:style>
  <w:style w:type="table" w:styleId="786">
    <w:name w:val="Table Grid"/>
    <w:basedOn w:val="740"/>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39"/>
    <w:uiPriority w:val="22"/>
    <w:qFormat/>
    <w:rPr>
      <w:b/>
      <w:bCs/>
    </w:rPr>
  </w:style>
  <w:style w:type="character" w:styleId="788">
    <w:name w:val="endnote reference"/>
    <w:basedOn w:val="739"/>
    <w:uiPriority w:val="99"/>
    <w:semiHidden/>
    <w:unhideWhenUsed/>
    <w:qFormat/>
    <w:rPr>
      <w:vertAlign w:val="superscript"/>
    </w:rPr>
  </w:style>
  <w:style w:type="character" w:styleId="789">
    <w:name w:val="page number"/>
    <w:uiPriority w:val="0"/>
    <w:qFormat/>
  </w:style>
  <w:style w:type="character" w:styleId="790">
    <w:name w:val="FollowedHyperlink"/>
    <w:uiPriority w:val="99"/>
    <w:qFormat/>
    <w:rPr>
      <w:color w:val="800080"/>
      <w:u w:val="single"/>
    </w:rPr>
  </w:style>
  <w:style w:type="character" w:styleId="791">
    <w:name w:val="Emphasis"/>
    <w:uiPriority w:val="20"/>
    <w:qFormat/>
    <w:rPr>
      <w:i/>
      <w:iCs/>
    </w:rPr>
  </w:style>
  <w:style w:type="character" w:styleId="792">
    <w:name w:val="Hyperlink"/>
    <w:uiPriority w:val="99"/>
    <w:qFormat/>
    <w:rPr>
      <w:color w:val="0000ff"/>
      <w:u w:val="single"/>
    </w:rPr>
  </w:style>
  <w:style w:type="character" w:styleId="793">
    <w:name w:val="annotation reference"/>
    <w:uiPriority w:val="99"/>
    <w:qFormat/>
    <w:rPr>
      <w:sz w:val="21"/>
      <w:szCs w:val="21"/>
    </w:rPr>
  </w:style>
  <w:style w:type="character" w:styleId="794">
    <w:name w:val="footnote reference"/>
    <w:basedOn w:val="739"/>
    <w:uiPriority w:val="99"/>
    <w:unhideWhenUsed/>
    <w:qFormat/>
    <w:rPr>
      <w:vertAlign w:val="superscript"/>
    </w:rPr>
  </w:style>
  <w:style w:type="character" w:styleId="795" w:customStyle="1">
    <w:name w:val="Quote Char"/>
    <w:uiPriority w:val="29"/>
    <w:qFormat/>
    <w:rPr>
      <w:i/>
    </w:rPr>
  </w:style>
  <w:style w:type="character" w:styleId="796" w:customStyle="1">
    <w:name w:val="Intense Quote Char"/>
    <w:uiPriority w:val="30"/>
    <w:qFormat/>
    <w:rPr>
      <w:i/>
    </w:rPr>
  </w:style>
  <w:style w:type="table" w:styleId="797"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首行缩进"/>
    <w:basedOn w:val="729"/>
    <w:uiPriority w:val="0"/>
    <w:qFormat/>
    <w:pPr>
      <w:ind w:firstLine="480"/>
      <w:jc w:val="left"/>
      <w:spacing w:line="360" w:lineRule="auto"/>
    </w:pPr>
    <w:rPr>
      <w:rFonts w:ascii="宋体" w:hAnsi="宋体"/>
      <w:sz w:val="24"/>
    </w:rPr>
  </w:style>
  <w:style w:type="paragraph" w:styleId="819" w:customStyle="1">
    <w:name w:val="段"/>
    <w:basedOn w:val="820"/>
    <w:next w:val="729"/>
    <w:uiPriority w:val="0"/>
    <w:qFormat/>
    <w:pPr>
      <w:ind w:firstLine="200"/>
    </w:pPr>
    <w:rPr>
      <w:rFonts w:ascii="宋体" w:hAnsi="Times New Roman" w:eastAsia="Times New Roman"/>
    </w:rPr>
  </w:style>
  <w:style w:type="paragraph" w:styleId="82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character" w:styleId="821" w:customStyle="1">
    <w:name w:val="Heading 1 Char"/>
    <w:basedOn w:val="739"/>
    <w:uiPriority w:val="9"/>
    <w:qFormat/>
    <w:rPr>
      <w:rFonts w:ascii="Arial" w:hAnsi="Arial" w:eastAsia="Arial" w:cs="Arial"/>
      <w:sz w:val="40"/>
      <w:szCs w:val="40"/>
    </w:rPr>
  </w:style>
  <w:style w:type="character" w:styleId="822" w:customStyle="1">
    <w:name w:val="Heading 2 Char"/>
    <w:basedOn w:val="739"/>
    <w:uiPriority w:val="9"/>
    <w:qFormat/>
    <w:rPr>
      <w:rFonts w:ascii="Arial" w:hAnsi="Arial" w:eastAsia="Arial" w:cs="Arial"/>
      <w:sz w:val="34"/>
    </w:rPr>
  </w:style>
  <w:style w:type="character" w:styleId="823" w:customStyle="1">
    <w:name w:val="Heading 3 Char"/>
    <w:basedOn w:val="739"/>
    <w:uiPriority w:val="9"/>
    <w:qFormat/>
    <w:rPr>
      <w:rFonts w:ascii="Arial" w:hAnsi="Arial" w:eastAsia="Arial" w:cs="Arial"/>
      <w:sz w:val="30"/>
      <w:szCs w:val="30"/>
    </w:rPr>
  </w:style>
  <w:style w:type="character" w:styleId="824" w:customStyle="1">
    <w:name w:val="Heading 4 Char"/>
    <w:basedOn w:val="739"/>
    <w:uiPriority w:val="9"/>
    <w:qFormat/>
    <w:rPr>
      <w:rFonts w:ascii="Arial" w:hAnsi="Arial" w:eastAsia="Arial" w:cs="Arial"/>
      <w:b/>
      <w:bCs/>
      <w:sz w:val="26"/>
      <w:szCs w:val="26"/>
    </w:rPr>
  </w:style>
  <w:style w:type="character" w:styleId="825" w:customStyle="1">
    <w:name w:val="Heading 5 Char"/>
    <w:basedOn w:val="739"/>
    <w:uiPriority w:val="9"/>
    <w:qFormat/>
    <w:rPr>
      <w:rFonts w:ascii="Arial" w:hAnsi="Arial" w:eastAsia="Arial" w:cs="Arial"/>
      <w:b/>
      <w:bCs/>
      <w:sz w:val="24"/>
      <w:szCs w:val="24"/>
    </w:rPr>
  </w:style>
  <w:style w:type="character" w:styleId="826" w:customStyle="1">
    <w:name w:val="Heading 6 Char"/>
    <w:basedOn w:val="739"/>
    <w:uiPriority w:val="9"/>
    <w:qFormat/>
    <w:rPr>
      <w:rFonts w:ascii="Arial" w:hAnsi="Arial" w:eastAsia="Arial" w:cs="Arial"/>
      <w:b/>
      <w:bCs/>
      <w:sz w:val="22"/>
      <w:szCs w:val="22"/>
    </w:rPr>
  </w:style>
  <w:style w:type="character" w:styleId="827" w:customStyle="1">
    <w:name w:val="Heading 7 Char"/>
    <w:basedOn w:val="739"/>
    <w:uiPriority w:val="9"/>
    <w:qFormat/>
    <w:rPr>
      <w:rFonts w:ascii="Arial" w:hAnsi="Arial" w:eastAsia="Arial" w:cs="Arial"/>
      <w:b/>
      <w:bCs/>
      <w:i/>
      <w:iCs/>
      <w:sz w:val="22"/>
      <w:szCs w:val="22"/>
    </w:rPr>
  </w:style>
  <w:style w:type="character" w:styleId="828" w:customStyle="1">
    <w:name w:val="Heading 8 Char"/>
    <w:basedOn w:val="739"/>
    <w:uiPriority w:val="9"/>
    <w:qFormat/>
    <w:rPr>
      <w:rFonts w:ascii="Arial" w:hAnsi="Arial" w:eastAsia="Arial" w:cs="Arial"/>
      <w:i/>
      <w:iCs/>
      <w:sz w:val="22"/>
      <w:szCs w:val="22"/>
    </w:rPr>
  </w:style>
  <w:style w:type="character" w:styleId="829" w:customStyle="1">
    <w:name w:val="Heading 9 Char"/>
    <w:basedOn w:val="739"/>
    <w:uiPriority w:val="9"/>
    <w:qFormat/>
    <w:rPr>
      <w:rFonts w:ascii="Arial" w:hAnsi="Arial" w:eastAsia="Arial" w:cs="Arial"/>
      <w:i/>
      <w:iCs/>
      <w:sz w:val="21"/>
      <w:szCs w:val="21"/>
    </w:rPr>
  </w:style>
  <w:style w:type="character" w:styleId="830" w:customStyle="1">
    <w:name w:val="Title Char"/>
    <w:basedOn w:val="739"/>
    <w:uiPriority w:val="10"/>
    <w:qFormat/>
    <w:rPr>
      <w:sz w:val="48"/>
      <w:szCs w:val="48"/>
    </w:rPr>
  </w:style>
  <w:style w:type="character" w:styleId="831" w:customStyle="1">
    <w:name w:val="Subtitle Char"/>
    <w:basedOn w:val="739"/>
    <w:uiPriority w:val="11"/>
    <w:qFormat/>
    <w:rPr>
      <w:sz w:val="24"/>
      <w:szCs w:val="24"/>
    </w:rPr>
  </w:style>
  <w:style w:type="paragraph" w:styleId="832">
    <w:name w:val="Quote"/>
    <w:basedOn w:val="729"/>
    <w:next w:val="729"/>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29"/>
    <w:next w:val="729"/>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basedOn w:val="739"/>
    <w:uiPriority w:val="99"/>
    <w:qFormat/>
  </w:style>
  <w:style w:type="character" w:styleId="837" w:customStyle="1">
    <w:name w:val="Footer Char"/>
    <w:basedOn w:val="739"/>
    <w:uiPriority w:val="99"/>
    <w:qFormat/>
  </w:style>
  <w:style w:type="character" w:styleId="838" w:customStyle="1">
    <w:name w:val="Caption Char"/>
    <w:uiPriority w:val="99"/>
    <w:qFormat/>
  </w:style>
  <w:style w:type="table" w:styleId="839"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4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4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4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4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4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4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4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4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4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4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4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4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basedOn w:val="7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4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Char"/>
    <w:link w:val="760"/>
    <w:uiPriority w:val="99"/>
    <w:qFormat/>
    <w:rPr>
      <w:sz w:val="20"/>
    </w:rPr>
  </w:style>
  <w:style w:type="paragraph" w:styleId="966" w:customStyle="1">
    <w:name w:val="TOC 标题1"/>
    <w:uiPriority w:val="39"/>
    <w:unhideWhenUsed/>
    <w:qFormat/>
    <w:rPr>
      <w:rFonts w:hint="default" w:ascii="Times New Roman" w:hAnsi="Times New Roman" w:eastAsia="宋体" w:cs="Times New Roman"/>
      <w:lang w:val="en-US" w:eastAsia="zh-CN" w:bidi="ar-SA"/>
    </w:rPr>
  </w:style>
  <w:style w:type="paragraph" w:styleId="967" w:customStyle="1">
    <w:name w:val="正文文本缩进1"/>
    <w:next w:val="96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6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969" w:customStyle="1">
    <w:name w:val="标题 1 Char2"/>
    <w:link w:val="730"/>
    <w:uiPriority w:val="9"/>
    <w:qFormat/>
    <w:rPr>
      <w:rFonts w:ascii="楷体_GB2312" w:hAnsi="宋体" w:eastAsia="楷体_GB2312" w:cs="宋体"/>
      <w:sz w:val="28"/>
      <w:szCs w:val="28"/>
    </w:rPr>
  </w:style>
  <w:style w:type="character" w:styleId="970" w:customStyle="1">
    <w:name w:val="标题 2 Char2"/>
    <w:link w:val="731"/>
    <w:uiPriority w:val="0"/>
    <w:qFormat/>
    <w:rPr>
      <w:rFonts w:ascii="Arial" w:hAnsi="Arial" w:eastAsia="幼圆" w:cs="Arial"/>
      <w:b/>
      <w:bCs/>
      <w:sz w:val="44"/>
      <w:szCs w:val="44"/>
    </w:rPr>
  </w:style>
  <w:style w:type="character" w:styleId="971" w:customStyle="1">
    <w:name w:val="标题 3 Char2"/>
    <w:link w:val="732"/>
    <w:uiPriority w:val="9"/>
    <w:qFormat/>
    <w:rPr>
      <w:b/>
      <w:bCs/>
      <w:sz w:val="32"/>
      <w:szCs w:val="32"/>
    </w:rPr>
  </w:style>
  <w:style w:type="character" w:styleId="972" w:customStyle="1">
    <w:name w:val="标题 4 Char3"/>
    <w:link w:val="733"/>
    <w:uiPriority w:val="9"/>
    <w:qFormat/>
    <w:rPr>
      <w:rFonts w:ascii="Arial" w:hAnsi="Arial" w:eastAsia="黑体" w:cs="Arial"/>
      <w:b/>
      <w:bCs/>
      <w:sz w:val="28"/>
      <w:szCs w:val="28"/>
    </w:rPr>
  </w:style>
  <w:style w:type="character" w:styleId="973" w:customStyle="1">
    <w:name w:val="标题 5 Char2"/>
    <w:link w:val="734"/>
    <w:uiPriority w:val="0"/>
    <w:qFormat/>
    <w:rPr>
      <w:rFonts w:ascii="宋体" w:hAnsi="宋体" w:cs="宋体"/>
      <w:color w:val="000000"/>
      <w:sz w:val="28"/>
      <w:szCs w:val="28"/>
    </w:rPr>
  </w:style>
  <w:style w:type="character" w:styleId="974" w:customStyle="1">
    <w:name w:val="标题 6 Char2"/>
    <w:link w:val="735"/>
    <w:uiPriority w:val="0"/>
    <w:qFormat/>
    <w:rPr>
      <w:rFonts w:ascii="Arial" w:hAnsi="Arial" w:eastAsia="黑体"/>
      <w:b/>
      <w:bCs/>
      <w:sz w:val="24"/>
      <w:szCs w:val="24"/>
    </w:rPr>
  </w:style>
  <w:style w:type="character" w:styleId="975" w:customStyle="1">
    <w:name w:val="标题 7 Char"/>
    <w:link w:val="736"/>
    <w:uiPriority w:val="0"/>
    <w:qFormat/>
    <w:rPr>
      <w:b/>
      <w:bCs/>
      <w:sz w:val="24"/>
      <w:szCs w:val="24"/>
    </w:rPr>
  </w:style>
  <w:style w:type="character" w:styleId="976" w:customStyle="1">
    <w:name w:val="标题 8 Char"/>
    <w:link w:val="737"/>
    <w:uiPriority w:val="0"/>
    <w:qFormat/>
    <w:rPr>
      <w:rFonts w:ascii="Arial" w:hAnsi="Arial" w:eastAsia="黑体"/>
      <w:sz w:val="24"/>
      <w:szCs w:val="24"/>
    </w:rPr>
  </w:style>
  <w:style w:type="character" w:styleId="977" w:customStyle="1">
    <w:name w:val="标题 9 Char"/>
    <w:link w:val="738"/>
    <w:uiPriority w:val="0"/>
    <w:qFormat/>
    <w:rPr>
      <w:rFonts w:ascii="Arial" w:hAnsi="Arial" w:eastAsia="黑体"/>
      <w:sz w:val="21"/>
      <w:szCs w:val="21"/>
    </w:rPr>
  </w:style>
  <w:style w:type="character" w:styleId="978" w:customStyle="1">
    <w:name w:val="正文缩进 Char"/>
    <w:link w:val="744"/>
    <w:uiPriority w:val="99"/>
    <w:qFormat/>
    <w:rPr>
      <w:rFonts w:eastAsia="宋体"/>
      <w:sz w:val="21"/>
      <w:szCs w:val="21"/>
      <w:lang w:val="en-US" w:eastAsia="zh-CN" w:bidi="ar-SA"/>
    </w:rPr>
  </w:style>
  <w:style w:type="character" w:styleId="979" w:customStyle="1">
    <w:name w:val="文档结构图 Char1"/>
    <w:link w:val="746"/>
    <w:uiPriority w:val="99"/>
    <w:qFormat/>
    <w:rPr>
      <w:sz w:val="21"/>
      <w:szCs w:val="21"/>
      <w:shd w:val="clear" w:color="auto" w:fill="000080"/>
    </w:rPr>
  </w:style>
  <w:style w:type="character" w:styleId="980" w:customStyle="1">
    <w:name w:val="批注文字 Char"/>
    <w:link w:val="748"/>
    <w:uiPriority w:val="99"/>
    <w:qFormat/>
    <w:rPr>
      <w:sz w:val="21"/>
      <w:szCs w:val="21"/>
    </w:rPr>
  </w:style>
  <w:style w:type="character" w:styleId="981" w:customStyle="1">
    <w:name w:val="正文文本 Char1"/>
    <w:link w:val="750"/>
    <w:uiPriority w:val="99"/>
    <w:qFormat/>
    <w:rPr>
      <w:rFonts w:ascii="楷体_GB2312" w:hAnsi="宋体" w:eastAsia="楷体_GB2312" w:cs="宋体"/>
      <w:sz w:val="28"/>
      <w:szCs w:val="28"/>
    </w:rPr>
  </w:style>
  <w:style w:type="character" w:styleId="982" w:customStyle="1">
    <w:name w:val="纯文本 Char"/>
    <w:link w:val="756"/>
    <w:uiPriority w:val="99"/>
    <w:qFormat/>
    <w:rPr>
      <w:rFonts w:ascii="宋体" w:hAnsi="宋体" w:cs="Courier New"/>
      <w:sz w:val="21"/>
      <w:szCs w:val="21"/>
    </w:rPr>
  </w:style>
  <w:style w:type="character" w:styleId="983" w:customStyle="1">
    <w:name w:val="日期 Char1"/>
    <w:link w:val="758"/>
    <w:uiPriority w:val="0"/>
    <w:qFormat/>
    <w:rPr>
      <w:sz w:val="24"/>
      <w:szCs w:val="24"/>
    </w:rPr>
  </w:style>
  <w:style w:type="character" w:styleId="984" w:customStyle="1">
    <w:name w:val="批注框文本 Char1"/>
    <w:link w:val="761"/>
    <w:uiPriority w:val="99"/>
    <w:qFormat/>
    <w:rPr>
      <w:sz w:val="18"/>
      <w:szCs w:val="18"/>
    </w:rPr>
  </w:style>
  <w:style w:type="character" w:styleId="985" w:customStyle="1">
    <w:name w:val="页脚 Char1"/>
    <w:link w:val="762"/>
    <w:uiPriority w:val="99"/>
    <w:qFormat/>
    <w:rPr>
      <w:sz w:val="18"/>
      <w:szCs w:val="18"/>
    </w:rPr>
  </w:style>
  <w:style w:type="character" w:styleId="986" w:customStyle="1">
    <w:name w:val="页眉 Char1"/>
    <w:link w:val="765"/>
    <w:uiPriority w:val="99"/>
    <w:qFormat/>
    <w:rPr>
      <w:sz w:val="18"/>
      <w:szCs w:val="18"/>
    </w:rPr>
  </w:style>
  <w:style w:type="character" w:styleId="987" w:customStyle="1">
    <w:name w:val="副标题 Char"/>
    <w:link w:val="768"/>
    <w:uiPriority w:val="0"/>
    <w:qFormat/>
    <w:rPr>
      <w:rFonts w:ascii="Cambria" w:hAnsi="Cambria"/>
      <w:b/>
      <w:bCs/>
      <w:sz w:val="32"/>
      <w:szCs w:val="32"/>
    </w:rPr>
  </w:style>
  <w:style w:type="character" w:styleId="988" w:customStyle="1">
    <w:name w:val="普通(网站) Char"/>
    <w:link w:val="779"/>
    <w:uiPriority w:val="99"/>
    <w:qFormat/>
    <w:rPr>
      <w:rFonts w:ascii="宋体" w:hAnsi="宋体" w:cs="宋体"/>
      <w:sz w:val="24"/>
      <w:szCs w:val="24"/>
    </w:rPr>
  </w:style>
  <w:style w:type="character" w:styleId="989" w:customStyle="1">
    <w:name w:val="标题 Char1"/>
    <w:link w:val="782"/>
    <w:uiPriority w:val="0"/>
    <w:qFormat/>
    <w:rPr>
      <w:rFonts w:ascii="Arial" w:hAnsi="Arial" w:eastAsia="黑体" w:cs="Arial"/>
      <w:b/>
      <w:bCs/>
      <w:sz w:val="44"/>
      <w:szCs w:val="32"/>
    </w:rPr>
  </w:style>
  <w:style w:type="character" w:styleId="990" w:customStyle="1">
    <w:name w:val="批注主题 Char1"/>
    <w:link w:val="783"/>
    <w:uiPriority w:val="99"/>
    <w:qFormat/>
    <w:rPr>
      <w:b/>
      <w:bCs/>
      <w:sz w:val="21"/>
      <w:szCs w:val="21"/>
    </w:rPr>
  </w:style>
  <w:style w:type="character" w:styleId="991" w:customStyle="1">
    <w:name w:val="正文首行缩进 Char2"/>
    <w:link w:val="784"/>
    <w:uiPriority w:val="0"/>
    <w:qFormat/>
    <w:rPr>
      <w:rFonts w:ascii="仿宋_GB2312" w:hAnsi="宋体" w:eastAsia="仿宋_GB2312" w:cs="宋体"/>
      <w:sz w:val="30"/>
      <w:szCs w:val="30"/>
    </w:rPr>
  </w:style>
  <w:style w:type="character" w:styleId="992" w:customStyle="1">
    <w:name w:val="默认段落字体1"/>
    <w:uiPriority w:val="0"/>
    <w:semiHidden/>
    <w:qFormat/>
    <w:rPr>
      <w:rFonts w:ascii="Calibri" w:hAnsi="Calibri"/>
      <w:sz w:val="21"/>
      <w:szCs w:val="22"/>
      <w:lang w:val="en-US" w:eastAsia="zh-CN" w:bidi="ar-SA"/>
    </w:rPr>
  </w:style>
  <w:style w:type="character" w:styleId="993" w:customStyle="1">
    <w:name w:val="标题 8 Char1"/>
    <w:uiPriority w:val="0"/>
    <w:semiHidden/>
    <w:qFormat/>
    <w:rPr>
      <w:rFonts w:ascii="Cambria" w:hAnsi="Cambria" w:eastAsia="宋体" w:cs="Times New Roman"/>
      <w:sz w:val="24"/>
      <w:szCs w:val="24"/>
    </w:rPr>
  </w:style>
  <w:style w:type="character" w:styleId="994" w:customStyle="1">
    <w:name w:val="标题 字符"/>
    <w:uiPriority w:val="10"/>
    <w:qFormat/>
    <w:rPr>
      <w:rFonts w:ascii="Cambria" w:hAnsi="Cambria" w:eastAsia="宋体" w:cs="Times New Roman"/>
      <w:b/>
      <w:bCs/>
      <w:sz w:val="32"/>
      <w:szCs w:val="32"/>
    </w:rPr>
  </w:style>
  <w:style w:type="character" w:styleId="995" w:customStyle="1">
    <w:name w:val="font61"/>
    <w:uiPriority w:val="0"/>
    <w:qFormat/>
    <w:rPr>
      <w:rFonts w:hint="eastAsia" w:ascii="宋体" w:hAnsi="宋体" w:eastAsia="宋体" w:cs="宋体"/>
      <w:i/>
      <w:color w:val="000000"/>
      <w:sz w:val="20"/>
      <w:szCs w:val="20"/>
      <w:u w:val="single"/>
    </w:rPr>
  </w:style>
  <w:style w:type="character" w:styleId="996" w:customStyle="1">
    <w:name w:val="font71"/>
    <w:uiPriority w:val="0"/>
    <w:qFormat/>
    <w:rPr>
      <w:rFonts w:hint="eastAsia" w:ascii="宋体" w:hAnsi="宋体" w:eastAsia="宋体" w:cs="宋体"/>
      <w:color w:val="000000"/>
      <w:sz w:val="20"/>
      <w:szCs w:val="20"/>
      <w:u w:val="none"/>
    </w:rPr>
  </w:style>
  <w:style w:type="character" w:styleId="997" w:customStyle="1">
    <w:name w:val="副标题 Char1"/>
    <w:uiPriority w:val="11"/>
    <w:qFormat/>
    <w:rPr>
      <w:rFonts w:ascii="Cambria" w:hAnsi="Cambria" w:cs="Times New Roman"/>
      <w:b/>
      <w:bCs/>
      <w:sz w:val="32"/>
      <w:szCs w:val="32"/>
    </w:rPr>
  </w:style>
  <w:style w:type="character" w:styleId="998" w:customStyle="1">
    <w:name w:val="标题 5 Char"/>
    <w:uiPriority w:val="0"/>
    <w:qFormat/>
    <w:rPr>
      <w:b/>
      <w:bCs/>
      <w:sz w:val="28"/>
      <w:szCs w:val="28"/>
    </w:rPr>
  </w:style>
  <w:style w:type="character" w:styleId="999" w:customStyle="1">
    <w:name w:val="正文文本 Char"/>
    <w:uiPriority w:val="0"/>
    <w:qFormat/>
    <w:rPr>
      <w:rFonts w:ascii="Calibri" w:hAnsi="Calibri" w:eastAsia="宋体" w:cs="Times New Roman"/>
    </w:rPr>
  </w:style>
  <w:style w:type="character" w:styleId="1000" w:customStyle="1">
    <w:name w:val="Item List in Table Char Char"/>
    <w:link w:val="1001"/>
    <w:uiPriority w:val="99"/>
    <w:qFormat/>
    <w:rPr>
      <w:rFonts w:ascii="Arial" w:hAnsi="Arial"/>
      <w:sz w:val="18"/>
      <w:szCs w:val="22"/>
      <w:lang w:val="en-US" w:eastAsia="zh-CN" w:bidi="ar-SA"/>
    </w:rPr>
  </w:style>
  <w:style w:type="paragraph" w:styleId="1001" w:customStyle="1">
    <w:name w:val="Item List in Table"/>
    <w:link w:val="1000"/>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02" w:customStyle="1">
    <w:name w:val="标题 9 Char1"/>
    <w:uiPriority w:val="0"/>
    <w:semiHidden/>
    <w:qFormat/>
    <w:rPr>
      <w:rFonts w:ascii="Cambria" w:hAnsi="Cambria" w:eastAsia="宋体" w:cs="Times New Roman"/>
      <w:sz w:val="21"/>
      <w:szCs w:val="21"/>
    </w:rPr>
  </w:style>
  <w:style w:type="character" w:styleId="1003" w:customStyle="1">
    <w:name w:val="副标题 字符1"/>
    <w:uiPriority w:val="11"/>
    <w:qFormat/>
    <w:rPr>
      <w:b/>
      <w:bCs/>
      <w:sz w:val="32"/>
      <w:szCs w:val="32"/>
    </w:rPr>
  </w:style>
  <w:style w:type="character" w:styleId="1004" w:customStyle="1">
    <w:name w:val="font91"/>
    <w:uiPriority w:val="0"/>
    <w:qFormat/>
    <w:rPr>
      <w:rFonts w:hint="default" w:ascii="Times New Roman" w:hAnsi="Times New Roman" w:cs="Times New Roman"/>
      <w:color w:val="000000"/>
      <w:sz w:val="20"/>
      <w:szCs w:val="20"/>
      <w:u w:val="none"/>
    </w:rPr>
  </w:style>
  <w:style w:type="character" w:styleId="1005" w:customStyle="1">
    <w:name w:val="Item List Char Char"/>
    <w:link w:val="1006"/>
    <w:uiPriority w:val="99"/>
    <w:qFormat/>
    <w:rPr>
      <w:rFonts w:ascii="Arial" w:hAnsi="Arial" w:cs="Arial"/>
      <w:lang w:eastAsia="en-US"/>
    </w:rPr>
  </w:style>
  <w:style w:type="paragraph" w:styleId="1006" w:customStyle="1">
    <w:name w:val="Item List"/>
    <w:basedOn w:val="729"/>
    <w:link w:val="1005"/>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7" w:customStyle="1">
    <w:name w:val="正文首行缩进 Char Char"/>
    <w:link w:val="1008"/>
    <w:uiPriority w:val="0"/>
    <w:qFormat/>
    <w:rPr>
      <w:szCs w:val="24"/>
    </w:rPr>
  </w:style>
  <w:style w:type="paragraph" w:styleId="1008" w:customStyle="1">
    <w:name w:val="正文首行缩进1"/>
    <w:basedOn w:val="750"/>
    <w:link w:val="1007"/>
    <w:uiPriority w:val="0"/>
    <w:qFormat/>
    <w:pPr>
      <w:ind w:firstLine="420"/>
      <w:spacing w:after="120"/>
    </w:pPr>
    <w:rPr>
      <w:rFonts w:ascii="Times New Roman" w:hAnsi="Times New Roman" w:eastAsia="宋体"/>
      <w:sz w:val="20"/>
      <w:szCs w:val="24"/>
    </w:rPr>
  </w:style>
  <w:style w:type="character" w:styleId="1009" w:customStyle="1">
    <w:name w:val="正文样式 Char"/>
    <w:link w:val="1010"/>
    <w:uiPriority w:val="0"/>
    <w:qFormat/>
    <w:rPr>
      <w:rFonts w:ascii="宋体" w:hAnsi="宋体"/>
      <w:sz w:val="24"/>
      <w:szCs w:val="24"/>
    </w:rPr>
  </w:style>
  <w:style w:type="paragraph" w:styleId="1010" w:customStyle="1">
    <w:name w:val="正文样式"/>
    <w:basedOn w:val="729"/>
    <w:link w:val="1009"/>
    <w:uiPriority w:val="0"/>
    <w:qFormat/>
    <w:pPr>
      <w:ind w:firstLine="480"/>
      <w:spacing w:line="360" w:lineRule="auto"/>
    </w:pPr>
    <w:rPr>
      <w:rFonts w:ascii="宋体" w:hAnsi="宋体"/>
      <w:sz w:val="24"/>
    </w:rPr>
  </w:style>
  <w:style w:type="character" w:styleId="1011" w:customStyle="1">
    <w:name w:val="标题 5 Char1"/>
    <w:uiPriority w:val="0"/>
    <w:semiHidden/>
    <w:qFormat/>
    <w:rPr>
      <w:b/>
      <w:bCs/>
      <w:sz w:val="28"/>
      <w:szCs w:val="28"/>
    </w:rPr>
  </w:style>
  <w:style w:type="character" w:styleId="1012" w:customStyle="1">
    <w:name w:val="Table Text Char"/>
    <w:link w:val="1013"/>
    <w:uiPriority w:val="99"/>
    <w:qFormat/>
    <w:rPr>
      <w:rFonts w:ascii="Arial" w:hAnsi="Arial"/>
      <w:sz w:val="18"/>
      <w:szCs w:val="18"/>
      <w:lang w:val="en-US" w:eastAsia="zh-CN" w:bidi="ar-SA"/>
    </w:rPr>
  </w:style>
  <w:style w:type="paragraph" w:styleId="1013" w:customStyle="1">
    <w:name w:val="Table Text"/>
    <w:link w:val="1012"/>
    <w:uiPriority w:val="99"/>
    <w:qFormat/>
    <w:pPr>
      <w:spacing w:before="80" w:after="80"/>
    </w:pPr>
    <w:rPr>
      <w:rFonts w:hint="default" w:ascii="Arial" w:hAnsi="Arial" w:eastAsia="宋体" w:cs="Times New Roman"/>
      <w:sz w:val="18"/>
      <w:szCs w:val="18"/>
      <w:lang w:val="en-US" w:eastAsia="zh-CN" w:bidi="ar-SA"/>
    </w:rPr>
  </w:style>
  <w:style w:type="character" w:styleId="1014" w:customStyle="1">
    <w:name w:val="样式1 Char"/>
    <w:link w:val="1015"/>
    <w:uiPriority w:val="0"/>
    <w:qFormat/>
    <w:rPr>
      <w:rFonts w:ascii="宋体" w:hAnsi="宋体"/>
      <w:sz w:val="21"/>
      <w:szCs w:val="21"/>
    </w:rPr>
  </w:style>
  <w:style w:type="paragraph" w:styleId="1015" w:customStyle="1">
    <w:name w:val="样式1"/>
    <w:basedOn w:val="729"/>
    <w:link w:val="1014"/>
    <w:uiPriority w:val="0"/>
    <w:qFormat/>
    <w:pPr>
      <w:ind w:left="709" w:hanging="709"/>
      <w:tabs>
        <w:tab w:val="left" w:pos="709" w:leader="none"/>
      </w:tabs>
    </w:pPr>
    <w:rPr>
      <w:rFonts w:ascii="宋体" w:hAnsi="宋体"/>
      <w:szCs w:val="21"/>
    </w:rPr>
  </w:style>
  <w:style w:type="character" w:styleId="1016" w:customStyle="1">
    <w:name w:val="标题 4 Char1"/>
    <w:uiPriority w:val="99"/>
    <w:semiHidden/>
    <w:qFormat/>
    <w:rPr>
      <w:rFonts w:ascii="Cambria" w:hAnsi="Cambria" w:eastAsia="宋体" w:cs="Times New Roman"/>
      <w:b/>
      <w:bCs/>
      <w:sz w:val="28"/>
      <w:szCs w:val="28"/>
    </w:rPr>
  </w:style>
  <w:style w:type="character" w:styleId="1017" w:customStyle="1">
    <w:name w:val="as-productsummary-addonupgrade"/>
    <w:uiPriority w:val="0"/>
    <w:qFormat/>
  </w:style>
  <w:style w:type="character" w:styleId="1018" w:customStyle="1">
    <w:name w:val="标题 2 Char1"/>
    <w:uiPriority w:val="99"/>
    <w:semiHidden/>
    <w:qFormat/>
    <w:rPr>
      <w:rFonts w:ascii="Cambria" w:hAnsi="Cambria" w:eastAsia="宋体" w:cs="Times New Roman"/>
      <w:b/>
      <w:bCs/>
      <w:sz w:val="32"/>
      <w:szCs w:val="32"/>
    </w:rPr>
  </w:style>
  <w:style w:type="character" w:styleId="1019" w:customStyle="1">
    <w:name w:val="标题 3 Char"/>
    <w:uiPriority w:val="0"/>
    <w:qFormat/>
    <w:rPr>
      <w:b/>
      <w:bCs/>
      <w:sz w:val="32"/>
      <w:szCs w:val="32"/>
    </w:rPr>
  </w:style>
  <w:style w:type="character" w:styleId="1020" w:customStyle="1">
    <w:name w:val="标题 4 Char"/>
    <w:uiPriority w:val="0"/>
    <w:qFormat/>
    <w:rPr>
      <w:rFonts w:ascii="Cambria" w:hAnsi="Cambria" w:eastAsia="宋体" w:cs="Times New Roman"/>
      <w:b/>
      <w:bCs/>
      <w:sz w:val="28"/>
      <w:szCs w:val="28"/>
    </w:rPr>
  </w:style>
  <w:style w:type="character" w:styleId="1021" w:customStyle="1">
    <w:name w:val="font41"/>
    <w:uiPriority w:val="0"/>
    <w:qFormat/>
    <w:rPr>
      <w:rFonts w:hint="eastAsia" w:ascii="宋体" w:hAnsi="宋体" w:eastAsia="宋体" w:cs="宋体"/>
      <w:color w:val="000000"/>
      <w:sz w:val="18"/>
      <w:szCs w:val="18"/>
      <w:u w:val="none"/>
    </w:rPr>
  </w:style>
  <w:style w:type="character" w:styleId="1022" w:customStyle="1">
    <w:name w:val="标题 6 Char"/>
    <w:uiPriority w:val="0"/>
    <w:qFormat/>
    <w:rPr>
      <w:rFonts w:ascii="Cambria" w:hAnsi="Cambria" w:eastAsia="宋体" w:cs="Times New Roman"/>
      <w:b/>
      <w:bCs/>
      <w:sz w:val="24"/>
      <w:szCs w:val="24"/>
    </w:rPr>
  </w:style>
  <w:style w:type="character" w:styleId="1023" w:customStyle="1">
    <w:name w:val="表格 Char Char"/>
    <w:link w:val="1024"/>
    <w:uiPriority w:val="0"/>
    <w:qFormat/>
    <w:rPr>
      <w:rFonts w:ascii="宋体" w:hAnsi="宋体" w:cs="宋体"/>
    </w:rPr>
  </w:style>
  <w:style w:type="paragraph" w:styleId="1024" w:customStyle="1">
    <w:name w:val="表格"/>
    <w:basedOn w:val="729"/>
    <w:link w:val="1023"/>
    <w:uiPriority w:val="0"/>
    <w:qFormat/>
    <w:pPr>
      <w:ind w:firstLine="21"/>
    </w:pPr>
    <w:rPr>
      <w:rFonts w:ascii="宋体" w:hAnsi="宋体"/>
      <w:sz w:val="20"/>
      <w:szCs w:val="20"/>
    </w:rPr>
  </w:style>
  <w:style w:type="character" w:styleId="1025" w:customStyle="1">
    <w:name w:val="普通正文 Char"/>
    <w:link w:val="1026"/>
    <w:uiPriority w:val="0"/>
    <w:qFormat/>
    <w:rPr>
      <w:rFonts w:ascii="Arial" w:hAnsi="Arial" w:cs="Arial"/>
      <w:sz w:val="24"/>
      <w:szCs w:val="24"/>
    </w:rPr>
  </w:style>
  <w:style w:type="paragraph" w:styleId="1026" w:customStyle="1">
    <w:name w:val="普通正文"/>
    <w:basedOn w:val="729"/>
    <w:link w:val="1025"/>
    <w:uiPriority w:val="0"/>
    <w:qFormat/>
    <w:pPr>
      <w:ind w:firstLine="480"/>
      <w:jc w:val="left"/>
      <w:spacing w:before="120" w:after="120" w:line="360" w:lineRule="auto"/>
    </w:pPr>
    <w:rPr>
      <w:rFonts w:ascii="Arial" w:hAnsi="Arial"/>
      <w:sz w:val="24"/>
    </w:rPr>
  </w:style>
  <w:style w:type="character" w:styleId="1027" w:customStyle="1">
    <w:name w:val="intro1"/>
    <w:uiPriority w:val="0"/>
    <w:qFormat/>
    <w:rPr>
      <w:rFonts w:ascii="Trebuchet MS"/>
      <w:sz w:val="21"/>
      <w:szCs w:val="21"/>
    </w:rPr>
  </w:style>
  <w:style w:type="character" w:styleId="1028" w:customStyle="1">
    <w:name w:val="批注框文本 Char"/>
    <w:uiPriority w:val="99"/>
    <w:qFormat/>
    <w:rPr>
      <w:sz w:val="18"/>
      <w:szCs w:val="18"/>
    </w:rPr>
  </w:style>
  <w:style w:type="character" w:styleId="1029" w:customStyle="1">
    <w:name w:val="文档结构图 Char"/>
    <w:uiPriority w:val="99"/>
    <w:qFormat/>
    <w:rPr>
      <w:rFonts w:ascii="宋体" w:eastAsia="宋体"/>
      <w:sz w:val="18"/>
      <w:szCs w:val="18"/>
    </w:rPr>
  </w:style>
  <w:style w:type="character" w:styleId="1030" w:customStyle="1">
    <w:name w:val="font81"/>
    <w:uiPriority w:val="0"/>
    <w:qFormat/>
    <w:rPr>
      <w:rFonts w:hint="eastAsia" w:ascii="宋体" w:hAnsi="宋体" w:eastAsia="宋体" w:cs="宋体"/>
      <w:color w:val="000000"/>
      <w:sz w:val="20"/>
      <w:szCs w:val="20"/>
      <w:u w:val="none"/>
    </w:rPr>
  </w:style>
  <w:style w:type="character" w:styleId="1031" w:customStyle="1">
    <w:name w:val="font112"/>
    <w:uiPriority w:val="0"/>
    <w:qFormat/>
    <w:rPr>
      <w:rFonts w:hint="eastAsia" w:ascii="宋体" w:hAnsi="宋体" w:eastAsia="宋体" w:cs="宋体"/>
      <w:color w:val="000000"/>
      <w:sz w:val="22"/>
      <w:szCs w:val="22"/>
      <w:u w:val="none"/>
    </w:rPr>
  </w:style>
  <w:style w:type="character" w:styleId="1032" w:customStyle="1">
    <w:name w:val="font132"/>
    <w:uiPriority w:val="0"/>
    <w:qFormat/>
    <w:rPr>
      <w:rFonts w:hint="eastAsia" w:ascii="宋体" w:hAnsi="宋体" w:eastAsia="宋体" w:cs="宋体"/>
      <w:color w:val="000000"/>
      <w:sz w:val="22"/>
      <w:szCs w:val="22"/>
      <w:u w:val="none"/>
    </w:rPr>
  </w:style>
  <w:style w:type="character" w:styleId="1033" w:customStyle="1">
    <w:name w:val="正文（绿盟科技） Char"/>
    <w:link w:val="1034"/>
    <w:uiPriority w:val="99"/>
    <w:qFormat/>
    <w:rPr>
      <w:rFonts w:ascii="Arial" w:hAnsi="Arial"/>
      <w:sz w:val="21"/>
      <w:szCs w:val="22"/>
      <w:lang w:val="en-US" w:eastAsia="zh-CN" w:bidi="ar-SA"/>
    </w:rPr>
  </w:style>
  <w:style w:type="paragraph" w:styleId="1034" w:customStyle="1">
    <w:name w:val="正文（绿盟科技）"/>
    <w:link w:val="1033"/>
    <w:uiPriority w:val="99"/>
    <w:qFormat/>
    <w:pPr>
      <w:spacing w:line="300" w:lineRule="auto"/>
    </w:pPr>
    <w:rPr>
      <w:rFonts w:hint="default" w:ascii="Arial" w:hAnsi="Arial" w:eastAsia="宋体" w:cs="Times New Roman"/>
      <w:sz w:val="21"/>
      <w:szCs w:val="22"/>
      <w:lang w:val="en-US" w:eastAsia="zh-CN" w:bidi="ar-SA"/>
    </w:rPr>
  </w:style>
  <w:style w:type="character" w:styleId="1035" w:customStyle="1">
    <w:name w:val="标题 1 Char"/>
    <w:uiPriority w:val="0"/>
    <w:qFormat/>
    <w:rPr>
      <w:b/>
      <w:bCs/>
      <w:sz w:val="44"/>
      <w:szCs w:val="44"/>
    </w:rPr>
  </w:style>
  <w:style w:type="character" w:styleId="1036" w:customStyle="1">
    <w:name w:val="font131"/>
    <w:uiPriority w:val="0"/>
    <w:qFormat/>
    <w:rPr>
      <w:rFonts w:hint="eastAsia" w:ascii="宋体" w:hAnsi="宋体" w:eastAsia="宋体" w:cs="宋体"/>
      <w:color w:val="000000"/>
      <w:sz w:val="20"/>
      <w:szCs w:val="20"/>
      <w:u w:val="none"/>
    </w:rPr>
  </w:style>
  <w:style w:type="character" w:styleId="1037" w:customStyle="1">
    <w:name w:val="font101"/>
    <w:uiPriority w:val="0"/>
    <w:qFormat/>
    <w:rPr>
      <w:rFonts w:hint="default" w:ascii="Tahoma" w:hAnsi="Tahoma" w:eastAsia="Tahoma" w:cs="Tahoma"/>
      <w:color w:val="000000"/>
      <w:sz w:val="22"/>
      <w:szCs w:val="22"/>
      <w:u w:val="none"/>
    </w:rPr>
  </w:style>
  <w:style w:type="character" w:styleId="1038" w:customStyle="1">
    <w:name w:val="标题 7 Char1"/>
    <w:uiPriority w:val="0"/>
    <w:semiHidden/>
    <w:qFormat/>
    <w:rPr>
      <w:b/>
      <w:bCs/>
      <w:sz w:val="24"/>
      <w:szCs w:val="24"/>
    </w:rPr>
  </w:style>
  <w:style w:type="character" w:styleId="1039" w:customStyle="1">
    <w:name w:val="列出段落 Char"/>
    <w:link w:val="1040"/>
    <w:uiPriority w:val="0"/>
    <w:qFormat/>
    <w:rPr>
      <w:rFonts w:ascii="Calibri" w:hAnsi="Calibri"/>
      <w:sz w:val="22"/>
    </w:rPr>
  </w:style>
  <w:style w:type="paragraph" w:styleId="1040" w:customStyle="1">
    <w:name w:val="2"/>
    <w:basedOn w:val="729"/>
    <w:next w:val="1041"/>
    <w:link w:val="1039"/>
    <w:uiPriority w:val="0"/>
    <w:qFormat/>
    <w:pPr>
      <w:ind w:firstLine="420"/>
    </w:pPr>
    <w:rPr>
      <w:sz w:val="22"/>
      <w:szCs w:val="20"/>
    </w:rPr>
  </w:style>
  <w:style w:type="paragraph" w:styleId="1041">
    <w:name w:val="List Paragraph"/>
    <w:basedOn w:val="729"/>
    <w:uiPriority w:val="34"/>
    <w:qFormat/>
    <w:pPr>
      <w:contextualSpacing/>
      <w:ind w:left="720"/>
      <w:jc w:val="left"/>
      <w:widowControl/>
    </w:pPr>
    <w:rPr>
      <w:rFonts w:cs="宋体"/>
      <w:sz w:val="24"/>
      <w:lang w:eastAsia="en-US"/>
    </w:rPr>
  </w:style>
  <w:style w:type="character" w:styleId="1042" w:customStyle="1">
    <w:name w:val="标题 1 字符"/>
    <w:uiPriority w:val="9"/>
    <w:qFormat/>
    <w:rPr>
      <w:rFonts w:ascii="Calibri" w:hAnsi="Calibri" w:eastAsia="宋体" w:cs="Times New Roman"/>
      <w:b/>
      <w:bCs/>
      <w:sz w:val="44"/>
      <w:szCs w:val="44"/>
    </w:rPr>
  </w:style>
  <w:style w:type="character" w:styleId="1043" w:customStyle="1">
    <w:name w:val="font5 Char"/>
    <w:uiPriority w:val="0"/>
    <w:qFormat/>
    <w:rPr>
      <w:rFonts w:ascii="宋体" w:eastAsia="宋体"/>
      <w:sz w:val="28"/>
      <w:szCs w:val="28"/>
      <w:lang w:val="en-US" w:eastAsia="zh-CN"/>
    </w:rPr>
  </w:style>
  <w:style w:type="character" w:styleId="1044" w:customStyle="1">
    <w:name w:val="页脚 Char"/>
    <w:uiPriority w:val="99"/>
    <w:qFormat/>
    <w:rPr>
      <w:sz w:val="18"/>
      <w:szCs w:val="18"/>
    </w:rPr>
  </w:style>
  <w:style w:type="character" w:styleId="1045" w:customStyle="1">
    <w:name w:val="列出段落 Char1"/>
    <w:link w:val="1046"/>
    <w:uiPriority w:val="34"/>
    <w:qFormat/>
    <w:rPr>
      <w:rFonts w:ascii="Calibri" w:hAnsi="Calibri"/>
      <w:sz w:val="21"/>
      <w:szCs w:val="22"/>
    </w:rPr>
  </w:style>
  <w:style w:type="paragraph" w:styleId="1046" w:customStyle="1">
    <w:name w:val="列出段落1"/>
    <w:basedOn w:val="729"/>
    <w:link w:val="1045"/>
    <w:uiPriority w:val="34"/>
    <w:qFormat/>
    <w:pPr>
      <w:ind w:firstLine="420"/>
    </w:pPr>
  </w:style>
  <w:style w:type="character" w:styleId="1047" w:customStyle="1">
    <w:name w:val="批注主题 Char"/>
    <w:uiPriority w:val="99"/>
    <w:qFormat/>
    <w:rPr>
      <w:b/>
      <w:bCs/>
    </w:rPr>
  </w:style>
  <w:style w:type="character" w:styleId="1048" w:customStyle="1">
    <w:name w:val="批注文字 Char1"/>
    <w:uiPriority w:val="99"/>
    <w:qFormat/>
    <w:rPr>
      <w:rFonts w:ascii="Times New Roman" w:hAnsi="Times New Roman" w:eastAsia="宋体" w:cs="Times New Roman"/>
      <w:szCs w:val="24"/>
    </w:rPr>
  </w:style>
  <w:style w:type="character" w:styleId="1049" w:customStyle="1">
    <w:name w:val="modeltitle"/>
    <w:basedOn w:val="739"/>
    <w:uiPriority w:val="0"/>
    <w:qFormat/>
  </w:style>
  <w:style w:type="character" w:styleId="1050" w:customStyle="1">
    <w:name w:val="font01"/>
    <w:uiPriority w:val="0"/>
    <w:qFormat/>
    <w:rPr>
      <w:rFonts w:hint="eastAsia" w:ascii="宋体" w:hAnsi="宋体" w:eastAsia="宋体" w:cs="宋体"/>
      <w:color w:val="000000"/>
      <w:sz w:val="20"/>
      <w:szCs w:val="20"/>
      <w:u w:val="none"/>
    </w:rPr>
  </w:style>
  <w:style w:type="character" w:styleId="1051" w:customStyle="1">
    <w:name w:val="标题 Char"/>
    <w:uiPriority w:val="0"/>
    <w:qFormat/>
    <w:rPr>
      <w:rFonts w:ascii="Cambria" w:hAnsi="Cambria" w:cs="Times New Roman"/>
      <w:b/>
      <w:bCs/>
      <w:sz w:val="32"/>
      <w:szCs w:val="32"/>
    </w:rPr>
  </w:style>
  <w:style w:type="character" w:styleId="1052" w:customStyle="1">
    <w:name w:val="标题 2 Char"/>
    <w:uiPriority w:val="9"/>
    <w:qFormat/>
    <w:rPr>
      <w:rFonts w:ascii="Cambria" w:hAnsi="Cambria" w:eastAsia="宋体" w:cs="Times New Roman"/>
      <w:b/>
      <w:bCs/>
      <w:sz w:val="32"/>
      <w:szCs w:val="32"/>
    </w:rPr>
  </w:style>
  <w:style w:type="character" w:styleId="1053" w:customStyle="1">
    <w:name w:val="列出段落字符"/>
    <w:uiPriority w:val="34"/>
    <w:qFormat/>
    <w:rPr>
      <w:rFonts w:ascii="Calibri" w:hAnsi="Calibri" w:eastAsia="宋体" w:cs="Times New Roman"/>
      <w:sz w:val="24"/>
      <w:szCs w:val="24"/>
    </w:rPr>
  </w:style>
  <w:style w:type="character" w:styleId="1054" w:customStyle="1">
    <w:name w:val="标题 1 Char1"/>
    <w:uiPriority w:val="99"/>
    <w:qFormat/>
    <w:rPr>
      <w:b/>
      <w:bCs/>
      <w:sz w:val="44"/>
      <w:szCs w:val="44"/>
    </w:rPr>
  </w:style>
  <w:style w:type="character" w:styleId="1055" w:customStyle="1">
    <w:name w:val="font51"/>
    <w:uiPriority w:val="0"/>
    <w:qFormat/>
    <w:rPr>
      <w:rFonts w:hint="eastAsia" w:ascii="宋体" w:hAnsi="宋体" w:eastAsia="宋体" w:cs="宋体"/>
      <w:i/>
      <w:color w:val="000000"/>
      <w:sz w:val="20"/>
      <w:szCs w:val="20"/>
      <w:u w:val="single"/>
    </w:rPr>
  </w:style>
  <w:style w:type="character" w:styleId="1056" w:customStyle="1">
    <w:name w:val="font121"/>
    <w:uiPriority w:val="0"/>
    <w:qFormat/>
    <w:rPr>
      <w:rFonts w:ascii="宋体-简" w:hAnsi="宋体-简" w:eastAsia="宋体-简" w:cs="宋体-简"/>
      <w:i/>
      <w:color w:val="000000"/>
      <w:sz w:val="20"/>
      <w:szCs w:val="20"/>
      <w:u w:val="single"/>
    </w:rPr>
  </w:style>
  <w:style w:type="character" w:styleId="1057" w:customStyle="1">
    <w:name w:val="正文首行缩进 Char"/>
    <w:uiPriority w:val="0"/>
    <w:qFormat/>
    <w:rPr>
      <w:rFonts w:ascii="Times New Roman" w:hAnsi="Times New Roman" w:eastAsia="宋体" w:cs="Times New Roman"/>
      <w:szCs w:val="20"/>
    </w:rPr>
  </w:style>
  <w:style w:type="character" w:styleId="1058" w:customStyle="1">
    <w:name w:val="表格非标题文字 Char"/>
    <w:link w:val="1059"/>
    <w:uiPriority w:val="99"/>
    <w:qFormat/>
    <w:rPr>
      <w:rFonts w:ascii="Futura Bk" w:hAnsi="Futura Bk"/>
      <w:sz w:val="18"/>
      <w:szCs w:val="21"/>
      <w:lang w:val="en-US" w:eastAsia="zh-CN" w:bidi="ar-SA"/>
    </w:rPr>
  </w:style>
  <w:style w:type="paragraph" w:styleId="1059" w:customStyle="1">
    <w:name w:val="表格非标题文字"/>
    <w:link w:val="1058"/>
    <w:uiPriority w:val="99"/>
    <w:qFormat/>
    <w:pPr>
      <w:spacing w:before="80" w:after="40"/>
    </w:pPr>
    <w:rPr>
      <w:rFonts w:hint="default" w:ascii="Futura Bk" w:hAnsi="Futura Bk" w:eastAsia="宋体" w:cs="Times New Roman"/>
      <w:sz w:val="18"/>
      <w:szCs w:val="21"/>
      <w:lang w:val="en-US" w:eastAsia="zh-CN" w:bidi="ar-SA"/>
    </w:rPr>
  </w:style>
  <w:style w:type="character" w:styleId="1060" w:customStyle="1">
    <w:name w:val="普通(网站) Char1"/>
    <w:uiPriority w:val="99"/>
    <w:semiHidden/>
    <w:qFormat/>
    <w:rPr>
      <w:sz w:val="18"/>
      <w:szCs w:val="18"/>
    </w:rPr>
  </w:style>
  <w:style w:type="character" w:styleId="1061" w:customStyle="1">
    <w:name w:val="js-正文 Char"/>
    <w:link w:val="1062"/>
    <w:uiPriority w:val="0"/>
    <w:qFormat/>
    <w:rPr>
      <w:sz w:val="24"/>
      <w:szCs w:val="24"/>
    </w:rPr>
  </w:style>
  <w:style w:type="paragraph" w:styleId="1062" w:customStyle="1">
    <w:name w:val="js-正文"/>
    <w:basedOn w:val="729"/>
    <w:link w:val="1061"/>
    <w:uiPriority w:val="0"/>
    <w:qFormat/>
    <w:pPr>
      <w:ind w:firstLine="480"/>
      <w:spacing w:line="360" w:lineRule="auto"/>
    </w:pPr>
    <w:rPr>
      <w:sz w:val="24"/>
    </w:rPr>
  </w:style>
  <w:style w:type="character" w:styleId="1063" w:customStyle="1">
    <w:name w:val="标题 3 Char1"/>
    <w:uiPriority w:val="99"/>
    <w:semiHidden/>
    <w:qFormat/>
    <w:rPr>
      <w:b/>
      <w:bCs/>
      <w:sz w:val="32"/>
      <w:szCs w:val="32"/>
    </w:rPr>
  </w:style>
  <w:style w:type="character" w:styleId="1064" w:customStyle="1">
    <w:name w:val="正文首行缩进 Char1"/>
    <w:basedOn w:val="999"/>
    <w:uiPriority w:val="99"/>
    <w:semiHidden/>
    <w:qFormat/>
    <w:rPr>
      <w:rFonts w:ascii="Calibri" w:hAnsi="Calibri" w:eastAsia="宋体" w:cs="Times New Roman"/>
    </w:rPr>
  </w:style>
  <w:style w:type="character" w:styleId="1065" w:customStyle="1">
    <w:name w:val="页眉 Char"/>
    <w:uiPriority w:val="99"/>
    <w:qFormat/>
    <w:rPr>
      <w:sz w:val="18"/>
      <w:szCs w:val="18"/>
    </w:rPr>
  </w:style>
  <w:style w:type="character" w:styleId="1066" w:customStyle="1">
    <w:name w:val="apple-converted-space"/>
    <w:basedOn w:val="739"/>
    <w:uiPriority w:val="0"/>
    <w:qFormat/>
  </w:style>
  <w:style w:type="character" w:styleId="1067" w:customStyle="1">
    <w:name w:val="日期 Char"/>
    <w:uiPriority w:val="0"/>
    <w:qFormat/>
    <w:rPr>
      <w:rFonts w:eastAsia="宋体"/>
      <w:sz w:val="24"/>
      <w:szCs w:val="24"/>
    </w:rPr>
  </w:style>
  <w:style w:type="character" w:styleId="1068" w:customStyle="1">
    <w:name w:val="标题 6 Char1"/>
    <w:uiPriority w:val="0"/>
    <w:semiHidden/>
    <w:qFormat/>
    <w:rPr>
      <w:rFonts w:ascii="Cambria" w:hAnsi="Cambria" w:eastAsia="宋体" w:cs="Times New Roman"/>
      <w:b/>
      <w:bCs/>
      <w:sz w:val="24"/>
      <w:szCs w:val="24"/>
    </w:rPr>
  </w:style>
  <w:style w:type="character" w:styleId="1069" w:customStyle="1">
    <w:name w:val="apple-style-span"/>
    <w:uiPriority w:val="0"/>
    <w:qFormat/>
  </w:style>
  <w:style w:type="paragraph" w:styleId="1070" w:customStyle="1">
    <w:name w:val="正文 A"/>
    <w:next w:val="81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71" w:customStyle="1">
    <w:name w:val="xl103"/>
    <w:basedOn w:val="729"/>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2" w:customStyle="1">
    <w:name w:val="xl67"/>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74" w:customStyle="1">
    <w:name w:val="_Style 235"/>
    <w:basedOn w:val="750"/>
    <w:next w:val="784"/>
    <w:uiPriority w:val="0"/>
    <w:qFormat/>
    <w:pPr>
      <w:ind w:firstLine="420"/>
      <w:jc w:val="center"/>
      <w:spacing w:after="120"/>
    </w:pPr>
    <w:rPr>
      <w:rFonts w:ascii="Times New Roman" w:hAnsi="Times New Roman" w:eastAsia="宋体"/>
      <w:position w:val="6"/>
      <w:sz w:val="21"/>
      <w:szCs w:val="24"/>
    </w:rPr>
  </w:style>
  <w:style w:type="paragraph" w:styleId="1075" w:customStyle="1">
    <w:name w:val="xl86"/>
    <w:basedOn w:val="72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76" w:customStyle="1">
    <w:name w:val="Item List_3"/>
    <w:basedOn w:val="1077"/>
    <w:uiPriority w:val="99"/>
    <w:semiHidden/>
    <w:qFormat/>
    <w:pPr>
      <w:tabs>
        <w:tab w:val="left" w:pos="360" w:leader="none"/>
        <w:tab w:val="left" w:pos="840" w:leader="none"/>
      </w:tabs>
    </w:pPr>
  </w:style>
  <w:style w:type="paragraph" w:styleId="1077" w:customStyle="1">
    <w:name w:val="Item List_2"/>
    <w:basedOn w:val="1006"/>
    <w:uiPriority w:val="99"/>
    <w:qFormat/>
    <w:pPr>
      <w:ind w:left="840" w:hanging="420"/>
      <w:tabs>
        <w:tab w:val="left" w:pos="360" w:leader="none"/>
        <w:tab w:val="left" w:pos="840" w:leader="none"/>
        <w:tab w:val="clear" w:pos="1134" w:leader="none"/>
      </w:tabs>
    </w:pPr>
  </w:style>
  <w:style w:type="paragraph" w:styleId="1078" w:customStyle="1">
    <w:name w:val="xl115"/>
    <w:basedOn w:val="729"/>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079" w:customStyle="1">
    <w:name w:val="xl91"/>
    <w:basedOn w:val="729"/>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80" w:customStyle="1">
    <w:name w:val="xl96"/>
    <w:basedOn w:val="729"/>
    <w:uiPriority w:val="0"/>
    <w:qFormat/>
    <w:pPr>
      <w:jc w:val="center"/>
      <w:spacing w:before="100" w:beforeAutospacing="1" w:after="100" w:afterAutospacing="1"/>
      <w:widowControl/>
    </w:pPr>
    <w:rPr>
      <w:rFonts w:ascii="宋体" w:hAnsi="宋体" w:cs="宋体"/>
      <w:b/>
      <w:bCs/>
      <w:color w:val="000000"/>
      <w:sz w:val="24"/>
    </w:rPr>
  </w:style>
  <w:style w:type="paragraph" w:styleId="1081" w:customStyle="1">
    <w:name w:val="xl89"/>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82" w:customStyle="1">
    <w:name w:val="table_1stline"/>
    <w:basedOn w:val="729"/>
    <w:uiPriority w:val="0"/>
    <w:qFormat/>
    <w:pPr>
      <w:jc w:val="left"/>
      <w:spacing w:before="120"/>
      <w:widowControl/>
    </w:pPr>
    <w:rPr>
      <w:bCs/>
      <w:sz w:val="20"/>
      <w:szCs w:val="20"/>
      <w:lang w:val="de-DE" w:eastAsia="de-DE"/>
    </w:rPr>
  </w:style>
  <w:style w:type="paragraph" w:styleId="1083" w:customStyle="1">
    <w:name w:val="Char Char Char Char Char Char Char Char Char Char Char Char Char Char Char Char Char Char"/>
    <w:basedOn w:val="729"/>
    <w:uiPriority w:val="0"/>
    <w:qFormat/>
    <w:pPr>
      <w:jc w:val="center"/>
      <w:spacing w:line="480" w:lineRule="exact"/>
    </w:pPr>
    <w:rPr>
      <w:color w:val="000000"/>
      <w:sz w:val="28"/>
      <w:szCs w:val="52"/>
    </w:rPr>
  </w:style>
  <w:style w:type="paragraph" w:styleId="1084" w:customStyle="1">
    <w:name w:val="font16"/>
    <w:basedOn w:val="729"/>
    <w:uiPriority w:val="0"/>
    <w:qFormat/>
    <w:pPr>
      <w:jc w:val="left"/>
      <w:spacing w:before="100" w:beforeAutospacing="1" w:after="100" w:afterAutospacing="1"/>
      <w:widowControl/>
    </w:pPr>
    <w:rPr>
      <w:rFonts w:ascii="宋体" w:hAnsi="宋体" w:cs="宋体"/>
      <w:color w:val="000000"/>
      <w:sz w:val="22"/>
    </w:rPr>
  </w:style>
  <w:style w:type="paragraph" w:styleId="1085"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86" w:customStyle="1">
    <w:name w:val="列出段落2"/>
    <w:basedOn w:val="729"/>
    <w:uiPriority w:val="99"/>
    <w:qFormat/>
    <w:pPr>
      <w:ind w:firstLine="420"/>
      <w:jc w:val="left"/>
      <w:widowControl/>
    </w:pPr>
    <w:rPr>
      <w:sz w:val="24"/>
    </w:rPr>
  </w:style>
  <w:style w:type="paragraph" w:styleId="1087" w:customStyle="1">
    <w:name w:val="Char5 Char Char Char Char Char Char"/>
    <w:basedOn w:val="729"/>
    <w:uiPriority w:val="0"/>
    <w:qFormat/>
    <w:rPr>
      <w:rFonts w:ascii="Tahoma" w:hAnsi="Tahoma"/>
      <w:sz w:val="24"/>
      <w:szCs w:val="20"/>
    </w:rPr>
  </w:style>
  <w:style w:type="paragraph" w:styleId="1088" w:customStyle="1">
    <w:name w:val="xl90"/>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8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90" w:customStyle="1">
    <w:name w:val="xl71"/>
    <w:basedOn w:val="729"/>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91"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92" w:customStyle="1">
    <w:name w:val="Char"/>
    <w:basedOn w:val="729"/>
    <w:uiPriority w:val="0"/>
    <w:qFormat/>
    <w:rPr>
      <w:rFonts w:ascii="Tahoma" w:hAnsi="Tahoma"/>
      <w:sz w:val="24"/>
      <w:szCs w:val="20"/>
    </w:rPr>
  </w:style>
  <w:style w:type="paragraph" w:styleId="1093" w:customStyle="1">
    <w:name w:val="标题3"/>
    <w:basedOn w:val="729"/>
    <w:next w:val="729"/>
    <w:uiPriority w:val="0"/>
    <w:qFormat/>
    <w:pPr>
      <w:ind w:firstLine="624"/>
      <w:spacing w:line="590" w:lineRule="atLeast"/>
    </w:pPr>
    <w:rPr>
      <w:rFonts w:ascii="方正黑体_GBK" w:hAnsi="宋体" w:eastAsia="方正黑体_GBK" w:cs="宋体"/>
      <w:sz w:val="32"/>
      <w:szCs w:val="32"/>
    </w:rPr>
  </w:style>
  <w:style w:type="paragraph" w:styleId="1094" w:customStyle="1">
    <w:name w:val="No Spacing1"/>
    <w:uiPriority w:val="0"/>
    <w:qFormat/>
    <w:pPr>
      <w:jc w:val="both"/>
      <w:widowControl w:val="off"/>
    </w:pPr>
    <w:rPr>
      <w:rFonts w:hint="default" w:ascii="Calibri" w:hAnsi="Calibri" w:eastAsia="宋体" w:cs="Calibri"/>
      <w:sz w:val="21"/>
      <w:szCs w:val="21"/>
      <w:lang w:val="en-US" w:eastAsia="zh-CN" w:bidi="ar-SA"/>
    </w:rPr>
  </w:style>
  <w:style w:type="paragraph" w:styleId="1095" w:customStyle="1">
    <w:name w:val="font18"/>
    <w:basedOn w:val="729"/>
    <w:uiPriority w:val="0"/>
    <w:qFormat/>
    <w:pPr>
      <w:jc w:val="left"/>
      <w:spacing w:before="100" w:beforeAutospacing="1" w:after="100" w:afterAutospacing="1"/>
      <w:widowControl/>
    </w:pPr>
    <w:rPr>
      <w:rFonts w:ascii="宋体" w:hAnsi="宋体" w:cs="宋体"/>
      <w:sz w:val="18"/>
      <w:szCs w:val="18"/>
    </w:rPr>
  </w:style>
  <w:style w:type="paragraph" w:styleId="1096" w:customStyle="1">
    <w:name w:val="xl92"/>
    <w:basedOn w:val="7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97" w:customStyle="1">
    <w:name w:val="xl97"/>
    <w:basedOn w:val="72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8" w:customStyle="1">
    <w:name w:val="xl7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99" w:customStyle="1">
    <w:name w:val="标题1"/>
    <w:basedOn w:val="729"/>
    <w:next w:val="72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0" w:customStyle="1">
    <w:name w:val="xl110"/>
    <w:basedOn w:val="7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101" w:customStyle="1">
    <w:name w:val="xl72"/>
    <w:basedOn w:val="72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02" w:customStyle="1">
    <w:name w:val="xl64"/>
    <w:basedOn w:val="729"/>
    <w:uiPriority w:val="0"/>
    <w:qFormat/>
    <w:pPr>
      <w:jc w:val="left"/>
      <w:spacing w:before="100" w:beforeAutospacing="1" w:after="100" w:afterAutospacing="1"/>
      <w:widowControl/>
    </w:pPr>
    <w:rPr>
      <w:rFonts w:ascii="宋体" w:hAnsi="宋体" w:cs="宋体"/>
      <w:color w:val="000000"/>
      <w:sz w:val="24"/>
    </w:rPr>
  </w:style>
  <w:style w:type="paragraph" w:styleId="1103" w:customStyle="1">
    <w:name w:val="xl24"/>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04" w:customStyle="1">
    <w:name w:val="Char Char1 Char Char Char Char Char Char Char"/>
    <w:basedOn w:val="729"/>
    <w:uiPriority w:val="0"/>
    <w:qFormat/>
    <w:rPr>
      <w:rFonts w:ascii="Tahoma" w:hAnsi="Tahoma" w:cs="Tahoma"/>
      <w:sz w:val="24"/>
    </w:rPr>
  </w:style>
  <w:style w:type="paragraph" w:styleId="1105" w:customStyle="1">
    <w:name w:val="font6"/>
    <w:basedOn w:val="729"/>
    <w:uiPriority w:val="0"/>
    <w:qFormat/>
    <w:pPr>
      <w:jc w:val="left"/>
      <w:spacing w:before="100" w:beforeAutospacing="1" w:after="100" w:afterAutospacing="1"/>
      <w:widowControl/>
    </w:pPr>
    <w:rPr>
      <w:rFonts w:ascii="宋体" w:hAnsi="宋体" w:cs="宋体"/>
      <w:sz w:val="28"/>
      <w:szCs w:val="28"/>
      <w:u w:val="single"/>
    </w:rPr>
  </w:style>
  <w:style w:type="paragraph" w:styleId="1106" w:customStyle="1">
    <w:name w:val="xl8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xl107"/>
    <w:basedOn w:val="72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8" w:customStyle="1">
    <w:name w:val="Char2"/>
    <w:basedOn w:val="729"/>
    <w:uiPriority w:val="0"/>
    <w:qFormat/>
    <w:rPr>
      <w:rFonts w:ascii="仿宋_GB2312" w:eastAsia="仿宋_GB2312"/>
      <w:b/>
      <w:sz w:val="32"/>
      <w:szCs w:val="32"/>
    </w:rPr>
  </w:style>
  <w:style w:type="paragraph" w:styleId="1109" w:customStyle="1">
    <w:name w:val="font11"/>
    <w:basedOn w:val="729"/>
    <w:uiPriority w:val="0"/>
    <w:qFormat/>
    <w:pPr>
      <w:jc w:val="left"/>
      <w:spacing w:before="100" w:beforeAutospacing="1" w:after="100" w:afterAutospacing="1"/>
      <w:widowControl/>
    </w:pPr>
    <w:rPr>
      <w:rFonts w:ascii="宋体" w:hAnsi="宋体" w:cs="宋体"/>
      <w:b/>
      <w:bCs/>
      <w:sz w:val="18"/>
      <w:szCs w:val="18"/>
    </w:rPr>
  </w:style>
  <w:style w:type="paragraph" w:styleId="1110" w:customStyle="1">
    <w:name w:val="font8"/>
    <w:basedOn w:val="729"/>
    <w:uiPriority w:val="0"/>
    <w:qFormat/>
    <w:pPr>
      <w:jc w:val="left"/>
      <w:spacing w:before="100" w:beforeAutospacing="1" w:after="100" w:afterAutospacing="1"/>
      <w:widowControl/>
    </w:pPr>
    <w:rPr>
      <w:rFonts w:ascii="宋体" w:hAnsi="宋体" w:cs="宋体"/>
      <w:sz w:val="22"/>
    </w:rPr>
  </w:style>
  <w:style w:type="paragraph" w:styleId="1111" w:customStyle="1">
    <w:name w:val="xl98"/>
    <w:basedOn w:val="72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xl30"/>
    <w:basedOn w:val="729"/>
    <w:uiPriority w:val="0"/>
    <w:qFormat/>
    <w:pPr>
      <w:jc w:val="center"/>
      <w:spacing w:before="100" w:beforeAutospacing="1" w:after="100" w:afterAutospacing="1"/>
      <w:widowControl/>
    </w:pPr>
    <w:rPr>
      <w:rFonts w:ascii="宋体" w:hAnsi="宋体" w:cs="宋体"/>
      <w:b/>
      <w:bCs/>
      <w:sz w:val="36"/>
      <w:szCs w:val="36"/>
    </w:rPr>
  </w:style>
  <w:style w:type="paragraph" w:styleId="1114" w:customStyle="1">
    <w:name w:val="font0"/>
    <w:basedOn w:val="729"/>
    <w:uiPriority w:val="0"/>
    <w:qFormat/>
    <w:pPr>
      <w:jc w:val="left"/>
      <w:spacing w:before="100" w:beforeAutospacing="1" w:after="100" w:afterAutospacing="1"/>
      <w:widowControl/>
    </w:pPr>
    <w:rPr>
      <w:rFonts w:ascii="宋体" w:hAnsi="宋体" w:cs="宋体"/>
      <w:color w:val="000000"/>
      <w:sz w:val="22"/>
    </w:rPr>
  </w:style>
  <w:style w:type="paragraph" w:styleId="1115" w:customStyle="1">
    <w:name w:val="xl77"/>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16" w:customStyle="1">
    <w:name w:val="列出段落31"/>
    <w:basedOn w:val="729"/>
    <w:uiPriority w:val="72"/>
    <w:qFormat/>
    <w:pPr>
      <w:ind w:firstLine="420"/>
      <w:jc w:val="left"/>
      <w:widowControl/>
    </w:pPr>
    <w:rPr>
      <w:rFonts w:ascii="Cambria" w:hAnsi="Cambria"/>
      <w:sz w:val="24"/>
    </w:rPr>
  </w:style>
  <w:style w:type="paragraph" w:styleId="1117" w:customStyle="1">
    <w:name w:val="reader-word-layer"/>
    <w:basedOn w:val="729"/>
    <w:uiPriority w:val="0"/>
    <w:qFormat/>
    <w:pPr>
      <w:jc w:val="left"/>
      <w:spacing w:before="100" w:beforeAutospacing="1" w:after="100" w:afterAutospacing="1"/>
      <w:widowControl/>
    </w:pPr>
    <w:rPr>
      <w:sz w:val="24"/>
    </w:rPr>
  </w:style>
  <w:style w:type="paragraph" w:styleId="1118" w:customStyle="1">
    <w:name w:val="xl10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119" w:customStyle="1">
    <w:name w:val="Char1 Char Char Char"/>
    <w:basedOn w:val="729"/>
    <w:uiPriority w:val="0"/>
    <w:qFormat/>
    <w:rPr>
      <w:rFonts w:ascii="Tahoma" w:hAnsi="Tahoma" w:cs="Tahoma"/>
      <w:sz w:val="24"/>
      <w:szCs w:val="20"/>
    </w:rPr>
  </w:style>
  <w:style w:type="paragraph" w:styleId="1120" w:customStyle="1">
    <w:name w:val="二级标题"/>
    <w:basedOn w:val="1121"/>
    <w:uiPriority w:val="0"/>
    <w:qFormat/>
    <w:pPr>
      <w:numPr>
        <w:ilvl w:val="1"/>
      </w:numPr>
      <w:outlineLvl w:val="1"/>
    </w:pPr>
    <w:rPr>
      <w:lang w:eastAsia="zh-CN"/>
    </w:rPr>
  </w:style>
  <w:style w:type="paragraph" w:styleId="1121" w:customStyle="1">
    <w:name w:val="一级标题"/>
    <w:basedOn w:val="729"/>
    <w:uiPriority w:val="0"/>
    <w:qFormat/>
    <w:pPr>
      <w:numPr>
        <w:ilvl w:val="0"/>
        <w:numId w:val="5"/>
      </w:numPr>
      <w:ind w:firstLine="0"/>
      <w:jc w:val="left"/>
      <w:widowControl/>
      <w:outlineLvl w:val="0"/>
    </w:pPr>
    <w:rPr>
      <w:rFonts w:ascii="宋体" w:hAnsi="宋体"/>
      <w:b/>
      <w:sz w:val="30"/>
      <w:lang w:eastAsia="en-US" w:bidi="en-US"/>
    </w:rPr>
  </w:style>
  <w:style w:type="paragraph" w:styleId="1122" w:customStyle="1">
    <w:name w:val="xl73"/>
    <w:basedOn w:val="72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23" w:customStyle="1">
    <w:name w:val="Char Char Char"/>
    <w:basedOn w:val="729"/>
    <w:uiPriority w:val="0"/>
    <w:qFormat/>
    <w:pPr>
      <w:jc w:val="left"/>
      <w:widowControl/>
    </w:pPr>
    <w:rPr>
      <w:rFonts w:ascii="Tahoma" w:hAnsi="Tahoma" w:cs="宋体"/>
      <w:sz w:val="24"/>
      <w:szCs w:val="20"/>
    </w:rPr>
  </w:style>
  <w:style w:type="paragraph" w:styleId="1124" w:customStyle="1">
    <w:name w:val="xl118"/>
    <w:basedOn w:val="7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5" w:customStyle="1">
    <w:name w:val="font14"/>
    <w:basedOn w:val="729"/>
    <w:uiPriority w:val="0"/>
    <w:qFormat/>
    <w:pPr>
      <w:jc w:val="left"/>
      <w:spacing w:before="100" w:beforeAutospacing="1" w:after="100" w:afterAutospacing="1"/>
      <w:widowControl/>
    </w:pPr>
    <w:rPr>
      <w:rFonts w:ascii="宋体" w:hAnsi="宋体" w:cs="宋体"/>
      <w:color w:val="000000"/>
      <w:sz w:val="22"/>
    </w:rPr>
  </w:style>
  <w:style w:type="paragraph" w:styleId="1126" w:customStyle="1">
    <w:name w:val="Char5 Char Char Char Char Char Char2"/>
    <w:basedOn w:val="729"/>
    <w:uiPriority w:val="0"/>
    <w:qFormat/>
    <w:rPr>
      <w:rFonts w:ascii="Tahoma" w:hAnsi="Tahoma"/>
      <w:sz w:val="24"/>
      <w:szCs w:val="20"/>
    </w:rPr>
  </w:style>
  <w:style w:type="paragraph" w:styleId="1127" w:customStyle="1">
    <w:name w:val="样式 样式 标题1 + 行距: 单倍行距 + 段前: 7.8 磅 段后: 7.8 磅"/>
    <w:basedOn w:val="72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8" w:customStyle="1">
    <w:name w:val="xl28"/>
    <w:basedOn w:val="7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29" w:customStyle="1">
    <w:name w:val="默认段落字体 Para Char Char"/>
    <w:basedOn w:val="729"/>
    <w:uiPriority w:val="0"/>
    <w:qFormat/>
    <w:pPr>
      <w:spacing w:before="156" w:after="156"/>
    </w:pPr>
    <w:rPr>
      <w:szCs w:val="20"/>
    </w:rPr>
  </w:style>
  <w:style w:type="paragraph" w:styleId="1130" w:customStyle="1">
    <w:name w:val="Char Char1 Char Char Char Char Char Char Char Char"/>
    <w:basedOn w:val="729"/>
    <w:uiPriority w:val="0"/>
    <w:qFormat/>
    <w:pPr>
      <w:jc w:val="left"/>
      <w:spacing w:after="160" w:line="240" w:lineRule="exact"/>
      <w:widowControl/>
    </w:pPr>
    <w:rPr>
      <w:rFonts w:ascii="Verdana" w:hAnsi="Verdana" w:cs="宋体"/>
      <w:sz w:val="20"/>
      <w:szCs w:val="20"/>
      <w:lang w:eastAsia="en-US"/>
    </w:rPr>
  </w:style>
  <w:style w:type="paragraph" w:styleId="1131" w:customStyle="1">
    <w:name w:val="xl75"/>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32" w:customStyle="1">
    <w:name w:val="Char Char Char Char Char Char Char Char Char Char"/>
    <w:basedOn w:val="729"/>
    <w:uiPriority w:val="0"/>
    <w:qFormat/>
    <w:pPr>
      <w:spacing w:line="360" w:lineRule="auto"/>
    </w:pPr>
    <w:rPr>
      <w:sz w:val="24"/>
      <w:szCs w:val="20"/>
    </w:rPr>
  </w:style>
  <w:style w:type="paragraph" w:styleId="1133" w:customStyle="1">
    <w:name w:val="font15"/>
    <w:basedOn w:val="729"/>
    <w:uiPriority w:val="0"/>
    <w:qFormat/>
    <w:pPr>
      <w:jc w:val="left"/>
      <w:spacing w:before="100" w:beforeAutospacing="1" w:after="100" w:afterAutospacing="1"/>
      <w:widowControl/>
    </w:pPr>
    <w:rPr>
      <w:rFonts w:ascii="宋体" w:hAnsi="宋体" w:cs="宋体"/>
      <w:sz w:val="18"/>
      <w:szCs w:val="18"/>
    </w:rPr>
  </w:style>
  <w:style w:type="paragraph" w:styleId="1134" w:customStyle="1">
    <w:name w:val="Char3"/>
    <w:basedOn w:val="746"/>
    <w:uiPriority w:val="0"/>
    <w:qFormat/>
    <w:pPr>
      <w:spacing w:line="360" w:lineRule="auto"/>
    </w:pPr>
    <w:rPr>
      <w:rFonts w:ascii="Tahoma" w:hAnsi="Tahoma" w:cs="Tahoma"/>
      <w:sz w:val="24"/>
      <w:szCs w:val="24"/>
    </w:rPr>
  </w:style>
  <w:style w:type="paragraph" w:styleId="1135" w:customStyle="1">
    <w:name w:val="xl122"/>
    <w:basedOn w:val="729"/>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36" w:customStyle="1">
    <w:name w:val="彩色列表 - 强调文字颜色 11"/>
    <w:basedOn w:val="729"/>
    <w:uiPriority w:val="34"/>
    <w:qFormat/>
    <w:pPr>
      <w:ind w:firstLine="420"/>
    </w:pPr>
    <w:rPr>
      <w:rFonts w:ascii="Cambria" w:hAnsi="Cambria"/>
      <w:sz w:val="24"/>
    </w:rPr>
  </w:style>
  <w:style w:type="paragraph" w:styleId="1137" w:customStyle="1">
    <w:name w:val="Char1"/>
    <w:basedOn w:val="729"/>
    <w:uiPriority w:val="0"/>
    <w:qFormat/>
    <w:pPr>
      <w:ind w:left="840" w:hanging="420"/>
      <w:tabs>
        <w:tab w:val="left" w:pos="840" w:leader="none"/>
      </w:tabs>
    </w:pPr>
    <w:rPr>
      <w:sz w:val="24"/>
    </w:rPr>
  </w:style>
  <w:style w:type="paragraph" w:styleId="1138" w:customStyle="1">
    <w:name w:val="默认段落字体 Para Char Char Char Char"/>
    <w:basedOn w:val="729"/>
    <w:uiPriority w:val="0"/>
    <w:qFormat/>
    <w:rPr>
      <w:rFonts w:ascii="Arial" w:hAnsi="Arial" w:cs="Arial"/>
      <w:szCs w:val="21"/>
    </w:rPr>
  </w:style>
  <w:style w:type="paragraph" w:styleId="1139" w:customStyle="1">
    <w:name w:val="xl6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0" w:customStyle="1">
    <w:name w:val="xl83"/>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1" w:customStyle="1">
    <w:name w:val="font17"/>
    <w:basedOn w:val="729"/>
    <w:uiPriority w:val="0"/>
    <w:qFormat/>
    <w:pPr>
      <w:jc w:val="left"/>
      <w:spacing w:before="100" w:beforeAutospacing="1" w:after="100" w:afterAutospacing="1"/>
      <w:widowControl/>
    </w:pPr>
    <w:rPr>
      <w:rFonts w:ascii="宋体" w:hAnsi="宋体" w:cs="宋体"/>
      <w:color w:val="ff0000"/>
      <w:sz w:val="22"/>
    </w:rPr>
  </w:style>
  <w:style w:type="paragraph" w:styleId="1142" w:customStyle="1">
    <w:name w:val="标题5"/>
    <w:basedOn w:val="734"/>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1143" w:customStyle="1">
    <w:name w:val="xl104"/>
    <w:basedOn w:val="729"/>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4" w:customStyle="1">
    <w:name w:val="四级标题"/>
    <w:basedOn w:val="1145"/>
    <w:uiPriority w:val="0"/>
    <w:qFormat/>
    <w:pPr>
      <w:numPr>
        <w:ilvl w:val="3"/>
      </w:numPr>
      <w:outlineLvl w:val="3"/>
    </w:pPr>
  </w:style>
  <w:style w:type="paragraph" w:styleId="1145" w:customStyle="1">
    <w:name w:val="三级标题"/>
    <w:basedOn w:val="1120"/>
    <w:uiPriority w:val="0"/>
    <w:qFormat/>
    <w:pPr>
      <w:numPr>
        <w:ilvl w:val="2"/>
      </w:numPr>
      <w:ind w:left="1191"/>
      <w:spacing w:before="50" w:after="50"/>
      <w:outlineLvl w:val="2"/>
    </w:pPr>
    <w:rPr>
      <w:sz w:val="24"/>
    </w:rPr>
  </w:style>
  <w:style w:type="paragraph" w:styleId="1146" w:customStyle="1">
    <w:name w:val="附录1"/>
    <w:uiPriority w:val="0"/>
    <w:qFormat/>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147" w:customStyle="1">
    <w:name w:val="table_lines"/>
    <w:basedOn w:val="729"/>
    <w:uiPriority w:val="0"/>
    <w:qFormat/>
    <w:pPr>
      <w:jc w:val="left"/>
      <w:widowControl/>
    </w:pPr>
    <w:rPr>
      <w:sz w:val="20"/>
      <w:szCs w:val="20"/>
      <w:lang w:val="de-DE" w:eastAsia="de-DE"/>
    </w:rPr>
  </w:style>
  <w:style w:type="paragraph" w:styleId="1148" w:customStyle="1">
    <w:name w:val="xl114"/>
    <w:basedOn w:val="729"/>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49" w:customStyle="1">
    <w:name w:val="Char Char Char Char Char Char Char Char Char"/>
    <w:basedOn w:val="729"/>
    <w:uiPriority w:val="0"/>
    <w:qFormat/>
    <w:rPr>
      <w:rFonts w:ascii="Tahoma" w:hAnsi="Tahoma" w:cs="Tahoma"/>
      <w:sz w:val="24"/>
      <w:szCs w:val="20"/>
    </w:rPr>
  </w:style>
  <w:style w:type="paragraph" w:styleId="1150" w:customStyle="1">
    <w:name w:val="xl7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5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52" w:customStyle="1">
    <w:name w:val="xl112"/>
    <w:basedOn w:val="729"/>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153" w:customStyle="1">
    <w:name w:val="xl85"/>
    <w:basedOn w:val="72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54" w:customStyle="1">
    <w:name w:val="font5"/>
    <w:basedOn w:val="729"/>
    <w:uiPriority w:val="0"/>
    <w:qFormat/>
    <w:pPr>
      <w:jc w:val="left"/>
      <w:spacing w:before="100" w:beforeAutospacing="1" w:after="100" w:afterAutospacing="1"/>
      <w:widowControl/>
    </w:pPr>
    <w:rPr>
      <w:rFonts w:ascii="宋体" w:hAnsi="宋体" w:cs="宋体"/>
      <w:sz w:val="28"/>
      <w:szCs w:val="28"/>
    </w:rPr>
  </w:style>
  <w:style w:type="paragraph" w:styleId="1155" w:customStyle="1">
    <w:name w:val="Char Char Char Char"/>
    <w:basedOn w:val="746"/>
    <w:uiPriority w:val="0"/>
    <w:qFormat/>
    <w:pPr>
      <w:spacing w:line="360" w:lineRule="auto"/>
    </w:pPr>
    <w:rPr>
      <w:rFonts w:ascii="Tahoma" w:hAnsi="Tahoma" w:cs="Tahoma"/>
      <w:sz w:val="24"/>
      <w:szCs w:val="24"/>
    </w:rPr>
  </w:style>
  <w:style w:type="paragraph" w:styleId="1156" w:customStyle="1">
    <w:name w:val="正文蓝"/>
    <w:basedOn w:val="744"/>
    <w:uiPriority w:val="0"/>
    <w:qFormat/>
    <w:pPr>
      <w:ind w:firstLine="482"/>
      <w:spacing w:line="288" w:lineRule="auto"/>
    </w:pPr>
    <w:rPr>
      <w:rFonts w:ascii="仿宋_GB2312" w:hAnsi="宋体" w:eastAsia="仿宋_GB2312" w:cs="宋体"/>
      <w:bCs/>
      <w:color w:val="0000ff"/>
      <w:sz w:val="24"/>
      <w:szCs w:val="20"/>
    </w:rPr>
  </w:style>
  <w:style w:type="paragraph" w:styleId="1157"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8" w:customStyle="1">
    <w:name w:val="List Paragraph1"/>
    <w:basedOn w:val="729"/>
    <w:uiPriority w:val="0"/>
    <w:qFormat/>
    <w:pPr>
      <w:ind w:firstLine="200"/>
    </w:pPr>
    <w:rPr>
      <w:rFonts w:cs="Arial"/>
    </w:rPr>
  </w:style>
  <w:style w:type="paragraph" w:styleId="1159" w:customStyle="1">
    <w:name w:val="xl93"/>
    <w:basedOn w:val="7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160" w:customStyle="1">
    <w:name w:val="Char Char Char1 Char Char Char Char"/>
    <w:basedOn w:val="729"/>
    <w:uiPriority w:val="0"/>
    <w:qFormat/>
    <w:pPr>
      <w:jc w:val="left"/>
      <w:spacing w:after="160" w:line="240" w:lineRule="exact"/>
      <w:widowControl/>
    </w:pPr>
    <w:rPr>
      <w:rFonts w:ascii="宋体" w:hAnsi="宋体" w:cs="宋体"/>
      <w:b/>
      <w:sz w:val="28"/>
      <w:szCs w:val="28"/>
    </w:rPr>
  </w:style>
  <w:style w:type="paragraph" w:styleId="1161" w:customStyle="1">
    <w:name w:val="font20"/>
    <w:basedOn w:val="729"/>
    <w:uiPriority w:val="0"/>
    <w:qFormat/>
    <w:pPr>
      <w:jc w:val="left"/>
      <w:spacing w:before="100" w:beforeAutospacing="1" w:after="100" w:afterAutospacing="1"/>
      <w:widowControl/>
    </w:pPr>
    <w:rPr>
      <w:rFonts w:ascii="Tahoma" w:hAnsi="Tahoma" w:cs="Tahoma"/>
      <w:b/>
      <w:bCs/>
      <w:color w:val="000000"/>
      <w:sz w:val="18"/>
      <w:szCs w:val="18"/>
    </w:rPr>
  </w:style>
  <w:style w:type="paragraph" w:styleId="1162" w:customStyle="1">
    <w:name w:val="标题2"/>
    <w:basedOn w:val="73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63" w:customStyle="1">
    <w:name w:val="xl27"/>
    <w:basedOn w:val="7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64" w:customStyle="1">
    <w:name w:val="xl106"/>
    <w:basedOn w:val="729"/>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65" w:customStyle="1">
    <w:name w:val="font21"/>
    <w:basedOn w:val="729"/>
    <w:uiPriority w:val="0"/>
    <w:qFormat/>
    <w:pPr>
      <w:jc w:val="left"/>
      <w:spacing w:before="100" w:beforeAutospacing="1" w:after="100" w:afterAutospacing="1"/>
      <w:widowControl/>
    </w:pPr>
    <w:rPr>
      <w:rFonts w:ascii="宋体" w:hAnsi="宋体" w:cs="宋体"/>
      <w:b/>
      <w:bCs/>
      <w:color w:val="000000"/>
      <w:sz w:val="18"/>
      <w:szCs w:val="18"/>
    </w:rPr>
  </w:style>
  <w:style w:type="paragraph" w:styleId="1166" w:customStyle="1">
    <w:name w:val="标书正文"/>
    <w:basedOn w:val="729"/>
    <w:uiPriority w:val="99"/>
    <w:qFormat/>
    <w:pPr>
      <w:ind w:firstLine="431"/>
      <w:jc w:val="left"/>
      <w:spacing w:before="120" w:after="120" w:line="360" w:lineRule="auto"/>
      <w:widowControl/>
    </w:pPr>
    <w:rPr>
      <w:sz w:val="22"/>
      <w:szCs w:val="21"/>
      <w:lang w:eastAsia="en-US"/>
    </w:rPr>
  </w:style>
  <w:style w:type="paragraph" w:styleId="1167" w:customStyle="1">
    <w:name w:val="xl26"/>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可研 + 首行缩进:  2 字符"/>
    <w:basedOn w:val="729"/>
    <w:uiPriority w:val="0"/>
    <w:qFormat/>
    <w:pPr>
      <w:ind w:firstLine="200"/>
      <w:spacing w:before="120" w:line="288" w:lineRule="auto"/>
    </w:pPr>
    <w:rPr>
      <w:rFonts w:eastAsia="仿宋_GB2312"/>
      <w:sz w:val="24"/>
      <w:szCs w:val="20"/>
    </w:rPr>
  </w:style>
  <w:style w:type="paragraph" w:styleId="1169" w:customStyle="1">
    <w:name w:val="font19"/>
    <w:basedOn w:val="729"/>
    <w:uiPriority w:val="0"/>
    <w:qFormat/>
    <w:pPr>
      <w:jc w:val="left"/>
      <w:spacing w:before="100" w:beforeAutospacing="1" w:after="100" w:afterAutospacing="1"/>
      <w:widowControl/>
    </w:pPr>
    <w:rPr>
      <w:rFonts w:ascii="宋体" w:hAnsi="宋体" w:cs="宋体"/>
      <w:sz w:val="18"/>
      <w:szCs w:val="18"/>
    </w:rPr>
  </w:style>
  <w:style w:type="paragraph" w:styleId="1170" w:customStyle="1">
    <w:name w:val="Char Char Char1 Char Char Char Char1"/>
    <w:basedOn w:val="729"/>
    <w:uiPriority w:val="0"/>
    <w:qFormat/>
    <w:pPr>
      <w:jc w:val="left"/>
      <w:spacing w:after="160" w:line="240" w:lineRule="exact"/>
      <w:widowControl/>
    </w:pPr>
    <w:rPr>
      <w:rFonts w:ascii="宋体" w:hAnsi="宋体"/>
      <w:b/>
      <w:sz w:val="28"/>
      <w:szCs w:val="28"/>
    </w:rPr>
  </w:style>
  <w:style w:type="paragraph" w:styleId="1171" w:customStyle="1">
    <w:name w:val="font9"/>
    <w:basedOn w:val="729"/>
    <w:uiPriority w:val="0"/>
    <w:qFormat/>
    <w:pPr>
      <w:jc w:val="left"/>
      <w:spacing w:before="100" w:beforeAutospacing="1" w:after="100" w:afterAutospacing="1"/>
      <w:widowControl/>
    </w:pPr>
    <w:rPr>
      <w:rFonts w:ascii="宋体" w:hAnsi="宋体" w:cs="宋体"/>
      <w:sz w:val="20"/>
      <w:szCs w:val="20"/>
    </w:rPr>
  </w:style>
  <w:style w:type="paragraph" w:styleId="1172" w:customStyle="1">
    <w:name w:val="xl113"/>
    <w:basedOn w:val="729"/>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73" w:customStyle="1">
    <w:name w:val="xl8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4" w:customStyle="1">
    <w:name w:val="xl94"/>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5" w:customStyle="1">
    <w:name w:val="Char4"/>
    <w:basedOn w:val="729"/>
    <w:uiPriority w:val="0"/>
    <w:qFormat/>
    <w:pPr>
      <w:tabs>
        <w:tab w:val="left" w:pos="360" w:leader="none"/>
      </w:tabs>
    </w:pPr>
    <w:rPr>
      <w:sz w:val="24"/>
    </w:rPr>
  </w:style>
  <w:style w:type="paragraph" w:styleId="1176" w:customStyle="1">
    <w:name w:val="xl100"/>
    <w:basedOn w:val="7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177" w:customStyle="1">
    <w:name w:val="xl65"/>
    <w:basedOn w:val="729"/>
    <w:uiPriority w:val="0"/>
    <w:qFormat/>
    <w:pPr>
      <w:jc w:val="left"/>
      <w:spacing w:before="100" w:beforeAutospacing="1" w:after="100" w:afterAutospacing="1"/>
      <w:widowControl/>
    </w:pPr>
    <w:rPr>
      <w:rFonts w:ascii="宋体" w:hAnsi="宋体" w:cs="宋体"/>
      <w:b/>
      <w:bCs/>
      <w:color w:val="000000"/>
      <w:sz w:val="24"/>
    </w:rPr>
  </w:style>
  <w:style w:type="paragraph" w:styleId="1178" w:customStyle="1">
    <w:name w:val="Char Char Char Char1"/>
    <w:basedOn w:val="746"/>
    <w:uiPriority w:val="0"/>
    <w:qFormat/>
    <w:pPr>
      <w:spacing w:line="360" w:lineRule="auto"/>
    </w:pPr>
    <w:rPr>
      <w:rFonts w:ascii="Tahoma" w:hAnsi="Tahoma"/>
      <w:sz w:val="24"/>
      <w:szCs w:val="24"/>
    </w:rPr>
  </w:style>
  <w:style w:type="paragraph" w:styleId="1179" w:customStyle="1">
    <w:name w:val="Main_heading"/>
    <w:basedOn w:val="729"/>
    <w:next w:val="729"/>
    <w:uiPriority w:val="0"/>
    <w:qFormat/>
    <w:pPr>
      <w:jc w:val="left"/>
      <w:spacing w:before="240" w:after="240" w:line="240" w:lineRule="atLeast"/>
      <w:widowControl/>
    </w:pPr>
    <w:rPr>
      <w:rFonts w:eastAsia="MS Mincho"/>
      <w:b/>
      <w:sz w:val="28"/>
      <w:szCs w:val="20"/>
      <w:lang w:eastAsia="ja-JP"/>
    </w:rPr>
  </w:style>
  <w:style w:type="paragraph" w:styleId="1180"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181" w:customStyle="1">
    <w:name w:val="标题6"/>
    <w:basedOn w:val="735"/>
    <w:uiPriority w:val="0"/>
    <w:qFormat/>
    <w:pPr>
      <w:numPr>
        <w:ilvl w:val="0"/>
        <w:numId w:val="0"/>
      </w:numPr>
      <w:keepLines w:val="0"/>
      <w:keepNext w:val="0"/>
      <w:spacing w:before="0" w:after="0" w:line="360" w:lineRule="auto"/>
    </w:pPr>
    <w:rPr>
      <w:rFonts w:eastAsia="仿宋_GB2312"/>
      <w:b w:val="0"/>
      <w:sz w:val="30"/>
    </w:rPr>
  </w:style>
  <w:style w:type="paragraph" w:styleId="1182" w:customStyle="1">
    <w:name w:val="Char5 Char Char Char Char Char Char1"/>
    <w:basedOn w:val="729"/>
    <w:uiPriority w:val="0"/>
    <w:qFormat/>
    <w:rPr>
      <w:rFonts w:ascii="Tahoma" w:hAnsi="Tahoma"/>
      <w:sz w:val="24"/>
      <w:szCs w:val="20"/>
    </w:rPr>
  </w:style>
  <w:style w:type="paragraph" w:styleId="1183" w:customStyle="1">
    <w:name w:val="正文文本1"/>
    <w:basedOn w:val="729"/>
    <w:uiPriority w:val="0"/>
    <w:qFormat/>
    <w:pPr>
      <w:jc w:val="left"/>
      <w:spacing w:after="60"/>
      <w:tabs>
        <w:tab w:val="right" w:pos="2520" w:leader="none"/>
        <w:tab w:val="left" w:pos="2880" w:leader="none"/>
      </w:tabs>
    </w:pPr>
    <w:rPr>
      <w:sz w:val="22"/>
      <w:szCs w:val="20"/>
    </w:rPr>
  </w:style>
  <w:style w:type="paragraph" w:styleId="1184" w:customStyle="1">
    <w:name w:val="font10"/>
    <w:basedOn w:val="729"/>
    <w:uiPriority w:val="0"/>
    <w:qFormat/>
    <w:pPr>
      <w:jc w:val="left"/>
      <w:spacing w:before="100" w:beforeAutospacing="1" w:after="100" w:afterAutospacing="1"/>
      <w:widowControl/>
    </w:pPr>
    <w:rPr>
      <w:rFonts w:ascii="Tahoma" w:hAnsi="Tahoma" w:cs="Tahoma"/>
      <w:b/>
      <w:bCs/>
      <w:sz w:val="18"/>
      <w:szCs w:val="18"/>
    </w:rPr>
  </w:style>
  <w:style w:type="paragraph" w:styleId="1185" w:customStyle="1">
    <w:name w:val="样式3"/>
    <w:basedOn w:val="756"/>
    <w:uiPriority w:val="0"/>
    <w:qFormat/>
    <w:rPr>
      <w:rFonts w:cs="宋体"/>
    </w:rPr>
  </w:style>
  <w:style w:type="paragraph" w:styleId="1186" w:customStyle="1">
    <w:name w:val="列表 31"/>
    <w:basedOn w:val="729"/>
    <w:uiPriority w:val="0"/>
    <w:qFormat/>
    <w:pPr>
      <w:contextualSpacing/>
      <w:ind w:left="100" w:hanging="200"/>
    </w:pPr>
  </w:style>
  <w:style w:type="paragraph" w:styleId="1187" w:customStyle="1">
    <w:name w:val="列出段落11"/>
    <w:basedOn w:val="729"/>
    <w:uiPriority w:val="99"/>
    <w:qFormat/>
    <w:pPr>
      <w:ind w:firstLine="420"/>
    </w:pPr>
  </w:style>
  <w:style w:type="paragraph" w:styleId="1188" w:customStyle="1">
    <w:name w:val="xl101"/>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89" w:customStyle="1">
    <w:name w:val="xl120"/>
    <w:basedOn w:val="729"/>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color w:val="000000"/>
      <w:sz w:val="24"/>
    </w:rPr>
  </w:style>
  <w:style w:type="paragraph" w:styleId="1190" w:customStyle="1">
    <w:name w:val="xl87"/>
    <w:basedOn w:val="729"/>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91" w:customStyle="1">
    <w:name w:val="默认段落字体 Para Char Char Char Char Char Char Char Char Char1 Char Char Char Char Char Char Char"/>
    <w:basedOn w:val="746"/>
    <w:uiPriority w:val="0"/>
    <w:qFormat/>
    <w:rPr>
      <w:rFonts w:ascii="Tahoma" w:hAnsi="Tahoma" w:cs="Tahoma"/>
      <w:sz w:val="24"/>
      <w:szCs w:val="24"/>
    </w:rPr>
  </w:style>
  <w:style w:type="paragraph" w:styleId="1192" w:customStyle="1">
    <w:name w:val="xl111"/>
    <w:basedOn w:val="729"/>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93" w:customStyle="1">
    <w:name w:val="xl121"/>
    <w:basedOn w:val="729"/>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94" w:customStyle="1">
    <w:name w:val="五级标题"/>
    <w:basedOn w:val="1144"/>
    <w:uiPriority w:val="0"/>
    <w:qFormat/>
    <w:pPr>
      <w:numPr>
        <w:ilvl w:val="4"/>
      </w:numPr>
      <w:ind w:right="278"/>
      <w:outlineLvl w:val="4"/>
    </w:pPr>
  </w:style>
  <w:style w:type="paragraph" w:styleId="1195" w:customStyle="1">
    <w:name w:val="xl117"/>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96" w:customStyle="1">
    <w:name w:val="xl70"/>
    <w:basedOn w:val="729"/>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97"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8" w:customStyle="1">
    <w:name w:val="Char Char Char Char Char Char Char"/>
    <w:basedOn w:val="729"/>
    <w:uiPriority w:val="0"/>
    <w:qFormat/>
    <w:pPr>
      <w:ind w:left="432" w:hanging="432"/>
      <w:tabs>
        <w:tab w:val="left" w:pos="432" w:leader="none"/>
      </w:tabs>
    </w:pPr>
    <w:rPr>
      <w:rFonts w:ascii="Tahoma" w:hAnsi="Tahoma"/>
      <w:sz w:val="24"/>
      <w:szCs w:val="20"/>
    </w:rPr>
  </w:style>
  <w:style w:type="paragraph" w:styleId="1199" w:customStyle="1">
    <w:name w:val="xl69"/>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0" w:customStyle="1">
    <w:name w:val="xl10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201" w:customStyle="1">
    <w:name w:val="标题9"/>
    <w:basedOn w:val="738"/>
    <w:uiPriority w:val="0"/>
    <w:qFormat/>
    <w:pPr>
      <w:numPr>
        <w:ilvl w:val="0"/>
        <w:numId w:val="0"/>
      </w:numPr>
      <w:keepLines w:val="0"/>
      <w:keepNext w:val="0"/>
      <w:spacing w:before="0" w:after="0" w:line="360" w:lineRule="auto"/>
    </w:pPr>
    <w:rPr>
      <w:rFonts w:eastAsia="仿宋_GB2312"/>
      <w:sz w:val="30"/>
    </w:rPr>
  </w:style>
  <w:style w:type="paragraph" w:styleId="1202" w:customStyle="1">
    <w:name w:val="xl82"/>
    <w:basedOn w:val="72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3" w:customStyle="1">
    <w:name w:val="xl116"/>
    <w:basedOn w:val="729"/>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204" w:customStyle="1">
    <w:name w:val="Char Char"/>
    <w:basedOn w:val="729"/>
    <w:uiPriority w:val="0"/>
    <w:qFormat/>
    <w:pPr>
      <w:ind w:left="360"/>
      <w:jc w:val="left"/>
      <w:spacing w:before="100" w:beforeAutospacing="1" w:after="100" w:afterAutospacing="1" w:line="360" w:lineRule="auto"/>
      <w:widowControl/>
    </w:pPr>
    <w:rPr>
      <w:szCs w:val="20"/>
    </w:rPr>
  </w:style>
  <w:style w:type="paragraph" w:styleId="1205" w:customStyle="1">
    <w:name w:val="Char5 Char Char Char Char Char Char3"/>
    <w:basedOn w:val="729"/>
    <w:uiPriority w:val="0"/>
    <w:qFormat/>
    <w:rPr>
      <w:rFonts w:ascii="Tahoma" w:hAnsi="Tahoma"/>
      <w:sz w:val="24"/>
      <w:szCs w:val="20"/>
    </w:rPr>
  </w:style>
  <w:style w:type="paragraph" w:styleId="1206" w:customStyle="1">
    <w:name w:val="xl95"/>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07" w:customStyle="1">
    <w:name w:val="font13"/>
    <w:basedOn w:val="729"/>
    <w:uiPriority w:val="0"/>
    <w:qFormat/>
    <w:pPr>
      <w:jc w:val="left"/>
      <w:spacing w:before="100" w:beforeAutospacing="1" w:after="100" w:afterAutospacing="1"/>
      <w:widowControl/>
    </w:pPr>
    <w:rPr>
      <w:rFonts w:ascii="宋体" w:hAnsi="宋体" w:cs="宋体"/>
      <w:b/>
      <w:bCs/>
      <w:color w:val="000000"/>
      <w:sz w:val="28"/>
      <w:szCs w:val="28"/>
    </w:rPr>
  </w:style>
  <w:style w:type="paragraph" w:styleId="1208" w:customStyle="1">
    <w:name w:val="纯文本2"/>
    <w:basedOn w:val="729"/>
    <w:uiPriority w:val="0"/>
    <w:qFormat/>
    <w:rPr>
      <w:rFonts w:ascii="宋体" w:hAnsi="Courier New" w:eastAsia="楷体_GB2312"/>
      <w:sz w:val="26"/>
      <w:szCs w:val="20"/>
    </w:rPr>
  </w:style>
  <w:style w:type="paragraph" w:styleId="1209" w:customStyle="1">
    <w:name w:val="p25"/>
    <w:basedOn w:val="729"/>
    <w:uiPriority w:val="0"/>
    <w:qFormat/>
    <w:pPr>
      <w:jc w:val="left"/>
      <w:widowControl/>
    </w:pPr>
    <w:rPr>
      <w:rFonts w:ascii="宋体" w:hAnsi="宋体" w:cs="宋体"/>
      <w:sz w:val="26"/>
      <w:szCs w:val="26"/>
    </w:rPr>
  </w:style>
  <w:style w:type="paragraph" w:styleId="1210" w:customStyle="1">
    <w:name w:val="indent-fix3"/>
    <w:basedOn w:val="729"/>
    <w:uiPriority w:val="0"/>
    <w:qFormat/>
    <w:pPr>
      <w:jc w:val="left"/>
      <w:spacing w:before="100" w:beforeAutospacing="1" w:after="100" w:afterAutospacing="1"/>
      <w:widowControl/>
    </w:pPr>
    <w:rPr>
      <w:rFonts w:ascii="宋体" w:hAnsi="宋体" w:cs="宋体"/>
      <w:sz w:val="24"/>
    </w:rPr>
  </w:style>
  <w:style w:type="paragraph" w:styleId="1211" w:customStyle="1">
    <w:name w:val="Char Char Char Char Char Char Char2"/>
    <w:basedOn w:val="729"/>
    <w:uiPriority w:val="0"/>
    <w:qFormat/>
    <w:pPr>
      <w:ind w:left="432" w:hanging="432"/>
      <w:tabs>
        <w:tab w:val="left" w:pos="432" w:leader="none"/>
      </w:tabs>
    </w:pPr>
    <w:rPr>
      <w:rFonts w:ascii="Tahoma" w:hAnsi="Tahoma"/>
      <w:sz w:val="24"/>
      <w:szCs w:val="20"/>
    </w:rPr>
  </w:style>
  <w:style w:type="paragraph" w:styleId="1212" w:customStyle="1">
    <w:name w:val="1 Char Char Char Char Char Char Char"/>
    <w:basedOn w:val="729"/>
    <w:uiPriority w:val="0"/>
    <w:qFormat/>
    <w:pPr>
      <w:spacing w:line="360" w:lineRule="auto"/>
    </w:pPr>
    <w:rPr>
      <w:rFonts w:ascii="仿宋_GB2312" w:hAnsi="宋体" w:eastAsia="仿宋_GB2312" w:cs="宋体"/>
      <w:szCs w:val="21"/>
    </w:rPr>
  </w:style>
  <w:style w:type="paragraph" w:styleId="1213" w:customStyle="1">
    <w:name w:val="样式2"/>
    <w:basedOn w:val="729"/>
    <w:uiPriority w:val="0"/>
    <w:qFormat/>
    <w:pPr>
      <w:numPr>
        <w:ilvl w:val="0"/>
        <w:numId w:val="8"/>
      </w:numPr>
      <w:spacing w:line="288" w:lineRule="auto"/>
    </w:pPr>
  </w:style>
  <w:style w:type="paragraph" w:styleId="1214" w:customStyle="1">
    <w:name w:val="Body Text(ch)"/>
    <w:basedOn w:val="729"/>
    <w:next w:val="750"/>
    <w:uiPriority w:val="0"/>
    <w:qFormat/>
    <w:pPr>
      <w:spacing w:after="120"/>
    </w:pPr>
    <w:rPr>
      <w:rFonts w:ascii="宋体" w:hAnsi="宋体" w:cs="宋体"/>
      <w:bCs/>
      <w:iCs/>
    </w:rPr>
  </w:style>
  <w:style w:type="paragraph" w:styleId="1215" w:customStyle="1">
    <w:name w:val="_Style 309"/>
    <w:basedOn w:val="730"/>
    <w:next w:val="729"/>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16" w:customStyle="1">
    <w:name w:val="正文格式"/>
    <w:basedOn w:val="729"/>
    <w:uiPriority w:val="0"/>
    <w:qFormat/>
    <w:pPr>
      <w:ind w:firstLine="482"/>
      <w:spacing w:line="400" w:lineRule="exact"/>
      <w:widowControl/>
    </w:pPr>
    <w:rPr>
      <w:rFonts w:ascii="Arial" w:hAnsi="Arial" w:eastAsia="新宋体" w:cs="Arial"/>
      <w:sz w:val="24"/>
      <w:szCs w:val="20"/>
    </w:rPr>
  </w:style>
  <w:style w:type="paragraph" w:styleId="1217" w:customStyle="1">
    <w:name w:val="xl119"/>
    <w:basedOn w:val="7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18" w:customStyle="1">
    <w:name w:val="1"/>
    <w:basedOn w:val="729"/>
    <w:next w:val="1041"/>
    <w:uiPriority w:val="34"/>
    <w:qFormat/>
    <w:pPr>
      <w:ind w:firstLine="420"/>
    </w:pPr>
  </w:style>
  <w:style w:type="paragraph" w:styleId="1219" w:customStyle="1">
    <w:name w:val="xl102"/>
    <w:basedOn w:val="729"/>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20" w:customStyle="1">
    <w:name w:val="font7"/>
    <w:basedOn w:val="729"/>
    <w:uiPriority w:val="0"/>
    <w:qFormat/>
    <w:pPr>
      <w:jc w:val="left"/>
      <w:spacing w:before="100" w:beforeAutospacing="1" w:after="100" w:afterAutospacing="1"/>
      <w:widowControl/>
    </w:pPr>
    <w:rPr>
      <w:rFonts w:ascii="宋体" w:hAnsi="宋体" w:cs="宋体"/>
      <w:sz w:val="18"/>
      <w:szCs w:val="18"/>
    </w:rPr>
  </w:style>
  <w:style w:type="paragraph" w:styleId="1221" w:customStyle="1">
    <w:name w:val="font12"/>
    <w:basedOn w:val="729"/>
    <w:uiPriority w:val="0"/>
    <w:qFormat/>
    <w:pPr>
      <w:jc w:val="left"/>
      <w:spacing w:before="100" w:beforeAutospacing="1" w:after="100" w:afterAutospacing="1"/>
      <w:widowControl/>
    </w:pPr>
    <w:rPr>
      <w:rFonts w:ascii="宋体" w:hAnsi="宋体" w:cs="宋体"/>
      <w:sz w:val="18"/>
      <w:szCs w:val="18"/>
    </w:rPr>
  </w:style>
  <w:style w:type="paragraph" w:styleId="1222" w:customStyle="1">
    <w:name w:val="p0"/>
    <w:basedOn w:val="729"/>
    <w:uiPriority w:val="99"/>
    <w:qFormat/>
    <w:pPr>
      <w:widowControl/>
    </w:pPr>
    <w:rPr>
      <w:rFonts w:cs="宋体"/>
      <w:szCs w:val="21"/>
    </w:rPr>
  </w:style>
  <w:style w:type="paragraph" w:styleId="122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24" w:customStyle="1">
    <w:name w:val="_Style 7"/>
    <w:basedOn w:val="729"/>
    <w:uiPriority w:val="99"/>
    <w:qFormat/>
    <w:pPr>
      <w:ind w:firstLine="420"/>
    </w:pPr>
    <w:rPr>
      <w:szCs w:val="20"/>
    </w:rPr>
  </w:style>
  <w:style w:type="paragraph" w:styleId="1225" w:customStyle="1">
    <w:name w:val="标书内容123"/>
    <w:basedOn w:val="729"/>
    <w:uiPriority w:val="99"/>
    <w:qFormat/>
    <w:pPr>
      <w:ind w:left="432"/>
      <w:jc w:val="left"/>
      <w:spacing w:line="360" w:lineRule="auto"/>
      <w:widowControl/>
    </w:pPr>
    <w:rPr>
      <w:sz w:val="24"/>
    </w:rPr>
  </w:style>
  <w:style w:type="paragraph" w:styleId="1226" w:customStyle="1">
    <w:name w:val="xl80"/>
    <w:basedOn w:val="729"/>
    <w:uiPriority w:val="0"/>
    <w:qFormat/>
    <w:pPr>
      <w:jc w:val="center"/>
      <w:spacing w:before="100" w:beforeAutospacing="1" w:after="100" w:afterAutospacing="1"/>
      <w:widowControl/>
    </w:pPr>
    <w:rPr>
      <w:rFonts w:ascii="宋体" w:hAnsi="宋体" w:cs="宋体"/>
      <w:color w:val="000000"/>
      <w:sz w:val="24"/>
    </w:rPr>
  </w:style>
  <w:style w:type="paragraph" w:styleId="1227">
    <w:name w:val="No Spacing"/>
    <w:uiPriority w:val="1"/>
    <w:qFormat/>
    <w:pPr>
      <w:jc w:val="both"/>
      <w:widowControl w:val="off"/>
    </w:pPr>
    <w:rPr>
      <w:rFonts w:hint="default" w:ascii="Times New Roman" w:hAnsi="Times New Roman" w:eastAsia="楷体_GB2312" w:cs="Times New Roman"/>
      <w:sz w:val="26"/>
      <w:lang w:val="en-US" w:eastAsia="zh-CN" w:bidi="ar-SA"/>
    </w:rPr>
  </w:style>
  <w:style w:type="paragraph" w:styleId="1228" w:customStyle="1">
    <w:name w:val="文档正文"/>
    <w:basedOn w:val="729"/>
    <w:uiPriority w:val="0"/>
    <w:qFormat/>
    <w:pPr>
      <w:ind w:firstLine="567"/>
      <w:spacing w:line="480" w:lineRule="atLeast"/>
    </w:pPr>
    <w:rPr>
      <w:rFonts w:ascii="仿宋_GB2312" w:eastAsia="仿宋_GB2312"/>
      <w:b/>
      <w:bCs/>
      <w:sz w:val="28"/>
      <w:szCs w:val="20"/>
    </w:rPr>
  </w:style>
  <w:style w:type="paragraph" w:styleId="1229" w:customStyle="1">
    <w:name w:val="xl99"/>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230" w:customStyle="1">
    <w:name w:val="xl7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31" w:customStyle="1">
    <w:name w:val="xl68"/>
    <w:basedOn w:val="7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32" w:customStyle="1">
    <w:name w:val="4"/>
    <w:basedOn w:val="729"/>
    <w:next w:val="772"/>
    <w:uiPriority w:val="0"/>
    <w:qFormat/>
    <w:pPr>
      <w:ind w:firstLine="420"/>
      <w:spacing w:line="360" w:lineRule="auto"/>
    </w:pPr>
    <w:rPr>
      <w:color w:val="ff0000"/>
      <w:sz w:val="24"/>
    </w:rPr>
  </w:style>
  <w:style w:type="paragraph" w:styleId="1233" w:customStyle="1">
    <w:name w:val="xl29"/>
    <w:basedOn w:val="729"/>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1234" w:customStyle="1">
    <w:name w:val="列表内容"/>
    <w:basedOn w:val="729"/>
    <w:next w:val="729"/>
    <w:uiPriority w:val="0"/>
    <w:qFormat/>
    <w:pPr>
      <w:ind w:left="840" w:hanging="420"/>
      <w:jc w:val="left"/>
      <w:widowControl/>
      <w:tabs>
        <w:tab w:val="left" w:pos="840" w:leader="none"/>
      </w:tabs>
    </w:pPr>
    <w:rPr>
      <w:sz w:val="18"/>
    </w:rPr>
  </w:style>
  <w:style w:type="paragraph" w:styleId="1235" w:customStyle="1">
    <w:name w:val="Char Char Char Char Char Char Char1"/>
    <w:basedOn w:val="729"/>
    <w:uiPriority w:val="0"/>
    <w:qFormat/>
    <w:pPr>
      <w:ind w:left="432" w:hanging="432"/>
      <w:tabs>
        <w:tab w:val="left" w:pos="432" w:leader="none"/>
      </w:tabs>
    </w:pPr>
    <w:rPr>
      <w:rFonts w:ascii="Tahoma" w:hAnsi="Tahoma"/>
      <w:sz w:val="24"/>
      <w:szCs w:val="20"/>
    </w:rPr>
  </w:style>
  <w:style w:type="paragraph" w:styleId="1236" w:customStyle="1">
    <w:name w:val="普通 (Web)"/>
    <w:basedOn w:val="729"/>
    <w:uiPriority w:val="0"/>
    <w:qFormat/>
    <w:pPr>
      <w:jc w:val="left"/>
      <w:spacing w:before="100" w:beforeAutospacing="1" w:after="100" w:afterAutospacing="1"/>
      <w:widowControl/>
    </w:pPr>
    <w:rPr>
      <w:rFonts w:ascii="宋体" w:hAnsi="宋体" w:cs="宋体"/>
      <w:sz w:val="24"/>
    </w:rPr>
  </w:style>
  <w:style w:type="paragraph" w:styleId="1237" w:customStyle="1">
    <w:name w:val="xl76"/>
    <w:basedOn w:val="7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38" w:customStyle="1">
    <w:name w:val="报告正文"/>
    <w:basedOn w:val="729"/>
    <w:uiPriority w:val="0"/>
    <w:qFormat/>
    <w:pPr>
      <w:ind w:firstLine="567"/>
    </w:pPr>
    <w:rPr>
      <w:rFonts w:ascii="Arial Narrow" w:hAnsi="Arial Narrow" w:eastAsia="仿宋_GB2312"/>
      <w:sz w:val="28"/>
      <w:szCs w:val="20"/>
    </w:rPr>
  </w:style>
  <w:style w:type="paragraph" w:styleId="1239" w:customStyle="1">
    <w:name w:val="标题8"/>
    <w:basedOn w:val="737"/>
    <w:uiPriority w:val="0"/>
    <w:qFormat/>
    <w:pPr>
      <w:numPr>
        <w:ilvl w:val="0"/>
        <w:numId w:val="0"/>
      </w:numPr>
      <w:keepLines w:val="0"/>
      <w:keepNext w:val="0"/>
      <w:spacing w:before="0" w:after="0" w:line="360" w:lineRule="auto"/>
    </w:pPr>
    <w:rPr>
      <w:rFonts w:eastAsia="仿宋_GB2312"/>
      <w:sz w:val="30"/>
    </w:rPr>
  </w:style>
  <w:style w:type="paragraph" w:styleId="1240" w:customStyle="1">
    <w:name w:val="xl81"/>
    <w:basedOn w:val="72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41"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42" w:customStyle="1">
    <w:name w:val="列表 21"/>
    <w:basedOn w:val="729"/>
    <w:uiPriority w:val="0"/>
    <w:qFormat/>
    <w:pPr>
      <w:contextualSpacing/>
      <w:ind w:left="100" w:hanging="200"/>
    </w:pPr>
  </w:style>
  <w:style w:type="paragraph" w:styleId="1243" w:customStyle="1">
    <w:name w:val="列出段落111"/>
    <w:basedOn w:val="729"/>
    <w:uiPriority w:val="72"/>
    <w:qFormat/>
    <w:pPr>
      <w:ind w:firstLine="420"/>
      <w:jc w:val="left"/>
      <w:widowControl/>
    </w:pPr>
    <w:rPr>
      <w:sz w:val="24"/>
      <w:szCs w:val="20"/>
    </w:rPr>
  </w:style>
  <w:style w:type="paragraph" w:styleId="1244" w:customStyle="1">
    <w:name w:val="xl108"/>
    <w:basedOn w:val="729"/>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5" w:customStyle="1">
    <w:name w:val="Char Char Char Char Char Char Char Char1"/>
    <w:basedOn w:val="729"/>
    <w:uiPriority w:val="0"/>
    <w:qFormat/>
    <w:pPr>
      <w:jc w:val="left"/>
      <w:spacing w:after="160" w:line="240" w:lineRule="exact"/>
      <w:widowControl/>
    </w:pPr>
    <w:rPr>
      <w:rFonts w:ascii="Verdana" w:hAnsi="Verdana" w:cs="宋体"/>
      <w:sz w:val="20"/>
      <w:szCs w:val="20"/>
      <w:lang w:eastAsia="en-US"/>
    </w:rPr>
  </w:style>
  <w:style w:type="paragraph" w:styleId="1246" w:customStyle="1">
    <w:name w:val="Char5 Char Char Char Char Char Char4"/>
    <w:basedOn w:val="729"/>
    <w:uiPriority w:val="0"/>
    <w:qFormat/>
    <w:rPr>
      <w:rFonts w:ascii="Tahoma" w:hAnsi="Tahoma"/>
      <w:sz w:val="24"/>
      <w:szCs w:val="20"/>
    </w:rPr>
  </w:style>
  <w:style w:type="paragraph" w:styleId="1247" w:customStyle="1">
    <w:name w:val="Normal_1"/>
    <w:next w:val="124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48" w:customStyle="1">
    <w:name w:val="首行缩进_0_1"/>
    <w:basedOn w:val="1247"/>
    <w:uiPriority w:val="0"/>
    <w:qFormat/>
    <w:pPr>
      <w:ind w:firstLine="480"/>
      <w:jc w:val="left"/>
      <w:spacing w:line="360" w:lineRule="auto"/>
    </w:pPr>
    <w:rPr>
      <w:rFonts w:ascii="宋体" w:hAnsi="宋体"/>
      <w:sz w:val="24"/>
    </w:rPr>
  </w:style>
  <w:style w:type="paragraph" w:styleId="1249" w:customStyle="1">
    <w:name w:val="首行缩进_0"/>
    <w:basedOn w:val="1250"/>
    <w:uiPriority w:val="0"/>
    <w:qFormat/>
    <w:pPr>
      <w:ind w:firstLine="480"/>
      <w:spacing w:line="360" w:lineRule="auto"/>
    </w:pPr>
    <w:rPr>
      <w:rFonts w:ascii="宋体" w:hAnsi="宋体"/>
    </w:rPr>
  </w:style>
  <w:style w:type="paragraph" w:styleId="1250" w:customStyle="1">
    <w:name w:val="Normal_12"/>
    <w:next w:val="1249"/>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0"/>
    <w:next w:val="125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52" w:customStyle="1">
    <w:name w:val="首行缩进_0_0"/>
    <w:basedOn w:val="1251"/>
    <w:uiPriority w:val="0"/>
    <w:qFormat/>
    <w:pPr>
      <w:ind w:firstLine="480"/>
      <w:jc w:val="left"/>
      <w:spacing w:line="360" w:lineRule="auto"/>
    </w:pPr>
    <w:rPr>
      <w:rFonts w:ascii="宋体" w:hAnsi="宋体"/>
      <w:sz w:val="24"/>
    </w:rPr>
  </w:style>
  <w:style w:type="paragraph" w:styleId="1253" w:customStyle="1">
    <w:name w:val="p0_0"/>
    <w:basedOn w:val="1247"/>
    <w:uiPriority w:val="0"/>
    <w:qFormat/>
    <w:pPr>
      <w:widowControl/>
    </w:pPr>
    <w:rPr>
      <w:szCs w:val="21"/>
    </w:rPr>
  </w:style>
  <w:style w:type="paragraph" w:styleId="1254" w:customStyle="1">
    <w:name w:val="Normal_2"/>
    <w:next w:val="1249"/>
    <w:uiPriority w:val="0"/>
    <w:qFormat/>
    <w:rPr>
      <w:rFonts w:hint="default" w:ascii="Times New Roman" w:hAnsi="Times New Roman" w:eastAsia="Times New Roman" w:cs="Times New Roman"/>
      <w:sz w:val="24"/>
      <w:szCs w:val="24"/>
      <w:lang w:val="en-US" w:eastAsia="zh-CN" w:bidi="ar-SA"/>
    </w:rPr>
  </w:style>
  <w:style w:type="paragraph" w:styleId="125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5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61"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6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63"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64"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75"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276"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77"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78"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29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0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13" w:customStyle="1">
    <w:name w:val="正文_1"/>
    <w:next w:val="1314"/>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正文文本_0"/>
    <w:basedOn w:val="1313"/>
    <w:uiPriority w:val="0"/>
    <w:qFormat/>
    <w:pPr>
      <w:spacing w:line="400" w:lineRule="exact"/>
    </w:pPr>
    <w:rPr>
      <w:sz w:val="24"/>
    </w:rPr>
  </w:style>
  <w:style w:type="paragraph" w:styleId="1315"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17" w:customStyle="1">
    <w:name w:val="正文_2"/>
    <w:next w:val="1318"/>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正文文本_0_0"/>
    <w:basedOn w:val="1317"/>
    <w:uiPriority w:val="0"/>
    <w:qFormat/>
    <w:pPr>
      <w:spacing w:line="400" w:lineRule="exact"/>
    </w:pPr>
    <w:rPr>
      <w:sz w:val="24"/>
    </w:rPr>
  </w:style>
  <w:style w:type="paragraph" w:styleId="131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31" w:customStyle="1">
    <w:name w:val="标题 21"/>
    <w:basedOn w:val="729"/>
    <w:next w:val="729"/>
    <w:uiPriority w:val="0"/>
    <w:qFormat/>
    <w:pPr>
      <w:jc w:val="center"/>
      <w:keepLines/>
      <w:keepNext/>
      <w:spacing w:before="260" w:after="260" w:line="415" w:lineRule="auto"/>
      <w:outlineLvl w:val="1"/>
    </w:pPr>
    <w:rPr>
      <w:rFonts w:ascii="Arial" w:hAnsi="Arial" w:eastAsia="幼圆"/>
      <w:b/>
      <w:bCs/>
      <w:sz w:val="44"/>
      <w:szCs w:val="44"/>
    </w:rPr>
  </w:style>
  <w:style w:type="character" w:styleId="1332" w:customStyle="1">
    <w:name w:val="标题 4 Char2"/>
    <w:uiPriority w:val="0"/>
    <w:qFormat/>
    <w:rPr>
      <w:rFonts w:ascii="Cambria" w:hAnsi="Cambria" w:eastAsia="宋体" w:cs="Times New Roman"/>
      <w:b/>
      <w:bCs/>
      <w:sz w:val="28"/>
      <w:szCs w:val="28"/>
    </w:rPr>
  </w:style>
  <w:style w:type="paragraph" w:styleId="1333" w:customStyle="1">
    <w:name w:val="正文文本11"/>
    <w:basedOn w:val="729"/>
    <w:uiPriority w:val="99"/>
    <w:qFormat/>
    <w:rPr>
      <w:rFonts w:ascii="楷体_GB2312" w:hAnsi="宋体" w:eastAsia="楷体_GB2312"/>
      <w:sz w:val="28"/>
      <w:szCs w:val="28"/>
    </w:rPr>
  </w:style>
  <w:style w:type="character" w:styleId="1334" w:customStyle="1">
    <w:name w:val="默认段落字体11"/>
    <w:uiPriority w:val="1"/>
    <w:unhideWhenUsed/>
    <w:qFormat/>
    <w:rPr>
      <w:rFonts w:ascii="Calibri" w:hAnsi="Calibri" w:eastAsia="宋体" w:cs="Times New Roman"/>
      <w:sz w:val="21"/>
      <w:szCs w:val="22"/>
      <w:lang w:val="en-US" w:eastAsia="zh-CN" w:bidi="ar-SA"/>
    </w:rPr>
  </w:style>
  <w:style w:type="paragraph" w:styleId="1335" w:customStyle="1">
    <w:name w:val="Table Paragraph"/>
    <w:basedOn w:val="729"/>
    <w:uiPriority w:val="1"/>
    <w:qFormat/>
    <w:rPr>
      <w:rFonts w:ascii="宋体" w:hAnsi="宋体" w:cs="宋体"/>
      <w:lang w:val="zh-CN" w:bidi="zh-CN"/>
    </w:rPr>
  </w:style>
  <w:style w:type="table" w:styleId="1336" w:customStyle="1">
    <w:name w:val="网格型1"/>
    <w:basedOn w:val="1337"/>
    <w:uiPriority w:val="39"/>
    <w:qFormat/>
    <w:rPr>
      <w:rFonts w:ascii="Calibri" w:hAnsi="Calibri"/>
    </w:rPr>
    <w:tblPr>
      <w:tblCellMar>
        <w:left w:w="0" w:type="dxa"/>
        <w:top w:w="0" w:type="dxa"/>
        <w:right w:w="0" w:type="dxa"/>
        <w:bottom w:w="0" w:type="dxa"/>
      </w:tblCellMar>
    </w:tblPr>
  </w:style>
  <w:style w:type="table" w:styleId="1337" w:customStyle="1">
    <w:name w:val="普通表格1"/>
    <w:uiPriority w:val="0"/>
    <w:semiHidden/>
    <w:qFormat/>
    <w:tblPr>
      <w:tblCellMar>
        <w:left w:w="0" w:type="dxa"/>
        <w:top w:w="0" w:type="dxa"/>
        <w:right w:w="0" w:type="dxa"/>
        <w:bottom w:w="0" w:type="dxa"/>
      </w:tblCellMar>
    </w:tblPr>
  </w:style>
  <w:style w:type="character" w:styleId="1338" w:customStyle="1">
    <w:name w:val="默认段落字体12"/>
    <w:uiPriority w:val="1"/>
    <w:unhideWhenUsed/>
    <w:qFormat/>
    <w:rPr>
      <w:rFonts w:ascii="Calibri" w:hAnsi="Calibri" w:eastAsia="宋体" w:cs="Times New Roman"/>
      <w:sz w:val="21"/>
      <w:szCs w:val="22"/>
      <w:lang w:val="en-US" w:eastAsia="zh-CN" w:bidi="ar-SA"/>
    </w:rPr>
  </w:style>
  <w:style w:type="table" w:styleId="1339" w:customStyle="1">
    <w:name w:val="Table Normal"/>
    <w:uiPriority w:val="0"/>
    <w:unhideWhenUsed/>
    <w:qFormat/>
    <w:tblPr>
      <w:tblCellMar>
        <w:left w:w="0" w:type="dxa"/>
        <w:top w:w="0" w:type="dxa"/>
        <w:right w:w="0" w:type="dxa"/>
        <w:bottom w:w="0" w:type="dxa"/>
      </w:tblCellMar>
    </w:tblPr>
  </w:style>
  <w:style w:type="character" w:styleId="1340" w:customStyle="1">
    <w:name w:val="font31"/>
    <w:basedOn w:val="739"/>
    <w:uiPriority w:val="0"/>
    <w:qFormat/>
    <w:rPr>
      <w:rFonts w:hint="eastAsia" w:ascii="宋体" w:hAnsi="宋体" w:eastAsia="宋体" w:cs="宋体"/>
      <w:i/>
      <w:iCs/>
      <w:color w:val="ff0000"/>
      <w:sz w:val="22"/>
      <w:szCs w:val="22"/>
      <w:u w:val="single"/>
    </w:rPr>
  </w:style>
  <w:style w:type="paragraph" w:styleId="1341" w:customStyle="1">
    <w:name w:val="Normal_0_5"/>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346" w:customStyle="1">
    <w:name w:val="Compact"/>
    <w:uiPriority w:val="0"/>
    <w:qFormat/>
    <w:pPr>
      <w:ind w:firstLine="1044"/>
      <w:jc w:val="both"/>
      <w:spacing w:before="36" w:after="36" w:line="300" w:lineRule="auto"/>
      <w:widowControl w:val="off"/>
    </w:pPr>
    <w:rPr>
      <w:rFonts w:hint="default" w:ascii="Times New Roman" w:hAnsi="Times New Roman" w:eastAsia="宋体" w:cs="Times New Roman"/>
      <w:sz w:val="24"/>
      <w:szCs w:val="24"/>
      <w:lang w:val="en-US" w:eastAsia="zh-CN" w:bidi="ar-SA"/>
    </w:rPr>
  </w:style>
  <w:style w:type="paragraph" w:styleId="1347" w:customStyle="1">
    <w:name w:val="First Paragraph"/>
    <w:uiPriority w:val="0"/>
    <w:qFormat/>
    <w:pPr>
      <w:ind w:firstLine="720"/>
      <w:jc w:val="both"/>
      <w:spacing w:before="180" w:after="180"/>
    </w:pPr>
    <w:rPr>
      <w:rFonts w:hint="eastAsia" w:ascii="微软雅黑" w:hAnsi="微软雅黑" w:eastAsia="微软雅黑" w:cs="Times New Roman"/>
      <w:sz w:val="24"/>
      <w:szCs w:val="24"/>
      <w:lang w:val="en-US" w:eastAsia="zh-CN" w:bidi="ar-SA"/>
    </w:rPr>
  </w:style>
  <w:style w:type="paragraph" w:styleId="1348" w:customStyle="1">
    <w:name w:val="_Style 13"/>
    <w:uiPriority w:val="0"/>
    <w:qFormat/>
    <w:pPr>
      <w:ind w:left="0"/>
      <w:jc w:val="left"/>
      <w:spacing w:before="120" w:after="120" w:line="288" w:lineRule="auto"/>
    </w:pPr>
    <w:rPr>
      <w:rFonts w:hint="default" w:ascii="Arial" w:hAnsi="Arial" w:eastAsia="等线" w:cs="Arial"/>
      <w:sz w:val="22"/>
      <w:szCs w:val="22"/>
    </w:rPr>
  </w:style>
  <w:style w:type="numbering" w:styleId="328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09A12-097B-4E57-9937-7D90DED806D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吴建森</cp:lastModifiedBy>
  <cp:revision>11</cp:revision>
  <dcterms:created xsi:type="dcterms:W3CDTF">2023-03-15T00:50:00Z</dcterms:created>
  <dcterms:modified xsi:type="dcterms:W3CDTF">2025-08-04T01:52:23Z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158E6FDC620F4062B7B9297E6D6A1511_13</vt:lpwstr>
  </property>
  <property fmtid="{D5CDD505-2E9C-101B-9397-08002B2CF9AE}" pid="4" name="KSOTemplateDocerSaveRecord">
    <vt:lpwstr>eyJoZGlkIjoiOTkzNzc3MzQ3MDYyZDEyZTUwODZkZDFkMjQzMzk3MzUiLCJ1c2VySWQiOiIyNjU4ODUwMjgifQ==</vt:lpwstr>
  </property>
</Properties>
</file>