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4"/>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72"/>
          <w:highlight w:val="none"/>
        </w:rPr>
      </w:pPr>
      <w:r>
        <w:rPr>
          <w:rFonts w:hint="eastAsia" w:ascii="宋体" w:hAnsi="宋体" w:eastAsia="宋体" w:cs="宋体"/>
          <w:b/>
          <w:color w:val="auto"/>
          <w:sz w:val="72"/>
          <w:highlight w:val="none"/>
          <w:lang w:val="en-US" w:eastAsia="zh-CN"/>
        </w:rPr>
        <w:t xml:space="preserve">苏州市</w:t>
      </w:r>
      <w:r>
        <w:rPr>
          <w:rFonts w:hint="eastAsia" w:ascii="宋体" w:hAnsi="宋体" w:eastAsia="宋体" w:cs="宋体"/>
          <w:b/>
          <w:color w:val="auto"/>
          <w:sz w:val="72"/>
          <w:highlight w:val="none"/>
        </w:rPr>
        <w:t xml:space="preserve">政府采购</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72"/>
          <w:highlight w:val="none"/>
        </w:rPr>
        <w:t xml:space="preserve">招标文件</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50"/>
        <w:tblW w:w="8720" w:type="dxa"/>
        <w:tblInd w:w="12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0"/>
        <w:gridCol w:w="6540"/>
      </w:tblGrid>
      <w:tr>
        <w:trPr>
          <w:trHeight w:val="680"/>
        </w:trPr>
        <w:tc>
          <w:tcPr>
            <w:tcW w:w="2180" w:type="dxa"/>
            <w:vAlign w:val="center"/>
            <w:textDirection w:val="lrTb"/>
            <w:noWrap w:val="false"/>
          </w:tcPr>
          <w:p>
            <w:pPr>
              <w:pStyle w:val="906"/>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招标编号：</w:t>
            </w:r>
            <w:r/>
          </w:p>
        </w:tc>
        <w:tc>
          <w:tcPr>
            <w:tcW w:w="6540" w:type="dxa"/>
            <w:vAlign w:val="center"/>
            <w:textDirection w:val="lrTb"/>
            <w:noWrap w:val="false"/>
          </w:tcPr>
          <w:p>
            <w:pPr>
              <w:pStyle w:val="906"/>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JSZC-320583-LHZX-G2024-0029</w:t>
            </w:r>
            <w:r/>
          </w:p>
        </w:tc>
      </w:tr>
      <w:tr>
        <w:trPr>
          <w:trHeight w:val="680"/>
        </w:trPr>
        <w:tc>
          <w:tcPr>
            <w:tcW w:w="2180" w:type="dxa"/>
            <w:vAlign w:val="center"/>
            <w:textDirection w:val="lrTb"/>
            <w:noWrap w:val="false"/>
          </w:tcPr>
          <w:p>
            <w:pPr>
              <w:pStyle w:val="906"/>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p>
        </w:tc>
        <w:tc>
          <w:tcPr>
            <w:tcW w:w="6540" w:type="dxa"/>
            <w:vAlign w:val="center"/>
            <w:textDirection w:val="lrTb"/>
            <w:noWrap w:val="false"/>
          </w:tcPr>
          <w:p>
            <w:pPr>
              <w:pStyle w:val="906"/>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昆山市精神卫生中心</w:t>
            </w:r>
            <w:r/>
          </w:p>
        </w:tc>
      </w:tr>
      <w:tr>
        <w:trPr>
          <w:trHeight w:val="680"/>
        </w:trPr>
        <w:tc>
          <w:tcPr>
            <w:tcW w:w="2180" w:type="dxa"/>
            <w:vAlign w:val="center"/>
            <w:textDirection w:val="lrTb"/>
            <w:noWrap w:val="false"/>
          </w:tcPr>
          <w:p>
            <w:pPr>
              <w:pStyle w:val="906"/>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项目名称：</w:t>
            </w:r>
            <w:r/>
          </w:p>
        </w:tc>
        <w:tc>
          <w:tcPr>
            <w:tcW w:w="6540" w:type="dxa"/>
            <w:vAlign w:val="center"/>
            <w:textDirection w:val="lrTb"/>
            <w:noWrap w:val="false"/>
          </w:tcPr>
          <w:p>
            <w:pPr>
              <w:pStyle w:val="906"/>
              <w:ind w:firstLine="0"/>
              <w:widowControl w:val="off"/>
              <w:rPr>
                <w:rFonts w:hint="eastAsia" w:ascii="宋体" w:hAnsi="宋体" w:eastAsia="宋体" w:cs="宋体"/>
                <w:b/>
                <w:bCs/>
                <w:color w:val="auto"/>
                <w:sz w:val="32"/>
                <w:highlight w:val="none"/>
                <w:lang w:eastAsia="zh-CN"/>
              </w:rPr>
            </w:pPr>
            <w:r>
              <w:rPr>
                <w:rFonts w:hint="eastAsia" w:hAnsi="宋体" w:cs="宋体"/>
                <w:b/>
                <w:bCs/>
                <w:color w:val="auto"/>
                <w:sz w:val="32"/>
                <w:highlight w:val="none"/>
                <w:lang w:eastAsia="zh-CN"/>
              </w:rPr>
              <w:t xml:space="preserve">医疗设备等一批</w:t>
            </w:r>
            <w:r/>
          </w:p>
        </w:tc>
      </w:tr>
      <w:tr>
        <w:trPr>
          <w:trHeight w:val="680"/>
        </w:trPr>
        <w:tc>
          <w:tcPr>
            <w:tcW w:w="2180" w:type="dxa"/>
            <w:vAlign w:val="center"/>
            <w:textDirection w:val="lrTb"/>
            <w:noWrap w:val="false"/>
          </w:tcPr>
          <w:p>
            <w:pPr>
              <w:pStyle w:val="906"/>
              <w:ind w:firstLine="0"/>
              <w:jc w:val="right"/>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类    别：</w:t>
            </w:r>
            <w:r/>
          </w:p>
        </w:tc>
        <w:tc>
          <w:tcPr>
            <w:tcW w:w="6540" w:type="dxa"/>
            <w:vAlign w:val="center"/>
            <w:textDirection w:val="lrTb"/>
            <w:noWrap w:val="false"/>
          </w:tcPr>
          <w:p>
            <w:pPr>
              <w:pStyle w:val="906"/>
              <w:ind w:firstLine="0"/>
              <w:widowControl w:val="off"/>
              <w:rPr>
                <w:rFonts w:hint="eastAsia" w:ascii="宋体" w:hAnsi="宋体" w:eastAsia="宋体" w:cs="宋体"/>
                <w:b/>
                <w:bCs/>
                <w:color w:val="auto"/>
                <w:sz w:val="32"/>
                <w:highlight w:val="none"/>
              </w:rPr>
            </w:pPr>
            <w:r>
              <w:rPr>
                <w:rFonts w:hint="eastAsia" w:hAnsi="宋体" w:cs="宋体"/>
                <w:b/>
                <w:bCs/>
                <w:color w:val="auto"/>
                <w:sz w:val="32"/>
                <w:highlight w:val="none"/>
                <w:lang w:val="en-US" w:eastAsia="zh-CN"/>
              </w:rPr>
              <w:t xml:space="preserve">货物</w:t>
            </w:r>
            <w:r>
              <w:rPr>
                <w:rFonts w:hint="eastAsia" w:ascii="宋体" w:hAnsi="宋体" w:eastAsia="宋体" w:cs="宋体"/>
                <w:b/>
                <w:bCs/>
                <w:color w:val="auto"/>
                <w:sz w:val="32"/>
                <w:highlight w:val="none"/>
              </w:rPr>
              <w:t xml:space="preserve">类</w:t>
            </w:r>
            <w:r/>
          </w:p>
        </w:tc>
      </w:tr>
    </w:tbl>
    <w:p>
      <w:pPr>
        <w:pStyle w:val="906"/>
        <w:ind w:left="1050" w:firstLine="643"/>
        <w:spacing w:line="48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widowControl/>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3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3047365" cy="1675765"/>
                <wp:effectExtent l="0" t="0" r="635" b="635"/>
                <wp:docPr id="3" name="图片 4"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F:\单位照片—乐慧\QQ图片20180411122618.jpg"/>
                        <pic:cNvPicPr>
                          <a:picLocks noChangeAspect="1"/>
                        </pic:cNvPicPr>
                        <pic:nvPr/>
                      </pic:nvPicPr>
                      <pic:blipFill>
                        <a:blip r:embed="rId12"/>
                        <a:stretch/>
                      </pic:blipFill>
                      <pic:spPr bwMode="auto">
                        <a:xfrm rot="10800000" flipH="1" flipV="1">
                          <a:off x="0" y="0"/>
                          <a:ext cx="3047365" cy="1675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39.9pt;height:131.9pt;mso-wrap-distance-left:0.0pt;mso-wrap-distance-top:0.0pt;mso-wrap-distance-right:0.0pt;mso-wrap-distance-bottom:0.0pt;rotation:180;flip:xy;" stroked="f">
                <v:path textboxrect="0,0,0,0"/>
                <v:imagedata r:id="rId12" o:title=""/>
              </v:shape>
            </w:pict>
          </mc:Fallback>
        </mc:AlternateConten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57"/>
        <w:jc w:val="center"/>
        <w:spacing w:line="36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苏州乐慧招投标咨询有限公司</w:t>
      </w:r>
      <w:r/>
    </w:p>
    <w:p>
      <w:pPr>
        <w:jc w:val="center"/>
        <w:widowControl/>
        <w:tabs>
          <w:tab w:val="left" w:pos="315" w:leader="none"/>
          <w:tab w:val="center" w:pos="4153" w:leader="none"/>
        </w:tabs>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eastAsia="宋体" w:cs="宋体"/>
          <w:b/>
          <w:color w:val="auto"/>
          <w:sz w:val="32"/>
          <w:highlight w:val="none"/>
          <w:lang w:val="en-US" w:eastAsia="zh-CN"/>
        </w:rPr>
        <w:t xml:space="preserve">四</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p>
    <w:p>
      <w:pPr>
        <w:jc w:val="center"/>
        <w:widowControl/>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br w:type="page" w:clear="all"/>
      </w:r>
      <w:r>
        <w:rPr>
          <w:rFonts w:hint="eastAsia" w:ascii="宋体" w:hAnsi="宋体" w:eastAsia="宋体" w:cs="宋体"/>
          <w:b/>
          <w:bCs/>
          <w:color w:val="auto"/>
          <w:spacing w:val="20"/>
          <w:sz w:val="32"/>
          <w:szCs w:val="32"/>
          <w:highlight w:val="none"/>
        </w:rPr>
        <w:t xml:space="preserve">前附表</w:t>
      </w:r>
      <w:r/>
    </w:p>
    <w:tbl>
      <w:tblPr>
        <w:tblStyle w:val="725"/>
        <w:tblW w:w="964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5"/>
        <w:gridCol w:w="1285"/>
        <w:gridCol w:w="7761"/>
      </w:tblGrid>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top"/>
            <w:textDirection w:val="lrTb"/>
            <w:noWrap w:val="false"/>
          </w:tcPr>
          <w:p>
            <w:pPr>
              <w:jc w:val="center"/>
              <w:spacing w:line="240" w:lineRule="auto"/>
              <w:widowControl/>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名称</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center"/>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内容</w:t>
            </w:r>
            <w:r/>
          </w:p>
        </w:tc>
      </w:tr>
      <w:tr>
        <w:trPr>
          <w:jc w:val="center"/>
          <w:trHeight w:val="271"/>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招标编号</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JSZC-320583-LHZX-G2024-0029</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招标内容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医疗设备等一批</w:t>
            </w:r>
            <w:r/>
          </w:p>
        </w:tc>
      </w:tr>
      <w:tr>
        <w:trPr>
          <w:jc w:val="center"/>
          <w:trHeight w:val="323"/>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投标截止之日起</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0天（日历日）</w:t>
            </w:r>
            <w:r/>
          </w:p>
        </w:tc>
      </w:tr>
      <w:tr>
        <w:trPr>
          <w:jc w:val="center"/>
          <w:trHeight w:val="9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投标保证金</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bottom"/>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本项目不收投标（响应）保证金</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本项目采用电子投标文件，投标人按照招标文件要求制作上传电子投标文件，投标人无需提供纸质投标文件。</w:t>
            </w:r>
            <w:r/>
          </w:p>
        </w:tc>
      </w:tr>
      <w:tr>
        <w:trPr>
          <w:jc w:val="center"/>
          <w:trHeight w:val="66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w:t>
            </w:r>
            <w:r/>
          </w:p>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提交</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截止时间：2024年10月10日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投标文件必须在截止时间前完成提交（上传），逾期提交（上传）的投标文件恕不接受。</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开标时间</w:t>
            </w:r>
            <w:r/>
          </w:p>
          <w:p>
            <w:pPr>
              <w:jc w:val="center"/>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时间：2024年10月10日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点30分（北京时间）</w:t>
            </w:r>
            <w:r/>
          </w:p>
          <w:p>
            <w:pPr>
              <w:ind w:left="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zh-CN"/>
              </w:rPr>
              <w:t xml:space="preserve">地点：</w:t>
            </w:r>
            <w:r>
              <w:rPr>
                <w:rFonts w:hint="eastAsia" w:ascii="宋体" w:hAnsi="宋体" w:eastAsia="宋体" w:cs="宋体"/>
                <w:color w:val="auto"/>
                <w:sz w:val="24"/>
                <w:szCs w:val="24"/>
                <w:highlight w:val="none"/>
              </w:rPr>
              <w:t xml:space="preserve">“苏采云”系统（网址：http://jszfcg.jsczt.cn/）</w:t>
            </w:r>
            <w:r/>
          </w:p>
          <w:p>
            <w:pPr>
              <w:jc w:val="left"/>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b/>
                <w:color w:val="auto"/>
                <w:sz w:val="24"/>
                <w:szCs w:val="24"/>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中标通知书</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pStyle w:val="905"/>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确定出中标人后，采购代理机构在法定时间内向中标人发出中标通知书。中标通知书将成为合同的组成部分。</w:t>
            </w:r>
            <w:r/>
          </w:p>
          <w:p>
            <w:pPr>
              <w:pStyle w:val="905"/>
              <w:ind w:left="0"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p>
        </w:tc>
      </w:tr>
      <w:tr>
        <w:trPr>
          <w:jc w:val="center"/>
          <w:trHeight w:val="316"/>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导致废标因素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出现下列情形之一的，为废标： </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符合专业条件的投标人或者对招标文件作实质响应的投标人不足三家的；</w:t>
            </w:r>
            <w:r/>
          </w:p>
          <w:p>
            <w:pPr>
              <w:numPr>
                <w:ilvl w:val="0"/>
                <w:numId w:val="0"/>
              </w:num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 </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 </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tc>
      </w:tr>
      <w:tr>
        <w:trPr>
          <w:jc w:val="center"/>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ind w:left="0"/>
              <w:jc w:val="center"/>
              <w:spacing w:line="24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导致无效标因素</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投标文件属下列情况之一的，在资格性、符合性检查时按照无效投标处理：</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（一）未按照招标文件规定要求签署、盖章的；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（二）不具备招标文件中规定资格要求的；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（三）报价超过招标文件中规定的预算金额或者最高限价的；</w:t>
            </w:r>
            <w:r/>
          </w:p>
          <w:p>
            <w:pPr>
              <w:ind w:left="0"/>
              <w:jc w:val="left"/>
              <w:spacing w:line="240" w:lineRule="auto"/>
              <w:widowControl/>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（四）投标文件含有采购人不能接受的附加条件的；</w:t>
            </w:r>
            <w:r/>
          </w:p>
          <w:p>
            <w:pPr>
              <w:ind w:left="0"/>
              <w:jc w:val="left"/>
              <w:spacing w:line="240" w:lineRule="auto"/>
              <w:widowControl/>
              <w:tabs>
                <w:tab w:val="left" w:pos="42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（五）法律、法规和招标文件规定的其他无效情形。</w:t>
            </w:r>
            <w:r/>
          </w:p>
        </w:tc>
      </w:tr>
      <w:tr>
        <w:trPr>
          <w:jc w:val="center"/>
          <w:trHeight w:val="370"/>
        </w:trPr>
        <w:tc>
          <w:tcPr>
            <w:tcBorders>
              <w:top w:val="single" w:color="auto" w:sz="6" w:space="0"/>
              <w:bottom w:val="single" w:color="auto" w:sz="6" w:space="0"/>
              <w:right w:val="single" w:color="auto" w:sz="6" w:space="0"/>
            </w:tcBorders>
            <w:tcMar>
              <w:left w:w="11" w:type="dxa"/>
              <w:top w:w="11" w:type="dxa"/>
              <w:right w:w="11" w:type="dxa"/>
              <w:bottom w:w="11" w:type="dxa"/>
            </w:tcMar>
            <w:tcW w:w="59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Mar>
              <w:left w:w="11" w:type="dxa"/>
              <w:top w:w="11" w:type="dxa"/>
              <w:right w:w="11" w:type="dxa"/>
              <w:bottom w:w="11" w:type="dxa"/>
            </w:tcMar>
            <w:tcW w:w="1285" w:type="dxa"/>
            <w:vAlign w:val="center"/>
            <w:textDirection w:val="lrTb"/>
            <w:noWrap w:val="false"/>
          </w:tcPr>
          <w:p>
            <w:pPr>
              <w:jc w:val="center"/>
              <w:spacing w:line="24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代理服务费</w:t>
            </w:r>
            <w:r/>
          </w:p>
        </w:tc>
        <w:tc>
          <w:tcPr>
            <w:tcBorders>
              <w:top w:val="single" w:color="auto" w:sz="6" w:space="0"/>
              <w:left w:val="single" w:color="auto" w:sz="6" w:space="0"/>
              <w:bottom w:val="single" w:color="auto" w:sz="6" w:space="0"/>
            </w:tcBorders>
            <w:tcMar>
              <w:left w:w="11" w:type="dxa"/>
              <w:top w:w="11" w:type="dxa"/>
              <w:right w:w="11" w:type="dxa"/>
              <w:bottom w:w="11" w:type="dxa"/>
            </w:tcMar>
            <w:tcW w:w="7761" w:type="dxa"/>
            <w:vAlign w:val="center"/>
            <w:textDirection w:val="lrTb"/>
            <w:noWrap w:val="false"/>
          </w:tcPr>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服务费：本项目招标代理服务费由中标单位按以下收费标准向招标代理机构支付。</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预算金额100万元以下部分，费率为该部分预算金额的1.5%；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预算金额100万元（含）－500万元部分，费率为该部分预算金额的1.1%；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预算金额500万元（含）-1000万元部分，费率为该部分预算金额的0.8%；</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预算金额1000万元（含）-5000万元部分，费率为该部分预算金额的0.5%；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预算金额5000万元以上部分，费率为该部分预算金额的0.25%。</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服务费账号：155189060</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账户名：苏州乐慧招投标咨询有限公司</w:t>
            </w:r>
            <w:r/>
          </w:p>
          <w:p>
            <w:pPr>
              <w:jc w:val="left"/>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开户行：民生银行苏州相城支行</w:t>
            </w:r>
            <w:r/>
          </w:p>
        </w:tc>
      </w:tr>
    </w:tbl>
    <w:p>
      <w:pPr>
        <w:pStyle w:val="727"/>
        <w:ind w:firstLine="0"/>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727"/>
        <w:ind w:firstLine="0"/>
        <w:jc w:val="center"/>
        <w:rPr>
          <w:rFonts w:hint="eastAsia" w:ascii="宋体" w:hAnsi="宋体" w:eastAsia="宋体" w:cs="宋体"/>
          <w:b/>
          <w:color w:val="auto"/>
          <w:sz w:val="84"/>
          <w:szCs w:val="84"/>
          <w:highlight w:val="none"/>
        </w:rPr>
      </w:pPr>
      <w:r>
        <w:rPr>
          <w:rFonts w:hint="eastAsia" w:ascii="宋体" w:hAnsi="宋体" w:eastAsia="宋体" w:cs="宋体"/>
          <w:b/>
          <w:color w:val="auto"/>
          <w:sz w:val="52"/>
          <w:szCs w:val="52"/>
          <w:highlight w:val="none"/>
        </w:rPr>
        <w:t xml:space="preserve">目</w:t>
      </w:r>
      <w:r>
        <w:rPr>
          <w:rFonts w:hint="eastAsia" w:ascii="宋体" w:hAnsi="宋体" w:eastAsia="宋体" w:cs="宋体"/>
          <w:b/>
          <w:color w:val="auto"/>
          <w:sz w:val="52"/>
          <w:szCs w:val="52"/>
          <w:highlight w:val="none"/>
          <w:lang w:val="en-US" w:eastAsia="zh-CN"/>
        </w:rPr>
        <w:t xml:space="preserve">     </w:t>
      </w:r>
      <w:r>
        <w:rPr>
          <w:rFonts w:hint="eastAsia" w:ascii="宋体" w:hAnsi="宋体" w:eastAsia="宋体" w:cs="宋体"/>
          <w:b/>
          <w:color w:val="auto"/>
          <w:sz w:val="52"/>
          <w:szCs w:val="52"/>
          <w:highlight w:val="none"/>
        </w:rPr>
        <w:t xml:space="preserve"> 录</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 TOC \o "1-1"</w:instrText>
      </w:r>
      <w:r>
        <w:rPr>
          <w:rFonts w:hint="eastAsia" w:ascii="宋体" w:hAnsi="宋体" w:eastAsia="宋体" w:cs="宋体"/>
          <w:b/>
          <w:bCs/>
          <w:color w:val="auto"/>
          <w:sz w:val="30"/>
          <w:szCs w:val="30"/>
          <w:highlight w:val="none"/>
        </w:rPr>
        <w:fldChar w:fldCharType="separate"/>
      </w:r>
      <w:r>
        <w:rPr>
          <w:rFonts w:hint="eastAsia" w:ascii="宋体" w:hAnsi="宋体" w:eastAsia="宋体" w:cs="宋体"/>
          <w:b/>
          <w:color w:val="auto"/>
          <w:sz w:val="30"/>
          <w:szCs w:val="30"/>
          <w:highlight w:val="none"/>
        </w:rPr>
        <w:t xml:space="preserve">第一章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招标公告</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投标人须知</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投标文件格式</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第四章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招标书</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第五章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合同主要条款</w:t>
      </w:r>
      <w:r/>
    </w:p>
    <w:p>
      <w:pPr>
        <w:pStyle w:val="739"/>
        <w:jc w:val="left"/>
        <w:spacing w:line="480" w:lineRule="auto"/>
        <w:tabs>
          <w:tab w:val="right" w:pos="9022" w:leader="dot"/>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第六章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评分标准</w:t>
      </w:r>
      <w:r/>
    </w:p>
    <w:p>
      <w:pPr>
        <w:pStyle w:val="727"/>
        <w:ind w:firstLine="0"/>
        <w:jc w:val="center"/>
        <w:spacing w:line="480" w:lineRule="auto"/>
        <w:rPr>
          <w:rFonts w:hint="eastAsia" w:ascii="宋体" w:hAnsi="宋体" w:eastAsia="宋体" w:cs="宋体"/>
          <w:b/>
          <w:color w:val="auto"/>
          <w:sz w:val="32"/>
          <w:highlight w:val="none"/>
        </w:rPr>
      </w:pPr>
      <w:r>
        <w:rPr>
          <w:rFonts w:hint="eastAsia" w:ascii="宋体" w:hAnsi="宋体" w:eastAsia="宋体" w:cs="宋体"/>
          <w:b/>
          <w:bCs/>
          <w:color w:val="auto"/>
          <w:sz w:val="30"/>
          <w:szCs w:val="30"/>
          <w:highlight w:val="none"/>
        </w:rPr>
        <w:fldChar w:fldCharType="end"/>
      </w:r>
      <w:r>
        <w:rPr>
          <w:rFonts w:hint="eastAsia" w:ascii="宋体" w:hAnsi="宋体" w:eastAsia="宋体" w:cs="宋体"/>
          <w:b/>
          <w:color w:val="auto"/>
          <w:sz w:val="32"/>
          <w:highlight w:val="none"/>
        </w:rPr>
        <w:br w:type="page" w:clear="all"/>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highlight w:val="none"/>
        </w:rPr>
      </w:pPr>
      <w:r/>
      <w:bookmarkStart w:id="0" w:name="_Toc520073481"/>
      <w:r>
        <w:rPr>
          <w:rFonts w:hint="eastAsia" w:ascii="宋体" w:hAnsi="宋体" w:eastAsia="宋体" w:cs="宋体"/>
          <w:color w:val="auto"/>
          <w:sz w:val="52"/>
          <w:highlight w:val="none"/>
        </w:rPr>
        <w:t xml:space="preserve">第一章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招标公告</w:t>
      </w:r>
      <w:bookmarkEnd w:id="0"/>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br w:type="page" w:clear="all"/>
      </w:r>
      <w:r/>
    </w:p>
    <w:tbl>
      <w:tblPr>
        <w:tblStyle w:val="7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3"/>
      </w:tblGrid>
      <w:tr>
        <w:trPr>
          <w:jc w:val="center"/>
        </w:trPr>
        <w:tc>
          <w:tcPr>
            <w:tcW w:w="5000" w:type="pct"/>
            <w:vAlign w:val="top"/>
            <w:textDirection w:val="lrTb"/>
            <w:noWrap w:val="false"/>
          </w:tcPr>
          <w:p>
            <w:pPr>
              <w:ind w:firstLine="480"/>
              <w:jc w:val="both"/>
              <w:spacing w:line="360" w:lineRule="auto"/>
              <w:widowControl w:val="off"/>
              <w:rPr>
                <w:rFonts w:hint="eastAsia" w:ascii="宋体" w:hAnsi="宋体" w:eastAsia="宋体" w:cs="宋体"/>
                <w:color w:val="auto"/>
                <w:sz w:val="24"/>
                <w:highlight w:val="none"/>
              </w:rPr>
            </w:pPr>
            <w:r/>
            <w:bookmarkStart w:id="1" w:name="OLE_LINK1"/>
            <w:r>
              <w:rPr>
                <w:rFonts w:hint="eastAsia" w:ascii="宋体" w:hAnsi="宋体" w:eastAsia="宋体" w:cs="宋体"/>
                <w:color w:val="auto"/>
                <w:sz w:val="24"/>
                <w:highlight w:val="none"/>
              </w:rPr>
              <w:t xml:space="preserve">项目概况</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昆山市精神卫生中心</w:t>
            </w:r>
            <w:r>
              <w:rPr>
                <w:rFonts w:hint="eastAsia" w:ascii="宋体" w:hAnsi="宋体" w:eastAsia="宋体" w:cs="宋体"/>
                <w:color w:val="auto"/>
                <w:sz w:val="24"/>
                <w:highlight w:val="none"/>
              </w:rPr>
              <w:t xml:space="preserve">关于</w:t>
            </w:r>
            <w:r>
              <w:rPr>
                <w:rFonts w:hint="eastAsia" w:ascii="宋体" w:hAnsi="宋体" w:eastAsia="宋体" w:cs="宋体"/>
                <w:color w:val="auto"/>
                <w:sz w:val="24"/>
                <w:highlight w:val="none"/>
                <w:lang w:eastAsia="zh-CN"/>
              </w:rPr>
              <w:t xml:space="preserve">医疗设备等一批</w:t>
            </w:r>
            <w:r>
              <w:rPr>
                <w:rFonts w:hint="eastAsia" w:ascii="宋体" w:hAnsi="宋体" w:eastAsia="宋体" w:cs="宋体"/>
                <w:color w:val="auto"/>
                <w:sz w:val="24"/>
                <w:highlight w:val="none"/>
              </w:rPr>
              <w:t xml:space="preserve">招标项目的潜在投标人应在</w:t>
            </w:r>
            <w:r>
              <w:rPr>
                <w:rFonts w:hint="eastAsia" w:ascii="宋体" w:hAnsi="宋体" w:eastAsia="宋体" w:cs="宋体"/>
                <w:color w:val="auto"/>
                <w:sz w:val="24"/>
                <w:highlight w:val="none"/>
                <w:lang w:eastAsia="zh-CN"/>
              </w:rPr>
              <w:t xml:space="preserve">“苏采云”系统</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lang w:val="zh-CN"/>
              </w:rPr>
              <w:t xml:space="preserve">2024年10月10日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（北京时间）前递交投标文件。</w:t>
            </w:r>
            <w:r/>
          </w:p>
        </w:tc>
      </w:tr>
    </w:tbl>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JSZC-320583-LHZX-G2024-0029；</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医疗设备等一批；</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eastAsia="zh-CN"/>
        </w:rPr>
        <w:t xml:space="preserve">人民币伍佰玖拾伍万玖仟元整（¥5959000.00）；</w:t>
      </w:r>
      <w:r/>
    </w:p>
    <w:p>
      <w:pPr>
        <w:ind w:firstLine="480"/>
        <w:jc w:val="left"/>
        <w:spacing w:line="360" w:lineRule="auto"/>
        <w:widowControl w:val="off"/>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4.最高限价：</w:t>
      </w:r>
      <w:r>
        <w:rPr>
          <w:rFonts w:hint="eastAsia" w:ascii="宋体" w:hAnsi="宋体" w:eastAsia="宋体" w:cs="宋体"/>
          <w:color w:val="auto"/>
          <w:sz w:val="24"/>
          <w:highlight w:val="none"/>
          <w:lang w:eastAsia="zh-CN"/>
        </w:rPr>
        <w:t xml:space="preserve">人民币伍佰玖拾伍万玖仟元整（¥5959000.00）；</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5.采购需求：</w:t>
      </w:r>
      <w:r/>
    </w:p>
    <w:tbl>
      <w:tblPr>
        <w:tblStyle w:val="7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983"/>
        <w:gridCol w:w="1252"/>
        <w:gridCol w:w="1389"/>
        <w:gridCol w:w="1829"/>
        <w:gridCol w:w="1819"/>
      </w:tblGrid>
      <w:tr>
        <w:trPr>
          <w:jc w:val="center"/>
        </w:trPr>
        <w:tc>
          <w:tcPr>
            <w:tcW w:w="45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61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8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9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rPr>
              <w:t xml:space="preserve">（元）</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总价限价（元）</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远程超声诊断系统</w:t>
            </w:r>
            <w:r/>
          </w:p>
        </w:tc>
        <w:tc>
          <w:tcPr>
            <w:tcW w:w="614"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2800000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2800000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PSG监测</w:t>
            </w:r>
            <w:r/>
          </w:p>
        </w:tc>
        <w:tc>
          <w:tcPr>
            <w:tcW w:w="61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490000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490000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数字脑电图机</w:t>
            </w:r>
            <w:r/>
          </w:p>
        </w:tc>
        <w:tc>
          <w:tcPr>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精神压力分析仪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脑反射治疗仪（脑波）</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160000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160000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团体生物反馈</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680000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680000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认知功能障碍治疗软件（</w:t>
            </w:r>
            <w:r>
              <w:rPr>
                <w:rFonts w:hint="eastAsia" w:ascii="宋体" w:hAnsi="宋体" w:eastAsia="宋体" w:cs="宋体"/>
                <w:color w:val="auto"/>
                <w:sz w:val="24"/>
                <w:szCs w:val="24"/>
                <w:highlight w:val="none"/>
              </w:rPr>
              <w:t xml:space="preserve">CCRT</w:t>
            </w:r>
            <w:r>
              <w:rPr>
                <w:rFonts w:hint="eastAsia" w:ascii="宋体" w:hAnsi="宋体" w:eastAsia="宋体" w:cs="宋体"/>
                <w:color w:val="auto"/>
                <w:sz w:val="24"/>
                <w:szCs w:val="24"/>
                <w:highlight w:val="none"/>
                <w:lang w:val="en-US" w:eastAsia="zh-CN"/>
              </w:rPr>
              <w:t xml:space="preserve">）</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经颅磁刺激治疗仪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心理CT</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睡眠呼吸初筛仪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29000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29000</w:t>
            </w:r>
            <w:r/>
          </w:p>
        </w:tc>
      </w:tr>
    </w:tbl>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注：各项的</w:t>
      </w:r>
      <w:r>
        <w:rPr>
          <w:rFonts w:hint="eastAsia" w:ascii="宋体" w:hAnsi="宋体" w:eastAsia="宋体" w:cs="宋体"/>
          <w:color w:val="auto"/>
          <w:sz w:val="24"/>
          <w:highlight w:val="none"/>
          <w:lang w:val="en-US" w:eastAsia="zh-CN"/>
        </w:rPr>
        <w:t xml:space="preserve">价格</w:t>
      </w:r>
      <w:r>
        <w:rPr>
          <w:rFonts w:hint="eastAsia" w:ascii="宋体" w:hAnsi="宋体" w:eastAsia="宋体" w:cs="宋体"/>
          <w:color w:val="auto"/>
          <w:sz w:val="24"/>
          <w:highlight w:val="none"/>
        </w:rPr>
        <w:t xml:space="preserve">不可超过对应最高限价，否则视为无效投标。</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lang w:eastAsia="zh-CN"/>
        </w:rPr>
        <w:t xml:space="preserve">合同签订之日起30个工作日内交货、安装及调试完成。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eastAsia="zh-CN"/>
        </w:rPr>
        <w:t xml:space="preserve">不接受联合体投标</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二、申请人的资格要求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1.1具有独立承担民事责任的能力；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1.2具有良好的商业信誉和健全的财务会计制度；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1.3具有履行合同所必需的设备和专业技术能力；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1.4有依法缴纳税收和社会保障资金的良好记录；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1.5参加政府采购活动前三年内，在经营活动中没有重大违法记录；</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落实政府采购政策需满足的资格要求：</w:t>
      </w:r>
      <w:r>
        <w:rPr>
          <w:rFonts w:hint="eastAsia" w:ascii="宋体" w:hAnsi="宋体" w:eastAsia="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szCs w:val="24"/>
          <w:highlight w:val="none"/>
        </w:rPr>
        <w:t xml:space="preserve">医疗器械生产企业许可或医疗器械经营企业许可证</w:t>
      </w:r>
      <w:r>
        <w:rPr>
          <w:rFonts w:hint="eastAsia" w:ascii="宋体" w:hAnsi="宋体" w:eastAsia="宋体" w:cs="宋体"/>
          <w:color w:val="auto"/>
          <w:sz w:val="24"/>
          <w:highlight w:val="none"/>
        </w:rPr>
        <w:t xml:space="preserve">。</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1.时间：自公告发布之日起</w:t>
      </w:r>
      <w:r>
        <w:rPr>
          <w:rFonts w:hint="eastAsia" w:ascii="宋体" w:hAnsi="宋体" w:eastAsia="宋体" w:cs="宋体"/>
          <w:color w:val="auto"/>
          <w:sz w:val="24"/>
          <w:highlight w:val="none"/>
          <w:lang w:val="en-US" w:eastAsia="zh-CN"/>
        </w:rPr>
        <w:t xml:space="preserve">至2024年09月26日</w:t>
      </w:r>
      <w:r>
        <w:rPr>
          <w:rFonts w:hint="eastAsia" w:ascii="宋体" w:hAnsi="宋体" w:eastAsia="宋体" w:cs="宋体"/>
          <w:color w:val="auto"/>
          <w:sz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w:t>
      </w:r>
      <w:r>
        <w:rPr>
          <w:rFonts w:hint="eastAsia" w:ascii="宋体" w:hAnsi="宋体" w:eastAsia="宋体" w:cs="宋体"/>
          <w:color w:val="auto"/>
          <w:sz w:val="24"/>
          <w:highlight w:val="none"/>
          <w:lang w:eastAsia="zh-CN"/>
        </w:rPr>
        <w:t xml:space="preserve">“苏采云”系统自行下载</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（1）CA证书办理</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w:t>
      </w:r>
      <w:r>
        <w:rPr>
          <w:rFonts w:hint="eastAsia" w:ascii="宋体" w:hAnsi="宋体" w:eastAsia="宋体" w:cs="宋体"/>
          <w:color w:val="auto"/>
          <w:sz w:val="24"/>
          <w:szCs w:val="2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（2）参与采购活动</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（3）电子投标准备</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在系统操作过程中如有疑问，请按以下方式联系：</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注册咨询：18261002950；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CA技术咨询电话：400-608-6099；</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签章使用问题：025-83633811、025-83633812、15380932027、15371015030；</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系统使用指导与咨询：联系电话：18261002950；QQ：3048755361、1315179389、895706745。</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4.售价：免费</w:t>
      </w:r>
      <w:r/>
    </w:p>
    <w:p>
      <w:pPr>
        <w:ind w:firstLine="480"/>
        <w:jc w:val="both"/>
        <w:spacing w:line="360" w:lineRule="auto"/>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注：未依照招标公告要求获取招标文件的投标人，视为未参加该项政府采购活动，不具备对该政府采购项目提出质疑的法定权利。</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提交投标文件截止时间：</w:t>
      </w:r>
      <w:r>
        <w:rPr>
          <w:rFonts w:hint="eastAsia" w:ascii="宋体" w:hAnsi="宋体" w:eastAsia="宋体" w:cs="宋体"/>
          <w:color w:val="auto"/>
          <w:sz w:val="24"/>
          <w:highlight w:val="none"/>
          <w:lang w:val="zh-CN"/>
        </w:rPr>
        <w:t xml:space="preserve">2024年10月10日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eastAsia="宋体" w:cs="宋体"/>
          <w:color w:val="auto"/>
          <w:sz w:val="24"/>
          <w:highlight w:val="none"/>
          <w:lang w:val="zh-CN"/>
        </w:rPr>
        <w:t xml:space="preserve">2024年10月10日</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val="zh-CN"/>
        </w:rPr>
        <w:t xml:space="preserve">点30分</w:t>
      </w:r>
      <w:r>
        <w:rPr>
          <w:rFonts w:hint="eastAsia" w:ascii="宋体" w:hAnsi="宋体" w:eastAsia="宋体" w:cs="宋体"/>
          <w:color w:val="auto"/>
          <w:sz w:val="24"/>
          <w:highlight w:val="none"/>
        </w:rPr>
        <w:t xml:space="preserve">（北京时间）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地点：“苏采云”系统（网址：http://jszfcg.jsczt.cn/）</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4.本项目采用电子招投标形式，请供应商按照《苏采云系统供应商操作手册》进行制作、上传电子投标文件。</w:t>
      </w:r>
      <w:r>
        <w:rPr>
          <w:rFonts w:hint="eastAsia" w:ascii="宋体" w:hAnsi="宋体" w:eastAsia="宋体" w:cs="宋体"/>
          <w:b/>
          <w:bCs/>
          <w:color w:val="auto"/>
          <w:sz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4"/>
          <w:highlight w:val="none"/>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请供应商确保电脑、系统及其他设备（视频输入输出设备等）无误，且开标直至项目结束始终保持系统在线状态。</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五、公告期限</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苏州市政府采购管理监督电话：0512-68616651</w:t>
      </w:r>
      <w:r>
        <w:rPr>
          <w:rFonts w:hint="eastAsia" w:ascii="宋体" w:hAnsi="宋体" w:eastAsia="宋体" w:cs="宋体"/>
          <w:color w:val="auto"/>
          <w:sz w:val="24"/>
          <w:highlight w:val="none"/>
          <w:lang w:val="en-US" w:eastAsia="zh-CN"/>
        </w:rPr>
        <w:t xml:space="preserve">。</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3.单位负责人为同一人或者存在直接控股、管理关系的不同供应商，不得参加同一合同项下的政府采购活动。</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、对本次招标提出询问，请按以下方式联系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昆山市精神卫生中心</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昆山市巴城镇祖冲之中路2139号</w:t>
      </w:r>
      <w:r/>
    </w:p>
    <w:p>
      <w:pPr>
        <w:pStyle w:val="735"/>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联系方式：</w:t>
      </w:r>
      <w:r>
        <w:rPr>
          <w:rFonts w:hint="eastAsia" w:eastAsia="宋体" w:cs="宋体"/>
          <w:color w:val="auto"/>
          <w:sz w:val="24"/>
          <w:highlight w:val="none"/>
          <w:lang w:eastAsia="zh-CN"/>
        </w:rPr>
        <w:t xml:space="preserve">黄丽娟0512-36695038</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联系方式：0512-69223600</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项目联系人：陈浩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王佳静</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电话：0512-69223600</w:t>
      </w:r>
      <w:r/>
    </w:p>
    <w:p>
      <w:pPr>
        <w:pStyle w:val="755"/>
        <w:rPr>
          <w:rFonts w:hint="eastAsia" w:ascii="宋体" w:hAnsi="宋体" w:eastAsia="宋体" w:cs="宋体"/>
          <w:color w:val="auto"/>
          <w:highlight w:val="none"/>
        </w:rPr>
      </w:pPr>
      <w:r>
        <w:rPr>
          <w:rFonts w:hint="eastAsia" w:ascii="宋体" w:hAnsi="宋体" w:eastAsia="宋体" w:cs="宋体"/>
          <w:color w:val="auto"/>
          <w:highlight w:val="none"/>
        </w:rPr>
      </w:r>
      <w:bookmarkEnd w:id="1"/>
      <w:r/>
      <w:r/>
    </w:p>
    <w:p>
      <w:pPr>
        <w:ind w:firstLine="480"/>
        <w:jc w:val="righ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z w:val="52"/>
          <w:szCs w:val="20"/>
          <w:highlight w:val="none"/>
        </w:rPr>
      </w:pPr>
      <w:r>
        <w:rPr>
          <w:rFonts w:hint="eastAsia" w:ascii="宋体" w:hAnsi="宋体" w:eastAsia="宋体" w:cs="宋体"/>
          <w:color w:val="auto"/>
          <w:sz w:val="52"/>
          <w:highlight w:val="none"/>
        </w:rPr>
        <w:br w:type="page" w:clear="all"/>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715"/>
        <w:jc w:val="center"/>
        <w:rPr>
          <w:rFonts w:hint="eastAsia" w:ascii="宋体" w:hAnsi="宋体" w:eastAsia="宋体" w:cs="宋体"/>
          <w:color w:val="auto"/>
          <w:sz w:val="52"/>
          <w:highlight w:val="none"/>
        </w:rPr>
      </w:pPr>
      <w:r/>
      <w:bookmarkStart w:id="2" w:name="_Toc520073482"/>
      <w:r>
        <w:rPr>
          <w:rFonts w:hint="eastAsia" w:ascii="宋体" w:hAnsi="宋体" w:eastAsia="宋体" w:cs="宋体"/>
          <w:color w:val="auto"/>
          <w:sz w:val="52"/>
          <w:highlight w:val="none"/>
        </w:rPr>
        <w:t xml:space="preserve">第二章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投标人须知</w:t>
      </w:r>
      <w:bookmarkEnd w:id="2"/>
      <w:r/>
      <w:r/>
    </w:p>
    <w:p>
      <w:pPr>
        <w:ind w:firstLine="480"/>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zh-CN"/>
        </w:rPr>
        <w:t xml:space="preserve">1.说明</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1.1本招标文件仅适用于苏州乐慧招投标咨询有限公司组织的招标活动。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1.2本次招标活动及因本次招标产生的合同受中国法律制约和保护。</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1.3本招标文件的解释权属于苏州乐慧招投标咨询有限公司。</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2.词语释义</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2.1招标代理机构：具体组织实施招标活动的法人。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2.2投标人：经认定有资格响应招标，参加投标竞争的法人或其他组织和自然人。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2.3响应：投标人根据招标代理机构或招标代理机构发布的招标文件，编制投标文件并按规定投标的行为。</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2.5甲方（采购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rPr>
        <w:t xml:space="preserve">）：合同中明确规定的实际购买货物和服务的法人或其他组织和自然人(采购人)。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2.6乙方（</w:t>
      </w:r>
      <w:r>
        <w:rPr>
          <w:rFonts w:hint="eastAsia" w:ascii="宋体" w:hAnsi="宋体" w:eastAsia="宋体" w:cs="宋体"/>
          <w:color w:val="auto"/>
          <w:sz w:val="24"/>
          <w:highlight w:val="none"/>
        </w:rPr>
        <w:t xml:space="preserve">中标人</w:t>
      </w:r>
      <w:r>
        <w:rPr>
          <w:rFonts w:hint="eastAsia" w:ascii="宋体" w:hAnsi="宋体" w:eastAsia="宋体" w:cs="宋体"/>
          <w:color w:val="auto"/>
          <w:sz w:val="24"/>
          <w:highlight w:val="none"/>
          <w:lang w:val="zh-CN"/>
        </w:rPr>
        <w:t xml:space="preserve">）：合同中规定的向采购人提供货物和服务的法人或其他组织和自然人(中标人)。</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2.7货物：系指乙方按招标招标文件规定，应向甲方提供的一切设备、备品、备件、工具、手册及其它有关技术资料和材料。</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2.8服务：系指本次招标招标文件规定乙方应承担的与提供货物和服务有关的辅助服务，比如运输、保险、安装、调试、提供技术援助、培训、配合措施、维修响应及合同中规定乙方应承担的其它义务。</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2.9知识产权：指专利权、商标权、著作权等无形财产专有权的统称。</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2.10天：日历日。</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2.11交货安装地点：合同中明确约定的乙方提交的货物和服务最终到达地点。</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zh-CN"/>
        </w:rPr>
        <w:t xml:space="preserve">2.12合同价款：根据合同规定，乙方在正确地履行合同义务后甲方应支付乙方的</w:t>
      </w:r>
      <w:r>
        <w:rPr>
          <w:rFonts w:hint="eastAsia" w:ascii="宋体" w:hAnsi="宋体" w:eastAsia="宋体" w:cs="宋体"/>
          <w:color w:val="auto"/>
          <w:szCs w:val="24"/>
          <w:highlight w:val="none"/>
        </w:rPr>
        <w:t xml:space="preserve">价款。</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2.13产地：货物开采、生长、生产、最终制造、加工或提供服务的来源地。</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2.14不可抗力：不能预见、不能避免并且不能克服的客观情况。</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2.15进口产品：通过中国海关报关验放进入中国境内且产自关境外的产品。</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2.16书面形式：指书面文字、合同书、信件和传真等可以有形地表现所载内容的形式。</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2.17实质响应：满足有关本次采购标的、数量、质量、价款或者报酬、履行期限、履行地点和方式、违约责任和解决争议方法等要求。</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2.18进口产品：通过中国海关报关验放进入中国境内且产自关境外的产品。</w:t>
      </w:r>
      <w:r/>
    </w:p>
    <w:p>
      <w:pPr>
        <w:ind w:firstLine="480"/>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2.19书面形式：指书面文字、合同书、信件和传真等可以有形地表现所载内容的形式。</w:t>
      </w:r>
      <w:r/>
    </w:p>
    <w:p>
      <w:pPr>
        <w:pStyle w:val="735"/>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3.合格投标人的一般条件：</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3.3具有履行合同所必需的设备和专业技术能力；</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3.4有依法缴纳税收和社会保障资金的良好记录；</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3.5参加政府采购活动前三年内，在经营活动中没有重大违法记录；</w:t>
      </w:r>
      <w:r/>
    </w:p>
    <w:p>
      <w:pPr>
        <w:pStyle w:val="735"/>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3.6法律、行政法规规定的其他条件。</w:t>
      </w:r>
      <w:r/>
    </w:p>
    <w:p>
      <w:pPr>
        <w:pStyle w:val="735"/>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4.供应商的特殊条件：</w:t>
      </w:r>
      <w:r/>
    </w:p>
    <w:p>
      <w:pPr>
        <w:pStyle w:val="735"/>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 w:val="24"/>
          <w:szCs w:val="24"/>
          <w:highlight w:val="none"/>
        </w:rPr>
        <w:t xml:space="preserve">医疗器械生产企业许可或医疗器械经营企业许可证</w:t>
      </w:r>
      <w:r>
        <w:rPr>
          <w:rFonts w:hint="eastAsia" w:ascii="宋体" w:hAnsi="宋体" w:eastAsia="宋体" w:cs="宋体"/>
          <w:color w:val="auto"/>
          <w:szCs w:val="24"/>
          <w:highlight w:val="none"/>
          <w:lang w:eastAsia="zh-CN"/>
        </w:rPr>
        <w:t xml:space="preserve">。</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.投标人代表</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.1指全权代表投标人参加投标活动并签署投标文件的人，如果投标人代表不是法定代表人，须持有《法定代表人授权委托书》（格式见第三章）。</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.投标费用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CN"/>
        </w:rPr>
        <w:t xml:space="preserve">.1无论投标过程中的做法和结果如何，投标人自行承担所有与参加投标有关的全部费用。</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7</w:t>
      </w:r>
      <w:r>
        <w:rPr>
          <w:rFonts w:hint="eastAsia" w:ascii="宋体" w:hAnsi="宋体" w:eastAsia="宋体" w:cs="宋体"/>
          <w:b/>
          <w:bCs/>
          <w:color w:val="auto"/>
          <w:sz w:val="24"/>
          <w:highlight w:val="none"/>
          <w:lang w:val="zh-CN"/>
        </w:rPr>
        <w:t xml:space="preserve">.联合投标及转包、分包</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.1本项目不接受联合体投标。</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7</w:t>
      </w:r>
      <w:r>
        <w:rPr>
          <w:rFonts w:hint="eastAsia" w:ascii="宋体" w:hAnsi="宋体" w:eastAsia="宋体" w:cs="宋体"/>
          <w:b w:val="0"/>
          <w:bCs w:val="0"/>
          <w:color w:val="auto"/>
          <w:sz w:val="24"/>
          <w:highlight w:val="none"/>
          <w:lang w:val="zh-CN"/>
        </w:rPr>
        <w:t xml:space="preserve">.2本项目不接受转包、分包。</w:t>
      </w:r>
      <w:r/>
    </w:p>
    <w:p>
      <w:pPr>
        <w:ind w:firstLine="482"/>
        <w:jc w:val="left"/>
        <w:spacing w:line="360" w:lineRule="auto"/>
        <w:widowControl w:val="off"/>
        <w:tabs>
          <w:tab w:val="left" w:pos="630"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lang w:val="zh-CN"/>
        </w:rPr>
        <w:t xml:space="preserve">.招标文件的询问</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投标人在收到招标文件后，若有问题需要询问，应于下载招标文件后，可通过公告中的联系方式及时提出，采购人或采购代理机构将予以解答。</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9.2供应商质疑办法具体详见《政府采购质疑和投诉办法》。供应商应在法定质疑期内一次性提出针对同一采购程序环节的质疑。</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9.3供应商对招标文件如有质疑，请质疑以书面形式（当场送达或邮寄方式，不接收到付快递）递交至采购代理单位。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9.4对</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内容质疑时，需提供在采购交易系统中下载本项目</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的《交易文件下载确认单》，未提供的视为未依照招标公告要求获取招标文件，不具备对该政府采购项目提出质疑的法定权利。</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供应商质疑函范本格式请参照“苏州市政府采购”网站——“下载中心”——“政府采购供应商质疑函范本”。供应商如组成联合体参加投标，则《质疑函范本》中要求签字、盖章、加盖公章之处，联合体各方均须按要求签字、盖章、加盖公章。</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9.6质疑联系：苏州乐慧招投标咨询有限公司</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联系地址：苏州市相城区元和街道华元路766号都会商业中心1幢2706室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联系电话：0512-69223600 </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陈浩</w:t>
      </w:r>
      <w:r>
        <w:rPr>
          <w:rFonts w:hint="eastAsia" w:ascii="宋体" w:hAnsi="宋体" w:eastAsia="宋体" w:cs="宋体"/>
          <w:color w:val="auto"/>
          <w:sz w:val="24"/>
          <w:highlight w:val="none"/>
        </w:rPr>
        <w:t xml:space="preserve">、王佳静</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w:t>
      </w:r>
      <w:r>
        <w:rPr>
          <w:rFonts w:hint="eastAsia" w:ascii="宋体" w:hAnsi="宋体" w:eastAsia="宋体" w:cs="宋体"/>
          <w:b/>
          <w:bCs/>
          <w:color w:val="auto"/>
          <w:sz w:val="24"/>
          <w:highlight w:val="none"/>
          <w:lang w:val="zh-CN"/>
        </w:rPr>
        <w:t xml:space="preserve">.招标文件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电子投标（响应）文件将被视为未实质性响应。</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10.2招标文件及其补充文件为未按规定的方式获得的，采购代理机构对招标文件及其补遗的真实性、完整性不承担任何责任。</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招标文件的澄清或修改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.4招标文件的澄清、修改、补充等内容均以苏州市政府采购网上发布的内容为准。</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提示与要求</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12.2无论是否递交投标文件，投标人都应将招标文件及以后的所有通知、文件等视为保密文件。</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13.投标文件计量单位和使用文字</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13.1投标文件中所使用的计量单位，除招标文件中有特殊要求外，均应使用中华人民共和国法定计量单位。</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14.投标文件的组成</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14.1封面</w:t>
      </w:r>
      <w:r/>
    </w:p>
    <w:p>
      <w:pPr>
        <w:ind w:left="0" w:firstLine="482"/>
        <w:jc w:val="both"/>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14.2开标一览表</w:t>
      </w:r>
      <w:r/>
    </w:p>
    <w:p>
      <w:pPr>
        <w:ind w:left="0" w:firstLine="482"/>
        <w:jc w:val="both"/>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14.3</w:t>
      </w:r>
      <w:r>
        <w:rPr>
          <w:rFonts w:hint="eastAsia" w:ascii="宋体" w:hAnsi="宋体" w:eastAsia="宋体" w:cs="宋体"/>
          <w:b/>
          <w:color w:val="auto"/>
          <w:sz w:val="24"/>
          <w:szCs w:val="24"/>
          <w:highlight w:val="none"/>
          <w:lang w:eastAsia="zh-CN"/>
        </w:rPr>
        <w:t xml:space="preserve">投标报价明细表</w:t>
      </w:r>
      <w:r/>
    </w:p>
    <w:p>
      <w:pPr>
        <w:ind w:left="0" w:firstLine="482"/>
        <w:jc w:val="both"/>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14.4资格审查文件</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1</w:t>
      </w:r>
      <w:r>
        <w:rPr>
          <w:rFonts w:ascii="宋体" w:hAnsi="宋体" w:eastAsia="宋体" w:cs="宋体"/>
          <w:b w:val="0"/>
          <w:bCs/>
          <w:color w:val="auto"/>
          <w:sz w:val="24"/>
          <w:szCs w:val="24"/>
          <w:highlight w:val="none"/>
        </w:rPr>
        <w:t xml:space="preserve">4.4</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w:t>
      </w:r>
      <w:r>
        <w:rPr>
          <w:rFonts w:hint="eastAsia" w:ascii="宋体" w:hAnsi="宋体" w:eastAsia="宋体" w:cs="宋体"/>
          <w:b w:val="0"/>
          <w:bCs w:val="0"/>
          <w:color w:val="auto"/>
          <w:sz w:val="24"/>
          <w:szCs w:val="24"/>
          <w:highlight w:val="none"/>
          <w:lang w:val="en-US" w:eastAsia="zh-CN" w:bidi="ar-SA"/>
        </w:rPr>
        <w:t xml:space="preserve">能力证明（包括法人或者其他组织的营业执照等证明文件，自然人的身份证明）；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rPr>
          <w:rFonts w:ascii="宋体" w:hAnsi="宋体" w:eastAsia="宋体" w:cs="宋体"/>
          <w:b w:val="0"/>
          <w:bCs w:val="0"/>
          <w:color w:val="auto"/>
          <w:sz w:val="24"/>
          <w:szCs w:val="24"/>
          <w:highlight w:val="none"/>
        </w:rPr>
        <w:t xml:space="preserve">4.4</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具有良好的商业信誉和健全的财务会计制度证明；</w:t>
      </w:r>
      <w:r/>
    </w:p>
    <w:p>
      <w:pPr>
        <w:ind w:left="0" w:right="0" w:firstLine="480"/>
        <w:jc w:val="both"/>
        <w:spacing w:before="0" w:after="0" w:line="360" w:lineRule="auto"/>
        <w:widowControl/>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具备履行合同所必需的设备和专业技术能力的证明材料或承诺；</w:t>
      </w:r>
      <w:r/>
    </w:p>
    <w:p>
      <w:pPr>
        <w:ind w:left="0" w:firstLine="480"/>
        <w:jc w:val="both"/>
        <w:spacing w:line="360" w:lineRule="auto"/>
        <w:widowControl/>
        <w:tabs>
          <w:tab w:val="left" w:pos="0" w:leader="none"/>
        </w:tabs>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firstLine="480"/>
        <w:jc w:val="both"/>
        <w:spacing w:line="360" w:lineRule="auto"/>
        <w:widowControl/>
        <w:tabs>
          <w:tab w:val="left" w:pos="0" w:leader="none"/>
        </w:tabs>
        <w:rPr>
          <w:rFonts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14.4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5</w:t>
      </w:r>
      <w:r>
        <w:rPr>
          <w:rFonts w:ascii="宋体" w:hAnsi="宋体" w:eastAsia="宋体" w:cs="宋体"/>
          <w:b w:val="0"/>
          <w:bCs w:val="0"/>
          <w:color w:val="auto"/>
          <w:sz w:val="24"/>
          <w:highlight w:val="none"/>
        </w:rPr>
        <w:t xml:space="preserve">参加政府采购活动前三年内，在经营活动中没有重大违法记录（提供参加本次政府采购活动前3年内在经营活动中没有重大违法记录的书面声明）</w:t>
      </w:r>
      <w:r>
        <w:rPr>
          <w:rFonts w:ascii="宋体" w:hAnsi="宋体" w:eastAsia="宋体" w:cs="宋体"/>
          <w:color w:val="auto"/>
          <w:sz w:val="24"/>
          <w:highlight w:val="none"/>
        </w:rPr>
        <w:t xml:space="preserve">（格式自拟）</w:t>
      </w:r>
      <w:r>
        <w:rPr>
          <w:rFonts w:hint="eastAsia" w:ascii="宋体" w:hAnsi="宋体" w:eastAsia="宋体" w:cs="宋体"/>
          <w:color w:val="auto"/>
          <w:sz w:val="24"/>
          <w:szCs w:val="24"/>
          <w:highlight w:val="none"/>
          <w:lang w:val="en-US"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rPr>
      </w:pPr>
      <w:r>
        <w:rPr>
          <w:rFonts w:hint="eastAsia" w:ascii="宋体" w:hAnsi="宋体" w:eastAsia="宋体" w:cs="宋体"/>
          <w:b w:val="0"/>
          <w:bCs/>
          <w:color w:val="auto"/>
          <w:sz w:val="24"/>
          <w:szCs w:val="24"/>
          <w:highlight w:val="none"/>
        </w:rPr>
        <w:t xml:space="preserve">14.4</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color w:val="auto"/>
          <w:sz w:val="24"/>
          <w:highlight w:val="none"/>
        </w:rPr>
        <w:t xml:space="preserve">法律、行政法规规定的其他条件。</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14.5符合性审查文件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14.5.1投标人法定代表人身份证扫描件；</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14.5.2法定代表人授权委托书（如有授权，格式见第三章）；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14.5.3投标人授权代理人身份证扫描件（如有授权）；</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14.5.4投标函（格式见第三章）；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14.5.5关于资格文件的声明函（格式见第三章）；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14.5.6投标人基本情况表（格式见第三章）；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14.5.7商务条款偏离表（格式见第三章）；</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14.5.8</w:t>
      </w:r>
      <w:r>
        <w:rPr>
          <w:rFonts w:hint="eastAsia" w:ascii="宋体" w:hAnsi="宋体" w:eastAsia="宋体" w:cs="宋体"/>
          <w:color w:val="auto"/>
          <w:sz w:val="24"/>
          <w:szCs w:val="22"/>
          <w:highlight w:val="none"/>
          <w:lang w:val="zh-CN" w:eastAsia="zh-CN"/>
        </w:rPr>
        <w:t xml:space="preserve">远程参与开标会议诚信承诺书</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2"/>
          <w:highlight w:val="none"/>
          <w:lang w:val="zh-CN" w:eastAsia="zh-CN"/>
        </w:rPr>
        <w:t xml:space="preserve">；</w:t>
      </w:r>
      <w:r/>
    </w:p>
    <w:p>
      <w:pPr>
        <w:ind w:left="0" w:firstLine="480"/>
        <w:jc w:val="both"/>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14.5.9技术要求偏离表（格式见第三章）；</w:t>
      </w:r>
      <w:r/>
    </w:p>
    <w:p>
      <w:pPr>
        <w:ind w:left="0" w:firstLine="480"/>
        <w:jc w:val="both"/>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14.5.10</w:t>
      </w:r>
      <w:r>
        <w:rPr>
          <w:rFonts w:hint="eastAsia" w:ascii="Times New Roman" w:hAnsi="宋体" w:eastAsia="宋体" w:cs="宋体"/>
          <w:color w:val="auto"/>
          <w:sz w:val="24"/>
          <w:szCs w:val="24"/>
          <w:highlight w:val="none"/>
          <w:lang w:val="zh-CN"/>
        </w:rPr>
        <w:t xml:space="preserve">品牌、规格、材质、生产厂家说明</w:t>
      </w:r>
      <w:r>
        <w:rPr>
          <w:rFonts w:hint="eastAsia" w:ascii="宋体" w:hAnsi="宋体" w:eastAsia="宋体" w:cs="宋体"/>
          <w:color w:val="auto"/>
          <w:sz w:val="24"/>
          <w:szCs w:val="24"/>
          <w:highlight w:val="none"/>
          <w:lang w:val="en-US" w:eastAsia="zh-CN" w:bidi="ar-SA"/>
        </w:rPr>
        <w:t xml:space="preserve">（格式见第三章）</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14.6综合评审文件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1响应产品的技术参数表或彩页</w:t>
      </w:r>
      <w:r>
        <w:rPr>
          <w:rFonts w:hint="eastAsia" w:ascii="宋体" w:hAnsi="宋体" w:eastAsia="宋体" w:cs="宋体"/>
          <w:color w:val="auto"/>
          <w:sz w:val="24"/>
          <w:szCs w:val="24"/>
          <w:highlight w:val="none"/>
          <w:lang w:val="zh-CN" w:eastAsia="zh-CN" w:bidi="ar-SA"/>
        </w:rPr>
        <w:t xml:space="preserve">；</w:t>
      </w:r>
      <w:r/>
    </w:p>
    <w:p>
      <w:pPr>
        <w:ind w:left="0" w:firstLine="480"/>
        <w:jc w:val="both"/>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14.6.2</w:t>
      </w:r>
      <w:r>
        <w:rPr>
          <w:rFonts w:hint="eastAsia" w:ascii="宋体" w:hAnsi="宋体" w:eastAsia="宋体" w:cs="宋体"/>
          <w:color w:val="auto"/>
          <w:sz w:val="24"/>
          <w:szCs w:val="24"/>
          <w:highlight w:val="none"/>
          <w:lang w:val="zh-CN" w:eastAsia="zh-CN" w:bidi="ar-SA"/>
        </w:rPr>
        <w:t xml:space="preserve">项目</w:t>
      </w:r>
      <w:r>
        <w:rPr>
          <w:rFonts w:hint="eastAsia" w:ascii="宋体" w:hAnsi="宋体" w:eastAsia="宋体" w:cs="宋体"/>
          <w:color w:val="auto"/>
          <w:sz w:val="24"/>
          <w:szCs w:val="24"/>
          <w:highlight w:val="none"/>
          <w:lang w:val="en-US" w:eastAsia="zh-CN" w:bidi="ar-SA"/>
        </w:rPr>
        <w:t xml:space="preserve">实施</w:t>
      </w:r>
      <w:r>
        <w:rPr>
          <w:rFonts w:hint="eastAsia" w:ascii="宋体" w:hAnsi="宋体" w:eastAsia="宋体" w:cs="宋体"/>
          <w:color w:val="auto"/>
          <w:sz w:val="24"/>
          <w:szCs w:val="24"/>
          <w:highlight w:val="none"/>
          <w:lang w:val="zh-CN" w:eastAsia="zh-CN" w:bidi="ar-SA"/>
        </w:rPr>
        <w:t xml:space="preserve">方案；</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14.6.</w:t>
      </w:r>
      <w:r>
        <w:rPr>
          <w:rFonts w:hint="eastAsia" w:ascii="宋体" w:hAnsi="宋体" w:eastAsia="宋体" w:cs="宋体"/>
          <w:color w:val="auto"/>
          <w:sz w:val="24"/>
          <w:szCs w:val="24"/>
          <w:highlight w:val="none"/>
          <w:lang w:val="en-US" w:eastAsia="zh-CN" w:bidi="ar-SA"/>
        </w:rPr>
        <w:t xml:space="preserve">3企业类似业绩一览表（格式见第三章）</w:t>
      </w:r>
      <w:r>
        <w:rPr>
          <w:rFonts w:hint="eastAsia" w:ascii="宋体" w:hAnsi="宋体" w:eastAsia="宋体" w:cs="宋体"/>
          <w:color w:val="auto"/>
          <w:sz w:val="24"/>
          <w:szCs w:val="24"/>
          <w:highlight w:val="none"/>
          <w:lang w:val="zh-CN"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lang w:val="zh-CN"/>
        </w:rPr>
      </w:pPr>
      <w:r>
        <w:rPr>
          <w:rFonts w:hint="eastAsia" w:ascii="宋体" w:hAnsi="宋体" w:eastAsia="宋体" w:cs="宋体"/>
          <w:b w:val="0"/>
          <w:bCs w:val="0"/>
          <w:i w:val="0"/>
          <w:iCs w:val="0"/>
          <w:color w:val="auto"/>
          <w:sz w:val="24"/>
          <w:szCs w:val="24"/>
          <w:highlight w:val="none"/>
          <w:lang w:val="zh-CN"/>
        </w:rPr>
        <w:t xml:space="preserve">14.</w:t>
      </w:r>
      <w:r>
        <w:rPr>
          <w:rFonts w:hint="eastAsia" w:ascii="宋体" w:hAnsi="宋体" w:eastAsia="宋体" w:cs="宋体"/>
          <w:b w:val="0"/>
          <w:bCs w:val="0"/>
          <w:color w:val="auto"/>
          <w:sz w:val="24"/>
          <w:highlight w:val="none"/>
          <w:lang w:val="zh-CN"/>
        </w:rPr>
        <w:t xml:space="preserve">6.</w:t>
      </w:r>
      <w:r>
        <w:rPr>
          <w:rFonts w:hint="eastAsia" w:ascii="宋体" w:hAnsi="宋体" w:eastAsia="宋体" w:cs="宋体"/>
          <w:b w:val="0"/>
          <w:bCs w:val="0"/>
          <w:color w:val="auto"/>
          <w:sz w:val="24"/>
          <w:highlight w:val="none"/>
          <w:lang w:val="en-US" w:eastAsia="zh-CN"/>
        </w:rPr>
        <w:t xml:space="preserve">4</w:t>
      </w:r>
      <w:r>
        <w:rPr>
          <w:rFonts w:hint="eastAsia" w:ascii="宋体" w:hAnsi="宋体" w:eastAsia="宋体" w:cs="宋体"/>
          <w:color w:val="auto"/>
          <w:sz w:val="24"/>
          <w:highlight w:val="none"/>
        </w:rPr>
        <w:t xml:space="preserve">评分标准中所涉及到的其他材料、证明</w:t>
      </w:r>
      <w:r>
        <w:rPr>
          <w:rFonts w:hint="eastAsia" w:ascii="宋体" w:hAnsi="宋体" w:eastAsia="宋体" w:cs="宋体"/>
          <w:b w:val="0"/>
          <w:bCs w:val="0"/>
          <w:i w:val="0"/>
          <w:iCs w:val="0"/>
          <w:color w:val="auto"/>
          <w:sz w:val="24"/>
          <w:szCs w:val="24"/>
          <w:highlight w:val="none"/>
          <w:lang w:val="zh-CN"/>
        </w:rPr>
        <w:t xml:space="preserve">。</w:t>
      </w:r>
      <w:r/>
    </w:p>
    <w:p>
      <w:pPr>
        <w:ind w:left="0" w:firstLine="480"/>
        <w:jc w:val="both"/>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注：（1）</w:t>
      </w:r>
      <w:r>
        <w:rPr>
          <w:rFonts w:hint="eastAsia" w:ascii="宋体" w:hAnsi="宋体" w:eastAsia="宋体" w:cs="宋体"/>
          <w:b/>
          <w:bCs/>
          <w:color w:val="auto"/>
          <w:sz w:val="24"/>
          <w:szCs w:val="24"/>
          <w:highlight w:val="none"/>
          <w:u w:val="single"/>
          <w:lang w:val="zh-CN" w:eastAsia="zh-CN" w:bidi="ar-SA"/>
        </w:rPr>
        <w:t xml:space="preserve">以上14.4为资格审查要求提供的材料</w:t>
      </w:r>
      <w:r>
        <w:rPr>
          <w:rFonts w:hint="eastAsia" w:ascii="宋体" w:hAnsi="宋体" w:eastAsia="宋体" w:cs="宋体"/>
          <w:b/>
          <w:bCs/>
          <w:color w:val="auto"/>
          <w:sz w:val="24"/>
          <w:szCs w:val="24"/>
          <w:highlight w:val="none"/>
          <w:lang w:val="zh-CN" w:eastAsia="zh-CN" w:bidi="ar-SA"/>
        </w:rPr>
        <w:t xml:space="preserve">，是作为对供应商资格审查的依据，投标人必须提供并加盖电子公章。否则，投标文件将被认定为不符合资格审查要求。</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zh-CN" w:eastAsia="zh-CN" w:bidi="ar-SA"/>
        </w:rPr>
        <w:t xml:space="preserve">（2）</w:t>
      </w:r>
      <w:r>
        <w:rPr>
          <w:rFonts w:hint="eastAsia" w:ascii="宋体" w:hAnsi="宋体" w:eastAsia="宋体" w:cs="宋体"/>
          <w:b/>
          <w:bCs/>
          <w:color w:val="auto"/>
          <w:sz w:val="24"/>
          <w:szCs w:val="24"/>
          <w:highlight w:val="none"/>
          <w:u w:val="single"/>
          <w:lang w:val="zh-CN" w:eastAsia="zh-CN" w:bidi="ar-SA"/>
        </w:rPr>
        <w:t xml:space="preserve">以上14.5为符合性审查须提供的资料</w:t>
      </w:r>
      <w:r>
        <w:rPr>
          <w:rFonts w:hint="eastAsia" w:ascii="宋体" w:hAnsi="宋体" w:eastAsia="宋体" w:cs="宋体"/>
          <w:b/>
          <w:bCs/>
          <w:color w:val="auto"/>
          <w:sz w:val="24"/>
          <w:szCs w:val="24"/>
          <w:highlight w:val="none"/>
          <w:lang w:val="zh-CN" w:eastAsia="zh-CN" w:bidi="ar-SA"/>
        </w:rPr>
        <w:t xml:space="preserve">，投标人必须提供并加盖电子公章。否则，投标文件将被认定为未实质性响应。</w:t>
      </w:r>
      <w:r/>
    </w:p>
    <w:p>
      <w:pPr>
        <w:ind w:left="0" w:firstLine="482"/>
        <w:jc w:val="both"/>
        <w:keepLines w:val="0"/>
        <w:keepNext w:val="0"/>
        <w:pageBreakBefore w:val="0"/>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（3）</w:t>
      </w:r>
      <w:r>
        <w:rPr>
          <w:rFonts w:hint="eastAsia" w:ascii="宋体" w:hAnsi="宋体" w:eastAsia="宋体" w:cs="宋体"/>
          <w:color w:val="auto"/>
          <w:sz w:val="24"/>
          <w:szCs w:val="24"/>
          <w:highlight w:val="none"/>
          <w:lang w:val="zh-CN" w:eastAsia="zh-CN" w:bidi="ar-SA"/>
        </w:rPr>
        <w:t xml:space="preserve">投标人所提交的资料的完整与否，将直接影响投标人的评分。</w:t>
      </w:r>
      <w:r/>
    </w:p>
    <w:p>
      <w:pPr>
        <w:ind w:left="0" w:firstLine="482"/>
        <w:jc w:val="both"/>
        <w:keepLines w:val="0"/>
        <w:keepNext w:val="0"/>
        <w:pageBreakBefore w:val="0"/>
        <w:spacing w:line="360" w:lineRule="auto"/>
        <w:widowControl/>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（4）制作电子投标文件时必须与投标文件制作软件目录一一对应，将相关资料上传至相应模块。</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15.电子投标文件的编制与提交</w:t>
      </w:r>
      <w:r/>
    </w:p>
    <w:p>
      <w:pPr>
        <w:ind w:left="0" w:firstLine="489"/>
        <w:jc w:val="both"/>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.1本项目采用电子招投标形式，请供应商按照</w:t>
      </w:r>
      <w:r>
        <w:rPr>
          <w:rFonts w:hint="eastAsia" w:ascii="宋体" w:hAnsi="宋体" w:eastAsia="宋体" w:cs="宋体"/>
          <w:b/>
          <w:color w:val="auto"/>
          <w:sz w:val="24"/>
          <w:szCs w:val="24"/>
          <w:highlight w:val="none"/>
          <w:lang w:val="zh-CN" w:eastAsia="zh-CN" w:bidi="ar-SA"/>
        </w:rPr>
        <w:t xml:space="preserve">《苏采云系统供应商操作手册》</w:t>
      </w:r>
      <w:r>
        <w:rPr>
          <w:rFonts w:hint="eastAsia" w:ascii="宋体" w:hAnsi="宋体" w:eastAsia="宋体" w:cs="宋体"/>
          <w:color w:val="auto"/>
          <w:sz w:val="24"/>
          <w:szCs w:val="24"/>
          <w:highlight w:val="none"/>
          <w:lang w:val="zh-CN" w:eastAsia="zh-CN" w:bidi="ar-SA"/>
        </w:rPr>
        <w:t xml:space="preserve">进行制作、上传电子投标文件。</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.2制作电子投标文件时，应按照招标文件要求加盖投标人电子公章。</w:t>
      </w:r>
      <w:r/>
    </w:p>
    <w:p>
      <w:pPr>
        <w:ind w:left="0" w:firstLine="480"/>
        <w:jc w:val="both"/>
        <w:spacing w:line="36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电子投标文件制作完成后请于投标文件网上提交截止时间前成功上传至“苏采云”系统，否则视为放弃参加该采购项目。</w:t>
      </w:r>
      <w:bookmarkStart w:id="3" w:name="_Toc31150"/>
      <w:r/>
      <w:bookmarkStart w:id="4"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16.</w:t>
      </w:r>
      <w:r>
        <w:rPr>
          <w:rFonts w:hint="eastAsia" w:ascii="宋体" w:hAnsi="宋体" w:eastAsia="宋体" w:cs="宋体"/>
          <w:b/>
          <w:color w:val="auto"/>
          <w:sz w:val="24"/>
          <w:highlight w:val="none"/>
        </w:rPr>
        <w:t xml:space="preserve">报价（编制）要求说明</w:t>
      </w:r>
      <w:r/>
    </w:p>
    <w:p>
      <w:pPr>
        <w:ind w:firstLine="480"/>
        <w:jc w:val="left"/>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16.1投标报价</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投标人应对招标文件内所要采购的全部内容进行报价，只投其中部分内容者，其标书将被拒绝。但如果招标文件要求分标段投标的，则投标人可以按招标文件要求有选择地只投其中一个或几个标段，但各标段应分别计算填写单价和总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16.3一项投标内容只允许一个报价，采购人不接受任何有选择性的投标报价。</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16.4投标文件中报价全部采用人民币表示，除非合同的特殊条款另有规定。</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16.5最低报价不能作为中标的保证。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17.投标保证金</w:t>
      </w:r>
      <w:r/>
    </w:p>
    <w:p>
      <w:pPr>
        <w:ind w:firstLine="480"/>
        <w:jc w:val="both"/>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本项目不收投标（响应）保证金。</w:t>
      </w:r>
      <w:r/>
    </w:p>
    <w:p>
      <w:pPr>
        <w:ind w:firstLine="482"/>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18.投标文件的有效期</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18.1自投标截止之日起</w:t>
      </w:r>
      <w:r>
        <w:rPr>
          <w:rFonts w:hint="eastAsia" w:ascii="宋体" w:hAnsi="宋体" w:eastAsia="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zh-CN"/>
        </w:rPr>
        <w:t xml:space="preserve">0</w:t>
      </w:r>
      <w:r>
        <w:rPr>
          <w:rFonts w:hint="eastAsia" w:ascii="宋体" w:hAnsi="宋体" w:eastAsia="宋体" w:cs="宋体"/>
          <w:color w:val="auto"/>
          <w:sz w:val="24"/>
          <w:highlight w:val="none"/>
          <w:lang w:val="zh-CN"/>
        </w:rPr>
        <w:t xml:space="preserve">天内，投标书应保持有效。有效期短于这个规定期限的投标，将被拒绝。</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18.2在特殊情况下，招标代理机构可与投标人协商延长投标书的有效期。这种要求和答复都应以书面的形式进行。同意延长有效期的投标人不能修改投标文件；拒绝延长的，其投标失效。</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19.投标截止时间</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en-US" w:eastAsia="zh-CN"/>
        </w:rPr>
        <w:t xml:space="preserve">19</w:t>
      </w:r>
      <w:r>
        <w:rPr>
          <w:rFonts w:hint="eastAsia" w:ascii="宋体" w:hAnsi="宋体" w:eastAsia="宋体" w:cs="宋体"/>
          <w:b w:val="0"/>
          <w:bCs w:val="0"/>
          <w:color w:val="auto"/>
          <w:sz w:val="24"/>
          <w:highlight w:val="none"/>
          <w:lang w:val="zh-CN"/>
        </w:rPr>
        <w:t xml:space="preserve">.3在投标截止时间止成功解密的投标文件少于三份，采购代理机构有权宣布本次招标失败。</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lang w:val="zh-CN"/>
        </w:rPr>
        <w:t xml:space="preserve">.投标文件的补充、修改或撤回</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.开标</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1开标由采购代理机构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3资格审查</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3.1公开招标采购项目开标结束后，采购人应当依法对投标人的资格进行审查，未通过资格审查的视为无效投标。</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3.2.1查询时间：投标文件递交截止时间。</w:t>
      </w:r>
      <w:r/>
    </w:p>
    <w:p>
      <w:pPr>
        <w:pStyle w:val="905"/>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3.2.2查询渠道</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05"/>
        <w:ind w:left="0" w:firstLine="42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.评标委员会或评标小组</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22.1评标委员会负责具体评标事务，并独立履行下列职责：</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22.1.1审查、评价投标文件是否符合招标文件的商务、技术等实质性要求；</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22.1.2要求投标人对投标文件有关事项作出澄清或者说明；</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22.1.3对投标文件进行比较和评价；</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22.1.4确定中标候选人名单，以及根据采购人委托直接确定中标人；</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22.1.5向采购人、采购代理机构或者有关部门报告评标中发现的违法行为。</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22.2评标委员会成员应当履行下列义务：</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22.2.1遵纪守法，客观、公正、廉洁地履行职责；</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22.2.2按照招标文件规定的评标办法和评标标准进行评标，对评审意见承担个人责任；</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22.2.3对评标过程和结果，以及投标人的商业秘密保密；</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22.2.4评标委员会根据全体评标成员签字的原始评标记录和评标结果编写评标报告。评标报告应当包括以下内容： </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（一）招标公告刊登的媒体名称、开标日期和地点；</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（二）投标人名单和评标委员会成员名单；</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（三）评标方法和标准；</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（四）开标记录和评标情况及说明，包括无效投标人名单及原因；</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（五）评标结果，确定的中标候选人名单或者经采购人委托直接确定的中标人；</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（六）其他需要说明的情况，包括评标过程中投标人根据评标委员会要求进行的澄清、说明或者补正，评标委员会成员的更换等。</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22.2.5配合相关部门的投诉处理工作；</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22.2.6配合采购人和采购代理机构答复投标人提出的质疑。</w:t>
      </w:r>
      <w:r/>
    </w:p>
    <w:p>
      <w:pPr>
        <w:pStyle w:val="905"/>
        <w:ind w:left="0" w:firstLine="420"/>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eastAsia="zh-CN"/>
        </w:rPr>
        <w:t xml:space="preserve">.保密</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.1公开开标后，直到宣布授予中标合同为止，凡属于审查、澄清、评价和比较投标的所有资料，有关授予合同的信息都不应向投标人或与评标无关的其他人泄露。</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.2在投标文件的审查、澄清、评价和比较以及授予合同的过程中，投标人对采购人、采购代理机构和评标委员会成员施加影响的任何行为，都将取消其中标资格。</w:t>
      </w:r>
      <w:r/>
    </w:p>
    <w:p>
      <w:pPr>
        <w:pStyle w:val="905"/>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对投标文件初审</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1评标委员会应当对符合资格的投标人的投标文件进行符合性审查，以确定其是否满足招标文件的实质性要求。</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投标文件有下列情况之一者评标委员会有权将其拒绝：</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1.1投标人的投标文件未按照本须知规定制作的；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1.2未按本须知规定提交资格文件；</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1.3与招标文件有重大偏离；</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1.4投标人拒绝修正错误；</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1.5投标人的报价是选择性的；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1.6投标人的报价只投了部分内容；</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1.7投标人的投标文件出现了评标委员会认为不应当雷同的情况；</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1.8其他被评委会认定无效的情况。</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3投标文件报价出现前后不一致的，除招标文件另有规定外，按照下列规定修正：</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pStyle w:val="905"/>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.投标的澄清</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.1对于投标文件中含义不明确、同类问题表述不一致或者有明显文字和计算错误的内容，评标委员会应当以书面形式要求投标人作出必要的澄清、说明或者补正。</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.2投标人的澄清、说明或者补正应当采用书面形式，并加盖</w:t>
      </w:r>
      <w:r>
        <w:rPr>
          <w:rFonts w:hint="eastAsia" w:ascii="宋体" w:hAnsi="宋体" w:eastAsia="宋体" w:cs="宋体"/>
          <w:color w:val="auto"/>
          <w:sz w:val="24"/>
          <w:szCs w:val="24"/>
          <w:highlight w:val="none"/>
          <w:lang w:val="en-US"/>
        </w:rPr>
        <w:t xml:space="preserve">其单位电子</w:t>
      </w:r>
      <w:r>
        <w:rPr>
          <w:rFonts w:hint="eastAsia" w:ascii="宋体" w:hAnsi="宋体" w:eastAsia="宋体" w:cs="宋体"/>
          <w:color w:val="auto"/>
          <w:sz w:val="24"/>
          <w:szCs w:val="24"/>
          <w:highlight w:val="none"/>
        </w:rPr>
        <w:t xml:space="preserve">公章。投标人的澄清、说明或者补正不得超出投标文件的范围或者改变投标文件的实质性内容。</w:t>
      </w:r>
      <w:r/>
    </w:p>
    <w:p>
      <w:pPr>
        <w:pStyle w:val="905"/>
        <w:ind w:left="0" w:firstLine="42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auto"/>
          <w:sz w:val="24"/>
          <w:szCs w:val="24"/>
          <w:highlight w:val="none"/>
          <w:lang w:eastAsia="zh-CN"/>
        </w:rPr>
        <w:t xml:space="preserve">）</w:t>
      </w:r>
      <w:r/>
    </w:p>
    <w:p>
      <w:pPr>
        <w:pStyle w:val="905"/>
        <w:ind w:left="0" w:firstLine="42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.无效投标</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1投标人存在下列情况之一的，投标无效:</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一</w:t>
      </w:r>
      <w:r>
        <w:rPr>
          <w:rFonts w:hint="eastAsia" w:ascii="宋体" w:hAnsi="宋体" w:eastAsia="宋体" w:cs="宋体"/>
          <w:color w:val="auto"/>
          <w:sz w:val="24"/>
          <w:szCs w:val="24"/>
          <w:highlight w:val="none"/>
        </w:rPr>
        <w:t xml:space="preserve">）投标文件未按招标文件要求签署、盖章的；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二</w:t>
      </w:r>
      <w:r>
        <w:rPr>
          <w:rFonts w:hint="eastAsia" w:ascii="宋体" w:hAnsi="宋体" w:eastAsia="宋体" w:cs="宋体"/>
          <w:color w:val="auto"/>
          <w:sz w:val="24"/>
          <w:szCs w:val="24"/>
          <w:highlight w:val="none"/>
        </w:rPr>
        <w:t xml:space="preserve">）不具备招标文件中规定的资格要求的；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三</w:t>
      </w:r>
      <w:r>
        <w:rPr>
          <w:rFonts w:hint="eastAsia" w:ascii="宋体" w:hAnsi="宋体" w:eastAsia="宋体" w:cs="宋体"/>
          <w:color w:val="auto"/>
          <w:sz w:val="24"/>
          <w:szCs w:val="24"/>
          <w:highlight w:val="none"/>
        </w:rPr>
        <w:t xml:space="preserve">）报价超过招标文件中规定的预算金额或者最高限价的；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四</w:t>
      </w:r>
      <w:r>
        <w:rPr>
          <w:rFonts w:hint="eastAsia" w:ascii="宋体" w:hAnsi="宋体" w:eastAsia="宋体" w:cs="宋体"/>
          <w:color w:val="auto"/>
          <w:sz w:val="24"/>
          <w:szCs w:val="24"/>
          <w:highlight w:val="none"/>
        </w:rPr>
        <w:t xml:space="preserve">）投标文件含有采购人不能接受的附加条件的；</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（五）法律、法规和招标文件规定的其他无效情形</w:t>
      </w:r>
      <w:r>
        <w:rPr>
          <w:rFonts w:hint="eastAsia" w:ascii="宋体" w:hAnsi="宋体" w:eastAsia="宋体" w:cs="宋体"/>
          <w:color w:val="auto"/>
          <w:sz w:val="24"/>
          <w:szCs w:val="24"/>
          <w:highlight w:val="none"/>
          <w:lang w:eastAsia="zh-CN"/>
        </w:rPr>
        <w:t xml:space="preserve">；</w:t>
      </w:r>
      <w:r/>
    </w:p>
    <w:p>
      <w:pPr>
        <w:pStyle w:val="905"/>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机器码一致的。</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2投标人应当遵循公平竞争的原则，不得恶意串通，不得妨碍其他投标人的竞争行为，不得损害采购人或者其他投标人的合法权益。</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3有下列情形之一的，视为投标人串通投标，其投标无效：</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（一）不同投标人的投标文件由同一单位或者个人编制；</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（二）不同投标人委托同一单位或者个人办理投标事宜；</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（三）不同投标人的投标文件载明的项目管理成员或者联系人员为同一人；</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（四）不同投标人的投标文件异常一致或者投标报价呈规律性差异；</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（五）不同投标人的投标文件相互混装。</w:t>
      </w:r>
      <w:r/>
    </w:p>
    <w:p>
      <w:pPr>
        <w:pStyle w:val="905"/>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.废标</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.1在招标过程中，出现下列情况之一的，应予废标：</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.1.1符合专业条件的供应商或者对招标文件作实质投标的供应商不足</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家的；</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.1.2出现影响采购公正的违法、违规行为的；</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.1.3投标人的报价均超过了采购预算，采购人不能支付的；</w:t>
      </w:r>
      <w:r/>
    </w:p>
    <w:p>
      <w:pPr>
        <w:pStyle w:val="905"/>
        <w:ind w:left="0"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.1.4因重大变故，采购任务取消的；</w:t>
      </w:r>
      <w:r/>
    </w:p>
    <w:p>
      <w:pPr>
        <w:pStyle w:val="905"/>
        <w:ind w:left="0"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.2废标后，采购人和采购代理机构将把废标的理由通知所有投标人。</w:t>
      </w:r>
      <w:r/>
    </w:p>
    <w:p>
      <w:pPr>
        <w:pStyle w:val="905"/>
        <w:ind w:left="0" w:firstLine="42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28.</w:t>
      </w:r>
      <w:r>
        <w:rPr>
          <w:rFonts w:hint="eastAsia" w:ascii="宋体" w:hAnsi="宋体" w:eastAsia="宋体" w:cs="宋体"/>
          <w:b/>
          <w:color w:val="auto"/>
          <w:sz w:val="24"/>
          <w:szCs w:val="24"/>
          <w:highlight w:val="none"/>
        </w:rPr>
        <w:t xml:space="preserve">投标文件的评价和比较</w:t>
      </w:r>
      <w:r/>
    </w:p>
    <w:p>
      <w:pPr>
        <w:pStyle w:val="90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.2最低的投标报价或最高的折扣比例是中标的重要条件，但不是唯一条件。</w:t>
      </w:r>
      <w:r/>
    </w:p>
    <w:p>
      <w:pPr>
        <w:ind w:firstLine="482"/>
        <w:jc w:val="left"/>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29</w:t>
      </w:r>
      <w:r>
        <w:rPr>
          <w:rFonts w:hint="eastAsia" w:ascii="宋体" w:hAnsi="宋体" w:eastAsia="宋体" w:cs="宋体"/>
          <w:b/>
          <w:color w:val="auto"/>
          <w:sz w:val="24"/>
          <w:highlight w:val="none"/>
        </w:rPr>
        <w:t xml:space="preserve">.中标人的确认</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.1评标委员会根据投标人资格审查情况，对投标文件进行评价和比较，按照评标办法和标准进行评标，并按招标采购人的委托向招标采购人推荐中标候选单位。</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.2经评标委员会评审并确定中标人后，招标代理机构将在规定的时间内</w:t>
      </w:r>
      <w:r>
        <w:rPr>
          <w:rFonts w:hint="eastAsia" w:ascii="宋体" w:hAnsi="宋体" w:eastAsia="宋体" w:cs="宋体"/>
          <w:color w:val="auto"/>
          <w:sz w:val="24"/>
          <w:highlight w:val="none"/>
        </w:rPr>
        <w:t xml:space="preserve">将中标结果在政府采购管理部门指定媒体上予以公告。各投标人如对公告结果有异议，应在中标公告公告期届满之日起七个工作日内，以书面形式向招标代理机构提出质疑，同时该质疑应有投标人法定代表人或参加投标的代理人签署和盖公章(原件)。招标代理机构将在收到经投标人法定代表人或参加投标的代理人签署和盖公章(原件)的书面质疑后七个工作日内，对质疑内容做出答复。如投标人在中标公告公告期届满之日起七个工作日后向招标代理机构提出质疑或质疑未经投标人法定代表人或参加投标的代理人签署和盖公章(原件)，招标代理机构有权对该质疑不予答复。</w:t>
      </w:r>
      <w:r/>
    </w:p>
    <w:p>
      <w:pPr>
        <w:ind w:firstLine="482"/>
        <w:jc w:val="left"/>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3</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.合同</w:t>
      </w:r>
      <w:r>
        <w:rPr>
          <w:rFonts w:hint="eastAsia" w:ascii="宋体" w:hAnsi="宋体" w:eastAsia="宋体" w:cs="宋体"/>
          <w:b/>
          <w:color w:val="auto"/>
          <w:sz w:val="24"/>
          <w:szCs w:val="24"/>
          <w:highlight w:val="none"/>
        </w:rPr>
        <w:t xml:space="preserve">授予标准</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30.1</w:t>
      </w:r>
      <w:r>
        <w:rPr>
          <w:rFonts w:hint="eastAsia" w:ascii="宋体" w:hAnsi="宋体" w:eastAsia="宋体" w:cs="宋体"/>
          <w:color w:val="auto"/>
          <w:sz w:val="24"/>
          <w:highlight w:val="none"/>
        </w:rPr>
        <w:t xml:space="preserve">采购人将把合同授予其投标文件在实质上响应投标招标文件要求且按本须知规定评选出的投标人。确定为中标的投标人必须具有实施本合同的能力和资源</w:t>
      </w:r>
      <w:r/>
    </w:p>
    <w:p>
      <w:pPr>
        <w:ind w:firstLine="482"/>
        <w:jc w:val="left"/>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val="zh-CN"/>
        </w:rPr>
        <w:t xml:space="preserve">.中标通知书</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.2中标通知书将成为合同的组成部分，对采购人和中标人具有同等法律效力。</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.3中标通知书发出后，采购人不得违法改变中标结果，中标人无正当理由不得放弃中标。</w:t>
      </w:r>
      <w:r/>
    </w:p>
    <w:p>
      <w:pPr>
        <w:ind w:firstLine="482"/>
        <w:jc w:val="left"/>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32.合同的签订</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最多三十日内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内，按照招标文件及投标文件规定与中标人签订书面合同。</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32.2采购人与中标人所签订的合同不得对招标文件确定的事项和中标人投标文件作实质性修改，采购人不得向中标人提出任何不合理的要求作为签订合同的条件。</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.代理服务费</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33.1中标单位须按前附表的规定计算并支付代理服务费，该费用应在领取合同前付清。</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33.2中标单位如果未按规定缴纳代理服务费，招标代理机构将保留诉讼的权利。</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zh-CN"/>
        </w:rPr>
        <w:t xml:space="preserve">.监督</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34.1政府有关监督部门将对招投标全过程进行监督。</w:t>
      </w:r>
      <w:r/>
    </w:p>
    <w:p>
      <w:pPr>
        <w:ind w:firstLine="482"/>
        <w:jc w:val="left"/>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w:t>
      </w: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zh-CN"/>
        </w:rPr>
        <w:t xml:space="preserve">.未尽事宜</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按《中华人民共和国政府采购法》及其他有关政府采购的法律法规的规定执行。</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b w:val="0"/>
          <w:color w:val="auto"/>
          <w:sz w:val="52"/>
          <w:highlight w:val="none"/>
        </w:rPr>
      </w:pPr>
      <w:r/>
      <w:bookmarkStart w:id="5" w:name="_Toc520073483"/>
      <w:r>
        <w:rPr>
          <w:rFonts w:hint="eastAsia" w:ascii="宋体" w:hAnsi="宋体" w:eastAsia="宋体" w:cs="宋体"/>
          <w:color w:val="auto"/>
          <w:sz w:val="52"/>
          <w:highlight w:val="none"/>
        </w:rPr>
        <w:t xml:space="preserve">第三章</w:t>
      </w:r>
      <w:r>
        <w:rPr>
          <w:rFonts w:hint="eastAsia" w:ascii="宋体" w:hAnsi="宋体" w:eastAsia="宋体" w:cs="宋体"/>
          <w:color w:val="auto"/>
          <w:sz w:val="52"/>
          <w:highlight w:val="none"/>
          <w:lang w:val="en-US" w:eastAsia="zh-CN"/>
        </w:rPr>
        <w:t xml:space="preserve">  </w:t>
      </w:r>
      <w:r>
        <w:rPr>
          <w:rFonts w:hint="eastAsia" w:ascii="宋体" w:hAnsi="宋体" w:eastAsia="宋体" w:cs="宋体"/>
          <w:color w:val="auto"/>
          <w:sz w:val="52"/>
          <w:highlight w:val="none"/>
        </w:rPr>
        <w:t xml:space="preserve">投标文件格式</w:t>
      </w:r>
      <w:bookmarkEnd w:id="5"/>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727"/>
        <w:ind w:firstLine="0"/>
        <w:jc w:val="left"/>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对本章所有的格式，投标人可根据自身情况进行补充和修改，但补充和修改不得造成与本格式内容有实质性的违背。</w:t>
      </w:r>
      <w:r/>
    </w:p>
    <w:p>
      <w:pPr>
        <w:pStyle w:val="727"/>
        <w:ind w:firstLine="26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 w:val="28"/>
          <w:highlight w:val="none"/>
        </w:rPr>
        <w:br w:type="page" w:clear="all"/>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rPr>
        <w:t xml:space="preserve">、</w:t>
      </w:r>
      <w:r>
        <w:rPr>
          <w:rFonts w:hint="eastAsia" w:ascii="宋体" w:hAnsi="宋体" w:eastAsia="宋体" w:cs="宋体"/>
          <w:b/>
          <w:color w:val="auto"/>
          <w:szCs w:val="24"/>
          <w:highlight w:val="none"/>
        </w:rPr>
        <w:t xml:space="preserve">开标一览表</w:t>
      </w:r>
      <w:r/>
    </w:p>
    <w:p>
      <w:pPr>
        <w:jc w:val="center"/>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开标一览表</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投标人全称（加盖公章）：</w:t>
      </w:r>
      <w:bookmarkStart w:id="6" w:name="TBR"/>
      <w:r/>
      <w:bookmarkEnd w:id="6"/>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  </w:t>
      </w:r>
      <w:bookmarkStart w:id="7" w:name="XMBH"/>
      <w:r/>
      <w:bookmarkEnd w:id="7"/>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8" w:name="FBH"/>
      <w:r/>
      <w:bookmarkEnd w:id="8"/>
      <w:r/>
      <w:r/>
    </w:p>
    <w:tbl>
      <w:tblPr>
        <w:tblStyle w:val="72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lang w:eastAsia="zh-CN"/>
              </w:rPr>
            </w:pPr>
            <w:r/>
            <w:bookmarkStart w:id="9" w:name="XMMC"/>
            <w:r/>
            <w:bookmarkEnd w:id="9"/>
            <w:r>
              <w:rPr>
                <w:rFonts w:hint="eastAsia" w:ascii="宋体" w:hAnsi="宋体" w:eastAsia="宋体" w:cs="宋体"/>
                <w:color w:val="auto"/>
                <w:sz w:val="24"/>
                <w:szCs w:val="24"/>
                <w:highlight w:val="none"/>
                <w:lang w:eastAsia="zh-CN"/>
              </w:rPr>
              <w:t xml:space="preserve">医疗设备等一批</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both"/>
              <w:spacing w:line="600" w:lineRule="exact"/>
              <w:widowControl/>
              <w:rPr>
                <w:rFonts w:hint="eastAsia" w:ascii="宋体" w:hAnsi="宋体" w:eastAsia="宋体" w:cs="宋体"/>
                <w:color w:val="auto"/>
                <w:sz w:val="24"/>
                <w:szCs w:val="24"/>
                <w:highlight w:val="none"/>
                <w:u w:val="single"/>
                <w:lang w:val="en-US" w:eastAsia="zh-CN"/>
              </w:rPr>
            </w:pPr>
            <w:r/>
            <w:bookmarkStart w:id="10" w:name="JEDX"/>
            <w:r/>
            <w:bookmarkEnd w:id="10"/>
            <w:r/>
            <w:r/>
          </w:p>
        </w:tc>
      </w:tr>
    </w:tbl>
    <w:p>
      <w:pPr>
        <w:ind w:left="1024"/>
        <w:jc w:val="both"/>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bookmarkStart w:id="11" w:name="NF"/>
      <w:r/>
      <w:bookmarkEnd w:id="11"/>
      <w:r>
        <w:rPr>
          <w:rFonts w:hint="eastAsia" w:ascii="宋体" w:hAnsi="宋体" w:eastAsia="宋体" w:cs="宋体"/>
          <w:color w:val="auto"/>
          <w:sz w:val="24"/>
          <w:szCs w:val="24"/>
          <w:highlight w:val="none"/>
        </w:rPr>
        <w:t xml:space="preserve"> 年 </w:t>
      </w:r>
      <w:bookmarkStart w:id="12" w:name="YF"/>
      <w:r/>
      <w:bookmarkEnd w:id="12"/>
      <w:r>
        <w:rPr>
          <w:rFonts w:hint="eastAsia" w:ascii="宋体" w:hAnsi="宋体" w:eastAsia="宋体" w:cs="宋体"/>
          <w:color w:val="auto"/>
          <w:sz w:val="24"/>
          <w:szCs w:val="24"/>
          <w:highlight w:val="none"/>
        </w:rPr>
        <w:t xml:space="preserve">  月 </w:t>
      </w:r>
      <w:bookmarkStart w:id="13" w:name="RI"/>
      <w:r/>
      <w:bookmarkEnd w:id="13"/>
      <w:r>
        <w:rPr>
          <w:rFonts w:hint="eastAsia" w:ascii="宋体" w:hAnsi="宋体" w:eastAsia="宋体" w:cs="宋体"/>
          <w:color w:val="auto"/>
          <w:sz w:val="24"/>
          <w:szCs w:val="24"/>
          <w:highlight w:val="none"/>
        </w:rPr>
        <w:t xml:space="preserve">  日</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ind w:left="0" w:firstLine="480"/>
        <w:jc w:val="both"/>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如有分包，投标人投任何一个包的标的，都需单独填写开标一览表。</w:t>
      </w:r>
      <w:r/>
    </w:p>
    <w:p>
      <w:pPr>
        <w:ind w:left="0" w:firstLine="2560"/>
        <w:jc w:val="both"/>
        <w:widowControl/>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276"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eastAsia="zh-CN"/>
        </w:rPr>
        <w:t xml:space="preserve">投标报价明细表</w:t>
      </w:r>
      <w:r/>
    </w:p>
    <w:p>
      <w:pPr>
        <w:pStyle w:val="729"/>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center"/>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b/>
          <w:color w:val="auto"/>
          <w:sz w:val="24"/>
          <w:szCs w:val="24"/>
          <w:highlight w:val="none"/>
          <w:lang w:eastAsia="zh-CN"/>
        </w:rPr>
        <w:t xml:space="preserve">投标报价明细表</w:t>
      </w:r>
      <w:r/>
    </w:p>
    <w:p>
      <w:pPr>
        <w:ind w:firstLine="360"/>
        <w:jc w:val="left"/>
        <w:spacing w:line="360" w:lineRule="auto"/>
        <w:tabs>
          <w:tab w:val="left" w:pos="70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招标编号：</w:t>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53"/>
        <w:gridCol w:w="970"/>
        <w:gridCol w:w="1502"/>
        <w:gridCol w:w="840"/>
        <w:gridCol w:w="878"/>
        <w:gridCol w:w="970"/>
        <w:gridCol w:w="1347"/>
        <w:gridCol w:w="942"/>
      </w:tblGrid>
      <w:tr>
        <w:trPr>
          <w:jc w:val="center"/>
          <w:trHeight w:val="90"/>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品牌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型号</w:t>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生产厂家</w:t>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386"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958"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37"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12"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3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7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46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cantSplit/>
          <w:jc w:val="center"/>
          <w:trHeight w:val="843"/>
        </w:trPr>
        <w:tc>
          <w:tcPr>
            <w:tcW w:w="386"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w:t>
            </w:r>
            <w:r/>
          </w:p>
        </w:tc>
        <w:tc>
          <w:tcPr>
            <w:gridSpan w:val="8"/>
            <w:tcW w:w="4613" w:type="pct"/>
            <w:vAlign w:val="center"/>
            <w:textDirection w:val="lrTb"/>
            <w:noWrap w:val="false"/>
          </w:tcPr>
          <w:p>
            <w:pPr>
              <w:ind w:firstLine="60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u w:val="single"/>
              </w:rPr>
              <w:t xml:space="preserve">                            （￥          ）</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注：明细总价须与开标一览表一致。</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07"/>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《中小企业声明函》或《残疾人福利性单位声明函》或省级以上监狱管理局、戒毒管理局（含新疆生产建设兵团）出具的属于监狱企业的证明文件</w:t>
      </w:r>
      <w:r/>
    </w:p>
    <w:p>
      <w:pPr>
        <w:jc w:val="center"/>
        <w:spacing w:line="360" w:lineRule="auto"/>
        <w:widowControl w:val="off"/>
        <w:rPr>
          <w:rFonts w:hint="default" w:ascii="宋体" w:hAnsi="宋体" w:eastAsia="楷体_GB2312" w:cs="Times New Roman"/>
          <w:b/>
          <w:color w:val="auto"/>
          <w:spacing w:val="6"/>
          <w:sz w:val="24"/>
          <w:szCs w:val="24"/>
          <w:highlight w:val="none"/>
        </w:rPr>
      </w:pPr>
      <w:r>
        <w:rPr>
          <w:rFonts w:hint="eastAsia" w:ascii="宋体" w:hAnsi="宋体" w:eastAsia="宋体" w:cs="Times New Roman"/>
          <w:b/>
          <w:color w:val="auto"/>
          <w:sz w:val="24"/>
          <w:szCs w:val="24"/>
          <w:highlight w:val="none"/>
        </w:rPr>
        <w:t xml:space="preserve">中小企业声明函（货物）</w:t>
      </w:r>
      <w:r/>
    </w:p>
    <w:p>
      <w:pPr>
        <w:ind w:firstLine="480"/>
        <w:jc w:val="both"/>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lang w:val="zh-CN"/>
        </w:rPr>
        <w:t xml:space="preserve">本公司（联合体）郑重声明，根据《政府采购促进中小企业发展管理办法》（财库﹝2020﹞46 号）的规定，本公司（联合体）参加</w:t>
      </w:r>
      <w:r>
        <w:rPr>
          <w:rFonts w:hint="default" w:ascii="宋体" w:hAnsi="宋体" w:eastAsia="宋体" w:cs="Times New Roman"/>
          <w:color w:val="auto"/>
          <w:sz w:val="24"/>
          <w:szCs w:val="24"/>
          <w:highlight w:val="none"/>
          <w:u w:val="single"/>
          <w:lang w:val="zh-CN"/>
        </w:rPr>
        <w:t xml:space="preserve">（单位名称）</w:t>
      </w:r>
      <w:r>
        <w:rPr>
          <w:rFonts w:hint="default" w:ascii="宋体" w:hAnsi="宋体" w:eastAsia="宋体" w:cs="Times New Roman"/>
          <w:color w:val="auto"/>
          <w:sz w:val="24"/>
          <w:szCs w:val="24"/>
          <w:highlight w:val="none"/>
          <w:lang w:val="zh-CN"/>
        </w:rPr>
        <w:t xml:space="preserve">的</w:t>
      </w:r>
      <w:r>
        <w:rPr>
          <w:rFonts w:hint="eastAsia" w:ascii="宋体" w:hAnsi="宋体" w:eastAsia="宋体" w:cs="Times New Roman"/>
          <w:bCs/>
          <w:color w:val="auto"/>
          <w:sz w:val="24"/>
          <w:szCs w:val="24"/>
          <w:highlight w:val="none"/>
          <w:u w:val="single"/>
        </w:rPr>
        <w:t xml:space="preserve">（项目名称）</w:t>
      </w:r>
      <w:r>
        <w:rPr>
          <w:rFonts w:hint="default" w:ascii="宋体" w:hAnsi="宋体" w:eastAsia="宋体" w:cs="Times New Roman"/>
          <w:color w:val="auto"/>
          <w:sz w:val="24"/>
          <w:szCs w:val="24"/>
          <w:highlight w:val="none"/>
          <w:lang w:val="zh-CN"/>
        </w:rPr>
        <w:t xml:space="preserve">采购活动，</w:t>
      </w:r>
      <w:r>
        <w:rPr>
          <w:rFonts w:hint="eastAsia" w:ascii="宋体" w:hAnsi="宋体" w:eastAsia="宋体" w:cs="Times New Roman"/>
          <w:color w:val="auto"/>
          <w:sz w:val="24"/>
          <w:szCs w:val="24"/>
          <w:highlight w:val="none"/>
        </w:rPr>
        <w:t xml:space="preserve">提供的货物全部由符合政策要求的中小企业制造。</w:t>
      </w:r>
      <w:r>
        <w:rPr>
          <w:rFonts w:hint="default" w:ascii="宋体" w:hAnsi="宋体" w:eastAsia="宋体" w:cs="Times New Roman"/>
          <w:color w:val="auto"/>
          <w:sz w:val="24"/>
          <w:szCs w:val="24"/>
          <w:highlight w:val="none"/>
          <w:lang w:val="zh-CN"/>
        </w:rPr>
        <w:t xml:space="preserve">相关企业（含联合体中的中小企业、签订分包意向协议的中小企业）的具体情况如下：</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1.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 </w:t>
      </w:r>
      <w:r>
        <w:rPr>
          <w:rFonts w:hint="default" w:ascii="宋体" w:hAnsi="宋体" w:eastAsia="宋体" w:cs="Times New Roman"/>
          <w:color w:val="auto"/>
          <w:sz w:val="24"/>
          <w:szCs w:val="24"/>
          <w:highlight w:val="none"/>
          <w:u w:val="single"/>
          <w:lang w:val="zh-CN"/>
        </w:rPr>
        <w:t xml:space="preserve">（标的名称）</w:t>
      </w:r>
      <w:r>
        <w:rPr>
          <w:rFonts w:hint="default" w:ascii="宋体" w:hAnsi="宋体" w:eastAsia="宋体" w:cs="Times New Roman"/>
          <w:color w:val="auto"/>
          <w:sz w:val="24"/>
          <w:szCs w:val="24"/>
          <w:highlight w:val="none"/>
          <w:lang w:val="zh-CN"/>
        </w:rPr>
        <w:t xml:space="preserve">，属于</w:t>
      </w:r>
      <w:r>
        <w:rPr>
          <w:rFonts w:hint="eastAsia" w:ascii="宋体" w:hAnsi="宋体" w:eastAsia="宋体" w:cs="Times New Roman"/>
          <w:color w:val="auto"/>
          <w:sz w:val="24"/>
          <w:szCs w:val="24"/>
          <w:highlight w:val="none"/>
          <w:u w:val="single"/>
          <w:lang w:val="zh-CN"/>
        </w:rPr>
        <w:t xml:space="preserve"> 工业 </w:t>
      </w:r>
      <w:r>
        <w:rPr>
          <w:rFonts w:hint="default"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lang w:val="zh-CN"/>
        </w:rPr>
        <w:t xml:space="preserve">制造商</w:t>
      </w:r>
      <w:r>
        <w:rPr>
          <w:rFonts w:hint="default" w:ascii="宋体" w:hAnsi="宋体" w:eastAsia="宋体" w:cs="Times New Roman"/>
          <w:color w:val="auto"/>
          <w:sz w:val="24"/>
          <w:szCs w:val="24"/>
          <w:highlight w:val="none"/>
          <w:lang w:val="zh-CN"/>
        </w:rPr>
        <w:t xml:space="preserve">为</w:t>
      </w:r>
      <w:r>
        <w:rPr>
          <w:rFonts w:hint="default" w:ascii="宋体" w:hAnsi="宋体" w:eastAsia="宋体" w:cs="Times New Roman"/>
          <w:color w:val="auto"/>
          <w:sz w:val="24"/>
          <w:szCs w:val="24"/>
          <w:highlight w:val="none"/>
          <w:u w:val="single"/>
          <w:lang w:val="zh-CN"/>
        </w:rPr>
        <w:t xml:space="preserve">（企业名称）</w:t>
      </w:r>
      <w:r>
        <w:rPr>
          <w:rFonts w:hint="default" w:ascii="宋体" w:hAnsi="宋体" w:eastAsia="宋体" w:cs="Times New Roman"/>
          <w:color w:val="auto"/>
          <w:sz w:val="24"/>
          <w:szCs w:val="24"/>
          <w:highlight w:val="none"/>
          <w:lang w:val="zh-CN"/>
        </w:rPr>
        <w:t xml:space="preserve">，从业人员</w:t>
      </w:r>
      <w:r>
        <w:rPr>
          <w:rFonts w:hint="eastAsia"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人，营业收入为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万元，资产总额为</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lang w:val="zh-CN"/>
        </w:rPr>
        <w:t xml:space="preserve">万元，属于</w:t>
      </w:r>
      <w:r>
        <w:rPr>
          <w:rFonts w:hint="default" w:ascii="宋体" w:hAnsi="宋体" w:eastAsia="宋体" w:cs="Times New Roman"/>
          <w:color w:val="auto"/>
          <w:sz w:val="24"/>
          <w:szCs w:val="24"/>
          <w:highlight w:val="none"/>
          <w:u w:val="single"/>
          <w:lang w:val="zh-CN"/>
        </w:rPr>
        <w:t xml:space="preserve">（中型企业、小型企业、微型企业</w:t>
      </w:r>
      <w:r>
        <w:rPr>
          <w:rFonts w:hint="eastAsia" w:ascii="宋体" w:hAnsi="宋体" w:eastAsia="宋体" w:cs="Times New Roman"/>
          <w:color w:val="auto"/>
          <w:sz w:val="24"/>
          <w:szCs w:val="24"/>
          <w:highlight w:val="none"/>
          <w:u w:val="single"/>
          <w:lang w:val="zh-CN"/>
        </w:rPr>
        <w:t xml:space="preserve">，三者选一填写</w:t>
      </w:r>
      <w:r>
        <w:rPr>
          <w:rFonts w:hint="default" w:ascii="宋体" w:hAnsi="宋体" w:eastAsia="宋体" w:cs="Times New Roman"/>
          <w:color w:val="auto"/>
          <w:sz w:val="24"/>
          <w:szCs w:val="24"/>
          <w:highlight w:val="none"/>
          <w:u w:val="single"/>
          <w:lang w:val="zh-CN"/>
        </w:rPr>
        <w:t xml:space="preserve">）</w:t>
      </w: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jc w:val="both"/>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本企业对上述声明内容的真实性负责。如有虚假，将依法承担相应责任。</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企业名称（盖章）：</w:t>
      </w:r>
      <w:r>
        <w:rPr>
          <w:rFonts w:hint="eastAsia" w:ascii="宋体" w:hAnsi="宋体" w:eastAsia="宋体" w:cs="Times New Roman"/>
          <w:color w:val="auto"/>
          <w:sz w:val="24"/>
          <w:szCs w:val="24"/>
          <w:highlight w:val="none"/>
          <w:lang w:val="zh-CN"/>
        </w:rPr>
        <w:t xml:space="preserve">          </w:t>
      </w:r>
      <w:r/>
    </w:p>
    <w:p>
      <w:pPr>
        <w:ind w:firstLine="480"/>
        <w:jc w:val="right"/>
        <w:spacing w:line="360"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日期：</w:t>
      </w:r>
      <w:r>
        <w:rPr>
          <w:rFonts w:hint="eastAsia" w:ascii="宋体" w:hAnsi="宋体" w:eastAsia="宋体" w:cs="Times New Roman"/>
          <w:color w:val="auto"/>
          <w:sz w:val="24"/>
          <w:szCs w:val="24"/>
          <w:highlight w:val="none"/>
          <w:lang w:val="zh-CN"/>
        </w:rPr>
        <w:t xml:space="preserve">          </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备注：</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1.</w:t>
      </w:r>
      <w:r>
        <w:rPr>
          <w:rFonts w:hint="default" w:ascii="宋体" w:hAnsi="宋体" w:eastAsia="宋体" w:cs="Times New Roman"/>
          <w:color w:val="auto"/>
          <w:sz w:val="24"/>
          <w:szCs w:val="24"/>
          <w:highlight w:val="none"/>
          <w:lang w:val="zh-CN"/>
        </w:rPr>
        <w:t xml:space="preserve">从业人员、营业收入、资产总额填报上一年度数据，无上一年度数据的新成立企业可不填报。</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2</w:t>
      </w:r>
      <w:r>
        <w:rPr>
          <w:rFonts w:hint="eastAsia" w:ascii="宋体" w:hAnsi="宋体" w:eastAsia="宋体" w:cs="Times New Roman"/>
          <w:color w:val="auto"/>
          <w:sz w:val="24"/>
          <w:szCs w:val="24"/>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p>
    <w:p>
      <w:pPr>
        <w:ind w:firstLine="480"/>
        <w:jc w:val="both"/>
        <w:spacing w:line="276" w:lineRule="auto"/>
        <w:widowControl w:val="off"/>
        <w:rPr>
          <w:rFonts w:hint="default"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3</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jc w:val="both"/>
        <w:spacing w:line="276" w:lineRule="auto"/>
        <w:widowControl w:val="off"/>
        <w:rPr>
          <w:rFonts w:hint="eastAsia" w:ascii="宋体" w:hAnsi="宋体" w:eastAsia="宋体" w:cs="Times New Roman"/>
          <w:color w:val="auto"/>
          <w:sz w:val="24"/>
          <w:szCs w:val="24"/>
          <w:highlight w:val="none"/>
          <w:lang w:val="zh-CN"/>
        </w:rPr>
      </w:pPr>
      <w:r>
        <w:rPr>
          <w:rFonts w:hint="default"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zh-CN"/>
        </w:rPr>
        <w:t xml:space="preserve">.</w:t>
      </w:r>
      <w:r>
        <w:rPr>
          <w:rFonts w:hint="default" w:ascii="宋体" w:hAnsi="宋体" w:eastAsia="宋体" w:cs="Times New Roman"/>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auto"/>
          <w:sz w:val="24"/>
          <w:szCs w:val="24"/>
          <w:highlight w:val="none"/>
          <w:lang w:val="zh-CN"/>
        </w:rPr>
        <w:t xml:space="preserve">。</w:t>
      </w:r>
      <w:r/>
    </w:p>
    <w:p>
      <w:pPr>
        <w:ind w:firstLine="482"/>
        <w:jc w:val="both"/>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br w:type="page" w:clear="all"/>
      </w:r>
      <w:r/>
    </w:p>
    <w:p>
      <w:pPr>
        <w:jc w:val="center"/>
        <w:spacing w:line="360" w:lineRule="auto"/>
        <w:widowControl w:val="off"/>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残疾人福利性单位声明函</w:t>
      </w:r>
      <w:r/>
    </w:p>
    <w:p>
      <w:pPr>
        <w:jc w:val="left"/>
        <w:spacing w:line="360" w:lineRule="auto"/>
        <w:widowControl w:val="off"/>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本单位对上述声明的真实性负责。如有虚假，将依法承担相应责任。</w:t>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jc w:val="left"/>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908"/>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pStyle w:val="908"/>
        <w:ind w:left="3400" w:firstLine="22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907"/>
        <w:jc w:val="left"/>
        <w:spacing w:line="360" w:lineRule="auto"/>
        <w:rPr>
          <w:rFonts w:hint="eastAsia" w:ascii="宋体" w:hAnsi="宋体" w:eastAsia="宋体" w:cs="宋体"/>
          <w:b/>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法定代表人授权委托书</w:t>
      </w:r>
      <w:r/>
    </w:p>
    <w:p>
      <w:pPr>
        <w:jc w:val="center"/>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法定代表人授权委托书</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  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（投标人名称）的法定代表人，现授权委托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zh-CN"/>
        </w:rPr>
        <w:t xml:space="preserve">姓名</w:t>
      </w:r>
      <w:r>
        <w:rPr>
          <w:rFonts w:hint="eastAsia" w:ascii="宋体" w:hAnsi="宋体" w:eastAsia="宋体" w:cs="宋体"/>
          <w:color w:val="auto"/>
          <w:sz w:val="24"/>
          <w:szCs w:val="24"/>
          <w:highlight w:val="none"/>
          <w:lang w:val="en-US" w:eastAsia="zh-CN"/>
        </w:rPr>
        <w:t xml:space="preserve">及身份证号码</w:t>
      </w:r>
      <w:r>
        <w:rPr>
          <w:rFonts w:hint="eastAsia" w:ascii="宋体" w:hAnsi="宋体" w:eastAsia="宋体" w:cs="宋体"/>
          <w:color w:val="auto"/>
          <w:sz w:val="24"/>
          <w:highlight w:val="none"/>
        </w:rPr>
        <w:t xml:space="preserve">）为我公司代理人，以本公司的名义参加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（采购人名称）组织实施的编号为</w:t>
      </w:r>
      <w:r>
        <w:rPr>
          <w:rFonts w:hint="eastAsia" w:ascii="宋体" w:hAnsi="宋体" w:eastAsia="宋体" w:cs="宋体"/>
          <w:bCs/>
          <w:color w:val="auto"/>
          <w:sz w:val="24"/>
          <w:szCs w:val="24"/>
          <w:highlight w:val="none"/>
          <w:u w:val="single"/>
          <w:lang w:val="zh-CN"/>
        </w:rPr>
        <w:t xml:space="preserve">JSZC-320583-LHZX-G2024-0029</w:t>
      </w:r>
      <w:r>
        <w:rPr>
          <w:rFonts w:hint="eastAsia" w:ascii="宋体" w:hAnsi="宋体" w:eastAsia="宋体" w:cs="宋体"/>
          <w:color w:val="auto"/>
          <w:sz w:val="24"/>
          <w:highlight w:val="none"/>
        </w:rPr>
        <w:t xml:space="preserve">号的采购活动。代理人在投标、开标、评标、合同订立和履行过程中所签署的一切文件和处理与这有关的一切事务，我均予以承认。</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代理人无转委托权。特此委托。</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both"/>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276"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、投标函</w:t>
      </w:r>
      <w:r/>
    </w:p>
    <w:p>
      <w:pPr>
        <w:jc w:val="center"/>
        <w:spacing w:line="360" w:lineRule="auto"/>
        <w:widowControl/>
        <w:rPr>
          <w:rFonts w:hint="eastAsia" w:ascii="宋体" w:hAnsi="宋体" w:eastAsia="宋体" w:cs="宋体"/>
          <w:b/>
          <w:color w:val="auto"/>
          <w:sz w:val="24"/>
          <w:highlight w:val="none"/>
          <w:lang w:val="zh-CN"/>
        </w:rPr>
        <w:outlineLvl w:val="0"/>
      </w:pPr>
      <w:r/>
      <w:bookmarkStart w:id="14" w:name="_Hlk136550814"/>
      <w:r>
        <w:rPr>
          <w:rFonts w:hint="eastAsia" w:ascii="宋体" w:hAnsi="宋体" w:eastAsia="宋体" w:cs="宋体"/>
          <w:b/>
          <w:color w:val="auto"/>
          <w:sz w:val="24"/>
          <w:highlight w:val="none"/>
          <w:lang w:val="zh-CN"/>
        </w:rPr>
        <w:t xml:space="preserve">投标函</w:t>
      </w:r>
      <w:r/>
    </w:p>
    <w:p>
      <w:pPr>
        <w:pStyle w:val="747"/>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我方收到贵公司</w:t>
      </w:r>
      <w:r>
        <w:rPr>
          <w:rFonts w:hint="eastAsia" w:ascii="宋体" w:hAnsi="宋体" w:eastAsia="宋体" w:cs="宋体"/>
          <w:bCs/>
          <w:color w:val="auto"/>
          <w:sz w:val="24"/>
          <w:szCs w:val="24"/>
          <w:highlight w:val="none"/>
          <w:u w:val="single"/>
          <w:lang w:val="zh-CN"/>
        </w:rPr>
        <w:t xml:space="preserve">JSZC-320583-LHZX-G2024-0029</w:t>
      </w:r>
      <w:r>
        <w:rPr>
          <w:rFonts w:hint="eastAsia" w:ascii="宋体" w:hAnsi="宋体" w:eastAsia="宋体" w:cs="宋体"/>
          <w:color w:val="auto"/>
          <w:sz w:val="24"/>
          <w:highlight w:val="none"/>
        </w:rPr>
        <w:t xml:space="preserve">号招标文件，经仔细阅读和研究，我方决定参加投标。</w:t>
      </w:r>
      <w:r/>
    </w:p>
    <w:p>
      <w:pPr>
        <w:ind w:firstLine="480"/>
        <w:jc w:val="left"/>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bCs/>
          <w:color w:val="auto"/>
          <w:sz w:val="24"/>
          <w:highlight w:val="none"/>
        </w:rPr>
        <w:t xml:space="preserve">报价</w:t>
      </w:r>
      <w:r>
        <w:rPr>
          <w:rFonts w:hint="eastAsia" w:ascii="宋体" w:hAnsi="宋体" w:eastAsia="宋体" w:cs="宋体"/>
          <w:bCs/>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rPr>
          <w:rFonts w:hint="eastAsia" w:ascii="宋体" w:hAnsi="宋体" w:eastAsia="宋体" w:cs="宋体"/>
          <w:bCs/>
          <w:color w:val="auto"/>
          <w:sz w:val="24"/>
          <w:highlight w:val="none"/>
        </w:rPr>
        <w:t xml:space="preserve">投标报价为最终报价，除非因特殊原因并经买卖双方协商同意，投标人不得再要求追加任何费用。</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3、我方同意按招标文件中的规定，本投标书的有效期限为投标截止之日起</w:t>
      </w:r>
      <w:r>
        <w:rPr>
          <w:rFonts w:hint="eastAsia" w:ascii="宋体" w:hAnsi="宋体" w:eastAsia="宋体" w:cs="宋体"/>
          <w:color w:val="auto"/>
          <w:sz w:val="24"/>
          <w:highlight w:val="none"/>
          <w:u w:val="single"/>
          <w:lang w:val="en-US" w:eastAsia="zh-CN"/>
        </w:rPr>
        <w:t xml:space="preserve">90</w:t>
      </w:r>
      <w:r>
        <w:rPr>
          <w:rFonts w:hint="eastAsia" w:ascii="宋体" w:hAnsi="宋体" w:eastAsia="宋体" w:cs="宋体"/>
          <w:color w:val="auto"/>
          <w:sz w:val="24"/>
          <w:highlight w:val="none"/>
        </w:rPr>
        <w:t xml:space="preserve">天，如果我方在开标后规定的投标有效期内撤回投标，我方愿接受处罚。</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5、我方认为贵方有权决定中标者，还认为贵方有权接受或拒绝所有的投标者。</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6、我方愿意遵守招标公告及招标文件中所列的收费标准。</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8、我方同意中标方若无法按约定条款履行义务等行为，招标方有权取消我方的中标资格。</w:t>
      </w:r>
      <w:r/>
    </w:p>
    <w:p>
      <w:pPr>
        <w:ind w:firstLine="480"/>
        <w:jc w:val="left"/>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9、与本投标有关的通讯地址：</w:t>
      </w:r>
      <w:r/>
    </w:p>
    <w:p>
      <w:pPr>
        <w:pStyle w:val="747"/>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    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 系 人：</w:t>
      </w:r>
      <w:r>
        <w:rPr>
          <w:rFonts w:hint="eastAsia" w:ascii="宋体" w:hAnsi="宋体" w:eastAsia="宋体" w:cs="宋体"/>
          <w:color w:val="auto"/>
          <w:highlight w:val="none"/>
          <w:u w:val="none"/>
        </w:rPr>
        <w:t xml:space="preserve">_____________________</w:t>
      </w:r>
      <w:r/>
    </w:p>
    <w:p>
      <w:pPr>
        <w:pStyle w:val="747"/>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邮政编码：</w:t>
      </w:r>
      <w:r>
        <w:rPr>
          <w:rFonts w:hint="eastAsia" w:ascii="宋体" w:hAnsi="宋体" w:eastAsia="宋体" w:cs="宋体"/>
          <w:color w:val="auto"/>
          <w:highlight w:val="none"/>
          <w:u w:val="none"/>
        </w:rPr>
        <w:t xml:space="preserve">_____________________</w:t>
      </w:r>
      <w:r/>
    </w:p>
    <w:p>
      <w:pPr>
        <w:pStyle w:val="747"/>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none"/>
        </w:rPr>
        <w:t xml:space="preserve">_____________________</w:t>
      </w:r>
      <w:r/>
    </w:p>
    <w:p>
      <w:pPr>
        <w:pStyle w:val="747"/>
        <w:ind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电子邮箱：</w:t>
      </w:r>
      <w:r>
        <w:rPr>
          <w:rFonts w:hint="eastAsia" w:ascii="宋体" w:hAnsi="宋体" w:eastAsia="宋体" w:cs="宋体"/>
          <w:color w:val="auto"/>
          <w:highlight w:val="none"/>
          <w:u w:val="none"/>
        </w:rPr>
        <w:t xml:space="preserve">______________________________</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bookmarkEnd w:id="14"/>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Cs w:val="24"/>
          <w:highlight w:val="none"/>
          <w:lang w:val="en-US" w:eastAsia="zh-CN"/>
        </w:rPr>
        <w:t xml:space="preserve">6、</w:t>
      </w:r>
      <w:r>
        <w:rPr>
          <w:rFonts w:hint="eastAsia" w:ascii="宋体" w:hAnsi="宋体" w:eastAsia="宋体" w:cs="宋体"/>
          <w:b/>
          <w:color w:val="auto"/>
          <w:szCs w:val="24"/>
          <w:highlight w:val="none"/>
        </w:rPr>
        <w:t xml:space="preserve">关于资格文件的声明函</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p>
    <w:p>
      <w:pPr>
        <w:pStyle w:val="727"/>
        <w:ind w:left="0"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本公司愿就由贵公司组织实施的编号为</w:t>
      </w:r>
      <w:r>
        <w:rPr>
          <w:rFonts w:hint="eastAsia" w:ascii="宋体" w:hAnsi="宋体" w:eastAsia="宋体" w:cs="宋体"/>
          <w:color w:val="auto"/>
          <w:sz w:val="24"/>
          <w:highlight w:val="none"/>
          <w:u w:val="single"/>
          <w:lang w:eastAsia="zh-CN"/>
        </w:rPr>
        <w:t xml:space="preserve">JSZC-320583-LHZX-G2024-0029</w:t>
      </w:r>
      <w:r>
        <w:rPr>
          <w:rFonts w:hint="eastAsia" w:ascii="宋体" w:hAnsi="宋体" w:eastAsia="宋体" w:cs="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907"/>
        <w:jc w:val="righ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07"/>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27"/>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09"/>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color w:val="auto"/>
          <w:highlight w:val="none"/>
        </w:rPr>
        <w:br w:type="page" w:clear="all"/>
      </w: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情况表</w:t>
      </w:r>
      <w:r/>
    </w:p>
    <w:p>
      <w:pPr>
        <w:pStyle w:val="727"/>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投标人</w:t>
      </w:r>
      <w:r>
        <w:rPr>
          <w:rFonts w:hint="eastAsia" w:ascii="宋体" w:hAnsi="宋体" w:eastAsia="宋体" w:cs="宋体"/>
          <w:b/>
          <w:color w:val="auto"/>
          <w:szCs w:val="24"/>
          <w:highlight w:val="none"/>
          <w:lang w:val="en-US" w:eastAsia="zh-CN"/>
        </w:rPr>
        <w:t xml:space="preserve">基本</w:t>
      </w:r>
      <w:r>
        <w:rPr>
          <w:rFonts w:hint="eastAsia" w:ascii="宋体" w:hAnsi="宋体" w:eastAsia="宋体" w:cs="宋体"/>
          <w:b/>
          <w:color w:val="auto"/>
          <w:szCs w:val="24"/>
          <w:highlight w:val="none"/>
        </w:rPr>
        <w:t xml:space="preserve">情况表</w:t>
      </w:r>
      <w:r/>
    </w:p>
    <w:tbl>
      <w:tblPr>
        <w:tblStyle w:val="725"/>
        <w:tblpPr w:horzAnchor="page" w:tblpX="1292" w:vertAnchor="text" w:tblpY="288" w:leftFromText="180" w:topFromText="0" w:rightFromText="180" w:bottomFromText="0"/>
        <w:tblW w:w="9564"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98"/>
        <w:gridCol w:w="1923"/>
        <w:gridCol w:w="1458"/>
        <w:gridCol w:w="2051"/>
        <w:gridCol w:w="1234"/>
      </w:tblGrid>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p>
        </w:tc>
        <w:tc>
          <w:tcPr>
            <w:gridSpan w:val="2"/>
            <w:tcW w:w="3285" w:type="dxa"/>
            <w:vAlign w:val="center"/>
            <w:textDirection w:val="lrTb"/>
            <w:noWrap w:val="false"/>
          </w:tcPr>
          <w:p>
            <w:pPr>
              <w:pStyle w:val="727"/>
              <w:ind w:firstLine="216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509"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p>
        </w:tc>
        <w:tc>
          <w:tcPr>
            <w:tcW w:w="1234"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2023</w:t>
            </w:r>
            <w:r>
              <w:rPr>
                <w:rFonts w:hint="eastAsia" w:ascii="宋体" w:hAnsi="宋体" w:eastAsia="宋体" w:cs="宋体"/>
                <w:color w:val="auto"/>
                <w:szCs w:val="24"/>
                <w:highlight w:val="none"/>
              </w:rPr>
              <w:t xml:space="preserve">年    万元</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2023</w:t>
            </w:r>
            <w:r>
              <w:rPr>
                <w:rFonts w:hint="eastAsia" w:ascii="宋体" w:hAnsi="宋体" w:eastAsia="宋体" w:cs="宋体"/>
                <w:color w:val="auto"/>
                <w:szCs w:val="24"/>
                <w:highlight w:val="none"/>
              </w:rPr>
              <w:t xml:space="preserve">年   万元</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p>
        </w:tc>
        <w:tc>
          <w:tcPr>
            <w:tcW w:w="1923"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p>
        </w:tc>
        <w:tc>
          <w:tcPr>
            <w:tcW w:w="145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p>
        </w:tc>
        <w:tc>
          <w:tcPr>
            <w:gridSpan w:val="2"/>
            <w:tcW w:w="3285"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p>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w:t>
            </w:r>
            <w:r>
              <w:rPr>
                <w:rFonts w:hint="eastAsia" w:ascii="宋体" w:hAnsi="宋体" w:eastAsia="宋体" w:cs="宋体"/>
                <w:color w:val="auto"/>
                <w:szCs w:val="24"/>
                <w:highlight w:val="none"/>
                <w:lang w:eastAsia="zh-CN"/>
              </w:rPr>
              <w:t xml:space="preserve">自合同签订之日起60日内交货、安装及调试完成</w:t>
            </w:r>
            <w:r>
              <w:rPr>
                <w:rFonts w:hint="eastAsia" w:ascii="宋体" w:hAnsi="宋体" w:eastAsia="宋体" w:cs="宋体"/>
                <w:color w:val="auto"/>
                <w:szCs w:val="24"/>
                <w:highlight w:val="none"/>
              </w:rPr>
              <w:t xml:space="preserve">内在经营过程中受到何种奖励或处分</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cantSplit/>
          <w:trHeight w:val="510"/>
        </w:trPr>
        <w:tc>
          <w:tcPr>
            <w:tcW w:w="2898"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p>
        </w:tc>
        <w:tc>
          <w:tcPr>
            <w:gridSpan w:val="4"/>
            <w:tcW w:w="6666" w:type="dxa"/>
            <w:vAlign w:val="center"/>
            <w:textDirection w:val="lrTb"/>
            <w:noWrap w:val="false"/>
          </w:tcPr>
          <w:p>
            <w:pPr>
              <w:pStyle w:val="727"/>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pStyle w:val="727"/>
        <w:ind w:firstLine="0"/>
        <w:jc w:val="both"/>
        <w:spacing w:line="360" w:lineRule="auto"/>
        <w:rPr>
          <w:rFonts w:hint="eastAsia" w:ascii="宋体" w:hAnsi="宋体" w:eastAsia="宋体" w:cs="宋体"/>
          <w:color w:val="auto"/>
          <w:sz w:val="26"/>
          <w:szCs w:val="24"/>
          <w:highlight w:val="none"/>
        </w:rPr>
        <w:outlineLvl w:val="1"/>
      </w:pPr>
      <w:r>
        <w:rPr>
          <w:rFonts w:hint="eastAsia" w:ascii="宋体" w:hAnsi="宋体" w:eastAsia="宋体" w:cs="宋体"/>
          <w:b/>
          <w:color w:val="auto"/>
          <w:highlight w:val="none"/>
          <w:lang w:val="en-US" w:eastAsia="zh-CN"/>
        </w:rPr>
        <w:br w:type="page" w:clear="all"/>
      </w:r>
      <w:bookmarkStart w:id="15" w:name="_Hlk136550733"/>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商务条款偏离表</w:t>
      </w:r>
      <w:r/>
    </w:p>
    <w:p>
      <w:pPr>
        <w:pStyle w:val="727"/>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商务条款偏离表</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41"/>
        <w:gridCol w:w="2675"/>
        <w:gridCol w:w="2675"/>
        <w:gridCol w:w="1913"/>
      </w:tblGrid>
      <w:tr>
        <w:trPr/>
        <w:tc>
          <w:tcPr>
            <w:tcW w:w="387"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50"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商务内容</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招标文件的商务条款</w:t>
            </w:r>
            <w:r/>
          </w:p>
        </w:tc>
        <w:tc>
          <w:tcPr>
            <w:tcW w:w="1312"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938" w:type="pct"/>
            <w:vAlign w:val="top"/>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387"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0"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12"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38" w:type="pct"/>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注：投标人的投标文件（除</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部分）与招标文件规定的有偏离的，应在此表中说明。未在上表中说明的，如在投标文件其他内容中已有文字说明的，则以已有文字说明为准。但该表不作为投标人对所投标的物关于商务条款等详细描述和说明的替代。</w:t>
      </w:r>
      <w:bookmarkEnd w:id="15"/>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55"/>
        <w:ind w:left="0" w:firstLine="0"/>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9、</w:t>
      </w:r>
      <w:r>
        <w:rPr>
          <w:rFonts w:hint="eastAsia" w:ascii="宋体" w:hAnsi="宋体" w:eastAsia="宋体" w:cs="宋体"/>
          <w:b/>
          <w:color w:val="auto"/>
          <w:sz w:val="24"/>
          <w:szCs w:val="24"/>
          <w:highlight w:val="none"/>
          <w:lang w:val="zh-CN" w:eastAsia="zh-CN" w:bidi="ar-SA"/>
        </w:rPr>
        <w:t xml:space="preserve">远程参与开标会议诚信承诺书</w:t>
      </w:r>
      <w:r/>
    </w:p>
    <w:p>
      <w:pPr>
        <w:rPr>
          <w:rFonts w:ascii="宋体" w:hAnsi="宋体" w:eastAsia="宋体"/>
          <w:bCs/>
          <w:color w:val="auto"/>
          <w:sz w:val="24"/>
          <w:highlight w:val="none"/>
        </w:rPr>
      </w:pPr>
      <w:r>
        <w:rPr>
          <w:rFonts w:ascii="宋体" w:hAnsi="宋体" w:eastAsia="宋体"/>
          <w:bCs/>
          <w:color w:val="auto"/>
          <w:sz w:val="24"/>
          <w:highlight w:val="none"/>
        </w:rPr>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远程参与开标会议诚信承诺书</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w:t>
      </w:r>
      <w:r>
        <w:rPr>
          <w:rFonts w:hint="eastAsia" w:ascii="宋体" w:hAnsi="宋体" w:eastAsia="宋体" w:cs="宋体"/>
          <w:color w:val="auto"/>
          <w:sz w:val="24"/>
          <w:szCs w:val="24"/>
          <w:highlight w:val="none"/>
          <w:u w:val="single"/>
        </w:rPr>
        <w:t xml:space="preserve">___________________</w:t>
      </w:r>
      <w:r>
        <w:rPr>
          <w:rFonts w:hint="eastAsia" w:ascii="宋体" w:hAnsi="宋体" w:eastAsia="宋体" w:cs="宋体"/>
          <w:color w:val="auto"/>
          <w:sz w:val="24"/>
          <w:szCs w:val="24"/>
          <w:highlight w:val="none"/>
        </w:rPr>
        <w:t xml:space="preserve">（项目名称及项目编号）的投标（响应），并做出如下承诺：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一、除不可抗力外，我单位如果发生以下行为，将在行为发生的10个工作日内，向贵方支付本招标文件公布的预算价的2%作为违约赔偿金。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1.在招标文件规定的投标(响应)有效期内实质上修改或撤回投标（响应）；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ascii="宋体" w:hAnsi="宋体" w:eastAsia="宋体"/>
          <w:bCs/>
          <w:color w:val="auto"/>
          <w:sz w:val="24"/>
          <w:highlight w:val="none"/>
        </w:rPr>
      </w:pPr>
      <w:r>
        <w:rPr>
          <w:rFonts w:ascii="宋体" w:hAnsi="宋体" w:eastAsia="宋体"/>
          <w:bCs/>
          <w:color w:val="auto"/>
          <w:sz w:val="24"/>
          <w:highlight w:val="none"/>
        </w:rPr>
      </w:r>
      <w:r/>
    </w:p>
    <w:p>
      <w:pPr>
        <w:pStyle w:val="909"/>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r>
      <w:r/>
    </w:p>
    <w:p>
      <w:pPr>
        <w:pStyle w:val="909"/>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09"/>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09"/>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09"/>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w:t>
      </w:r>
      <w:r>
        <w:rPr>
          <w:rFonts w:hint="eastAsia" w:hAnsi="宋体" w:eastAsia="宋体" w:cs="宋体"/>
          <w:b/>
          <w:color w:val="auto"/>
          <w:sz w:val="24"/>
          <w:szCs w:val="24"/>
          <w:highlight w:val="none"/>
          <w:lang w:eastAsia="zh-CN"/>
        </w:rPr>
        <w:t xml:space="preserve">技术要求偏离表</w:t>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27"/>
        <w:ind w:firstLine="0"/>
        <w:jc w:val="center"/>
        <w:spacing w:line="360" w:lineRule="auto"/>
        <w:tabs>
          <w:tab w:val="left" w:pos="900" w:leader="none"/>
        </w:tabs>
        <w:rPr>
          <w:rFonts w:hint="eastAsia" w:ascii="宋体" w:hAnsi="宋体" w:eastAsia="宋体" w:cs="宋体"/>
          <w:b/>
          <w:color w:val="auto"/>
          <w:szCs w:val="24"/>
          <w:highlight w:val="none"/>
        </w:rPr>
      </w:pPr>
      <w:r>
        <w:rPr>
          <w:rFonts w:hint="eastAsia" w:ascii="宋体" w:hAnsi="宋体" w:eastAsia="宋体" w:cs="宋体"/>
          <w:b/>
          <w:color w:val="auto"/>
          <w:szCs w:val="24"/>
          <w:highlight w:val="none"/>
          <w:lang w:eastAsia="zh-CN"/>
        </w:rPr>
        <w:t xml:space="preserve">技术要求偏离表</w:t>
      </w:r>
      <w:r/>
    </w:p>
    <w:tbl>
      <w:tblPr>
        <w:tblStyle w:val="725"/>
        <w:tblW w:w="10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42"/>
        <w:gridCol w:w="2299"/>
        <w:gridCol w:w="2268"/>
        <w:gridCol w:w="1559"/>
        <w:gridCol w:w="1238"/>
      </w:tblGrid>
      <w:tr>
        <w:trPr>
          <w:jc w:val="center"/>
        </w:trPr>
        <w:tc>
          <w:tcPr>
            <w:tcW w:w="71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42"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内容</w:t>
            </w:r>
            <w:r/>
          </w:p>
        </w:tc>
        <w:tc>
          <w:tcPr>
            <w:tcW w:w="229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226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要求条款</w:t>
            </w:r>
            <w:r/>
          </w:p>
        </w:tc>
        <w:tc>
          <w:tcPr>
            <w:tcW w:w="1559" w:type="dxa"/>
            <w:vAlign w:val="center"/>
            <w:textDirection w:val="lrTb"/>
            <w:noWrap w:val="false"/>
          </w:tcPr>
          <w:p>
            <w:pPr>
              <w:jc w:val="center"/>
              <w:widowControl/>
              <w:rPr>
                <w:rFonts w:hint="eastAsia" w:ascii="宋体" w:hAnsi="宋体" w:eastAsia="宋体" w:cs="宋体"/>
                <w:color w:val="auto"/>
                <w:sz w:val="24"/>
                <w:highlight w:val="none"/>
              </w:rPr>
            </w:pPr>
            <w:r>
              <w:rPr>
                <w:rStyle w:val="910"/>
                <w:rFonts w:hint="eastAsia" w:ascii="宋体" w:hAnsi="宋体" w:eastAsia="宋体" w:cs="宋体"/>
                <w:color w:val="auto"/>
                <w:highlight w:val="none"/>
              </w:rPr>
              <w:t xml:space="preserve">偏离/响应</w:t>
            </w:r>
            <w:r/>
          </w:p>
        </w:tc>
        <w:tc>
          <w:tcPr>
            <w:tcW w:w="1238"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W w:w="71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42"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9"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6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center"/>
            <w:textDirection w:val="lrTb"/>
            <w:noWrap w:val="false"/>
          </w:tcPr>
          <w:p>
            <w:pPr>
              <w:jc w:val="center"/>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8" w:type="dxa"/>
            <w:vAlign w:val="top"/>
            <w:textDirection w:val="lrTb"/>
            <w:noWrap w:val="false"/>
          </w:tcPr>
          <w:p>
            <w:pPr>
              <w:jc w:val="left"/>
              <w:spacing w:before="240" w:after="24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注：1、投标人应对照招标文件</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要求，所投标的物与招标文件的规定有偏离的，应在此表中申明与</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要求条文的偏差和例外。</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909"/>
        <w:numPr>
          <w:ilvl w:val="0"/>
          <w:numId w:val="0"/>
        </w:numPr>
        <w:spacing w:line="360" w:lineRule="auto"/>
        <w:rPr>
          <w:rFonts w:hint="eastAsia" w:hAnsi="宋体" w:eastAsia="宋体" w:cs="Times New Roman"/>
          <w:b/>
          <w:color w:val="auto"/>
          <w:sz w:val="24"/>
          <w:szCs w:val="24"/>
          <w:highlight w:val="none"/>
          <w:lang w:val="en-US" w:eastAsia="zh-CN"/>
        </w:rPr>
        <w:outlineLvl w:val="1"/>
      </w:pPr>
      <w:r>
        <w:rPr>
          <w:rFonts w:hint="eastAsia"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val="en-US" w:eastAsia="zh-CN"/>
        </w:rPr>
        <w:t xml:space="preserve">、</w:t>
      </w:r>
      <w:r>
        <w:rPr>
          <w:rFonts w:hint="eastAsia" w:hAnsi="宋体" w:eastAsia="宋体" w:cs="Times New Roman"/>
          <w:b/>
          <w:color w:val="auto"/>
          <w:sz w:val="24"/>
          <w:szCs w:val="24"/>
          <w:highlight w:val="none"/>
          <w:lang w:val="en-US" w:eastAsia="zh-CN"/>
        </w:rPr>
        <w:t xml:space="preserve">品牌、规格、材质、生产厂家说明</w:t>
      </w:r>
      <w:r/>
    </w:p>
    <w:p>
      <w:pPr>
        <w:pStyle w:val="909"/>
        <w:numPr>
          <w:ilvl w:val="0"/>
          <w:numId w:val="0"/>
        </w:numPr>
        <w:jc w:val="both"/>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p>
      <w:pPr>
        <w:pStyle w:val="909"/>
        <w:numPr>
          <w:ilvl w:val="0"/>
          <w:numId w:val="0"/>
        </w:numPr>
        <w:jc w:val="center"/>
        <w:spacing w:line="360" w:lineRule="auto"/>
        <w:widowControl w:val="off"/>
        <w:rPr>
          <w:rFonts w:hint="eastAsia" w:hAnsi="宋体" w:eastAsia="宋体" w:cs="Times New Roman"/>
          <w:b/>
          <w:color w:val="auto"/>
          <w:sz w:val="24"/>
          <w:szCs w:val="24"/>
          <w:highlight w:val="none"/>
          <w:lang w:val="en-US" w:eastAsia="zh-CN"/>
        </w:rPr>
        <w:outlineLvl w:val="1"/>
      </w:pPr>
      <w:r>
        <w:rPr>
          <w:rFonts w:hint="eastAsia" w:hAnsi="宋体" w:eastAsia="宋体" w:cs="Times New Roman"/>
          <w:b/>
          <w:color w:val="auto"/>
          <w:sz w:val="24"/>
          <w:szCs w:val="24"/>
          <w:highlight w:val="none"/>
          <w:lang w:val="en-US" w:eastAsia="zh-CN"/>
        </w:rPr>
        <w:t xml:space="preserve">品牌、规格、材质、生产厂家说明</w:t>
      </w:r>
      <w:r/>
    </w:p>
    <w:p>
      <w:pPr>
        <w:pStyle w:val="909"/>
        <w:numPr>
          <w:ilvl w:val="0"/>
          <w:numId w:val="0"/>
        </w:numPr>
        <w:jc w:val="center"/>
        <w:spacing w:line="360" w:lineRule="auto"/>
        <w:widowControl w:val="off"/>
        <w:rPr>
          <w:rFonts w:hint="default" w:hAnsi="宋体" w:eastAsia="宋体" w:cs="Times New Roman"/>
          <w:b/>
          <w:color w:val="auto"/>
          <w:sz w:val="24"/>
          <w:szCs w:val="24"/>
          <w:highlight w:val="none"/>
          <w:lang w:val="en-US" w:eastAsia="zh-CN"/>
        </w:rPr>
        <w:outlineLvl w:val="1"/>
      </w:pPr>
      <w:r>
        <w:rPr>
          <w:rFonts w:hint="default" w:hAnsi="宋体" w:eastAsia="宋体" w:cs="Times New Roman"/>
          <w:b/>
          <w:color w:val="auto"/>
          <w:sz w:val="24"/>
          <w:szCs w:val="24"/>
          <w:highlight w:val="none"/>
          <w:lang w:val="en-US" w:eastAsia="zh-CN"/>
        </w:rPr>
      </w:r>
      <w:r/>
    </w:p>
    <w:tbl>
      <w:tblPr>
        <w:tblStyle w:val="7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234"/>
        <w:gridCol w:w="1617"/>
        <w:gridCol w:w="2655"/>
        <w:gridCol w:w="1542"/>
        <w:gridCol w:w="1236"/>
        <w:gridCol w:w="1026"/>
      </w:tblGrid>
      <w:tr>
        <w:trPr>
          <w:jc w:val="center"/>
          <w:trHeight w:val="454"/>
        </w:trPr>
        <w:tc>
          <w:tcPr>
            <w:tcW w:w="431"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序号</w:t>
            </w:r>
            <w:r/>
          </w:p>
        </w:tc>
        <w:tc>
          <w:tcPr>
            <w:tcW w:w="605"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品名</w:t>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产品外形尺寸</w:t>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品牌、规格、材质</w:t>
            </w:r>
            <w:r/>
          </w:p>
        </w:tc>
        <w:tc>
          <w:tcPr>
            <w:tcW w:w="756"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生产厂家</w:t>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交付时间</w:t>
            </w:r>
            <w:r/>
          </w:p>
        </w:tc>
        <w:tc>
          <w:tcPr>
            <w:tcW w:w="50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使用年限</w:t>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454"/>
        </w:trPr>
        <w:tc>
          <w:tcPr>
            <w:tcW w:w="431"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5" w:type="pct"/>
            <w:vAlign w:val="top"/>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9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2"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75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06"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03" w:type="pct"/>
            <w:vAlign w:val="center"/>
            <w:textDirection w:val="lrTb"/>
            <w:noWrap w:val="false"/>
          </w:tcPr>
          <w:p>
            <w:pPr>
              <w:jc w:val="center"/>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pStyle w:val="909"/>
        <w:spacing w:line="360" w:lineRule="auto"/>
        <w:rPr>
          <w:rFonts w:hint="eastAsia" w:ascii="宋体" w:hAnsi="宋体" w:eastAsia="宋体" w:cs="Times New Roman"/>
          <w:b/>
          <w:color w:val="auto"/>
          <w:highlight w:val="none"/>
          <w:lang w:val="en-US" w:eastAsia="zh-CN"/>
        </w:rPr>
        <w:outlineLvl w:val="1"/>
      </w:pPr>
      <w:r>
        <w:rPr>
          <w:rFonts w:hint="eastAsia" w:ascii="宋体" w:hAnsi="宋体" w:eastAsia="宋体" w:cs="Times New Roman"/>
          <w:b/>
          <w:color w:val="auto"/>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pStyle w:val="727"/>
        <w:ind w:firstLine="0"/>
        <w:jc w:val="left"/>
        <w:spacing w:line="360" w:lineRule="auto"/>
        <w:rPr>
          <w:rFonts w:hint="eastAsia" w:ascii="宋体" w:hAnsi="宋体" w:eastAsia="宋体" w:cs="宋体"/>
          <w:b/>
          <w:color w:val="auto"/>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5"/>
        <w:ind w:left="0" w:firstLine="0"/>
        <w:rPr>
          <w:rFonts w:hint="eastAsia"/>
          <w:color w:val="auto"/>
          <w:highlight w:val="none"/>
        </w:rPr>
      </w:pPr>
      <w:r>
        <w:rPr>
          <w:rFonts w:hint="eastAsia" w:ascii="宋体" w:hAnsi="宋体" w:eastAsia="宋体" w:cs="宋体"/>
          <w:color w:val="auto"/>
          <w:sz w:val="24"/>
          <w:szCs w:val="24"/>
          <w:highlight w:val="none"/>
          <w:lang w:val="en-US" w:eastAsia="zh-CN"/>
        </w:rPr>
        <w:br w:type="page" w:clear="all"/>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企业类似业绩一览表</w:t>
      </w:r>
      <w:r/>
    </w:p>
    <w:p>
      <w:pPr>
        <w:pStyle w:val="733"/>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bookmarkStart w:id="16" w:name="_Toc13642115"/>
      <w:r>
        <w:rPr>
          <w:rFonts w:hint="eastAsia" w:ascii="宋体" w:hAnsi="宋体" w:eastAsia="宋体" w:cs="宋体"/>
          <w:b/>
          <w:color w:val="auto"/>
          <w:sz w:val="24"/>
          <w:szCs w:val="24"/>
          <w:highlight w:val="none"/>
        </w:rPr>
        <w:t xml:space="preserve">企业类似业绩一览表</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034"/>
        <w:gridCol w:w="1136"/>
        <w:gridCol w:w="2295"/>
        <w:gridCol w:w="1722"/>
        <w:gridCol w:w="1093"/>
        <w:gridCol w:w="1407"/>
        <w:gridCol w:w="847"/>
      </w:tblGrid>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55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844" w:type="pct"/>
            <w:vAlign w:val="center"/>
            <w:textDirection w:val="lrTb"/>
            <w:noWrap w:val="false"/>
          </w:tcPr>
          <w:p>
            <w:pPr>
              <w:jc w:val="center"/>
              <w:spacing w:line="360" w:lineRule="auto"/>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3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7" w:type="pc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3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9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firstLine="48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注：若事项较多，投标人可根据投标内容的实际情况另纸说明。</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投标人（盖章）： </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法定代表人或代理人（签字或盖章）：</w:t>
      </w:r>
      <w:r>
        <w:rPr>
          <w:rFonts w:hint="eastAsia" w:ascii="宋体" w:hAnsi="宋体" w:eastAsia="宋体" w:cs="宋体"/>
          <w:color w:val="auto"/>
          <w:sz w:val="24"/>
          <w:szCs w:val="24"/>
          <w:highlight w:val="none"/>
          <w:lang w:val="en-US" w:eastAsia="zh-CN"/>
        </w:rPr>
        <w:t xml:space="preserve">           </w:t>
      </w:r>
      <w:r/>
    </w:p>
    <w:p>
      <w:pPr>
        <w:jc w:val="both"/>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lang w:val="en-US" w:eastAsia="zh-CN"/>
        </w:rPr>
        <w:t xml:space="preserve">                </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jc w:val="center"/>
        <w:rPr>
          <w:rFonts w:hint="eastAsia" w:ascii="宋体" w:hAnsi="宋体" w:eastAsia="宋体" w:cs="宋体"/>
          <w:color w:val="auto"/>
          <w:sz w:val="52"/>
          <w:szCs w:val="52"/>
          <w:highlight w:val="none"/>
        </w:rPr>
      </w:pPr>
      <w:r/>
      <w:bookmarkStart w:id="17" w:name="_Toc520073484"/>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第四章 </w:t>
      </w:r>
      <w:bookmarkEnd w:id="16"/>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招标书</w:t>
      </w:r>
      <w:bookmarkEnd w:id="17"/>
      <w:r/>
      <w:r/>
    </w:p>
    <w:p>
      <w:pPr>
        <w:jc w:val="left"/>
        <w:widowControl/>
        <w:rPr>
          <w:rFonts w:hint="eastAsia" w:ascii="宋体" w:hAnsi="宋体" w:eastAsia="宋体" w:cs="宋体"/>
          <w:color w:val="auto"/>
          <w:sz w:val="24"/>
          <w:highlight w:val="none"/>
        </w:rPr>
      </w:pPr>
      <w:r/>
      <w:bookmarkStart w:id="18" w:name="_Toc13543212"/>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招标书</w:t>
      </w:r>
      <w:bookmarkEnd w:id="18"/>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苏州乐慧招投标咨询有限公司受</w:t>
      </w:r>
      <w:r>
        <w:rPr>
          <w:rFonts w:hint="eastAsia" w:ascii="宋体" w:hAnsi="宋体" w:eastAsia="宋体" w:cs="宋体"/>
          <w:color w:val="auto"/>
          <w:sz w:val="24"/>
          <w:highlight w:val="none"/>
          <w:lang w:eastAsia="zh-CN"/>
        </w:rPr>
        <w:t xml:space="preserve">昆山市精神卫生中心</w:t>
      </w:r>
      <w:r>
        <w:rPr>
          <w:rFonts w:hint="eastAsia" w:ascii="宋体" w:hAnsi="宋体" w:eastAsia="宋体" w:cs="宋体"/>
          <w:color w:val="auto"/>
          <w:sz w:val="24"/>
          <w:highlight w:val="none"/>
        </w:rPr>
        <w:t xml:space="preserve">的委托，就其所需</w:t>
      </w:r>
      <w:r>
        <w:rPr>
          <w:rFonts w:hint="eastAsia" w:ascii="宋体" w:hAnsi="宋体" w:eastAsia="宋体" w:cs="宋体"/>
          <w:color w:val="auto"/>
          <w:sz w:val="24"/>
          <w:highlight w:val="none"/>
          <w:lang w:eastAsia="zh-CN"/>
        </w:rPr>
        <w:t xml:space="preserve">医疗设备等一批</w:t>
      </w:r>
      <w:r>
        <w:rPr>
          <w:rFonts w:hint="eastAsia" w:ascii="宋体" w:hAnsi="宋体" w:eastAsia="宋体" w:cs="宋体"/>
          <w:color w:val="auto"/>
          <w:sz w:val="24"/>
          <w:highlight w:val="none"/>
        </w:rPr>
        <w:t xml:space="preserve">项目采用公开招标方式进行采购，欢迎有资格的供应商前来参加本次采购。</w:t>
      </w:r>
      <w:r/>
    </w:p>
    <w:p>
      <w:pPr>
        <w:ind w:firstLine="482"/>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一、招标编号：</w:t>
      </w:r>
      <w:r>
        <w:rPr>
          <w:rFonts w:hint="eastAsia" w:ascii="宋体" w:hAnsi="宋体" w:eastAsia="宋体" w:cs="宋体"/>
          <w:color w:val="auto"/>
          <w:sz w:val="24"/>
          <w:highlight w:val="none"/>
          <w:lang w:eastAsia="zh-CN"/>
        </w:rPr>
        <w:t xml:space="preserve">JSZC-320583-LHZX-G2024-0029</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二、项目名称：</w:t>
      </w:r>
      <w:r>
        <w:rPr>
          <w:rFonts w:hint="eastAsia" w:ascii="宋体" w:hAnsi="宋体" w:eastAsia="宋体" w:cs="宋体"/>
          <w:bCs/>
          <w:color w:val="auto"/>
          <w:sz w:val="24"/>
          <w:highlight w:val="none"/>
          <w:lang w:eastAsia="zh-CN"/>
        </w:rPr>
        <w:t xml:space="preserve">医疗设备等一批</w:t>
      </w:r>
      <w:r>
        <w:rPr>
          <w:rFonts w:hint="eastAsia" w:ascii="宋体" w:hAnsi="宋体" w:eastAsia="宋体" w:cs="宋体"/>
          <w:bCs/>
          <w:color w:val="auto"/>
          <w:sz w:val="24"/>
          <w:highlight w:val="none"/>
        </w:rPr>
        <w:t xml:space="preserve">项目</w:t>
      </w:r>
      <w:r/>
    </w:p>
    <w:p>
      <w:pPr>
        <w:ind w:firstLine="482"/>
        <w:jc w:val="both"/>
        <w:spacing w:line="360" w:lineRule="auto"/>
        <w:widowControl w:val="off"/>
        <w:rPr>
          <w:rFonts w:hint="eastAsia" w:ascii="宋体" w:hAnsi="宋体" w:eastAsia="宋体" w:cs="宋体"/>
          <w:bCs/>
          <w:color w:val="auto"/>
          <w:szCs w:val="24"/>
          <w:highlight w:val="none"/>
        </w:rPr>
      </w:pPr>
      <w:r>
        <w:rPr>
          <w:rFonts w:hint="eastAsia" w:ascii="宋体" w:hAnsi="宋体" w:eastAsia="宋体" w:cs="宋体"/>
          <w:b/>
          <w:bCs/>
          <w:color w:val="auto"/>
          <w:sz w:val="24"/>
          <w:highlight w:val="none"/>
        </w:rPr>
        <w:t xml:space="preserve">三、项目预算</w:t>
      </w:r>
      <w:r>
        <w:rPr>
          <w:rFonts w:hint="eastAsia" w:ascii="宋体" w:hAnsi="宋体" w:eastAsia="宋体" w:cs="宋体"/>
          <w:b/>
          <w:bCs/>
          <w:color w:val="auto"/>
          <w:sz w:val="24"/>
          <w:highlight w:val="none"/>
          <w:lang w:eastAsia="zh-CN"/>
        </w:rPr>
        <w:t xml:space="preserve">：</w:t>
      </w:r>
      <w:r>
        <w:rPr>
          <w:rFonts w:hint="eastAsia" w:ascii="宋体" w:hAnsi="宋体" w:eastAsia="宋体" w:cs="宋体"/>
          <w:bCs/>
          <w:color w:val="auto"/>
          <w:sz w:val="24"/>
          <w:highlight w:val="none"/>
          <w:lang w:eastAsia="zh-CN"/>
        </w:rPr>
        <w:t xml:space="preserve">人民币伍佰玖拾伍万玖仟元整（¥5959000.00）</w:t>
      </w:r>
      <w:r/>
    </w:p>
    <w:p>
      <w:pPr>
        <w:ind w:firstLine="482"/>
        <w:jc w:val="both"/>
        <w:spacing w:line="360" w:lineRule="auto"/>
        <w:widowControl w:val="off"/>
        <w:rPr>
          <w:rFonts w:hint="eastAsia" w:ascii="宋体" w:hAnsi="宋体" w:eastAsia="宋体" w:cs="宋体"/>
          <w:b/>
          <w:bCs/>
          <w:color w:val="auto"/>
          <w:sz w:val="24"/>
          <w:highlight w:val="none"/>
          <w:lang w:eastAsia="zh-CN"/>
        </w:rPr>
      </w:pPr>
      <w:r/>
      <w:bookmarkStart w:id="19" w:name="_Toc291668811"/>
      <w:r/>
      <w:bookmarkStart w:id="20" w:name="_Toc13642116"/>
      <w:r>
        <w:rPr>
          <w:rFonts w:hint="eastAsia" w:ascii="宋体" w:hAnsi="宋体" w:eastAsia="宋体" w:cs="宋体"/>
          <w:b/>
          <w:bCs/>
          <w:color w:val="auto"/>
          <w:sz w:val="24"/>
          <w:highlight w:val="none"/>
          <w:lang w:val="en-US" w:eastAsia="zh-CN"/>
        </w:rPr>
        <w:t xml:space="preserve">四、招标内容</w:t>
      </w:r>
      <w:r>
        <w:rPr>
          <w:rFonts w:hint="eastAsia" w:ascii="宋体" w:hAnsi="宋体" w:eastAsia="宋体" w:cs="宋体"/>
          <w:b/>
          <w:bCs/>
          <w:color w:val="auto"/>
          <w:sz w:val="24"/>
          <w:highlight w:val="none"/>
          <w:lang w:eastAsia="zh-CN"/>
        </w:rPr>
        <w:t xml:space="preserve">：</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1、采购清单：</w:t>
      </w:r>
      <w:r/>
    </w:p>
    <w:tbl>
      <w:tblPr>
        <w:tblStyle w:val="75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983"/>
        <w:gridCol w:w="1252"/>
        <w:gridCol w:w="1389"/>
        <w:gridCol w:w="1829"/>
        <w:gridCol w:w="1819"/>
      </w:tblGrid>
      <w:tr>
        <w:trPr>
          <w:jc w:val="center"/>
        </w:trPr>
        <w:tc>
          <w:tcPr>
            <w:tcW w:w="450"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3"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r/>
          </w:p>
        </w:tc>
        <w:tc>
          <w:tcPr>
            <w:tcW w:w="614"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681"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89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rPr>
              <w:t xml:space="preserve">（元）</w:t>
            </w:r>
            <w:r/>
          </w:p>
        </w:tc>
        <w:tc>
          <w:tcPr>
            <w:tcW w:w="892"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总价限价（元）</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远程超声诊断系统</w:t>
            </w:r>
            <w:r/>
          </w:p>
        </w:tc>
        <w:tc>
          <w:tcPr>
            <w:tcW w:w="614" w:type="pct"/>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2800000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2800000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PSG监测</w:t>
            </w:r>
            <w:r/>
          </w:p>
        </w:tc>
        <w:tc>
          <w:tcPr>
            <w:tcW w:w="61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490000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490000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数字脑电图机</w:t>
            </w:r>
            <w:r/>
          </w:p>
        </w:tc>
        <w:tc>
          <w:tcPr>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精神压力分析仪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脑反射治疗仪（脑波）</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160000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160000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团体生物反馈</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680000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680000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认知功能障碍治疗软件（</w:t>
            </w:r>
            <w:r>
              <w:rPr>
                <w:rFonts w:hint="eastAsia" w:ascii="宋体" w:hAnsi="宋体" w:eastAsia="宋体" w:cs="宋体"/>
                <w:color w:val="auto"/>
                <w:sz w:val="24"/>
                <w:szCs w:val="24"/>
                <w:highlight w:val="none"/>
              </w:rPr>
              <w:t xml:space="preserve">CCRT</w:t>
            </w:r>
            <w:r>
              <w:rPr>
                <w:rFonts w:hint="eastAsia" w:ascii="宋体" w:hAnsi="宋体" w:eastAsia="宋体" w:cs="宋体"/>
                <w:color w:val="auto"/>
                <w:sz w:val="24"/>
                <w:szCs w:val="24"/>
                <w:highlight w:val="none"/>
                <w:lang w:val="en-US" w:eastAsia="zh-CN"/>
              </w:rPr>
              <w:t xml:space="preserve">）</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600000</w:t>
            </w:r>
            <w:r/>
          </w:p>
        </w:tc>
      </w:tr>
      <w:tr>
        <w:trPr>
          <w:jc w:val="center"/>
        </w:trPr>
        <w:tc>
          <w:tcPr>
            <w:tcW w:w="45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经颅磁刺激治疗仪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心理CT</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300000</w:t>
            </w:r>
            <w:r/>
          </w:p>
        </w:tc>
      </w:tr>
      <w:tr>
        <w:trPr>
          <w:jc w:val="center"/>
        </w:trPr>
        <w:tc>
          <w:tcPr>
            <w:tcW w:w="45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1463"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睡眠呼吸初筛仪</w:t>
            </w:r>
            <w:r/>
          </w:p>
        </w:tc>
        <w:tc>
          <w:tcPr>
            <w:shd w:val="clear" w:color="auto" w:fill="auto"/>
            <w:tcW w:w="614"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shd w:val="clear" w:color="auto" w:fill="auto"/>
            <w:tcW w:w="68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台</w:t>
            </w:r>
            <w:r/>
          </w:p>
        </w:tc>
        <w:tc>
          <w:tcPr>
            <w:shd w:val="clear" w:color="auto" w:fill="auto"/>
            <w:tcW w:w="897" w:type="pct"/>
            <w:vAlign w:val="center"/>
            <w:textDirection w:val="lrTb"/>
            <w:noWrap w:val="false"/>
          </w:tcPr>
          <w:p>
            <w:pPr>
              <w:jc w:val="center"/>
              <w:rPr>
                <w:rFonts w:hint="default"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29000</w:t>
            </w:r>
            <w:r/>
          </w:p>
        </w:tc>
        <w:tc>
          <w:tcPr>
            <w:shd w:val="clear" w:color="auto" w:fill="auto"/>
            <w:tcW w:w="892"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29000</w:t>
            </w:r>
            <w:r/>
          </w:p>
        </w:tc>
      </w:tr>
    </w:tbl>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注：各项的单价及总价不可超过对应最高限价，否则视为无效投标。</w:t>
      </w:r>
      <w:r/>
    </w:p>
    <w:p>
      <w:pPr>
        <w:ind w:firstLine="480"/>
        <w:jc w:val="both"/>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2、技术参数要求：</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（一）远程超声诊断系统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1.系统：由医生端与病人端组成，医生端可供医生远程操作探头及调节超声参数，病人端通过机械臂和超声模块配合医生端进行扫查，病人端采集的超声图像通过网络实时传输至医生端进行诊断。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2.设备用途：用于腹部、泌尿、妇科、浅表、小器官、外周血管等远程超声诊断。</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3.医生端子系统：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3.1支持多路病人端与医生端切换自由控制；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3.2采用17”和 21.5”双LED 彩色临床医用显示器，显示器位置和角度可调；</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★3.3传感融合技术六自由度仿形操作手系统，可实时同时操控病人端机械臂位姿和接触力，操控端到端业务延时≤200ms；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3.4仿形探头组件，支持多维控制命令输入，包括位置指令，角度指令；角度指令输入范围为0-180度；</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★3.5远程超声控制面板，可远程实时对病人端超声进行参数调节，如二维、彩色、多普勒、图像回放等，远程调参端到端业务延时≤200ms；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3.6人机工程学肘托，高度调节不小于6cm；</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3.7高清摄像头组件，视频交互端到端业务延时≤200ms；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3.8音频交互系统，音频交互端到端业务延时≤200ms；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3.9以太网口；</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3.10 USB 3.0接口2个；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DP高清显示输出接口，可转接HDMI，VGA。</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4.病人端子系统：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4.1病人端超声机械臂智能交互系统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4.2支持多路医生端与病人端切换自由控制；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4.3柔性可控接触力操控系统；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★4.4六轴协作机械臂执行系统，支持在线实时轨迹控制，控制周期8ms；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4.5机械臂姿态角度与竖直方向最大夹角≥70°；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★4.6机械臂最大稳定接触力阈值范围3-40N，支持医生端多档设置接触力阈值，在阈值范围内，接触力控制误差≤±3N；</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4.7机械臂末端配置高精度超薄六维力传感器，支持接触力控制与力保护控制；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4.8机械臂末端支持快速更换超声探头；</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4.9机械臂末端有效最大载荷5kg；</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★4.10三重安全保护系统，包括急停系统，协作保护系统，力传感保护系统；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4.11机械臂末端执行器有效工作空间（初始原点位于最高平面上的长宽中心），下限：600 mm* 300mm*mm（长宽高），上限：640mm*330 mm *380mm（长宽高）；</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4.12信息化操控传导系统；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4.13远程通讯传输系统；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4.14高容错网络传输机制；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4.15带宽预估技术；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4.16视频弹性编码技术；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4.17信息安全加密传输算法；</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4.18语音交互组件；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4.19组合双摄像头变焦视频系统，高清云台，支持实时变焦；</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4.20蓝牙控制键盘；</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 USB 3.0接口 1个、USB 2.0接口 1个；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 DP 高清显示输出接口，可转接HDMI，VGA。</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5.高端便携彩超诊断系统：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5.1可独立使用一体化便携超声设备；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5.2≥15寸高分辨率彩色液晶显示器；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5.3屏幕上翻可0-135°折叠以调整视角，整机一体式操作面板；</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5.4电池续航时间（实时扫查）：≥0.5小时；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5.5操作键盘：物理键盘，速度可调轨迹球控制；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5.6全数字化超宽频带波束形成器：数字通道≥28672；</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5.7数字化高分辨率二维灰阶成像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5.8谐波成像技术；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5.9彩色多普勒成像；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5.10能量多普勒（CDE/PDI)，方向能量图；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5.11 M模式；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5.12频谱多普勒；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5.13实时血流三同步；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5.14血流的自动频谱分析测量；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5.15实时空间复合成像技术；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5.16自适应图像增强技术，清除斑点噪声，提高组织边界对比分辨率；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5.17频率复合技术，根据深度自适应调整发射频率，并进行复合；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5.18自动多普勒技术；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5.19测量和分析（B模式，M模式，彩色多普勒模式，频谱多普勒模式）；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5.20一般测量（距离、面积、周长、体积、角度、时间、斜率、心率、流 速、压力、流速比等）；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5.21应用测量，具有腹部、泌尿、妇科、浅表、小器官、外周血管等应用软件；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5.22超声图像静态、动态存储、原始数据回放重现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5.23病案管理部件包括：病人信息、报告、图像等的存储、修改、检索和打印等；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5.24输出：HDMI， USB 3.0 ，可扩展支持VGA、S-Video接口，网口；</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5.58输入：电源适配器，ECG（预留），笔式探头（预留），HDMI；</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5.26图像管理与记录装置；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5.27大容量固态硬盘≥240G；</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5.28图像可存储为PC兼容格式；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5.29USB接口支持打印和数据输出；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5.30主机内置探头接口：2个，可支持外接扩展至3个；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5.31配置高频线阵探头，凸阵探头。凸阵探头，1-5MHZ；高频线阵探头，4-15 MHz。</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（二）PSG监测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1.设备主要功能是记录并分析睡眠时各种生理参数，对睡眠障碍、睡眠呼吸紊乱和睡眠呼吸暂停、低通气综合征疾病进行分析、诊断。设备适用于儿童及成人；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的医疗器械注册证中，其适用范围中必须注明所能监测的生理指标，需包含脑电、眼电、肌电（下颌）、下肢肌电、心电、口鼻气流、胸腹呼吸、血氧饱和度、脉率、鼾声、体动、体位、环境光、.CPAP远程压力滴定等重要参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设备导联数≥57，包括脑电（10导）、眼动电（2导）、下颌肌电（2导）、心电（2导）、下肢肌电活动（4导）、呼吸气流（口鼻气流压力和口鼻气流热敏）、胸腹呼吸（独立RIP胸导联、独立RIP腹导联）、脉搏血氧饱和度、脉率、脉搏波、五体位、12D双模块体动、压力鼾声、麦克风鼾声、环境光、主动事件标记、双色工作指示灯、实时阻抗、电池电量、血氧阈值报警、双模组蓝牙通道、高清视频、高清音频、无线外接扩展通道参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4.共模抑制比≥110dB，输入阻抗≥10MΩ，内部噪音≤1.5μVp-p，设备具有24位高采样精度，采样频率即存储频率≥500Hz；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5.设备主机≥2寸液晶内屏，具备钢化全面外屏，钢化屏与液晶内屏之间一体无缝贴合，避免长期使用过程进灰、积累水汽；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6.设备腕部主机可以显示记录状态、患者信息、电池电量、信号状态；</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7.设备采用内置聚合物锂电池供电，容量≥1600mAh，实时监测模式下续航时间≥24小时；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8.腕部主机设备具备Type-C四合一接口；</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9.主机内置双蓝牙模块，可通过电脑端蓝牙无线连接。主机可以通过无线通讯通道，可升级外接呼末、呼吸机等多种外扩无线设备；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★10.设备具有无线遥测功能，通过内置蓝牙模块实现实时无线数据传输功能，发射频率2.4GHz，遵循低功耗蓝牙BLE5.0传输协议，传输稳定，且抗干扰性强；患者可在睡眠监测室自由活动，且不影响数据实时传输；</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★11.设备具有环境光监测功能、鼾声监测功能，其中鼾声支持麦克风鼾声、压力鼾声、高精度拾音器采集鼾声等多种采集方式；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12.设备内存卡≥32Gb；</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13.设备主机具有可连续记录患者数据的功能，并能自动覆盖历史数据；</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14.可对不同信号自定义设置高通滤波、低通滤波、工作频率，帮助临床滤除噪声干扰，获取更加准确的信号；</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★15.具有实时阻抗检测功能、生物定标功能，生物定标时睡眠监测室可以智能语音播报定标指令；</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16.实时在线记录时，可设定最低血氧饱和度的阈值，当患者在监测室实时监测过程中的血氧数值低于设定阈值时，中控室电脑端会发出声音报警，提醒医务人员有异常情况发生；</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17.患者报告可导出为WORD、EXCEL、PDF格式，同时可自定义报告模板；</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★18.具有四种监测方式：血氧探头触发，实时模式，定时模式，物理按键开启模式；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19.软件具有一键导出不同病例患者的各项监测生理指标至Excel中，便于临床医务人员进行科研及其他数据收集操作；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20.分析软件具有全中文操作界面，可生成全中文分析报告，方便临床进行报告分析及制定治疗方案；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21.可以手动或自动分析睡眠分期、呼吸事件、缺氧、肢体运动等事件，并最终生成统计结果和报告；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★22.设备具备硅胶指套、硅胶戒指等多种睡眠监测血氧传感器，不会对人体产生压迫伤，减少发生被动脱落的可能，确保整夜血氧指标监测的完整性；</w:t>
      </w:r>
      <w:r/>
    </w:p>
    <w:p>
      <w:pPr>
        <w:ind w:firstLine="480"/>
        <w:jc w:val="left"/>
        <w:spacing w:line="36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23.视频监测数据与生理监测数据实现同帧同频。</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（三）数字脑电图机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1.采集工作站：</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bookmarkStart w:id="21" w:name="OLE_LINK45"/>
      <w:r>
        <w:rPr>
          <w:rFonts w:hint="eastAsia" w:ascii="宋体" w:hAnsi="宋体" w:eastAsia="宋体" w:cs="宋体"/>
          <w:color w:val="auto"/>
          <w:sz w:val="24"/>
          <w:szCs w:val="24"/>
          <w:highlight w:val="none"/>
          <w:lang w:val="en-US" w:eastAsia="zh-CN"/>
        </w:rPr>
        <w:t xml:space="preserve">1.1屏幕尺寸不小于24英寸液晶显示器,激光打印机；</w:t>
      </w:r>
      <w:bookmarkEnd w:id="21"/>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1.2主机1台，Windows 操作系统，酷睿CPU、8G内存，1TB硬盘；</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2.放大器：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bookmarkStart w:id="22" w:name="OLE_LINK43"/>
      <w:r/>
      <w:bookmarkStart w:id="23" w:name="OLE_LINK42"/>
      <w:r>
        <w:rPr>
          <w:rFonts w:hint="eastAsia" w:ascii="宋体" w:hAnsi="宋体" w:eastAsia="宋体" w:cs="宋体"/>
          <w:color w:val="auto"/>
          <w:sz w:val="24"/>
          <w:szCs w:val="24"/>
          <w:highlight w:val="none"/>
          <w:lang w:val="en-US" w:eastAsia="zh-CN"/>
        </w:rPr>
        <w:t xml:space="preserve">2.1矩阵式电极排布，便于进行灵活的导联组合；</w:t>
      </w:r>
      <w:bookmarkEnd w:id="22"/>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2.2放大器通道数至少32通道，可同时接入32导脑电（单极）信号，或者可同时接入16导双极信号（心电、肌电、眼动等）；</w:t>
      </w:r>
      <w:bookmarkEnd w:id="23"/>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bookmarkStart w:id="24" w:name="OLE_LINK44"/>
      <w:r>
        <w:rPr>
          <w:rFonts w:hint="eastAsia" w:ascii="宋体" w:hAnsi="宋体" w:eastAsia="宋体" w:cs="宋体"/>
          <w:color w:val="auto"/>
          <w:sz w:val="24"/>
          <w:szCs w:val="24"/>
          <w:highlight w:val="none"/>
          <w:lang w:val="en-US" w:eastAsia="zh-CN"/>
        </w:rPr>
        <w:t xml:space="preserve">2.3具备实体参考电极（REF）端口、接地（GND）端口、主动屏蔽电极（SHD）端口；</w:t>
      </w:r>
      <w:bookmarkEnd w:id="24"/>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2.4放大器与电脑采用全数字化传输，可采用type-c线缆、网线进行数据传输；</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2.5A/D转换：24Bit；</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2.6噪声电平≤1.5μVp-p；</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2.7输入阻抗：各道不小于120MΩ；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2.8共模抑制比：≥125 dB（输入频率10Hz）；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2.9耐极化电压：加±300mV的直流极化电压，偏差不超过±5%；</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2.10采样频率：全通道可同时以2000Hz描记数据；</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2.11幅频特性：(1</w:t>
      </w:r>
      <w:bookmarkStart w:id="25" w:name="OLE_LINK20"/>
      <w:r/>
      <w:bookmarkStart w:id="26" w:name="OLE_LINK19"/>
      <w:r>
        <w:rPr>
          <w:rFonts w:hint="eastAsia" w:ascii="宋体" w:hAnsi="宋体" w:eastAsia="宋体" w:cs="宋体"/>
          <w:color w:val="auto"/>
          <w:sz w:val="24"/>
          <w:szCs w:val="24"/>
          <w:highlight w:val="none"/>
          <w:lang w:val="en-US" w:eastAsia="zh-CN"/>
        </w:rPr>
        <w:t xml:space="preserve">~</w:t>
      </w:r>
      <w:bookmarkEnd w:id="25"/>
      <w:r/>
      <w:bookmarkEnd w:id="26"/>
      <w:r>
        <w:rPr>
          <w:rFonts w:hint="eastAsia" w:ascii="宋体" w:hAnsi="宋体" w:eastAsia="宋体" w:cs="宋体"/>
          <w:color w:val="auto"/>
          <w:sz w:val="24"/>
          <w:szCs w:val="24"/>
          <w:highlight w:val="none"/>
          <w:lang w:val="en-US" w:eastAsia="zh-CN"/>
        </w:rPr>
        <w:t xml:space="preserve">60)Hz，最大允许误差+5%~-30%；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2.12定标电压: 7500μVp-p，在-40</w:t>
      </w:r>
      <w:bookmarkStart w:id="27" w:name="OLE_LINK25"/>
      <w:r/>
      <w:bookmarkStart w:id="28" w:name="OLE_LINK26"/>
      <w:r>
        <w:rPr>
          <w:rFonts w:hint="eastAsia" w:ascii="宋体" w:hAnsi="宋体" w:eastAsia="宋体" w:cs="宋体"/>
          <w:color w:val="auto"/>
          <w:sz w:val="24"/>
          <w:szCs w:val="24"/>
          <w:highlight w:val="none"/>
          <w:lang w:val="en-US" w:eastAsia="zh-CN"/>
        </w:rPr>
        <w:t xml:space="preserve">°C</w:t>
      </w:r>
      <w:bookmarkEnd w:id="27"/>
      <w:r/>
      <w:bookmarkEnd w:id="28"/>
      <w:r>
        <w:rPr>
          <w:rFonts w:hint="eastAsia" w:ascii="宋体" w:hAnsi="宋体" w:eastAsia="宋体" w:cs="宋体"/>
          <w:color w:val="auto"/>
          <w:sz w:val="24"/>
          <w:szCs w:val="24"/>
          <w:highlight w:val="none"/>
          <w:lang w:val="en-US" w:eastAsia="zh-CN"/>
        </w:rPr>
        <w:t xml:space="preserve">至55°C最大允许误差±4%或者±300μV；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2.13时间间隔：误差不超过±5%；</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2.14电压测量：误差不超过±10%；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2.15灵敏度调节可选档位：0.1μV/mm、0.5μV/mm、1μV/mm、2μV/mm、5μV/mm、7μV/mm、10μV/mm、15μV/mm、20μV/mm、30μV/mm、50μV/mm、70μV/mm、100μV/mm、150μV/mm、200μV/mm、300μV/mm、500μV/mm、700μV/mm、1000μV/mm、2000μV/mm、5000μV/mm；</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2.16走纸速度可选档位：15 mm/sec、20 mm/sec、30mm/sec、40mm/sed、50mm/sec、60 mm/sec、120 mm/sec、1sec/page、2sec/page、5sec/page、8sec/page、10sec/page、15sec/page、20sec/page、30sec/page；</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2.17脑电图(EEG)的低频滤波滤波：0.01、0.016、0.02、0.031、0.08、0.16、0.27、0.3、0.5、0.53、1、1.6、2、2.5、3、5、5.3、15、30、35、50、53、60、70、80、100、120、159、250、300、500</w:t>
      </w:r>
      <w:bookmarkStart w:id="29" w:name="OLE_LINK3"/>
      <w:r/>
      <w:bookmarkStart w:id="30" w:name="OLE_LINK4"/>
      <w:r>
        <w:rPr>
          <w:rFonts w:hint="eastAsia" w:ascii="宋体" w:hAnsi="宋体" w:eastAsia="宋体" w:cs="宋体"/>
          <w:color w:val="auto"/>
          <w:sz w:val="24"/>
          <w:szCs w:val="24"/>
          <w:highlight w:val="none"/>
          <w:lang w:val="en-US" w:eastAsia="zh-CN"/>
        </w:rPr>
        <w:t xml:space="preserve">多档可调</w:t>
      </w:r>
      <w:bookmarkEnd w:id="29"/>
      <w:r/>
      <w:bookmarkEnd w:id="30"/>
      <w:r>
        <w:rPr>
          <w:rFonts w:hint="eastAsia" w:ascii="宋体" w:hAnsi="宋体" w:eastAsia="宋体" w:cs="宋体"/>
          <w:color w:val="auto"/>
          <w:sz w:val="24"/>
          <w:szCs w:val="24"/>
          <w:highlight w:val="none"/>
          <w:lang w:val="en-US" w:eastAsia="zh-CN"/>
        </w:rPr>
        <w:t xml:space="preserve">，可设置OFF档；</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2.18低通（高频）滤波应符合A0.9Fc≥0.7A10≥1.1AFc；</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3.脑电图(EEG)的高频滤波：2、3、4、5、7、9、10、5、20、25、30、35、40、50、60、70、100、120、150、200、250、300、500多档可调</w:t>
      </w:r>
      <w:bookmarkStart w:id="31" w:name="OLE_LINK6"/>
      <w:r/>
      <w:bookmarkStart w:id="32" w:name="OLE_LINK5"/>
      <w:r>
        <w:rPr>
          <w:rFonts w:hint="eastAsia" w:ascii="宋体" w:hAnsi="宋体" w:eastAsia="宋体" w:cs="宋体"/>
          <w:color w:val="auto"/>
          <w:sz w:val="24"/>
          <w:szCs w:val="24"/>
          <w:highlight w:val="none"/>
          <w:lang w:val="en-US" w:eastAsia="zh-CN"/>
        </w:rPr>
        <w:t xml:space="preserve">，可设置OFF档</w:t>
      </w:r>
      <w:bookmarkEnd w:id="31"/>
      <w:r/>
      <w:bookmarkEnd w:id="32"/>
      <w:r/>
      <w:bookmarkStart w:id="33" w:name="OLE_LINK49"/>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4.其它硬件部分：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bookmarkStart w:id="34" w:name="OLE_LINK47"/>
      <w:r>
        <w:rPr>
          <w:rFonts w:hint="eastAsia" w:ascii="宋体" w:hAnsi="宋体" w:eastAsia="宋体" w:cs="宋体"/>
          <w:color w:val="auto"/>
          <w:sz w:val="24"/>
          <w:szCs w:val="24"/>
          <w:highlight w:val="none"/>
          <w:lang w:val="en-US" w:eastAsia="zh-CN"/>
        </w:rPr>
        <w:t xml:space="preserve">4.1数字视频摄像系统套件:支持超低照度，0.05Lux @ (F2.0,AGC ON) (彩色),0.005Lux @ (F2.0,AGC ON) 0 Lux with IR (黑白),支持4倍光学变倍，16倍数字变倍,水平视角100-25度（广角-望远），近摄距10-1500mm（广角-望远）,水平350°,可控制摄像机调节各种常用参数；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4.2可同时接入两路视频，提供双视角，不接受局部抠图的双画面；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4.3视频录制分辨率：</w:t>
      </w:r>
      <w:bookmarkStart w:id="35" w:name="OLE_LINK18"/>
      <w:r/>
      <w:bookmarkStart w:id="36" w:name="OLE_LINK17"/>
      <w:r>
        <w:rPr>
          <w:rFonts w:hint="eastAsia" w:ascii="宋体" w:hAnsi="宋体" w:eastAsia="宋体" w:cs="宋体"/>
          <w:color w:val="auto"/>
          <w:sz w:val="24"/>
          <w:szCs w:val="24"/>
          <w:highlight w:val="none"/>
          <w:lang w:val="en-US" w:eastAsia="zh-CN"/>
        </w:rPr>
        <w:t xml:space="preserve">1920*1080,30</w:t>
      </w:r>
      <w:bookmarkEnd w:id="35"/>
      <w:r/>
      <w:bookmarkEnd w:id="36"/>
      <w:r>
        <w:rPr>
          <w:rFonts w:hint="eastAsia" w:ascii="宋体" w:hAnsi="宋体" w:eastAsia="宋体" w:cs="宋体"/>
          <w:color w:val="auto"/>
          <w:sz w:val="24"/>
          <w:szCs w:val="24"/>
          <w:highlight w:val="none"/>
          <w:lang w:val="en-US" w:eastAsia="zh-CN"/>
        </w:rPr>
        <w:t xml:space="preserve">fps；</w:t>
      </w:r>
      <w:r/>
    </w:p>
    <w:p>
      <w:pPr>
        <w:ind w:firstLine="480"/>
        <w:jc w:val="left"/>
        <w:spacing w:line="360" w:lineRule="auto"/>
        <w:widowControl w:val="off"/>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US" w:eastAsia="zh-CN"/>
        </w:rPr>
        <w:t xml:space="preserve">5.微光事件标记按键，按键头端具有微光LED，可让医护人员在夜晚快速找到按键</w:t>
      </w:r>
      <w:bookmarkEnd w:id="33"/>
      <w:r/>
      <w:bookmarkEnd w:id="34"/>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GB" w:eastAsia="zh-CN"/>
        </w:rPr>
        <w:t xml:space="preserve">软件：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6.1具有常规脑电/视频脑电等多种检测模式，可自由切换；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6.2事件相关电位检测：软件可进行事件相关电位的刺激设置、实时刺激记录、数据计算和结果显示，可进行N100、MMN、P300、N170等多种范式的检测；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6.3提供8种脑功能趋势图：振幅整合脑电图（aEEG）、包络、频谱、绝对功率谱、相对功率谱、频谱熵、爆发抑制比、α变异率；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6.4中文脑电图采集操作界面；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6.5中文脑电图视频回顾操作界面,中文病人资料输入界面及中文输入病人资料；</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6.6中文病人资料管理系统,可将病人的不同时间的所有脑电图资料及报告存储在病人的同一文件夹下,中文病人资料输入界面,输入中文；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6.7中文报告生成系统,有超文本及WORD两种报告格式；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6.8</w:t>
      </w:r>
      <w:r>
        <w:rPr>
          <w:rFonts w:hint="eastAsia" w:ascii="宋体" w:hAnsi="宋体" w:eastAsia="宋体" w:cs="宋体"/>
          <w:color w:val="auto"/>
          <w:sz w:val="24"/>
          <w:szCs w:val="24"/>
          <w:highlight w:val="none"/>
          <w:lang w:val="en-GB" w:eastAsia="zh-CN"/>
        </w:rPr>
        <w:t xml:space="preserve">软件接收存储原始数据，并可实时显示信号波形；并可对显示参数进行实时调整；</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6.9动作识别，可自动识别视频中的运动，以红色阴影进行标注，辅助医生看图；</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6.10可进行数据的离线回放；</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6.11可进行阻抗检测；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6.12可对标记事件进行编辑调整；实时记录事件列表，可回放查看；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6.13系统断电重启后，断电前数据不丢失；</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6.14头盒热插拔设计，拔掉头盒重新插上后，软件自动继续记录数据，无需其它操作；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6.15人性化操作设计，便捷患者信息管理, 可进行患者和检查数据的搜索、编辑、自动录入、导出等功能；直接点击回顾界面里的报告入口进入该病人的中文报告,病人姓名及病人ID号可自动填入报告；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6.16信号质量监测：从原始信号的频域上多维度分析信号质量，医护人员可以直观的从各导联信号质量的颜色标记了解实时的信号质量情况；</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6.17具备数字视频摄像系统，软件可对摄像头角度等参数进行调整，进行视频数据的记录和回放；视频数据与脑电数据同步，可进行联动定位，可控制摄像机调节各种常用参数；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6.18具有标尺测量和框选测量两种方式，测量幅值、时间和频率信息；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6.19具备脑电地形图功能：可设置重参考、可选择计算的脑电通道、自动或手动设定计算的时间范围、提供功率谱密度和峰值频率信息；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GB" w:eastAsia="zh-CN"/>
        </w:rPr>
        <w:t xml:space="preserve">闪光刺激器：</w:t>
      </w:r>
      <w:r>
        <w:rPr>
          <w:rFonts w:hint="eastAsia" w:ascii="宋体" w:hAnsi="宋体" w:eastAsia="宋体" w:cs="宋体"/>
          <w:color w:val="auto"/>
          <w:sz w:val="24"/>
          <w:szCs w:val="24"/>
          <w:highlight w:val="none"/>
          <w:lang w:val="en-US" w:eastAsia="zh-CN"/>
        </w:rPr>
        <w:t xml:space="preserve">采用高亮度、低功耗LED光源，以提供更长的使用寿命；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8.采用圆形灯头设计，符合中国指南推荐：圆形闪光灯可对整个视网膜产 生更均匀的刺激 。</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（四）精神压力分析仪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原理：依据心率变异性(HRV)理论和加速脉搏波(APG)理论研制而成。通过测试受测者瞬时心动周期的微小变化，判断交感神经、副交感神经的平衡度，判断血管状态，从而评估分析受测者的身体疲劳、抗压能力、压力指数、自主神经系统活性与平衡性，以及血管弹性、每搏输出量、残血量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★2.三种检测模式：心率变异检测、心血管循环系统检测、心率变异+心血管循环系统检测，可根据需求进行选择性检测。检测时，实时显示心率、脉搏图、加速脉搏图、心率变异图和心率散点图等；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3.定量检测各项指标，并自动生成检测分析报告；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★4.台车，触控一体屏幕，不需要键盘、鼠标即可完成检测；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5.简捷快速，无创、无痛的非侵入性的检测方法；</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6.医用台车，便于移动检测；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7.时域分析：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7.1MeanHR、SDNN、RMSSD、PSI、apen、TSRD（平均心率、心率标准差、心率变异均方根、身体压力指数、近似熵（或复杂度）、连续检测准确值）；</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★7.2通过相关指标，检测出压力指数包括压力状态、情绪状态，并且用不同的区间比例以柱形图直观展现；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8.频域分析：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8.1TP、VLF、LF、HF、LFnorm、HFnorm、LF/HF（总能量、极低频、低频、高频、低频标准值、高频标准值、低频高频比例。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★8.2利用傅里叶转换（FFT方法）将心率变异波形图转化为能量光谱密度图，并以柱状图的形式来分析总能量TP、极低频VLF、低频LF、高频HF，用于评估自主神经活性的调节能力和心脏的稳定性。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9.自主神经系统检测结果：检测自主神经系统活性，自主神经系统平衡，自主神经系统稳定性。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9.1通过心率变异的波形图、直方图、散点图来综合评估自主神经的活性。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9.2通过交感神经系统、副交感神经系统的柱形图，来评估自主神经系统的平衡。</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★9.3通过不同的色块区间、四个象限区分，来综合评估自主神经系统的稳定性。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★9.4历史记录表：打印出近6次的测量结果，包括自主神经系统活性、自主神经系统的平衡、抗压能力、压力指数、疲劳指数、平均心率、心率稳定性、异常心率等，并且计算出平均值；</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10.APG（加速度脉搏及心血管循环检测）：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10.1加速度脉搏波图、波形阶段分析图；</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10.2微分脉搏指数、每搏输出量、血管弹性、残血量检测数值，并对检测数值是否标准进行判断；</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10.3心率检测；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10.4血管状态历史数据记录，判断趋势；</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报告输出值：心率变异速率图、能量光谱密度图、功率谱、心率复杂度、抗压能力、压力指数、疲劳指数、平均心率、心率稳定性、异常心率、自主神经活性、自主神经平衡、自主神经系统稳定性、加速度脉搏图、波形阶段分析图、微分脉搏指数、每搏输出量、血管弹性、残血量以及历史记录表、临床诊断建议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★12.报告：自动生成彩色图文打印报告（普通A4纸即可），可以设置用户图标和信息。输出4张报告，包括心率变异报表、压力自动分析报表、心血管循环报表和流程图；</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★13.流程图可以在精神情绪压力报表、心率变异报表、心血管循环报表之间切换、查看预览和打印；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14.打印报告可以设置用户LOGO图标和名称信息；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15.波特率：达到115200ps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16.PPG传感器：可重复使用的手指传感器，传感器波长：红光660nm，红外光905nm</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★17.脉率测量范围：30bpm-250bpm±5%；</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18.测量时间：3min/5min±3s；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19.主机配置：高清分辨率1920*1080，15.6寸高清触摸屏，≥4GB内存，500G硬盘；</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20.多种接口方式：以太网接口，RS－232串口，USB接口，可与卫生健康各级平台联网。</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（五）脑反射治疗仪（脑波）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1.磁疗适用范围：适用于缺血性脑血管病、神经症（神经衰弱、失眠、脑疲劳等症状）、脑损伤性疾病的辅助治疗；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2.电疗适用范围：缺血性脑血管疾病、脑损伤性疾病、小儿脑瘫及由上述疾病引起的肢体运动功能障碍；偏头痛；</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3.主要构成：由一台主机、磁治疗帽、治疗主电极和治疗辅电极组成；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4.结构形式：不可分拆的柜机推车式；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★5.显示及按键方式：两块8寸触摸大屏分别独立显示及触摸式操作，互不干扰；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6.治疗功能要求：同时具备交变电磁场治疗帽、仿真生物电刺激小脑顶核（乳突穴）及仿真生物电刺激肢体肌肉神经系统三种功能；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★7.输出路（线）数：2路经颅磁脑反射治疗；2路（4线）脑电反射（仿生电刺激小脑顶核（乳突穴））；4路（8线）肌电反射（仿生电刺激上、下肢）；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8.定时功能：可在1-99min范围内设定所需时间；</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9.经颅磁脑反射部分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★9.1治疗强度：3-30mT，最高必须达到30mT；</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9.2微振功能：分四档可调，振频：0-10Hz；振幅：0-30V；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10.脑电反射部分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10.1.采用数字合成技术，产生仿生物电治疗电流，恒流输出特性，分4种模式。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10.2.输出开路的最大电压幅度峰值：＜50V；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10.3.最大输出电流幅度峰值：0-30mAp-p,分25档可调，误差±20%；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10.4.调制频率：0.5-160Hz，误差±10%；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10.5.输出波形：无序波；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11.肌电反射部分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11.1输出开路的最大电压峰值：＜150V；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11.2.输出电流幅度0～100mA，分60档可调，误差±20%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11.3.输出频率：8档；</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11.3.1使用1-4档输出波形：脉冲波；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频率范围：0.5Hz～5Hz，误差±20%；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脉冲宽度：0.25ms±0.1ms；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11.3.2使用5～8档输出波形：三角调制波；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载波波形：正弦波；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载波频率：4KHz，误差±10%；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调制波波形：三角波；调幅度：100%；</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调制波频率：0.1Hz～1.5Hz，误差±20%。</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（六）团体生物反馈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1.适用于焦虑症神经精神疾病的生物反馈治疗；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★2.设备需通过药品监督管理局检验，批准后发给独立医疗器械注册证，无因产品缺陷召回记录和产品质量不符合标准被药品监督管理部门处理记录；</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3.主要由信号采集器、生物反馈仪软件、信号接收器组成。其中信号采集器包含表面肌电传感器、重复性脉搏血氧饱和度探头、脑电传感器三部分；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4.符合国家医药行业YY0903-2013《脑电生物反馈仪》标准；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5.信号采集器：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5.1与患者接触的材料原发性刺激反应极轻微，无致敏性，细胞毒性分级为0级、无细胞毒性作用。该材料必须进行生物相容性的试验或评价；</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★5.2保证患者在临床治疗过程中安全可靠，传感器不允许带线缆；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5.3采用无线传输方式技术，可实现1个团体处理器对应10人信号采集器，对10人进行数据采集、分析、处理与交换；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5.4无线数据传输性能要求：信号采集器和信号接收器相距10米时，无线传输丢包率小于3%；</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5.5.实时采集脑电、肌电等生理信号，AD采样位数≥24bit，AD采样率≥2000Hz；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5.6脑电信号共模抑制比：各通道不小于100dB，噪声电平：不大于2uV；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5.7信号采集具备状态指示灯，可随放松指数变化呈现不同状态颜色；具备耳畔提示音功能，一对一干预患者；</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6.信号匹配</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6.1人脸匹配：通过人脸识别实现患者用户与信号采集器的匹配；</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6.2选择团体：支持在团体用户列表中选取特定的团体进行治疗、训练；</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7.治疗方案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7.1提供静息评估、应激评估和特定评估方案对用户心理状态和生理状态进行评估；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7.2提供呼吸放松治疗、松弛治疗、暗示治疗、音乐治疗等对用户进行心理干预与治疗；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7.3脑电参数可进行单独反馈，具备不同疾病团体的脑电生物反馈治疗方案；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7.4团体训练：提供支持性团体、动力取向团体、问题导向团体、活动团体治疗；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8.推车：具备信号采集器无线充电、收纳，工作平台、灵活移动等功能；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9.报告模式：由评估报告、治疗报告、趋势报告构成。</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（七）认知功能障碍治疗软件（CCRT）</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★1.设备组成部分：管理端、医生端和用户端组成；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★2.适用于轻度认知障碍的辅助治疗（而非用于辅助训练）；</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3软件部分：</w:t>
      </w:r>
      <w:r>
        <w:rPr>
          <w:rFonts w:hint="eastAsia" w:ascii="宋体" w:hAnsi="宋体" w:eastAsia="宋体" w:cs="宋体"/>
          <w:color w:val="auto"/>
          <w:sz w:val="24"/>
          <w:szCs w:val="24"/>
          <w:highlight w:val="none"/>
          <w:lang w:val="en-US" w:eastAsia="zh-CN"/>
        </w:rPr>
        <w:tab/>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3.1管理端软件：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3.1.1账户管理功能：支持查看设备绑定情况，个人账户基本信息查询和编辑；</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3.1.2工作统计功能：支持医院、科室间的评估及训练数据分析、统计；</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3.1.3临床数据功能：支持医院、科室间评估及训练数据基于统计学变量的分析、统计；</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3.1.4人员管理功能：根据管理账户角色权限在医院、科室间进行新建、查询、修改该权限下的人员信息；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3.2医生端软件：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★3.2.1人员管理功能：查询、新建受训者用户基本信息，可录入面容ID，并对受训者分配评估或训练任务；</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系统设置功能：支持个人账户基本信息查询和编辑，查看受训者基础信息概况、测评概况、训练概况、统计概况，可以对受训者的测评训练结果出具相应报告。可设置报告内容，调整报告格式。报告可设置医生手写电子签名和机打签名；</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3.2.3认知障碍评估功能：通过他评或自评的方式，对受训者的认知、症状、心理进行全方位评估；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3.2.4认知障碍训练功能：从认知的六大维度，训练患者注意力、记忆力、感知觉、执行能力、语言、社会认知能力，达到治疗效果；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3.2.5状态监控功能：支持对设备的异常情况、任务进程、登录状态的进行监控；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3.2.6方案管理功能：支持新建、修改标准、个人方案；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3.3用户端软件：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3.3.1测评训练模块：接收测评任务，完成相关测评，接收训练任务，完成相关认知训练；</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3.3.2报告模块：通过排行榜和激励措施，查看训练完成情况；</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4.技术架构：</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架构模式：采用线上线下同步传输技术，采用B/S、C/S终端架构方式，支持在医院内大规模不限数量部署，部署成功后可通过治疗APP人脸识别登录运行，方便集中管理与配置，支持集中治疗与分科室治疗等多应用场景；</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★4.2接口管理：支持HIS接口(或其它信息化管理平台接口)的传输，每组服务器支持最大300并发数；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5.测评与评估：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5.1测评方式：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5.1.1系统支持在医院内大规模不限数量部署，支持PC、平板等多种测评方式。同时具备自评和他评两种评估方式，既可以在医生端进行他评，也可以在患者端进行计算机下的自评；</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5.1.2结合心理状态与症状测验，认知+心理+症状，全方位评估患者认知心理水平；</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5.2评估工具：系统须拥有大量专业的权威量表满足临床各科室需求。侧重于整体评估与各认知维度的精细化评估，并且根据医院及科室需求添加特色化的评估量表或范式；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6.辅助干预治疗：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治疗模块：根据测评结果，智能推荐多维度干预方案。在对应认知维度下进行功能的细分与组合，既具备标准的疾病训练方案，也可个性化地调节训练时长和难度。支持APP中远程干预、呈现及有效期管理。支持1000人以上同步进行认知干预训练；</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6.2认知训练方案：依据认知训练六大模块，提供各种情景化训练方案，摆脱训练效应的影响，真正达到认知矫正的目的；</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进阶自适应的治疗模式：采用循序渐进的训练模式，单个训练方案包含25-100个难度等级，3000余项训练任务。帮助用户进行从易到难的系统治疗，并实时调节治疗难度和治疗参数，有效的帮助用户了解自身状况，从而达到良好的治疗效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6.4动态升级的认知训练方案：依据DSM-V开发针对性的6大训练模块，临床训练方案≥30个，以季度为单位，动态更新临床方案，降低患者训练疲劳，提升治疗方案广度；</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7.硬件配置：治疗终端≥10个。</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（八）经颅磁刺激治疗仪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1.整机通过YY/T 0994-2015磁刺激设备行业标准；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2.整机通过EMC电磁兼容测试； </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3.注册证适用范围：刺激人体中枢神经和外周神经，用于人体中枢神经和外周神经功能的检测、评定、改善，对神经损伤性疾病进行辅助治疗；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★4.脉冲磁场最大磁感应强度7 Tesla；</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5.脉冲磁场最大刺激频率80Hz，0-80Hz可调，当脉冲频率＞1Hz时，频率调节步长为1Hz；当脉冲频率≤1Hz时，频率调节步长为0.01Hz；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6.磁感应强度变化率：10kT/s～80kT/s；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7.单脉冲上升时间：50μs±10μs；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8.单个脉冲持续时间：340μs±20μs；</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9.运动诱发电位采样率≥4096Hz；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10.运动诱发电位检查最小分辨率≤0.2μV；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11.运动诱发电位检查频率范围：20Hz～550Hz；</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12.运动诱发电位测量灵敏度范围1～3000μV；</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13.采用液态内循环冷却系统，散热效率高，保证设备长时间运行，可实现系统温度≤40℃。防护系统实时监测线圈温度，安全预警暂停工作，保证安全使用；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14.标配Win7及以上软件操作平台，大容量硬盘存储，可存储治疗病例及治疗记录，液晶显示屏幕≥14英寸；</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★15.与便携式手功能康复训练系统进行连接，实现同步控制，完成经颅磁刺激和认知行为一体训练的联合；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★16.配备随动悬停调节系统，辅助刺激线圈随头部偏移而自动跟随，确保治疗过程中靶点相对位置不变，保证脉冲个数与治疗效果；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17.配备与随动悬停调节系统联合使用的毛面10-20脑功能定位帽，便于定位以及拍头固定；</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18.上位机软件通过GB/T 25000.51 软件工程软件产品质量要求与评价；</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19.内置MEP模块、标准模式、TBS模式、复合模式，并且提供多种临床治疗方案供医生选择，且所有内置方案参数可查看，也可以进行编辑；</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20.内置专业精神心理治疗方案，方案参数更适用于精神疾病患者，疗效更佳；</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★21.系统支持和便携式手功能设备连接，实现同步控制，并且可制定中枢刺激-认知训练联合方案，实现同一个方案中经颅磁和认知行为结合训练，实现多因子联合；</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22.具有复合治疗模式，可自定义不同模式磁刺激的组合方案，或实现同一个方案中不同模式磁刺激组合治疗；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23.具有强大的联合方案自定义功能，可用于疗程化的方案设置和独立方案设置；</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24.磁刺激治疗方案参数可自定义设置，包括刺激部位、刺激频率、刺激强度、脉冲个数、刺激时间、间歇时间、休息时间等。单次治疗方案至少可设置10种不同的刺激频率；</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25.治疗过程中可对刺激强度进行连续调节，同时显示方案的输出进程，已完成/剩余脉冲个数及刺激时间；</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26.刺激方案具有刺激区域示意图，提示患者磁刺激刺激部位，更有效的指导患者配合治疗；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27.强大的数据管理功能，对工作量进行统计，还可以对所有检测及治疗数据进行统计分析，可以回顾数据结果、波形；</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28.可生成肌电诱发电位及电生理检测报告，及报告打印输出。</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（九）心理CT</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量表数量为322+，测量指标不少于300个，涵盖各种心理测量所需内容。检查内容包括儿童心理、学生心理、个性与气质、人格、婚姻家庭、精神障碍、情绪、生活能力、应对方式、药物依赖、性心理、睡眠障碍、认知评估（支持MMSE量表）、酒精相关评估等各个方面，包含且不限于以上方面，且系统支持量表自定义添加；</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2.系统部署多样，测验模式全面：心理测评系统支持在PC端、PAD端、手机端、API接入测试端和二维码扫描等满足不同用户需求。支持在windows/Linux/mac/鸿蒙、麒麟和安卓等操作系统下运行；</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3.支持可扩展社会服务心理体系建设所需的数据大屏展示，可展示内容包括并不限于：整体预警情况、各科室情况、常见病症、常用量表情况等；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4.支持数据批量导出统计分析，支持因子导出、答题分数导出模式，数据库支持SPSS数据类型，进行统计分析；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5.系统支持智能语音读题，方便残障人士操作；</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6.支持断点续测，固定端及移动端均支持断点测评，被测者测评期间退出界面，重新登录测评或重新扫码，可继续答题；</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7.系统具有预警统计功能，分5种不同级别程度的预警，根据预警显示的颜色来进行筛选和统计，支持仅预警报告导出功能，预警部分导出统计分析数据功能；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8.系统支持选择任意量表组合自动生成二维码进行方案测评，同时可将套餐方案中的所有量表结果在一个报告中进行分页打印或完整打印；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9.系统支持多用户、多权限管理方案，每个科室可以设定独立管理账户，独立打印，防止数据混乱；</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10.系统设置：可设置医院名称，LOGO及医生电子签名等相关功能；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★11.系统支持扩展脑神经调控模块，通过经颅微电流刺激疗法（CES）有效缓解失眠、焦虑等问题；可实现一台管理端同时搭载1台CES硬件；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系统测评报告生成多样化，包含个人测评报告、团体报告、方案式测评报告等满足用户多样化需求，并支持大批量导出测评报告及数据表格，导出内容可筛选指定量表及量表分数值，测评报告一次批量导出不低于2000条；</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13.医生可通过对数据报告进行选择A5和A4打印；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14.自评量表与他评量表区别显示，方便医生进行量表管理；</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15.支持自定义方案测评，医生根据会诊需求，设计方案套餐；</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16.二维码测评支持患者移动端查看报告或隐藏报告；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系统支持选配韦氏成人智力测评（城市、农村）及韦氏成人智力测评（城市、农村）完整版测验以及简式测验。支持系统图文测评模式，包含功能有测评分参考提示、答题计时、自动甄选免试题、断点续测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18.系统支持快速测评模式：将选中量表在一个平面上进行完整呈现，方便医生他评量表高效测评；</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系统具有处方管理功能：支持医生一次性开具长期且定期重复的处方量表套餐，每个医生账号单独管理所负责患者，指定时间内定时测评提示，待诊、已诊患者提示，方便医生对长期且定期复诊患者及住院患者进行评估和管理。本功能可在系统内独立使用，也可以对接his系统使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20.系统支持同一患者同一量表不同时间结果对比，可出具对比报告；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21.系统支持同一量表不同时间的报告合并打印，便于住院报告打印归档，合并报告支持自定义医生评估、复核双签名勾选；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门诊个人测评模式：任意量表测评模式：医生录入患者信息后，可选择任意量表（不限数量）发送到固定端或生成二维码，仅限单一患者扫码测评。支持查看被测者答卷及打印功能，有助于医生更详细了解被测者测试情况。支持批量查看及下载个人测评报告。支持个人测评预警功能，以及批量查看、下载预警报告的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23.方案测评模式：医生设置量表方案，患者在固定端登录或扫码后仅可以看到医生匹配的方案，进行测评。方案测评可进行报告一键打印、批量查看；</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团体测评模式：系统输入或导入团体信息，可生成固定的团体二维码，团体中成员可进行测评。同时支持生成不限人员的普筛二维码模式，适用于社会心理服务体系。支持团体整体报告分析。支持批量查询、报告批量打印、批量下载。支持预警筛查、预警报告批量打印、批量下载。支持本团体内测评的量表因子、答卷的EXCEL导出模式。支持团体测评信息、所用量表等多次编辑调整。支持团体测评一键禁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25.系统在多个实施应用场景达到国家等保三级验收标准，数据分别使用RSA非对称签名算法、国密SM3算法、国密码SM4算法加密后，统一保存在心理系统对应的数据服务器上，保证系统保存数据的安全性；</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★26.按照医院临床使用要求与HIS系统对接，实现HIS系统上开处方和打印测评报告；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27.配置要求</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27.1心理量表评估软件管理端1套、心理量表评估软件测评端不限数量；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27.2主控机（医生端）1台；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27.3心理CT移动测查终端机（患者端）4台；</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27.4报告打印机1台。</w:t>
      </w:r>
      <w:r/>
    </w:p>
    <w:p>
      <w:pPr>
        <w:ind w:firstLine="480"/>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（十）睡眠呼吸初筛仪</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1.适用于呼吸科、耳鼻喉科、神经内科及其他相关科室，满足科室睡眠呼吸暂停、低通气综合征诊断与治疗的临床和科研需要；</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2.监测参数包括：口鼻气流、鼾声、胸腹式呼吸、体位、脉搏、血氧饱和度、CPAP压力滴定、腕动觉醒、数据良好标识等；</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3.主机腕式设计，体积小巧、重量轻便，内置LCD液晶屏，适合于患者在医院任何科室或家庭诊断使用；</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4.整机采用低功耗设计，满电量时可连续记录不低于10小时；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5.内置液晶屏，实时显示数据：口鼻气流、鼾声、胸腹式呼吸、体位、脉搏、血氧饱和度、CPAP压力滴定、记录时长、电池电量；</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6.导联阻抗提醒功能，可显示传感器连接状态及脱落提示；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7.呼吸感应式胸腹运动体积描记传感器，信号稳定，抗干扰性强；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8.睡眠呼吸初筛仪具有数据记录、数据抹除、状态查询等功能；</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9.无线遥测技术，数据传输传输选择数据线、无线蓝牙、TF卡等方式，设备具备16GB内存卡，可同时存储500小时以上多段数据；</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10.传感器附件包括血氧传感器和可重复使用的体积描记式胸腹绑带；</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11.CPAP压力监测技术，可连接不同任意型号的呼吸机，通过压力监测，出具整晚的压力滴定报告；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12.全中文界面和打印报告，可选配英文、法文等其他语种的用户界面模块；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13.可连接不同品牌的呼吸机进行压力滴定；可轻松应对睡眠呼吸暂停及其他复杂重叠病人的压力滴定治疗；</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14.分析软件符合AASM2.6标准，同时集成数据共享和分级诊疗平台，实现监测数据上、下级双向无线传输的教学目的；平台免费开放，可根据教学、科研需求进行平台模块化或自定义搭建；</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15.数据分割和重整，可以将一个数据按不同时段分割为多个数据，特别方便科学研究；</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16.内置候选诊断词条，协助医生快速生成报告；</w:t>
      </w:r>
      <w:r/>
    </w:p>
    <w:p>
      <w:pPr>
        <w:ind w:firstLine="480"/>
        <w:jc w:val="left"/>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17.可生成PDF和word版本报告，报告模板可修改，可导入导出EDF数据包。</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五、服务要求：</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人明确所投产品的品牌、型号、规格和外形、尺寸及一些必须说明的技术参数，以及使用的材料的清单，同时明确生产厂家、型号规格，使用年限等，并提供详细的技术参数及性能说明书。送至设备生产日期需在6个月以内。</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签订合同前甲方有权要求中标单位提供设备验证是否真实响应招标文件技术参数，如确定投标，各供应商提前准备，验证合格后方可签订合同。不满足招标技术要求的取消中标资格并提交当地政府采购诚信失信记录。</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3.售后服务要求：</w:t>
      </w:r>
      <w:r>
        <w:rPr>
          <w:rFonts w:hint="eastAsia" w:ascii="宋体" w:hAnsi="宋体" w:eastAsia="宋体"/>
          <w:b w:val="0"/>
          <w:bCs/>
          <w:color w:val="auto"/>
          <w:sz w:val="24"/>
          <w:szCs w:val="24"/>
          <w:highlight w:val="none"/>
          <w:lang w:val="en-US" w:eastAsia="zh-CN"/>
        </w:rPr>
        <w:t xml:space="preserve">整机免费质保期≥3年，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卖方负责免费更换同型号全新产品。</w:t>
      </w:r>
      <w:r/>
    </w:p>
    <w:p>
      <w:pPr>
        <w:ind w:firstLine="482"/>
        <w:jc w:val="left"/>
        <w:spacing w:line="360" w:lineRule="auto"/>
        <w:widowControl w:val="off"/>
        <w:tabs>
          <w:tab w:val="left" w:pos="36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、综合说明及要求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1、本次招标不接受联合体投标。</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2、投标人必须承诺招标文件中提出的全部要求，如果其中某些条款不响应时，应在文件中逐条列出，未列出的视同响应。</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3、投标人应对所投项目的全部内容进行报价，只投其中部分内容者，其投标文件将被拒绝。中标单位对服务缺陷不予更正，采购方有权另请其他单位更正，所发生的费用由中标单位承担。</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伴随服务：按国家行业标准规定和招标文件执行。</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ind w:firstLine="482"/>
        <w:jc w:val="left"/>
        <w:spacing w:line="360" w:lineRule="auto"/>
        <w:widowControl w:val="off"/>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、政府采购政策：</w:t>
      </w:r>
      <w:r/>
    </w:p>
    <w:p>
      <w:pPr>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（1）绿色采购</w:t>
      </w:r>
      <w:r/>
    </w:p>
    <w:p>
      <w:pPr>
        <w:ind w:firstLine="480"/>
        <w:jc w:val="left"/>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查询。</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（2）促进残疾人就业：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促进残疾人就业政府采购政策的通知》（财库〔2017〕141号）规定条件的残疾人福利性单位在参加政府采购活动时，应当提供《残疾人福利性单位声明函》，并对声明的真实性负责，未提供视为非残疾人福利性单位，不视同小微企业，不享受残疾人福利性单位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（3）支持监狱企业发展：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在政府采购活动中，监狱企业视同小型、微型企业，享受预留份额、评审中价格扣除等政府采购促进中小企业发展的政府采购政策。监狱企业属于小型、微型企业的，不重复享受政策。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未提供视为非监狱企业，不视同小微企业，不享受监狱企业政策。</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（4）中小</w:t>
      </w:r>
      <w:r>
        <w:rPr>
          <w:rFonts w:hint="eastAsia" w:ascii="宋体" w:hAnsi="宋体" w:eastAsia="宋体" w:cs="宋体"/>
          <w:bCs/>
          <w:color w:val="auto"/>
          <w:sz w:val="24"/>
          <w:highlight w:val="none"/>
          <w:lang w:val="en-US" w:eastAsia="zh-CN"/>
        </w:rPr>
        <w:t xml:space="preserve">微</w:t>
      </w:r>
      <w:r>
        <w:rPr>
          <w:rFonts w:hint="eastAsia" w:ascii="宋体" w:hAnsi="宋体" w:eastAsia="宋体" w:cs="宋体"/>
          <w:bCs/>
          <w:color w:val="auto"/>
          <w:sz w:val="24"/>
          <w:highlight w:val="none"/>
        </w:rPr>
        <w:t xml:space="preserve">企业：</w:t>
      </w:r>
      <w:r/>
    </w:p>
    <w:p>
      <w:pPr>
        <w:contextualSpacing/>
        <w:ind w:firstLine="48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contextualSpacing/>
        <w:ind w:firstLine="480"/>
        <w:jc w:val="left"/>
        <w:spacing w:line="360" w:lineRule="auto"/>
        <w:widowControl w:val="off"/>
        <w:rPr>
          <w:rFonts w:ascii="宋体" w:hAnsi="宋体" w:eastAsia="宋体"/>
          <w:bCs/>
          <w:color w:val="auto"/>
          <w:sz w:val="24"/>
          <w:szCs w:val="24"/>
          <w:highlight w:val="none"/>
        </w:rPr>
      </w:pPr>
      <w:r>
        <w:rPr>
          <w:rFonts w:hint="eastAsia" w:ascii="宋体" w:hAnsi="宋体" w:eastAsia="宋体" w:cs="宋体"/>
          <w:bCs/>
          <w:color w:val="auto"/>
          <w:sz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Cs/>
          <w:color w:val="auto"/>
          <w:sz w:val="24"/>
          <w:highlight w:val="none"/>
        </w:rPr>
        <w:t xml:space="preserve">。</w:t>
      </w:r>
      <w:r>
        <w:rPr>
          <w:rFonts w:hint="eastAsia" w:ascii="宋体" w:hAnsi="宋体" w:eastAsia="宋体" w:cs="宋体"/>
          <w:b/>
          <w:bCs/>
          <w:color w:val="auto"/>
          <w:sz w:val="24"/>
          <w:szCs w:val="24"/>
          <w:highlight w:val="none"/>
        </w:rPr>
        <w:t xml:space="preserve">对于小型、微型企业（生产厂家）产品的价格给予20%的扣除，用扣除后的价格参与评审。</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（5）关于对参与供应商信用记录的政府采购要求</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1.采购代理机构会在接收投标文件截止时间后，登录信用中国网站（www.creditchina.gov.cn/）和中国政府采购网（www.ccgp.gov.cn/）查询供应商的信用记录，并将查询结果递交评标委员会。</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3.供应商若在经营活动中受到罚款的，请携带相关地方、部门对较大数额认定标准的证明材料，与投标文件一并提交。若无法提供，则可能承担投标无效等相应不利后果。</w:t>
      </w:r>
      <w:r/>
    </w:p>
    <w:p>
      <w:pPr>
        <w:contextualSpacing/>
        <w:ind w:firstLine="480"/>
        <w:jc w:val="left"/>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4.对存在失信信息的供应商，由失信供应商进行确认。同时，采购代理机构工作人员应根据评标委员会确认的失信信息，登陆到相关来源网站页面进行复核并打印，作为证据留存。</w:t>
      </w:r>
      <w:r/>
    </w:p>
    <w:p>
      <w:pPr>
        <w:jc w:val="lef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715"/>
        <w:jc w:val="center"/>
        <w:rPr>
          <w:rFonts w:hint="eastAsia" w:ascii="宋体" w:hAnsi="宋体" w:eastAsia="宋体" w:cs="宋体"/>
          <w:color w:val="auto"/>
          <w:sz w:val="52"/>
          <w:szCs w:val="52"/>
          <w:highlight w:val="none"/>
        </w:rPr>
      </w:pPr>
      <w:r/>
      <w:bookmarkStart w:id="37" w:name="_Toc520073485"/>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第五章</w:t>
      </w:r>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合同主要条款</w:t>
      </w:r>
      <w:bookmarkEnd w:id="19"/>
      <w:r/>
      <w:bookmarkEnd w:id="20"/>
      <w:r/>
      <w:bookmarkEnd w:id="37"/>
      <w:r/>
      <w:r/>
    </w:p>
    <w:p>
      <w:pPr>
        <w:jc w:val="center"/>
        <w:spacing w:line="360" w:lineRule="auto"/>
        <w:widowControl/>
        <w:rPr>
          <w:rFonts w:hint="eastAsia" w:ascii="宋体" w:hAnsi="宋体" w:eastAsia="宋体" w:cs="宋体"/>
          <w:b/>
          <w:color w:val="auto"/>
          <w:sz w:val="48"/>
          <w:szCs w:val="48"/>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color w:val="auto"/>
          <w:sz w:val="48"/>
          <w:szCs w:val="48"/>
          <w:highlight w:val="none"/>
        </w:rPr>
        <w:t xml:space="preserve">合同主要条款</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项目名称：</w:t>
      </w:r>
      <w:r>
        <w:rPr>
          <w:rFonts w:hint="eastAsia" w:ascii="宋体" w:hAnsi="宋体" w:eastAsia="宋体" w:cs="宋体"/>
          <w:b/>
          <w:bCs w:val="0"/>
          <w:color w:val="auto"/>
          <w:sz w:val="24"/>
          <w:highlight w:val="none"/>
          <w:lang w:eastAsia="zh-CN"/>
        </w:rPr>
        <w:t xml:space="preserve">医疗设备等一批</w:t>
      </w:r>
      <w:r/>
    </w:p>
    <w:p>
      <w:pPr>
        <w:ind w:firstLine="482"/>
        <w:jc w:val="left"/>
        <w:keepLines w:val="0"/>
        <w:keepNext w:val="0"/>
        <w:pageBreakBefore w:val="0"/>
        <w:spacing w:line="360" w:lineRule="auto"/>
        <w:widowControl/>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rPr>
        <w:t xml:space="preserve">招标编号：</w:t>
      </w:r>
      <w:r>
        <w:rPr>
          <w:rFonts w:hint="eastAsia" w:ascii="宋体" w:hAnsi="宋体" w:eastAsia="宋体" w:cs="宋体"/>
          <w:b/>
          <w:bCs w:val="0"/>
          <w:color w:val="auto"/>
          <w:sz w:val="24"/>
          <w:highlight w:val="none"/>
          <w:lang w:eastAsia="zh-CN"/>
        </w:rPr>
        <w:t xml:space="preserve">JSZC-320583-LHZX-G2024-0029</w:t>
      </w:r>
      <w:r/>
    </w:p>
    <w:p>
      <w:pPr>
        <w:pStyle w:val="729"/>
        <w:ind w:left="0" w:firstLine="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甲方(招标人)：</w:t>
      </w:r>
      <w:r>
        <w:rPr>
          <w:rFonts w:hint="eastAsia" w:ascii="宋体" w:hAnsi="宋体" w:eastAsia="宋体" w:cs="宋体"/>
          <w:color w:val="auto"/>
          <w:sz w:val="24"/>
          <w:highlight w:val="none"/>
          <w:lang w:eastAsia="zh-CN"/>
        </w:rPr>
        <w:t xml:space="preserve">昆山市精神卫生中心</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29"/>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乙方（中标人）：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p>
    <w:p>
      <w:pPr>
        <w:pStyle w:val="729"/>
        <w:ind w:left="0"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根据苏州乐慧招投标咨询有限公司招标编号</w:t>
      </w:r>
      <w:r>
        <w:rPr>
          <w:rFonts w:hint="eastAsia" w:ascii="宋体" w:hAnsi="宋体" w:eastAsia="宋体" w:cs="宋体"/>
          <w:color w:val="auto"/>
          <w:sz w:val="24"/>
          <w:highlight w:val="none"/>
          <w:u w:val="single"/>
          <w:lang w:eastAsia="zh-CN"/>
        </w:rPr>
        <w:t xml:space="preserve">JSZC-320583-LHZX-G2024-0029</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医疗设备等一批</w:t>
      </w:r>
      <w:r>
        <w:rPr>
          <w:rFonts w:hint="eastAsia" w:ascii="宋体" w:hAnsi="宋体" w:eastAsia="宋体" w:cs="宋体"/>
          <w:color w:val="auto"/>
          <w:sz w:val="24"/>
          <w:highlight w:val="none"/>
          <w:u w:val="single"/>
        </w:rPr>
        <w:t xml:space="preserve">项目</w:t>
      </w:r>
      <w:r>
        <w:rPr>
          <w:rFonts w:hint="eastAsia" w:ascii="宋体" w:hAnsi="宋体" w:eastAsia="宋体" w:cs="宋体"/>
          <w:color w:val="auto"/>
          <w:sz w:val="24"/>
          <w:highlight w:val="none"/>
        </w:rPr>
        <w:t xml:space="preserve">的招标文件及中标单位的投标文件和中标通知书，甲乙双方就此次中标的标的物的购销事宜，签订本合同书。</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pPr>
      <w:r/>
      <w:bookmarkStart w:id="38" w:name="_Toc291668812"/>
      <w:r>
        <w:rPr>
          <w:rFonts w:hint="eastAsia" w:ascii="宋体" w:hAnsi="宋体" w:eastAsia="宋体" w:cs="宋体"/>
          <w:b/>
          <w:color w:val="auto"/>
          <w:sz w:val="24"/>
          <w:highlight w:val="none"/>
        </w:rPr>
        <w:t xml:space="preserve">一、合同文件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下列文件为本合同不可分割部分：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招标文件及其附件；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乙方的投标文件；</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合同条款；</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乙方在招投标过程中所作的其它承诺、声明、书面澄清等；</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中标通知书；</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本合同附件。</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、合同价款</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ascii="宋体" w:hAnsi="宋体" w:eastAsia="宋体" w:cs="宋体"/>
          <w:b w:val="0"/>
          <w:bCs/>
          <w:color w:val="auto"/>
          <w:sz w:val="24"/>
          <w:highlight w:val="none"/>
        </w:rPr>
        <w:t xml:space="preserve">合同</w:t>
      </w:r>
      <w:r>
        <w:rPr>
          <w:rFonts w:hint="eastAsia" w:ascii="宋体" w:hAnsi="宋体" w:eastAsia="宋体" w:cs="宋体"/>
          <w:b w:val="0"/>
          <w:bCs/>
          <w:color w:val="auto"/>
          <w:sz w:val="24"/>
          <w:highlight w:val="none"/>
          <w:lang w:val="en-US" w:eastAsia="zh-CN"/>
        </w:rPr>
        <w:t xml:space="preserve">总金额</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价格</w:t>
      </w:r>
      <w:r>
        <w:rPr>
          <w:rFonts w:hint="eastAsia" w:ascii="宋体" w:hAnsi="宋体" w:eastAsia="宋体" w:cs="宋体"/>
          <w:color w:val="auto"/>
          <w:sz w:val="24"/>
          <w:highlight w:val="none"/>
          <w:lang w:eastAsia="zh-CN"/>
        </w:rPr>
        <w:t xml:space="preserve">包括完成该项工作所需全部的设备、材料、附配件及其人工、机械、运输、仓储、保险、劳保、对设备安装和调试、售后服务、各种税费及政策性文件规定及合同包含的所有风险、责任等各项应有费用。</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2.价格明细如下：</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2481"/>
        <w:gridCol w:w="2866"/>
        <w:gridCol w:w="1176"/>
        <w:gridCol w:w="858"/>
        <w:gridCol w:w="858"/>
        <w:gridCol w:w="1175"/>
      </w:tblGrid>
      <w:tr>
        <w:trPr/>
        <w:tc>
          <w:tcPr>
            <w:tcW w:w="380"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21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品名</w:t>
            </w:r>
            <w:r/>
          </w:p>
        </w:tc>
        <w:tc>
          <w:tcPr>
            <w:tcW w:w="1406" w:type="pct"/>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品牌型号</w:t>
            </w:r>
            <w:r/>
          </w:p>
        </w:tc>
        <w:tc>
          <w:tcPr>
            <w:tcW w:w="577"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单价（元）</w:t>
            </w:r>
            <w:r/>
          </w:p>
        </w:tc>
        <w:tc>
          <w:tcPr>
            <w:tcW w:w="421"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421"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576"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总价（元）</w:t>
            </w:r>
            <w:r/>
          </w:p>
        </w:tc>
      </w:tr>
      <w:tr>
        <w:trPr>
          <w:trHeight w:val="90"/>
        </w:trPr>
        <w:tc>
          <w:tcPr>
            <w:tcW w:w="3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远程超声诊断系统</w:t>
            </w:r>
            <w:r/>
          </w:p>
        </w:tc>
        <w:tc>
          <w:tcPr>
            <w:tcW w:w="1406" w:type="pct"/>
            <w:vAlign w:val="center"/>
            <w:textDirection w:val="lrTb"/>
            <w:noWrap w:val="false"/>
          </w:tcPr>
          <w:p>
            <w:pPr>
              <w:jc w:val="center"/>
              <w:spacing w:line="276" w:lineRule="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90"/>
        </w:trPr>
        <w:tc>
          <w:tcPr>
            <w:tcW w:w="380"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PSG监测</w:t>
            </w:r>
            <w:r/>
          </w:p>
        </w:tc>
        <w:tc>
          <w:tcPr>
            <w:tcW w:w="1406" w:type="pct"/>
            <w:vAlign w:val="center"/>
            <w:textDirection w:val="lrTb"/>
            <w:noWrap w:val="false"/>
          </w:tcPr>
          <w:p>
            <w:pPr>
              <w:jc w:val="center"/>
              <w:spacing w:line="276" w:lineRule="auto"/>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数字脑电图机</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rPr>
              <w:t xml:space="preserve">精神压力分析仪</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脑反射治疗仪（脑波）</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团体生物反馈</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 xml:space="preserve">认知功能障碍治疗软件（</w:t>
            </w:r>
            <w:r>
              <w:rPr>
                <w:rFonts w:hint="eastAsia" w:ascii="宋体" w:hAnsi="宋体" w:eastAsia="宋体" w:cs="宋体"/>
                <w:color w:val="auto"/>
                <w:sz w:val="24"/>
                <w:szCs w:val="24"/>
                <w:highlight w:val="none"/>
              </w:rPr>
              <w:t xml:space="preserve">CCRT</w:t>
            </w:r>
            <w:r>
              <w:rPr>
                <w:rFonts w:hint="eastAsia" w:ascii="宋体" w:hAnsi="宋体" w:eastAsia="宋体" w:cs="宋体"/>
                <w:color w:val="auto"/>
                <w:sz w:val="24"/>
                <w:szCs w:val="24"/>
                <w:highlight w:val="none"/>
                <w:lang w:val="en-US" w:eastAsia="zh-CN"/>
              </w:rPr>
              <w:t xml:space="preserve">）</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经颅磁刺激治疗仪</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心理CT</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r>
        <w:trPr>
          <w:trHeight w:val="454"/>
        </w:trPr>
        <w:tc>
          <w:tcPr>
            <w:tcW w:w="380"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W w:w="1217" w:type="pct"/>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 xml:space="preserve">睡眠呼吸初筛仪</w:t>
            </w:r>
            <w:r/>
          </w:p>
        </w:tc>
        <w:tc>
          <w:tcPr>
            <w:tcW w:w="140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W w:w="577"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shd w:val="clear" w:color="auto" w:fill="auto"/>
            <w:tcW w:w="421"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台</w:t>
            </w:r>
            <w:r/>
          </w:p>
        </w:tc>
        <w:tc>
          <w:tcPr>
            <w:tcW w:w="576" w:type="pct"/>
            <w:vAlign w:val="center"/>
            <w:textDirection w:val="lrTb"/>
            <w:noWrap w:val="false"/>
          </w:tcPr>
          <w:p>
            <w:pPr>
              <w:jc w:val="center"/>
              <w:spacing w:line="276"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r>
    </w:tbl>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3.付款步骤：</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在合同签订完毕生效，待全部货物到达甲方指定地点，安装调试结束，验收合格后，由甲方收到乙方提供的合格销售发票后按合同总价支付90%的货款，余款10％在验收合格（如付款周期内有审计，以审计价为准）3年内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3.2乙方申请付款时向甲方提供以下凭据：</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A、合格销售发票；</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、由乙方提供的经甲乙双方及招标代理机构签章的《政府采购合同履行验收报告》。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4.支付方式：银行转账等。</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、付款约定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甲方根据乙方在本合同中所提供银行开户信息转账支付。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乙方开户名称：</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四、质量保证</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1.乙方明确所投产品的品牌、型号、规格和外形、尺寸及一些必须说明的技术参数，以及使用的材料的清单，同时明确生产厂家、型号规格，使用年限等，并提供详细的技术参数及性能说明书。送至设备生产日期需在6个月以内。</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w:t>
      </w:r>
      <w:r/>
    </w:p>
    <w:p>
      <w:pPr>
        <w:ind w:firstLine="480"/>
        <w:spacing w:line="360" w:lineRule="auto"/>
        <w:rPr>
          <w:rFonts w:ascii="宋体" w:hAnsi="宋体" w:eastAsia="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olor w:val="auto"/>
          <w:sz w:val="24"/>
          <w:szCs w:val="24"/>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除特别约定外，合同条款成交的物的质量保证期均自标的物通过最终验收之日起计算。</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售后服务</w:t>
      </w:r>
      <w:r>
        <w:rPr>
          <w:rFonts w:hint="eastAsia" w:ascii="宋体" w:hAnsi="宋体" w:eastAsia="宋体" w:cs="宋体"/>
          <w:b/>
          <w:bCs/>
          <w:color w:val="auto"/>
          <w:sz w:val="24"/>
          <w:szCs w:val="24"/>
          <w:highlight w:val="none"/>
        </w:rPr>
        <w:t xml:space="preserve">要求</w:t>
      </w:r>
      <w:r/>
    </w:p>
    <w:p>
      <w:pPr>
        <w:ind w:firstLine="480"/>
        <w:jc w:val="left"/>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1.乙方在本地区有常驻售后服务人员，提供售后服务详细地址、联系电话，提供售后人员和维修工程师名单，具有详细的人员联系方式及证明资料。</w:t>
      </w:r>
      <w:r/>
    </w:p>
    <w:p>
      <w:pPr>
        <w:ind w:firstLine="480"/>
        <w:jc w:val="left"/>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b w:val="0"/>
          <w:bCs/>
          <w:color w:val="auto"/>
          <w:sz w:val="24"/>
          <w:szCs w:val="24"/>
          <w:highlight w:val="none"/>
          <w:lang w:val="en-US" w:eastAsia="zh-CN"/>
        </w:rPr>
        <w:t xml:space="preserve">整机免费质保期≥3年，终身维护，定期对设备进行维护保养。免费质保期自经验收合格之日起计算，免费质保期内提供免费培训、保养、维护、检验或检定，免费质保期外不收取人工费用。设备一旦发生故障，接到维修通知后有专职的技术服务人员上门服务，2小时内响应，4小时内到达；24小时内解决问题，如24小时内无法修复，须提供备用设备。3个月内连续出现同样的故障问题时，卖方负责免费更换同型号全新产品。</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六、包装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乙方提供的设备必须为原包装，在送交甲方验收前不得拆箱。</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七、标的物的交付</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标的物的所有权自标的物交付时转移。</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乙方应当按照约定的期限和约定的地点交付标的物。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乙方应当按照约定或者交易习惯向甲方交付提取标的物单证以外的有关单证和资料。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4.合同履行期限：合同签订之日起30个工作日内交货、安装及调试完成。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5.交货安装地点：甲方指定地点（苏州市范围内）。</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八、伴随服务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1.乙方除应履行按期按量交付合格标的物的义务之外，还应提供下列服务。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1.1标的物的现场安装、启动、调试、监督；</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1.2提供标的物组装和一般维修所必须的工具；</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1.3在合同规定的期限内对所提供标的物实行运行监督、维修服务的前提条件是该服务并不能免除乙方在质量保证期内所承担的义务；</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1.4对甲方技术人员的技术指导或培训。</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1.5标的物的详细配置清单作为附件，在签订合同时递交给采购单位，采购单位验收根据配置清单进行验收。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2.除合同另有规定之外，伴随服务的费用均已含在合同价款中，甲方不再另行进行支付。</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九、检验和验收</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在交货前，乙方应对标的物的质量、规格、性能、数量等进行详细而全面的检验，并出具一份合格检验证明，合格检验证明甲方可作为验收的依据，但不能作为有关标的物质量、规格、数量或性能的最终检验结果。</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甲方根据合同规定的内容和验收标准进行验收，同时比较采购文件技术参数部分进行验收，经检验无误后出具验收合格证明，如有疑问，甲方有权要求乙方出具技术白皮书进行核对，该证明作为最终付款所需文件的组成部分。</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3.验收期限自标的物交付之日起三十天内。特殊情况需延长的，双方应在合同的特殊条款中约定。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4.如甲乙双方对验收结果有分歧，则以国家权威部门的检验结果为准，检验费用由有过失的一方支付。</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十、标的物提出异议的时间和办法</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1.甲方在验收过程中，应当于双方约定的检验期间内将标的物的数量或质量不符合约定的情况及处理方式以书面方式通知乙方。</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2.如果甲方在验收期满后既不出具验收合格证明又未提出书面异议的视为乙方所交标的物符合合同规定。</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3.乙方应在收到甲方书面异议后七天内负责处理问题，否则将视为默认甲方提出的异议和处理意见。</w:t>
      </w:r>
      <w:r/>
    </w:p>
    <w:p>
      <w:pPr>
        <w:ind w:firstLine="48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十一、违约责任</w:t>
      </w:r>
      <w:r/>
    </w:p>
    <w:p>
      <w:pPr>
        <w:ind w:firstLine="480"/>
        <w:spacing w:line="360" w:lineRule="auto"/>
        <w:rPr>
          <w:rFonts w:hint="eastAsia" w:ascii="宋体" w:hAnsi="宋体" w:eastAsia="宋体" w:cs="Times New Roman"/>
          <w:color w:val="auto"/>
          <w:sz w:val="24"/>
          <w:szCs w:val="24"/>
          <w:highlight w:val="none"/>
          <w:lang w:val="en-US" w:eastAsia="zh-CN"/>
        </w:rPr>
      </w:pPr>
      <w:r/>
      <w:bookmarkStart w:id="39" w:name="_Toc13543219"/>
      <w:r>
        <w:rPr>
          <w:rFonts w:hint="eastAsia" w:ascii="宋体" w:hAnsi="宋体" w:eastAsia="宋体" w:cs="Times New Roman"/>
          <w:color w:val="auto"/>
          <w:sz w:val="24"/>
          <w:szCs w:val="24"/>
          <w:highlight w:val="none"/>
          <w:lang w:val="en-US" w:eastAsia="zh-CN"/>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1.甲方违约责任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1.1在合同生效后，甲方要求退货的，应向乙方偿付合同总价款的5%，作为违约金，违约金不足以补偿损失的，乙方有权要求甲方补足。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1.2 甲方逾期支付货款的应按照逾期付款金额的每天万分之四支付逾期付款违约金。</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1.3 甲方违反合同规定，拒绝接收乙方交付的合格标的物，应当承担乙方由此造成的损失。</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2.乙方违约责任</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 乙方不能交货（逾期超过十五天视为不能交货），或交货不合格从而影响甲方按期正常使用的，应向甲方偿付合同总价款5%的违约金，违约金不足以补偿损失的，甲方有权要求乙方补足。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2.2 乙方逾期交货的 ，应在发货前与甲方协商，甲方仍需求的，乙方应立即发货，按照逾期交货部分货款的每天万分之四支付逾期交货违约金，同时承担甲方因此遭致的损失费用。</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val="zh-CN" w:eastAsia="zh-CN"/>
        </w:rPr>
        <w:t xml:space="preserve">不可抗力</w:t>
      </w:r>
      <w:bookmarkEnd w:id="3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40" w:name="_Toc13543221"/>
      <w:r>
        <w:rPr>
          <w:rFonts w:hint="eastAsia" w:ascii="宋体" w:hAnsi="宋体" w:eastAsia="宋体" w:cs="宋体"/>
          <w:color w:val="auto"/>
          <w:sz w:val="24"/>
          <w:szCs w:val="24"/>
          <w:highlight w:val="none"/>
          <w:lang w:val="en-US" w:eastAsia="zh-CN"/>
        </w:rPr>
        <w:t xml:space="preserve">1.因不可抗力（或甲、乙双方不能控制的原因）不能履行合同的，根据不可抗力的影响，部分或者全部免除责任。但合同一方迟延履行后发生不可抗力的，不能免除责任。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2.合同一方因不可抗力不能履行合同的，应当及时通知对方，以减轻可能给对方造成的损失，并应当在合理期限内提供证明。</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十三、合同的解除和转让</w:t>
      </w:r>
      <w:bookmarkEnd w:id="4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41" w:name="_Toc13543222"/>
      <w:r>
        <w:rPr>
          <w:rFonts w:hint="eastAsia" w:ascii="宋体" w:hAnsi="宋体" w:eastAsia="宋体" w:cs="宋体"/>
          <w:color w:val="auto"/>
          <w:sz w:val="24"/>
          <w:szCs w:val="24"/>
          <w:highlight w:val="none"/>
          <w:lang w:val="en-US" w:eastAsia="zh-CN"/>
        </w:rPr>
        <w:t xml:space="preserve">1.甲方和乙方协商一致，可以解除合同。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2.1因不可抗力致使不能实现合同目的，未受不可抗力影响的一方有权解除合同；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2.2因合同一方违约导致合同不能履行，另一方有权解除合同。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3.有权解除合同的一方，应当在违约事实或不可抗力发生之后三十天内书面通知对方提出解除合同，合同在书面通知到达对方时解除。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4.合同的部分和全部都不得转让。</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十四、合同的生效</w:t>
      </w:r>
      <w:bookmarkEnd w:id="41"/>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42" w:name="_Toc13543223"/>
      <w:r>
        <w:rPr>
          <w:rFonts w:hint="eastAsia" w:ascii="宋体" w:hAnsi="宋体" w:eastAsia="宋体" w:cs="宋体"/>
          <w:color w:val="auto"/>
          <w:sz w:val="24"/>
          <w:szCs w:val="24"/>
          <w:highlight w:val="none"/>
        </w:rPr>
        <w:t xml:space="preserve">合同经甲乙双方代表签字并盖章后可生效</w:t>
      </w:r>
      <w:r>
        <w:rPr>
          <w:rFonts w:hint="eastAsia" w:ascii="宋体" w:hAnsi="宋体" w:eastAsia="宋体" w:cs="宋体"/>
          <w:color w:val="auto"/>
          <w:sz w:val="24"/>
          <w:szCs w:val="24"/>
          <w:highlight w:val="none"/>
          <w:lang w:val="en-US" w:eastAsia="zh-CN"/>
        </w:rPr>
        <w:t xml:space="preserve">。</w:t>
      </w:r>
      <w:bookmarkStart w:id="45" w:name="_GoBack"/>
      <w:r/>
      <w:bookmarkEnd w:id="45"/>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十五、争议解决</w:t>
      </w:r>
      <w:bookmarkEnd w:id="4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甲乙双方因合同发生争议，应在采购代理机构的主持下进行调解，协商不成，任何一方可以向甲方所在地人民法院起诉。</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43" w:name="_Toc13543224"/>
      <w:r>
        <w:rPr>
          <w:rFonts w:hint="eastAsia" w:ascii="宋体" w:hAnsi="宋体" w:eastAsia="宋体" w:cs="宋体"/>
          <w:b/>
          <w:bCs/>
          <w:color w:val="auto"/>
          <w:sz w:val="24"/>
          <w:szCs w:val="24"/>
          <w:highlight w:val="none"/>
          <w:lang w:val="en-US" w:eastAsia="zh-CN"/>
        </w:rPr>
        <w:t xml:space="preserve">十六、附则</w:t>
      </w:r>
      <w:bookmarkEnd w:id="4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1.合同份数：</w:t>
      </w:r>
      <w:r>
        <w:rPr>
          <w:rFonts w:hint="eastAsia" w:ascii="宋体" w:hAnsi="宋体" w:eastAsia="宋体" w:cs="宋体"/>
          <w:bCs/>
          <w:color w:val="auto"/>
          <w:sz w:val="24"/>
          <w:szCs w:val="24"/>
          <w:highlight w:val="none"/>
        </w:rPr>
        <w:t xml:space="preserve">本合同壹式肆份，甲乙双方各执壹份，招标代理机构执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份，具有同等法律效力</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2.本合同文件使用中文书写、解释和说明。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3.本合同履行过程中产生的纪要、协议以及中标通知书、招标文件和投标文件为本合同的附件，与合同具有同等效力。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4.未尽事宜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本合同未尽事宜应按《中华人民共和国政府采购法》、《中华人民共和国民法典》及其它有关政府采购的法律法规的规定执行。</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jc w:val="center"/>
        <w:rPr>
          <w:rFonts w:hint="eastAsia" w:ascii="宋体" w:hAnsi="宋体" w:eastAsia="宋体" w:cs="宋体"/>
          <w:color w:val="auto"/>
          <w:sz w:val="52"/>
          <w:szCs w:val="52"/>
          <w:highlight w:val="none"/>
        </w:rPr>
      </w:pPr>
      <w:r/>
      <w:bookmarkStart w:id="44" w:name="_Toc520073486"/>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715"/>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 xml:space="preserve">第六章</w:t>
      </w:r>
      <w:bookmarkEnd w:id="38"/>
      <w:r>
        <w:rPr>
          <w:rFonts w:hint="eastAsia" w:ascii="宋体" w:hAnsi="宋体" w:eastAsia="宋体" w:cs="宋体"/>
          <w:color w:val="auto"/>
          <w:sz w:val="52"/>
          <w:szCs w:val="52"/>
          <w:highlight w:val="none"/>
          <w:lang w:val="en-US" w:eastAsia="zh-CN"/>
        </w:rPr>
        <w:t xml:space="preserve">  </w:t>
      </w:r>
      <w:r>
        <w:rPr>
          <w:rFonts w:hint="eastAsia" w:ascii="宋体" w:hAnsi="宋体" w:eastAsia="宋体" w:cs="宋体"/>
          <w:color w:val="auto"/>
          <w:sz w:val="52"/>
          <w:szCs w:val="52"/>
          <w:highlight w:val="none"/>
        </w:rPr>
        <w:t xml:space="preserve">评分标准</w:t>
      </w:r>
      <w:bookmarkEnd w:id="44"/>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24"/>
          <w:szCs w:val="24"/>
          <w:highlight w:val="none"/>
        </w:rPr>
        <w:t xml:space="preserve">一、评标办法：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1、本次招标评标采用综合评分法，即在满足招标文件实质性要求前提下，按照招标文件中规定的评分标准和各项因素进行综合评审后，以评标总得分最高的投标人作为中标候选人。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标委员会各成员独立对每个进入打分程序的有效投标人的标书技术部分以打分的形式进行评审和评价（计算结果均四舍五入保留两位小数）。对评标委员会（简称：评委）的评分（除价格分外）进行统计汇总，直接算术平均计算得分。投标报价得分加上技术得分为评标总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3、如出现评标总得分最高的投标人有两个或两个以上的，以投标报价较低者优先作为该标段中标候选人，如果投标报价也相同的，则以抽签方式确定中标候选人。</w:t>
      </w:r>
      <w:r/>
    </w:p>
    <w:p>
      <w:pPr>
        <w:jc w:val="both"/>
        <w:spacing w:line="348"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（一）价格基准分：30分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第一步：投标报价低于或等于采购预算价格的，为有效投标报价。超采购预算的投标报价为无效投标报价。无效投标报价的投标文件不进行评审，也不得标。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第二步：根据各投标人通过符合性审查的有效投标报价中的最低价作为评标基准价，其他投标人的价格分按照下列公式计算（计算结果四舍五入保留两位小数）。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投标报价得分＝（评标基准价/投标报价）×30％×100。</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（二）技术评审：70分</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2031"/>
        <w:gridCol w:w="5769"/>
        <w:gridCol w:w="906"/>
      </w:tblGrid>
      <w:tr>
        <w:trPr>
          <w:trHeight w:val="471"/>
        </w:trPr>
        <w:tc>
          <w:tcPr>
            <w:tcW w:w="729"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评审类别</w:t>
            </w:r>
            <w:r/>
          </w:p>
        </w:tc>
        <w:tc>
          <w:tcPr>
            <w:tcW w:w="996"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w:t>
            </w:r>
            <w:r/>
          </w:p>
        </w:tc>
        <w:tc>
          <w:tcPr>
            <w:tcW w:w="2829" w:type="pct"/>
            <w:vAlign w:val="center"/>
            <w:textDirection w:val="lrTb"/>
            <w:noWrap w:val="false"/>
          </w:tcPr>
          <w:p>
            <w:pPr>
              <w:ind w:right="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评审规则</w:t>
            </w:r>
            <w:r/>
          </w:p>
        </w:tc>
        <w:tc>
          <w:tcPr>
            <w:tcW w:w="44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trHeight w:val="565"/>
        </w:trPr>
        <w:tc>
          <w:tcPr>
            <w:tcW w:w="729"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设备配置与质量（</w:t>
            </w: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分）</w:t>
            </w:r>
            <w:r/>
          </w:p>
        </w:tc>
        <w:tc>
          <w:tcPr>
            <w:tcW w:w="996"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1、技术参数符合性（</w:t>
            </w: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分）</w:t>
            </w:r>
            <w:r/>
          </w:p>
        </w:tc>
        <w:tc>
          <w:tcPr>
            <w:tcW w:w="2829"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所投产品的技术参数应满足或高于招标文件要求；带★每负偏离一项扣4分，其他每负偏离一项扣2分，扣完为止，各投标单位均应提供相关的证明材料（彩页、实物图片、技术白皮书或提供厂家技术参数表等证明材料作为佐证）并作出相应的对比（列表）供评委评判，否则评委可视为未对此进行响应。（最高得</w:t>
            </w: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分）</w:t>
            </w:r>
            <w:r/>
          </w:p>
        </w:tc>
        <w:tc>
          <w:tcPr>
            <w:tcW w:w="444"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52</w:t>
            </w:r>
            <w:r/>
          </w:p>
        </w:tc>
      </w:tr>
      <w:tr>
        <w:trPr>
          <w:trHeight w:val="72"/>
        </w:trPr>
        <w:tc>
          <w:tcPr>
            <w:tcW w:w="729" w:type="pct"/>
            <w:vAlign w:val="center"/>
            <w:vMerge w:val="restart"/>
            <w:textDirection w:val="lrTb"/>
            <w:noWrap w:val="false"/>
          </w:tcPr>
          <w:p>
            <w:pPr>
              <w:ind w:right="8"/>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售后服务比较（</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right="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6" w:type="pct"/>
            <w:vAlign w:val="center"/>
            <w:textDirection w:val="lrTb"/>
            <w:noWrap w:val="false"/>
          </w:tcPr>
          <w:p>
            <w:pPr>
              <w:spacing w:line="276"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1、服务体系的完备性、技术力量（</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2829" w:type="pct"/>
            <w:vAlign w:val="center"/>
            <w:textDirection w:val="lrTb"/>
            <w:noWrap w:val="false"/>
          </w:tcPr>
          <w:p>
            <w:pPr>
              <w:spacing w:line="276"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投标人服务体系的完备性、技术力量，综合评定，概述详细、科学合理、完整、有解决措施、有合理化建议的得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44"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r>
      <w:tr>
        <w:trPr>
          <w:cantSplit/>
          <w:trHeight w:val="557"/>
        </w:trPr>
        <w:tc>
          <w:tcPr>
            <w:tcW w:w="729" w:type="pct"/>
            <w:vAlign w:val="center"/>
            <w:vMerge w:val="continue"/>
            <w:textDirection w:val="lrTb"/>
            <w:noWrap w:val="false"/>
          </w:tcPr>
          <w:p>
            <w:pPr>
              <w:ind w:right="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6" w:type="pct"/>
            <w:vAlign w:val="center"/>
            <w:textDirection w:val="lrTb"/>
            <w:noWrap w:val="false"/>
          </w:tcPr>
          <w:p>
            <w:pPr>
              <w:spacing w:line="276"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2、维修备品备件（3分）</w:t>
            </w:r>
            <w:r/>
          </w:p>
        </w:tc>
        <w:tc>
          <w:tcPr>
            <w:tcW w:w="2829"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投标人有完整的质保期满后维保收费及内容，能根据零配件和维修备品备件的价格及供应保障和维保期满后维保收费及维保方案的得3分。</w:t>
            </w:r>
            <w:r/>
          </w:p>
        </w:tc>
        <w:tc>
          <w:tcPr>
            <w:tcW w:w="444"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r>
      <w:tr>
        <w:trPr>
          <w:cantSplit/>
          <w:trHeight w:val="557"/>
        </w:trPr>
        <w:tc>
          <w:tcPr>
            <w:tcW w:w="729" w:type="pct"/>
            <w:vAlign w:val="center"/>
            <w:vMerge w:val="continue"/>
            <w:textDirection w:val="lrTb"/>
            <w:noWrap w:val="false"/>
          </w:tcPr>
          <w:p>
            <w:pPr>
              <w:ind w:right="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6"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质量保证保障承诺（</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tc>
        <w:tc>
          <w:tcPr>
            <w:tcW w:w="2829"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针对本项目的质量保证保障承诺（原厂售后服务承诺书、质量保证承诺），每提供一个得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分，共</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tc>
        <w:tc>
          <w:tcPr>
            <w:tcW w:w="444"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r>
      <w:tr>
        <w:trPr>
          <w:cantSplit/>
          <w:trHeight w:val="90"/>
        </w:trPr>
        <w:tc>
          <w:tcPr>
            <w:tcW w:w="729" w:type="pct"/>
            <w:vAlign w:val="center"/>
            <w:vMerge w:val="continue"/>
            <w:textDirection w:val="lrTb"/>
            <w:noWrap w:val="false"/>
          </w:tcPr>
          <w:p>
            <w:pPr>
              <w:ind w:right="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6"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、培训方案（</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tc>
        <w:tc>
          <w:tcPr>
            <w:tcW w:w="2829" w:type="pct"/>
            <w:vAlign w:val="center"/>
            <w:textDirection w:val="lrTb"/>
            <w:noWrap w:val="false"/>
          </w:tcPr>
          <w:p>
            <w:pP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rPr>
              <w:t xml:space="preserve">投标单位的培训方案</w:t>
            </w:r>
            <w:r>
              <w:rPr>
                <w:rFonts w:hint="eastAsia" w:ascii="宋体" w:hAnsi="宋体" w:eastAsia="宋体" w:cs="宋体"/>
                <w:color w:val="auto"/>
                <w:sz w:val="24"/>
                <w:szCs w:val="24"/>
                <w:highlight w:val="none"/>
              </w:rPr>
              <w:t xml:space="preserve">详细完整、描述清晰</w:t>
            </w:r>
            <w:r>
              <w:rPr>
                <w:rFonts w:hint="eastAsia" w:ascii="宋体" w:hAnsi="宋体" w:eastAsia="宋体" w:cs="宋体"/>
                <w:color w:val="auto"/>
                <w:sz w:val="24"/>
                <w:szCs w:val="24"/>
                <w:highlight w:val="none"/>
                <w:lang w:val="zh-CN"/>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分，未提供不得分；</w:t>
            </w:r>
            <w:r/>
          </w:p>
        </w:tc>
        <w:tc>
          <w:tcPr>
            <w:tcW w:w="444" w:type="pct"/>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p>
        </w:tc>
      </w:tr>
      <w:tr>
        <w:trPr>
          <w:cantSplit/>
          <w:trHeight w:val="557"/>
        </w:trPr>
        <w:tc>
          <w:tcPr>
            <w:tcW w:w="729" w:type="pct"/>
            <w:vAlign w:val="center"/>
            <w:textDirection w:val="lrTb"/>
            <w:noWrap w:val="false"/>
          </w:tcPr>
          <w:p>
            <w:pPr>
              <w:ind w:right="8"/>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履约能力比较（</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996"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1、业绩合同</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p>
        </w:tc>
        <w:tc>
          <w:tcPr>
            <w:tcW w:w="2829" w:type="pct"/>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核心设备（</w:t>
            </w:r>
            <w:r>
              <w:rPr>
                <w:rFonts w:hint="eastAsia" w:ascii="宋体" w:hAnsi="宋体" w:eastAsia="宋体" w:cs="宋体"/>
                <w:color w:val="auto"/>
                <w:sz w:val="24"/>
                <w:szCs w:val="24"/>
                <w:highlight w:val="none"/>
              </w:rPr>
              <w:t xml:space="preserve">远程超声诊断系统</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产品制造商</w:t>
            </w:r>
            <w:r>
              <w:rPr>
                <w:rFonts w:hint="eastAsia" w:ascii="宋体" w:hAnsi="宋体" w:eastAsia="宋体" w:cs="宋体"/>
                <w:color w:val="auto"/>
                <w:sz w:val="24"/>
                <w:szCs w:val="24"/>
                <w:highlight w:val="none"/>
              </w:rPr>
              <w:t xml:space="preserve">自20</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年1月1日至今业绩比较（以合同签订日期为准），由评委根据提供的合同复印件，有一个得2分，最高得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分。（需提供完整的合同复印件）</w:t>
            </w:r>
            <w:r/>
          </w:p>
        </w:tc>
        <w:tc>
          <w:tcPr>
            <w:tcW w:w="444" w:type="pct"/>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r>
    </w:tbl>
    <w:p>
      <w:pPr>
        <w:ind w:firstLine="480"/>
        <w:jc w:val="both"/>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注：针对评分标准中评分的每一条，投标人均应提供相关资料并作出相应说明供评委评判，不提供相关资料的视为不具备该项得分的条件。</w:t>
      </w:r>
      <w:r/>
    </w:p>
    <w:p>
      <w:pPr>
        <w:ind w:firstLine="480"/>
        <w:jc w:val="right"/>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（全文完）</w:t>
      </w:r>
      <w:r/>
    </w:p>
    <w:p>
      <w:r/>
      <w:r/>
    </w:p>
    <w:sectPr>
      <w:headerReference w:type="default" r:id="rId8"/>
      <w:headerReference w:type="first" r:id="rId9"/>
      <w:footerReference w:type="default" r:id="rId10"/>
      <w:footerReference w:type="even" r:id="rId11"/>
      <w:footnotePr/>
      <w:endnotePr/>
      <w:type w:val="nextPage"/>
      <w:pgSz w:w="11906" w:h="16838" w:orient="portrait"/>
      <w:pgMar w:top="1440" w:right="849" w:bottom="1440" w:left="1080" w:header="794" w:footer="675"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宋体">
    <w:panose1 w:val="02010600030101010101"/>
  </w:font>
  <w:font w:name="方正仿宋简体">
    <w:panose1 w:val="020B0503020202020204"/>
  </w:font>
  <w:font w:name="创艺简仿宋">
    <w:panose1 w:val="020B0503020202020204"/>
  </w:font>
  <w:font w:name="Arial">
    <w:panose1 w:val="020B0604020202020204"/>
  </w:font>
  <w:font w:name="楷体_GB2312">
    <w:panose1 w:val="0201060906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737"/>
      <w:ind w:right="360"/>
      <w:jc w:val="lef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rPr>
        <w:rStyle w:val="752"/>
      </w:rPr>
      <w:framePr w:wrap="around" w:vAnchor="text" w:hAnchor="margin" w:xAlign="right" w:y="1"/>
    </w:pPr>
    <w:r>
      <w:fldChar w:fldCharType="begin"/>
    </w:r>
    <w:r>
      <w:rPr>
        <w:rStyle w:val="752"/>
        <w:rFonts w:ascii="宋体" w:hAnsi="宋体" w:eastAsia="宋体" w:cs="宋体"/>
        <w:sz w:val="24"/>
        <w:szCs w:val="24"/>
      </w:rPr>
      <w:instrText xml:space="preserve">PAGE  </w:instrText>
    </w:r>
    <w:r>
      <w:fldChar w:fldCharType="end"/>
    </w:r>
    <w:r/>
  </w:p>
  <w:p>
    <w:pPr>
      <w:pStyle w:val="737"/>
      <w:ind w:right="360" w:firstLine="360"/>
      <w:jc w:val="lef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1" name="图片 3"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JSZC-320583-LHZX-G2024-0029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381000" cy="209550"/>
              <wp:effectExtent l="0" t="0" r="0" b="0"/>
              <wp:docPr id="2" name="图片 2" descr="F:\单位照片—乐慧\QQ图片2018041112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单位照片—乐慧\QQ图片20180411122618.jpg"/>
                      <pic:cNvPicPr>
                        <a:picLocks noChangeAspect="1"/>
                      </pic:cNvPicPr>
                      <pic:nvPr/>
                    </pic:nvPicPr>
                    <pic:blipFill>
                      <a:blip r:embed="rId1"/>
                      <a:stretch/>
                    </pic:blipFill>
                    <pic:spPr bwMode="auto">
                      <a:xfrm rot="10800000" flipH="1" flipV="1">
                        <a:off x="0" y="0"/>
                        <a:ext cx="381000" cy="20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16.5pt;mso-wrap-distance-left:0.0pt;mso-wrap-distance-top:0.0pt;mso-wrap-distance-right:0.0pt;mso-wrap-distance-bottom:0.0pt;rotation:180;flip:xy;" stroked="f">
              <v:path textboxrect="0,0,0,0"/>
              <v:imagedata r:id="rId1" o:title=""/>
            </v:shape>
          </w:pict>
        </mc:Fallback>
      </mc:AlternateContent>
    </w:r>
    <w:r>
      <w:rPr>
        <w:rFonts w:hint="eastAsia" w:ascii="宋体" w:hAnsi="宋体" w:eastAsia="宋体"/>
      </w:rPr>
      <w:t xml:space="preserve">苏州乐慧招投标咨询有限公司                                        招标编号：</w:t>
    </w:r>
    <w:r>
      <w:rPr>
        <w:rFonts w:hint="eastAsia" w:ascii="宋体" w:hAnsi="宋体" w:eastAsia="宋体"/>
        <w:lang w:eastAsia="zh-CN"/>
      </w:rPr>
      <w:t xml:space="preserve">JSZC-320583-LHZX-G2024-0029</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911"/>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15">
    <w:name w:val="Heading 1"/>
    <w:next w:val="714"/>
    <w:uiPriority w:val="0"/>
    <w:qFormat/>
    <w:pPr>
      <w:jc w:val="both"/>
      <w:keepLines/>
      <w:keepNext/>
      <w:spacing w:before="340" w:after="330" w:line="578"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16">
    <w:name w:val="Heading 2"/>
    <w:basedOn w:val="714"/>
    <w:next w:val="714"/>
    <w:link w:val="757"/>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8"/>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9"/>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60"/>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1"/>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63"/>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6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0"/>
    <w:semiHidden/>
    <w:qFormat/>
  </w:style>
  <w:style w:type="table" w:styleId="725" w:default="1">
    <w:name w:val="Normal Table"/>
    <w:uiPriority w:val="0"/>
    <w:semiHidden/>
    <w:qFormat/>
    <w:tblPr>
      <w:tblCellMar>
        <w:left w:w="108" w:type="dxa"/>
        <w:top w:w="0" w:type="dxa"/>
        <w:right w:w="108" w:type="dxa"/>
        <w:bottom w:w="0" w:type="dxa"/>
      </w:tblCellMar>
    </w:tblPr>
  </w:style>
  <w:style w:type="paragraph" w:styleId="726">
    <w:name w:val="toc 7"/>
    <w:next w:val="714"/>
    <w:uiPriority w:val="0"/>
    <w:semiHidden/>
    <w:qFormat/>
    <w:pPr>
      <w:ind w:left="2520"/>
      <w:jc w:val="both"/>
      <w:keepLines/>
      <w:keepNext/>
      <w:spacing w:before="340" w:after="330" w:line="578" w:lineRule="auto"/>
      <w:widowControl w:val="off"/>
      <w:outlineLvl w:val="0"/>
    </w:pPr>
    <w:rPr>
      <w:rFonts w:hint="default" w:ascii="Times New Roman" w:hAnsi="Times New Roman" w:eastAsia="楷体_GB2312" w:cs="Times New Roman"/>
      <w:b/>
      <w:sz w:val="26"/>
      <w:szCs w:val="20"/>
      <w:lang w:val="en-US" w:eastAsia="zh-CN" w:bidi="ar-SA"/>
    </w:rPr>
  </w:style>
  <w:style w:type="paragraph" w:styleId="727">
    <w:name w:val="Normal Indent"/>
    <w:basedOn w:val="714"/>
    <w:next w:val="714"/>
    <w:uiPriority w:val="0"/>
    <w:qFormat/>
    <w:pPr>
      <w:ind w:firstLine="420"/>
      <w:widowControl w:val="off"/>
    </w:pPr>
    <w:rPr>
      <w:rFonts w:hint="default" w:ascii="Times New Roman" w:hAnsi="Times New Roman" w:eastAsia="楷体_GB2312" w:cs="Times New Roman"/>
      <w:sz w:val="24"/>
      <w:szCs w:val="20"/>
      <w:lang w:val="en-US" w:eastAsia="zh-CN" w:bidi="ar-SA"/>
    </w:rPr>
  </w:style>
  <w:style w:type="paragraph" w:styleId="728">
    <w:name w:val="Caption"/>
    <w:basedOn w:val="714"/>
    <w:next w:val="71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29">
    <w:name w:val="Body Text Indent"/>
    <w:basedOn w:val="714"/>
    <w:uiPriority w:val="0"/>
    <w:qFormat/>
    <w:pPr>
      <w:ind w:left="570"/>
      <w:jc w:val="both"/>
      <w:spacing w:line="520" w:lineRule="exact"/>
      <w:widowControl w:val="off"/>
    </w:pPr>
    <w:rPr>
      <w:rFonts w:hint="default" w:ascii="方正仿宋简体" w:hAnsi="创艺简仿宋" w:eastAsia="方正仿宋简体" w:cs="Times New Roman"/>
      <w:sz w:val="24"/>
      <w:szCs w:val="20"/>
      <w:lang w:val="en-US" w:eastAsia="zh-CN" w:bidi="ar-SA"/>
    </w:rPr>
  </w:style>
  <w:style w:type="paragraph" w:styleId="730">
    <w:name w:val="List 2"/>
    <w:next w:val="726"/>
    <w:uiPriority w:val="0"/>
    <w:qFormat/>
    <w:pPr>
      <w:ind w:left="100" w:firstLine="3640"/>
      <w:jc w:val="both"/>
      <w:keepLines/>
      <w:keepNext/>
      <w:spacing w:before="0" w:after="0" w:line="240" w:lineRule="auto"/>
      <w:widowControl w:val="off"/>
      <w:outlineLvl w:val="0"/>
    </w:pPr>
    <w:rPr>
      <w:rFonts w:hint="default" w:ascii="Times New Roman" w:hAnsi="Times New Roman" w:eastAsia="楷体_GB2312" w:cs="Times New Roman"/>
      <w:b/>
      <w:sz w:val="44"/>
      <w:szCs w:val="20"/>
      <w:lang w:val="en-US" w:eastAsia="zh-CN" w:bidi="ar-SA"/>
    </w:rPr>
  </w:style>
  <w:style w:type="paragraph" w:styleId="731">
    <w:name w:val="toc 5"/>
    <w:basedOn w:val="714"/>
    <w:next w:val="714"/>
    <w:uiPriority w:val="39"/>
    <w:unhideWhenUsed/>
    <w:qFormat/>
    <w:pPr>
      <w:ind w:left="1134" w:right="0" w:firstLine="0"/>
      <w:spacing w:after="57"/>
    </w:pPr>
  </w:style>
  <w:style w:type="paragraph" w:styleId="732">
    <w:name w:val="toc 3"/>
    <w:basedOn w:val="714"/>
    <w:next w:val="714"/>
    <w:uiPriority w:val="39"/>
    <w:unhideWhenUsed/>
    <w:qFormat/>
    <w:pPr>
      <w:ind w:left="567" w:right="0" w:firstLine="0"/>
      <w:spacing w:after="57"/>
    </w:pPr>
  </w:style>
  <w:style w:type="paragraph" w:styleId="733">
    <w:name w:val="Plain Text"/>
    <w:uiPriority w:val="0"/>
    <w:qFormat/>
    <w:pPr>
      <w:jc w:val="both"/>
      <w:widowControl w:val="off"/>
    </w:pPr>
    <w:rPr>
      <w:rFonts w:hint="default" w:ascii="宋体" w:hAnsi="Courier New" w:eastAsia="楷体_GB2312" w:cs="Times New Roman"/>
      <w:sz w:val="26"/>
      <w:szCs w:val="20"/>
      <w:lang w:val="en-US" w:eastAsia="zh-CN" w:bidi="ar-SA"/>
    </w:rPr>
  </w:style>
  <w:style w:type="paragraph" w:styleId="734">
    <w:name w:val="toc 8"/>
    <w:basedOn w:val="714"/>
    <w:next w:val="714"/>
    <w:uiPriority w:val="39"/>
    <w:unhideWhenUsed/>
    <w:qFormat/>
    <w:pPr>
      <w:ind w:left="1984" w:right="0" w:firstLine="0"/>
      <w:spacing w:after="57"/>
    </w:pPr>
  </w:style>
  <w:style w:type="paragraph" w:styleId="735">
    <w:name w:val="Date"/>
    <w:next w:val="714"/>
    <w:uiPriority w:val="0"/>
    <w:qFormat/>
    <w:pPr>
      <w:jc w:val="both"/>
      <w:widowControl w:val="off"/>
    </w:pPr>
    <w:rPr>
      <w:rFonts w:hint="default" w:ascii="宋体" w:hAnsi="宋体" w:eastAsia="楷体_GB2312" w:cs="Times New Roman"/>
      <w:sz w:val="24"/>
      <w:szCs w:val="20"/>
      <w:lang w:val="en-US" w:eastAsia="zh-CN" w:bidi="ar-SA"/>
    </w:rPr>
  </w:style>
  <w:style w:type="paragraph" w:styleId="736">
    <w:name w:val="endnote text"/>
    <w:basedOn w:val="714"/>
    <w:link w:val="902"/>
    <w:uiPriority w:val="99"/>
    <w:semiHidden/>
    <w:unhideWhenUsed/>
    <w:qFormat/>
    <w:pPr>
      <w:spacing w:after="0" w:line="240" w:lineRule="auto"/>
    </w:pPr>
    <w:rPr>
      <w:sz w:val="20"/>
    </w:rPr>
  </w:style>
  <w:style w:type="paragraph" w:styleId="737">
    <w:name w:val="Footer"/>
    <w:basedOn w:val="714"/>
    <w:uiPriority w:val="0"/>
    <w:qFormat/>
    <w:pPr>
      <w:widowControl w:val="off"/>
      <w:tabs>
        <w:tab w:val="center" w:pos="4153" w:leader="none"/>
        <w:tab w:val="right" w:pos="8306" w:leader="none"/>
      </w:tabs>
    </w:pPr>
    <w:rPr>
      <w:rFonts w:hint="default" w:ascii="Times New Roman" w:hAnsi="Times New Roman" w:eastAsia="楷体_GB2312" w:cs="Times New Roman"/>
      <w:sz w:val="18"/>
      <w:szCs w:val="20"/>
      <w:lang w:val="en-US" w:eastAsia="zh-CN" w:bidi="ar-SA"/>
    </w:rPr>
  </w:style>
  <w:style w:type="paragraph" w:styleId="738">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楷体_GB2312" w:cs="Times New Roman"/>
      <w:sz w:val="18"/>
      <w:szCs w:val="20"/>
      <w:lang w:val="en-US" w:eastAsia="zh-CN" w:bidi="ar-SA"/>
    </w:rPr>
  </w:style>
  <w:style w:type="paragraph" w:styleId="739">
    <w:name w:val="toc 1"/>
    <w:next w:val="714"/>
    <w:uiPriority w:val="39"/>
    <w:qFormat/>
    <w:pPr>
      <w:widowControl w:val="off"/>
    </w:pPr>
    <w:rPr>
      <w:rFonts w:hint="default" w:ascii="Times New Roman" w:hAnsi="Times New Roman" w:eastAsia="楷体_GB2312" w:cs="Times New Roman"/>
      <w:sz w:val="24"/>
      <w:szCs w:val="20"/>
      <w:lang w:val="en-US" w:eastAsia="zh-CN" w:bidi="ar-SA"/>
    </w:rPr>
  </w:style>
  <w:style w:type="paragraph" w:styleId="740">
    <w:name w:val="toc 4"/>
    <w:basedOn w:val="714"/>
    <w:next w:val="714"/>
    <w:uiPriority w:val="39"/>
    <w:unhideWhenUsed/>
    <w:qFormat/>
    <w:pPr>
      <w:ind w:left="850" w:right="0" w:firstLine="0"/>
      <w:spacing w:after="57"/>
    </w:pPr>
  </w:style>
  <w:style w:type="paragraph" w:styleId="741">
    <w:name w:val="Subtitle"/>
    <w:basedOn w:val="714"/>
    <w:next w:val="714"/>
    <w:link w:val="768"/>
    <w:uiPriority w:val="11"/>
    <w:qFormat/>
    <w:pPr>
      <w:spacing w:before="200" w:after="200"/>
    </w:pPr>
    <w:rPr>
      <w:sz w:val="24"/>
      <w:szCs w:val="24"/>
    </w:rPr>
  </w:style>
  <w:style w:type="paragraph" w:styleId="742">
    <w:name w:val="footnote text"/>
    <w:basedOn w:val="714"/>
    <w:link w:val="901"/>
    <w:uiPriority w:val="99"/>
    <w:semiHidden/>
    <w:unhideWhenUsed/>
    <w:qFormat/>
    <w:pPr>
      <w:spacing w:after="40" w:line="240" w:lineRule="auto"/>
    </w:pPr>
    <w:rPr>
      <w:sz w:val="18"/>
    </w:rPr>
  </w:style>
  <w:style w:type="paragraph" w:styleId="743">
    <w:name w:val="toc 6"/>
    <w:basedOn w:val="714"/>
    <w:next w:val="714"/>
    <w:uiPriority w:val="39"/>
    <w:unhideWhenUsed/>
    <w:qFormat/>
    <w:pPr>
      <w:ind w:left="1417" w:right="0" w:firstLine="0"/>
      <w:spacing w:after="57"/>
    </w:pPr>
  </w:style>
  <w:style w:type="paragraph" w:styleId="744">
    <w:name w:val="table of figures"/>
    <w:basedOn w:val="714"/>
    <w:next w:val="714"/>
    <w:uiPriority w:val="99"/>
    <w:unhideWhenUsed/>
    <w:qFormat/>
    <w:pPr>
      <w:spacing w:after="0" w:afterAutospacing="0"/>
    </w:pPr>
  </w:style>
  <w:style w:type="paragraph" w:styleId="745">
    <w:name w:val="toc 2"/>
    <w:basedOn w:val="714"/>
    <w:next w:val="714"/>
    <w:uiPriority w:val="39"/>
    <w:unhideWhenUsed/>
    <w:qFormat/>
    <w:pPr>
      <w:ind w:left="283" w:right="0" w:firstLine="0"/>
      <w:spacing w:after="57"/>
    </w:pPr>
  </w:style>
  <w:style w:type="paragraph" w:styleId="746">
    <w:name w:val="toc 9"/>
    <w:basedOn w:val="714"/>
    <w:next w:val="714"/>
    <w:uiPriority w:val="39"/>
    <w:unhideWhenUsed/>
    <w:qFormat/>
    <w:pPr>
      <w:ind w:left="2268" w:right="0" w:firstLine="0"/>
      <w:spacing w:after="57"/>
    </w:pPr>
  </w:style>
  <w:style w:type="paragraph" w:styleId="747">
    <w:name w:val="Normal (Web)"/>
    <w:next w:val="730"/>
    <w:uiPriority w:val="0"/>
    <w:qFormat/>
    <w:pPr>
      <w:spacing w:before="100" w:beforeAutospacing="1" w:after="100" w:afterAutospacing="1"/>
    </w:pPr>
    <w:rPr>
      <w:rFonts w:hint="default" w:ascii="宋体" w:hAnsi="宋体" w:eastAsia="宋体" w:cs="宋体"/>
      <w:sz w:val="24"/>
      <w:szCs w:val="24"/>
      <w:lang w:val="en-US" w:eastAsia="zh-CN" w:bidi="ar-SA"/>
    </w:rPr>
  </w:style>
  <w:style w:type="paragraph" w:styleId="748">
    <w:name w:val="Title"/>
    <w:basedOn w:val="714"/>
    <w:next w:val="714"/>
    <w:link w:val="767"/>
    <w:uiPriority w:val="10"/>
    <w:qFormat/>
    <w:pPr>
      <w:contextualSpacing/>
      <w:spacing w:before="300" w:after="200"/>
    </w:pPr>
    <w:rPr>
      <w:sz w:val="48"/>
      <w:szCs w:val="48"/>
    </w:rPr>
  </w:style>
  <w:style w:type="paragraph" w:styleId="749">
    <w:name w:val="Body Text First Indent 2"/>
    <w:basedOn w:val="729"/>
    <w:uiPriority w:val="99"/>
    <w:unhideWhenUsed/>
    <w:qFormat/>
    <w:pPr>
      <w:ind w:firstLine="420"/>
    </w:pPr>
  </w:style>
  <w:style w:type="table" w:styleId="7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basedOn w:val="724"/>
    <w:uiPriority w:val="99"/>
    <w:semiHidden/>
    <w:unhideWhenUsed/>
    <w:qFormat/>
    <w:rPr>
      <w:vertAlign w:val="superscript"/>
    </w:rPr>
  </w:style>
  <w:style w:type="character" w:styleId="752">
    <w:name w:val="page number"/>
    <w:basedOn w:val="724"/>
    <w:uiPriority w:val="0"/>
    <w:qFormat/>
  </w:style>
  <w:style w:type="character" w:styleId="753">
    <w:name w:val="Hyperlink"/>
    <w:uiPriority w:val="99"/>
    <w:unhideWhenUsed/>
    <w:qFormat/>
    <w:rPr>
      <w:color w:val="0026e5" w:themeColor="hyperlink"/>
      <w:u w:val="single"/>
      <w14:textFill>
        <w14:solidFill>
          <w14:schemeClr w14:val="hlink"/>
        </w14:solidFill>
      </w14:textFill>
    </w:rPr>
  </w:style>
  <w:style w:type="character" w:styleId="754">
    <w:name w:val="footnote reference"/>
    <w:basedOn w:val="724"/>
    <w:uiPriority w:val="99"/>
    <w:unhideWhenUsed/>
    <w:qFormat/>
    <w:rPr>
      <w:vertAlign w:val="superscript"/>
    </w:rPr>
  </w:style>
  <w:style w:type="paragraph" w:styleId="755" w:customStyle="1">
    <w:name w:val="正文 首行缩进加粗"/>
    <w:uiPriority w:val="0"/>
    <w:qFormat/>
    <w:pPr>
      <w:ind w:firstLine="422"/>
      <w:jc w:val="both"/>
      <w:spacing w:line="360" w:lineRule="auto"/>
      <w:widowControl w:val="off"/>
    </w:pPr>
    <w:rPr>
      <w:rFonts w:ascii="Arial" w:hAnsi="Arial" w:eastAsia="宋体" w:cs="宋体"/>
      <w:b/>
      <w:sz w:val="21"/>
      <w:lang w:val="en-US" w:eastAsia="zh-CN" w:bidi="ar-SA"/>
    </w:rPr>
  </w:style>
  <w:style w:type="character" w:styleId="756" w:customStyle="1">
    <w:name w:val="Heading 1 Char"/>
    <w:basedOn w:val="724"/>
    <w:uiPriority w:val="9"/>
    <w:qFormat/>
    <w:rPr>
      <w:rFonts w:ascii="Arial" w:hAnsi="Arial" w:eastAsia="Arial" w:cs="Arial"/>
      <w:sz w:val="40"/>
      <w:szCs w:val="40"/>
    </w:rPr>
  </w:style>
  <w:style w:type="character" w:styleId="757" w:customStyle="1">
    <w:name w:val="Heading 2 Char"/>
    <w:basedOn w:val="724"/>
    <w:link w:val="716"/>
    <w:uiPriority w:val="9"/>
    <w:qFormat/>
    <w:rPr>
      <w:rFonts w:ascii="Arial" w:hAnsi="Arial" w:eastAsia="Arial" w:cs="Arial"/>
      <w:sz w:val="34"/>
    </w:rPr>
  </w:style>
  <w:style w:type="character" w:styleId="758" w:customStyle="1">
    <w:name w:val="Heading 3 Char"/>
    <w:basedOn w:val="724"/>
    <w:link w:val="717"/>
    <w:uiPriority w:val="9"/>
    <w:qFormat/>
    <w:rPr>
      <w:rFonts w:ascii="Arial" w:hAnsi="Arial" w:eastAsia="Arial" w:cs="Arial"/>
      <w:sz w:val="30"/>
      <w:szCs w:val="30"/>
    </w:rPr>
  </w:style>
  <w:style w:type="character" w:styleId="759" w:customStyle="1">
    <w:name w:val="Heading 4 Char"/>
    <w:basedOn w:val="724"/>
    <w:link w:val="718"/>
    <w:uiPriority w:val="9"/>
    <w:qFormat/>
    <w:rPr>
      <w:rFonts w:ascii="Arial" w:hAnsi="Arial" w:eastAsia="Arial" w:cs="Arial"/>
      <w:b/>
      <w:bCs/>
      <w:sz w:val="26"/>
      <w:szCs w:val="26"/>
    </w:rPr>
  </w:style>
  <w:style w:type="character" w:styleId="760" w:customStyle="1">
    <w:name w:val="Heading 5 Char"/>
    <w:basedOn w:val="724"/>
    <w:link w:val="719"/>
    <w:uiPriority w:val="9"/>
    <w:qFormat/>
    <w:rPr>
      <w:rFonts w:ascii="Arial" w:hAnsi="Arial" w:eastAsia="Arial" w:cs="Arial"/>
      <w:b/>
      <w:bCs/>
      <w:sz w:val="24"/>
      <w:szCs w:val="24"/>
    </w:rPr>
  </w:style>
  <w:style w:type="character" w:styleId="761" w:customStyle="1">
    <w:name w:val="Heading 6 Char"/>
    <w:basedOn w:val="724"/>
    <w:link w:val="720"/>
    <w:uiPriority w:val="9"/>
    <w:qFormat/>
    <w:rPr>
      <w:rFonts w:ascii="Arial" w:hAnsi="Arial" w:eastAsia="Arial" w:cs="Arial"/>
      <w:b/>
      <w:bCs/>
      <w:sz w:val="22"/>
      <w:szCs w:val="22"/>
    </w:rPr>
  </w:style>
  <w:style w:type="character" w:styleId="762" w:customStyle="1">
    <w:name w:val="Heading 7 Char"/>
    <w:basedOn w:val="724"/>
    <w:link w:val="721"/>
    <w:uiPriority w:val="9"/>
    <w:qFormat/>
    <w:rPr>
      <w:rFonts w:ascii="Arial" w:hAnsi="Arial" w:eastAsia="Arial" w:cs="Arial"/>
      <w:b/>
      <w:bCs/>
      <w:i/>
      <w:iCs/>
      <w:sz w:val="22"/>
      <w:szCs w:val="22"/>
    </w:rPr>
  </w:style>
  <w:style w:type="character" w:styleId="763" w:customStyle="1">
    <w:name w:val="Heading 8 Char"/>
    <w:basedOn w:val="724"/>
    <w:link w:val="722"/>
    <w:uiPriority w:val="9"/>
    <w:qFormat/>
    <w:rPr>
      <w:rFonts w:ascii="Arial" w:hAnsi="Arial" w:eastAsia="Arial" w:cs="Arial"/>
      <w:i/>
      <w:iCs/>
      <w:sz w:val="22"/>
      <w:szCs w:val="22"/>
    </w:rPr>
  </w:style>
  <w:style w:type="character" w:styleId="764" w:customStyle="1">
    <w:name w:val="Heading 9 Char"/>
    <w:basedOn w:val="724"/>
    <w:link w:val="723"/>
    <w:uiPriority w:val="9"/>
    <w:qFormat/>
    <w:rPr>
      <w:rFonts w:ascii="Arial" w:hAnsi="Arial" w:eastAsia="Arial" w:cs="Arial"/>
      <w:i/>
      <w:iCs/>
      <w:sz w:val="21"/>
      <w:szCs w:val="21"/>
    </w:rPr>
  </w:style>
  <w:style w:type="paragraph" w:styleId="765">
    <w:name w:val="List Paragraph"/>
    <w:basedOn w:val="714"/>
    <w:uiPriority w:val="34"/>
    <w:qFormat/>
    <w:pPr>
      <w:contextualSpacing/>
      <w:ind w:left="720"/>
    </w:p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24"/>
    <w:link w:val="748"/>
    <w:uiPriority w:val="10"/>
    <w:qFormat/>
    <w:rPr>
      <w:sz w:val="48"/>
      <w:szCs w:val="48"/>
    </w:rPr>
  </w:style>
  <w:style w:type="character" w:styleId="768" w:customStyle="1">
    <w:name w:val="Subtitle Char"/>
    <w:basedOn w:val="724"/>
    <w:link w:val="741"/>
    <w:uiPriority w:val="11"/>
    <w:qFormat/>
    <w:rPr>
      <w:sz w:val="24"/>
      <w:szCs w:val="24"/>
    </w:rPr>
  </w:style>
  <w:style w:type="paragraph" w:styleId="769">
    <w:name w:val="Quote"/>
    <w:basedOn w:val="714"/>
    <w:next w:val="714"/>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4"/>
    <w:next w:val="714"/>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24"/>
    <w:uiPriority w:val="99"/>
    <w:qFormat/>
  </w:style>
  <w:style w:type="character" w:styleId="774" w:customStyle="1">
    <w:name w:val="Footer Char"/>
    <w:basedOn w:val="724"/>
    <w:uiPriority w:val="99"/>
    <w:qFormat/>
  </w:style>
  <w:style w:type="character" w:styleId="775" w:customStyle="1">
    <w:name w:val="Caption Char"/>
    <w:uiPriority w:val="99"/>
    <w:qFormat/>
  </w:style>
  <w:style w:type="table" w:styleId="776"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96"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05" w:customStyle="1">
    <w:name w:val="Grid Table 4 - Accent 2"/>
    <w:basedOn w:val="72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06" w:customStyle="1">
    <w:name w:val="Grid Table 4 - Accent 3"/>
    <w:basedOn w:val="72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07" w:customStyle="1">
    <w:name w:val="Grid Table 4 - Accent 4"/>
    <w:basedOn w:val="72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08" w:customStyle="1">
    <w:name w:val="Grid Table 4 - Accent 5"/>
    <w:basedOn w:val="72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9" w:customStyle="1">
    <w:name w:val="Grid Table 4 - Accent 6"/>
    <w:basedOn w:val="72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10"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12"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13"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14"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15"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16"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17"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6 Colorful - Accent 1"/>
    <w:basedOn w:val="72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19" w:customStyle="1">
    <w:name w:val="Grid Table 6 Colorful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20" w:customStyle="1">
    <w:name w:val="Grid Table 6 Colorful - Accent 3"/>
    <w:basedOn w:val="72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21" w:customStyle="1">
    <w:name w:val="Grid Table 6 Colorful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22" w:customStyle="1">
    <w:name w:val="Grid Table 6 Colorful - Accent 5"/>
    <w:basedOn w:val="72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3" w:customStyle="1">
    <w:name w:val="Grid Table 6 Colorful - Accent 6"/>
    <w:basedOn w:val="72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24"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38"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40" w:customStyle="1">
    <w:name w:val="List Table 2 - Accent 2"/>
    <w:basedOn w:val="72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41" w:customStyle="1">
    <w:name w:val="List Table 2 - Accent 3"/>
    <w:basedOn w:val="72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42" w:customStyle="1">
    <w:name w:val="List Table 2 - Accent 4"/>
    <w:basedOn w:val="72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43" w:customStyle="1">
    <w:name w:val="List Table 2 - Accent 5"/>
    <w:basedOn w:val="72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44" w:customStyle="1">
    <w:name w:val="List Table 2 - Accent 6"/>
    <w:basedOn w:val="72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45"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7" w:customStyle="1">
    <w:name w:val="List Table 3 - Accent 2"/>
    <w:basedOn w:val="72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52"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4" w:customStyle="1">
    <w:name w:val="List Table 4 - Accent 2"/>
    <w:basedOn w:val="72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55" w:customStyle="1">
    <w:name w:val="List Table 4 - Accent 3"/>
    <w:basedOn w:val="72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56" w:customStyle="1">
    <w:name w:val="List Table 4 - Accent 4"/>
    <w:basedOn w:val="72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57" w:customStyle="1">
    <w:name w:val="List Table 4 - Accent 5"/>
    <w:basedOn w:val="72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58" w:customStyle="1">
    <w:name w:val="List Table 4 - Accent 6"/>
    <w:basedOn w:val="72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9"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1"/>
    <w:basedOn w:val="72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72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72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72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72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72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6 Colorful - Accent 1"/>
    <w:basedOn w:val="72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68" w:customStyle="1">
    <w:name w:val="List Table 6 Colorful - Accent 2"/>
    <w:basedOn w:val="72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69" w:customStyle="1">
    <w:name w:val="List Table 6 Colorful - Accent 3"/>
    <w:basedOn w:val="72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70" w:customStyle="1">
    <w:name w:val="List Table 6 Colorful - Accent 4"/>
    <w:basedOn w:val="72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71" w:customStyle="1">
    <w:name w:val="List Table 6 Colorful - Accent 5"/>
    <w:basedOn w:val="72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72" w:customStyle="1">
    <w:name w:val="List Table 6 Colorful - Accent 6"/>
    <w:basedOn w:val="72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73"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2"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83"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84"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5"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6"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7"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9" w:customStyle="1">
    <w:name w:val="Bordered &amp; Lined - Accent 2"/>
    <w:basedOn w:val="72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0" w:customStyle="1">
    <w:name w:val="Bordered &amp; Lined - Accent 3"/>
    <w:basedOn w:val="72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1" w:customStyle="1">
    <w:name w:val="Bordered &amp; Lined - Accent 4"/>
    <w:basedOn w:val="72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2" w:customStyle="1">
    <w:name w:val="Bordered &amp; Lined - Accent 5"/>
    <w:basedOn w:val="72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3" w:customStyle="1">
    <w:name w:val="Bordered &amp; Lined - Accent 6"/>
    <w:basedOn w:val="72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4"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96" w:customStyle="1">
    <w:name w:val="Bordered - Accent 2"/>
    <w:basedOn w:val="72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97" w:customStyle="1">
    <w:name w:val="Bordered - Accent 3"/>
    <w:basedOn w:val="72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98" w:customStyle="1">
    <w:name w:val="Bordered - Accent 4"/>
    <w:basedOn w:val="72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9" w:customStyle="1">
    <w:name w:val="Bordered - Accent 5"/>
    <w:basedOn w:val="72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00" w:customStyle="1">
    <w:name w:val="Bordered - Accent 6"/>
    <w:basedOn w:val="72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6"/>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paragraph" w:styleId="904" w:customStyle="1">
    <w:name w:val="纯文本1"/>
    <w:uiPriority w:val="0"/>
    <w:qFormat/>
    <w:pPr>
      <w:jc w:val="both"/>
      <w:widowControl w:val="off"/>
    </w:pPr>
    <w:rPr>
      <w:rFonts w:hint="default" w:ascii="宋体" w:hAnsi="Courier New" w:eastAsia="楷体_GB2312" w:cs="Times New Roman"/>
      <w:sz w:val="26"/>
      <w:szCs w:val="20"/>
      <w:lang w:val="en-US" w:eastAsia="zh-CN" w:bidi="ar-SA"/>
    </w:rPr>
  </w:style>
  <w:style w:type="paragraph" w:styleId="905" w:customStyle="1">
    <w:name w:val="首行缩进"/>
    <w:uiPriority w:val="0"/>
    <w:qFormat/>
    <w:pPr>
      <w:ind w:firstLine="480"/>
      <w:jc w:val="both"/>
      <w:widowControl w:val="off"/>
    </w:pPr>
    <w:rPr>
      <w:rFonts w:hint="default" w:ascii="Times New Roman" w:hAnsi="Times New Roman" w:eastAsia="宋体" w:cs="Times New Roman"/>
      <w:sz w:val="21"/>
      <w:szCs w:val="20"/>
      <w:lang w:val="zh-CN" w:eastAsia="zh-CN" w:bidi="ar-SA"/>
    </w:rPr>
  </w:style>
  <w:style w:type="paragraph" w:styleId="906" w:customStyle="1">
    <w:name w:val="段"/>
    <w:next w:val="714"/>
    <w:uiPriority w:val="0"/>
    <w:qFormat/>
    <w:pPr>
      <w:ind w:firstLine="200"/>
      <w:jc w:val="both"/>
    </w:pPr>
    <w:rPr>
      <w:rFonts w:hint="default" w:ascii="宋体" w:hAnsi="Times New Roman" w:eastAsia="宋体" w:cs="Times New Roman"/>
      <w:sz w:val="21"/>
      <w:lang w:val="en-US" w:eastAsia="zh-CN" w:bidi="ar-SA"/>
    </w:rPr>
  </w:style>
  <w:style w:type="paragraph" w:styleId="907" w:customStyle="1">
    <w:name w:val="纯文本4"/>
    <w:uiPriority w:val="0"/>
    <w:qFormat/>
    <w:pPr>
      <w:jc w:val="both"/>
      <w:widowControl w:val="off"/>
    </w:pPr>
    <w:rPr>
      <w:rFonts w:hint="default" w:ascii="宋体" w:hAnsi="Courier New" w:eastAsia="楷体_GB2312" w:cs="Times New Roman"/>
      <w:sz w:val="26"/>
      <w:szCs w:val="20"/>
      <w:lang w:val="en-US" w:eastAsia="zh-CN" w:bidi="ar-SA"/>
    </w:rPr>
  </w:style>
  <w:style w:type="paragraph" w:styleId="908" w:customStyle="1">
    <w:name w:val="纯文本5"/>
    <w:uiPriority w:val="0"/>
    <w:qFormat/>
    <w:pPr>
      <w:jc w:val="both"/>
      <w:widowControl w:val="off"/>
    </w:pPr>
    <w:rPr>
      <w:rFonts w:hint="default" w:ascii="宋体" w:hAnsi="Courier New" w:eastAsia="楷体_GB2312" w:cs="Times New Roman"/>
      <w:sz w:val="26"/>
      <w:szCs w:val="20"/>
      <w:lang w:val="en-US" w:eastAsia="zh-CN" w:bidi="ar-SA"/>
    </w:rPr>
  </w:style>
  <w:style w:type="paragraph" w:styleId="909" w:customStyle="1">
    <w:name w:val="纯文本11"/>
    <w:uiPriority w:val="0"/>
    <w:qFormat/>
    <w:pPr>
      <w:jc w:val="both"/>
      <w:widowControl w:val="off"/>
    </w:pPr>
    <w:rPr>
      <w:rFonts w:hint="default" w:ascii="宋体" w:hAnsi="Courier New" w:eastAsia="楷体_GB2312" w:cs="Times New Roman"/>
      <w:sz w:val="26"/>
      <w:szCs w:val="20"/>
      <w:lang w:val="en-US" w:eastAsia="zh-CN" w:bidi="ar-SA"/>
    </w:rPr>
  </w:style>
  <w:style w:type="character" w:styleId="910" w:customStyle="1">
    <w:name w:val="fontstyle01"/>
    <w:uiPriority w:val="0"/>
    <w:qFormat/>
    <w:rPr>
      <w:rFonts w:hint="eastAsia" w:ascii="宋体" w:hAnsi="宋体" w:eastAsia="宋体"/>
      <w:color w:val="000000"/>
      <w:sz w:val="24"/>
      <w:szCs w:val="24"/>
    </w:rPr>
  </w:style>
  <w:style w:type="character" w:styleId="911" w:customStyle="1">
    <w:name w:val="NormalCharacter"/>
    <w:link w:val="714"/>
    <w:uiPriority w:val="0"/>
    <w:semiHidden/>
    <w:qFormat/>
    <w:rPr>
      <w:rFonts w:hint="default" w:asciiTheme="minorHAnsi" w:hAnsiTheme="minorHAnsi" w:eastAsiaTheme="minorEastAsia" w:cstheme="minorBidi"/>
      <w:sz w:val="21"/>
      <w:szCs w:val="24"/>
      <w:lang w:val="en-US" w:eastAsia="zh-CN" w:bidi="ar-SA"/>
    </w:r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陈浩</cp:lastModifiedBy>
  <cp:revision>4</cp:revision>
  <dcterms:created xsi:type="dcterms:W3CDTF">2024-04-26T06:45:00Z</dcterms:created>
  <dcterms:modified xsi:type="dcterms:W3CDTF">2024-09-18T02:44:16Z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1417F1CC4D654DE795D74CE0C61CA4F5_12</vt:lpwstr>
  </property>
</Properties>
</file>