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947EB7">
      <w:pPr>
        <w:tabs>
          <w:tab w:val="left" w:pos="315"/>
        </w:tabs>
        <w:wordWrap w:val="0"/>
        <w:spacing w:line="360" w:lineRule="auto"/>
        <w:jc w:val="center"/>
        <w:rPr>
          <w:rStyle w:val="29"/>
          <w:rFonts w:ascii="宋体" w:hAnsi="宋体" w:eastAsia="宋体" w:cs="宋体"/>
          <w:sz w:val="48"/>
          <w:szCs w:val="48"/>
        </w:rPr>
      </w:pPr>
      <w:bookmarkStart w:id="0" w:name="_Toc409438747"/>
      <w:bookmarkStart w:id="1" w:name="_Toc388026587"/>
      <w:r>
        <w:rPr>
          <w:rStyle w:val="29"/>
          <w:rFonts w:hint="eastAsia" w:ascii="宋体" w:hAnsi="宋体" w:eastAsia="宋体" w:cs="宋体"/>
          <w:sz w:val="48"/>
          <w:szCs w:val="48"/>
        </w:rPr>
        <w:t>政府采购合同</w:t>
      </w:r>
    </w:p>
    <w:bookmarkEnd w:id="0"/>
    <w:bookmarkEnd w:id="1"/>
    <w:p w14:paraId="3EFE2A04">
      <w:pPr>
        <w:spacing w:line="360" w:lineRule="auto"/>
        <w:ind w:firstLine="480" w:firstLineChars="200"/>
        <w:jc w:val="left"/>
        <w:rPr>
          <w:rFonts w:hint="eastAsia" w:ascii="宋体" w:hAnsi="宋体" w:eastAsia="宋体" w:cs="宋体"/>
          <w:color w:val="000000"/>
          <w:kern w:val="0"/>
          <w:sz w:val="24"/>
          <w:szCs w:val="24"/>
          <w:highlight w:val="none"/>
          <w:lang w:val="zh-CN" w:eastAsia="zh-CN"/>
        </w:rPr>
      </w:pPr>
    </w:p>
    <w:p w14:paraId="0AED011D">
      <w:pPr>
        <w:spacing w:line="360" w:lineRule="auto"/>
        <w:ind w:firstLine="482" w:firstLineChars="200"/>
        <w:jc w:val="left"/>
        <w:rPr>
          <w:rFonts w:hint="eastAsia" w:ascii="宋体" w:hAnsi="宋体" w:eastAsia="宋体" w:cs="宋体"/>
          <w:b/>
          <w:bCs/>
          <w:color w:val="000000"/>
          <w:kern w:val="0"/>
          <w:sz w:val="24"/>
          <w:szCs w:val="24"/>
          <w:highlight w:val="none"/>
          <w:lang w:val="zh-CN" w:eastAsia="zh-CN"/>
        </w:rPr>
      </w:pPr>
      <w:r>
        <w:rPr>
          <w:rFonts w:hint="eastAsia" w:ascii="宋体" w:hAnsi="宋体" w:eastAsia="宋体" w:cs="宋体"/>
          <w:b/>
          <w:bCs/>
          <w:color w:val="000000"/>
          <w:kern w:val="0"/>
          <w:sz w:val="24"/>
          <w:szCs w:val="24"/>
          <w:highlight w:val="none"/>
          <w:lang w:val="zh-CN" w:eastAsia="zh-CN"/>
        </w:rPr>
        <w:t>甲方：苏州大学附属第一医院</w:t>
      </w:r>
    </w:p>
    <w:p w14:paraId="3816CE45">
      <w:pPr>
        <w:spacing w:line="360" w:lineRule="auto"/>
        <w:ind w:firstLine="482" w:firstLineChars="200"/>
        <w:jc w:val="left"/>
        <w:rPr>
          <w:rFonts w:hint="eastAsia" w:ascii="宋体" w:hAnsi="宋体" w:eastAsia="宋体" w:cs="宋体"/>
          <w:b/>
          <w:bCs/>
          <w:color w:val="000000"/>
          <w:kern w:val="0"/>
          <w:sz w:val="24"/>
          <w:szCs w:val="24"/>
          <w:highlight w:val="none"/>
          <w:lang w:val="zh-CN" w:eastAsia="zh-CN"/>
        </w:rPr>
      </w:pPr>
      <w:r>
        <w:rPr>
          <w:rFonts w:hint="eastAsia" w:ascii="宋体" w:hAnsi="宋体" w:eastAsia="宋体" w:cs="宋体"/>
          <w:b/>
          <w:bCs/>
          <w:color w:val="000000"/>
          <w:kern w:val="0"/>
          <w:sz w:val="24"/>
          <w:szCs w:val="24"/>
          <w:highlight w:val="none"/>
          <w:lang w:val="zh-CN" w:eastAsia="zh-CN"/>
        </w:rPr>
        <w:t>住所地：苏州市姑苏区平海路899号</w:t>
      </w:r>
    </w:p>
    <w:p w14:paraId="7C1F1B98">
      <w:pPr>
        <w:spacing w:line="360" w:lineRule="auto"/>
        <w:ind w:firstLine="482" w:firstLineChars="200"/>
        <w:jc w:val="left"/>
        <w:rPr>
          <w:rFonts w:hint="eastAsia" w:ascii="宋体" w:hAnsi="宋体" w:eastAsia="宋体" w:cs="宋体"/>
          <w:b/>
          <w:bCs/>
          <w:color w:val="000000"/>
          <w:kern w:val="0"/>
          <w:sz w:val="24"/>
          <w:szCs w:val="24"/>
          <w:highlight w:val="none"/>
          <w:lang w:val="zh-CN" w:eastAsia="zh-CN"/>
        </w:rPr>
      </w:pPr>
      <w:r>
        <w:rPr>
          <w:rFonts w:hint="eastAsia" w:ascii="宋体" w:hAnsi="宋体" w:eastAsia="宋体" w:cs="宋体"/>
          <w:b/>
          <w:bCs/>
          <w:color w:val="000000"/>
          <w:kern w:val="0"/>
          <w:sz w:val="24"/>
          <w:szCs w:val="24"/>
          <w:highlight w:val="none"/>
          <w:lang w:val="zh-CN" w:eastAsia="zh-CN"/>
        </w:rPr>
        <w:t>邮编：215031</w:t>
      </w:r>
    </w:p>
    <w:p w14:paraId="0FCA377D">
      <w:pPr>
        <w:spacing w:line="360" w:lineRule="auto"/>
        <w:ind w:firstLine="482" w:firstLineChars="200"/>
        <w:jc w:val="left"/>
        <w:rPr>
          <w:rFonts w:hint="eastAsia" w:ascii="宋体" w:hAnsi="宋体" w:eastAsia="宋体" w:cs="宋体"/>
          <w:b/>
          <w:bCs/>
          <w:color w:val="000000"/>
          <w:kern w:val="0"/>
          <w:sz w:val="24"/>
          <w:szCs w:val="24"/>
          <w:highlight w:val="none"/>
          <w:lang w:val="zh-CN" w:eastAsia="zh-CN"/>
        </w:rPr>
      </w:pPr>
      <w:r>
        <w:rPr>
          <w:rFonts w:hint="eastAsia" w:ascii="宋体" w:hAnsi="宋体" w:eastAsia="宋体" w:cs="宋体"/>
          <w:b/>
          <w:bCs/>
          <w:color w:val="000000"/>
          <w:kern w:val="0"/>
          <w:sz w:val="24"/>
          <w:szCs w:val="24"/>
          <w:highlight w:val="none"/>
          <w:lang w:val="zh-CN" w:eastAsia="zh-CN"/>
        </w:rPr>
        <w:t>联系人：张英时</w:t>
      </w:r>
    </w:p>
    <w:p w14:paraId="7E485085">
      <w:pPr>
        <w:spacing w:line="360" w:lineRule="auto"/>
        <w:ind w:firstLine="482" w:firstLineChars="200"/>
        <w:jc w:val="left"/>
        <w:rPr>
          <w:rFonts w:hint="eastAsia" w:ascii="宋体" w:hAnsi="宋体" w:eastAsia="宋体" w:cs="宋体"/>
          <w:b/>
          <w:bCs/>
          <w:color w:val="000000"/>
          <w:kern w:val="0"/>
          <w:sz w:val="24"/>
          <w:szCs w:val="24"/>
          <w:highlight w:val="none"/>
          <w:lang w:val="zh-CN" w:eastAsia="zh-CN"/>
        </w:rPr>
      </w:pPr>
      <w:r>
        <w:rPr>
          <w:rFonts w:hint="eastAsia" w:ascii="宋体" w:hAnsi="宋体" w:eastAsia="宋体" w:cs="宋体"/>
          <w:b/>
          <w:bCs/>
          <w:color w:val="000000"/>
          <w:kern w:val="0"/>
          <w:sz w:val="24"/>
          <w:szCs w:val="24"/>
          <w:highlight w:val="none"/>
          <w:lang w:val="zh-CN" w:eastAsia="zh-CN"/>
        </w:rPr>
        <w:t>电话：13962108810</w:t>
      </w:r>
    </w:p>
    <w:p w14:paraId="5D0ADDC0">
      <w:pPr>
        <w:spacing w:line="360" w:lineRule="auto"/>
        <w:ind w:firstLine="482" w:firstLineChars="200"/>
        <w:jc w:val="left"/>
        <w:rPr>
          <w:rFonts w:hint="eastAsia" w:ascii="宋体" w:hAnsi="宋体" w:eastAsia="宋体" w:cs="宋体"/>
          <w:b/>
          <w:bCs/>
          <w:color w:val="000000"/>
          <w:kern w:val="0"/>
          <w:sz w:val="24"/>
          <w:szCs w:val="24"/>
          <w:highlight w:val="none"/>
          <w:lang w:val="zh-CN" w:eastAsia="zh-CN"/>
        </w:rPr>
      </w:pPr>
    </w:p>
    <w:p w14:paraId="56E960C3">
      <w:pPr>
        <w:spacing w:line="360" w:lineRule="auto"/>
        <w:ind w:firstLine="482" w:firstLineChars="200"/>
        <w:jc w:val="left"/>
        <w:rPr>
          <w:rFonts w:hint="eastAsia" w:ascii="宋体" w:hAnsi="宋体" w:eastAsia="宋体" w:cs="宋体"/>
          <w:b/>
          <w:bCs/>
          <w:color w:val="000000"/>
          <w:kern w:val="0"/>
          <w:sz w:val="24"/>
          <w:szCs w:val="24"/>
          <w:highlight w:val="none"/>
          <w:lang w:val="zh-CN" w:eastAsia="zh-CN"/>
        </w:rPr>
      </w:pPr>
      <w:r>
        <w:rPr>
          <w:rFonts w:hint="eastAsia" w:ascii="宋体" w:hAnsi="宋体" w:eastAsia="宋体" w:cs="宋体"/>
          <w:b/>
          <w:bCs/>
          <w:color w:val="000000"/>
          <w:kern w:val="0"/>
          <w:sz w:val="24"/>
          <w:szCs w:val="24"/>
          <w:highlight w:val="none"/>
          <w:lang w:val="zh-CN" w:eastAsia="zh-CN"/>
        </w:rPr>
        <w:t>乙方：上海市数字证书认证中心有限公司</w:t>
      </w:r>
    </w:p>
    <w:p w14:paraId="1DD4BE48">
      <w:pPr>
        <w:spacing w:line="360" w:lineRule="auto"/>
        <w:ind w:firstLine="482" w:firstLineChars="200"/>
        <w:jc w:val="left"/>
        <w:rPr>
          <w:rFonts w:hint="default" w:ascii="宋体" w:hAnsi="宋体" w:eastAsia="宋体" w:cs="宋体"/>
          <w:b/>
          <w:bCs/>
          <w:color w:val="000000"/>
          <w:kern w:val="0"/>
          <w:sz w:val="24"/>
          <w:szCs w:val="24"/>
          <w:highlight w:val="none"/>
          <w:lang w:val="en-US" w:eastAsia="zh-CN"/>
        </w:rPr>
      </w:pPr>
      <w:r>
        <w:rPr>
          <w:rFonts w:hint="eastAsia" w:ascii="宋体" w:hAnsi="宋体" w:eastAsia="宋体" w:cs="宋体"/>
          <w:b/>
          <w:bCs/>
          <w:color w:val="000000"/>
          <w:kern w:val="0"/>
          <w:sz w:val="24"/>
          <w:szCs w:val="24"/>
          <w:highlight w:val="none"/>
          <w:lang w:val="zh-CN" w:eastAsia="zh-CN"/>
        </w:rPr>
        <w:t>住所地：</w:t>
      </w:r>
      <w:r>
        <w:rPr>
          <w:rFonts w:hint="eastAsia" w:ascii="宋体" w:hAnsi="宋体" w:cs="宋体"/>
          <w:b/>
          <w:bCs/>
          <w:color w:val="000000"/>
          <w:kern w:val="0"/>
          <w:sz w:val="24"/>
          <w:szCs w:val="24"/>
          <w:highlight w:val="none"/>
          <w:lang w:val="en-US" w:eastAsia="zh-CN"/>
        </w:rPr>
        <w:t>上海市虹口区四川北路1717号18楼</w:t>
      </w:r>
    </w:p>
    <w:p w14:paraId="0FAE218B">
      <w:pPr>
        <w:spacing w:line="360" w:lineRule="auto"/>
        <w:ind w:firstLine="482" w:firstLineChars="200"/>
        <w:jc w:val="left"/>
        <w:rPr>
          <w:rFonts w:hint="default" w:ascii="宋体" w:hAnsi="宋体" w:eastAsia="宋体" w:cs="宋体"/>
          <w:b/>
          <w:bCs/>
          <w:color w:val="000000"/>
          <w:kern w:val="0"/>
          <w:sz w:val="24"/>
          <w:szCs w:val="24"/>
          <w:highlight w:val="none"/>
          <w:lang w:val="en-US" w:eastAsia="zh-CN"/>
        </w:rPr>
      </w:pPr>
      <w:r>
        <w:rPr>
          <w:rFonts w:hint="eastAsia" w:ascii="宋体" w:hAnsi="宋体" w:eastAsia="宋体" w:cs="宋体"/>
          <w:b/>
          <w:bCs/>
          <w:color w:val="000000"/>
          <w:kern w:val="0"/>
          <w:sz w:val="24"/>
          <w:szCs w:val="24"/>
          <w:highlight w:val="none"/>
          <w:lang w:val="zh-CN" w:eastAsia="zh-CN"/>
        </w:rPr>
        <w:t>邮编：</w:t>
      </w:r>
      <w:r>
        <w:rPr>
          <w:rFonts w:hint="eastAsia" w:ascii="宋体" w:hAnsi="宋体" w:cs="宋体"/>
          <w:b/>
          <w:bCs/>
          <w:color w:val="000000"/>
          <w:kern w:val="0"/>
          <w:sz w:val="24"/>
          <w:szCs w:val="24"/>
          <w:highlight w:val="none"/>
          <w:lang w:val="en-US" w:eastAsia="zh-CN"/>
        </w:rPr>
        <w:t>200080</w:t>
      </w:r>
    </w:p>
    <w:p w14:paraId="37F9EECA">
      <w:pPr>
        <w:spacing w:line="360" w:lineRule="auto"/>
        <w:ind w:firstLine="482" w:firstLineChars="200"/>
        <w:jc w:val="left"/>
        <w:rPr>
          <w:rFonts w:hint="default" w:ascii="宋体" w:hAnsi="宋体" w:eastAsia="宋体" w:cs="宋体"/>
          <w:b/>
          <w:bCs/>
          <w:color w:val="000000"/>
          <w:kern w:val="0"/>
          <w:sz w:val="24"/>
          <w:szCs w:val="24"/>
          <w:highlight w:val="none"/>
          <w:lang w:val="en-US" w:eastAsia="zh-CN"/>
        </w:rPr>
      </w:pPr>
      <w:r>
        <w:rPr>
          <w:rFonts w:hint="eastAsia" w:ascii="宋体" w:hAnsi="宋体" w:eastAsia="宋体" w:cs="宋体"/>
          <w:b/>
          <w:bCs/>
          <w:color w:val="000000"/>
          <w:kern w:val="0"/>
          <w:sz w:val="24"/>
          <w:szCs w:val="24"/>
          <w:highlight w:val="none"/>
          <w:lang w:val="zh-CN" w:eastAsia="zh-CN"/>
        </w:rPr>
        <w:t>联系人：</w:t>
      </w:r>
      <w:r>
        <w:rPr>
          <w:rFonts w:hint="eastAsia" w:ascii="宋体" w:hAnsi="宋体" w:cs="宋体"/>
          <w:b/>
          <w:bCs/>
          <w:color w:val="000000"/>
          <w:kern w:val="0"/>
          <w:sz w:val="24"/>
          <w:szCs w:val="24"/>
          <w:highlight w:val="none"/>
          <w:lang w:val="en-US" w:eastAsia="zh-CN"/>
        </w:rPr>
        <w:t>赵彬彬</w:t>
      </w:r>
    </w:p>
    <w:p w14:paraId="537B615B">
      <w:pPr>
        <w:spacing w:line="360" w:lineRule="auto"/>
        <w:ind w:firstLine="482" w:firstLineChars="200"/>
        <w:jc w:val="left"/>
        <w:rPr>
          <w:rFonts w:hint="default" w:ascii="宋体" w:hAnsi="宋体" w:eastAsia="宋体" w:cs="宋体"/>
          <w:b/>
          <w:bCs/>
          <w:color w:val="000000"/>
          <w:kern w:val="0"/>
          <w:sz w:val="24"/>
          <w:szCs w:val="24"/>
          <w:highlight w:val="none"/>
          <w:lang w:val="en-US" w:eastAsia="zh-CN"/>
        </w:rPr>
      </w:pPr>
      <w:r>
        <w:rPr>
          <w:rFonts w:hint="eastAsia" w:ascii="宋体" w:hAnsi="宋体" w:eastAsia="宋体" w:cs="宋体"/>
          <w:b/>
          <w:bCs/>
          <w:color w:val="000000"/>
          <w:kern w:val="0"/>
          <w:sz w:val="24"/>
          <w:szCs w:val="24"/>
          <w:highlight w:val="none"/>
          <w:lang w:val="zh-CN" w:eastAsia="zh-CN"/>
        </w:rPr>
        <w:t>电话：</w:t>
      </w:r>
      <w:r>
        <w:rPr>
          <w:rFonts w:hint="eastAsia" w:ascii="宋体" w:hAnsi="宋体" w:cs="宋体"/>
          <w:b/>
          <w:bCs/>
          <w:color w:val="000000"/>
          <w:kern w:val="0"/>
          <w:sz w:val="24"/>
          <w:szCs w:val="24"/>
          <w:highlight w:val="none"/>
          <w:lang w:val="en-US" w:eastAsia="zh-CN"/>
        </w:rPr>
        <w:t>18651981927</w:t>
      </w:r>
    </w:p>
    <w:p w14:paraId="33132BF2">
      <w:pPr>
        <w:spacing w:line="360" w:lineRule="auto"/>
        <w:ind w:firstLine="480" w:firstLineChars="200"/>
        <w:jc w:val="left"/>
        <w:rPr>
          <w:rFonts w:hint="eastAsia" w:ascii="宋体" w:hAnsi="宋体" w:eastAsia="宋体" w:cs="宋体"/>
          <w:color w:val="000000"/>
          <w:kern w:val="0"/>
          <w:sz w:val="24"/>
          <w:szCs w:val="24"/>
          <w:highlight w:val="none"/>
          <w:lang w:val="zh-CN"/>
        </w:rPr>
      </w:pPr>
    </w:p>
    <w:p w14:paraId="66E6D39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根据采购编号</w:t>
      </w:r>
      <w:r>
        <w:rPr>
          <w:rFonts w:hint="eastAsia" w:ascii="宋体" w:hAnsi="宋体" w:eastAsia="宋体" w:cs="宋体"/>
          <w:color w:val="auto"/>
          <w:sz w:val="24"/>
          <w:szCs w:val="24"/>
          <w:u w:val="single"/>
          <w:lang w:eastAsia="zh-CN" w:bidi="ar-SA"/>
        </w:rPr>
        <w:t>JSZC-320000-JZCZ-G2025-0027</w:t>
      </w:r>
      <w:r>
        <w:rPr>
          <w:rFonts w:hint="eastAsia" w:ascii="宋体" w:hAnsi="宋体" w:eastAsia="宋体" w:cs="宋体"/>
          <w:color w:val="auto"/>
          <w:sz w:val="24"/>
          <w:szCs w:val="24"/>
          <w:lang w:eastAsia="zh-CN" w:bidi="ar-SA"/>
        </w:rPr>
        <w:t>号招标文件及乙方中标的投标文件和中标通知书，甲乙双方就此次成交的</w:t>
      </w:r>
      <w:r>
        <w:rPr>
          <w:rFonts w:hint="eastAsia" w:ascii="宋体" w:hAnsi="宋体" w:eastAsia="宋体" w:cs="宋体"/>
          <w:color w:val="auto"/>
          <w:sz w:val="24"/>
          <w:szCs w:val="24"/>
          <w:u w:val="single"/>
          <w:lang w:eastAsia="zh-CN" w:bidi="ar-SA"/>
        </w:rPr>
        <w:t>苏大附一院患者签名平板</w:t>
      </w:r>
      <w:r>
        <w:rPr>
          <w:rFonts w:hint="eastAsia" w:ascii="宋体" w:hAnsi="宋体" w:eastAsia="宋体" w:cs="宋体"/>
          <w:color w:val="auto"/>
          <w:sz w:val="24"/>
          <w:szCs w:val="24"/>
          <w:lang w:eastAsia="zh-CN" w:bidi="ar-SA"/>
        </w:rPr>
        <w:t>事宜，签订本合同书。</w:t>
      </w:r>
    </w:p>
    <w:p w14:paraId="2E7595B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zh-CN" w:eastAsia="zh-CN" w:bidi="ar-SA"/>
        </w:rPr>
      </w:pPr>
      <w:r>
        <w:rPr>
          <w:rFonts w:hint="eastAsia" w:ascii="宋体" w:hAnsi="宋体" w:eastAsia="宋体" w:cs="宋体"/>
          <w:b/>
          <w:bCs/>
          <w:color w:val="auto"/>
          <w:sz w:val="24"/>
          <w:szCs w:val="24"/>
          <w:lang w:val="zh-CN" w:eastAsia="zh-CN" w:bidi="ar-SA"/>
        </w:rPr>
        <w:t>（一）合同一般条款</w:t>
      </w:r>
    </w:p>
    <w:p w14:paraId="648424E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zh-CN" w:eastAsia="zh-CN" w:bidi="ar-SA"/>
        </w:rPr>
      </w:pPr>
      <w:r>
        <w:rPr>
          <w:rFonts w:hint="eastAsia" w:ascii="宋体" w:hAnsi="宋体" w:eastAsia="宋体" w:cs="宋体"/>
          <w:b/>
          <w:bCs/>
          <w:color w:val="auto"/>
          <w:sz w:val="24"/>
          <w:szCs w:val="24"/>
          <w:lang w:val="zh-CN" w:eastAsia="zh-CN" w:bidi="ar-SA"/>
        </w:rPr>
        <w:t>一、合同文件</w:t>
      </w:r>
    </w:p>
    <w:p w14:paraId="38B697D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1、合同文件适用法律</w:t>
      </w:r>
    </w:p>
    <w:p w14:paraId="47304CE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适用于合同文件的法律是中华人民共和国现行法律、法规及甲方所在地的地方性法规。</w:t>
      </w:r>
    </w:p>
    <w:p w14:paraId="22DBED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2、合同文件组成和解释顺序</w:t>
      </w:r>
    </w:p>
    <w:p w14:paraId="53FFBB8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2.1 合同文件的组成和解释顺序如下：</w:t>
      </w:r>
    </w:p>
    <w:p w14:paraId="4EAE6AB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2.1.1 合同的特殊性条款</w:t>
      </w:r>
    </w:p>
    <w:p w14:paraId="23074FC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2.1.2 合同的一般性条款</w:t>
      </w:r>
    </w:p>
    <w:p w14:paraId="33CC6A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2.1.3 洽商、变更等明确双方权利义务的纪要、协议</w:t>
      </w:r>
    </w:p>
    <w:p w14:paraId="13484E6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2.1.4 成交通知书、响应文件和招标文件</w:t>
      </w:r>
    </w:p>
    <w:p w14:paraId="382B89B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2.1.5 有关图纸</w:t>
      </w:r>
    </w:p>
    <w:p w14:paraId="5C71CB5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2.1.6 标准、规范和其它有关技术资料、技术要求</w:t>
      </w:r>
    </w:p>
    <w:p w14:paraId="07242A1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2.2 合同的特殊性条款的效力优于合同的一般性条款的效力</w:t>
      </w:r>
    </w:p>
    <w:p w14:paraId="406883B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3、合同文件使用文字</w:t>
      </w:r>
    </w:p>
    <w:p w14:paraId="1D9DBC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3.1 合同文件使用中文书写、解释和说明</w:t>
      </w:r>
    </w:p>
    <w:p w14:paraId="2E53884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3.2 合同文件使用特殊性条款约定的国家标准和规范；国家没有相应标准、规范时，可使用特殊性条款约定的行业或甲方所在地地方的标准、规范。甲方应按特殊性条款约定的时间向乙方提供一式两份约定的标准和规范。</w:t>
      </w:r>
    </w:p>
    <w:p w14:paraId="57B7B0E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zh-CN" w:eastAsia="zh-CN" w:bidi="ar-SA"/>
        </w:rPr>
      </w:pPr>
      <w:r>
        <w:rPr>
          <w:rFonts w:hint="eastAsia" w:ascii="宋体" w:hAnsi="宋体" w:eastAsia="宋体" w:cs="宋体"/>
          <w:b/>
          <w:bCs/>
          <w:color w:val="auto"/>
          <w:sz w:val="24"/>
          <w:szCs w:val="24"/>
          <w:lang w:val="zh-CN" w:eastAsia="zh-CN" w:bidi="ar-SA"/>
        </w:rPr>
        <w:t>二、标的物的一般条款</w:t>
      </w:r>
    </w:p>
    <w:p w14:paraId="50987D0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1、完整物权</w:t>
      </w:r>
    </w:p>
    <w:p w14:paraId="1CFFD4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乙方确保对于出卖的标的物拥有完整物权，并且乙方负有保证第三人不得向甲方主张任何权利（包括知识产权）等义务；如因知识产权等造成甲方损失的，甲方有权终止本合同、并有权要求乙方全额退还已收款项及承担本合同总金额20%违约金。</w:t>
      </w:r>
    </w:p>
    <w:p w14:paraId="122AA4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鉴于信息化的快速发展以及甲方自身各类发展需求，乙方应无条件向甲方及甲方合作方开放或提供各类端口或信息采集口，对此乙方予以再次确认且无权收取任何费用。如乙方不予配合，则甲方有权直接终止本合同并不予支付任何款项（如已支付、则乙方须全额归还）、不予退回履约保证金等，且有权要求乙方承担本合同总金额20%违约金。</w:t>
      </w:r>
    </w:p>
    <w:p w14:paraId="6D2C28C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注：本项目为交钥匙工程（设备如涉及与甲方端口或设备对接或改造现场设施等，相关费用均由乙方承担）。</w:t>
      </w:r>
    </w:p>
    <w:p w14:paraId="1903D17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val="zh-CN" w:eastAsia="zh-CN" w:bidi="ar-SA"/>
        </w:rPr>
        <w:t>2</w:t>
      </w:r>
      <w:r>
        <w:rPr>
          <w:rFonts w:hint="eastAsia" w:ascii="宋体" w:hAnsi="宋体" w:eastAsia="宋体" w:cs="宋体"/>
          <w:color w:val="auto"/>
          <w:sz w:val="24"/>
          <w:szCs w:val="24"/>
          <w:lang w:eastAsia="zh-CN" w:bidi="ar-SA"/>
        </w:rPr>
        <w:t>、</w:t>
      </w:r>
      <w:r>
        <w:rPr>
          <w:rFonts w:hint="eastAsia" w:ascii="宋体" w:hAnsi="宋体" w:eastAsia="宋体" w:cs="宋体"/>
          <w:color w:val="auto"/>
          <w:sz w:val="24"/>
          <w:szCs w:val="24"/>
          <w:lang w:val="zh-CN" w:eastAsia="zh-CN" w:bidi="ar-SA"/>
        </w:rPr>
        <w:t>质量保证</w:t>
      </w:r>
    </w:p>
    <w:p w14:paraId="644CBAC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2.1 乙方应保证所供标的物是原厂全新的，未使用过的，并且是非长期积压的库存商品（距离生产日期应在6个月内），完全符合合同规定的质量、规格和性能的要求，乙方应保证其提供的标的物在正确安装，正常使用和保养条件下，在其标明的使用寿命期内应具有满意的性能。在乙方承诺的质保期限内，乙方应对由于工艺等缺陷及伴随服务而造成的任何不足或故障负责。标的物质量出现问题，乙方应及时负责包退、包换或提供全新替代设备，确保不影响甲方正常运营，费用由乙方承担。乙方提供的产品若存在质量问题或未及时退还、提供替代设备等导致在安装及今后使用过程中造成甲乙双方、使用人或第三方人身伤亡或财产损失的或影响甲方运营导致各类损失等，乙方承担由此产生的全部责任。</w:t>
      </w:r>
    </w:p>
    <w:p w14:paraId="258E47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2.2 根据甲方按检验标准自己检验的结果或当地技监部门的检验结果，或者在质保期内，如果标的物的数量、质量或规格与合同不符或证实标的物是有缺陷的，包括潜在缺陷或使用不符合要求的材料等，甲方有权根据本合同第（六）条“违约责任”向乙方主张各项权利。</w:t>
      </w:r>
    </w:p>
    <w:p w14:paraId="790A351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2.3 除合同特殊条款规定外，合同条款成交的标的物的质保期均自标的物通过甲方最终验收之日起计算，若发生退回、维修或设备替换等情形，质保期自发生之日起，至标的物恢复正常使用之日止，停止计算。</w:t>
      </w:r>
    </w:p>
    <w:p w14:paraId="43123E3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2.4 乙方再次承诺严格按照招招投标文件及本合同等文件所记载内容提供服务内容，包括且不限于整体要求、各类功能要求等。</w:t>
      </w:r>
    </w:p>
    <w:p w14:paraId="751D186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2.5 乙方承诺本合同所涉设备均与甲方要求和标准吻合，确保各类设备及设施均能正常运行，甲方无须另行添置任何设备或设施；如有，则由乙方承担全部费用，包括且不限于添置设备或设施费、改建费等。</w:t>
      </w:r>
    </w:p>
    <w:p w14:paraId="06B3B37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3</w:t>
      </w:r>
      <w:r>
        <w:rPr>
          <w:rFonts w:hint="eastAsia" w:ascii="宋体" w:hAnsi="宋体" w:eastAsia="宋体" w:cs="宋体"/>
          <w:color w:val="auto"/>
          <w:sz w:val="24"/>
          <w:szCs w:val="24"/>
          <w:lang w:eastAsia="zh-CN" w:bidi="ar-SA"/>
        </w:rPr>
        <w:t>、</w:t>
      </w:r>
      <w:r>
        <w:rPr>
          <w:rFonts w:hint="eastAsia" w:ascii="宋体" w:hAnsi="宋体" w:eastAsia="宋体" w:cs="宋体"/>
          <w:color w:val="auto"/>
          <w:sz w:val="24"/>
          <w:szCs w:val="24"/>
          <w:lang w:val="zh-CN" w:eastAsia="zh-CN" w:bidi="ar-SA"/>
        </w:rPr>
        <w:t>包装</w:t>
      </w:r>
    </w:p>
    <w:p w14:paraId="6240B3A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乙方应当按照约定的包装方式交付标的物。对包装方式没有约定或者约定不明确的，应当按照双方补充协议约定的方式包装，或者按照通用的方式包装，没有通用方式的，应当采取足以保护标的物的包装方式。</w:t>
      </w:r>
    </w:p>
    <w:p w14:paraId="0BCBB46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4、伴随服务（乙方对甲方待使用设施的周边配套实施等均已现场确认并认可，确保甲方无须另行添置设备或设施；且该部分费用已包括在合同总价内，甲方无须支付任何费用）</w:t>
      </w:r>
    </w:p>
    <w:p w14:paraId="1D4839A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4.1 乙方除应履行按期按量交付合格标的物的义务之外，还应提供下列服务。</w:t>
      </w:r>
    </w:p>
    <w:p w14:paraId="45B2CCA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4.1.1 标的物的现场安装、启动、调试、培训、验收、维护、升级、监督、更换或设备替换等，以及招招投标文件等文件所记录的服务项目；</w:t>
      </w:r>
    </w:p>
    <w:p w14:paraId="422C089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4.1.2 提供标的物组装和一般维修所必须的工具；</w:t>
      </w:r>
    </w:p>
    <w:p w14:paraId="2610F4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4.1.3 在合同规定的期限内对所提供标的物实行运行监督、维修服务的前提条件是该服务并不能免除乙方在质保期内所承担的义务；</w:t>
      </w:r>
    </w:p>
    <w:p w14:paraId="2A3615C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4.1.4 按甲方要求，对甲方技术人员进行技术指导或培训；提供系统完整专业的培训计划；提供厂家免费培训、并提供维修资料及中文的用户操作手册。</w:t>
      </w:r>
    </w:p>
    <w:p w14:paraId="0E66DF9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2"/>
          <w:sz w:val="24"/>
          <w:szCs w:val="24"/>
          <w:lang w:val="zh-CN" w:eastAsia="zh-CN"/>
        </w:rPr>
      </w:pPr>
      <w:r>
        <w:rPr>
          <w:rFonts w:hint="eastAsia" w:ascii="宋体" w:hAnsi="宋体" w:eastAsia="宋体" w:cs="宋体"/>
          <w:color w:val="auto"/>
          <w:sz w:val="24"/>
          <w:szCs w:val="24"/>
          <w:lang w:eastAsia="zh-CN" w:bidi="ar-SA"/>
        </w:rPr>
        <w:t>4.2 除合同另有规定之外，其他所有费用均已含在合同价款中，甲方不再另行进行支付。</w:t>
      </w:r>
    </w:p>
    <w:p w14:paraId="06A0031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zh-CN" w:eastAsia="zh-CN" w:bidi="ar-SA"/>
        </w:rPr>
      </w:pPr>
      <w:r>
        <w:rPr>
          <w:rFonts w:hint="eastAsia" w:ascii="宋体" w:hAnsi="宋体" w:eastAsia="宋体" w:cs="宋体"/>
          <w:b/>
          <w:bCs/>
          <w:color w:val="auto"/>
          <w:sz w:val="24"/>
          <w:szCs w:val="24"/>
          <w:lang w:val="zh-CN" w:eastAsia="zh-CN" w:bidi="ar-SA"/>
        </w:rPr>
        <w:t>三、标的物的交付、检验和验收</w:t>
      </w:r>
    </w:p>
    <w:p w14:paraId="5AB7E1D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1、标的物的交付</w:t>
      </w:r>
    </w:p>
    <w:p w14:paraId="77A3702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1.1 标的物的所有权自标的物交付时转移。</w:t>
      </w:r>
    </w:p>
    <w:p w14:paraId="5185133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1.2 乙方应当按照约定的期限和约定的地点交付标的物。</w:t>
      </w:r>
    </w:p>
    <w:p w14:paraId="111CEDE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 xml:space="preserve">1.3 乙方应当按照约定或者交易习惯向甲方交付与标的物有关的一切单证和资料。 </w:t>
      </w:r>
    </w:p>
    <w:p w14:paraId="5021BA1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2、检验和验收</w:t>
      </w:r>
    </w:p>
    <w:p w14:paraId="671A1CF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2.1 交货前，乙方应对标的物的各项指标进行全面检验，包括但不限于规格、性能、质量等一切可能影响合同目的实现的指标，并出具相应的检验合格证明，乙方对该检验证明的真实有效性负责。若检验证明不合格或未出具检验证明，甲方有权拒收标的物。该检验证明不作为标的物的最终检验结论。</w:t>
      </w:r>
    </w:p>
    <w:p w14:paraId="355B5DD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2.2 交货后，甲方根据合同约定及相关验收标准，对标的物进行验收。甲方经验收无误后，向乙方出具验收合格证明。若验收证明不合格，甲方有权根据合同约定向乙方主张权利。该验收证明作为最终付款所需文件的组成部分。</w:t>
      </w:r>
    </w:p>
    <w:p w14:paraId="3941B0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2.3 验收期限自标的物交付之日起三十天内。特殊情况需延长的，双方应在合同的特殊条款中约定。</w:t>
      </w:r>
    </w:p>
    <w:p w14:paraId="618110D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2.4 若双方对上述任一报告的结果有异议，则由第三方专业机构进行检验，并以其检验结果为准。检验费用由有过错一方承担。</w:t>
      </w:r>
    </w:p>
    <w:p w14:paraId="1A945C5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3、货物交货时，包装须完整无破损，乙方还必须提供以下材料：</w:t>
      </w:r>
    </w:p>
    <w:p w14:paraId="736367C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 xml:space="preserve">3.1货物装箱清单 </w:t>
      </w:r>
    </w:p>
    <w:p w14:paraId="0A0C6A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3.2合格证（国产设备必须提供）</w:t>
      </w:r>
    </w:p>
    <w:p w14:paraId="16D9ACC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3.3中英文技术资料</w:t>
      </w:r>
    </w:p>
    <w:p w14:paraId="2994EB7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3.4使用维修保养中文说明书</w:t>
      </w:r>
    </w:p>
    <w:p w14:paraId="2AECAA7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3.5其它必备材料和必备工具等</w:t>
      </w:r>
    </w:p>
    <w:p w14:paraId="5410774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2"/>
          <w:sz w:val="24"/>
          <w:szCs w:val="24"/>
          <w:lang w:val="zh-CN" w:eastAsia="zh-CN"/>
        </w:rPr>
      </w:pPr>
      <w:r>
        <w:rPr>
          <w:rFonts w:hint="eastAsia" w:ascii="宋体" w:hAnsi="宋体" w:eastAsia="宋体" w:cs="宋体"/>
          <w:color w:val="auto"/>
          <w:sz w:val="24"/>
          <w:szCs w:val="24"/>
          <w:lang w:eastAsia="zh-CN" w:bidi="ar-SA"/>
        </w:rPr>
        <w:t>3.6保修单等其它必须材料</w:t>
      </w:r>
    </w:p>
    <w:p w14:paraId="737B824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zh-CN" w:eastAsia="zh-CN" w:bidi="ar-SA"/>
        </w:rPr>
      </w:pPr>
      <w:r>
        <w:rPr>
          <w:rFonts w:hint="eastAsia" w:ascii="宋体" w:hAnsi="宋体" w:eastAsia="宋体" w:cs="宋体"/>
          <w:b/>
          <w:bCs/>
          <w:color w:val="auto"/>
          <w:sz w:val="24"/>
          <w:szCs w:val="24"/>
          <w:lang w:val="zh-CN" w:eastAsia="zh-CN" w:bidi="ar-SA"/>
        </w:rPr>
        <w:t>四、对标的物提出异议的时间和办法</w:t>
      </w:r>
    </w:p>
    <w:p w14:paraId="31A491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 xml:space="preserve">1、对标的物提出异议的时间和办法 </w:t>
      </w:r>
    </w:p>
    <w:p w14:paraId="3AA001C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1.1 甲方在验收过程中，应当于双方约定的检验期间内将标的物的数量或质量不符合约定的情形及处理方式以书面形式通知乙方。</w:t>
      </w:r>
    </w:p>
    <w:p w14:paraId="4F2C741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注：甲方有权在成交后的项目实施过程中，对标的设备的参数和功能进行随机的检查和测试，若所供设备的参数和功能与招标等文件要求及投标文件的承诺存在偏离，甲方仍有权退回设备，同时乙方须承担合同总金额20%的违约金，对此乙方予以认可。</w:t>
      </w:r>
    </w:p>
    <w:p w14:paraId="7503CA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1.2 如甲方在验收期满后既不出具验收合格证明又未提出书面异议的视为乙方所交标的物符合合同规定。</w:t>
      </w:r>
    </w:p>
    <w:p w14:paraId="209EF9E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2"/>
          <w:sz w:val="24"/>
          <w:szCs w:val="24"/>
          <w:lang w:val="zh-CN" w:eastAsia="zh-CN"/>
        </w:rPr>
      </w:pPr>
      <w:r>
        <w:rPr>
          <w:rFonts w:hint="eastAsia" w:ascii="宋体" w:hAnsi="宋体" w:eastAsia="宋体" w:cs="宋体"/>
          <w:color w:val="auto"/>
          <w:sz w:val="24"/>
          <w:szCs w:val="24"/>
          <w:lang w:eastAsia="zh-CN" w:bidi="ar-SA"/>
        </w:rPr>
        <w:t>1.3 乙方应在收到甲方书面异议后七天内负责处理问题，否则将视为默认甲方提出的异议和处理意见。</w:t>
      </w:r>
    </w:p>
    <w:p w14:paraId="2E836E6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zh-CN" w:eastAsia="zh-CN" w:bidi="ar-SA"/>
        </w:rPr>
      </w:pPr>
      <w:r>
        <w:rPr>
          <w:rFonts w:hint="eastAsia" w:ascii="宋体" w:hAnsi="宋体" w:eastAsia="宋体" w:cs="宋体"/>
          <w:b/>
          <w:bCs/>
          <w:color w:val="auto"/>
          <w:sz w:val="24"/>
          <w:szCs w:val="24"/>
          <w:lang w:val="zh-CN" w:eastAsia="zh-CN" w:bidi="ar-SA"/>
        </w:rPr>
        <w:t>五、合同价款和支付</w:t>
      </w:r>
    </w:p>
    <w:p w14:paraId="59269FA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1、合同价款和支付</w:t>
      </w:r>
    </w:p>
    <w:p w14:paraId="146998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1.1 本合同的结算货币为人民币，单位元。</w:t>
      </w:r>
    </w:p>
    <w:p w14:paraId="594D6E2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1.2 乙方应按照双方签订的合同规定交货并在合同特殊条款规定的期限内持下列单据结算货款。</w:t>
      </w:r>
    </w:p>
    <w:p w14:paraId="3B4FCCD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1.2.1 合格的销售发票；</w:t>
      </w:r>
    </w:p>
    <w:p w14:paraId="26A5100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1.2.2 甲方盖章签收后的送货回单和验收合格证明。</w:t>
      </w:r>
    </w:p>
    <w:p w14:paraId="7261A80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1.3 甲方应按合同特殊条款规定的期限和方式付款。</w:t>
      </w:r>
    </w:p>
    <w:p w14:paraId="62136A5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2"/>
          <w:sz w:val="24"/>
          <w:szCs w:val="24"/>
          <w:lang w:val="zh-CN" w:eastAsia="zh-CN"/>
        </w:rPr>
      </w:pPr>
      <w:r>
        <w:rPr>
          <w:rFonts w:hint="eastAsia" w:ascii="宋体" w:hAnsi="宋体" w:eastAsia="宋体" w:cs="宋体"/>
          <w:color w:val="auto"/>
          <w:sz w:val="24"/>
          <w:szCs w:val="24"/>
          <w:lang w:eastAsia="zh-CN" w:bidi="ar-SA"/>
        </w:rPr>
        <w:t>1.4 根据现行税法对甲方征收的与本合同有关的一切税费均由甲方承担；根据现行税法对乙方征收的与本合同有关的一切税费均由乙方承担。</w:t>
      </w:r>
    </w:p>
    <w:p w14:paraId="490FD83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zh-CN" w:eastAsia="zh-CN" w:bidi="ar-SA"/>
        </w:rPr>
      </w:pPr>
      <w:r>
        <w:rPr>
          <w:rFonts w:hint="eastAsia" w:ascii="宋体" w:hAnsi="宋体" w:eastAsia="宋体" w:cs="宋体"/>
          <w:b/>
          <w:bCs/>
          <w:color w:val="auto"/>
          <w:sz w:val="24"/>
          <w:szCs w:val="24"/>
          <w:lang w:val="zh-CN" w:eastAsia="zh-CN" w:bidi="ar-SA"/>
        </w:rPr>
        <w:t>六、违约责任</w:t>
      </w:r>
    </w:p>
    <w:p w14:paraId="485CD72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1、违约责任</w:t>
      </w:r>
    </w:p>
    <w:p w14:paraId="7651CDC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合同一方不履行合同任一义务或者履行合同义务不完全符合任一约定的，应当主动承担继续履行、采取补救措施及赔偿损失等违约责任，但守约方有权要求违约方承担违约金。</w:t>
      </w:r>
    </w:p>
    <w:p w14:paraId="14F9AFB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若实际损失超过违约金的应按照实际损失承担赔偿责任，损失赔偿范围包括但不限于守约方的直接损失、间接损失及维权支出的各项费用（诉讼费、律师费、鉴定费、保全费等）。</w:t>
      </w:r>
    </w:p>
    <w:p w14:paraId="2BBED1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2、甲方违约责任</w:t>
      </w:r>
    </w:p>
    <w:p w14:paraId="56FBFC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2.1 在合同生效后，甲方无正当理由要求退货的，应向乙方偿付合同总价款5%的违约金，违约金不足以补偿实际损失的，乙方有权要求甲方补足。</w:t>
      </w:r>
    </w:p>
    <w:p w14:paraId="6C4825A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2.2 甲方无故逾期付款的应按照逾期付款金额的每天万分之四支付逾期付款违约金。</w:t>
      </w:r>
    </w:p>
    <w:p w14:paraId="46048FE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2.3 甲方无故违反合同规定，拒绝接收乙方交付的合格标的物，应当承担乙方由此造成的实际损失。</w:t>
      </w:r>
    </w:p>
    <w:p w14:paraId="231DB5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3、乙方违约责任</w:t>
      </w:r>
    </w:p>
    <w:p w14:paraId="2EEF8D7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3.1 乙方有下列行为之一的，甲方有权解除合同，要求乙方返还甲方所支付的任何款项并支付合同总价款20%的违约金，违约金不足以补偿实际损失的，甲方有权要求乙方补足：</w:t>
      </w:r>
    </w:p>
    <w:p w14:paraId="3AF04D2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1）不能交货。乙方交货、安装、检验逾期超过15日（自然日）的，视为不能交货；</w:t>
      </w:r>
    </w:p>
    <w:p w14:paraId="472C21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2）交付的标的物不符合投标文件及合同约定；</w:t>
      </w:r>
    </w:p>
    <w:p w14:paraId="784E0EF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3）因可归责于乙方的情形导致标的物不能正常使用，致使甲方合同目的无法实现；</w:t>
      </w:r>
    </w:p>
    <w:p w14:paraId="0D6D2F8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4）其他合同约定的违约行为，致使甲方合同目的无法实现。</w:t>
      </w:r>
    </w:p>
    <w:p w14:paraId="45F918C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注：乙方提供的货物中有不符合招标文件中的技术要求的，视为该种货物交付不合格。乙方提供的各种规格的货物中有任一种交付不合格的，视同为整个标的物的交付不合格。</w:t>
      </w:r>
    </w:p>
    <w:p w14:paraId="709CE9E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color w:val="auto"/>
          <w:sz w:val="24"/>
          <w:szCs w:val="24"/>
          <w:lang w:eastAsia="zh-CN" w:bidi="ar-SA"/>
        </w:rPr>
        <w:t>3.2 乙方逾期交货的，应在发货前与甲方协商，但如甲方仍需求的，乙方应立即发货并应按照逾期交货部分货款的每天百分之一支付逾期交货违约金，同时承担甲方因此遭致的损失费用；如甲方不再需求，则甲方有权解除合同，乙方向甲方支付合同总价款20%的违约金，违约金不足以补偿损失的甲方仍有权要求乙方补足，因本条款产生纠纷而发生的诉讼，乙方须向甲方承担一切损失、费用、成本，包括但不限于诉讼费、律师费、鉴定费、保全费、差旅费等。</w:t>
      </w:r>
      <w:r>
        <w:rPr>
          <w:rFonts w:hint="eastAsia" w:ascii="宋体" w:hAnsi="宋体" w:eastAsia="宋体" w:cs="宋体"/>
          <w:sz w:val="24"/>
          <w:szCs w:val="24"/>
          <w:lang w:eastAsia="zh-CN"/>
        </w:rPr>
        <w:t xml:space="preserve"> </w:t>
      </w:r>
    </w:p>
    <w:p w14:paraId="2C0B15C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4、不可抗力</w:t>
      </w:r>
    </w:p>
    <w:p w14:paraId="30329DC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4.1 因不可抗力不能履行合同的，根据不可抗力的影响，部分或者全部免除责任。但合同一方迟延履行后发生不可抗力的，不能免除责任。</w:t>
      </w:r>
    </w:p>
    <w:p w14:paraId="10F3808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2"/>
          <w:sz w:val="24"/>
          <w:szCs w:val="24"/>
          <w:lang w:val="zh-CN" w:eastAsia="zh-CN"/>
        </w:rPr>
      </w:pPr>
      <w:r>
        <w:rPr>
          <w:rFonts w:hint="eastAsia" w:ascii="宋体" w:hAnsi="宋体" w:eastAsia="宋体" w:cs="宋体"/>
          <w:color w:val="auto"/>
          <w:sz w:val="24"/>
          <w:szCs w:val="24"/>
          <w:lang w:eastAsia="zh-CN" w:bidi="ar-SA"/>
        </w:rPr>
        <w:t>4.2 合同一方因不可抗力不能履行合同的，应当及时通知对方，以减轻可能给对方造成的损失，并应当在合理期限内提供证明。</w:t>
      </w:r>
    </w:p>
    <w:p w14:paraId="0FB6193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zh-CN" w:eastAsia="zh-CN" w:bidi="ar-SA"/>
        </w:rPr>
      </w:pPr>
      <w:r>
        <w:rPr>
          <w:rFonts w:hint="eastAsia" w:ascii="宋体" w:hAnsi="宋体" w:eastAsia="宋体" w:cs="宋体"/>
          <w:b/>
          <w:bCs/>
          <w:color w:val="auto"/>
          <w:sz w:val="24"/>
          <w:szCs w:val="24"/>
          <w:lang w:val="zh-CN" w:eastAsia="zh-CN" w:bidi="ar-SA"/>
        </w:rPr>
        <w:t>七、索赔</w:t>
      </w:r>
    </w:p>
    <w:p w14:paraId="494D037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1、索赔</w:t>
      </w:r>
    </w:p>
    <w:p w14:paraId="761BA5C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 xml:space="preserve">1.1 甲方有权根据甲方所出具的验收证明、第三方质量检验机构或其他专业机构、组织、部门出具的检验证书向乙方提出赔偿请求。 </w:t>
      </w:r>
    </w:p>
    <w:p w14:paraId="4D1795C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1.2 在本合同规定的检验期和质保期内，乙方同意甲方有权按下列一种或多种方式合并解决索赔事宜：</w:t>
      </w:r>
    </w:p>
    <w:p w14:paraId="53D55D4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1.2.1 乙方负责及时退货，并按合同规定的价款将货款退还给甲方，并承担由此发生的一切损失和费用，包括但不限于20%违约金、利息、银行手续费、运费、保险费、检验费、仓储费、装卸费以及为保护退回标的物所需的其它必要费用。</w:t>
      </w:r>
    </w:p>
    <w:p w14:paraId="47234FE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1.2.2 根据标的物的低劣程度、损坏程度以及甲方遭受损失的数额，合并为甲方确定降低标的物的价格。</w:t>
      </w:r>
    </w:p>
    <w:p w14:paraId="528CC5B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1.2.3 用符合规格、质量和性能要求的原厂全新零件、部件或标的物来更换有缺陷的部分或修补缺陷部分，乙方应承担一切费用和风险并负担甲方所发生的一切直接费用。质保期自发生上述情形之日起，至标的物恢复正常使用之日止，停止计算。</w:t>
      </w:r>
    </w:p>
    <w:p w14:paraId="16343A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color w:val="auto"/>
          <w:sz w:val="24"/>
          <w:szCs w:val="24"/>
          <w:lang w:eastAsia="zh-CN" w:bidi="ar-SA"/>
        </w:rPr>
        <w:t>1.3 如果在甲方发出索赔通知后七天内，乙方未能答复，上述索赔应视为已被乙方接受。若乙方未在甲方提出索赔通知后七天内或甲方同意的更长时间内，按照合同规定的任何一种方法解决索赔事宜，甲方将从未付款或乙方支付的履约保证金直接扣除索赔金额，如果这些金额不足以补偿索赔金额，甲方有权向乙方提出对不足部分的补偿。</w:t>
      </w:r>
    </w:p>
    <w:p w14:paraId="4B606EE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zh-CN" w:eastAsia="zh-CN" w:bidi="ar-SA"/>
        </w:rPr>
      </w:pPr>
      <w:r>
        <w:rPr>
          <w:rFonts w:hint="eastAsia" w:ascii="宋体" w:hAnsi="宋体" w:eastAsia="宋体" w:cs="宋体"/>
          <w:b/>
          <w:bCs/>
          <w:color w:val="auto"/>
          <w:sz w:val="24"/>
          <w:szCs w:val="24"/>
          <w:lang w:val="zh-CN" w:eastAsia="zh-CN" w:bidi="ar-SA"/>
        </w:rPr>
        <w:t>八、合同的解除和转让（除已有约定外）</w:t>
      </w:r>
    </w:p>
    <w:p w14:paraId="2A98645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1、合同的解除</w:t>
      </w:r>
    </w:p>
    <w:p w14:paraId="57CB5D0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1.1 有下列情形之一，合同一方可以解除合同：</w:t>
      </w:r>
    </w:p>
    <w:p w14:paraId="44CB3C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1.1.1 因不可抗力致使不能实现合同目的，未受不可抗力影响的一方有权解除合同；</w:t>
      </w:r>
    </w:p>
    <w:p w14:paraId="0812443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1.1.2 合同期间，因合同一方违约并无法获得守约方认可，守约方有权解除合同、违约方则退回已收款项并需承担本合同总价款30%作为违约金，并按本合同第六条承担各项违约责任；</w:t>
      </w:r>
    </w:p>
    <w:p w14:paraId="7D8D010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eastAsia="zh-CN" w:bidi="ar-SA"/>
        </w:rPr>
      </w:pPr>
      <w:r>
        <w:rPr>
          <w:rFonts w:hint="eastAsia" w:ascii="宋体" w:hAnsi="宋体" w:eastAsia="宋体" w:cs="宋体"/>
          <w:color w:val="auto"/>
          <w:sz w:val="24"/>
          <w:szCs w:val="24"/>
          <w:lang w:eastAsia="zh-CN" w:bidi="ar-SA"/>
        </w:rPr>
        <w:t>1.2 有权解除合同的一方，可在违约事实或不可抗力发生之后三天内书面通知对方以主张解除合同，合同在书面通知寄往对方时即告解除。</w:t>
      </w:r>
    </w:p>
    <w:p w14:paraId="055F9D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bidi="ar-SA"/>
        </w:rPr>
      </w:pPr>
      <w:r>
        <w:rPr>
          <w:rFonts w:hint="eastAsia" w:ascii="宋体" w:hAnsi="宋体" w:eastAsia="宋体" w:cs="宋体"/>
          <w:color w:val="auto"/>
          <w:sz w:val="24"/>
          <w:szCs w:val="24"/>
          <w:highlight w:val="none"/>
          <w:lang w:eastAsia="zh-CN" w:bidi="ar-SA"/>
        </w:rPr>
        <w:t>1.3 本合同当事人联系信息以国家企业信用信息公示系统等查询备注地址为准，适用于双方往来联系、书面文件送达及争议解决时法律文书（含裁判文书）送达。</w:t>
      </w:r>
    </w:p>
    <w:p w14:paraId="4D93582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zh-CN" w:eastAsia="zh-CN" w:bidi="ar-SA"/>
        </w:rPr>
      </w:pPr>
      <w:r>
        <w:rPr>
          <w:rFonts w:hint="eastAsia" w:ascii="宋体" w:hAnsi="宋体" w:eastAsia="宋体" w:cs="宋体"/>
          <w:b/>
          <w:bCs/>
          <w:color w:val="auto"/>
          <w:sz w:val="24"/>
          <w:szCs w:val="24"/>
          <w:lang w:val="zh-CN" w:eastAsia="zh-CN" w:bidi="ar-SA"/>
        </w:rPr>
        <w:t>（二）合同特殊条款</w:t>
      </w:r>
    </w:p>
    <w:p w14:paraId="37F4F90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zh-CN" w:eastAsia="zh-CN" w:bidi="ar-SA"/>
        </w:rPr>
      </w:pPr>
      <w:r>
        <w:rPr>
          <w:rFonts w:hint="eastAsia" w:ascii="宋体" w:hAnsi="宋体" w:eastAsia="宋体" w:cs="宋体"/>
          <w:b/>
          <w:bCs/>
          <w:color w:val="auto"/>
          <w:sz w:val="24"/>
          <w:szCs w:val="24"/>
          <w:lang w:val="zh-CN" w:eastAsia="zh-CN" w:bidi="ar-SA"/>
        </w:rPr>
        <w:t>一、合同内容：</w:t>
      </w:r>
    </w:p>
    <w:p w14:paraId="46C3112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1、乙方负责完成甲方的</w:t>
      </w:r>
      <w:r>
        <w:rPr>
          <w:rFonts w:hint="eastAsia" w:asciiTheme="minorEastAsia" w:hAnsiTheme="minorEastAsia" w:eastAsiaTheme="minorEastAsia" w:cstheme="minorEastAsia"/>
          <w:color w:val="auto"/>
          <w:sz w:val="24"/>
          <w:szCs w:val="24"/>
          <w:highlight w:val="none"/>
          <w:u w:val="single"/>
          <w:lang w:eastAsia="zh-CN"/>
        </w:rPr>
        <w:t>苏大附一院患者签名平板</w:t>
      </w:r>
      <w:r>
        <w:rPr>
          <w:rFonts w:hint="eastAsia" w:ascii="宋体" w:hAnsi="宋体" w:eastAsia="宋体" w:cs="宋体"/>
          <w:color w:val="auto"/>
          <w:sz w:val="24"/>
          <w:szCs w:val="24"/>
          <w:lang w:val="zh-CN" w:eastAsia="zh-CN" w:bidi="ar-SA"/>
        </w:rPr>
        <w:t>，详见《标的物清单》。</w:t>
      </w:r>
    </w:p>
    <w:tbl>
      <w:tblPr>
        <w:tblStyle w:val="23"/>
        <w:tblW w:w="101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701"/>
        <w:gridCol w:w="2536"/>
        <w:gridCol w:w="949"/>
        <w:gridCol w:w="791"/>
        <w:gridCol w:w="1241"/>
        <w:gridCol w:w="1328"/>
        <w:gridCol w:w="853"/>
      </w:tblGrid>
      <w:tr w14:paraId="7DBE0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60484FB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序号</w:t>
            </w:r>
          </w:p>
        </w:tc>
        <w:tc>
          <w:tcPr>
            <w:tcW w:w="1701" w:type="dxa"/>
            <w:tcBorders>
              <w:top w:val="single" w:color="auto" w:sz="4" w:space="0"/>
              <w:left w:val="single" w:color="auto" w:sz="4" w:space="0"/>
              <w:bottom w:val="single" w:color="auto" w:sz="4" w:space="0"/>
              <w:right w:val="single" w:color="auto" w:sz="4" w:space="0"/>
            </w:tcBorders>
            <w:vAlign w:val="center"/>
          </w:tcPr>
          <w:p w14:paraId="71434A7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名称</w:t>
            </w:r>
          </w:p>
        </w:tc>
        <w:tc>
          <w:tcPr>
            <w:tcW w:w="2536" w:type="dxa"/>
            <w:tcBorders>
              <w:top w:val="single" w:color="auto" w:sz="4" w:space="0"/>
              <w:left w:val="single" w:color="auto" w:sz="4" w:space="0"/>
              <w:bottom w:val="single" w:color="auto" w:sz="4" w:space="0"/>
              <w:right w:val="single" w:color="auto" w:sz="4" w:space="0"/>
            </w:tcBorders>
            <w:vAlign w:val="center"/>
          </w:tcPr>
          <w:p w14:paraId="403FA32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品牌型号</w:t>
            </w:r>
          </w:p>
        </w:tc>
        <w:tc>
          <w:tcPr>
            <w:tcW w:w="949" w:type="dxa"/>
            <w:tcBorders>
              <w:top w:val="single" w:color="auto" w:sz="4" w:space="0"/>
              <w:left w:val="single" w:color="auto" w:sz="4" w:space="0"/>
              <w:bottom w:val="single" w:color="auto" w:sz="4" w:space="0"/>
              <w:right w:val="single" w:color="auto" w:sz="4" w:space="0"/>
            </w:tcBorders>
            <w:vAlign w:val="center"/>
          </w:tcPr>
          <w:p w14:paraId="7F94107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lang w:val="en-US" w:eastAsia="zh-CN" w:bidi="ar-SA"/>
              </w:rPr>
            </w:pPr>
            <w:r>
              <w:rPr>
                <w:rFonts w:hint="eastAsia" w:ascii="宋体" w:hAnsi="宋体" w:cs="宋体"/>
                <w:color w:val="auto"/>
                <w:sz w:val="24"/>
                <w:szCs w:val="24"/>
                <w:lang w:val="en-US" w:eastAsia="zh-CN" w:bidi="ar-SA"/>
              </w:rPr>
              <w:t>单位</w:t>
            </w:r>
          </w:p>
        </w:tc>
        <w:tc>
          <w:tcPr>
            <w:tcW w:w="791" w:type="dxa"/>
            <w:tcBorders>
              <w:top w:val="single" w:color="auto" w:sz="4" w:space="0"/>
              <w:left w:val="single" w:color="auto" w:sz="4" w:space="0"/>
              <w:bottom w:val="single" w:color="auto" w:sz="4" w:space="0"/>
              <w:right w:val="single" w:color="auto" w:sz="4" w:space="0"/>
            </w:tcBorders>
            <w:vAlign w:val="center"/>
          </w:tcPr>
          <w:p w14:paraId="5F33E9D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数量</w:t>
            </w:r>
          </w:p>
        </w:tc>
        <w:tc>
          <w:tcPr>
            <w:tcW w:w="1241" w:type="dxa"/>
            <w:tcBorders>
              <w:top w:val="single" w:color="auto" w:sz="4" w:space="0"/>
              <w:left w:val="single" w:color="auto" w:sz="4" w:space="0"/>
              <w:bottom w:val="single" w:color="auto" w:sz="4" w:space="0"/>
              <w:right w:val="single" w:color="auto" w:sz="4" w:space="0"/>
            </w:tcBorders>
            <w:vAlign w:val="center"/>
          </w:tcPr>
          <w:p w14:paraId="7ED4569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单价（元）</w:t>
            </w:r>
          </w:p>
        </w:tc>
        <w:tc>
          <w:tcPr>
            <w:tcW w:w="1328" w:type="dxa"/>
            <w:tcBorders>
              <w:top w:val="single" w:color="auto" w:sz="4" w:space="0"/>
              <w:left w:val="single" w:color="auto" w:sz="4" w:space="0"/>
              <w:bottom w:val="single" w:color="auto" w:sz="4" w:space="0"/>
              <w:right w:val="single" w:color="auto" w:sz="4" w:space="0"/>
            </w:tcBorders>
            <w:vAlign w:val="center"/>
          </w:tcPr>
          <w:p w14:paraId="35D4002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总价（元）</w:t>
            </w:r>
          </w:p>
        </w:tc>
        <w:tc>
          <w:tcPr>
            <w:tcW w:w="853" w:type="dxa"/>
            <w:tcBorders>
              <w:top w:val="single" w:color="auto" w:sz="4" w:space="0"/>
              <w:left w:val="single" w:color="auto" w:sz="4" w:space="0"/>
              <w:bottom w:val="single" w:color="auto" w:sz="4" w:space="0"/>
              <w:right w:val="single" w:color="auto" w:sz="4" w:space="0"/>
            </w:tcBorders>
            <w:vAlign w:val="center"/>
          </w:tcPr>
          <w:p w14:paraId="56E6E0F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lang w:val="en-US" w:eastAsia="zh-CN" w:bidi="ar-SA"/>
              </w:rPr>
            </w:pPr>
            <w:r>
              <w:rPr>
                <w:rFonts w:hint="eastAsia" w:ascii="宋体" w:hAnsi="宋体" w:cs="宋体"/>
                <w:color w:val="auto"/>
                <w:sz w:val="24"/>
                <w:szCs w:val="24"/>
                <w:lang w:val="en-US" w:eastAsia="zh-CN" w:bidi="ar-SA"/>
              </w:rPr>
              <w:t>备注</w:t>
            </w:r>
          </w:p>
        </w:tc>
      </w:tr>
      <w:tr w14:paraId="64B42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37DDAC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1</w:t>
            </w:r>
          </w:p>
        </w:tc>
        <w:tc>
          <w:tcPr>
            <w:tcW w:w="1701" w:type="dxa"/>
            <w:tcBorders>
              <w:top w:val="single" w:color="auto" w:sz="4" w:space="0"/>
              <w:left w:val="single" w:color="auto" w:sz="4" w:space="0"/>
              <w:bottom w:val="single" w:color="auto" w:sz="4" w:space="0"/>
              <w:right w:val="single" w:color="auto" w:sz="4" w:space="0"/>
            </w:tcBorders>
            <w:vAlign w:val="center"/>
          </w:tcPr>
          <w:p w14:paraId="0D9632C2">
            <w:pPr>
              <w:jc w:val="center"/>
              <w:rPr>
                <w:rFonts w:hint="eastAsia" w:ascii="宋体" w:hAnsi="宋体" w:eastAsia="宋体" w:cs="宋体"/>
                <w:color w:val="auto"/>
                <w:sz w:val="24"/>
                <w:szCs w:val="24"/>
                <w:lang w:val="zh-CN" w:eastAsia="zh-CN" w:bidi="ar-SA"/>
              </w:rPr>
            </w:pPr>
            <w:r>
              <w:rPr>
                <w:rFonts w:hint="eastAsia" w:ascii="宋体" w:hAnsi="宋体" w:eastAsia="宋体" w:cs="宋体"/>
                <w:sz w:val="24"/>
                <w:szCs w:val="24"/>
                <w:lang w:val="en-US" w:eastAsia="zh-CN"/>
              </w:rPr>
              <w:t>患者签名移动平板</w:t>
            </w:r>
          </w:p>
        </w:tc>
        <w:tc>
          <w:tcPr>
            <w:tcW w:w="2536" w:type="dxa"/>
            <w:tcBorders>
              <w:top w:val="single" w:color="auto" w:sz="4" w:space="0"/>
              <w:left w:val="single" w:color="auto" w:sz="4" w:space="0"/>
              <w:bottom w:val="single" w:color="auto" w:sz="4" w:space="0"/>
              <w:right w:val="single" w:color="auto" w:sz="4" w:space="0"/>
            </w:tcBorders>
            <w:vAlign w:val="center"/>
          </w:tcPr>
          <w:p w14:paraId="39FA746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东集定制/KS-M03(PADAIR-HC)</w:t>
            </w:r>
          </w:p>
        </w:tc>
        <w:tc>
          <w:tcPr>
            <w:tcW w:w="949" w:type="dxa"/>
            <w:tcBorders>
              <w:top w:val="single" w:color="auto" w:sz="4" w:space="0"/>
              <w:left w:val="single" w:color="auto" w:sz="4" w:space="0"/>
              <w:bottom w:val="single" w:color="auto" w:sz="4" w:space="0"/>
              <w:right w:val="single" w:color="auto" w:sz="4" w:space="0"/>
            </w:tcBorders>
            <w:vAlign w:val="center"/>
          </w:tcPr>
          <w:p w14:paraId="2248462E">
            <w:pPr>
              <w:jc w:val="center"/>
              <w:rPr>
                <w:rFonts w:hint="eastAsia" w:ascii="宋体" w:hAnsi="宋体" w:eastAsia="宋体" w:cs="宋体"/>
                <w:color w:val="auto"/>
                <w:sz w:val="24"/>
                <w:szCs w:val="24"/>
                <w:lang w:val="zh-CN" w:eastAsia="zh-CN" w:bidi="ar-SA"/>
              </w:rPr>
            </w:pPr>
            <w:r>
              <w:rPr>
                <w:rFonts w:hint="eastAsia" w:ascii="宋体" w:hAnsi="宋体" w:eastAsia="宋体" w:cs="宋体"/>
                <w:sz w:val="24"/>
                <w:szCs w:val="24"/>
                <w:lang w:val="en-US" w:eastAsia="zh-CN"/>
              </w:rPr>
              <w:t>块</w:t>
            </w:r>
          </w:p>
        </w:tc>
        <w:tc>
          <w:tcPr>
            <w:tcW w:w="791" w:type="dxa"/>
            <w:tcBorders>
              <w:top w:val="single" w:color="auto" w:sz="4" w:space="0"/>
              <w:left w:val="single" w:color="auto" w:sz="4" w:space="0"/>
              <w:bottom w:val="single" w:color="auto" w:sz="4" w:space="0"/>
              <w:right w:val="single" w:color="auto" w:sz="4" w:space="0"/>
            </w:tcBorders>
            <w:vAlign w:val="center"/>
          </w:tcPr>
          <w:p w14:paraId="3C89A830">
            <w:pPr>
              <w:jc w:val="center"/>
              <w:rPr>
                <w:rFonts w:hint="eastAsia" w:ascii="宋体" w:hAnsi="宋体" w:eastAsia="宋体" w:cs="宋体"/>
                <w:color w:val="auto"/>
                <w:sz w:val="24"/>
                <w:szCs w:val="24"/>
                <w:lang w:val="zh-CN" w:eastAsia="zh-CN" w:bidi="ar-SA"/>
              </w:rPr>
            </w:pPr>
            <w:r>
              <w:rPr>
                <w:rFonts w:hint="eastAsia" w:ascii="宋体" w:hAnsi="宋体" w:eastAsia="宋体" w:cs="宋体"/>
                <w:sz w:val="24"/>
                <w:szCs w:val="24"/>
              </w:rPr>
              <w:t>1</w:t>
            </w:r>
            <w:r>
              <w:rPr>
                <w:rFonts w:hint="eastAsia" w:ascii="宋体" w:hAnsi="宋体" w:eastAsia="宋体" w:cs="宋体"/>
                <w:sz w:val="24"/>
                <w:szCs w:val="24"/>
                <w:lang w:val="en-US" w:eastAsia="zh-CN"/>
              </w:rPr>
              <w:t>42</w:t>
            </w:r>
          </w:p>
        </w:tc>
        <w:tc>
          <w:tcPr>
            <w:tcW w:w="1241" w:type="dxa"/>
            <w:tcBorders>
              <w:top w:val="single" w:color="auto" w:sz="4" w:space="0"/>
              <w:left w:val="single" w:color="auto" w:sz="4" w:space="0"/>
              <w:bottom w:val="single" w:color="auto" w:sz="4" w:space="0"/>
              <w:right w:val="single" w:color="auto" w:sz="4" w:space="0"/>
            </w:tcBorders>
            <w:vAlign w:val="center"/>
          </w:tcPr>
          <w:p w14:paraId="54EC9D8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lang w:val="en-US" w:eastAsia="zh-CN" w:bidi="ar-SA"/>
              </w:rPr>
            </w:pPr>
            <w:r>
              <w:rPr>
                <w:rFonts w:hint="eastAsia" w:ascii="宋体" w:hAnsi="宋体" w:cs="宋体"/>
                <w:color w:val="auto"/>
                <w:sz w:val="24"/>
                <w:szCs w:val="24"/>
                <w:lang w:val="en-US" w:eastAsia="zh-CN" w:bidi="ar-SA"/>
              </w:rPr>
              <w:t>4500.00</w:t>
            </w:r>
          </w:p>
        </w:tc>
        <w:tc>
          <w:tcPr>
            <w:tcW w:w="1328" w:type="dxa"/>
            <w:tcBorders>
              <w:top w:val="single" w:color="auto" w:sz="4" w:space="0"/>
              <w:left w:val="single" w:color="auto" w:sz="4" w:space="0"/>
              <w:bottom w:val="single" w:color="auto" w:sz="4" w:space="0"/>
              <w:right w:val="single" w:color="auto" w:sz="4" w:space="0"/>
            </w:tcBorders>
            <w:vAlign w:val="center"/>
          </w:tcPr>
          <w:p w14:paraId="221EA32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lang w:val="en-US" w:eastAsia="zh-CN" w:bidi="ar-SA"/>
              </w:rPr>
            </w:pPr>
            <w:r>
              <w:rPr>
                <w:rFonts w:hint="eastAsia" w:ascii="宋体" w:hAnsi="宋体" w:cs="宋体"/>
                <w:color w:val="auto"/>
                <w:sz w:val="24"/>
                <w:szCs w:val="24"/>
                <w:lang w:val="en-US" w:eastAsia="zh-CN" w:bidi="ar-SA"/>
              </w:rPr>
              <w:t>639000.00</w:t>
            </w:r>
          </w:p>
        </w:tc>
        <w:tc>
          <w:tcPr>
            <w:tcW w:w="853" w:type="dxa"/>
            <w:tcBorders>
              <w:top w:val="single" w:color="auto" w:sz="4" w:space="0"/>
              <w:left w:val="single" w:color="auto" w:sz="4" w:space="0"/>
              <w:bottom w:val="single" w:color="auto" w:sz="4" w:space="0"/>
              <w:right w:val="single" w:color="auto" w:sz="4" w:space="0"/>
            </w:tcBorders>
            <w:vAlign w:val="center"/>
          </w:tcPr>
          <w:p w14:paraId="7648DA3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cs="宋体"/>
                <w:color w:val="auto"/>
                <w:sz w:val="24"/>
                <w:szCs w:val="24"/>
                <w:lang w:val="en-US" w:eastAsia="zh-CN" w:bidi="ar-SA"/>
              </w:rPr>
            </w:pPr>
            <w:r>
              <w:rPr>
                <w:rFonts w:hint="eastAsia" w:ascii="宋体" w:hAnsi="宋体" w:cs="宋体"/>
                <w:color w:val="auto"/>
                <w:sz w:val="24"/>
                <w:szCs w:val="24"/>
                <w:lang w:val="en-US" w:eastAsia="zh-CN" w:bidi="ar-SA"/>
              </w:rPr>
              <w:t>三年质保</w:t>
            </w:r>
          </w:p>
        </w:tc>
      </w:tr>
      <w:tr w14:paraId="569F9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6ACAF5A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lang w:val="en-US" w:eastAsia="zh-CN" w:bidi="ar-SA"/>
              </w:rPr>
            </w:pPr>
            <w:r>
              <w:rPr>
                <w:rFonts w:hint="eastAsia" w:ascii="宋体" w:hAnsi="宋体" w:cs="宋体"/>
                <w:color w:val="auto"/>
                <w:sz w:val="24"/>
                <w:szCs w:val="24"/>
                <w:lang w:val="en-US" w:eastAsia="zh-CN" w:bidi="ar-SA"/>
              </w:rPr>
              <w:t>2</w:t>
            </w:r>
          </w:p>
        </w:tc>
        <w:tc>
          <w:tcPr>
            <w:tcW w:w="1701" w:type="dxa"/>
            <w:tcBorders>
              <w:top w:val="single" w:color="auto" w:sz="4" w:space="0"/>
              <w:left w:val="single" w:color="auto" w:sz="4" w:space="0"/>
              <w:bottom w:val="single" w:color="auto" w:sz="4" w:space="0"/>
              <w:right w:val="single" w:color="auto" w:sz="4" w:space="0"/>
            </w:tcBorders>
            <w:vAlign w:val="center"/>
          </w:tcPr>
          <w:p w14:paraId="7A1BFD4B">
            <w:pPr>
              <w:jc w:val="center"/>
              <w:rPr>
                <w:rFonts w:hint="eastAsia" w:ascii="宋体" w:hAnsi="宋体" w:eastAsia="宋体" w:cs="宋体"/>
                <w:color w:val="auto"/>
                <w:sz w:val="24"/>
                <w:szCs w:val="24"/>
                <w:lang w:val="zh-CN" w:eastAsia="zh-CN" w:bidi="ar-SA"/>
              </w:rPr>
            </w:pPr>
            <w:r>
              <w:rPr>
                <w:rFonts w:hint="eastAsia" w:ascii="宋体" w:hAnsi="宋体" w:eastAsia="宋体" w:cs="宋体"/>
                <w:sz w:val="24"/>
                <w:szCs w:val="24"/>
                <w:lang w:val="en-US" w:eastAsia="zh-CN"/>
              </w:rPr>
              <w:t>个人数字证书更新</w:t>
            </w:r>
          </w:p>
        </w:tc>
        <w:tc>
          <w:tcPr>
            <w:tcW w:w="2536" w:type="dxa"/>
            <w:tcBorders>
              <w:top w:val="single" w:color="auto" w:sz="4" w:space="0"/>
              <w:left w:val="single" w:color="auto" w:sz="4" w:space="0"/>
              <w:bottom w:val="single" w:color="auto" w:sz="4" w:space="0"/>
              <w:right w:val="single" w:color="auto" w:sz="4" w:space="0"/>
            </w:tcBorders>
            <w:vAlign w:val="center"/>
          </w:tcPr>
          <w:p w14:paraId="0C380E8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上海CA/SHECA</w:t>
            </w:r>
            <w:r>
              <w:rPr>
                <w:rFonts w:hint="eastAsia" w:ascii="宋体" w:hAnsi="宋体" w:eastAsia="宋体" w:cs="宋体"/>
                <w:color w:val="auto"/>
                <w:sz w:val="24"/>
                <w:szCs w:val="24"/>
                <w:lang w:val="en-US" w:eastAsia="zh-CN" w:bidi="ar-SA"/>
              </w:rPr>
              <w:t xml:space="preserve"> </w:t>
            </w:r>
            <w:r>
              <w:rPr>
                <w:rFonts w:hint="eastAsia" w:ascii="宋体" w:hAnsi="宋体" w:eastAsia="宋体" w:cs="宋体"/>
                <w:color w:val="auto"/>
                <w:sz w:val="24"/>
                <w:szCs w:val="24"/>
                <w:lang w:val="zh-CN" w:eastAsia="zh-CN" w:bidi="ar-SA"/>
              </w:rPr>
              <w:t>V1.2</w:t>
            </w:r>
          </w:p>
        </w:tc>
        <w:tc>
          <w:tcPr>
            <w:tcW w:w="949" w:type="dxa"/>
            <w:tcBorders>
              <w:top w:val="single" w:color="auto" w:sz="4" w:space="0"/>
              <w:left w:val="single" w:color="auto" w:sz="4" w:space="0"/>
              <w:bottom w:val="single" w:color="auto" w:sz="4" w:space="0"/>
              <w:right w:val="single" w:color="auto" w:sz="4" w:space="0"/>
            </w:tcBorders>
            <w:vAlign w:val="center"/>
          </w:tcPr>
          <w:p w14:paraId="61ED23D5">
            <w:pPr>
              <w:jc w:val="center"/>
              <w:rPr>
                <w:rFonts w:hint="eastAsia" w:ascii="宋体" w:hAnsi="宋体" w:eastAsia="宋体" w:cs="宋体"/>
                <w:color w:val="auto"/>
                <w:sz w:val="24"/>
                <w:szCs w:val="24"/>
                <w:lang w:val="zh-CN" w:eastAsia="zh-CN" w:bidi="ar-SA"/>
              </w:rPr>
            </w:pPr>
            <w:r>
              <w:rPr>
                <w:rFonts w:hint="eastAsia" w:ascii="宋体" w:hAnsi="宋体" w:eastAsia="宋体" w:cs="宋体"/>
                <w:sz w:val="24"/>
                <w:szCs w:val="24"/>
                <w:lang w:val="en-US" w:eastAsia="zh-CN"/>
              </w:rPr>
              <w:t>人/年</w:t>
            </w:r>
          </w:p>
        </w:tc>
        <w:tc>
          <w:tcPr>
            <w:tcW w:w="791" w:type="dxa"/>
            <w:tcBorders>
              <w:top w:val="single" w:color="auto" w:sz="4" w:space="0"/>
              <w:left w:val="single" w:color="auto" w:sz="4" w:space="0"/>
              <w:bottom w:val="single" w:color="auto" w:sz="4" w:space="0"/>
              <w:right w:val="single" w:color="auto" w:sz="4" w:space="0"/>
            </w:tcBorders>
            <w:vAlign w:val="center"/>
          </w:tcPr>
          <w:p w14:paraId="1A28E7E1">
            <w:pPr>
              <w:jc w:val="center"/>
              <w:rPr>
                <w:rFonts w:hint="eastAsia" w:ascii="宋体" w:hAnsi="宋体" w:eastAsia="宋体" w:cs="宋体"/>
                <w:color w:val="auto"/>
                <w:sz w:val="24"/>
                <w:szCs w:val="24"/>
                <w:lang w:val="zh-CN" w:eastAsia="zh-CN" w:bidi="ar-SA"/>
              </w:rPr>
            </w:pPr>
            <w:r>
              <w:rPr>
                <w:rFonts w:hint="eastAsia" w:ascii="宋体" w:hAnsi="宋体" w:eastAsia="宋体" w:cs="宋体"/>
                <w:sz w:val="24"/>
                <w:szCs w:val="24"/>
                <w:lang w:val="en-US" w:eastAsia="zh-CN"/>
              </w:rPr>
              <w:t>6000</w:t>
            </w:r>
          </w:p>
        </w:tc>
        <w:tc>
          <w:tcPr>
            <w:tcW w:w="1241" w:type="dxa"/>
            <w:tcBorders>
              <w:top w:val="single" w:color="auto" w:sz="4" w:space="0"/>
              <w:left w:val="single" w:color="auto" w:sz="4" w:space="0"/>
              <w:bottom w:val="single" w:color="auto" w:sz="4" w:space="0"/>
              <w:right w:val="single" w:color="auto" w:sz="4" w:space="0"/>
            </w:tcBorders>
            <w:vAlign w:val="center"/>
          </w:tcPr>
          <w:p w14:paraId="59E0574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lang w:val="en-US" w:eastAsia="zh-CN" w:bidi="ar-SA"/>
              </w:rPr>
            </w:pPr>
            <w:r>
              <w:rPr>
                <w:rFonts w:hint="eastAsia" w:ascii="宋体" w:hAnsi="宋体" w:cs="宋体"/>
                <w:color w:val="auto"/>
                <w:sz w:val="24"/>
                <w:szCs w:val="24"/>
                <w:lang w:val="en-US" w:eastAsia="zh-CN" w:bidi="ar-SA"/>
              </w:rPr>
              <w:t>35.00</w:t>
            </w:r>
          </w:p>
        </w:tc>
        <w:tc>
          <w:tcPr>
            <w:tcW w:w="1328" w:type="dxa"/>
            <w:tcBorders>
              <w:top w:val="single" w:color="auto" w:sz="4" w:space="0"/>
              <w:left w:val="single" w:color="auto" w:sz="4" w:space="0"/>
              <w:bottom w:val="single" w:color="auto" w:sz="4" w:space="0"/>
              <w:right w:val="single" w:color="auto" w:sz="4" w:space="0"/>
            </w:tcBorders>
            <w:vAlign w:val="center"/>
          </w:tcPr>
          <w:p w14:paraId="2D51012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lang w:val="en-US" w:eastAsia="zh-CN" w:bidi="ar-SA"/>
              </w:rPr>
            </w:pPr>
            <w:r>
              <w:rPr>
                <w:rFonts w:hint="eastAsia" w:ascii="宋体" w:hAnsi="宋体" w:cs="宋体"/>
                <w:color w:val="auto"/>
                <w:sz w:val="24"/>
                <w:szCs w:val="24"/>
                <w:lang w:val="en-US" w:eastAsia="zh-CN" w:bidi="ar-SA"/>
              </w:rPr>
              <w:t>210000.00</w:t>
            </w:r>
          </w:p>
        </w:tc>
        <w:tc>
          <w:tcPr>
            <w:tcW w:w="853" w:type="dxa"/>
            <w:tcBorders>
              <w:top w:val="single" w:color="auto" w:sz="4" w:space="0"/>
              <w:left w:val="single" w:color="auto" w:sz="4" w:space="0"/>
              <w:bottom w:val="single" w:color="auto" w:sz="4" w:space="0"/>
              <w:right w:val="single" w:color="auto" w:sz="4" w:space="0"/>
            </w:tcBorders>
            <w:vAlign w:val="center"/>
          </w:tcPr>
          <w:p w14:paraId="6AB000A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cs="宋体"/>
                <w:color w:val="auto"/>
                <w:sz w:val="24"/>
                <w:szCs w:val="24"/>
                <w:lang w:val="en-US" w:eastAsia="zh-CN" w:bidi="ar-SA"/>
              </w:rPr>
            </w:pPr>
            <w:r>
              <w:rPr>
                <w:rFonts w:hint="eastAsia" w:ascii="宋体" w:hAnsi="宋体" w:cs="宋体"/>
                <w:color w:val="auto"/>
                <w:sz w:val="24"/>
                <w:szCs w:val="24"/>
                <w:lang w:val="en-US" w:eastAsia="zh-CN" w:bidi="ar-SA"/>
              </w:rPr>
              <w:t>一年服务</w:t>
            </w:r>
          </w:p>
        </w:tc>
      </w:tr>
      <w:tr w14:paraId="7D4F9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4CECB51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lang w:val="en-US" w:eastAsia="zh-CN" w:bidi="ar-SA"/>
              </w:rPr>
            </w:pPr>
            <w:r>
              <w:rPr>
                <w:rFonts w:hint="eastAsia" w:ascii="宋体" w:hAnsi="宋体" w:cs="宋体"/>
                <w:color w:val="auto"/>
                <w:sz w:val="24"/>
                <w:szCs w:val="24"/>
                <w:lang w:val="en-US" w:eastAsia="zh-CN" w:bidi="ar-SA"/>
              </w:rPr>
              <w:t>3</w:t>
            </w:r>
          </w:p>
        </w:tc>
        <w:tc>
          <w:tcPr>
            <w:tcW w:w="1701" w:type="dxa"/>
            <w:tcBorders>
              <w:top w:val="single" w:color="auto" w:sz="4" w:space="0"/>
              <w:left w:val="single" w:color="auto" w:sz="4" w:space="0"/>
              <w:bottom w:val="single" w:color="auto" w:sz="4" w:space="0"/>
              <w:right w:val="single" w:color="auto" w:sz="4" w:space="0"/>
            </w:tcBorders>
            <w:vAlign w:val="center"/>
          </w:tcPr>
          <w:p w14:paraId="2E6640B9">
            <w:pPr>
              <w:jc w:val="center"/>
              <w:rPr>
                <w:rFonts w:hint="eastAsia" w:ascii="宋体" w:hAnsi="宋体" w:eastAsia="宋体" w:cs="宋体"/>
                <w:color w:val="auto"/>
                <w:sz w:val="24"/>
                <w:szCs w:val="24"/>
                <w:lang w:val="zh-CN" w:eastAsia="zh-CN" w:bidi="ar-SA"/>
              </w:rPr>
            </w:pPr>
            <w:r>
              <w:rPr>
                <w:rFonts w:hint="eastAsia" w:ascii="宋体" w:hAnsi="宋体" w:eastAsia="宋体" w:cs="宋体"/>
                <w:sz w:val="24"/>
                <w:szCs w:val="24"/>
                <w:lang w:val="en-US" w:eastAsia="zh-CN"/>
              </w:rPr>
              <w:t>设备证书更新</w:t>
            </w:r>
          </w:p>
        </w:tc>
        <w:tc>
          <w:tcPr>
            <w:tcW w:w="2536" w:type="dxa"/>
            <w:tcBorders>
              <w:top w:val="single" w:color="auto" w:sz="4" w:space="0"/>
              <w:left w:val="single" w:color="auto" w:sz="4" w:space="0"/>
              <w:bottom w:val="single" w:color="auto" w:sz="4" w:space="0"/>
              <w:right w:val="single" w:color="auto" w:sz="4" w:space="0"/>
            </w:tcBorders>
            <w:vAlign w:val="center"/>
          </w:tcPr>
          <w:p w14:paraId="17880BC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上海CA/SHECA V1.4</w:t>
            </w:r>
          </w:p>
        </w:tc>
        <w:tc>
          <w:tcPr>
            <w:tcW w:w="949" w:type="dxa"/>
            <w:tcBorders>
              <w:top w:val="single" w:color="auto" w:sz="4" w:space="0"/>
              <w:left w:val="single" w:color="auto" w:sz="4" w:space="0"/>
              <w:bottom w:val="single" w:color="auto" w:sz="4" w:space="0"/>
              <w:right w:val="single" w:color="auto" w:sz="4" w:space="0"/>
            </w:tcBorders>
            <w:vAlign w:val="center"/>
          </w:tcPr>
          <w:p w14:paraId="64E6EC15">
            <w:pPr>
              <w:jc w:val="center"/>
              <w:rPr>
                <w:rFonts w:hint="eastAsia" w:ascii="宋体" w:hAnsi="宋体" w:eastAsia="宋体" w:cs="宋体"/>
                <w:color w:val="auto"/>
                <w:sz w:val="24"/>
                <w:szCs w:val="24"/>
                <w:lang w:val="zh-CN" w:eastAsia="zh-CN" w:bidi="ar-SA"/>
              </w:rPr>
            </w:pPr>
            <w:r>
              <w:rPr>
                <w:rFonts w:hint="eastAsia" w:ascii="宋体" w:hAnsi="宋体" w:eastAsia="宋体" w:cs="宋体"/>
                <w:sz w:val="24"/>
                <w:szCs w:val="24"/>
                <w:lang w:val="en-US" w:eastAsia="zh-CN"/>
              </w:rPr>
              <w:t>张/年</w:t>
            </w:r>
          </w:p>
        </w:tc>
        <w:tc>
          <w:tcPr>
            <w:tcW w:w="791" w:type="dxa"/>
            <w:tcBorders>
              <w:top w:val="single" w:color="auto" w:sz="4" w:space="0"/>
              <w:left w:val="single" w:color="auto" w:sz="4" w:space="0"/>
              <w:bottom w:val="single" w:color="auto" w:sz="4" w:space="0"/>
              <w:right w:val="single" w:color="auto" w:sz="4" w:space="0"/>
            </w:tcBorders>
            <w:vAlign w:val="center"/>
          </w:tcPr>
          <w:p w14:paraId="33DEBAE4">
            <w:pPr>
              <w:jc w:val="center"/>
              <w:rPr>
                <w:rFonts w:hint="eastAsia" w:ascii="宋体" w:hAnsi="宋体" w:eastAsia="宋体" w:cs="宋体"/>
                <w:color w:val="auto"/>
                <w:sz w:val="24"/>
                <w:szCs w:val="24"/>
                <w:lang w:val="zh-CN" w:eastAsia="zh-CN" w:bidi="ar-SA"/>
              </w:rPr>
            </w:pPr>
            <w:r>
              <w:rPr>
                <w:rFonts w:hint="eastAsia" w:ascii="宋体" w:hAnsi="宋体" w:eastAsia="宋体" w:cs="宋体"/>
                <w:sz w:val="24"/>
                <w:szCs w:val="24"/>
                <w:lang w:val="en-US" w:eastAsia="zh-CN"/>
              </w:rPr>
              <w:t>6</w:t>
            </w:r>
          </w:p>
        </w:tc>
        <w:tc>
          <w:tcPr>
            <w:tcW w:w="1241" w:type="dxa"/>
            <w:tcBorders>
              <w:top w:val="single" w:color="auto" w:sz="4" w:space="0"/>
              <w:left w:val="single" w:color="auto" w:sz="4" w:space="0"/>
              <w:bottom w:val="single" w:color="auto" w:sz="4" w:space="0"/>
              <w:right w:val="single" w:color="auto" w:sz="4" w:space="0"/>
            </w:tcBorders>
            <w:vAlign w:val="center"/>
          </w:tcPr>
          <w:p w14:paraId="735FE7E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lang w:val="en-US" w:eastAsia="zh-CN" w:bidi="ar-SA"/>
              </w:rPr>
            </w:pPr>
            <w:r>
              <w:rPr>
                <w:rFonts w:hint="eastAsia" w:ascii="宋体" w:hAnsi="宋体" w:cs="宋体"/>
                <w:color w:val="auto"/>
                <w:sz w:val="24"/>
                <w:szCs w:val="24"/>
                <w:lang w:val="en-US" w:eastAsia="zh-CN" w:bidi="ar-SA"/>
              </w:rPr>
              <w:t>943.00</w:t>
            </w:r>
          </w:p>
        </w:tc>
        <w:tc>
          <w:tcPr>
            <w:tcW w:w="1328" w:type="dxa"/>
            <w:tcBorders>
              <w:top w:val="single" w:color="auto" w:sz="4" w:space="0"/>
              <w:left w:val="single" w:color="auto" w:sz="4" w:space="0"/>
              <w:bottom w:val="single" w:color="auto" w:sz="4" w:space="0"/>
              <w:right w:val="single" w:color="auto" w:sz="4" w:space="0"/>
            </w:tcBorders>
            <w:vAlign w:val="center"/>
          </w:tcPr>
          <w:p w14:paraId="041956C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lang w:val="en-US" w:eastAsia="zh-CN" w:bidi="ar-SA"/>
              </w:rPr>
            </w:pPr>
            <w:r>
              <w:rPr>
                <w:rFonts w:hint="eastAsia" w:ascii="宋体" w:hAnsi="宋体" w:cs="宋体"/>
                <w:color w:val="auto"/>
                <w:sz w:val="24"/>
                <w:szCs w:val="24"/>
                <w:lang w:val="en-US" w:eastAsia="zh-CN" w:bidi="ar-SA"/>
              </w:rPr>
              <w:t>5658.00</w:t>
            </w:r>
          </w:p>
        </w:tc>
        <w:tc>
          <w:tcPr>
            <w:tcW w:w="853" w:type="dxa"/>
            <w:tcBorders>
              <w:top w:val="single" w:color="auto" w:sz="4" w:space="0"/>
              <w:left w:val="single" w:color="auto" w:sz="4" w:space="0"/>
              <w:bottom w:val="single" w:color="auto" w:sz="4" w:space="0"/>
              <w:right w:val="single" w:color="auto" w:sz="4" w:space="0"/>
            </w:tcBorders>
            <w:vAlign w:val="center"/>
          </w:tcPr>
          <w:p w14:paraId="5FB9229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color w:val="auto"/>
                <w:sz w:val="24"/>
                <w:szCs w:val="24"/>
                <w:lang w:val="en-US" w:eastAsia="zh-CN" w:bidi="ar-SA"/>
              </w:rPr>
            </w:pPr>
            <w:r>
              <w:rPr>
                <w:rFonts w:hint="eastAsia" w:ascii="宋体" w:hAnsi="宋体" w:cs="宋体"/>
                <w:color w:val="auto"/>
                <w:sz w:val="24"/>
                <w:szCs w:val="24"/>
                <w:lang w:val="en-US" w:eastAsia="zh-CN" w:bidi="ar-SA"/>
              </w:rPr>
              <w:t>一年服务</w:t>
            </w:r>
          </w:p>
        </w:tc>
      </w:tr>
      <w:tr w14:paraId="3D8B6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11A3E2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lang w:val="en-US" w:eastAsia="zh-CN" w:bidi="ar-SA"/>
              </w:rPr>
            </w:pPr>
            <w:r>
              <w:rPr>
                <w:rFonts w:hint="eastAsia" w:ascii="宋体" w:hAnsi="宋体" w:cs="宋体"/>
                <w:color w:val="auto"/>
                <w:sz w:val="24"/>
                <w:szCs w:val="24"/>
                <w:lang w:val="en-US" w:eastAsia="zh-CN" w:bidi="ar-SA"/>
              </w:rPr>
              <w:t>4</w:t>
            </w:r>
          </w:p>
        </w:tc>
        <w:tc>
          <w:tcPr>
            <w:tcW w:w="1701" w:type="dxa"/>
            <w:tcBorders>
              <w:top w:val="single" w:color="auto" w:sz="4" w:space="0"/>
              <w:left w:val="single" w:color="auto" w:sz="4" w:space="0"/>
              <w:bottom w:val="single" w:color="auto" w:sz="4" w:space="0"/>
              <w:right w:val="single" w:color="auto" w:sz="4" w:space="0"/>
            </w:tcBorders>
            <w:vAlign w:val="center"/>
          </w:tcPr>
          <w:p w14:paraId="0C3DF8AF">
            <w:pPr>
              <w:jc w:val="center"/>
              <w:rPr>
                <w:rFonts w:hint="eastAsia" w:ascii="宋体" w:hAnsi="宋体" w:eastAsia="宋体" w:cs="宋体"/>
                <w:color w:val="auto"/>
                <w:sz w:val="24"/>
                <w:szCs w:val="24"/>
                <w:lang w:val="zh-CN" w:eastAsia="zh-CN" w:bidi="ar-SA"/>
              </w:rPr>
            </w:pPr>
            <w:r>
              <w:rPr>
                <w:rFonts w:hint="eastAsia" w:ascii="宋体" w:hAnsi="宋体" w:eastAsia="宋体" w:cs="宋体"/>
                <w:sz w:val="24"/>
                <w:szCs w:val="24"/>
                <w:lang w:val="en-US" w:eastAsia="zh-CN"/>
              </w:rPr>
              <w:t>患者签名授权服务</w:t>
            </w:r>
          </w:p>
        </w:tc>
        <w:tc>
          <w:tcPr>
            <w:tcW w:w="2536" w:type="dxa"/>
            <w:tcBorders>
              <w:top w:val="single" w:color="auto" w:sz="4" w:space="0"/>
              <w:left w:val="single" w:color="auto" w:sz="4" w:space="0"/>
              <w:bottom w:val="single" w:color="auto" w:sz="4" w:space="0"/>
              <w:right w:val="single" w:color="auto" w:sz="4" w:space="0"/>
            </w:tcBorders>
            <w:vAlign w:val="center"/>
          </w:tcPr>
          <w:p w14:paraId="77A2D00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lang w:val="zh-CN" w:eastAsia="zh-CN" w:bidi="ar-SA"/>
              </w:rPr>
            </w:pPr>
            <w:r>
              <w:rPr>
                <w:rFonts w:hint="eastAsia" w:ascii="宋体" w:hAnsi="宋体" w:cs="宋体"/>
                <w:color w:val="auto"/>
                <w:sz w:val="24"/>
                <w:szCs w:val="24"/>
                <w:lang w:val="en-US" w:eastAsia="zh-CN" w:bidi="ar-SA"/>
              </w:rPr>
              <w:t>上</w:t>
            </w:r>
            <w:r>
              <w:rPr>
                <w:rFonts w:hint="eastAsia" w:ascii="宋体" w:hAnsi="宋体" w:eastAsia="宋体" w:cs="宋体"/>
                <w:color w:val="auto"/>
                <w:sz w:val="24"/>
                <w:szCs w:val="24"/>
                <w:lang w:val="zh-CN" w:eastAsia="zh-CN" w:bidi="ar-SA"/>
              </w:rPr>
              <w:t>海CA/SHECA V1.6</w:t>
            </w:r>
          </w:p>
        </w:tc>
        <w:tc>
          <w:tcPr>
            <w:tcW w:w="949" w:type="dxa"/>
            <w:tcBorders>
              <w:top w:val="single" w:color="auto" w:sz="4" w:space="0"/>
              <w:left w:val="single" w:color="auto" w:sz="4" w:space="0"/>
              <w:bottom w:val="single" w:color="auto" w:sz="4" w:space="0"/>
              <w:right w:val="single" w:color="auto" w:sz="4" w:space="0"/>
            </w:tcBorders>
            <w:vAlign w:val="center"/>
          </w:tcPr>
          <w:p w14:paraId="64A53066">
            <w:pPr>
              <w:jc w:val="center"/>
              <w:rPr>
                <w:rFonts w:hint="eastAsia" w:ascii="宋体" w:hAnsi="宋体" w:eastAsia="宋体" w:cs="宋体"/>
                <w:color w:val="auto"/>
                <w:sz w:val="24"/>
                <w:szCs w:val="24"/>
                <w:lang w:val="zh-CN" w:eastAsia="zh-CN" w:bidi="ar-SA"/>
              </w:rPr>
            </w:pPr>
            <w:r>
              <w:rPr>
                <w:rFonts w:hint="eastAsia" w:ascii="宋体" w:hAnsi="宋体" w:eastAsia="宋体" w:cs="宋体"/>
                <w:sz w:val="24"/>
                <w:szCs w:val="24"/>
                <w:lang w:val="en-US" w:eastAsia="zh-CN"/>
              </w:rPr>
              <w:t>套/3年</w:t>
            </w:r>
          </w:p>
        </w:tc>
        <w:tc>
          <w:tcPr>
            <w:tcW w:w="791" w:type="dxa"/>
            <w:tcBorders>
              <w:top w:val="single" w:color="auto" w:sz="4" w:space="0"/>
              <w:left w:val="single" w:color="auto" w:sz="4" w:space="0"/>
              <w:bottom w:val="single" w:color="auto" w:sz="4" w:space="0"/>
              <w:right w:val="single" w:color="auto" w:sz="4" w:space="0"/>
            </w:tcBorders>
            <w:vAlign w:val="center"/>
          </w:tcPr>
          <w:p w14:paraId="3E7DE943">
            <w:pPr>
              <w:jc w:val="center"/>
              <w:rPr>
                <w:rFonts w:hint="eastAsia" w:ascii="宋体" w:hAnsi="宋体" w:eastAsia="宋体" w:cs="宋体"/>
                <w:color w:val="auto"/>
                <w:sz w:val="24"/>
                <w:szCs w:val="24"/>
                <w:lang w:val="zh-CN" w:eastAsia="zh-CN" w:bidi="ar-SA"/>
              </w:rPr>
            </w:pPr>
            <w:r>
              <w:rPr>
                <w:rFonts w:hint="eastAsia" w:ascii="宋体" w:hAnsi="宋体" w:eastAsia="宋体" w:cs="宋体"/>
                <w:sz w:val="24"/>
                <w:szCs w:val="24"/>
                <w:lang w:val="en-US" w:eastAsia="zh-CN"/>
              </w:rPr>
              <w:t>142</w:t>
            </w:r>
          </w:p>
        </w:tc>
        <w:tc>
          <w:tcPr>
            <w:tcW w:w="1241" w:type="dxa"/>
            <w:tcBorders>
              <w:top w:val="single" w:color="auto" w:sz="4" w:space="0"/>
              <w:left w:val="single" w:color="auto" w:sz="4" w:space="0"/>
              <w:bottom w:val="single" w:color="auto" w:sz="4" w:space="0"/>
              <w:right w:val="single" w:color="auto" w:sz="4" w:space="0"/>
            </w:tcBorders>
            <w:vAlign w:val="center"/>
          </w:tcPr>
          <w:p w14:paraId="6A4DDDA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lang w:val="en-US" w:eastAsia="zh-CN" w:bidi="ar-SA"/>
              </w:rPr>
            </w:pPr>
            <w:r>
              <w:rPr>
                <w:rFonts w:hint="eastAsia" w:ascii="宋体" w:hAnsi="宋体" w:cs="宋体"/>
                <w:color w:val="auto"/>
                <w:sz w:val="24"/>
                <w:szCs w:val="24"/>
                <w:lang w:val="en-US" w:eastAsia="zh-CN" w:bidi="ar-SA"/>
              </w:rPr>
              <w:t>1446.00</w:t>
            </w:r>
          </w:p>
        </w:tc>
        <w:tc>
          <w:tcPr>
            <w:tcW w:w="1328" w:type="dxa"/>
            <w:tcBorders>
              <w:top w:val="single" w:color="auto" w:sz="4" w:space="0"/>
              <w:left w:val="single" w:color="auto" w:sz="4" w:space="0"/>
              <w:bottom w:val="single" w:color="auto" w:sz="4" w:space="0"/>
              <w:right w:val="single" w:color="auto" w:sz="4" w:space="0"/>
            </w:tcBorders>
            <w:vAlign w:val="center"/>
          </w:tcPr>
          <w:p w14:paraId="4DCFC44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lang w:val="en-US" w:eastAsia="zh-CN" w:bidi="ar-SA"/>
              </w:rPr>
            </w:pPr>
            <w:r>
              <w:rPr>
                <w:rFonts w:hint="eastAsia" w:ascii="宋体" w:hAnsi="宋体" w:cs="宋体"/>
                <w:color w:val="auto"/>
                <w:sz w:val="24"/>
                <w:szCs w:val="24"/>
                <w:lang w:val="en-US" w:eastAsia="zh-CN" w:bidi="ar-SA"/>
              </w:rPr>
              <w:t>205332.00</w:t>
            </w:r>
          </w:p>
        </w:tc>
        <w:tc>
          <w:tcPr>
            <w:tcW w:w="853" w:type="dxa"/>
            <w:tcBorders>
              <w:top w:val="single" w:color="auto" w:sz="4" w:space="0"/>
              <w:left w:val="single" w:color="auto" w:sz="4" w:space="0"/>
              <w:bottom w:val="single" w:color="auto" w:sz="4" w:space="0"/>
              <w:right w:val="single" w:color="auto" w:sz="4" w:space="0"/>
            </w:tcBorders>
            <w:vAlign w:val="center"/>
          </w:tcPr>
          <w:p w14:paraId="19BC0D1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cs="宋体"/>
                <w:color w:val="auto"/>
                <w:sz w:val="24"/>
                <w:szCs w:val="24"/>
                <w:lang w:val="en-US" w:eastAsia="zh-CN" w:bidi="ar-SA"/>
              </w:rPr>
            </w:pPr>
            <w:r>
              <w:rPr>
                <w:rFonts w:hint="eastAsia" w:ascii="宋体" w:hAnsi="宋体" w:cs="宋体"/>
                <w:color w:val="auto"/>
                <w:sz w:val="24"/>
                <w:szCs w:val="24"/>
                <w:lang w:val="en-US" w:eastAsia="zh-CN" w:bidi="ar-SA"/>
              </w:rPr>
              <w:t>三年服务</w:t>
            </w:r>
          </w:p>
        </w:tc>
      </w:tr>
      <w:tr w14:paraId="75E47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0103" w:type="dxa"/>
            <w:gridSpan w:val="8"/>
            <w:tcBorders>
              <w:top w:val="single" w:color="auto" w:sz="4" w:space="0"/>
              <w:left w:val="single" w:color="auto" w:sz="4" w:space="0"/>
              <w:bottom w:val="single" w:color="auto" w:sz="4" w:space="0"/>
              <w:right w:val="single" w:color="auto" w:sz="4" w:space="0"/>
            </w:tcBorders>
            <w:vAlign w:val="center"/>
          </w:tcPr>
          <w:p w14:paraId="0E37903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合同总价（人民币大写）：</w:t>
            </w:r>
            <w:r>
              <w:rPr>
                <w:rFonts w:hint="eastAsia" w:ascii="宋体" w:hAnsi="宋体" w:cs="宋体"/>
                <w:color w:val="auto"/>
                <w:sz w:val="24"/>
                <w:szCs w:val="24"/>
                <w:lang w:val="en-US" w:eastAsia="zh-CN" w:bidi="ar-SA"/>
              </w:rPr>
              <w:t>壹佰零伍万玖仟玖佰玖拾元</w:t>
            </w:r>
            <w:r>
              <w:rPr>
                <w:rFonts w:hint="eastAsia" w:ascii="宋体" w:hAnsi="宋体" w:eastAsia="宋体" w:cs="宋体"/>
                <w:color w:val="auto"/>
                <w:sz w:val="24"/>
                <w:szCs w:val="24"/>
                <w:lang w:val="zh-CN" w:eastAsia="zh-CN" w:bidi="ar-SA"/>
              </w:rPr>
              <w:t>整（</w:t>
            </w:r>
            <w:r>
              <w:rPr>
                <w:rFonts w:hint="eastAsia" w:ascii="宋体" w:hAnsi="宋体" w:eastAsia="宋体" w:cs="宋体"/>
                <w:color w:val="auto"/>
                <w:sz w:val="24"/>
                <w:szCs w:val="24"/>
                <w:lang w:eastAsia="zh-CN" w:bidi="ar-SA"/>
              </w:rPr>
              <w:t>含税</w:t>
            </w:r>
            <w:r>
              <w:rPr>
                <w:rFonts w:hint="eastAsia" w:ascii="宋体" w:hAnsi="宋体" w:eastAsia="宋体" w:cs="宋体"/>
                <w:color w:val="auto"/>
                <w:sz w:val="24"/>
                <w:szCs w:val="24"/>
                <w:lang w:val="zh-CN" w:eastAsia="zh-CN" w:bidi="ar-SA"/>
              </w:rPr>
              <w:t>）（小写）：</w:t>
            </w:r>
            <w:r>
              <w:rPr>
                <w:rFonts w:hint="eastAsia" w:ascii="宋体" w:hAnsi="宋体" w:eastAsia="宋体" w:cs="宋体"/>
                <w:sz w:val="24"/>
                <w:szCs w:val="24"/>
              </w:rPr>
              <w:t>¥</w:t>
            </w:r>
            <w:r>
              <w:rPr>
                <w:rFonts w:hint="eastAsia" w:ascii="宋体" w:hAnsi="宋体" w:eastAsia="宋体" w:cs="宋体"/>
                <w:color w:val="auto"/>
                <w:sz w:val="24"/>
                <w:szCs w:val="24"/>
                <w:lang w:val="zh-CN" w:eastAsia="zh-CN" w:bidi="ar-SA"/>
              </w:rPr>
              <w:t>1059990</w:t>
            </w:r>
            <w:r>
              <w:rPr>
                <w:rFonts w:hint="eastAsia" w:ascii="宋体" w:hAnsi="宋体" w:cs="宋体"/>
                <w:color w:val="auto"/>
                <w:sz w:val="24"/>
                <w:szCs w:val="24"/>
                <w:lang w:val="en-US" w:eastAsia="zh-CN" w:bidi="ar-SA"/>
              </w:rPr>
              <w:t>.00</w:t>
            </w:r>
          </w:p>
        </w:tc>
      </w:tr>
    </w:tbl>
    <w:p w14:paraId="1694B8D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2、下列文件为本合同不可分割部分：</w:t>
      </w:r>
    </w:p>
    <w:p w14:paraId="4DEF3E7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①招投标文件及中标通知书；</w:t>
      </w:r>
    </w:p>
    <w:p w14:paraId="359560A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②</w:t>
      </w:r>
      <w:r>
        <w:rPr>
          <w:rFonts w:hint="eastAsia" w:ascii="宋体" w:hAnsi="宋体" w:eastAsia="宋体" w:cs="宋体"/>
          <w:color w:val="auto"/>
          <w:sz w:val="24"/>
          <w:szCs w:val="24"/>
          <w:lang w:val="en-US" w:eastAsia="zh-CN" w:bidi="ar-SA"/>
        </w:rPr>
        <w:t>标的物</w:t>
      </w:r>
      <w:r>
        <w:rPr>
          <w:rFonts w:hint="eastAsia" w:ascii="宋体" w:hAnsi="宋体" w:eastAsia="宋体" w:cs="宋体"/>
          <w:color w:val="auto"/>
          <w:sz w:val="24"/>
          <w:szCs w:val="24"/>
          <w:lang w:val="zh-CN" w:eastAsia="zh-CN" w:bidi="ar-SA"/>
        </w:rPr>
        <w:t>详细参数；</w:t>
      </w:r>
    </w:p>
    <w:p w14:paraId="19D0AAB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③合同其他附件。</w:t>
      </w:r>
    </w:p>
    <w:p w14:paraId="73EE711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lang w:val="zh-CN" w:eastAsia="zh-CN" w:bidi="ar-SA"/>
        </w:rPr>
      </w:pPr>
      <w:r>
        <w:rPr>
          <w:rFonts w:hint="eastAsia" w:ascii="宋体" w:hAnsi="宋体" w:eastAsia="宋体" w:cs="宋体"/>
          <w:b w:val="0"/>
          <w:bCs w:val="0"/>
          <w:color w:val="auto"/>
          <w:sz w:val="24"/>
          <w:szCs w:val="24"/>
          <w:lang w:val="zh-CN" w:eastAsia="zh-CN" w:bidi="ar-SA"/>
        </w:rPr>
        <w:t>附件一：保密协议</w:t>
      </w:r>
    </w:p>
    <w:p w14:paraId="0BE26D0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lang w:val="zh-CN" w:eastAsia="zh-CN" w:bidi="ar-SA"/>
        </w:rPr>
      </w:pPr>
      <w:r>
        <w:rPr>
          <w:rFonts w:hint="eastAsia" w:ascii="宋体" w:hAnsi="宋体" w:eastAsia="宋体" w:cs="宋体"/>
          <w:b w:val="0"/>
          <w:bCs w:val="0"/>
          <w:color w:val="auto"/>
          <w:sz w:val="24"/>
          <w:szCs w:val="24"/>
          <w:lang w:val="zh-CN" w:eastAsia="zh-CN" w:bidi="ar-SA"/>
        </w:rPr>
        <w:t>附件二：</w:t>
      </w:r>
      <w:r>
        <w:rPr>
          <w:rFonts w:hint="eastAsia" w:ascii="宋体" w:hAnsi="宋体" w:cs="宋体"/>
          <w:b w:val="0"/>
          <w:bCs w:val="0"/>
          <w:color w:val="auto"/>
          <w:sz w:val="24"/>
          <w:szCs w:val="24"/>
          <w:lang w:val="en-US" w:eastAsia="zh-CN" w:bidi="ar-SA"/>
        </w:rPr>
        <w:t>项目</w:t>
      </w:r>
      <w:r>
        <w:rPr>
          <w:rFonts w:hint="eastAsia" w:ascii="宋体" w:hAnsi="宋体" w:eastAsia="宋体" w:cs="宋体"/>
          <w:b w:val="0"/>
          <w:bCs w:val="0"/>
          <w:color w:val="auto"/>
          <w:sz w:val="24"/>
          <w:szCs w:val="24"/>
          <w:lang w:val="zh-CN" w:eastAsia="zh-CN" w:bidi="ar-SA"/>
        </w:rPr>
        <w:t>详细参数</w:t>
      </w:r>
    </w:p>
    <w:p w14:paraId="3B594C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lang w:val="zh-CN" w:eastAsia="zh-CN" w:bidi="ar-SA"/>
        </w:rPr>
      </w:pPr>
      <w:r>
        <w:rPr>
          <w:rFonts w:hint="eastAsia" w:ascii="宋体" w:hAnsi="宋体" w:eastAsia="宋体" w:cs="宋体"/>
          <w:b w:val="0"/>
          <w:bCs w:val="0"/>
          <w:color w:val="auto"/>
          <w:sz w:val="24"/>
          <w:szCs w:val="24"/>
          <w:lang w:val="zh-CN" w:eastAsia="zh-CN" w:bidi="ar-SA"/>
        </w:rPr>
        <w:t>附件三：项目服务人员名单</w:t>
      </w:r>
    </w:p>
    <w:p w14:paraId="6E81E3D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zh-CN" w:eastAsia="zh-CN" w:bidi="ar-SA"/>
        </w:rPr>
      </w:pPr>
      <w:r>
        <w:rPr>
          <w:rFonts w:hint="eastAsia" w:ascii="宋体" w:hAnsi="宋体" w:eastAsia="宋体" w:cs="宋体"/>
          <w:b/>
          <w:bCs/>
          <w:color w:val="auto"/>
          <w:sz w:val="24"/>
          <w:szCs w:val="24"/>
          <w:lang w:val="zh-CN" w:eastAsia="zh-CN" w:bidi="ar-SA"/>
        </w:rPr>
        <w:t>二、价格与支付：</w:t>
      </w:r>
    </w:p>
    <w:p w14:paraId="5CF65E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1、合同价格按此次成交价格执行，合同总金额为人民币大写：</w:t>
      </w:r>
      <w:r>
        <w:rPr>
          <w:rFonts w:hint="eastAsia" w:ascii="宋体" w:hAnsi="宋体" w:eastAsia="宋体" w:cs="宋体"/>
          <w:color w:val="auto"/>
          <w:sz w:val="24"/>
          <w:szCs w:val="24"/>
          <w:u w:val="single"/>
          <w:lang w:val="zh-CN" w:eastAsia="zh-CN" w:bidi="ar-SA"/>
        </w:rPr>
        <w:t>壹佰零伍万玖仟玖佰玖拾</w:t>
      </w:r>
      <w:r>
        <w:rPr>
          <w:rFonts w:hint="eastAsia" w:ascii="宋体" w:hAnsi="宋体" w:eastAsia="宋体" w:cs="宋体"/>
          <w:color w:val="auto"/>
          <w:sz w:val="24"/>
          <w:szCs w:val="24"/>
          <w:lang w:val="zh-CN" w:eastAsia="zh-CN" w:bidi="ar-SA"/>
        </w:rPr>
        <w:t>元整（</w:t>
      </w:r>
      <w:r>
        <w:rPr>
          <w:rFonts w:hint="eastAsia" w:ascii="宋体" w:hAnsi="宋体" w:eastAsia="宋体" w:cs="宋体"/>
          <w:color w:val="auto"/>
          <w:sz w:val="24"/>
          <w:szCs w:val="24"/>
          <w:lang w:eastAsia="zh-CN" w:bidi="ar-SA"/>
        </w:rPr>
        <w:t>含税</w:t>
      </w:r>
      <w:r>
        <w:rPr>
          <w:rFonts w:hint="eastAsia" w:ascii="宋体" w:hAnsi="宋体" w:eastAsia="宋体" w:cs="宋体"/>
          <w:color w:val="auto"/>
          <w:sz w:val="24"/>
          <w:szCs w:val="24"/>
          <w:lang w:val="zh-CN" w:eastAsia="zh-CN" w:bidi="ar-SA"/>
        </w:rPr>
        <w:t>）（小写：¥</w:t>
      </w:r>
      <w:r>
        <w:rPr>
          <w:rFonts w:hint="eastAsia" w:ascii="宋体" w:hAnsi="宋体" w:eastAsia="宋体" w:cs="宋体"/>
          <w:color w:val="auto"/>
          <w:sz w:val="24"/>
          <w:szCs w:val="24"/>
          <w:u w:val="single"/>
          <w:lang w:val="zh-CN" w:eastAsia="zh-CN" w:bidi="ar-SA"/>
        </w:rPr>
        <w:t>1059990.00</w:t>
      </w:r>
      <w:r>
        <w:rPr>
          <w:rFonts w:hint="eastAsia" w:ascii="宋体" w:hAnsi="宋体" w:eastAsia="宋体" w:cs="宋体"/>
          <w:color w:val="auto"/>
          <w:sz w:val="24"/>
          <w:szCs w:val="24"/>
          <w:lang w:val="zh-CN" w:eastAsia="zh-CN" w:bidi="ar-SA"/>
        </w:rPr>
        <w:t>），包括但不限于本合同所涉全部设备、辅助材料、安装、调试、培训、验收、人工、机械、运输、仓储、保险、运费、各种税费、劳保、与现有/后期设备对接费、专利技术及质保期间等一切费用；甲方无须支付其他任何费用。</w:t>
      </w:r>
    </w:p>
    <w:p w14:paraId="76F8D1A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2、付款方式：（由乙方进行勾选）</w:t>
      </w:r>
    </w:p>
    <w:p w14:paraId="26177D0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A、□在签订合同时，乙方明确表示需要甲方支付预付款的</w:t>
      </w:r>
    </w:p>
    <w:p w14:paraId="7C1BE3F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采购合同签订生效后，甲方在10个工作日内向乙方支付合同金额30%的预付款。待全部货物到达甲方指定地点并安装</w:t>
      </w:r>
      <w:r>
        <w:rPr>
          <w:rFonts w:hint="eastAsia" w:ascii="宋体" w:hAnsi="宋体" w:eastAsia="宋体" w:cs="宋体"/>
          <w:color w:val="auto"/>
          <w:sz w:val="24"/>
          <w:szCs w:val="24"/>
          <w:lang w:val="en-US" w:eastAsia="zh-CN" w:bidi="ar-SA"/>
        </w:rPr>
        <w:t>调试</w:t>
      </w:r>
      <w:r>
        <w:rPr>
          <w:rFonts w:hint="eastAsia" w:ascii="宋体" w:hAnsi="宋体" w:eastAsia="宋体" w:cs="宋体"/>
          <w:color w:val="auto"/>
          <w:sz w:val="24"/>
          <w:szCs w:val="24"/>
          <w:lang w:val="zh-CN" w:eastAsia="zh-CN" w:bidi="ar-SA"/>
        </w:rPr>
        <w:t>结束，经甲方最终验收合格，并由乙方提前向甲方提供下列单据（a、b）后</w:t>
      </w:r>
      <w:r>
        <w:rPr>
          <w:rFonts w:hint="eastAsia" w:ascii="宋体" w:hAnsi="宋体" w:eastAsia="宋体" w:cs="宋体"/>
          <w:color w:val="auto"/>
          <w:sz w:val="24"/>
          <w:szCs w:val="24"/>
          <w:lang w:eastAsia="zh-CN" w:bidi="ar-SA"/>
        </w:rPr>
        <w:t>15</w:t>
      </w:r>
      <w:r>
        <w:rPr>
          <w:rFonts w:hint="eastAsia" w:ascii="宋体" w:hAnsi="宋体" w:eastAsia="宋体" w:cs="宋体"/>
          <w:color w:val="auto"/>
          <w:sz w:val="24"/>
          <w:szCs w:val="24"/>
          <w:lang w:val="zh-CN" w:eastAsia="zh-CN" w:bidi="ar-SA"/>
        </w:rPr>
        <w:t>日内，无任何异议情形下由甲方向乙方一次性付至合同总价90%，余10%在验收合格满一年后由甲方在</w:t>
      </w:r>
      <w:r>
        <w:rPr>
          <w:rFonts w:hint="eastAsia" w:ascii="宋体" w:hAnsi="宋体" w:eastAsia="宋体" w:cs="宋体"/>
          <w:color w:val="auto"/>
          <w:sz w:val="24"/>
          <w:szCs w:val="24"/>
          <w:lang w:eastAsia="zh-CN" w:bidi="ar-SA"/>
        </w:rPr>
        <w:t>15</w:t>
      </w:r>
      <w:r>
        <w:rPr>
          <w:rFonts w:hint="eastAsia" w:ascii="宋体" w:hAnsi="宋体" w:eastAsia="宋体" w:cs="宋体"/>
          <w:color w:val="auto"/>
          <w:sz w:val="24"/>
          <w:szCs w:val="24"/>
          <w:lang w:val="zh-CN" w:eastAsia="zh-CN" w:bidi="ar-SA"/>
        </w:rPr>
        <w:t>日内向乙方一次性付清。</w:t>
      </w:r>
    </w:p>
    <w:p w14:paraId="727591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B、☑在签订合同时，乙方明确表示无需甲方支付预付款的</w:t>
      </w:r>
    </w:p>
    <w:p w14:paraId="01E0388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zh-CN" w:eastAsia="zh-CN" w:bidi="ar-SA"/>
        </w:rPr>
        <w:t>采购合同签订生效后，</w:t>
      </w:r>
      <w:r>
        <w:rPr>
          <w:rFonts w:hint="eastAsia" w:ascii="宋体" w:hAnsi="宋体" w:eastAsia="宋体" w:cs="宋体"/>
          <w:color w:val="auto"/>
          <w:sz w:val="24"/>
          <w:szCs w:val="24"/>
          <w:highlight w:val="none"/>
          <w:lang w:val="en-US" w:eastAsia="zh-CN" w:bidi="ar-SA"/>
        </w:rPr>
        <w:t>乙方</w:t>
      </w:r>
      <w:r>
        <w:rPr>
          <w:rFonts w:hint="eastAsia" w:ascii="宋体" w:hAnsi="宋体" w:eastAsia="宋体" w:cs="宋体"/>
          <w:color w:val="auto"/>
          <w:sz w:val="24"/>
          <w:szCs w:val="24"/>
          <w:highlight w:val="none"/>
          <w:lang w:val="zh-CN" w:eastAsia="zh-CN" w:bidi="ar-SA"/>
        </w:rPr>
        <w:t>完成</w:t>
      </w:r>
      <w:r>
        <w:rPr>
          <w:rFonts w:hint="eastAsia" w:ascii="宋体" w:hAnsi="宋体" w:eastAsia="宋体" w:cs="宋体"/>
          <w:color w:val="auto"/>
          <w:sz w:val="24"/>
          <w:szCs w:val="24"/>
          <w:highlight w:val="none"/>
          <w:lang w:val="en-US" w:eastAsia="zh-CN" w:bidi="ar-SA"/>
        </w:rPr>
        <w:t>全部</w:t>
      </w:r>
      <w:r>
        <w:rPr>
          <w:rFonts w:hint="eastAsia" w:ascii="宋体" w:hAnsi="宋体" w:eastAsia="宋体" w:cs="宋体"/>
          <w:color w:val="auto"/>
          <w:sz w:val="24"/>
          <w:szCs w:val="24"/>
          <w:highlight w:val="none"/>
          <w:lang w:val="zh-CN" w:eastAsia="zh-CN" w:bidi="ar-SA"/>
        </w:rPr>
        <w:t>供货并安装</w:t>
      </w:r>
      <w:r>
        <w:rPr>
          <w:rFonts w:hint="eastAsia" w:ascii="宋体" w:hAnsi="宋体" w:eastAsia="宋体" w:cs="宋体"/>
          <w:color w:val="auto"/>
          <w:sz w:val="24"/>
          <w:szCs w:val="24"/>
          <w:highlight w:val="none"/>
          <w:lang w:val="en-US" w:eastAsia="zh-CN" w:bidi="ar-SA"/>
        </w:rPr>
        <w:t>调试</w:t>
      </w:r>
      <w:r>
        <w:rPr>
          <w:rFonts w:hint="eastAsia" w:ascii="宋体" w:hAnsi="宋体" w:eastAsia="宋体" w:cs="宋体"/>
          <w:color w:val="auto"/>
          <w:sz w:val="24"/>
          <w:szCs w:val="24"/>
          <w:highlight w:val="none"/>
          <w:lang w:val="zh-CN" w:eastAsia="zh-CN" w:bidi="ar-SA"/>
        </w:rPr>
        <w:t>结束，</w:t>
      </w:r>
      <w:r>
        <w:rPr>
          <w:rFonts w:hint="eastAsia" w:ascii="宋体" w:hAnsi="宋体" w:eastAsia="宋体" w:cs="宋体"/>
          <w:color w:val="auto"/>
          <w:sz w:val="24"/>
          <w:szCs w:val="24"/>
          <w:highlight w:val="none"/>
          <w:lang w:val="en-US" w:eastAsia="zh-CN" w:bidi="ar-SA"/>
        </w:rPr>
        <w:t>在乙方向甲方提供下列单据（a、b）后30日内，无任何异议情况下甲方向乙方一次支付合同货款总价的30%；试运行完成，项目通过整体验收合格并交付使用后，由乙方提前向甲方提供下列单据（b、c、d）后30日内，无任何异议情况下由甲方向乙方支付合同货款总价的60%；整个项目验收合格且正常运行12个月后无质量问题，甲方向乙方支付本项目合同总价的10%。</w:t>
      </w:r>
    </w:p>
    <w:p w14:paraId="6ACBA27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乙方在申请付款时向甲方提供以下凭据：</w:t>
      </w:r>
    </w:p>
    <w:p w14:paraId="062A582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a、《初验报告》；</w:t>
      </w:r>
    </w:p>
    <w:p w14:paraId="11EDC19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b、符合甲方财务要求开具的合法正规的增值税普通发票；</w:t>
      </w:r>
    </w:p>
    <w:p w14:paraId="0822B59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c、《项目验收报告》；</w:t>
      </w:r>
    </w:p>
    <w:p w14:paraId="6F0A43D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bidi="ar-SA"/>
        </w:rPr>
      </w:pPr>
      <w:r>
        <w:rPr>
          <w:rFonts w:hint="eastAsia" w:ascii="宋体" w:hAnsi="宋体" w:cs="宋体"/>
          <w:color w:val="auto"/>
          <w:sz w:val="24"/>
          <w:szCs w:val="24"/>
          <w:highlight w:val="none"/>
          <w:lang w:val="en-US" w:eastAsia="zh-CN" w:bidi="ar-SA"/>
        </w:rPr>
        <w:t>d</w:t>
      </w:r>
      <w:r>
        <w:rPr>
          <w:rFonts w:hint="eastAsia" w:ascii="宋体" w:hAnsi="宋体" w:eastAsia="宋体" w:cs="宋体"/>
          <w:color w:val="auto"/>
          <w:sz w:val="24"/>
          <w:szCs w:val="24"/>
          <w:highlight w:val="none"/>
          <w:lang w:val="en-US" w:eastAsia="zh-CN" w:bidi="ar-SA"/>
        </w:rPr>
        <w:t>、其他(若有)。</w:t>
      </w:r>
    </w:p>
    <w:p w14:paraId="259C159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highlight w:val="none"/>
          <w:lang w:val="zh-CN" w:eastAsia="zh-CN" w:bidi="ar-SA"/>
        </w:rPr>
        <w:t>3、付款方式：银行汇票或银行转账。</w:t>
      </w:r>
    </w:p>
    <w:p w14:paraId="76618026">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zh-CN" w:eastAsia="zh-CN" w:bidi="ar-SA"/>
        </w:rPr>
      </w:pPr>
      <w:r>
        <w:rPr>
          <w:rFonts w:hint="eastAsia" w:ascii="宋体" w:hAnsi="宋体" w:eastAsia="宋体" w:cs="宋体"/>
          <w:b/>
          <w:bCs/>
          <w:color w:val="auto"/>
          <w:sz w:val="24"/>
          <w:szCs w:val="24"/>
          <w:lang w:val="zh-CN" w:eastAsia="zh-CN" w:bidi="ar-SA"/>
        </w:rPr>
        <w:t>三、质量与验收：</w:t>
      </w:r>
    </w:p>
    <w:p w14:paraId="73B0308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1、乙方应按照招投标文件的相关要求招投标文件提供合格产品；</w:t>
      </w:r>
    </w:p>
    <w:p w14:paraId="18CB2EA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2、产品质量出现问题或使用过程中出现故障等，乙方负责及时包修、包退、包换或全新替代设备、确保甲方正常运营，费用均由乙方承担；</w:t>
      </w:r>
    </w:p>
    <w:p w14:paraId="1C1A1B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3、产品的验收包括：数量、外观、质量、性能、质保单、品牌标志、包装和乙方承诺的其它指标；验收后使用阶段，甲方仍有权按本合同（一）合同一般条款</w:t>
      </w:r>
      <w:r>
        <w:rPr>
          <w:rFonts w:hint="eastAsia" w:ascii="宋体" w:hAnsi="宋体" w:eastAsia="宋体" w:cs="宋体"/>
          <w:color w:val="auto"/>
          <w:sz w:val="24"/>
          <w:szCs w:val="24"/>
          <w:lang w:eastAsia="zh-CN" w:bidi="ar-SA"/>
        </w:rPr>
        <w:t>中</w:t>
      </w:r>
      <w:r>
        <w:rPr>
          <w:rFonts w:hint="eastAsia" w:ascii="宋体" w:hAnsi="宋体" w:eastAsia="宋体" w:cs="宋体"/>
          <w:color w:val="auto"/>
          <w:sz w:val="24"/>
          <w:szCs w:val="24"/>
          <w:lang w:val="zh-CN" w:eastAsia="zh-CN" w:bidi="ar-SA"/>
        </w:rPr>
        <w:t>第二条及第四条等约定主张各项权利。</w:t>
      </w:r>
    </w:p>
    <w:p w14:paraId="660C322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4、验收标准：根据招投标文件要求及有关规定并按国家最新行业标准确保甲方验收通过；</w:t>
      </w:r>
    </w:p>
    <w:p w14:paraId="73C8F2E6">
      <w:pPr>
        <w:pStyle w:val="2"/>
        <w:rPr>
          <w:rFonts w:hint="default"/>
          <w:lang w:val="en-US" w:eastAsia="zh-CN"/>
        </w:rPr>
      </w:pPr>
      <w:r>
        <w:rPr>
          <w:rFonts w:hint="eastAsia"/>
          <w:lang w:val="en-US" w:eastAsia="zh-CN"/>
        </w:rPr>
        <w:t>5、验收时间：</w:t>
      </w:r>
      <w:r>
        <w:rPr>
          <w:rFonts w:hint="eastAsia" w:ascii="宋体" w:hAnsi="宋体" w:eastAsia="宋体" w:cs="宋体"/>
          <w:color w:val="auto"/>
          <w:sz w:val="24"/>
          <w:szCs w:val="24"/>
          <w:highlight w:val="none"/>
          <w:lang w:val="zh-CN" w:eastAsia="zh-CN" w:bidi="ar-SA"/>
        </w:rPr>
        <w:t>完成</w:t>
      </w:r>
      <w:r>
        <w:rPr>
          <w:rFonts w:hint="eastAsia" w:ascii="宋体" w:hAnsi="宋体" w:eastAsia="宋体" w:cs="宋体"/>
          <w:color w:val="auto"/>
          <w:sz w:val="24"/>
          <w:szCs w:val="24"/>
          <w:highlight w:val="none"/>
          <w:lang w:val="en-US" w:eastAsia="zh-CN" w:bidi="ar-SA"/>
        </w:rPr>
        <w:t>全部</w:t>
      </w:r>
      <w:r>
        <w:rPr>
          <w:rFonts w:hint="eastAsia" w:ascii="宋体" w:hAnsi="宋体" w:eastAsia="宋体" w:cs="宋体"/>
          <w:color w:val="auto"/>
          <w:sz w:val="24"/>
          <w:szCs w:val="24"/>
          <w:highlight w:val="none"/>
          <w:lang w:val="zh-CN" w:eastAsia="zh-CN" w:bidi="ar-SA"/>
        </w:rPr>
        <w:t>供货并安装</w:t>
      </w:r>
      <w:r>
        <w:rPr>
          <w:rFonts w:hint="eastAsia" w:ascii="宋体" w:hAnsi="宋体" w:eastAsia="宋体" w:cs="宋体"/>
          <w:color w:val="auto"/>
          <w:sz w:val="24"/>
          <w:szCs w:val="24"/>
          <w:highlight w:val="none"/>
          <w:lang w:val="en-US" w:eastAsia="zh-CN" w:bidi="ar-SA"/>
        </w:rPr>
        <w:t>调试</w:t>
      </w:r>
      <w:r>
        <w:rPr>
          <w:rFonts w:hint="eastAsia" w:ascii="宋体" w:hAnsi="宋体" w:eastAsia="宋体" w:cs="宋体"/>
          <w:color w:val="auto"/>
          <w:sz w:val="24"/>
          <w:szCs w:val="24"/>
          <w:highlight w:val="none"/>
          <w:lang w:val="zh-CN" w:eastAsia="zh-CN" w:bidi="ar-SA"/>
        </w:rPr>
        <w:t>结束</w:t>
      </w:r>
      <w:r>
        <w:rPr>
          <w:rFonts w:hint="eastAsia"/>
          <w:lang w:val="en-US" w:eastAsia="zh-CN"/>
        </w:rPr>
        <w:t>后，</w:t>
      </w:r>
      <w:r>
        <w:rPr>
          <w:rFonts w:hint="eastAsia"/>
        </w:rPr>
        <w:t>试运行1个月结束无质量问题</w:t>
      </w:r>
      <w:r>
        <w:rPr>
          <w:rFonts w:hint="eastAsia"/>
          <w:lang w:eastAsia="zh-CN"/>
        </w:rPr>
        <w:t>，</w:t>
      </w:r>
      <w:r>
        <w:rPr>
          <w:rFonts w:hint="eastAsia"/>
          <w:lang w:val="en-US" w:eastAsia="zh-CN"/>
        </w:rPr>
        <w:t>30天内组织验收。</w:t>
      </w:r>
    </w:p>
    <w:p w14:paraId="2B7FB3D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cs="宋体"/>
          <w:color w:val="auto"/>
          <w:sz w:val="24"/>
          <w:szCs w:val="24"/>
          <w:lang w:val="en-US" w:eastAsia="zh-CN" w:bidi="ar-SA"/>
        </w:rPr>
        <w:t>6</w:t>
      </w:r>
      <w:r>
        <w:rPr>
          <w:rFonts w:hint="eastAsia" w:ascii="宋体" w:hAnsi="宋体" w:eastAsia="宋体" w:cs="宋体"/>
          <w:color w:val="auto"/>
          <w:sz w:val="24"/>
          <w:szCs w:val="24"/>
          <w:lang w:val="zh-CN" w:eastAsia="zh-CN" w:bidi="ar-SA"/>
        </w:rPr>
        <w:t>、乙方交付及验收前均应先用书面等方式通告甲方。</w:t>
      </w:r>
    </w:p>
    <w:p w14:paraId="63A9A466">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lang w:val="zh-CN" w:eastAsia="zh-CN" w:bidi="ar-SA"/>
        </w:rPr>
      </w:pPr>
      <w:r>
        <w:rPr>
          <w:rFonts w:hint="eastAsia" w:ascii="宋体" w:hAnsi="宋体" w:eastAsia="宋体" w:cs="宋体"/>
          <w:b/>
          <w:bCs/>
          <w:color w:val="auto"/>
          <w:sz w:val="24"/>
          <w:szCs w:val="24"/>
          <w:lang w:val="zh-CN" w:eastAsia="zh-CN" w:bidi="ar-SA"/>
        </w:rPr>
        <w:t>四、售后服务</w:t>
      </w:r>
      <w:r>
        <w:rPr>
          <w:rFonts w:hint="eastAsia" w:ascii="宋体" w:hAnsi="宋体" w:eastAsia="宋体" w:cs="宋体"/>
          <w:color w:val="auto"/>
          <w:sz w:val="24"/>
          <w:szCs w:val="24"/>
          <w:lang w:val="zh-CN" w:eastAsia="zh-CN" w:bidi="ar-SA"/>
        </w:rPr>
        <w:t>（乙方承诺严格按招投标文件等“售后服务要求”提供全部服务；售后服务费用已包括</w:t>
      </w:r>
      <w:r>
        <w:rPr>
          <w:rFonts w:hint="eastAsia" w:ascii="宋体" w:hAnsi="宋体" w:eastAsia="宋体" w:cs="宋体"/>
          <w:color w:val="auto"/>
          <w:sz w:val="24"/>
          <w:szCs w:val="24"/>
          <w:highlight w:val="none"/>
          <w:lang w:val="zh-CN" w:eastAsia="zh-CN" w:bidi="ar-SA"/>
        </w:rPr>
        <w:t>在总费用内，甲方无须另行支付其他任何费用）</w:t>
      </w:r>
      <w:r>
        <w:rPr>
          <w:rFonts w:hint="eastAsia" w:ascii="宋体" w:hAnsi="宋体" w:eastAsia="宋体" w:cs="宋体"/>
          <w:b/>
          <w:bCs/>
          <w:color w:val="auto"/>
          <w:sz w:val="24"/>
          <w:szCs w:val="24"/>
          <w:highlight w:val="none"/>
          <w:lang w:val="zh-CN" w:eastAsia="zh-CN" w:bidi="ar-SA"/>
        </w:rPr>
        <w:t>：</w:t>
      </w:r>
    </w:p>
    <w:p w14:paraId="5DB9AA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color w:val="auto"/>
          <w:sz w:val="24"/>
          <w:szCs w:val="24"/>
          <w:highlight w:val="none"/>
          <w:lang w:val="zh-CN" w:eastAsia="zh-CN" w:bidi="ar-SA"/>
        </w:rPr>
        <w:t>1、质保期：</w:t>
      </w:r>
      <w:r>
        <w:rPr>
          <w:rFonts w:hint="eastAsia" w:ascii="宋体" w:hAnsi="宋体" w:eastAsia="宋体" w:cs="宋体"/>
          <w:b w:val="0"/>
          <w:bCs w:val="0"/>
          <w:sz w:val="24"/>
          <w:szCs w:val="24"/>
          <w:highlight w:val="none"/>
          <w:lang w:val="en-US" w:eastAsia="zh-CN"/>
        </w:rPr>
        <w:t>乙方</w:t>
      </w:r>
      <w:r>
        <w:rPr>
          <w:rFonts w:hint="eastAsia" w:ascii="宋体" w:hAnsi="宋体" w:eastAsia="宋体" w:cs="宋体"/>
          <w:b w:val="0"/>
          <w:bCs w:val="0"/>
          <w:color w:val="auto"/>
          <w:sz w:val="24"/>
          <w:szCs w:val="24"/>
          <w:highlight w:val="none"/>
          <w:lang w:val="zh-CN" w:eastAsia="zh-CN" w:bidi="ar-SA"/>
        </w:rPr>
        <w:t>承诺</w:t>
      </w:r>
      <w:r>
        <w:rPr>
          <w:rFonts w:hint="eastAsia" w:ascii="宋体" w:hAnsi="宋体" w:eastAsia="宋体" w:cs="宋体"/>
          <w:b w:val="0"/>
          <w:bCs w:val="0"/>
          <w:color w:val="auto"/>
          <w:sz w:val="24"/>
          <w:szCs w:val="24"/>
          <w:highlight w:val="none"/>
          <w:lang w:val="en-US" w:eastAsia="zh-CN" w:bidi="ar-SA"/>
        </w:rPr>
        <w:t>硬件部分（患者签名移动平板）及患者签名授权服务</w:t>
      </w:r>
      <w:r>
        <w:rPr>
          <w:rFonts w:hint="eastAsia" w:ascii="宋体" w:hAnsi="宋体" w:eastAsia="宋体" w:cs="宋体"/>
          <w:b w:val="0"/>
          <w:bCs w:val="0"/>
          <w:color w:val="auto"/>
          <w:sz w:val="24"/>
          <w:szCs w:val="24"/>
          <w:highlight w:val="none"/>
          <w:lang w:val="zh-CN" w:eastAsia="zh-CN" w:bidi="ar-SA"/>
        </w:rPr>
        <w:t>提供</w:t>
      </w:r>
      <w:r>
        <w:rPr>
          <w:rFonts w:hint="eastAsia" w:ascii="宋体" w:hAnsi="宋体" w:eastAsia="宋体" w:cs="宋体"/>
          <w:b w:val="0"/>
          <w:bCs w:val="0"/>
          <w:color w:val="auto"/>
          <w:sz w:val="24"/>
          <w:szCs w:val="24"/>
          <w:highlight w:val="none"/>
          <w:lang w:val="en-US" w:eastAsia="zh-CN" w:bidi="ar-SA"/>
        </w:rPr>
        <w:t>原厂软硬件</w:t>
      </w:r>
      <w:r>
        <w:rPr>
          <w:rFonts w:hint="eastAsia" w:ascii="宋体" w:hAnsi="宋体" w:eastAsia="宋体" w:cs="宋体"/>
          <w:b w:val="0"/>
          <w:bCs w:val="0"/>
          <w:color w:val="auto"/>
          <w:sz w:val="24"/>
          <w:szCs w:val="24"/>
          <w:highlight w:val="none"/>
          <w:lang w:val="zh-CN" w:eastAsia="zh-CN" w:bidi="ar-SA"/>
        </w:rPr>
        <w:t>技术支持及质保</w:t>
      </w:r>
      <w:r>
        <w:rPr>
          <w:rFonts w:hint="eastAsia" w:ascii="宋体" w:hAnsi="宋体" w:eastAsia="宋体" w:cs="宋体"/>
          <w:b w:val="0"/>
          <w:bCs w:val="0"/>
          <w:color w:val="auto"/>
          <w:sz w:val="24"/>
          <w:szCs w:val="24"/>
          <w:highlight w:val="none"/>
          <w:lang w:val="en-US" w:eastAsia="zh-CN" w:bidi="ar-SA"/>
        </w:rPr>
        <w:t>3</w:t>
      </w:r>
      <w:r>
        <w:rPr>
          <w:rFonts w:hint="eastAsia" w:ascii="宋体" w:hAnsi="宋体" w:eastAsia="宋体" w:cs="宋体"/>
          <w:b w:val="0"/>
          <w:bCs w:val="0"/>
          <w:color w:val="auto"/>
          <w:sz w:val="24"/>
          <w:szCs w:val="24"/>
          <w:highlight w:val="none"/>
          <w:lang w:val="zh-CN" w:eastAsia="zh-CN" w:bidi="ar-SA"/>
        </w:rPr>
        <w:t>年，终身</w:t>
      </w:r>
      <w:r>
        <w:rPr>
          <w:rFonts w:hint="eastAsia" w:ascii="宋体" w:hAnsi="宋体" w:eastAsia="宋体" w:cs="宋体"/>
          <w:b w:val="0"/>
          <w:bCs w:val="0"/>
          <w:color w:val="auto"/>
          <w:sz w:val="24"/>
          <w:szCs w:val="24"/>
          <w:highlight w:val="none"/>
          <w:lang w:val="en-US" w:eastAsia="zh-CN" w:bidi="ar-SA"/>
        </w:rPr>
        <w:t>维护</w:t>
      </w:r>
      <w:r>
        <w:rPr>
          <w:rFonts w:hint="eastAsia" w:ascii="宋体" w:hAnsi="宋体" w:eastAsia="宋体" w:cs="宋体"/>
          <w:b w:val="0"/>
          <w:bCs w:val="0"/>
          <w:color w:val="auto"/>
          <w:sz w:val="24"/>
          <w:szCs w:val="24"/>
          <w:highlight w:val="none"/>
          <w:lang w:val="zh-CN" w:eastAsia="zh-CN" w:bidi="ar-SA"/>
        </w:rPr>
        <w:t>；个人数字证书更新</w:t>
      </w:r>
      <w:r>
        <w:rPr>
          <w:rFonts w:hint="eastAsia" w:ascii="宋体" w:hAnsi="宋体" w:eastAsia="宋体" w:cs="宋体"/>
          <w:b w:val="0"/>
          <w:bCs w:val="0"/>
          <w:color w:val="auto"/>
          <w:sz w:val="24"/>
          <w:szCs w:val="24"/>
          <w:highlight w:val="none"/>
          <w:lang w:val="en-US" w:eastAsia="zh-CN" w:bidi="ar-SA"/>
        </w:rPr>
        <w:t>及设备证书更新服务提供1年免费质保服务，质保期内，所有软件免费维护升级。</w:t>
      </w:r>
      <w:r>
        <w:rPr>
          <w:rFonts w:hint="eastAsia" w:ascii="宋体" w:hAnsi="宋体" w:eastAsia="宋体" w:cs="宋体"/>
          <w:b w:val="0"/>
          <w:bCs w:val="0"/>
          <w:sz w:val="24"/>
          <w:szCs w:val="24"/>
          <w:highlight w:val="none"/>
          <w:lang w:val="en-US" w:eastAsia="zh-CN"/>
        </w:rPr>
        <w:t>（质保期自甲方验收合格日起计算；合同期间若发生退回、维修或设备替换等情形，质保期自发生之日起，至标的物恢复正常使用之日止，停止计算。）在免费维护期内，乙方应成立专门的技术支持和售后服务小组，提供完善周到的本地化服务，提供7*24小时免费维修服务热线，设备（含软件、电脑系统&lt;如有&gt;）一旦发生故障，报修后30分钟响应，48小时内到达现场，72小时内排除故障，72小时内无法排除故障的，须允诺提供备用设备，具体赔偿条件：72小时内设备未能修复、不能正常运行时，每超过1天免费质保期延长1周。</w:t>
      </w:r>
    </w:p>
    <w:p w14:paraId="12D9B1F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 xml:space="preserve">2、提供专业的技术培训（操作、维修），保证甲方操作人员正常使用设备的各项功能。 </w:t>
      </w:r>
    </w:p>
    <w:p w14:paraId="4244615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3、在质保期内，乙方承诺无偿并迅速更换由于元器件缺陷及工艺等问题而发生故障的产品，并对因维修、保养，更换零部件等所发生的一切费用，均由乙方承担。</w:t>
      </w:r>
    </w:p>
    <w:p w14:paraId="06D566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4、如有其他项目需乙方配合完成，乙方须无条件派相关工程师现场配合，直至该项目完成，对此甲方无须承担任何费用。</w:t>
      </w:r>
    </w:p>
    <w:p w14:paraId="0C4CDE2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lang w:val="zh-CN" w:eastAsia="zh-CN" w:bidi="ar-SA"/>
        </w:rPr>
        <w:t>5、设备如涉及配件、易损件等，乙方须向甲方在投标文件中详细提供设备涉及的所有配件、易损件名称、价格。成交后如出现未在投标文件所列的配件、易损件等，乙方均应负责免费使</w:t>
      </w:r>
      <w:r>
        <w:rPr>
          <w:rFonts w:hint="eastAsia" w:ascii="宋体" w:hAnsi="宋体" w:eastAsia="宋体" w:cs="宋体"/>
          <w:color w:val="auto"/>
          <w:sz w:val="24"/>
          <w:szCs w:val="24"/>
          <w:highlight w:val="none"/>
          <w:lang w:val="zh-CN" w:eastAsia="zh-CN" w:bidi="ar-SA"/>
        </w:rPr>
        <w:t>用或更换等，此报价5年内不得提高；配件的供给，乙方承诺给予保障8年以上。</w:t>
      </w:r>
    </w:p>
    <w:p w14:paraId="416BD6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highlight w:val="none"/>
          <w:lang w:val="zh-CN" w:eastAsia="zh-CN" w:bidi="ar-SA"/>
        </w:rPr>
        <w:t>6、质保期后维保价格不超过</w:t>
      </w:r>
      <w:r>
        <w:rPr>
          <w:rFonts w:hint="eastAsia" w:ascii="宋体" w:hAnsi="宋体" w:cs="宋体"/>
          <w:color w:val="auto"/>
          <w:sz w:val="24"/>
          <w:szCs w:val="24"/>
          <w:highlight w:val="none"/>
          <w:lang w:val="en-US" w:eastAsia="zh-CN" w:bidi="ar-SA"/>
        </w:rPr>
        <w:t>产品</w:t>
      </w:r>
      <w:r>
        <w:rPr>
          <w:rFonts w:hint="eastAsia" w:ascii="宋体" w:hAnsi="宋体" w:eastAsia="宋体" w:cs="宋体"/>
          <w:color w:val="auto"/>
          <w:sz w:val="24"/>
          <w:szCs w:val="24"/>
          <w:highlight w:val="none"/>
          <w:lang w:val="zh-CN" w:eastAsia="zh-CN" w:bidi="ar-SA"/>
        </w:rPr>
        <w:t>总价的5%；免费质保期后，甲方可以在任意年度或时间段购买、投保，没有连续续签的要求，乙方对此予以认可及接受、并承担设备更新迭代的相关费用。</w:t>
      </w:r>
    </w:p>
    <w:p w14:paraId="362334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highlight w:val="none"/>
          <w:lang w:val="zh-CN" w:eastAsia="zh-CN" w:bidi="ar-SA"/>
        </w:rPr>
        <w:t>7、乙方应提供软件版本免费升级服务（在不涉及硬件情况下）。</w:t>
      </w:r>
    </w:p>
    <w:p w14:paraId="051737A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highlight w:val="none"/>
          <w:lang w:val="zh-CN" w:eastAsia="zh-CN" w:bidi="ar-SA"/>
        </w:rPr>
        <w:t>乙方不得以“密码”制约用户。如用户工作和维修需要，应无条件免费开放密码。</w:t>
      </w:r>
    </w:p>
    <w:p w14:paraId="250C1CD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highlight w:val="none"/>
          <w:lang w:val="zh-CN" w:eastAsia="zh-CN" w:bidi="ar-SA"/>
        </w:rPr>
        <w:t>乙方产品对甲方以后设备、系统永久无偿开放。</w:t>
      </w:r>
    </w:p>
    <w:p w14:paraId="2110FA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如发生乙方怠于提供上述义务而导致甲方损失等,甲方有权要求乙方予以赔偿。</w:t>
      </w:r>
    </w:p>
    <w:p w14:paraId="60CB878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特别约定：鉴于各类技术的快速发展以及甲方自身各类发展需求，乙方应无条件向甲方开放或提供各类端口或信息采集口，对此乙方予以再次确认且无权收取任何费用。如乙方不予配合，则甲方有权直接终止本合同并有权按本合同（一）合同一般条款</w:t>
      </w:r>
      <w:r>
        <w:rPr>
          <w:rFonts w:hint="eastAsia" w:ascii="宋体" w:hAnsi="宋体" w:eastAsia="宋体" w:cs="宋体"/>
          <w:color w:val="auto"/>
          <w:sz w:val="24"/>
          <w:szCs w:val="24"/>
          <w:lang w:eastAsia="zh-CN" w:bidi="ar-SA"/>
        </w:rPr>
        <w:t>中</w:t>
      </w:r>
      <w:r>
        <w:rPr>
          <w:rFonts w:hint="eastAsia" w:ascii="宋体" w:hAnsi="宋体" w:eastAsia="宋体" w:cs="宋体"/>
          <w:color w:val="auto"/>
          <w:sz w:val="24"/>
          <w:szCs w:val="24"/>
          <w:lang w:val="zh-CN" w:eastAsia="zh-CN" w:bidi="ar-SA"/>
        </w:rPr>
        <w:t>第六条的约定主张全部违约责任。</w:t>
      </w:r>
    </w:p>
    <w:p w14:paraId="41D25FA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8、甲方如有其他项目需乙方配合完成，乙方须无条件免费派相关工程师现场配合，直至该项目完成。</w:t>
      </w:r>
    </w:p>
    <w:p w14:paraId="5E211272">
      <w:pPr>
        <w:pStyle w:val="2"/>
        <w:rPr>
          <w:rFonts w:hint="default"/>
          <w:lang w:val="en-US" w:eastAsia="zh-CN"/>
        </w:rPr>
      </w:pPr>
      <w:r>
        <w:rPr>
          <w:rFonts w:hint="eastAsia"/>
          <w:lang w:val="en-US" w:eastAsia="zh-CN"/>
        </w:rPr>
        <w:t>9、招标文件的售后服务要求或乙方投标书或其他承诺优于本合同的，按照招标文件和乙方在投标书或其他文件中承诺的服务标准执行。</w:t>
      </w:r>
    </w:p>
    <w:p w14:paraId="6C2273A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zh-CN" w:eastAsia="zh-CN" w:bidi="ar-SA"/>
        </w:rPr>
      </w:pPr>
      <w:r>
        <w:rPr>
          <w:rFonts w:hint="eastAsia" w:ascii="宋体" w:hAnsi="宋体" w:eastAsia="宋体" w:cs="宋体"/>
          <w:b/>
          <w:bCs/>
          <w:color w:val="auto"/>
          <w:sz w:val="24"/>
          <w:szCs w:val="24"/>
          <w:lang w:val="zh-CN" w:eastAsia="zh-CN" w:bidi="ar-SA"/>
        </w:rPr>
        <w:t>五、交货</w:t>
      </w:r>
    </w:p>
    <w:p w14:paraId="66B5EEC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1、交货要求：在合同签订生效后</w:t>
      </w:r>
      <w:r>
        <w:rPr>
          <w:rFonts w:hint="eastAsia" w:ascii="宋体" w:hAnsi="宋体" w:cs="宋体"/>
          <w:color w:val="auto"/>
          <w:sz w:val="24"/>
          <w:szCs w:val="24"/>
          <w:lang w:val="en-US" w:eastAsia="zh-CN" w:bidi="ar-SA"/>
        </w:rPr>
        <w:t>一个月</w:t>
      </w:r>
      <w:r>
        <w:rPr>
          <w:rFonts w:hint="eastAsia" w:ascii="宋体" w:hAnsi="宋体" w:eastAsia="宋体" w:cs="宋体"/>
          <w:color w:val="auto"/>
          <w:sz w:val="24"/>
          <w:szCs w:val="24"/>
          <w:lang w:val="zh-CN" w:eastAsia="zh-CN" w:bidi="ar-SA"/>
        </w:rPr>
        <w:t>内送货并安装调试完成。</w:t>
      </w:r>
    </w:p>
    <w:p w14:paraId="2BDCFA0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2、交货地点：甲方指定地点。</w:t>
      </w:r>
    </w:p>
    <w:p w14:paraId="7A45B68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3、乙方须在交货时向甲方出具满足质保期要求的原厂质保证明文件，否则甲方有权终止合同并由乙方承担因此带来的一切损失。</w:t>
      </w:r>
    </w:p>
    <w:p w14:paraId="41BF843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zh-CN" w:eastAsia="zh-CN" w:bidi="ar-SA"/>
        </w:rPr>
      </w:pPr>
      <w:r>
        <w:rPr>
          <w:rFonts w:hint="eastAsia" w:ascii="宋体" w:hAnsi="宋体" w:eastAsia="宋体" w:cs="宋体"/>
          <w:b/>
          <w:bCs/>
          <w:color w:val="auto"/>
          <w:sz w:val="24"/>
          <w:szCs w:val="24"/>
          <w:lang w:val="zh-CN" w:eastAsia="zh-CN" w:bidi="ar-SA"/>
        </w:rPr>
        <w:t>六、违约责任：</w:t>
      </w:r>
    </w:p>
    <w:p w14:paraId="562C4CC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违约责任按合同一般条款第六条执行。</w:t>
      </w:r>
    </w:p>
    <w:p w14:paraId="32C2859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zh-CN"/>
        </w:rPr>
      </w:pPr>
      <w:r>
        <w:rPr>
          <w:rFonts w:hint="eastAsia" w:ascii="宋体" w:hAnsi="宋体" w:eastAsia="宋体" w:cs="宋体"/>
          <w:b/>
          <w:bCs/>
          <w:color w:val="auto"/>
          <w:sz w:val="24"/>
          <w:szCs w:val="24"/>
          <w:lang w:val="zh-CN" w:eastAsia="zh-CN" w:bidi="ar-SA"/>
        </w:rPr>
        <w:t>七、争议解决办法：</w:t>
      </w:r>
    </w:p>
    <w:p w14:paraId="36F00CB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lang w:val="zh-CN" w:eastAsia="zh-CN" w:bidi="ar-SA"/>
        </w:rPr>
        <w:t>若因本合同或与本合同有关的一切事项发生争议，首先由双方友好协商解决。如协商不成的，任何一方均可向甲方所在地的人民法院起诉。</w:t>
      </w:r>
    </w:p>
    <w:p w14:paraId="56B3870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zh-CN" w:eastAsia="zh-CN" w:bidi="ar-SA"/>
        </w:rPr>
      </w:pPr>
      <w:r>
        <w:rPr>
          <w:rFonts w:hint="eastAsia" w:ascii="宋体" w:hAnsi="宋体" w:eastAsia="宋体" w:cs="宋体"/>
          <w:b/>
          <w:bCs/>
          <w:color w:val="auto"/>
          <w:sz w:val="24"/>
          <w:szCs w:val="24"/>
          <w:lang w:eastAsia="zh-CN" w:bidi="ar-SA"/>
        </w:rPr>
        <w:t>八</w:t>
      </w:r>
      <w:r>
        <w:rPr>
          <w:rFonts w:hint="eastAsia" w:ascii="宋体" w:hAnsi="宋体" w:eastAsia="宋体" w:cs="宋体"/>
          <w:b/>
          <w:bCs/>
          <w:color w:val="auto"/>
          <w:sz w:val="24"/>
          <w:szCs w:val="24"/>
          <w:lang w:val="zh-CN" w:eastAsia="zh-CN" w:bidi="ar-SA"/>
        </w:rPr>
        <w:t>、合同生效及其它：</w:t>
      </w:r>
    </w:p>
    <w:p w14:paraId="509482C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zh-CN" w:eastAsia="zh-CN" w:bidi="ar-SA"/>
        </w:rPr>
      </w:pPr>
      <w:r>
        <w:rPr>
          <w:rFonts w:hint="eastAsia" w:ascii="宋体" w:hAnsi="宋体" w:eastAsia="宋体" w:cs="宋体"/>
          <w:color w:val="auto"/>
          <w:sz w:val="24"/>
          <w:szCs w:val="24"/>
          <w:lang w:val="zh-CN" w:eastAsia="zh-CN" w:bidi="ar-SA"/>
        </w:rPr>
        <w:t>1、</w:t>
      </w:r>
      <w:r>
        <w:rPr>
          <w:rFonts w:hint="eastAsia" w:ascii="宋体" w:hAnsi="宋体" w:eastAsia="宋体" w:cs="宋体"/>
          <w:color w:val="auto"/>
          <w:sz w:val="24"/>
          <w:szCs w:val="24"/>
          <w:lang w:eastAsia="zh-CN" w:bidi="ar-SA"/>
        </w:rPr>
        <w:t>本合同经双方法定(授权)代表人签字(或盖章)并盖单位公章(合同章)后生效。</w:t>
      </w:r>
      <w:r>
        <w:rPr>
          <w:rFonts w:hint="eastAsia" w:ascii="宋体" w:hAnsi="宋体" w:eastAsia="宋体" w:cs="宋体"/>
          <w:color w:val="auto"/>
          <w:sz w:val="24"/>
          <w:szCs w:val="24"/>
          <w:lang w:val="zh-CN" w:eastAsia="zh-CN" w:bidi="ar-SA"/>
        </w:rPr>
        <w:t>本合同</w:t>
      </w:r>
      <w:r>
        <w:rPr>
          <w:rFonts w:hint="eastAsia" w:ascii="宋体" w:hAnsi="宋体" w:eastAsia="宋体" w:cs="宋体"/>
          <w:color w:val="000000"/>
          <w:kern w:val="0"/>
          <w:sz w:val="24"/>
          <w:szCs w:val="24"/>
          <w:highlight w:val="none"/>
          <w:u w:val="none"/>
        </w:rPr>
        <w:t>一式</w:t>
      </w:r>
      <w:r>
        <w:rPr>
          <w:rFonts w:hint="eastAsia" w:ascii="宋体" w:hAnsi="宋体" w:cs="宋体"/>
          <w:color w:val="000000"/>
          <w:kern w:val="0"/>
          <w:sz w:val="24"/>
          <w:szCs w:val="24"/>
          <w:highlight w:val="none"/>
          <w:u w:val="single"/>
          <w:lang w:val="en-US" w:eastAsia="zh-CN"/>
        </w:rPr>
        <w:t xml:space="preserve"> </w:t>
      </w:r>
      <w:r>
        <w:rPr>
          <w:rFonts w:hint="eastAsia" w:ascii="宋体" w:hAnsi="宋体" w:eastAsia="宋体" w:cs="宋体"/>
          <w:color w:val="000000"/>
          <w:kern w:val="0"/>
          <w:sz w:val="24"/>
          <w:szCs w:val="24"/>
          <w:highlight w:val="none"/>
          <w:u w:val="single"/>
        </w:rPr>
        <w:t xml:space="preserve">陆 </w:t>
      </w:r>
      <w:r>
        <w:rPr>
          <w:rFonts w:hint="eastAsia" w:ascii="宋体" w:hAnsi="宋体" w:eastAsia="宋体" w:cs="宋体"/>
          <w:color w:val="000000"/>
          <w:kern w:val="0"/>
          <w:sz w:val="24"/>
          <w:szCs w:val="24"/>
          <w:highlight w:val="none"/>
          <w:u w:val="none"/>
        </w:rPr>
        <w:t>份，甲方</w:t>
      </w:r>
      <w:r>
        <w:rPr>
          <w:rFonts w:hint="eastAsia" w:ascii="宋体" w:hAnsi="宋体" w:eastAsia="宋体" w:cs="宋体"/>
          <w:color w:val="000000"/>
          <w:kern w:val="0"/>
          <w:sz w:val="24"/>
          <w:szCs w:val="24"/>
          <w:highlight w:val="none"/>
          <w:u w:val="single"/>
        </w:rPr>
        <w:t xml:space="preserve"> 肆 </w:t>
      </w:r>
      <w:r>
        <w:rPr>
          <w:rFonts w:hint="eastAsia" w:ascii="宋体" w:hAnsi="宋体" w:eastAsia="宋体" w:cs="宋体"/>
          <w:color w:val="000000"/>
          <w:kern w:val="0"/>
          <w:sz w:val="24"/>
          <w:szCs w:val="24"/>
          <w:highlight w:val="none"/>
          <w:u w:val="none"/>
        </w:rPr>
        <w:t>份，乙方</w:t>
      </w:r>
      <w:r>
        <w:rPr>
          <w:rFonts w:hint="eastAsia" w:ascii="宋体" w:hAnsi="宋体" w:eastAsia="宋体" w:cs="宋体"/>
          <w:color w:val="000000"/>
          <w:kern w:val="0"/>
          <w:sz w:val="24"/>
          <w:szCs w:val="24"/>
          <w:highlight w:val="none"/>
          <w:u w:val="single"/>
        </w:rPr>
        <w:t xml:space="preserve"> 壹 </w:t>
      </w:r>
      <w:r>
        <w:rPr>
          <w:rFonts w:hint="eastAsia" w:ascii="宋体" w:hAnsi="宋体" w:eastAsia="宋体" w:cs="宋体"/>
          <w:color w:val="000000"/>
          <w:kern w:val="0"/>
          <w:sz w:val="24"/>
          <w:szCs w:val="24"/>
          <w:highlight w:val="none"/>
          <w:u w:val="none"/>
        </w:rPr>
        <w:t>份，招标代理机构</w:t>
      </w:r>
      <w:r>
        <w:rPr>
          <w:rFonts w:hint="eastAsia" w:ascii="宋体" w:hAnsi="宋体" w:eastAsia="宋体" w:cs="宋体"/>
          <w:color w:val="000000"/>
          <w:kern w:val="0"/>
          <w:sz w:val="24"/>
          <w:szCs w:val="24"/>
          <w:highlight w:val="none"/>
          <w:u w:val="single"/>
        </w:rPr>
        <w:t xml:space="preserve"> 壹 </w:t>
      </w:r>
      <w:r>
        <w:rPr>
          <w:rFonts w:hint="eastAsia" w:ascii="宋体" w:hAnsi="宋体" w:eastAsia="宋体" w:cs="宋体"/>
          <w:color w:val="000000"/>
          <w:kern w:val="0"/>
          <w:sz w:val="24"/>
          <w:szCs w:val="24"/>
          <w:highlight w:val="none"/>
          <w:u w:val="none"/>
        </w:rPr>
        <w:t>份</w:t>
      </w:r>
      <w:r>
        <w:rPr>
          <w:rFonts w:hint="eastAsia" w:ascii="宋体" w:hAnsi="宋体" w:cs="宋体"/>
          <w:color w:val="auto"/>
          <w:sz w:val="24"/>
          <w:szCs w:val="24"/>
          <w:highlight w:val="none"/>
          <w:lang w:val="zh-CN" w:eastAsia="zh-CN" w:bidi="ar-SA"/>
        </w:rPr>
        <w:t>，</w:t>
      </w:r>
      <w:r>
        <w:rPr>
          <w:rFonts w:hint="eastAsia" w:ascii="宋体" w:hAnsi="宋体" w:eastAsia="宋体" w:cs="宋体"/>
          <w:color w:val="000000"/>
          <w:kern w:val="0"/>
          <w:sz w:val="24"/>
          <w:szCs w:val="24"/>
          <w:highlight w:val="none"/>
          <w:u w:val="none"/>
        </w:rPr>
        <w:t>各份具有同等法律效力</w:t>
      </w:r>
      <w:r>
        <w:rPr>
          <w:rFonts w:hint="eastAsia" w:ascii="宋体" w:hAnsi="宋体" w:eastAsia="宋体" w:cs="宋体"/>
          <w:color w:val="auto"/>
          <w:sz w:val="24"/>
          <w:szCs w:val="24"/>
          <w:highlight w:val="none"/>
          <w:lang w:val="zh-CN" w:eastAsia="zh-CN" w:bidi="ar-SA"/>
        </w:rPr>
        <w:t>。</w:t>
      </w:r>
    </w:p>
    <w:p w14:paraId="09076C9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zh-CN" w:eastAsia="zh-CN" w:bidi="ar-SA"/>
        </w:rPr>
      </w:pPr>
      <w:r>
        <w:rPr>
          <w:rFonts w:hint="eastAsia" w:ascii="宋体" w:hAnsi="宋体" w:eastAsia="宋体" w:cs="宋体"/>
          <w:color w:val="auto"/>
          <w:sz w:val="24"/>
          <w:szCs w:val="24"/>
          <w:highlight w:val="none"/>
          <w:lang w:val="zh-CN" w:eastAsia="zh-CN" w:bidi="ar-SA"/>
        </w:rPr>
        <w:t>2、本合同在执行过程中出现的未尽事宜，双方在不违背本合同和招标文件的原则下协商解决，协商一致后另行订立书面补充协议</w:t>
      </w:r>
      <w:r>
        <w:rPr>
          <w:rFonts w:hint="eastAsia" w:ascii="宋体" w:hAnsi="宋体" w:eastAsia="宋体" w:cs="宋体"/>
          <w:color w:val="auto"/>
          <w:sz w:val="24"/>
          <w:szCs w:val="24"/>
          <w:lang w:val="zh-CN" w:eastAsia="zh-CN" w:bidi="ar-SA"/>
        </w:rPr>
        <w:t>，作为本合同的附件，与本合同具有同等效力。</w:t>
      </w:r>
    </w:p>
    <w:p w14:paraId="587C1159">
      <w:pPr>
        <w:jc w:val="center"/>
        <w:rPr>
          <w:rFonts w:hint="eastAsia" w:ascii="宋体" w:hAnsi="宋体" w:cs="宋体"/>
          <w:sz w:val="24"/>
          <w:szCs w:val="24"/>
          <w:lang w:eastAsia="zh-CN"/>
        </w:rPr>
      </w:pPr>
      <w:r>
        <w:rPr>
          <w:rFonts w:hint="eastAsia" w:ascii="宋体" w:hAnsi="宋体" w:cs="宋体"/>
          <w:sz w:val="24"/>
          <w:szCs w:val="24"/>
          <w:lang w:eastAsia="zh-CN"/>
        </w:rPr>
        <w:t>【</w:t>
      </w:r>
      <w:r>
        <w:rPr>
          <w:rFonts w:hint="eastAsia" w:ascii="宋体" w:hAnsi="宋体" w:cs="宋体"/>
          <w:sz w:val="24"/>
          <w:szCs w:val="24"/>
          <w:lang w:val="en-US" w:eastAsia="zh-CN"/>
        </w:rPr>
        <w:t>以下无正文</w:t>
      </w:r>
      <w:r>
        <w:rPr>
          <w:rFonts w:hint="eastAsia" w:ascii="宋体" w:hAnsi="宋体" w:cs="宋体"/>
          <w:sz w:val="24"/>
          <w:szCs w:val="24"/>
          <w:lang w:eastAsia="zh-CN"/>
        </w:rPr>
        <w:t>】</w:t>
      </w:r>
    </w:p>
    <w:p w14:paraId="23F5937E">
      <w:pPr>
        <w:rPr>
          <w:rFonts w:hint="eastAsia" w:ascii="宋体" w:hAnsi="宋体" w:eastAsia="宋体" w:cs="宋体"/>
          <w:color w:val="000000"/>
          <w:kern w:val="0"/>
          <w:sz w:val="24"/>
          <w:szCs w:val="24"/>
          <w:highlight w:val="none"/>
          <w:lang w:bidi="en-US"/>
        </w:rPr>
      </w:pPr>
      <w:bookmarkStart w:id="2" w:name="_GoBack"/>
      <w:bookmarkEnd w:id="2"/>
    </w:p>
    <w:p w14:paraId="7A130939">
      <w:pPr>
        <w:pStyle w:val="21"/>
        <w:ind w:left="0" w:leftChars="0" w:firstLine="0" w:firstLineChars="0"/>
        <w:rPr>
          <w:rFonts w:hint="default" w:asciiTheme="minorEastAsia" w:hAnsiTheme="minorEastAsia" w:eastAsiaTheme="minorEastAsia" w:cstheme="minorEastAsia"/>
          <w:b/>
          <w:bCs/>
          <w:sz w:val="21"/>
          <w:szCs w:val="21"/>
          <w:lang w:val="en-US" w:eastAsia="zh-CN"/>
        </w:rPr>
      </w:pPr>
    </w:p>
    <w:sectPr>
      <w:headerReference r:id="rId3" w:type="default"/>
      <w:footerReference r:id="rId4"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ACF3C50" w:usb2="00000016" w:usb3="00000000" w:csb0="0004001F" w:csb1="00000000"/>
  </w:font>
  <w:font w:name="Calibri Light">
    <w:panose1 w:val="020F0302020204030204"/>
    <w:charset w:val="00"/>
    <w:family w:val="swiss"/>
    <w:pitch w:val="default"/>
    <w:sig w:usb0="E4002EFF" w:usb1="C000247B" w:usb2="00000009" w:usb3="00000000" w:csb0="200001FF" w:csb1="00000000"/>
  </w:font>
  <w:font w:name="楷体_GB2312">
    <w:altName w:val="微软雅黑"/>
    <w:panose1 w:val="00000000000000000000"/>
    <w:charset w:val="86"/>
    <w:family w:val="modern"/>
    <w:pitch w:val="default"/>
    <w:sig w:usb0="00000000" w:usb1="00000000" w:usb2="00000010" w:usb3="00000000" w:csb0="00040000" w:csb1="00000000"/>
  </w:font>
  <w:font w:name="仿宋_GB2312">
    <w:altName w:val="微软雅黑"/>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521F3">
    <w:pPr>
      <w:pStyle w:val="1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2B2C21">
                          <w:pPr>
                            <w:pStyle w:val="14"/>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32B2C21">
                    <w:pPr>
                      <w:pStyle w:val="14"/>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4DAE5">
    <w:pPr>
      <w:pStyle w:val="15"/>
      <w:jc w:val="left"/>
      <w:rPr>
        <w:rFonts w:hint="eastAsia" w:eastAsia="宋体"/>
        <w:u w:val="single"/>
        <w:lang w:eastAsia="zh-CN"/>
      </w:rPr>
    </w:pPr>
    <w:r>
      <w:rPr>
        <w:rFonts w:hint="eastAsia" w:ascii="宋体" w:hAnsi="宋体" w:cs="宋体"/>
        <w:b/>
        <w:sz w:val="84"/>
        <w:szCs w:val="84"/>
      </w:rPr>
      <w:drawing>
        <wp:inline distT="0" distB="0" distL="114300" distR="114300">
          <wp:extent cx="524510" cy="463550"/>
          <wp:effectExtent l="0" t="0" r="8890" b="12700"/>
          <wp:docPr id="4" name="图片 4" descr="采购文件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采购文件LOGO"/>
                  <pic:cNvPicPr>
                    <a:picLocks noChangeAspect="1"/>
                  </pic:cNvPicPr>
                </pic:nvPicPr>
                <pic:blipFill>
                  <a:blip r:embed="rId1"/>
                  <a:stretch>
                    <a:fillRect/>
                  </a:stretch>
                </pic:blipFill>
                <pic:spPr>
                  <a:xfrm>
                    <a:off x="0" y="0"/>
                    <a:ext cx="524510" cy="463550"/>
                  </a:xfrm>
                  <a:prstGeom prst="rect">
                    <a:avLst/>
                  </a:prstGeom>
                  <a:noFill/>
                  <a:ln>
                    <a:noFill/>
                  </a:ln>
                </pic:spPr>
              </pic:pic>
            </a:graphicData>
          </a:graphic>
        </wp:inline>
      </w:drawing>
    </w:r>
    <w:r>
      <w:rPr>
        <w:rFonts w:hint="eastAsia" w:ascii="宋体" w:hAnsi="宋体"/>
        <w:sz w:val="21"/>
        <w:szCs w:val="21"/>
        <w:u w:val="single"/>
      </w:rPr>
      <w:t xml:space="preserve">政府采购合同                                           </w:t>
    </w:r>
    <w:r>
      <w:rPr>
        <w:rFonts w:hint="eastAsia" w:ascii="宋体" w:hAnsi="宋体"/>
        <w:sz w:val="21"/>
        <w:szCs w:val="21"/>
        <w:u w:val="single"/>
        <w:lang w:eastAsia="zh-CN"/>
      </w:rPr>
      <w:t>JSZC-320000-JZCZ-G2025-0027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D73021"/>
    <w:multiLevelType w:val="multilevel"/>
    <w:tmpl w:val="14D73021"/>
    <w:lvl w:ilvl="0" w:tentative="0">
      <w:start w:val="1"/>
      <w:numFmt w:val="decimal"/>
      <w:lvlText w:val="%1"/>
      <w:lvlJc w:val="left"/>
      <w:pPr>
        <w:ind w:left="0" w:firstLine="0"/>
      </w:pPr>
      <w:rPr>
        <w:rFonts w:hint="eastAsia" w:ascii="等线" w:hAnsi="等线" w:eastAsia="等线"/>
        <w:b/>
        <w:i w:val="0"/>
        <w:sz w:val="32"/>
      </w:rPr>
    </w:lvl>
    <w:lvl w:ilvl="1" w:tentative="0">
      <w:start w:val="1"/>
      <w:numFmt w:val="decimal"/>
      <w:pStyle w:val="4"/>
      <w:lvlText w:val="%1.%2"/>
      <w:lvlJc w:val="left"/>
      <w:pPr>
        <w:ind w:left="0" w:firstLine="0"/>
      </w:pPr>
      <w:rPr>
        <w:rFonts w:hint="eastAsia" w:ascii="等线" w:hAnsi="等线" w:eastAsia="等线"/>
        <w:b/>
        <w:i w:val="0"/>
        <w:sz w:val="30"/>
      </w:rPr>
    </w:lvl>
    <w:lvl w:ilvl="2" w:tentative="0">
      <w:start w:val="1"/>
      <w:numFmt w:val="decimal"/>
      <w:pStyle w:val="5"/>
      <w:lvlText w:val="%1.%2.%3"/>
      <w:lvlJc w:val="left"/>
      <w:pPr>
        <w:ind w:left="0" w:firstLine="0"/>
      </w:pPr>
      <w:rPr>
        <w:rFonts w:hint="eastAsia" w:ascii="等线" w:hAnsi="等线" w:eastAsia="等线"/>
        <w:b/>
        <w:i w:val="0"/>
        <w:sz w:val="28"/>
      </w:rPr>
    </w:lvl>
    <w:lvl w:ilvl="3" w:tentative="0">
      <w:start w:val="1"/>
      <w:numFmt w:val="decimal"/>
      <w:pStyle w:val="6"/>
      <w:lvlText w:val="%1.%2.%3.%4"/>
      <w:lvlJc w:val="left"/>
      <w:pPr>
        <w:ind w:left="0" w:firstLine="0"/>
      </w:pPr>
      <w:rPr>
        <w:rFonts w:hint="eastAsia" w:ascii="等线" w:hAnsi="等线" w:eastAsia="等线"/>
        <w:b/>
        <w:i w:val="0"/>
        <w:sz w:val="24"/>
      </w:rPr>
    </w:lvl>
    <w:lvl w:ilvl="4" w:tentative="0">
      <w:start w:val="1"/>
      <w:numFmt w:val="decimal"/>
      <w:lvlText w:val="%1.%2.%3.%4.%5"/>
      <w:lvlJc w:val="left"/>
      <w:pPr>
        <w:ind w:left="0" w:firstLine="0"/>
      </w:pPr>
      <w:rPr>
        <w:rFonts w:hint="eastAsia" w:ascii="等线" w:hAnsi="等线" w:eastAsia="等线"/>
        <w:b/>
        <w:i w:val="0"/>
        <w:sz w:val="24"/>
      </w:rPr>
    </w:lvl>
    <w:lvl w:ilvl="5" w:tentative="0">
      <w:start w:val="1"/>
      <w:numFmt w:val="decimal"/>
      <w:lvlText w:val="%1.%2.%3.%4.%5.%6"/>
      <w:lvlJc w:val="left"/>
      <w:pPr>
        <w:ind w:left="0" w:firstLine="0"/>
      </w:pPr>
      <w:rPr>
        <w:rFonts w:hint="eastAsia" w:ascii="等线" w:hAnsi="等线" w:eastAsia="等线"/>
        <w:b/>
        <w:i w:val="0"/>
        <w:sz w:val="24"/>
      </w:rPr>
    </w:lvl>
    <w:lvl w:ilvl="6" w:tentative="0">
      <w:start w:val="1"/>
      <w:numFmt w:val="decimal"/>
      <w:lvlText w:val="%1.%2.%3.%4.%5.%6.%7"/>
      <w:lvlJc w:val="left"/>
      <w:pPr>
        <w:ind w:left="0" w:firstLine="0"/>
      </w:pPr>
      <w:rPr>
        <w:rFonts w:hint="eastAsia" w:ascii="等线" w:hAnsi="等线" w:eastAsia="等线"/>
        <w:b/>
        <w:i w:val="0"/>
        <w:sz w:val="24"/>
      </w:rPr>
    </w:lvl>
    <w:lvl w:ilvl="7" w:tentative="0">
      <w:start w:val="1"/>
      <w:numFmt w:val="decimal"/>
      <w:lvlText w:val="%1.%2.%3.%4.%5.%6.%7.%8"/>
      <w:lvlJc w:val="left"/>
      <w:pPr>
        <w:ind w:left="0" w:firstLine="0"/>
      </w:pPr>
      <w:rPr>
        <w:rFonts w:hint="eastAsia" w:ascii="等线" w:hAnsi="等线" w:eastAsia="等线"/>
        <w:b/>
        <w:i w:val="0"/>
        <w:sz w:val="24"/>
      </w:rPr>
    </w:lvl>
    <w:lvl w:ilvl="8" w:tentative="0">
      <w:start w:val="1"/>
      <w:numFmt w:val="decimal"/>
      <w:lvlText w:val="%1.%2.%3.%4.%5.%6.%7.%8.%9"/>
      <w:lvlJc w:val="left"/>
      <w:pPr>
        <w:ind w:left="0" w:firstLine="0"/>
      </w:pPr>
      <w:rPr>
        <w:rFonts w:hint="eastAsia" w:ascii="等线" w:hAnsi="等线" w:eastAsia="等线"/>
        <w:b/>
        <w:i w:val="0"/>
        <w:sz w:val="24"/>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JmZWVhODJkNTc2OGZjY2RiYjY5ZDc1M2VlM2NlNjIifQ=="/>
  </w:docVars>
  <w:rsids>
    <w:rsidRoot w:val="12474A95"/>
    <w:rsid w:val="00003C1E"/>
    <w:rsid w:val="00037A30"/>
    <w:rsid w:val="000A14E6"/>
    <w:rsid w:val="000A4578"/>
    <w:rsid w:val="000A79C8"/>
    <w:rsid w:val="000E5FA1"/>
    <w:rsid w:val="00222F14"/>
    <w:rsid w:val="002B3092"/>
    <w:rsid w:val="00325D52"/>
    <w:rsid w:val="00413BB9"/>
    <w:rsid w:val="004461A9"/>
    <w:rsid w:val="004A7F8D"/>
    <w:rsid w:val="00523466"/>
    <w:rsid w:val="005612DF"/>
    <w:rsid w:val="00562FB3"/>
    <w:rsid w:val="005722EF"/>
    <w:rsid w:val="005D6515"/>
    <w:rsid w:val="0060398F"/>
    <w:rsid w:val="00631C1B"/>
    <w:rsid w:val="00636937"/>
    <w:rsid w:val="006D0D06"/>
    <w:rsid w:val="0071209D"/>
    <w:rsid w:val="0074188F"/>
    <w:rsid w:val="00802AFA"/>
    <w:rsid w:val="00862B84"/>
    <w:rsid w:val="008E6F6B"/>
    <w:rsid w:val="009129D2"/>
    <w:rsid w:val="00A01A06"/>
    <w:rsid w:val="00A4190E"/>
    <w:rsid w:val="00A9723F"/>
    <w:rsid w:val="00AD54D4"/>
    <w:rsid w:val="00B825B7"/>
    <w:rsid w:val="00BC3B79"/>
    <w:rsid w:val="00CC23C6"/>
    <w:rsid w:val="00D80B94"/>
    <w:rsid w:val="00DB57FC"/>
    <w:rsid w:val="00DB654F"/>
    <w:rsid w:val="00F3780D"/>
    <w:rsid w:val="00F62DCD"/>
    <w:rsid w:val="00FD4A58"/>
    <w:rsid w:val="00FE53A6"/>
    <w:rsid w:val="013427C8"/>
    <w:rsid w:val="01417D36"/>
    <w:rsid w:val="015D36C0"/>
    <w:rsid w:val="019C2893"/>
    <w:rsid w:val="0208396B"/>
    <w:rsid w:val="020A385D"/>
    <w:rsid w:val="020C0DA0"/>
    <w:rsid w:val="02151639"/>
    <w:rsid w:val="02737766"/>
    <w:rsid w:val="02BA7A6C"/>
    <w:rsid w:val="02CC4F2C"/>
    <w:rsid w:val="02EA7B79"/>
    <w:rsid w:val="02F23728"/>
    <w:rsid w:val="03244896"/>
    <w:rsid w:val="03A11052"/>
    <w:rsid w:val="03B31109"/>
    <w:rsid w:val="042B080D"/>
    <w:rsid w:val="04466A5A"/>
    <w:rsid w:val="0449381C"/>
    <w:rsid w:val="044D6C0B"/>
    <w:rsid w:val="047274EA"/>
    <w:rsid w:val="0473187F"/>
    <w:rsid w:val="04FB1B61"/>
    <w:rsid w:val="05AB7BBE"/>
    <w:rsid w:val="0648081E"/>
    <w:rsid w:val="06693D01"/>
    <w:rsid w:val="06A42F8B"/>
    <w:rsid w:val="06C3094B"/>
    <w:rsid w:val="06C53907"/>
    <w:rsid w:val="06CB59EB"/>
    <w:rsid w:val="06EB2968"/>
    <w:rsid w:val="0763376C"/>
    <w:rsid w:val="07A11279"/>
    <w:rsid w:val="07B92A66"/>
    <w:rsid w:val="07CD358E"/>
    <w:rsid w:val="084F6F27"/>
    <w:rsid w:val="086E55FF"/>
    <w:rsid w:val="09687854"/>
    <w:rsid w:val="097E324C"/>
    <w:rsid w:val="09BE5E69"/>
    <w:rsid w:val="0A3D797F"/>
    <w:rsid w:val="0B3837A8"/>
    <w:rsid w:val="0B5628E3"/>
    <w:rsid w:val="0B910885"/>
    <w:rsid w:val="0BB35A1E"/>
    <w:rsid w:val="0C0A7D34"/>
    <w:rsid w:val="0C3A5A09"/>
    <w:rsid w:val="0C822093"/>
    <w:rsid w:val="0D757C5F"/>
    <w:rsid w:val="0D870F11"/>
    <w:rsid w:val="0D896813"/>
    <w:rsid w:val="0D966794"/>
    <w:rsid w:val="0D975744"/>
    <w:rsid w:val="0D9B43EC"/>
    <w:rsid w:val="0DBB027E"/>
    <w:rsid w:val="0DF843F0"/>
    <w:rsid w:val="0E3A49AA"/>
    <w:rsid w:val="0E48771C"/>
    <w:rsid w:val="0EC91ED6"/>
    <w:rsid w:val="0ED00E73"/>
    <w:rsid w:val="0F4254DB"/>
    <w:rsid w:val="0FA45DAA"/>
    <w:rsid w:val="0FBC7598"/>
    <w:rsid w:val="10611E62"/>
    <w:rsid w:val="10836F4D"/>
    <w:rsid w:val="10973689"/>
    <w:rsid w:val="11AE07AF"/>
    <w:rsid w:val="12474A95"/>
    <w:rsid w:val="124D1688"/>
    <w:rsid w:val="12C30EC2"/>
    <w:rsid w:val="12D058C5"/>
    <w:rsid w:val="12D736B9"/>
    <w:rsid w:val="130B720D"/>
    <w:rsid w:val="13370CE3"/>
    <w:rsid w:val="13D777CD"/>
    <w:rsid w:val="14686756"/>
    <w:rsid w:val="15072AD9"/>
    <w:rsid w:val="15316332"/>
    <w:rsid w:val="15415E49"/>
    <w:rsid w:val="156E30E2"/>
    <w:rsid w:val="162E7FBD"/>
    <w:rsid w:val="16EC10B1"/>
    <w:rsid w:val="171657DF"/>
    <w:rsid w:val="172B0284"/>
    <w:rsid w:val="1780014F"/>
    <w:rsid w:val="179535B9"/>
    <w:rsid w:val="17E91017"/>
    <w:rsid w:val="18410FF6"/>
    <w:rsid w:val="18904E70"/>
    <w:rsid w:val="191C20A3"/>
    <w:rsid w:val="19C91428"/>
    <w:rsid w:val="19F32565"/>
    <w:rsid w:val="1A494CA3"/>
    <w:rsid w:val="1A824F3A"/>
    <w:rsid w:val="1AD52E32"/>
    <w:rsid w:val="1B09565B"/>
    <w:rsid w:val="1B097409"/>
    <w:rsid w:val="1B0F4F24"/>
    <w:rsid w:val="1B860A5A"/>
    <w:rsid w:val="1B9C027D"/>
    <w:rsid w:val="1BEA0FE8"/>
    <w:rsid w:val="1C394F04"/>
    <w:rsid w:val="1C4241E2"/>
    <w:rsid w:val="1CBD494F"/>
    <w:rsid w:val="1CCA1ADF"/>
    <w:rsid w:val="1CE33AA7"/>
    <w:rsid w:val="1D5232E9"/>
    <w:rsid w:val="1D5A3D79"/>
    <w:rsid w:val="1E596034"/>
    <w:rsid w:val="1E8C7359"/>
    <w:rsid w:val="1E9B1183"/>
    <w:rsid w:val="1F14722D"/>
    <w:rsid w:val="1F38645C"/>
    <w:rsid w:val="1F9C2427"/>
    <w:rsid w:val="1FC23CA6"/>
    <w:rsid w:val="2082367E"/>
    <w:rsid w:val="21336F8E"/>
    <w:rsid w:val="214E201A"/>
    <w:rsid w:val="21C115B0"/>
    <w:rsid w:val="21F7620D"/>
    <w:rsid w:val="221A34A8"/>
    <w:rsid w:val="22346C69"/>
    <w:rsid w:val="223E1DFC"/>
    <w:rsid w:val="22812EA5"/>
    <w:rsid w:val="229205DE"/>
    <w:rsid w:val="231322F5"/>
    <w:rsid w:val="231D1CA3"/>
    <w:rsid w:val="23333275"/>
    <w:rsid w:val="23446EF2"/>
    <w:rsid w:val="238748E8"/>
    <w:rsid w:val="239B0E1A"/>
    <w:rsid w:val="23A076DF"/>
    <w:rsid w:val="23BF4B92"/>
    <w:rsid w:val="23C323E6"/>
    <w:rsid w:val="23D41D4B"/>
    <w:rsid w:val="23F5677C"/>
    <w:rsid w:val="23F6223D"/>
    <w:rsid w:val="24487A08"/>
    <w:rsid w:val="248C70E1"/>
    <w:rsid w:val="24923C3D"/>
    <w:rsid w:val="24C97D99"/>
    <w:rsid w:val="24CD76F9"/>
    <w:rsid w:val="24D07A4D"/>
    <w:rsid w:val="24D9609E"/>
    <w:rsid w:val="24F42F9F"/>
    <w:rsid w:val="250F2ABF"/>
    <w:rsid w:val="25826736"/>
    <w:rsid w:val="259A75DB"/>
    <w:rsid w:val="261C46F1"/>
    <w:rsid w:val="26527EC1"/>
    <w:rsid w:val="26575077"/>
    <w:rsid w:val="269674D6"/>
    <w:rsid w:val="26BC560B"/>
    <w:rsid w:val="26DE46A1"/>
    <w:rsid w:val="26FC7E22"/>
    <w:rsid w:val="273D2D56"/>
    <w:rsid w:val="27B150B0"/>
    <w:rsid w:val="27C43A01"/>
    <w:rsid w:val="27DB3FEA"/>
    <w:rsid w:val="282B7BD2"/>
    <w:rsid w:val="288E6764"/>
    <w:rsid w:val="28956780"/>
    <w:rsid w:val="28E30E37"/>
    <w:rsid w:val="28EE6DC7"/>
    <w:rsid w:val="2949407C"/>
    <w:rsid w:val="2959155B"/>
    <w:rsid w:val="29847702"/>
    <w:rsid w:val="298C3593"/>
    <w:rsid w:val="29CE360C"/>
    <w:rsid w:val="29CE3FCC"/>
    <w:rsid w:val="29FE5C10"/>
    <w:rsid w:val="2A05171C"/>
    <w:rsid w:val="2A1C1189"/>
    <w:rsid w:val="2A5D11BB"/>
    <w:rsid w:val="2A81195B"/>
    <w:rsid w:val="2A827B9E"/>
    <w:rsid w:val="2AE5579D"/>
    <w:rsid w:val="2B093F9D"/>
    <w:rsid w:val="2B6C5576"/>
    <w:rsid w:val="2B827A30"/>
    <w:rsid w:val="2BC7760D"/>
    <w:rsid w:val="2BD045C6"/>
    <w:rsid w:val="2CDE06F5"/>
    <w:rsid w:val="2CE132A0"/>
    <w:rsid w:val="2D244C0A"/>
    <w:rsid w:val="2D423DA5"/>
    <w:rsid w:val="2D777155"/>
    <w:rsid w:val="2D8366BB"/>
    <w:rsid w:val="2DB129D5"/>
    <w:rsid w:val="2DCB368B"/>
    <w:rsid w:val="2DE75388"/>
    <w:rsid w:val="2E165C6D"/>
    <w:rsid w:val="2E3E2A23"/>
    <w:rsid w:val="2E5461D3"/>
    <w:rsid w:val="2EE43B2B"/>
    <w:rsid w:val="2F154177"/>
    <w:rsid w:val="2F337E9A"/>
    <w:rsid w:val="2FBB2F70"/>
    <w:rsid w:val="2FE33A3C"/>
    <w:rsid w:val="303845C1"/>
    <w:rsid w:val="304701E7"/>
    <w:rsid w:val="30851B99"/>
    <w:rsid w:val="312955D0"/>
    <w:rsid w:val="31656C3D"/>
    <w:rsid w:val="31AA7143"/>
    <w:rsid w:val="31E80CC4"/>
    <w:rsid w:val="321C0DAD"/>
    <w:rsid w:val="32996261"/>
    <w:rsid w:val="32B07FC8"/>
    <w:rsid w:val="32C30D18"/>
    <w:rsid w:val="33FF479C"/>
    <w:rsid w:val="34421188"/>
    <w:rsid w:val="346051D7"/>
    <w:rsid w:val="346239BA"/>
    <w:rsid w:val="347E0A97"/>
    <w:rsid w:val="347F6931"/>
    <w:rsid w:val="34891F6B"/>
    <w:rsid w:val="348A1163"/>
    <w:rsid w:val="34943D90"/>
    <w:rsid w:val="353E3843"/>
    <w:rsid w:val="354A5A48"/>
    <w:rsid w:val="357B5D91"/>
    <w:rsid w:val="35822C5E"/>
    <w:rsid w:val="35BC359E"/>
    <w:rsid w:val="35D8520E"/>
    <w:rsid w:val="35FC3A91"/>
    <w:rsid w:val="36590B5D"/>
    <w:rsid w:val="366E1586"/>
    <w:rsid w:val="36707534"/>
    <w:rsid w:val="3690539D"/>
    <w:rsid w:val="36AC2B1C"/>
    <w:rsid w:val="36CF7301"/>
    <w:rsid w:val="36F269B1"/>
    <w:rsid w:val="375A2E2B"/>
    <w:rsid w:val="37744822"/>
    <w:rsid w:val="37DC5FBB"/>
    <w:rsid w:val="37DF7C38"/>
    <w:rsid w:val="38637D01"/>
    <w:rsid w:val="38980AFC"/>
    <w:rsid w:val="38D633DF"/>
    <w:rsid w:val="39044527"/>
    <w:rsid w:val="393357B6"/>
    <w:rsid w:val="395D2BAD"/>
    <w:rsid w:val="3A312729"/>
    <w:rsid w:val="3A4361F4"/>
    <w:rsid w:val="3A957839"/>
    <w:rsid w:val="3AB61966"/>
    <w:rsid w:val="3ABE55D5"/>
    <w:rsid w:val="3AFB03C1"/>
    <w:rsid w:val="3B4402BD"/>
    <w:rsid w:val="3B455DE4"/>
    <w:rsid w:val="3B4835F9"/>
    <w:rsid w:val="3B4E4C98"/>
    <w:rsid w:val="3B96391E"/>
    <w:rsid w:val="3B9C5E1D"/>
    <w:rsid w:val="3BC15C33"/>
    <w:rsid w:val="3C65652D"/>
    <w:rsid w:val="3CBC20D5"/>
    <w:rsid w:val="3D1141CF"/>
    <w:rsid w:val="3D3C7122"/>
    <w:rsid w:val="3D69400B"/>
    <w:rsid w:val="3D932E36"/>
    <w:rsid w:val="3DD50036"/>
    <w:rsid w:val="3DF20051"/>
    <w:rsid w:val="3E133FDF"/>
    <w:rsid w:val="3E682515"/>
    <w:rsid w:val="3E7F1532"/>
    <w:rsid w:val="3EEB5F48"/>
    <w:rsid w:val="3EF4759A"/>
    <w:rsid w:val="3F0B3B43"/>
    <w:rsid w:val="3F4F6697"/>
    <w:rsid w:val="3F971C3A"/>
    <w:rsid w:val="3FB3540A"/>
    <w:rsid w:val="3FB93A98"/>
    <w:rsid w:val="3FDA11F0"/>
    <w:rsid w:val="4063042F"/>
    <w:rsid w:val="406D3E12"/>
    <w:rsid w:val="40744B9A"/>
    <w:rsid w:val="407D1B7C"/>
    <w:rsid w:val="41254DD7"/>
    <w:rsid w:val="41260298"/>
    <w:rsid w:val="41662148"/>
    <w:rsid w:val="416D436D"/>
    <w:rsid w:val="418F36EA"/>
    <w:rsid w:val="41AF7FEB"/>
    <w:rsid w:val="422C4C64"/>
    <w:rsid w:val="424F741B"/>
    <w:rsid w:val="42672AE3"/>
    <w:rsid w:val="42A571A6"/>
    <w:rsid w:val="42B87C47"/>
    <w:rsid w:val="43012B66"/>
    <w:rsid w:val="43655275"/>
    <w:rsid w:val="43997D2F"/>
    <w:rsid w:val="43CC2BFE"/>
    <w:rsid w:val="43E90B65"/>
    <w:rsid w:val="43F2211B"/>
    <w:rsid w:val="4447497A"/>
    <w:rsid w:val="44A84435"/>
    <w:rsid w:val="44CA7756"/>
    <w:rsid w:val="450D5B3D"/>
    <w:rsid w:val="451F1F34"/>
    <w:rsid w:val="45761BF1"/>
    <w:rsid w:val="458E5EE1"/>
    <w:rsid w:val="45EF7078"/>
    <w:rsid w:val="45F96AC8"/>
    <w:rsid w:val="4647518E"/>
    <w:rsid w:val="46CC73B9"/>
    <w:rsid w:val="46DA3884"/>
    <w:rsid w:val="472A4652"/>
    <w:rsid w:val="47797541"/>
    <w:rsid w:val="479B53B7"/>
    <w:rsid w:val="479F0F30"/>
    <w:rsid w:val="47FE3E1C"/>
    <w:rsid w:val="48060A29"/>
    <w:rsid w:val="48127758"/>
    <w:rsid w:val="482D3841"/>
    <w:rsid w:val="488372E3"/>
    <w:rsid w:val="48A203D1"/>
    <w:rsid w:val="48B620CF"/>
    <w:rsid w:val="48DC298A"/>
    <w:rsid w:val="48E64762"/>
    <w:rsid w:val="48F36E7F"/>
    <w:rsid w:val="49212BA8"/>
    <w:rsid w:val="492B7268"/>
    <w:rsid w:val="492F6BDC"/>
    <w:rsid w:val="49890219"/>
    <w:rsid w:val="4A056E6A"/>
    <w:rsid w:val="4A8A0D65"/>
    <w:rsid w:val="4A9E6406"/>
    <w:rsid w:val="4B040C90"/>
    <w:rsid w:val="4B111850"/>
    <w:rsid w:val="4B2C6678"/>
    <w:rsid w:val="4B645E12"/>
    <w:rsid w:val="4B7A3887"/>
    <w:rsid w:val="4B887D52"/>
    <w:rsid w:val="4B8E01C4"/>
    <w:rsid w:val="4B8E776B"/>
    <w:rsid w:val="4BAD3775"/>
    <w:rsid w:val="4BEE392E"/>
    <w:rsid w:val="4BFE7762"/>
    <w:rsid w:val="4C72305B"/>
    <w:rsid w:val="4CA26BF2"/>
    <w:rsid w:val="4CE27936"/>
    <w:rsid w:val="4D337E71"/>
    <w:rsid w:val="4D5819A6"/>
    <w:rsid w:val="4D5831FF"/>
    <w:rsid w:val="4D8865FA"/>
    <w:rsid w:val="4DAF7A72"/>
    <w:rsid w:val="4DC64B62"/>
    <w:rsid w:val="4DF97A30"/>
    <w:rsid w:val="4E002205"/>
    <w:rsid w:val="4E084017"/>
    <w:rsid w:val="4E7740AE"/>
    <w:rsid w:val="4E9C79BD"/>
    <w:rsid w:val="4EBD4EA8"/>
    <w:rsid w:val="4F304989"/>
    <w:rsid w:val="4F3E7FC5"/>
    <w:rsid w:val="4FFC2ABD"/>
    <w:rsid w:val="505A492D"/>
    <w:rsid w:val="507C775A"/>
    <w:rsid w:val="50926F7D"/>
    <w:rsid w:val="50D04491"/>
    <w:rsid w:val="50F80838"/>
    <w:rsid w:val="514C655D"/>
    <w:rsid w:val="515661B0"/>
    <w:rsid w:val="51962865"/>
    <w:rsid w:val="51CA7E4A"/>
    <w:rsid w:val="521F386C"/>
    <w:rsid w:val="5227367C"/>
    <w:rsid w:val="52302EF2"/>
    <w:rsid w:val="523742AD"/>
    <w:rsid w:val="52426781"/>
    <w:rsid w:val="52561B18"/>
    <w:rsid w:val="526C450F"/>
    <w:rsid w:val="527A5743"/>
    <w:rsid w:val="52DD1244"/>
    <w:rsid w:val="52EF6615"/>
    <w:rsid w:val="530F54F2"/>
    <w:rsid w:val="546535D1"/>
    <w:rsid w:val="54840725"/>
    <w:rsid w:val="54CC6A3E"/>
    <w:rsid w:val="54F37F61"/>
    <w:rsid w:val="550134ED"/>
    <w:rsid w:val="551F0D2D"/>
    <w:rsid w:val="552F7866"/>
    <w:rsid w:val="55A734CB"/>
    <w:rsid w:val="55B11291"/>
    <w:rsid w:val="560D3927"/>
    <w:rsid w:val="56187F25"/>
    <w:rsid w:val="56400F5B"/>
    <w:rsid w:val="565C1AFE"/>
    <w:rsid w:val="56EE1278"/>
    <w:rsid w:val="57390153"/>
    <w:rsid w:val="576D09D7"/>
    <w:rsid w:val="579F3F56"/>
    <w:rsid w:val="57AC6B77"/>
    <w:rsid w:val="581761E1"/>
    <w:rsid w:val="58A92390"/>
    <w:rsid w:val="58B43CAD"/>
    <w:rsid w:val="58B51F91"/>
    <w:rsid w:val="595C43A4"/>
    <w:rsid w:val="59A9273B"/>
    <w:rsid w:val="59E50E7B"/>
    <w:rsid w:val="5A492DA3"/>
    <w:rsid w:val="5A850AC5"/>
    <w:rsid w:val="5A8975D5"/>
    <w:rsid w:val="5ABF3065"/>
    <w:rsid w:val="5ADA34F9"/>
    <w:rsid w:val="5AF95B09"/>
    <w:rsid w:val="5B1E5FDD"/>
    <w:rsid w:val="5B2F7149"/>
    <w:rsid w:val="5B5343C3"/>
    <w:rsid w:val="5B793A38"/>
    <w:rsid w:val="5C0A6562"/>
    <w:rsid w:val="5C2101B4"/>
    <w:rsid w:val="5C2C35E1"/>
    <w:rsid w:val="5C493570"/>
    <w:rsid w:val="5C666922"/>
    <w:rsid w:val="5C8005D2"/>
    <w:rsid w:val="5CE62E55"/>
    <w:rsid w:val="5CE648D9"/>
    <w:rsid w:val="5D3B78F6"/>
    <w:rsid w:val="5D446039"/>
    <w:rsid w:val="5D4D4B30"/>
    <w:rsid w:val="5D836B4D"/>
    <w:rsid w:val="5DB06C95"/>
    <w:rsid w:val="5DB457EC"/>
    <w:rsid w:val="5E1355D9"/>
    <w:rsid w:val="5E373780"/>
    <w:rsid w:val="5E524F12"/>
    <w:rsid w:val="5E5A31CD"/>
    <w:rsid w:val="5E6115B7"/>
    <w:rsid w:val="5E760453"/>
    <w:rsid w:val="5E8E6FD6"/>
    <w:rsid w:val="5E98069C"/>
    <w:rsid w:val="5EA2446F"/>
    <w:rsid w:val="5EB83504"/>
    <w:rsid w:val="5F864151"/>
    <w:rsid w:val="5F9920D6"/>
    <w:rsid w:val="5FB54A36"/>
    <w:rsid w:val="5FC353A5"/>
    <w:rsid w:val="5FC807B7"/>
    <w:rsid w:val="5FDA4330"/>
    <w:rsid w:val="5FF76DFD"/>
    <w:rsid w:val="60352A61"/>
    <w:rsid w:val="603C5912"/>
    <w:rsid w:val="60432042"/>
    <w:rsid w:val="60A11D1A"/>
    <w:rsid w:val="611B2BA6"/>
    <w:rsid w:val="612E2CF2"/>
    <w:rsid w:val="61525161"/>
    <w:rsid w:val="61553BE4"/>
    <w:rsid w:val="61EF17A6"/>
    <w:rsid w:val="62103631"/>
    <w:rsid w:val="62421A75"/>
    <w:rsid w:val="628F5A13"/>
    <w:rsid w:val="62D71CE3"/>
    <w:rsid w:val="62FF4669"/>
    <w:rsid w:val="63700E1D"/>
    <w:rsid w:val="63D07FE0"/>
    <w:rsid w:val="63D25BB7"/>
    <w:rsid w:val="640E45C0"/>
    <w:rsid w:val="646F777C"/>
    <w:rsid w:val="652B6BAE"/>
    <w:rsid w:val="653C3F28"/>
    <w:rsid w:val="659A7E37"/>
    <w:rsid w:val="65FE7137"/>
    <w:rsid w:val="66750509"/>
    <w:rsid w:val="66911D59"/>
    <w:rsid w:val="66C76451"/>
    <w:rsid w:val="66F35CB5"/>
    <w:rsid w:val="67603157"/>
    <w:rsid w:val="6896491A"/>
    <w:rsid w:val="68FD7DFE"/>
    <w:rsid w:val="693E2573"/>
    <w:rsid w:val="698F7877"/>
    <w:rsid w:val="69CF0886"/>
    <w:rsid w:val="69E943CB"/>
    <w:rsid w:val="69F50851"/>
    <w:rsid w:val="6A246A40"/>
    <w:rsid w:val="6A366B2D"/>
    <w:rsid w:val="6A776DBB"/>
    <w:rsid w:val="6A8353C1"/>
    <w:rsid w:val="6B305846"/>
    <w:rsid w:val="6B3453A9"/>
    <w:rsid w:val="6B741C4A"/>
    <w:rsid w:val="6B7E5E0A"/>
    <w:rsid w:val="6B893098"/>
    <w:rsid w:val="6BEA69F8"/>
    <w:rsid w:val="6C1E7857"/>
    <w:rsid w:val="6C2C7143"/>
    <w:rsid w:val="6C846B6A"/>
    <w:rsid w:val="6CB87914"/>
    <w:rsid w:val="6D1E78B0"/>
    <w:rsid w:val="6D863A49"/>
    <w:rsid w:val="6DC5678C"/>
    <w:rsid w:val="6DFE6BFE"/>
    <w:rsid w:val="6E05302D"/>
    <w:rsid w:val="6E591E49"/>
    <w:rsid w:val="6ED549B5"/>
    <w:rsid w:val="6EE26F99"/>
    <w:rsid w:val="6F105EF0"/>
    <w:rsid w:val="6F235519"/>
    <w:rsid w:val="6F640BAB"/>
    <w:rsid w:val="6FA82DF6"/>
    <w:rsid w:val="6FF27577"/>
    <w:rsid w:val="6FF4449F"/>
    <w:rsid w:val="70C64CF5"/>
    <w:rsid w:val="70FC24C5"/>
    <w:rsid w:val="711A6FDD"/>
    <w:rsid w:val="715A543E"/>
    <w:rsid w:val="716D33C3"/>
    <w:rsid w:val="71B354E5"/>
    <w:rsid w:val="71D66B8A"/>
    <w:rsid w:val="72094566"/>
    <w:rsid w:val="727D2AF0"/>
    <w:rsid w:val="72872858"/>
    <w:rsid w:val="72B1696F"/>
    <w:rsid w:val="72C5165F"/>
    <w:rsid w:val="72EB47D9"/>
    <w:rsid w:val="73183AE6"/>
    <w:rsid w:val="738D7E42"/>
    <w:rsid w:val="73BD0A2D"/>
    <w:rsid w:val="73D634A1"/>
    <w:rsid w:val="748C7BA9"/>
    <w:rsid w:val="74944165"/>
    <w:rsid w:val="749668CA"/>
    <w:rsid w:val="754371F9"/>
    <w:rsid w:val="75AA75CF"/>
    <w:rsid w:val="765406AD"/>
    <w:rsid w:val="766A5A18"/>
    <w:rsid w:val="76790114"/>
    <w:rsid w:val="769D40B3"/>
    <w:rsid w:val="76A27B43"/>
    <w:rsid w:val="76BE1FCB"/>
    <w:rsid w:val="772269FE"/>
    <w:rsid w:val="77496A31"/>
    <w:rsid w:val="7755292F"/>
    <w:rsid w:val="775546DD"/>
    <w:rsid w:val="775E19E5"/>
    <w:rsid w:val="778F1F68"/>
    <w:rsid w:val="77A31324"/>
    <w:rsid w:val="77F4079E"/>
    <w:rsid w:val="78032380"/>
    <w:rsid w:val="787F2BEC"/>
    <w:rsid w:val="78AC43BC"/>
    <w:rsid w:val="78B6564F"/>
    <w:rsid w:val="78D87374"/>
    <w:rsid w:val="790A599B"/>
    <w:rsid w:val="796404F6"/>
    <w:rsid w:val="79CD7139"/>
    <w:rsid w:val="79CF6E07"/>
    <w:rsid w:val="7A2947E1"/>
    <w:rsid w:val="7A381000"/>
    <w:rsid w:val="7B126AD1"/>
    <w:rsid w:val="7B1D109A"/>
    <w:rsid w:val="7B435D03"/>
    <w:rsid w:val="7B8824F9"/>
    <w:rsid w:val="7C7A4F49"/>
    <w:rsid w:val="7D0A7D18"/>
    <w:rsid w:val="7D124186"/>
    <w:rsid w:val="7D263AA8"/>
    <w:rsid w:val="7D487626"/>
    <w:rsid w:val="7D554BE8"/>
    <w:rsid w:val="7D5E37B8"/>
    <w:rsid w:val="7DBB1012"/>
    <w:rsid w:val="7EBD6571"/>
    <w:rsid w:val="7ED258B3"/>
    <w:rsid w:val="7F2A2400"/>
    <w:rsid w:val="7F6C2F0C"/>
    <w:rsid w:val="7FBA5A25"/>
    <w:rsid w:val="7FBE4DEA"/>
    <w:rsid w:val="7FCB7B83"/>
    <w:rsid w:val="7FD166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sz w:val="24"/>
      <w:lang w:val="en-US" w:eastAsia="zh-CN" w:bidi="ar-SA"/>
    </w:rPr>
  </w:style>
  <w:style w:type="paragraph" w:styleId="3">
    <w:name w:val="heading 1"/>
    <w:basedOn w:val="1"/>
    <w:next w:val="1"/>
    <w:link w:val="29"/>
    <w:qFormat/>
    <w:uiPriority w:val="0"/>
    <w:pPr>
      <w:keepNext/>
      <w:keepLines/>
      <w:jc w:val="center"/>
      <w:outlineLvl w:val="0"/>
    </w:pPr>
    <w:rPr>
      <w:rFonts w:ascii="Times New Roman" w:hAnsi="Times New Roman"/>
      <w:b/>
      <w:kern w:val="44"/>
      <w:sz w:val="48"/>
    </w:rPr>
  </w:style>
  <w:style w:type="paragraph" w:styleId="4">
    <w:name w:val="heading 2"/>
    <w:basedOn w:val="1"/>
    <w:next w:val="1"/>
    <w:unhideWhenUsed/>
    <w:qFormat/>
    <w:uiPriority w:val="9"/>
    <w:pPr>
      <w:keepNext/>
      <w:keepLines/>
      <w:numPr>
        <w:ilvl w:val="1"/>
        <w:numId w:val="1"/>
      </w:numPr>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unhideWhenUsed/>
    <w:qFormat/>
    <w:uiPriority w:val="9"/>
    <w:pPr>
      <w:keepNext/>
      <w:keepLines/>
      <w:numPr>
        <w:ilvl w:val="2"/>
        <w:numId w:val="1"/>
      </w:numPr>
      <w:spacing w:before="260" w:after="260" w:line="416" w:lineRule="auto"/>
      <w:outlineLvl w:val="2"/>
    </w:pPr>
    <w:rPr>
      <w:b/>
      <w:bCs/>
      <w:sz w:val="32"/>
      <w:szCs w:val="32"/>
    </w:rPr>
  </w:style>
  <w:style w:type="paragraph" w:styleId="6">
    <w:name w:val="heading 4"/>
    <w:basedOn w:val="1"/>
    <w:next w:val="1"/>
    <w:unhideWhenUsed/>
    <w:qFormat/>
    <w:uiPriority w:val="9"/>
    <w:pPr>
      <w:keepNext/>
      <w:keepLines/>
      <w:numPr>
        <w:ilvl w:val="3"/>
        <w:numId w:val="1"/>
      </w:numPr>
      <w:spacing w:before="280" w:after="290" w:line="376" w:lineRule="auto"/>
      <w:outlineLvl w:val="3"/>
    </w:pPr>
    <w:rPr>
      <w:rFonts w:asciiTheme="majorHAnsi" w:hAnsiTheme="majorHAnsi" w:eastAsiaTheme="majorEastAsia" w:cstheme="majorBidi"/>
      <w:b/>
      <w:bCs/>
      <w:sz w:val="28"/>
      <w:szCs w:val="28"/>
    </w:rPr>
  </w:style>
  <w:style w:type="character" w:default="1" w:styleId="24">
    <w:name w:val="Default Paragraph Font"/>
    <w:semiHidden/>
    <w:unhideWhenUsed/>
    <w:qFormat/>
    <w:uiPriority w:val="1"/>
  </w:style>
  <w:style w:type="table" w:default="1" w:styleId="22">
    <w:name w:val="Normal Table"/>
    <w:autoRedefine/>
    <w:semiHidden/>
    <w:unhideWhenUsed/>
    <w:qFormat/>
    <w:uiPriority w:val="99"/>
    <w:tblPr>
      <w:tblCellMar>
        <w:top w:w="0" w:type="dxa"/>
        <w:left w:w="108" w:type="dxa"/>
        <w:bottom w:w="0" w:type="dxa"/>
        <w:right w:w="108" w:type="dxa"/>
      </w:tblCellMar>
    </w:tblPr>
  </w:style>
  <w:style w:type="paragraph" w:customStyle="1" w:styleId="2">
    <w:name w:val="列出段落1"/>
    <w:basedOn w:val="1"/>
    <w:qFormat/>
    <w:uiPriority w:val="99"/>
    <w:pPr>
      <w:ind w:firstLine="420" w:firstLineChars="200"/>
    </w:pPr>
    <w:rPr>
      <w:rFonts w:ascii="Calibri" w:hAnsi="Calibri" w:cs="Calibri"/>
      <w:szCs w:val="21"/>
    </w:rPr>
  </w:style>
  <w:style w:type="paragraph" w:styleId="7">
    <w:name w:val="Normal Indent"/>
    <w:basedOn w:val="1"/>
    <w:unhideWhenUsed/>
    <w:qFormat/>
    <w:uiPriority w:val="0"/>
    <w:pPr>
      <w:adjustRightInd w:val="0"/>
      <w:ind w:firstLine="420"/>
      <w:jc w:val="left"/>
      <w:textAlignment w:val="baseline"/>
    </w:pPr>
  </w:style>
  <w:style w:type="paragraph" w:styleId="8">
    <w:name w:val="annotation text"/>
    <w:basedOn w:val="1"/>
    <w:link w:val="40"/>
    <w:autoRedefine/>
    <w:qFormat/>
    <w:uiPriority w:val="0"/>
    <w:pPr>
      <w:jc w:val="left"/>
    </w:pPr>
  </w:style>
  <w:style w:type="paragraph" w:styleId="9">
    <w:name w:val="Body Text"/>
    <w:basedOn w:val="1"/>
    <w:autoRedefine/>
    <w:unhideWhenUsed/>
    <w:qFormat/>
    <w:uiPriority w:val="0"/>
    <w:rPr>
      <w:rFonts w:ascii="楷体_GB2312" w:eastAsia="楷体_GB2312"/>
      <w:b/>
      <w:bCs/>
      <w:kern w:val="2"/>
      <w:sz w:val="28"/>
    </w:rPr>
  </w:style>
  <w:style w:type="paragraph" w:styleId="10">
    <w:name w:val="Body Text Indent"/>
    <w:basedOn w:val="1"/>
    <w:next w:val="11"/>
    <w:autoRedefine/>
    <w:unhideWhenUsed/>
    <w:qFormat/>
    <w:uiPriority w:val="0"/>
    <w:pPr>
      <w:ind w:firstLine="570"/>
    </w:pPr>
    <w:rPr>
      <w:rFonts w:ascii="宋体"/>
      <w:sz w:val="28"/>
    </w:rPr>
  </w:style>
  <w:style w:type="paragraph" w:styleId="11">
    <w:name w:val="envelope return"/>
    <w:basedOn w:val="1"/>
    <w:autoRedefine/>
    <w:qFormat/>
    <w:uiPriority w:val="0"/>
    <w:pPr>
      <w:snapToGrid w:val="0"/>
    </w:pPr>
    <w:rPr>
      <w:rFonts w:ascii="Arial" w:hAnsi="Arial"/>
    </w:rPr>
  </w:style>
  <w:style w:type="paragraph" w:styleId="12">
    <w:name w:val="Plain Text"/>
    <w:autoRedefine/>
    <w:unhideWhenUsed/>
    <w:qFormat/>
    <w:uiPriority w:val="0"/>
    <w:pPr>
      <w:widowControl w:val="0"/>
      <w:jc w:val="both"/>
    </w:pPr>
    <w:rPr>
      <w:rFonts w:ascii="宋体" w:hAnsi="Courier New" w:eastAsia="宋体" w:cs="Times New Roman"/>
      <w:sz w:val="24"/>
      <w:lang w:val="en-US" w:eastAsia="zh-CN" w:bidi="ar-SA"/>
    </w:rPr>
  </w:style>
  <w:style w:type="paragraph" w:styleId="13">
    <w:name w:val="Balloon Text"/>
    <w:basedOn w:val="1"/>
    <w:qFormat/>
    <w:uiPriority w:val="0"/>
    <w:rPr>
      <w:rFonts w:ascii="Times New Roman" w:hAnsi="Times New Roman" w:eastAsia="宋体" w:cs="Times New Roman"/>
      <w:kern w:val="0"/>
      <w:sz w:val="18"/>
      <w:szCs w:val="18"/>
      <w14:ligatures w14:val="none"/>
    </w:rPr>
  </w:style>
  <w:style w:type="paragraph" w:styleId="14">
    <w:name w:val="footer"/>
    <w:basedOn w:val="1"/>
    <w:autoRedefine/>
    <w:qFormat/>
    <w:uiPriority w:val="0"/>
    <w:pPr>
      <w:tabs>
        <w:tab w:val="center" w:pos="4153"/>
        <w:tab w:val="right" w:pos="8306"/>
      </w:tabs>
      <w:snapToGrid w:val="0"/>
      <w:jc w:val="left"/>
    </w:pPr>
    <w:rPr>
      <w:sz w:val="18"/>
    </w:rPr>
  </w:style>
  <w:style w:type="paragraph" w:styleId="1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6">
    <w:name w:val="Subtitle"/>
    <w:basedOn w:val="1"/>
    <w:next w:val="1"/>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Body Text Indent 3"/>
    <w:basedOn w:val="1"/>
    <w:qFormat/>
    <w:uiPriority w:val="0"/>
    <w:pPr>
      <w:spacing w:after="120" w:afterLines="0" w:afterAutospacing="0"/>
      <w:ind w:left="420" w:leftChars="200"/>
    </w:pPr>
    <w:rPr>
      <w:sz w:val="16"/>
    </w:rPr>
  </w:style>
  <w:style w:type="paragraph" w:styleId="18">
    <w:name w:val="toc 2"/>
    <w:basedOn w:val="1"/>
    <w:next w:val="1"/>
    <w:unhideWhenUsed/>
    <w:qFormat/>
    <w:uiPriority w:val="39"/>
    <w:pPr>
      <w:ind w:left="420" w:leftChars="200"/>
    </w:pPr>
  </w:style>
  <w:style w:type="paragraph" w:styleId="19">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14:ligatures w14:val="none"/>
    </w:rPr>
  </w:style>
  <w:style w:type="paragraph" w:styleId="20">
    <w:name w:val="annotation subject"/>
    <w:basedOn w:val="8"/>
    <w:next w:val="8"/>
    <w:link w:val="41"/>
    <w:autoRedefine/>
    <w:qFormat/>
    <w:uiPriority w:val="0"/>
    <w:rPr>
      <w:b/>
      <w:bCs/>
    </w:rPr>
  </w:style>
  <w:style w:type="paragraph" w:styleId="21">
    <w:name w:val="Body Text First Indent 2"/>
    <w:basedOn w:val="10"/>
    <w:autoRedefine/>
    <w:qFormat/>
    <w:uiPriority w:val="0"/>
    <w:pPr>
      <w:spacing w:after="120"/>
      <w:ind w:left="420" w:leftChars="200" w:firstLine="420" w:firstLineChars="200"/>
    </w:pPr>
    <w:rPr>
      <w:rFonts w:ascii="Times New Roman"/>
      <w:sz w:val="21"/>
      <w:szCs w:val="24"/>
    </w:rPr>
  </w:style>
  <w:style w:type="table" w:styleId="23">
    <w:name w:val="Table Grid"/>
    <w:basedOn w:val="2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annotation reference"/>
    <w:basedOn w:val="24"/>
    <w:autoRedefine/>
    <w:qFormat/>
    <w:uiPriority w:val="0"/>
    <w:rPr>
      <w:sz w:val="21"/>
      <w:szCs w:val="21"/>
    </w:rPr>
  </w:style>
  <w:style w:type="paragraph" w:customStyle="1" w:styleId="26">
    <w:name w:val="段"/>
    <w:next w:val="1"/>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7">
    <w:name w:val="首行缩进"/>
    <w:basedOn w:val="1"/>
    <w:autoRedefine/>
    <w:qFormat/>
    <w:uiPriority w:val="0"/>
    <w:pPr>
      <w:ind w:firstLine="480" w:firstLineChars="200"/>
    </w:pPr>
    <w:rPr>
      <w:sz w:val="21"/>
      <w:lang w:val="zh-CN"/>
    </w:rPr>
  </w:style>
  <w:style w:type="character" w:customStyle="1" w:styleId="28">
    <w:name w:val="标题 1 Char"/>
    <w:autoRedefine/>
    <w:qFormat/>
    <w:uiPriority w:val="0"/>
    <w:rPr>
      <w:rFonts w:ascii="Times New Roman" w:hAnsi="Times New Roman" w:eastAsia="宋体"/>
      <w:b/>
      <w:kern w:val="44"/>
      <w:sz w:val="48"/>
    </w:rPr>
  </w:style>
  <w:style w:type="character" w:customStyle="1" w:styleId="29">
    <w:name w:val="标题 1 字符"/>
    <w:link w:val="3"/>
    <w:autoRedefine/>
    <w:qFormat/>
    <w:uiPriority w:val="0"/>
    <w:rPr>
      <w:rFonts w:eastAsia="楷体_GB2312"/>
      <w:b/>
      <w:kern w:val="44"/>
      <w:sz w:val="44"/>
      <w:lang w:val="en-US" w:eastAsia="zh-CN" w:bidi="ar-SA"/>
    </w:rPr>
  </w:style>
  <w:style w:type="character" w:customStyle="1" w:styleId="30">
    <w:name w:val="font21"/>
    <w:basedOn w:val="24"/>
    <w:autoRedefine/>
    <w:qFormat/>
    <w:uiPriority w:val="0"/>
    <w:rPr>
      <w:rFonts w:hint="eastAsia" w:ascii="宋体" w:hAnsi="宋体" w:eastAsia="宋体" w:cs="宋体"/>
      <w:color w:val="000000"/>
      <w:sz w:val="24"/>
      <w:szCs w:val="24"/>
      <w:u w:val="none"/>
    </w:rPr>
  </w:style>
  <w:style w:type="character" w:customStyle="1" w:styleId="31">
    <w:name w:val="font11"/>
    <w:basedOn w:val="24"/>
    <w:autoRedefine/>
    <w:qFormat/>
    <w:uiPriority w:val="0"/>
    <w:rPr>
      <w:rFonts w:hint="default" w:ascii="Calibri" w:hAnsi="Calibri" w:cs="Calibri"/>
      <w:color w:val="000000"/>
      <w:sz w:val="24"/>
      <w:szCs w:val="24"/>
      <w:u w:val="none"/>
    </w:rPr>
  </w:style>
  <w:style w:type="character" w:customStyle="1" w:styleId="32">
    <w:name w:val="font01"/>
    <w:basedOn w:val="24"/>
    <w:autoRedefine/>
    <w:qFormat/>
    <w:uiPriority w:val="0"/>
    <w:rPr>
      <w:rFonts w:hint="eastAsia" w:ascii="宋体" w:hAnsi="宋体" w:eastAsia="宋体" w:cs="宋体"/>
      <w:color w:val="000000"/>
      <w:sz w:val="24"/>
      <w:szCs w:val="24"/>
      <w:u w:val="single"/>
    </w:rPr>
  </w:style>
  <w:style w:type="character" w:customStyle="1" w:styleId="33">
    <w:name w:val="font51"/>
    <w:basedOn w:val="24"/>
    <w:autoRedefine/>
    <w:qFormat/>
    <w:uiPriority w:val="0"/>
    <w:rPr>
      <w:rFonts w:hint="eastAsia" w:ascii="宋体" w:hAnsi="宋体" w:eastAsia="宋体" w:cs="宋体"/>
      <w:color w:val="000000"/>
      <w:sz w:val="22"/>
      <w:szCs w:val="22"/>
      <w:u w:val="none"/>
    </w:rPr>
  </w:style>
  <w:style w:type="character" w:customStyle="1" w:styleId="34">
    <w:name w:val="font31"/>
    <w:basedOn w:val="24"/>
    <w:autoRedefine/>
    <w:qFormat/>
    <w:uiPriority w:val="0"/>
    <w:rPr>
      <w:rFonts w:hint="eastAsia" w:ascii="宋体" w:hAnsi="宋体" w:eastAsia="宋体" w:cs="宋体"/>
      <w:color w:val="000000"/>
      <w:sz w:val="22"/>
      <w:szCs w:val="22"/>
      <w:u w:val="none"/>
      <w:vertAlign w:val="superscript"/>
    </w:rPr>
  </w:style>
  <w:style w:type="character" w:customStyle="1" w:styleId="35">
    <w:name w:val="font111"/>
    <w:basedOn w:val="24"/>
    <w:autoRedefine/>
    <w:qFormat/>
    <w:uiPriority w:val="0"/>
    <w:rPr>
      <w:rFonts w:hint="default" w:ascii="Times New Roman" w:hAnsi="Times New Roman" w:cs="Times New Roman"/>
      <w:b/>
      <w:bCs/>
      <w:color w:val="000000"/>
      <w:sz w:val="16"/>
      <w:szCs w:val="16"/>
      <w:u w:val="none"/>
    </w:rPr>
  </w:style>
  <w:style w:type="character" w:customStyle="1" w:styleId="36">
    <w:name w:val="font122"/>
    <w:basedOn w:val="24"/>
    <w:autoRedefine/>
    <w:qFormat/>
    <w:uiPriority w:val="0"/>
    <w:rPr>
      <w:rFonts w:hint="eastAsia" w:ascii="宋体" w:hAnsi="宋体" w:eastAsia="宋体" w:cs="宋体"/>
      <w:b/>
      <w:bCs/>
      <w:color w:val="000000"/>
      <w:sz w:val="16"/>
      <w:szCs w:val="16"/>
      <w:u w:val="none"/>
    </w:rPr>
  </w:style>
  <w:style w:type="character" w:customStyle="1" w:styleId="37">
    <w:name w:val="font91"/>
    <w:basedOn w:val="24"/>
    <w:autoRedefine/>
    <w:qFormat/>
    <w:uiPriority w:val="0"/>
    <w:rPr>
      <w:rFonts w:hint="eastAsia" w:ascii="宋体" w:hAnsi="宋体" w:eastAsia="宋体" w:cs="宋体"/>
      <w:color w:val="000000"/>
      <w:sz w:val="16"/>
      <w:szCs w:val="16"/>
      <w:u w:val="none"/>
    </w:rPr>
  </w:style>
  <w:style w:type="character" w:customStyle="1" w:styleId="38">
    <w:name w:val="font131"/>
    <w:basedOn w:val="24"/>
    <w:autoRedefine/>
    <w:qFormat/>
    <w:uiPriority w:val="0"/>
    <w:rPr>
      <w:rFonts w:hint="eastAsia" w:ascii="宋体" w:hAnsi="宋体" w:eastAsia="宋体" w:cs="宋体"/>
      <w:color w:val="000000"/>
      <w:sz w:val="16"/>
      <w:szCs w:val="16"/>
      <w:u w:val="none"/>
    </w:rPr>
  </w:style>
  <w:style w:type="paragraph" w:customStyle="1" w:styleId="39">
    <w:name w:val="Revision"/>
    <w:autoRedefine/>
    <w:hidden/>
    <w:unhideWhenUsed/>
    <w:qFormat/>
    <w:uiPriority w:val="99"/>
    <w:rPr>
      <w:rFonts w:ascii="Calibri" w:hAnsi="Calibri" w:eastAsia="宋体" w:cs="Times New Roman"/>
      <w:sz w:val="24"/>
      <w:lang w:val="en-US" w:eastAsia="zh-CN" w:bidi="ar-SA"/>
    </w:rPr>
  </w:style>
  <w:style w:type="character" w:customStyle="1" w:styleId="40">
    <w:name w:val="批注文字 字符"/>
    <w:basedOn w:val="24"/>
    <w:link w:val="8"/>
    <w:autoRedefine/>
    <w:qFormat/>
    <w:uiPriority w:val="0"/>
    <w:rPr>
      <w:rFonts w:ascii="Calibri" w:hAnsi="Calibri"/>
      <w:sz w:val="24"/>
    </w:rPr>
  </w:style>
  <w:style w:type="character" w:customStyle="1" w:styleId="41">
    <w:name w:val="批注主题 字符"/>
    <w:basedOn w:val="40"/>
    <w:link w:val="20"/>
    <w:autoRedefine/>
    <w:qFormat/>
    <w:uiPriority w:val="0"/>
    <w:rPr>
      <w:rFonts w:ascii="Calibri" w:hAnsi="Calibri"/>
      <w:b/>
      <w:bCs/>
      <w:sz w:val="24"/>
    </w:rPr>
  </w:style>
  <w:style w:type="character" w:customStyle="1" w:styleId="42">
    <w:name w:val="font151"/>
    <w:basedOn w:val="24"/>
    <w:autoRedefine/>
    <w:qFormat/>
    <w:uiPriority w:val="0"/>
    <w:rPr>
      <w:rFonts w:hint="default" w:ascii="Times New Roman" w:hAnsi="Times New Roman" w:cs="Times New Roman"/>
      <w:b/>
      <w:bCs/>
      <w:color w:val="000000"/>
      <w:sz w:val="22"/>
      <w:szCs w:val="22"/>
      <w:u w:val="none"/>
    </w:rPr>
  </w:style>
  <w:style w:type="character" w:customStyle="1" w:styleId="43">
    <w:name w:val="font161"/>
    <w:basedOn w:val="24"/>
    <w:autoRedefine/>
    <w:qFormat/>
    <w:uiPriority w:val="0"/>
    <w:rPr>
      <w:rFonts w:hint="eastAsia" w:ascii="宋体" w:hAnsi="宋体" w:eastAsia="宋体" w:cs="宋体"/>
      <w:b/>
      <w:bCs/>
      <w:color w:val="000000"/>
      <w:sz w:val="22"/>
      <w:szCs w:val="22"/>
      <w:u w:val="none"/>
    </w:rPr>
  </w:style>
  <w:style w:type="character" w:customStyle="1" w:styleId="44">
    <w:name w:val="font171"/>
    <w:basedOn w:val="24"/>
    <w:autoRedefine/>
    <w:qFormat/>
    <w:uiPriority w:val="0"/>
    <w:rPr>
      <w:rFonts w:hint="eastAsia" w:ascii="宋体" w:hAnsi="宋体" w:eastAsia="宋体" w:cs="宋体"/>
      <w:color w:val="333300"/>
      <w:sz w:val="20"/>
      <w:szCs w:val="20"/>
      <w:u w:val="none"/>
    </w:rPr>
  </w:style>
  <w:style w:type="character" w:customStyle="1" w:styleId="45">
    <w:name w:val="font181"/>
    <w:basedOn w:val="24"/>
    <w:autoRedefine/>
    <w:qFormat/>
    <w:uiPriority w:val="0"/>
    <w:rPr>
      <w:rFonts w:hint="default" w:ascii="Times New Roman" w:hAnsi="Times New Roman" w:cs="Times New Roman"/>
      <w:b/>
      <w:bCs/>
      <w:color w:val="000000"/>
      <w:sz w:val="20"/>
      <w:szCs w:val="20"/>
      <w:u w:val="none"/>
    </w:rPr>
  </w:style>
  <w:style w:type="character" w:customStyle="1" w:styleId="46">
    <w:name w:val="font191"/>
    <w:basedOn w:val="24"/>
    <w:autoRedefine/>
    <w:qFormat/>
    <w:uiPriority w:val="0"/>
    <w:rPr>
      <w:rFonts w:hint="eastAsia" w:ascii="宋体" w:hAnsi="宋体" w:eastAsia="宋体" w:cs="宋体"/>
      <w:b/>
      <w:bCs/>
      <w:color w:val="000000"/>
      <w:sz w:val="20"/>
      <w:szCs w:val="20"/>
      <w:u w:val="none"/>
    </w:rPr>
  </w:style>
  <w:style w:type="paragraph" w:styleId="47">
    <w:name w:val="List Paragraph"/>
    <w:basedOn w:val="1"/>
    <w:autoRedefine/>
    <w:qFormat/>
    <w:uiPriority w:val="34"/>
    <w:pPr>
      <w:ind w:left="720"/>
      <w:contextualSpacing/>
    </w:pPr>
  </w:style>
  <w:style w:type="paragraph" w:customStyle="1" w:styleId="48">
    <w:name w:val="正文1"/>
    <w:next w:val="1"/>
    <w:autoRedefine/>
    <w:qFormat/>
    <w:uiPriority w:val="0"/>
    <w:pPr>
      <w:widowControl w:val="0"/>
      <w:jc w:val="both"/>
    </w:pPr>
    <w:rPr>
      <w:rFonts w:ascii="Times New Roman" w:hAnsi="Times New Roman" w:eastAsia="仿宋_GB2312" w:cs="Times New Roman"/>
      <w:sz w:val="24"/>
      <w:lang w:val="en-US" w:eastAsia="zh-CN" w:bidi="ar-SA"/>
    </w:rPr>
  </w:style>
  <w:style w:type="paragraph" w:customStyle="1" w:styleId="49">
    <w:name w:val="M正文"/>
    <w:basedOn w:val="1"/>
    <w:qFormat/>
    <w:uiPriority w:val="0"/>
    <w:pPr>
      <w:spacing w:line="360" w:lineRule="auto"/>
      <w:ind w:firstLine="480" w:firstLineChars="200"/>
    </w:pPr>
    <w:rPr>
      <w:sz w:val="24"/>
      <w:szCs w:val="24"/>
      <w14:ligatures w14:val="none"/>
    </w:rPr>
  </w:style>
  <w:style w:type="paragraph" w:customStyle="1" w:styleId="50">
    <w:name w:val="纯文本4"/>
    <w:basedOn w:val="1"/>
    <w:autoRedefine/>
    <w:qFormat/>
    <w:uiPriority w:val="0"/>
    <w:pPr>
      <w:adjustRightInd w:val="0"/>
      <w:textAlignment w:val="baseline"/>
    </w:pPr>
    <w:rPr>
      <w:rFonts w:ascii="宋体" w:hAnsi="Courier New" w:eastAsia="楷体_GB2312" w:cs="Times New Roman"/>
      <w:kern w:val="0"/>
      <w:sz w:val="26"/>
      <w:szCs w:val="20"/>
    </w:rPr>
  </w:style>
  <w:style w:type="table" w:customStyle="1" w:styleId="51">
    <w:name w:val="网格型2"/>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10596</Words>
  <Characters>11244</Characters>
  <Lines>62</Lines>
  <Paragraphs>17</Paragraphs>
  <TotalTime>433</TotalTime>
  <ScaleCrop>false</ScaleCrop>
  <LinksUpToDate>false</LinksUpToDate>
  <CharactersWithSpaces>11443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2023-08-14T01:49:00Z</dcterms:created>
  <dc:creator>-</dc:creator>
  <cp:lastModifiedBy>YFY</cp:lastModifiedBy>
  <dcterms:modified xsi:type="dcterms:W3CDTF">2025-12-16T05:32:04Z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630DA4BA7EBD4FF78C8ACDF22035A678_13</vt:lpwstr>
  </property>
  <property fmtid="{D5CDD505-2E9C-101B-9397-08002B2CF9AE}" pid="4" name="KSOTemplateDocerSaveRecord">
    <vt:lpwstr>eyJoZGlkIjoiNjcxMjRkMjZkNjA4MTc1MDExZGUzNTQ0NmM3YjFmOTUiLCJ1c2VySWQiOiI0MTgyNzg2NjIifQ==</vt:lpwstr>
  </property>
</Properties>
</file>