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JSZC-320585-SZTZ-G2024-0032</w:t>
      </w:r>
      <w:r>
        <w:rPr>
          <w:rFonts w:hint="eastAsia" w:ascii="宋体" w:hAnsi="宋体" w:cs="宋体"/>
          <w:b/>
          <w:color w:val="auto"/>
          <w:sz w:val="30"/>
          <w:szCs w:val="30"/>
          <w:highlight w:val="none"/>
          <w:lang w:eastAsia="zh-CN"/>
        </w:rPr>
        <w:tab/>
      </w:r>
      <w:r>
        <w:rPr>
          <w:rFonts w:hint="eastAsia" w:ascii="宋体" w:hAnsi="宋体" w:cs="宋体"/>
          <w:b/>
          <w:color w:val="auto"/>
          <w:sz w:val="30"/>
          <w:szCs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太仓高新区生活污水处理专项规划服务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rPr>
          <w:rFonts w:hint="eastAsia" w:ascii="宋体" w:hAnsi="宋体" w:cs="宋体"/>
          <w:color w:val="auto"/>
          <w:sz w:val="30"/>
          <w:highlight w:val="none"/>
        </w:rPr>
        <w:t xml:space="preserve">  </w:t>
      </w:r>
      <w:r/>
    </w:p>
    <w:p>
      <w:pPr>
        <w:ind w:left="480" w:right="-159"/>
        <w:spacing w:line="48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江苏省太仓高新技术产业开发区管理委员会</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二〇二四年</w:t>
      </w:r>
      <w:r>
        <w:rPr>
          <w:rFonts w:hint="eastAsia" w:cs="宋体"/>
          <w:b/>
          <w:color w:val="auto"/>
          <w:sz w:val="30"/>
          <w:szCs w:val="30"/>
          <w:highlight w:val="none"/>
          <w:lang w:val="en-US" w:eastAsia="zh-CN"/>
        </w:rPr>
        <w:t xml:space="preserve">十二</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754"/>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754"/>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730"/>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74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江苏省太仓高新技术产业开发区管理委员会</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JSZC-320585-SZTZ-G2024-0032</w:t>
            </w:r>
            <w:r>
              <w:rPr>
                <w:rFonts w:hint="eastAsia" w:ascii="宋体" w:hAnsi="宋体" w:cs="宋体"/>
                <w:color w:val="auto"/>
                <w:sz w:val="21"/>
                <w:szCs w:val="21"/>
                <w:highlight w:val="none"/>
                <w:lang w:val="zh-CN"/>
              </w:rPr>
              <w:tab/>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757"/>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太仓高新区生活污水处理专项规划服务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757"/>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w:t>
            </w:r>
            <w:r>
              <w:rPr>
                <w:rFonts w:hint="eastAsia" w:ascii="宋体" w:hAnsi="宋体" w:cs="宋体"/>
                <w:color w:val="auto"/>
                <w:sz w:val="21"/>
                <w:szCs w:val="21"/>
                <w:highlight w:val="none"/>
                <w:lang w:eastAsia="zh-CN" w:bidi="ar"/>
              </w:rPr>
              <w:t xml:space="preserve">自招标文件公告发布之日起5个工作日</w:t>
            </w:r>
            <w:r>
              <w:rPr>
                <w:rFonts w:hint="eastAsia" w:ascii="宋体" w:hAnsi="宋体" w:cs="宋体"/>
                <w:color w:val="auto"/>
                <w:sz w:val="21"/>
                <w:szCs w:val="21"/>
                <w:highlight w:val="none"/>
                <w:lang w:bidi="ar"/>
              </w:rPr>
              <w:t xml:space="preserve">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2025年01月02日09点30分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时间：2025年01月02日09点30分（北京时间）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22"/>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820"/>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val="0"/>
                <w:bCs w:val="0"/>
                <w:color w:val="auto"/>
                <w:sz w:val="21"/>
                <w:szCs w:val="21"/>
                <w:highlight w:val="none"/>
                <w:lang w:eastAsia="zh-CN"/>
              </w:rPr>
              <w:t xml:space="preserve">无</w:t>
            </w:r>
            <w:r>
              <w:rPr>
                <w:rFonts w:hint="eastAsia" w:ascii="宋体" w:hAnsi="宋体" w:cs="宋体"/>
                <w:b w:val="0"/>
                <w:bCs w:val="0"/>
                <w:color w:val="auto"/>
                <w:sz w:val="21"/>
                <w:szCs w:val="21"/>
                <w:highlight w:val="none"/>
              </w:rPr>
              <w:t xml:space="preserve">。</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730"/>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740"/>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太仓高新区生活污水处理专项规划服务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JSZC-320585-SZTZ-G2024-0032</w:t>
            </w:r>
            <w:r>
              <w:rPr>
                <w:rFonts w:hint="eastAsia" w:ascii="仿宋" w:hAnsi="仿宋" w:eastAsia="仿宋" w:cs="仿宋"/>
                <w:color w:val="auto"/>
                <w:sz w:val="21"/>
                <w:szCs w:val="21"/>
                <w:highlight w:val="none"/>
                <w:lang w:eastAsia="zh-CN"/>
              </w:rPr>
              <w:tab/>
            </w:r>
            <w:r>
              <w:rPr>
                <w:rFonts w:hint="eastAsia" w:ascii="仿宋" w:hAnsi="仿宋" w:eastAsia="仿宋" w:cs="仿宋"/>
                <w:color w:val="auto"/>
                <w:sz w:val="21"/>
                <w:szCs w:val="21"/>
                <w:highlight w:val="none"/>
              </w:rPr>
              <w:t xml:space="preserve"> 招标项目的潜在投标人应在苏州市政府采购网，点击底部苏采云图标，登录苏采云政府采购一体化平台，对参与项目进行报名，并下载电子招标文件 获取招标文件，并于</w:t>
            </w:r>
            <w:r>
              <w:rPr>
                <w:rFonts w:hint="eastAsia" w:ascii="仿宋" w:hAnsi="仿宋" w:eastAsia="仿宋" w:cs="仿宋"/>
                <w:color w:val="auto"/>
                <w:sz w:val="21"/>
                <w:szCs w:val="21"/>
                <w:highlight w:val="none"/>
                <w:lang w:eastAsia="zh-CN"/>
              </w:rPr>
              <w:t xml:space="preserve">2025年01月02日09点30分</w:t>
            </w:r>
            <w:r>
              <w:rPr>
                <w:rFonts w:hint="eastAsia" w:ascii="仿宋" w:hAnsi="仿宋" w:eastAsia="仿宋" w:cs="仿宋"/>
                <w:color w:val="auto"/>
                <w:sz w:val="21"/>
                <w:szCs w:val="21"/>
                <w:highlight w:val="none"/>
              </w:rPr>
              <w:t xml:space="preserve"> （北京时间）前递交投标文件。</w:t>
            </w:r>
            <w:r/>
          </w:p>
        </w:tc>
      </w:tr>
    </w:tbl>
    <w:p>
      <w:pPr>
        <w:pStyle w:val="73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一、项目基本情况</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JSZC-320585-SZTZ-G2024-0032</w:t>
      </w:r>
      <w:r>
        <w:rPr>
          <w:rFonts w:hint="eastAsia" w:ascii="仿宋" w:hAnsi="仿宋" w:eastAsia="仿宋" w:cs="仿宋"/>
          <w:color w:val="auto"/>
          <w:sz w:val="21"/>
          <w:szCs w:val="21"/>
          <w:highlight w:val="none"/>
          <w:lang w:eastAsia="zh-CN"/>
        </w:rPr>
        <w:tab/>
      </w:r>
      <w:r>
        <w:rPr>
          <w:rFonts w:hint="eastAsia" w:ascii="仿宋" w:hAnsi="仿宋" w:eastAsia="仿宋" w:cs="仿宋"/>
          <w:color w:val="auto"/>
          <w:sz w:val="21"/>
          <w:szCs w:val="21"/>
          <w:highlight w:val="none"/>
        </w:rPr>
        <w:t xml:space="preserve">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太仓高新区生活污水处理专项规划服务</w:t>
      </w:r>
      <w:r>
        <w:rPr>
          <w:rFonts w:hint="eastAsia" w:ascii="仿宋" w:hAnsi="仿宋" w:eastAsia="仿宋" w:cs="仿宋"/>
          <w:color w:val="auto"/>
          <w:sz w:val="21"/>
          <w:szCs w:val="21"/>
          <w:highlight w:val="none"/>
        </w:rPr>
        <w:t xml:space="preserve">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90.000000万元</w:t>
      </w:r>
      <w:r>
        <w:rPr>
          <w:rFonts w:hint="eastAsia" w:ascii="仿宋" w:hAnsi="仿宋" w:eastAsia="仿宋" w:cs="仿宋"/>
          <w:color w:val="auto"/>
          <w:sz w:val="21"/>
          <w:szCs w:val="21"/>
          <w:highlight w:val="none"/>
        </w:rPr>
        <w:t xml:space="preserve"> </w:t>
      </w:r>
      <w:r/>
    </w:p>
    <w:p>
      <w:pPr>
        <w:pStyle w:val="7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90.000000万元</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eastAsia="zh-CN"/>
        </w:rPr>
        <w:t xml:space="preserve">太仓高新区生活污水处理专项规划服务</w:t>
      </w:r>
      <w:r>
        <w:rPr>
          <w:rFonts w:hint="eastAsia" w:ascii="仿宋" w:hAnsi="仿宋" w:eastAsia="仿宋" w:cs="仿宋"/>
          <w:color w:val="auto"/>
          <w:sz w:val="21"/>
          <w:szCs w:val="21"/>
          <w:highlight w:val="none"/>
        </w:rPr>
        <w:t xml:space="preserve">，其他要求详见采购文件。</w:t>
      </w:r>
      <w:r/>
    </w:p>
    <w:p>
      <w:pPr>
        <w:pStyle w:val="760"/>
        <w:ind w:firstLine="420"/>
        <w:spacing w:before="0" w:beforeAutospacing="0" w:after="0" w:afterAutospacing="0"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按采购文件要求完成规划编制并通过验收。</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73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二、申请人的资格要求</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ind w:firstLine="420"/>
        <w:jc w:val="both"/>
        <w:keepLines w:val="0"/>
        <w:keepNext w:val="0"/>
        <w:pageBreakBefore w:val="0"/>
        <w:spacing w:line="360" w:lineRule="auto"/>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为保证项目顺利实施，</w:t>
      </w:r>
      <w:r>
        <w:rPr>
          <w:rFonts w:hint="eastAsia" w:ascii="仿宋" w:hAnsi="仿宋" w:eastAsia="仿宋" w:cs="仿宋"/>
          <w:color w:val="auto"/>
          <w:sz w:val="21"/>
          <w:szCs w:val="21"/>
          <w:highlight w:val="none"/>
        </w:rPr>
        <w:t xml:space="preserve">本项目要求</w:t>
      </w:r>
      <w:r>
        <w:rPr>
          <w:rFonts w:hint="eastAsia" w:ascii="仿宋" w:hAnsi="仿宋" w:eastAsia="仿宋" w:cs="仿宋"/>
          <w:color w:val="auto"/>
          <w:sz w:val="21"/>
          <w:szCs w:val="21"/>
          <w:highlight w:val="none"/>
          <w:lang w:val="en-US" w:eastAsia="zh-CN"/>
        </w:rPr>
        <w:t xml:space="preserve">投标单位</w:t>
      </w:r>
      <w:r>
        <w:rPr>
          <w:rFonts w:hint="eastAsia" w:ascii="仿宋" w:hAnsi="仿宋" w:eastAsia="仿宋" w:cs="仿宋"/>
          <w:color w:val="auto"/>
          <w:sz w:val="21"/>
          <w:szCs w:val="21"/>
          <w:highlight w:val="none"/>
        </w:rPr>
        <w:t xml:space="preserve">拟投入的项目组人员不少于</w:t>
      </w:r>
      <w:r>
        <w:rPr>
          <w:rFonts w:hint="eastAsia" w:ascii="仿宋" w:hAnsi="仿宋" w:eastAsia="仿宋" w:cs="仿宋"/>
          <w:color w:val="auto"/>
          <w:sz w:val="21"/>
          <w:szCs w:val="21"/>
          <w:highlight w:val="none"/>
          <w:lang w:val="en-US" w:eastAsia="zh-CN"/>
        </w:rPr>
        <w:t xml:space="preserve">11</w:t>
      </w:r>
      <w:r>
        <w:rPr>
          <w:rFonts w:hint="eastAsia" w:ascii="仿宋" w:hAnsi="仿宋" w:eastAsia="仿宋" w:cs="仿宋"/>
          <w:color w:val="auto"/>
          <w:sz w:val="21"/>
          <w:szCs w:val="21"/>
          <w:highlight w:val="none"/>
        </w:rPr>
        <w:t xml:space="preserve">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其中项目负责人</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项目组成员10人</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提供人员到位承诺书或人员名单。</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760"/>
        <w:ind w:firstLine="422"/>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rPr>
        <w:pBdr>
          <w:left w:val="none" w:color="auto" w:sz="0" w:space="0"/>
        </w:pBdr>
        <w:suppressLineNumbers w:val="0"/>
      </w:pPr>
      <w:r>
        <w:rPr>
          <w:rStyle w:val="766"/>
          <w:rFonts w:hint="eastAsia" w:ascii="仿宋" w:hAnsi="仿宋" w:eastAsia="仿宋" w:cs="仿宋"/>
          <w:b/>
          <w:bCs/>
          <w:color w:val="auto"/>
          <w:sz w:val="21"/>
          <w:szCs w:val="21"/>
          <w:highlight w:val="none"/>
          <w:lang w:val="en-US" w:eastAsia="zh-CN"/>
        </w:rPr>
        <w:t xml:space="preserve">1</w:t>
      </w:r>
      <w:r>
        <w:rPr>
          <w:rStyle w:val="766"/>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760"/>
        <w:ind w:firstLine="422"/>
        <w:spacing w:before="0" w:beforeAutospacing="0" w:after="0" w:afterAutospacing="0" w:line="288" w:lineRule="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i w:val="0"/>
          <w:iCs w:val="0"/>
          <w:caps w:val="0"/>
          <w:color w:val="auto"/>
          <w:spacing w:val="0"/>
          <w:sz w:val="21"/>
          <w:szCs w:val="21"/>
          <w:highlight w:val="none"/>
          <w:shd w:val="clear" w:color="auto" w:fill="ffffff"/>
        </w:rPr>
        <w:t xml:space="preserve">具有城乡规划编制</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甲</w:t>
      </w:r>
      <w:r>
        <w:rPr>
          <w:rFonts w:hint="eastAsia" w:ascii="仿宋" w:hAnsi="仿宋" w:eastAsia="仿宋" w:cs="仿宋"/>
          <w:b/>
          <w:bCs/>
          <w:i w:val="0"/>
          <w:iCs w:val="0"/>
          <w:caps w:val="0"/>
          <w:color w:val="auto"/>
          <w:spacing w:val="0"/>
          <w:sz w:val="21"/>
          <w:szCs w:val="21"/>
          <w:highlight w:val="none"/>
          <w:shd w:val="clear" w:color="auto" w:fill="ffffff"/>
        </w:rPr>
        <w:t xml:space="preserve">级及以上资质</w:t>
      </w:r>
      <w:r/>
    </w:p>
    <w:p>
      <w:pPr>
        <w:pStyle w:val="7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w:t>
      </w:r>
      <w:r>
        <w:rPr>
          <w:rFonts w:hint="eastAsia" w:ascii="仿宋" w:hAnsi="仿宋" w:eastAsia="仿宋" w:cs="仿宋"/>
          <w:color w:val="auto"/>
          <w:sz w:val="21"/>
          <w:szCs w:val="21"/>
          <w:highlight w:val="none"/>
          <w:lang w:eastAsia="zh-CN" w:bidi="ar"/>
        </w:rPr>
        <w:t xml:space="preserve">自招标文件公告发布之日起5个工作日</w:t>
      </w:r>
      <w:r>
        <w:rPr>
          <w:rFonts w:hint="eastAsia" w:ascii="仿宋" w:hAnsi="仿宋" w:eastAsia="仿宋" w:cs="仿宋"/>
          <w:color w:val="auto"/>
          <w:sz w:val="21"/>
          <w:szCs w:val="21"/>
          <w:highlight w:val="none"/>
          <w:lang w:bidi="ar"/>
        </w:rPr>
        <w:t xml:space="preserve">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31"/>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四、提交投标文件截止时间、开标时间和地点</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2025年01月02日09点30分</w:t>
      </w:r>
      <w:r>
        <w:rPr>
          <w:rFonts w:hint="eastAsia" w:ascii="仿宋" w:hAnsi="仿宋" w:eastAsia="仿宋" w:cs="仿宋"/>
          <w:color w:val="auto"/>
          <w:sz w:val="21"/>
          <w:szCs w:val="21"/>
          <w:highlight w:val="none"/>
        </w:rPr>
        <w:t xml:space="preserve"> （北京时间）</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3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五、公告期限</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3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766"/>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766"/>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766"/>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766"/>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766"/>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766"/>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766"/>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766"/>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766"/>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766"/>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766"/>
          <w:rFonts w:hint="eastAsia" w:ascii="仿宋" w:hAnsi="仿宋" w:eastAsia="仿宋" w:cs="仿宋"/>
          <w:color w:val="auto"/>
          <w:sz w:val="21"/>
          <w:szCs w:val="21"/>
          <w:highlight w:val="none"/>
          <w:lang w:bidi="ar"/>
        </w:rPr>
        <w:t xml:space="preserve">。</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8、</w:t>
      </w:r>
      <w:r>
        <w:rPr>
          <w:rStyle w:val="766"/>
          <w:rFonts w:hint="eastAsia" w:ascii="仿宋" w:hAnsi="仿宋" w:eastAsia="仿宋" w:cs="仿宋"/>
          <w:color w:val="auto"/>
          <w:sz w:val="21"/>
          <w:szCs w:val="21"/>
          <w:highlight w:val="none"/>
          <w:lang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帐户：苏州泰至鑫项目管理有限公司</w:t>
      </w:r>
      <w:r/>
    </w:p>
    <w:p>
      <w:pPr>
        <w:pStyle w:val="760"/>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开户行：中国建设银行股份有限公司太仓陆渡支行</w:t>
      </w:r>
      <w:r/>
    </w:p>
    <w:p>
      <w:pPr>
        <w:pStyle w:val="760"/>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账户：3225 0199 7348 0000 0598</w:t>
      </w:r>
      <w:r/>
    </w:p>
    <w:p>
      <w:pPr>
        <w:ind w:firstLine="420"/>
        <w:jc w:val="both"/>
        <w:spacing w:line="360" w:lineRule="auto"/>
        <w:shd w:val="clear" w:color="auto" w:fill="ffffff"/>
        <w:rPr>
          <w:b w:val="0"/>
          <w:bCs w:val="0"/>
          <w:color w:val="auto"/>
          <w:sz w:val="21"/>
          <w:szCs w:val="21"/>
          <w:highlight w:val="none"/>
        </w:rPr>
      </w:pPr>
      <w:r>
        <w:rPr>
          <w:rStyle w:val="766"/>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shd w:val="clear" w:color="auto" w:fill="ffffff"/>
          <w:lang w:bidi="ar"/>
        </w:rPr>
        <w:t xml:space="preserve">政府采购履约资金扶持政策  </w:t>
      </w:r>
      <w:r/>
    </w:p>
    <w:p>
      <w:pPr>
        <w:pStyle w:val="731"/>
        <w:numPr>
          <w:ilvl w:val="1"/>
          <w:numId w:val="0"/>
        </w:numPr>
        <w:ind w:firstLine="420"/>
        <w:keepLines w:val="0"/>
        <w:keepNext w:val="0"/>
        <w:spacing w:before="0" w:after="0" w:line="360" w:lineRule="auto"/>
        <w:rPr>
          <w:rStyle w:val="766"/>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73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66"/>
          <w:rFonts w:hint="eastAsia" w:ascii="仿宋" w:hAnsi="仿宋" w:eastAsia="仿宋" w:cs="仿宋"/>
          <w:b/>
          <w:bCs/>
          <w:color w:val="auto"/>
          <w:sz w:val="21"/>
          <w:szCs w:val="21"/>
          <w:highlight w:val="none"/>
        </w:rPr>
        <w:t xml:space="preserve">七、对本次招标提出询问，请按以下方式联系</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江苏省太仓高新技术产业开发区管理委员会</w:t>
      </w:r>
      <w:r>
        <w:rPr>
          <w:rFonts w:hint="eastAsia" w:ascii="仿宋" w:hAnsi="仿宋" w:eastAsia="仿宋" w:cs="仿宋"/>
          <w:color w:val="auto"/>
          <w:sz w:val="21"/>
          <w:szCs w:val="21"/>
          <w:highlight w:val="none"/>
        </w:rPr>
        <w:t xml:space="preserve"> </w:t>
      </w:r>
      <w:r/>
    </w:p>
    <w:p>
      <w:pPr>
        <w:pStyle w:val="7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江苏省苏州市太仓市上海东路88号</w:t>
      </w:r>
      <w:r/>
    </w:p>
    <w:p>
      <w:pPr>
        <w:pStyle w:val="7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姜媛  </w:t>
      </w:r>
      <w:r/>
    </w:p>
    <w:p>
      <w:pPr>
        <w:pStyle w:val="7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 0512-53595044</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760"/>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顾孙英 联系电话：13145086180</w:t>
      </w:r>
      <w:r/>
    </w:p>
    <w:p>
      <w:pPr>
        <w:ind w:firstLine="422"/>
        <w:jc w:val="both"/>
        <w:spacing w:line="360" w:lineRule="auto"/>
        <w:rPr>
          <w:rFonts w:ascii="仿宋" w:hAnsi="仿宋" w:eastAsia="仿宋" w:cs="仿宋"/>
          <w:color w:val="auto"/>
          <w:sz w:val="21"/>
          <w:szCs w:val="21"/>
          <w:highlight w:val="none"/>
        </w:rPr>
      </w:pPr>
      <w:r>
        <w:rPr>
          <w:rStyle w:val="766"/>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45"/>
        <w:rPr>
          <w:color w:val="auto"/>
          <w:highlight w:val="none"/>
        </w:rPr>
      </w:pPr>
      <w:r>
        <w:rPr>
          <w:color w:val="auto"/>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Style w:val="773"/>
          <w:rFonts w:ascii="宋体" w:hAnsi="宋体" w:eastAsia="宋体" w:cs="宋体"/>
          <w:color w:val="auto"/>
          <w:sz w:val="32"/>
          <w:szCs w:val="32"/>
          <w:highlight w:val="none"/>
        </w:rPr>
      </w:pPr>
      <w:r/>
      <w:bookmarkStart w:id="2" w:name="_Toc15584"/>
      <w:r/>
      <w:r/>
    </w:p>
    <w:p>
      <w:pPr>
        <w:jc w:val="both"/>
        <w:widowControl w:val="off"/>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73"/>
          <w:rFonts w:ascii="宋体" w:hAnsi="宋体" w:eastAsia="宋体" w:cs="宋体"/>
          <w:color w:val="auto"/>
          <w:sz w:val="32"/>
          <w:szCs w:val="32"/>
          <w:highlight w:val="none"/>
        </w:rPr>
      </w:pPr>
      <w:r>
        <w:rPr>
          <w:rStyle w:val="773"/>
          <w:rFonts w:hint="eastAsia" w:ascii="宋体" w:hAnsi="宋体" w:eastAsia="宋体" w:cs="宋体"/>
          <w:color w:val="auto"/>
          <w:sz w:val="32"/>
          <w:szCs w:val="32"/>
          <w:highlight w:val="none"/>
        </w:rPr>
        <w:t xml:space="preserve">第二章 投标人须知</w:t>
      </w:r>
      <w:bookmarkEnd w:id="2"/>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13.1投标书一（报价部分）：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13.1.1 开标一览表（详见投标文件格式，用于唱标）；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投标书二：</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13.2.1.1关于资格文件的声明函（详见投标文件格式）；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13.2.1.2投标人营业执照或独立法人证书副本或三证合一营业执照扫描件；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13.2.1.3投标人参加本次政府采购活动前的财务状况报告或者银行出具的资信证明；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13.2.1.4投标人根据项目需求提供履行合同所必需的设备和专业技术能力的证明材料；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13.2.1.5投标人参加本次政府采购活动前半年（至少一个月）依法缴纳税收和社会保障资金的证明材料；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13.2.1.6投标人参加政府采购活动前三年在经营活动中没有重大违法记录的书面申明（详见投标文件格式）；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13.2.1.7投标人证明其符合招标文件规定的投标人特定资格条件的证书、证明和文件材料；（如有）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13.2.1.8投标人基本情况表（详见投标文件格式）；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13.2.1.9投标人法定代表人身份证扫描件；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13.2.1.10投标人法定代表人授权委托书原件（如有授权）（详见投标文件格式）；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13.2.1.11投标人授权代理人身份证扫描件（如有授权）；</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13.2.1.12中小企业声明函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13.2.1.13残疾人福利性单位声明函（如有）；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13.2.1.14其他可以证明投标人资信、资质和货物、服务质量的证书、文件、推荐信等资料；（如有）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13.2.2技术及商务部分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13.2.2.3相关业绩一览表及相关证明材料（详见投标文件格式）；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13.2.2.4相关证书一览表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13.2.2.5投入本项目技术（服务）人员一览表及相关证明材料（详见投标文件格式）；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13.2.2.6项目的技术及服务方案等；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13.2.2.7招标文件及评分标准中要求提供的其他相关材料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13.2.2.8其他需投标人对本次投标的详细说明（投标人视各自的情况自行编制）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eastAsia="宋体" w:cs="宋体"/>
          <w:color w:val="auto"/>
          <w:sz w:val="21"/>
          <w:szCs w:val="21"/>
          <w:highlight w:val="none"/>
        </w:rPr>
        <w:t xml:space="preserve">包括完成本项工作所需的一切费用，包括但不限于完成相应工作任务涉及的</w:t>
      </w:r>
      <w:r>
        <w:rPr>
          <w:rFonts w:hint="eastAsia" w:ascii="宋体" w:hAnsi="宋体" w:cs="宋体"/>
          <w:color w:val="auto"/>
          <w:sz w:val="21"/>
          <w:szCs w:val="21"/>
          <w:highlight w:val="none"/>
          <w:lang w:eastAsia="zh-CN"/>
        </w:rPr>
        <w:t xml:space="preserve">人工费、通讯费、专家评审费、交通费</w:t>
      </w:r>
      <w:r>
        <w:rPr>
          <w:rFonts w:hint="eastAsia" w:ascii="宋体" w:hAnsi="宋体" w:eastAsia="宋体" w:cs="宋体"/>
          <w:color w:val="auto"/>
          <w:sz w:val="21"/>
          <w:szCs w:val="21"/>
          <w:highlight w:val="none"/>
        </w:rPr>
        <w:t xml:space="preserve">、资料费、调查费、报告及方案编制费（含印刷费）、咨询费、后续服务费、评审费、利润、税金、政策性文件规定及合同包含的所有风险、责任等完成本项目的各项应有费用。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24.7</w:t>
      </w:r>
      <w:r>
        <w:rPr>
          <w:rFonts w:hint="eastAsia" w:ascii="宋体" w:hAnsi="宋体" w:cs="宋体"/>
          <w:b/>
          <w:bCs/>
          <w:color w:val="auto"/>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auto"/>
          <w:sz w:val="21"/>
          <w:szCs w:val="21"/>
          <w:highlight w:val="none"/>
          <w:lang w:val="zh-CN"/>
        </w:rPr>
        <w:t xml:space="preserve">。</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773"/>
          <w:rFonts w:hint="eastAsia" w:ascii="宋体" w:hAnsi="宋体" w:eastAsia="宋体" w:cs="宋体"/>
          <w:color w:val="auto"/>
          <w:sz w:val="32"/>
          <w:szCs w:val="32"/>
          <w:highlight w:val="none"/>
        </w:rPr>
      </w:pPr>
      <w:r/>
      <w:bookmarkStart w:id="4" w:name="_Toc28477"/>
      <w:r>
        <w:rPr>
          <w:rStyle w:val="773"/>
          <w:rFonts w:ascii="宋体" w:hAnsi="宋体" w:eastAsia="宋体" w:cs="宋体"/>
          <w:color w:val="auto"/>
          <w:sz w:val="32"/>
          <w:szCs w:val="32"/>
          <w:highlight w:val="none"/>
        </w:rPr>
        <w:br w:type="page" w:clear="all"/>
      </w:r>
      <w:r/>
    </w:p>
    <w:p>
      <w:pPr>
        <w:pStyle w:val="772"/>
        <w:jc w:val="center"/>
        <w:rPr>
          <w:color w:val="auto"/>
          <w:highlight w:val="none"/>
        </w:rPr>
      </w:pPr>
      <w:r>
        <w:rPr>
          <w:rStyle w:val="773"/>
          <w:rFonts w:hint="eastAsia" w:ascii="宋体" w:hAnsi="宋体" w:eastAsia="宋体" w:cs="宋体"/>
          <w:color w:val="auto"/>
          <w:sz w:val="32"/>
          <w:szCs w:val="32"/>
          <w:highlight w:val="none"/>
        </w:rPr>
        <w:t xml:space="preserve">第三章 </w:t>
      </w:r>
      <w:bookmarkEnd w:id="4"/>
      <w:r>
        <w:rPr>
          <w:rStyle w:val="773"/>
          <w:rFonts w:hint="eastAsia" w:ascii="宋体" w:hAnsi="宋体" w:eastAsia="宋体" w:cs="宋体"/>
          <w:color w:val="auto"/>
          <w:sz w:val="32"/>
          <w:szCs w:val="32"/>
          <w:highlight w:val="none"/>
        </w:rPr>
        <w:t xml:space="preserve">项目需求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江苏省太仓高新技术产业开发区管理委员会</w:t>
      </w:r>
      <w:r>
        <w:rPr>
          <w:rFonts w:hint="eastAsia" w:ascii="宋体" w:hAnsi="宋体" w:eastAsia="宋体" w:cs="宋体"/>
          <w:color w:val="auto"/>
          <w:sz w:val="21"/>
          <w:szCs w:val="21"/>
          <w:highlight w:val="none"/>
        </w:rPr>
        <w:t xml:space="preserve">之委托，苏州泰至鑫项目管理有限公司作为招标代理机构，对其拟采购的</w:t>
      </w:r>
      <w:r>
        <w:rPr>
          <w:rFonts w:hint="eastAsia" w:ascii="宋体" w:hAnsi="宋体" w:eastAsia="宋体" w:cs="宋体"/>
          <w:color w:val="auto"/>
          <w:sz w:val="21"/>
          <w:szCs w:val="21"/>
          <w:highlight w:val="none"/>
          <w:lang w:eastAsia="zh-CN"/>
        </w:rPr>
        <w:t xml:space="preserve">太仓高新区生活污水处理专项规划服务</w:t>
      </w:r>
      <w:r>
        <w:rPr>
          <w:rFonts w:hint="eastAsia" w:ascii="宋体" w:hAnsi="宋体" w:eastAsia="宋体" w:cs="宋体"/>
          <w:color w:val="auto"/>
          <w:sz w:val="21"/>
          <w:szCs w:val="21"/>
          <w:highlight w:val="none"/>
        </w:rPr>
        <w:t xml:space="preserve">进行国内公开招标。欢迎符合资格条件的供应商前来报名参加投标。</w:t>
      </w:r>
      <w:r/>
    </w:p>
    <w:p>
      <w:pPr>
        <w:pStyle w:val="744"/>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一、项目概况</w:t>
      </w:r>
      <w:r/>
    </w:p>
    <w:p>
      <w:pPr>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eastAsia="宋体" w:cs="宋体"/>
          <w:color w:val="auto"/>
          <w:sz w:val="21"/>
          <w:szCs w:val="21"/>
          <w:highlight w:val="none"/>
          <w:lang w:val="zh-CN"/>
        </w:rPr>
        <w:t xml:space="preserve">JSZC-320585-SZTZ-G2024-0032</w:t>
      </w:r>
      <w:r>
        <w:rPr>
          <w:rFonts w:hint="eastAsia" w:ascii="宋体" w:hAnsi="宋体" w:eastAsia="宋体" w:cs="宋体"/>
          <w:color w:val="auto"/>
          <w:sz w:val="21"/>
          <w:szCs w:val="21"/>
          <w:highlight w:val="none"/>
          <w:lang w:val="zh-CN"/>
        </w:rPr>
        <w:tab/>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eastAsia="宋体" w:cs="宋体"/>
          <w:color w:val="auto"/>
          <w:sz w:val="21"/>
          <w:szCs w:val="21"/>
          <w:highlight w:val="none"/>
          <w:lang w:eastAsia="zh-CN"/>
        </w:rPr>
        <w:t xml:space="preserve">太仓高新区生活污水处理专项规划服务</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eastAsia="宋体" w:cs="宋体"/>
          <w:color w:val="auto"/>
          <w:sz w:val="21"/>
          <w:szCs w:val="21"/>
          <w:highlight w:val="none"/>
          <w:lang w:val="zh-CN"/>
        </w:rPr>
        <w:t xml:space="preserve">按采购文件要求完成规划编制并通过验收。</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shd w:val="clear" w:color="auto" w:fill="ffffff"/>
          <w:lang w:bidi="ar"/>
        </w:rPr>
        <w:t xml:space="preserve">4、预算金额：</w:t>
      </w:r>
      <w:r>
        <w:rPr>
          <w:rFonts w:hint="eastAsia" w:ascii="宋体" w:hAnsi="宋体" w:eastAsia="宋体" w:cs="宋体"/>
          <w:color w:val="auto"/>
          <w:sz w:val="21"/>
          <w:szCs w:val="21"/>
          <w:highlight w:val="none"/>
          <w:lang w:val="en-US" w:eastAsia="zh-CN"/>
        </w:rPr>
        <w:t xml:space="preserve">90.000000万元</w:t>
      </w:r>
      <w:r>
        <w:rPr>
          <w:rFonts w:hint="eastAsia" w:ascii="宋体" w:hAnsi="宋体" w:eastAsia="宋体" w:cs="宋体"/>
          <w:color w:val="auto"/>
          <w:sz w:val="21"/>
          <w:szCs w:val="21"/>
          <w:highlight w:val="none"/>
        </w:rPr>
        <w:t xml:space="preserve"> </w:t>
      </w:r>
      <w:r/>
    </w:p>
    <w:p>
      <w:pPr>
        <w:ind w:firstLine="422"/>
        <w:keepLines w:val="0"/>
        <w:keepNext w:val="0"/>
        <w:pageBreakBefore w:val="0"/>
        <w:spacing w:line="360" w:lineRule="auto"/>
        <w:tabs>
          <w:tab w:val="left" w:pos="36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5、最高限价：</w:t>
      </w:r>
      <w:r>
        <w:rPr>
          <w:rFonts w:hint="eastAsia" w:ascii="宋体" w:hAnsi="宋体" w:eastAsia="宋体" w:cs="宋体"/>
          <w:color w:val="auto"/>
          <w:sz w:val="21"/>
          <w:szCs w:val="21"/>
          <w:highlight w:val="none"/>
          <w:lang w:val="en-US" w:eastAsia="zh-CN"/>
        </w:rPr>
        <w:t xml:space="preserve">90.000000万元</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、服务地点：</w:t>
      </w:r>
      <w:r>
        <w:rPr>
          <w:rFonts w:hint="eastAsia" w:ascii="宋体" w:hAnsi="宋体" w:eastAsia="宋体" w:cs="宋体"/>
          <w:color w:val="auto"/>
          <w:sz w:val="21"/>
          <w:szCs w:val="21"/>
          <w:highlight w:val="none"/>
        </w:rPr>
        <w:t xml:space="preserve">采购方指定</w:t>
      </w:r>
      <w:r/>
    </w:p>
    <w:p>
      <w:pPr>
        <w:ind w:firstLine="422"/>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采购需求：</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bookmarkStart w:id="5" w:name="_Toc25002"/>
      <w:r>
        <w:rPr>
          <w:rFonts w:hint="eastAsia" w:ascii="宋体" w:hAnsi="宋体" w:eastAsia="宋体" w:cs="宋体"/>
          <w:b/>
          <w:bCs/>
          <w:color w:val="auto"/>
          <w:sz w:val="21"/>
          <w:szCs w:val="21"/>
          <w:highlight w:val="none"/>
        </w:rPr>
        <w:t xml:space="preserve">（一）规划编制原则</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（1）本次专项规划编制应遵守国家和地方相关法规、规范，贯彻落实高起点、高标准、高质量进行市政基础设施建设的相关要求。</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（2）本次专项规划编制应在做好现状调查研究的基础上，以区域市政污水排放需求预测为依据，定性分析与定量分析相结合，规划应保持适当超前。</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（3）本次专项规划编制应考虑局部与全局相结合，立足发展，做出战略性安排。强化进行现状调研及相关管线协调，结合总体规划及现状，整合现状管线及市政资源，对污水设施及管网系统作出合理规划。</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（4）本次专项规划编制应根据合理的规划设计方案提出区域内市政污水基础设施建设步骤，建设时序及项目库，指导建设实施。</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（5）本次专项规划编制应坚持以人为本，可持续发展原则，在规划思想、方法、技术上有所创新。</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（二）主要参考标准规范</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（1）《市政公用工程设计文件编制深度规定》（2013年版）</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（2）《城市工程管线综合规划规范》（GB 50289-2016）</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（3）《城市排水工程规划规范》（GB 50318-2017）</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（4）《室外排水设计标准》（GB 50014-2021）</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（5）《城市污水再生利用工业用水水质》（GB19923 2024）</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（6）《城市污水再生利用城市杂用水水质标准》（GB/T18920 2020）</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（7）《城市污水再生利用景观环境用水水质》（GB/T18921 2019）</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（三）规划范围</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本次规划范围为太仓市高新区，北接城厢镇、沙溪镇，东连浏河镇，南与上海交界。总用地110.08km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，包括娄东街道片区(45.37km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)、科教新城片区(12.68km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)和娄江新城片区(52.03km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)。东西方向总宽近16.5km，南北方向总长近15.6km。</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（四）规划目标</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进一步完善太仓高新区市政污水系统为目标，通过合理预测、科学布局，确定经济可行的规划方案，指导规划范围内污水系统工程的实施。通过污水管网布置合理、污水处理达标排放、污泥妥善处理处置等方面，合理确定城市排水设施标准、布局、建设时序。同时，兼顾再生水资源利用。</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（五）规划主要内容</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本次污水专项规</w:t>
      </w:r>
      <w:r>
        <w:rPr>
          <w:rFonts w:hint="eastAsia" w:ascii="宋体" w:hAnsi="宋体" w:eastAsia="宋体" w:cs="宋体"/>
          <w:color w:val="auto"/>
          <w:sz w:val="21"/>
          <w:szCs w:val="21"/>
          <w:highlight w:val="none"/>
        </w:rPr>
        <w:t xml:space="preserve">划编制主要包含以下内容：</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（1）污水现状资料调研、汇编及整理</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对编制本专项规划的深刻理解的基础上，由规划编制单位对现状进行深入调研。由于区内的污水设施及管网规模较大，做好基础资料汇编和分析过程记录。具体应明确：高新区市政污水基础设施及管网的现状、需求和认识。</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（2）污水现状问题分析</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分析当前污水设施的现状，包括污水处理设施的分布、处理能力、运行情况以及存在的问题。在此基础上，明确污水专项规划的对策给出合理化的建议。</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（3）污水处理设施及污水处理规划</w:t>
      </w:r>
      <w:r/>
    </w:p>
    <w:p>
      <w:pPr>
        <w:contextualSpacing/>
        <w:ind w:firstLine="420"/>
        <w:jc w:val="both"/>
        <w:spacing w:line="360" w:lineRule="auto"/>
        <w:widowControl w:val="off"/>
        <w:tabs>
          <w:tab w:val="left" w:pos="5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对相关上位规划梳理的基础上，明确项目的重点难点，提出本次专项规划的合理目标。结合空间总体规划及高新区控规，预测未来污水量。在技术路线、系统结构和总体功能布局确定后，开展污水管网的方案编制，确保能够覆盖整个规划区域，实现污水的有效收集。明确管网建设的标准和要求，与相关规划做好管网系统衔接，确保路由通畅、管位充裕。</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（4）污泥处理处置规划</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污水处理厂实际情况及相关规划情况，根据污水处理规模和工艺，预测污泥的产生量。选择合适的污泥处理处置方法，如填埋、焚烧、堆肥等。规划建设相应的污泥处置设施，确保污泥得到安全、环保的处理。</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（5）再生水资源利用规划</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分析规划区域对再生水的需求，包括工业用水、景观用水、绿化用水等。规划再生水的利用途径，建设再生水输送管网。确定再生水的水质标准，保证再生水的安全可靠使用。</w:t>
      </w:r>
      <w:r/>
    </w:p>
    <w:p>
      <w:pPr>
        <w:contextualSpacing/>
        <w:ind w:firstLine="420"/>
        <w:jc w:val="both"/>
        <w:spacing w:line="360" w:lineRule="auto"/>
        <w:widowControl w:val="off"/>
        <w:tabs>
          <w:tab w:val="left" w:pos="5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（6）项目保障措施</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方案内容包括但不限于①进度保障措施②质量保障措施③安全保密措施等</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按照合同要求，编制单位应该从人员安排、工作量控制等角度提出进度保障措施；在现有的法律法规框架下形成质量保障措施；遵循当地数据保密的要求做好安全保密措施的工作，提交高质量的成果。</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（六）规划主要成果</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（1）规划成果</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规划成果主要包含高新区市政污水系统规划的规划说明书、文本、图纸、汇报ppt，相关主要成果如下：</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太仓高新区污水专项规划说明</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太仓高新区污水专项规划文本</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太仓高新区污水专项规划汇报文件（ppt）</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太仓高新区污水专项规划图纸（主要含规划区位图、土地利用规划图、污水系统现状图、污泥处置现状图、污水分区规划图、污水系统规划图、污泥处理处置规划图、污水管网规划图。</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（2）成果文件格式</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全部设计成果均应制作计算机文件，图形文件采用AutoCAD R14或以上的DWG格式文件。空间数据库采用ArcGIS  mdb地理数据库或者shapefile文件。文本文件采用Microsoft word6.0以上的格式文件。电脑渲染图的计算机文件应采用国内较为普及、通用的计算机软件，提交以上计算机文件光盘2套。提供的电子文件应当满足建设数据库系统的要求。</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（3）规划咨询服务内容（咨询服务时间以年度为单位）</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提交规划正式成果后，提供为期一年的常态化污水设施及管线相关的规划技术支持，包括污水管线设计方案规划建议、设计方案合规性审查等内容。</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（七）时间进度</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本次规划时间进度要求共分为三个阶段：</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第一阶段：合同签订之日起4个月，进行现状分析和初步构思汇报；</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第二阶段：第一阶段完成后2个月，形成中期成果并向甲方汇报；</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第三阶段：编制最终成果并通过验收。</w:t>
      </w:r>
      <w:bookmarkStart w:id="31" w:name="_GoBack"/>
      <w:r/>
      <w:bookmarkEnd w:id="31"/>
      <w:r/>
      <w:r/>
    </w:p>
    <w:p>
      <w:pPr>
        <w:contextualSpacing/>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（八）人员要求：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1、本项目要求拟投入的项目组人员不少于</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人。其中项目负责人1人，项目组成员</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人，本项条款为实质性条款，人员数量不符合要求的为无效标。提供人员到位承诺书或人员名单。</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负责人应具有一定的工作经验，有一定的专业技术水平，能够对项目的整体进度及质量进行把控，对项目成果进行审核。项目组人员应接受过专业培训，工作经验丰富，了解国家在生活污水处理专项规划方面的最新政策、法规和技术要求，能够确保规划方案符合国家的发展战略和政策导向。</w:t>
      </w:r>
      <w:r/>
    </w:p>
    <w:p>
      <w:pPr>
        <w:contextualSpacing/>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（九）付款方式</w:t>
      </w:r>
      <w:r/>
    </w:p>
    <w:p>
      <w:pPr>
        <w:contextualSpacing/>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合同签订生效后，中标单位进行现状分析和初步构思汇报后支付合同金额的30%；提供送审稿，通过专家评审并修改完善后支付合同金额的40%；项目验收通过后支付合同金额的30%  。</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、综合说明及其他要求：</w:t>
      </w:r>
      <w:r/>
    </w:p>
    <w:p>
      <w:pPr>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1、供应商需充分了解现状情况，充分收集相关资料，听取有关部门意见，外地供应商应深入本地开展调研工作。</w:t>
      </w:r>
      <w:r/>
    </w:p>
    <w:p>
      <w:pPr>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2、服务期间，按照采购单位要求提供编制方案，根据采购单位需要，提供方案成果相关数据。服务期满，供应商应为采购人提供本项目服务的后续咨询。</w:t>
      </w:r>
      <w:r/>
    </w:p>
    <w:p>
      <w:pPr>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为本项目能在采购人规定时间内保质保量地完成，要求投标人针对本项目制定组织实施方案和配备专业的实施团队，</w:t>
      </w:r>
      <w:r>
        <w:rPr>
          <w:rFonts w:hint="eastAsia" w:ascii="宋体" w:hAnsi="宋体" w:eastAsia="宋体" w:cs="宋体"/>
          <w:bCs/>
          <w:color w:val="auto"/>
          <w:sz w:val="21"/>
          <w:szCs w:val="21"/>
          <w:highlight w:val="none"/>
          <w:lang w:val="en-US" w:eastAsia="zh-CN"/>
        </w:rPr>
        <w:t xml:space="preserve">方案内容至少包括：</w:t>
      </w:r>
      <w:r>
        <w:rPr>
          <w:rFonts w:hint="eastAsia" w:ascii="宋体" w:hAnsi="宋体"/>
          <w:color w:val="auto"/>
          <w:sz w:val="21"/>
          <w:szCs w:val="21"/>
          <w:highlight w:val="none"/>
        </w:rPr>
        <w:t xml:space="preserve">对现状的理解</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对规划目标的理解和把握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规划设计方案</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项目保障措施及方案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中标后，项目团队人员配备应按投标文件中承诺的实施，不经采购单位同意，不得更换。</w:t>
      </w:r>
      <w:r/>
    </w:p>
    <w:p>
      <w:pPr>
        <w:contextualSpacing/>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4、如因采购人原因、政策原因或其它不可抗力原因造成时间延误，则本项目服务期限相应顺延。</w:t>
      </w:r>
      <w:r/>
    </w:p>
    <w:p>
      <w:pPr>
        <w:contextualSpacing/>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5、中标人对服务缺陷不予更正，招标人有权另请其他单位更正，所发生的费用由中标人承担。</w:t>
      </w:r>
      <w:r/>
    </w:p>
    <w:p>
      <w:pPr>
        <w:contextualSpacing/>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6、中标人有责任配合招标人接受上级领导部门的监督、检查，提供必须的资料。</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8、招标人不接受投标人任何因遗漏报价而发生的费用追加，因投标人违反《劳动法》等法律法规而造成招标人的连带责任和损失全部由中标人承担。</w:t>
      </w:r>
      <w:r/>
    </w:p>
    <w:p>
      <w:pPr>
        <w:contextualSpacing/>
        <w:ind w:firstLine="420"/>
        <w:jc w:val="both"/>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9、报价</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：采用</w:t>
      </w:r>
      <w:r>
        <w:rPr>
          <w:rFonts w:hint="eastAsia" w:ascii="宋体" w:hAnsi="宋体" w:cs="宋体"/>
          <w:color w:val="auto"/>
          <w:sz w:val="21"/>
          <w:szCs w:val="21"/>
          <w:highlight w:val="none"/>
          <w:lang w:val="en-US" w:eastAsia="zh-CN"/>
        </w:rPr>
        <w:t xml:space="preserve">总价以</w:t>
      </w:r>
      <w:r>
        <w:rPr>
          <w:rFonts w:hint="eastAsia" w:ascii="宋体" w:hAnsi="宋体" w:eastAsia="宋体" w:cs="宋体"/>
          <w:color w:val="auto"/>
          <w:sz w:val="21"/>
          <w:szCs w:val="21"/>
          <w:highlight w:val="none"/>
        </w:rPr>
        <w:t xml:space="preserve">人民币报价，应包括完成本项工作所需的一切费用，包括但不限于完成相应工作任务涉及的</w:t>
      </w:r>
      <w:r>
        <w:rPr>
          <w:rFonts w:hint="eastAsia" w:ascii="宋体" w:hAnsi="宋体" w:cs="宋体"/>
          <w:color w:val="auto"/>
          <w:sz w:val="21"/>
          <w:szCs w:val="21"/>
          <w:highlight w:val="none"/>
          <w:lang w:eastAsia="zh-CN"/>
        </w:rPr>
        <w:t xml:space="preserve">人工费、通讯费、专家评审费、交通费</w:t>
      </w:r>
      <w:r>
        <w:rPr>
          <w:rFonts w:hint="eastAsia" w:ascii="宋体" w:hAnsi="宋体" w:eastAsia="宋体" w:cs="宋体"/>
          <w:color w:val="auto"/>
          <w:sz w:val="21"/>
          <w:szCs w:val="21"/>
          <w:highlight w:val="none"/>
        </w:rPr>
        <w:t xml:space="preserve">、资料费、调查费、报告及方案编制费（含印刷费）、咨询费、后续服务费、评审费、利润、税金、政策性文件规定及合同包含的所有风险、责任等完成本项目的各项应有费用。</w:t>
      </w:r>
      <w:r/>
    </w:p>
    <w:p>
      <w:pPr>
        <w:contextualSpacing/>
        <w:ind w:firstLine="420"/>
        <w:jc w:val="both"/>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10、技术成果和版权归属：中标方受采购人委托完成的方案编制成果文稿版权归采购人。未经采购人允许，中标方不得将技术成果、版权向第三方转让，否则采购人有权追究中标方的责任。</w:t>
      </w:r>
      <w:r/>
    </w:p>
    <w:p>
      <w:pPr>
        <w:contextualSpacing/>
        <w:ind w:firstLine="420"/>
        <w:jc w:val="both"/>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技术情况和资料的保密：未经采购人的许可，中标方不得向其它第三方单位或个人提供或透漏采购人提供的资料和数据，不得自行发布、发表成果；中标方不得将编制成果作为其它商业用途，否则采购人有权追究中标方的责任。</w:t>
      </w:r>
      <w:r/>
    </w:p>
    <w:p>
      <w:pPr>
        <w:pStyle w:val="745"/>
        <w:ind w:firstLine="0"/>
        <w:rPr>
          <w:rStyle w:val="77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line="400" w:lineRule="exact"/>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73"/>
          <w:rFonts w:ascii="宋体" w:hAnsi="宋体" w:eastAsia="宋体" w:cs="宋体"/>
          <w:color w:val="auto"/>
          <w:sz w:val="32"/>
          <w:szCs w:val="32"/>
          <w:highlight w:val="none"/>
        </w:rPr>
      </w:pPr>
      <w:r>
        <w:rPr>
          <w:rStyle w:val="773"/>
          <w:rFonts w:hint="eastAsia" w:ascii="宋体" w:hAnsi="宋体" w:eastAsia="宋体" w:cs="宋体"/>
          <w:color w:val="auto"/>
          <w:sz w:val="32"/>
          <w:szCs w:val="32"/>
          <w:highlight w:val="none"/>
        </w:rPr>
        <w:t xml:space="preserve">第四章 投标文件格式</w:t>
      </w:r>
      <w:bookmarkEnd w:id="5"/>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32"/>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p>
    <w:p>
      <w:pPr>
        <w:pStyle w:val="790"/>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740"/>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ind w:right="0" w:firstLine="420"/>
        <w:keepLines w:val="0"/>
        <w:keepNext w:val="0"/>
        <w:pageBreakBefore w:val="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rPr>
        <w:t xml:space="preserve">应包括完成本项工作所需的一切费用，包括但不限于完成相应工作任务涉及的</w:t>
      </w:r>
      <w:r>
        <w:rPr>
          <w:rFonts w:hint="eastAsia" w:ascii="宋体" w:hAnsi="宋体" w:cs="宋体"/>
          <w:color w:val="auto"/>
          <w:sz w:val="21"/>
          <w:szCs w:val="21"/>
          <w:highlight w:val="none"/>
          <w:lang w:eastAsia="zh-CN"/>
        </w:rPr>
        <w:t xml:space="preserve">人工费、通讯费、专家评审费、交通费</w:t>
      </w:r>
      <w:r>
        <w:rPr>
          <w:rFonts w:hint="eastAsia" w:ascii="宋体" w:hAnsi="宋体" w:eastAsia="宋体" w:cs="宋体"/>
          <w:color w:val="auto"/>
          <w:sz w:val="21"/>
          <w:szCs w:val="21"/>
          <w:highlight w:val="none"/>
        </w:rPr>
        <w:t xml:space="preserve">、资料费、调查费、报告及方案编制费（含印刷费）、咨询费、后续服务费、评审费、利润、税金、政策性文件规定及合同包含的所有风险、责任等完成本项目的各项应有费用。</w:t>
      </w:r>
      <w:r/>
    </w:p>
    <w:p>
      <w:pPr>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820"/>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801"/>
        <w:ind w:left="0"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745"/>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745"/>
        <w:ind w:firstLine="251"/>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056"/>
        <w:gridCol w:w="1204"/>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ascii="宋体" w:hAnsi="宋体" w:cs="宋体"/>
                <w:color w:val="auto"/>
                <w:sz w:val="21"/>
                <w:szCs w:val="21"/>
                <w:highlight w:val="none"/>
              </w:rPr>
            </w:pPr>
            <w:r>
              <w:rPr>
                <w:rFonts w:hint="eastAsia"/>
                <w:b/>
                <w:bCs/>
                <w:color w:val="auto"/>
                <w:sz w:val="21"/>
                <w:szCs w:val="21"/>
                <w:highlight w:val="none"/>
                <w:lang w:val="en-US" w:eastAsia="zh-CN"/>
              </w:rPr>
              <w:t xml:space="preserve">合</w:t>
            </w:r>
            <w:r>
              <w:rPr>
                <w:rFonts w:hint="eastAsia"/>
                <w:b/>
                <w:bCs/>
                <w:color w:val="auto"/>
                <w:sz w:val="21"/>
                <w:szCs w:val="21"/>
                <w:highlight w:val="none"/>
              </w:rPr>
              <w:t xml:space="preserve">价</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764"/>
        <w:ind w:firstLine="5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732"/>
        <w:numPr>
          <w:ilvl w:val="0"/>
          <w:numId w:val="0"/>
        </w:numPr>
        <w:ind w:left="403"/>
        <w:jc w:val="center"/>
        <w:spacing w:before="156" w:after="0" w:line="420" w:lineRule="exact"/>
        <w:rPr>
          <w:color w:val="auto"/>
          <w:sz w:val="44"/>
          <w:szCs w:val="44"/>
          <w:highlight w:val="none"/>
          <w:lang w:val="zh-CN"/>
        </w:rPr>
      </w:pPr>
      <w:r>
        <w:rPr>
          <w:color w:val="auto"/>
          <w:sz w:val="44"/>
          <w:szCs w:val="44"/>
          <w:highlight w:val="none"/>
          <w:lang w:val="zh-CN"/>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pStyle w:val="745"/>
        <w:rPr>
          <w:color w:val="auto"/>
          <w:highlight w:val="none"/>
        </w:rPr>
      </w:pPr>
      <w:r>
        <w:rPr>
          <w:color w:val="auto"/>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pStyle w:val="744"/>
        <w:numPr>
          <w:ilvl w:val="0"/>
          <w:numId w:val="4"/>
        </w:numPr>
        <w:jc w:val="center"/>
        <w:rPr>
          <w:b/>
          <w:color w:val="auto"/>
          <w:sz w:val="44"/>
          <w:szCs w:val="44"/>
          <w:highlight w:val="none"/>
        </w:rPr>
      </w:pPr>
      <w:r>
        <w:rPr>
          <w:rFonts w:hint="eastAsia"/>
          <w:b/>
          <w:color w:val="auto"/>
          <w:sz w:val="44"/>
          <w:szCs w:val="44"/>
          <w:highlight w:val="none"/>
        </w:rPr>
        <w:t xml:space="preserve">资格、技术、商务部分</w:t>
      </w:r>
      <w:r/>
    </w:p>
    <w:p>
      <w:pPr>
        <w:pStyle w:val="744"/>
        <w:jc w:val="both"/>
        <w:rPr>
          <w:b/>
          <w:color w:val="auto"/>
          <w:sz w:val="44"/>
          <w:szCs w:val="44"/>
          <w:highlight w:val="none"/>
        </w:rPr>
      </w:pPr>
      <w:r>
        <w:rPr>
          <w:b/>
          <w:color w:val="auto"/>
          <w:sz w:val="44"/>
          <w:szCs w:val="44"/>
          <w:highlight w:val="none"/>
        </w:rPr>
      </w:r>
      <w:r/>
    </w:p>
    <w:p>
      <w:pPr>
        <w:pStyle w:val="741"/>
        <w:numPr>
          <w:ilvl w:val="0"/>
          <w:numId w:val="5"/>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41"/>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41"/>
        <w:ind w:firstLine="0"/>
        <w:rPr>
          <w:rFonts w:ascii="宋体" w:hAnsi="宋体" w:eastAsia="宋体" w:cs="宋体"/>
          <w:b/>
          <w:color w:val="auto"/>
          <w:highlight w:val="none"/>
        </w:rPr>
      </w:pPr>
      <w:r>
        <w:rPr>
          <w:rFonts w:ascii="宋体" w:hAnsi="宋体" w:eastAsia="宋体" w:cs="宋体"/>
          <w:b/>
          <w:color w:val="auto"/>
          <w:highlight w:val="none"/>
        </w:rPr>
      </w:r>
      <w:r/>
    </w:p>
    <w:p>
      <w:pPr>
        <w:pStyle w:val="741"/>
        <w:ind w:firstLine="0"/>
        <w:rPr>
          <w:rFonts w:ascii="宋体" w:hAnsi="宋体" w:eastAsia="宋体" w:cs="宋体"/>
          <w:color w:val="auto"/>
          <w:highlight w:val="none"/>
        </w:rPr>
      </w:pPr>
      <w:r>
        <w:rPr>
          <w:rFonts w:ascii="宋体" w:hAnsi="宋体" w:eastAsia="宋体" w:cs="宋体"/>
          <w:color w:val="auto"/>
          <w:highlight w:val="none"/>
        </w:rPr>
      </w:r>
      <w:r/>
    </w:p>
    <w:p>
      <w:pPr>
        <w:pStyle w:val="741"/>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4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4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9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741"/>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投标人营业执照或独立法人证书副本或三证合一营业执照扫描件；</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790"/>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790"/>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Cs w:val="21"/>
          <w:highlight w:val="none"/>
        </w:rPr>
      </w:pPr>
      <w:r>
        <w:rPr>
          <w:b/>
          <w:bCs/>
          <w:color w:val="auto"/>
          <w:szCs w:val="21"/>
          <w:highlight w:val="none"/>
        </w:rPr>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741"/>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1"/>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74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17310"/>
      <w:r/>
      <w:bookmarkStart w:id="7" w:name="_Toc5717"/>
      <w:r/>
      <w:bookmarkStart w:id="8" w:name="_Toc24626"/>
      <w:r/>
      <w:bookmarkStart w:id="9" w:name="_Toc18702"/>
      <w:r/>
      <w:bookmarkStart w:id="10" w:name="_Toc29896"/>
      <w:r/>
      <w:bookmarkStart w:id="11" w:name="_Toc20811"/>
      <w:r/>
      <w:bookmarkStart w:id="12" w:name="_Toc14425"/>
      <w:r/>
      <w:bookmarkStart w:id="13" w:name="_Toc9742"/>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25556"/>
      <w:r/>
      <w:bookmarkStart w:id="15" w:name="_Toc11337"/>
      <w:r/>
      <w:bookmarkStart w:id="16" w:name="_Toc7351"/>
      <w:r/>
      <w:bookmarkStart w:id="17" w:name="_Toc11973"/>
      <w:r/>
      <w:bookmarkStart w:id="18" w:name="_Toc4786"/>
      <w:r/>
      <w:bookmarkStart w:id="19" w:name="_Toc30046"/>
      <w:r/>
      <w:bookmarkStart w:id="20" w:name="_Toc6794"/>
      <w:r/>
      <w:bookmarkStart w:id="21" w:name="_Toc25055"/>
      <w:r/>
      <w:bookmarkStart w:id="22" w:name="_Toc18588"/>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741"/>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74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73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73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如有</w:t>
      </w:r>
      <w:r>
        <w:rPr>
          <w:rFonts w:hint="eastAsia" w:ascii="宋体" w:hAnsi="宋体" w:eastAsia="宋体" w:cs="宋体"/>
          <w:b/>
          <w:bCs/>
          <w:color w:val="auto"/>
          <w:sz w:val="21"/>
          <w:szCs w:val="21"/>
          <w:highlight w:val="none"/>
          <w:lang w:eastAsia="zh-CN"/>
        </w:rPr>
        <w:t xml:space="preserve">）</w:t>
      </w:r>
      <w:r/>
    </w:p>
    <w:p>
      <w:pP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798"/>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744"/>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826"/>
        <w:numPr>
          <w:ilvl w:val="0"/>
          <w:numId w:val="6"/>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826"/>
        <w:numPr>
          <w:ilvl w:val="0"/>
          <w:numId w:val="6"/>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744"/>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744"/>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44"/>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17"/>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投标人：（盖章）</w:t>
      </w:r>
      <w:r/>
    </w:p>
    <w:p>
      <w:pPr>
        <w:pStyle w:val="817"/>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817"/>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761"/>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61"/>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60"/>
        <w:spacing w:before="0" w:beforeAutospacing="0" w:after="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741"/>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741"/>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741"/>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741"/>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74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741"/>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4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740"/>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32"/>
        <w:gridCol w:w="1547"/>
        <w:gridCol w:w="3000"/>
        <w:gridCol w:w="2819"/>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w:t>
            </w:r>
            <w:r/>
          </w:p>
        </w:tc>
        <w:tc>
          <w:tcPr>
            <w:tcBorders>
              <w:top w:val="single" w:color="auto" w:sz="4"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服务地点</w:t>
            </w:r>
            <w:r/>
          </w:p>
        </w:tc>
        <w:tc>
          <w:tcPr>
            <w:tcBorders>
              <w:top w:val="single" w:color="auto" w:sz="4"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格式13：相关证书一览表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4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ascii="宋体" w:hAnsi="宋体" w:cs="宋体"/>
          <w:color w:val="auto"/>
          <w:highlight w:val="none"/>
        </w:rPr>
      </w:pPr>
      <w:r>
        <w:rPr>
          <w:rFonts w:ascii="宋体" w:hAnsi="宋体" w:cs="宋体"/>
          <w:color w:val="auto"/>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1"/>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格式14：</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4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合同签订时间</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41"/>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格式15：投入本项目技术（服务）人员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744"/>
        <w:rPr>
          <w:color w:val="auto"/>
          <w:highlight w:val="none"/>
        </w:rPr>
      </w:pPr>
      <w:r>
        <w:rPr>
          <w:color w:val="auto"/>
          <w:highlight w:val="none"/>
        </w:rPr>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rPr>
              <w:t xml:space="preserve">相关证书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817"/>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817"/>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格式16：服务方案及其他招标文件要求自行编写格式</w:t>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Style w:val="773"/>
          <w:rFonts w:hint="eastAsia"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73"/>
          <w:rFonts w:ascii="宋体" w:hAnsi="宋体" w:eastAsia="宋体" w:cs="宋体"/>
          <w:color w:val="auto"/>
          <w:sz w:val="32"/>
          <w:szCs w:val="32"/>
          <w:highlight w:val="none"/>
        </w:rPr>
      </w:pPr>
      <w:r>
        <w:rPr>
          <w:rStyle w:val="773"/>
          <w:rFonts w:hint="eastAsia" w:ascii="宋体" w:hAnsi="宋体" w:eastAsia="宋体" w:cs="宋体"/>
          <w:color w:val="auto"/>
          <w:sz w:val="32"/>
          <w:szCs w:val="32"/>
          <w:highlight w:val="none"/>
        </w:rPr>
        <w:t xml:space="preserve">第五章 评标办法及评分标准</w:t>
      </w:r>
      <w:bookmarkEnd w:id="24"/>
      <w:r/>
    </w:p>
    <w:p>
      <w:pPr>
        <w:pStyle w:val="798"/>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798"/>
        <w:numPr>
          <w:ilvl w:val="0"/>
          <w:numId w:val="7"/>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 协议供货目录</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采购清单中的设备如属协议供货中规定的目录内产品将参照苏州市政府采购共享江苏省省级最新一期协议目录产品，同时还须满足协议供货承诺书中所作的承诺。投标人所响应产品型号</w:t>
      </w:r>
      <w:r>
        <w:rPr>
          <w:rFonts w:hint="eastAsia" w:ascii="宋体" w:hAnsi="宋体" w:cs="宋体"/>
          <w:b/>
          <w:bCs/>
          <w:color w:val="auto"/>
          <w:sz w:val="21"/>
          <w:szCs w:val="21"/>
          <w:highlight w:val="none"/>
          <w:lang w:bidi="ar"/>
        </w:rPr>
        <w:t xml:space="preserve">必须</w:t>
      </w:r>
      <w:r>
        <w:rPr>
          <w:rFonts w:hint="eastAsia" w:ascii="宋体" w:hAnsi="宋体" w:cs="宋体"/>
          <w:color w:val="auto"/>
          <w:sz w:val="21"/>
          <w:szCs w:val="21"/>
          <w:highlight w:val="none"/>
          <w:lang w:bidi="ar"/>
        </w:rPr>
        <w:t xml:space="preserve">为协议供货目录中有的品牌型号，</w:t>
      </w:r>
      <w:r>
        <w:rPr>
          <w:rFonts w:hint="eastAsia" w:ascii="宋体" w:hAnsi="宋体" w:cs="宋体"/>
          <w:b/>
          <w:bCs/>
          <w:color w:val="auto"/>
          <w:sz w:val="21"/>
          <w:szCs w:val="21"/>
          <w:highlight w:val="none"/>
          <w:lang w:bidi="ar"/>
        </w:rPr>
        <w:t xml:space="preserve">且单台设备报价不得高于最高限价</w:t>
      </w:r>
      <w:r>
        <w:rPr>
          <w:rFonts w:hint="eastAsia" w:ascii="宋体" w:hAnsi="宋体" w:cs="宋体"/>
          <w:color w:val="auto"/>
          <w:sz w:val="21"/>
          <w:szCs w:val="21"/>
          <w:highlight w:val="none"/>
          <w:lang w:bidi="ar"/>
        </w:rPr>
        <w:t xml:space="preserve">，</w:t>
      </w:r>
      <w:r>
        <w:rPr>
          <w:rFonts w:hint="eastAsia" w:ascii="宋体" w:hAnsi="宋体" w:cs="宋体"/>
          <w:b/>
          <w:bCs/>
          <w:color w:val="auto"/>
          <w:sz w:val="21"/>
          <w:szCs w:val="21"/>
          <w:highlight w:val="none"/>
          <w:lang w:bidi="ar"/>
        </w:rPr>
        <w:t xml:space="preserve">否则视为未实质性响应</w:t>
      </w:r>
      <w:r>
        <w:rPr>
          <w:rFonts w:hint="eastAsia" w:ascii="宋体" w:hAnsi="宋体" w:cs="宋体"/>
          <w:color w:val="auto"/>
          <w:sz w:val="21"/>
          <w:szCs w:val="21"/>
          <w:highlight w:val="none"/>
          <w:lang w:bidi="ar"/>
        </w:rPr>
        <w:t xml:space="preserve">。投标人可提供相关产品信息的截图资料以便评审，清单截图资料以递交投标文件截止时已正式公布的最近一期信息为准。</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在最新一期协议供货目录发布时已经开展但尚未进入评审环节的政府采购活动，可同时执行最新一期和其上期协议供货目录。</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 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小微企业的价格分评审</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太财购[2022]12号）的规定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本项目属于</w:t>
      </w:r>
      <w:r>
        <w:rPr>
          <w:rFonts w:hint="eastAsia" w:ascii="宋体" w:hAnsi="宋体" w:eastAsia="宋体" w:cs="宋体"/>
          <w:b/>
          <w:bCs/>
          <w:color w:val="auto"/>
          <w:sz w:val="21"/>
          <w:szCs w:val="21"/>
          <w:highlight w:val="none"/>
          <w:lang w:val="en-US" w:eastAsia="zh-CN"/>
        </w:rPr>
        <w:t xml:space="preserve">非</w:t>
      </w:r>
      <w:r>
        <w:rPr>
          <w:rFonts w:hint="eastAsia" w:ascii="宋体" w:hAnsi="宋体" w:eastAsia="宋体" w:cs="宋体"/>
          <w:b/>
          <w:bCs/>
          <w:color w:val="auto"/>
          <w:sz w:val="21"/>
          <w:szCs w:val="21"/>
          <w:highlight w:val="none"/>
        </w:rPr>
        <w:t xml:space="preserve">专门面向中小微企业</w:t>
      </w:r>
      <w:r>
        <w:rPr>
          <w:rFonts w:hint="eastAsia" w:ascii="宋体" w:hAnsi="宋体" w:eastAsia="宋体" w:cs="宋体"/>
          <w:b/>
          <w:bCs/>
          <w:color w:val="auto"/>
          <w:sz w:val="21"/>
          <w:szCs w:val="21"/>
          <w:highlight w:val="none"/>
          <w:lang w:val="en-US" w:eastAsia="zh-CN"/>
        </w:rPr>
        <w:t xml:space="preserve">采购的项目</w:t>
      </w:r>
      <w:r>
        <w:rPr>
          <w:rFonts w:hint="eastAsia" w:ascii="宋体" w:hAnsi="宋体" w:eastAsia="宋体" w:cs="宋体"/>
          <w:b/>
          <w:bCs/>
          <w:color w:val="auto"/>
          <w:sz w:val="21"/>
          <w:szCs w:val="21"/>
          <w:highlight w:val="none"/>
        </w:rPr>
        <w:t xml:space="preserve">，</w:t>
      </w:r>
      <w:r>
        <w:rPr>
          <w:rFonts w:ascii="宋体" w:hAnsi="宋体" w:eastAsia="宋体" w:cs="宋体"/>
          <w:b/>
          <w:bCs/>
          <w:color w:val="auto"/>
          <w:sz w:val="21"/>
          <w:highlight w:val="none"/>
        </w:rPr>
        <w:t xml:space="preserve">执行以下相关政策</w:t>
      </w:r>
      <w:r/>
    </w:p>
    <w:p>
      <w:pPr>
        <w:ind w:firstLine="360"/>
        <w:jc w:val="both"/>
        <w:spacing w:after="0"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360"/>
        <w:jc w:val="both"/>
        <w:spacing w:after="0"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）在服务采购项目中，服务由小型或微型企业承接，即提供服务的人员为小型或微型企业依照《中华人民共和国劳动合同法》订立劳动合同的从业人员，其报价给予20%的扣除，用扣除后的价格参与价格评审。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）中小企业划分标准详见“工信部联企业〔2011〕300号通知”。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）符合中小企业划分标准的个体工商户，在政府采购活动中视同中小企业。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760"/>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4.4.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760"/>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4.5. 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eastAsia="zh-CN"/>
        </w:rPr>
        <w:t xml:space="preserve">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价格</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在所有有效投标报价中选择报价最低的确定为基准报价；</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  （本次招标价格权值为</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Start w:id="25" w:name="_Hlk166577857"/>
      <w:r/>
      <w:r/>
    </w:p>
    <w:p>
      <w:pPr>
        <w:ind w:firstLine="422"/>
        <w:jc w:val="both"/>
        <w:keepLines w:val="0"/>
        <w:keepNext w:val="0"/>
        <w:pageBreakBefore w:val="0"/>
        <w:spacing w:before="0" w:after="0"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cs="宋体"/>
          <w:b/>
          <w:color w:val="auto"/>
          <w:sz w:val="21"/>
          <w:szCs w:val="21"/>
          <w:highlight w:val="none"/>
          <w:lang w:val="en-US" w:eastAsia="zh-CN"/>
        </w:rPr>
        <w:t xml:space="preserve">综合评审</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80</w:t>
      </w:r>
      <w:r>
        <w:rPr>
          <w:rFonts w:hint="eastAsia" w:ascii="宋体" w:hAnsi="宋体" w:eastAsia="宋体" w:cs="宋体"/>
          <w:b/>
          <w:color w:val="auto"/>
          <w:sz w:val="21"/>
          <w:szCs w:val="21"/>
          <w:highlight w:val="none"/>
        </w:rPr>
        <w:t xml:space="preserve">分）</w:t>
      </w:r>
      <w:bookmarkEnd w:id="25"/>
      <w:r/>
    </w:p>
    <w:tbl>
      <w:tblPr>
        <w:tblStyle w:val="740"/>
        <w:tblW w:w="9680" w:type="dxa"/>
        <w:tblInd w:w="-5"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234"/>
        <w:gridCol w:w="1350"/>
        <w:gridCol w:w="1027"/>
        <w:gridCol w:w="6069"/>
      </w:tblGrid>
      <w:tr>
        <w:trPr>
          <w:trHeight w:val="680"/>
        </w:trPr>
        <w:tc>
          <w:tcPr>
            <w:tcBorders>
              <w:right w:val="single" w:color="auto" w:sz="4" w:space="0"/>
            </w:tcBorders>
            <w:tcW w:w="1234"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评分项目</w:t>
            </w:r>
            <w:r/>
          </w:p>
        </w:tc>
        <w:tc>
          <w:tcPr>
            <w:tcBorders>
              <w:left w:val="single" w:color="auto" w:sz="4" w:space="0"/>
            </w:tcBorders>
            <w:tcW w:w="1350"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评审内容</w:t>
            </w:r>
            <w:r/>
          </w:p>
        </w:tc>
        <w:tc>
          <w:tcPr>
            <w:tcBorders>
              <w:right w:val="single" w:color="auto" w:sz="4" w:space="0"/>
            </w:tcBorders>
            <w:tcW w:w="1027"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分值(分)</w:t>
            </w:r>
            <w:r/>
          </w:p>
        </w:tc>
        <w:tc>
          <w:tcPr>
            <w:tcBorders>
              <w:right w:val="single" w:color="auto" w:sz="4" w:space="0"/>
            </w:tcBorders>
            <w:tcW w:w="6069"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r>
      <w:tr>
        <w:trPr>
          <w:trHeight w:val="427"/>
        </w:trPr>
        <w:tc>
          <w:tcPr>
            <w:tcBorders>
              <w:right w:val="single" w:color="auto" w:sz="4" w:space="0"/>
            </w:tcBorders>
            <w:tcW w:w="1234"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企业实力（4分）</w:t>
            </w:r>
            <w:r/>
          </w:p>
        </w:tc>
        <w:tc>
          <w:tcPr>
            <w:tcBorders>
              <w:left w:val="single" w:color="auto" w:sz="4" w:space="0"/>
            </w:tcBorders>
            <w:tcW w:w="1350"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相关业绩</w:t>
            </w:r>
            <w:r/>
          </w:p>
        </w:tc>
        <w:tc>
          <w:tcPr>
            <w:tcBorders>
              <w:right w:val="single" w:color="auto" w:sz="4" w:space="0"/>
            </w:tcBorders>
            <w:tcW w:w="1027"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right w:val="single" w:color="auto" w:sz="4" w:space="0"/>
            </w:tcBorders>
            <w:tcW w:w="6069"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投标人自</w:t>
            </w:r>
            <w:r>
              <w:rPr>
                <w:rFonts w:hint="eastAsia" w:ascii="宋体" w:hAnsi="宋体" w:eastAsia="宋体" w:cs="宋体"/>
                <w:sz w:val="21"/>
                <w:szCs w:val="21"/>
                <w:highlight w:val="none"/>
                <w:lang w:val="zh-CN"/>
              </w:rPr>
              <w:t xml:space="preserve">2021年</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日至今</w:t>
            </w:r>
            <w:r>
              <w:rPr>
                <w:rFonts w:hint="eastAsia" w:ascii="宋体" w:hAnsi="宋体" w:eastAsia="宋体" w:cs="宋体"/>
                <w:sz w:val="21"/>
                <w:szCs w:val="21"/>
                <w:highlight w:val="none"/>
              </w:rPr>
              <w:t xml:space="preserve">投标人编制过的涉水的市政类规划（规划内容应包括：给水工程，或排水防涝综合工程，或污水工程，或再生水工程，或海绵城市，或管线综合，或综合管廊的规划。概念规划、总体规划、分区规划、控制性详细规划、国土空间规划的市政配套规划为无效业绩，咨询类、研究类项目和工程设计项目为无效业绩。）的，每个项目业绩得0.5分，同一份业绩合同在本评分项中不重复得分，此项最高得4分。 </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注：提供合同扫描件并加盖公章。</w:t>
            </w:r>
            <w:r/>
          </w:p>
        </w:tc>
      </w:tr>
      <w:tr>
        <w:trPr>
          <w:trHeight w:val="680"/>
        </w:trPr>
        <w:tc>
          <w:tcPr>
            <w:tcBorders>
              <w:right w:val="single" w:color="auto" w:sz="4" w:space="0"/>
            </w:tcBorders>
            <w:tcW w:w="1234" w:type="dxa"/>
            <w:vAlign w:val="center"/>
            <w:vMerge w:val="restart"/>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设计项目组</w:t>
            </w:r>
            <w:r/>
          </w:p>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分)</w:t>
            </w:r>
            <w:r/>
          </w:p>
        </w:tc>
        <w:tc>
          <w:tcPr>
            <w:tcBorders>
              <w:left w:val="single" w:color="auto" w:sz="4" w:space="0"/>
            </w:tcBorders>
            <w:tcW w:w="1350"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Borders>
              <w:right w:val="single" w:color="auto" w:sz="4" w:space="0"/>
            </w:tcBorders>
            <w:tcW w:w="1027"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right w:val="single" w:color="auto" w:sz="4" w:space="0"/>
            </w:tcBorders>
            <w:tcW w:w="6069"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负责人主持编制过涉水类市政类规划（包括：给水工程，或排水防涝综合工程，或污水工程，或管线综合，或综合管廊，或海绵城市的规划。概念规划、总体规划、分区规划、控制性详细规划、国土空间规划的市政配套规划为无效业绩，咨询类、研究类项目和工程设计项目为无效业绩。）的，每个专项规划项目业绩得0.5分，本评分项最多得3分。提供业绩合同扫描件及其他证明材料并加盖公章，证明材料中须能体现该人员。</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2.项目负责人具备给排水</w:t>
            </w:r>
            <w:r>
              <w:rPr>
                <w:rFonts w:hint="eastAsia" w:ascii="宋体" w:hAnsi="宋体" w:eastAsia="宋体" w:cs="宋体"/>
                <w:color w:val="auto"/>
                <w:sz w:val="21"/>
                <w:szCs w:val="21"/>
                <w:highlight w:val="none"/>
                <w:lang w:val="en-US" w:eastAsia="zh-CN"/>
              </w:rPr>
              <w:t xml:space="preserve">专业副</w:t>
            </w:r>
            <w:r>
              <w:rPr>
                <w:rFonts w:hint="eastAsia" w:ascii="宋体" w:hAnsi="宋体" w:eastAsia="宋体" w:cs="宋体"/>
                <w:color w:val="auto"/>
                <w:sz w:val="21"/>
                <w:szCs w:val="21"/>
                <w:highlight w:val="none"/>
              </w:rPr>
              <w:t xml:space="preserve">高级工程师职称的得3分，具备给排水</w:t>
            </w:r>
            <w:r>
              <w:rPr>
                <w:rFonts w:hint="eastAsia" w:ascii="宋体" w:hAnsi="宋体" w:eastAsia="宋体" w:cs="宋体"/>
                <w:color w:val="auto"/>
                <w:sz w:val="21"/>
                <w:szCs w:val="21"/>
                <w:highlight w:val="none"/>
                <w:lang w:val="en-US" w:eastAsia="zh-CN"/>
              </w:rPr>
              <w:t xml:space="preserve">专业正</w:t>
            </w:r>
            <w:r>
              <w:rPr>
                <w:rFonts w:hint="eastAsia" w:ascii="宋体" w:hAnsi="宋体" w:eastAsia="宋体" w:cs="宋体"/>
                <w:color w:val="auto"/>
                <w:sz w:val="21"/>
                <w:szCs w:val="21"/>
                <w:highlight w:val="none"/>
              </w:rPr>
              <w:t xml:space="preserve">高级工程师职称得7分，本评分项最高得7分。（需提供身份证、职称证书、毕业证书、劳动合同、社保缴费（最近三个月）证明扫描件。专业要求以</w:t>
            </w:r>
            <w:r>
              <w:rPr>
                <w:rFonts w:hint="eastAsia" w:ascii="宋体" w:hAnsi="宋体" w:eastAsia="宋体" w:cs="宋体"/>
                <w:sz w:val="21"/>
                <w:szCs w:val="21"/>
                <w:highlight w:val="none"/>
              </w:rPr>
              <w:t xml:space="preserve">职称证为准，如未体现专业则以毕业证为准。）</w:t>
            </w:r>
            <w:r/>
          </w:p>
        </w:tc>
      </w:tr>
      <w:tr>
        <w:trPr>
          <w:trHeight w:val="856"/>
        </w:trPr>
        <w:tc>
          <w:tcPr>
            <w:tcBorders>
              <w:right w:val="single" w:color="auto" w:sz="4" w:space="0"/>
            </w:tcBorders>
            <w:tcW w:w="1234" w:type="dxa"/>
            <w:vAlign w:val="center"/>
            <w:vMerge w:val="continue"/>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tcBorders>
            <w:tcW w:w="1350"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项目组成员（不含项目负责人）</w:t>
            </w:r>
            <w:r/>
          </w:p>
        </w:tc>
        <w:tc>
          <w:tcPr>
            <w:tcBorders>
              <w:right w:val="single" w:color="auto" w:sz="4" w:space="0"/>
            </w:tcBorders>
            <w:tcW w:w="1027" w:type="dxa"/>
            <w:vAlign w:val="center"/>
            <w:textDirection w:val="lrTb"/>
            <w:noWrap w:val="false"/>
          </w:tcPr>
          <w:p>
            <w:pPr>
              <w:jc w:val="center"/>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right w:val="single" w:color="auto" w:sz="4" w:space="0"/>
            </w:tcBorders>
            <w:tcW w:w="6069"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组成员中具备城市（乡）规划专业副高级工程师职称的得1分，具备城市（乡）规划专业正高级工程师职称的得2分；具备给排水专业副高级工程师职称（含）及以上的得1分，具备给排水专业正高级工程师职称（含）及以上的得2分。每个专业最多得10分，此项最高得20分。（需提供身份证、职称证书、毕业证书、劳动合同、社保缴费（最近三个月）证明扫描件。专业要求以职称证为准，如未体现专业则以毕业证为准。）</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中规划专业副高级及以上职称的人员同时具备注册城市（乡）规划师执业资格的，每位得2.5分，给排水专业副高级及以上职称的人员同时具备注册公用设备工程师执业资格的，每位得2.5分。每个专业最多得10分，此项最高得20分。（提供注册执业资格证扫描件。专业要求以注册执业资格证为准，如未体现专业则以毕业证为准。）</w:t>
            </w:r>
            <w:r/>
          </w:p>
        </w:tc>
      </w:tr>
      <w:tr>
        <w:trPr>
          <w:trHeight w:val="990"/>
        </w:trPr>
        <w:tc>
          <w:tcPr>
            <w:tcW w:w="1234" w:type="dxa"/>
            <w:vAlign w:val="center"/>
            <w:vMerge w:val="restart"/>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项目方案（26分）</w:t>
            </w:r>
            <w:r/>
          </w:p>
        </w:tc>
        <w:tc>
          <w:tcPr>
            <w:tcW w:w="1350" w:type="dxa"/>
            <w:vAlign w:val="center"/>
            <w:textDirection w:val="lrTb"/>
            <w:noWrap w:val="false"/>
          </w:tcPr>
          <w:p>
            <w:pPr>
              <w:jc w:val="center"/>
              <w:spacing w:line="360" w:lineRule="auto"/>
              <w:widowControl w:val="off"/>
              <w:tabs>
                <w:tab w:val="left" w:pos="52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污水专项规</w:t>
            </w:r>
            <w:r>
              <w:rPr>
                <w:rFonts w:hint="eastAsia" w:ascii="宋体" w:hAnsi="宋体" w:eastAsia="宋体" w:cs="宋体"/>
                <w:sz w:val="21"/>
                <w:szCs w:val="21"/>
                <w:highlight w:val="none"/>
              </w:rPr>
              <w:t xml:space="preserve">划编制方案</w:t>
            </w:r>
            <w:r/>
          </w:p>
        </w:tc>
        <w:tc>
          <w:tcPr>
            <w:tcW w:w="1027" w:type="dxa"/>
            <w:vAlign w:val="center"/>
            <w:textDirection w:val="lrTb"/>
            <w:noWrap w:val="false"/>
          </w:tcPr>
          <w:p>
            <w:pPr>
              <w:jc w:val="center"/>
              <w:spacing w:line="360" w:lineRule="auto"/>
              <w:widowControl w:val="off"/>
              <w:tabs>
                <w:tab w:val="left" w:pos="52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6069" w:type="dxa"/>
            <w:vAlign w:val="center"/>
            <w:textDirection w:val="lrTb"/>
            <w:noWrap w:val="false"/>
          </w:tcPr>
          <w:p>
            <w:pPr>
              <w:jc w:val="both"/>
              <w:spacing w:line="360" w:lineRule="auto"/>
              <w:widowControl w:val="off"/>
              <w:tabs>
                <w:tab w:val="left" w:pos="52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方案内容至少包括①污水现状资料调研、汇编及整理②污水现状问题分析③污水处理设施及污水处理规划④污泥处理处置规划⑤再生水资源利用规划。</w:t>
            </w:r>
            <w:r/>
          </w:p>
          <w:p>
            <w:pPr>
              <w:jc w:val="both"/>
              <w:spacing w:line="360" w:lineRule="auto"/>
              <w:widowControl w:val="off"/>
              <w:tabs>
                <w:tab w:val="left" w:pos="52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方案内容完善，条理较清晰、逻辑严密，完全针对本项目且符合项目实际要求的得20分，内容有欠缺，或有明显错误，或非专门针对本项目的，有一项扣4分。</w:t>
            </w:r>
            <w:r/>
          </w:p>
        </w:tc>
      </w:tr>
      <w:tr>
        <w:trPr>
          <w:trHeight w:val="2029"/>
        </w:trPr>
        <w:tc>
          <w:tcPr>
            <w:tcW w:w="1234" w:type="dxa"/>
            <w:vAlign w:val="center"/>
            <w:vMerge w:val="continue"/>
            <w:textDirection w:val="lrTb"/>
            <w:noWrap w:val="false"/>
          </w:tcPr>
          <w:p>
            <w:pPr>
              <w:jc w:val="center"/>
              <w:spacing w:line="360" w:lineRule="auto"/>
              <w:widowControl w:val="off"/>
              <w:tabs>
                <w:tab w:val="left" w:pos="52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0"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项目保障措施及方案</w:t>
            </w:r>
            <w:r/>
          </w:p>
        </w:tc>
        <w:tc>
          <w:tcPr>
            <w:tcW w:w="102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6069" w:type="dxa"/>
            <w:vAlign w:val="center"/>
            <w:textDirection w:val="lrTb"/>
            <w:noWrap w:val="false"/>
          </w:tcPr>
          <w:p>
            <w:pPr>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方案内容至少包括：①进度保障措施②质量保障措施③安全保密措施等。</w:t>
            </w:r>
            <w:r/>
          </w:p>
          <w:p>
            <w:pPr>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方案内容针对本项目且符合本项目实际需求的，得6分，每缺少一项内容，或内容明显错误，或内容非专门针对本项目，或内容不能满足本项目实际需求的，每一项扣2分。</w:t>
            </w:r>
            <w:r/>
          </w:p>
        </w:tc>
      </w:tr>
    </w:tbl>
    <w:p>
      <w:pPr>
        <w:pStyle w:val="798"/>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798"/>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798"/>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798"/>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798"/>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773"/>
          <w:rFonts w:ascii="宋体" w:hAnsi="宋体" w:eastAsia="宋体" w:cs="宋体"/>
          <w:color w:val="auto"/>
          <w:sz w:val="32"/>
          <w:szCs w:val="32"/>
          <w:highlight w:val="none"/>
        </w:rPr>
      </w:pPr>
      <w:r>
        <w:rPr>
          <w:rStyle w:val="773"/>
          <w:rFonts w:hint="eastAsia" w:ascii="宋体" w:hAnsi="宋体" w:eastAsia="宋体" w:cs="宋体"/>
          <w:color w:val="auto"/>
          <w:sz w:val="32"/>
          <w:szCs w:val="32"/>
          <w:highlight w:val="none"/>
        </w:rPr>
        <w:br w:type="page" w:clear="all"/>
      </w:r>
      <w:bookmarkStart w:id="26" w:name="_Toc31315"/>
      <w:r>
        <w:rPr>
          <w:rStyle w:val="773"/>
          <w:rFonts w:hint="eastAsia" w:ascii="宋体" w:hAnsi="宋体" w:eastAsia="宋体" w:cs="宋体"/>
          <w:color w:val="auto"/>
          <w:sz w:val="32"/>
          <w:szCs w:val="32"/>
          <w:highlight w:val="none"/>
        </w:rPr>
        <w:t xml:space="preserve">第六章 合同格式</w:t>
      </w:r>
      <w:bookmarkEnd w:id="26"/>
      <w:r/>
    </w:p>
    <w:p>
      <w:pPr>
        <w:spacing w:line="440" w:lineRule="exact"/>
        <w:rPr>
          <w:rFonts w:ascii="宋体" w:hAnsi="宋体" w:cs="宋体"/>
          <w:color w:val="auto"/>
          <w:highlight w:val="none"/>
        </w:rPr>
      </w:pPr>
      <w:r/>
      <w:bookmarkStart w:id="27" w:name="_Toc479449569"/>
      <w:r/>
      <w:bookmarkStart w:id="28" w:name="_Toc480191160"/>
      <w:r/>
      <w:bookmarkStart w:id="29" w:name="_Toc479449483"/>
      <w:r/>
      <w:bookmarkEnd w:id="27"/>
      <w:bookmarkEnd w:id="28"/>
      <w:bookmarkEnd w:id="29"/>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790"/>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太仓高新区生活污水处理专项规划服务</w:t>
      </w:r>
      <w:r/>
    </w:p>
    <w:tbl>
      <w:tblPr>
        <w:tblStyle w:val="74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lang w:eastAsia="zh-CN"/>
              </w:rPr>
              <w:t xml:space="preserve">江苏省太仓高新技术产业开发区管理委员会</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JSZC-320585-SZTZ-G2024-0032</w:t>
      </w:r>
      <w:r>
        <w:rPr>
          <w:rFonts w:hint="eastAsia" w:cs="宋体"/>
          <w:color w:val="auto"/>
          <w:sz w:val="21"/>
          <w:szCs w:val="21"/>
          <w:highlight w:val="none"/>
          <w:u w:val="single"/>
          <w:lang w:eastAsia="zh-CN"/>
        </w:rPr>
        <w:tab/>
      </w:r>
      <w:r>
        <w:rPr>
          <w:rFonts w:hint="eastAsia" w:ascii="宋体" w:hAnsi="宋体" w:cs="宋体"/>
          <w:color w:val="auto"/>
          <w:sz w:val="21"/>
          <w:szCs w:val="21"/>
          <w:highlight w:val="none"/>
        </w:rPr>
        <w:t xml:space="preserve">号政府采购文件及中标单位的投标文件和中标通知书，</w:t>
      </w:r>
      <w:r>
        <w:rPr>
          <w:rFonts w:hint="eastAsia" w:ascii="宋体" w:hAnsi="宋体" w:cs="宋体"/>
          <w:color w:val="auto"/>
          <w:sz w:val="21"/>
          <w:szCs w:val="21"/>
          <w:highlight w:val="none"/>
        </w:rPr>
        <w:t xml:space="preserve">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太仓高新区生活污水处理专项规划服务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工作，签订本合同书。</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技术服务内容</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（一）规划编制原则</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（1）本次专项规划编制应遵守国家和地方相关法规、规范，贯彻落实高起点、高标准、高质量进行市政基础设施建设的相关要求。</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（2）本次专项规划编制应在做好现状调查研究的基础上，以区域市政污水排放需求预测为依据，定性分析与定量分析相结合，规划应保持适当超前。</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（3）本次专项规划编制应考虑局部与全局相结合，立足发展，做出战略性安排。强化进行现状调研及相关管线协调，结合总体规划及现状，整合现状管线及市政资源，对污水设施及管网系统作出合理规划。</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（4）本次专项规划编制应根据合理的规划设计方案提出区域内市政污水基础设施建设步骤，建设时序及项目库，指导建设实施。</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（5）本次专项规划编制应坚持以人为本，可持续发展原则，在规划思想、方法、技术上有所创新。</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（二）主要参考标准规范</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（1）《市政公用工程设计文件编制深度规定》（2013年版）</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（2）《城市工程管线综合规划规范》（GB 50289-2016）</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（3）《城市排水工程规划规范》（GB 50318-2017）</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（4）《室外排水设计标准》（GB 50014-2021）</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（5）《城市污水再生利用工业用水水质》（GB19923 2024）</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（6）《城市污水再生利用城市杂用水水质标准》（GB/T18920 2020）</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（7）《城市污水再生利用景观环境用水水质》（GB/T18921 2019）</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（三）规划范围</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本次规划范围为太仓市高新区，北接城厢镇、沙溪镇，东连浏河镇，南与上海交界。总用地110.08km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，包括娄东街道片区(45.37km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)、科教新城片区(12.68km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)和娄江新城片区(52.03km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)。东西方向总宽近16.5km，南北方向总长近15.6km。</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（四）规划目标</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进一步完善太仓高新区市政污水系统为目标，通过合理预测、科学布局，确定经济可行的规划方案，指导规划范围内污水系统工程的实施。通过污水管网布置合理、污水处理达标排放、污泥妥善处理处置等方面，合理确定城市排水设施标准、布局、建设时序。同时，兼顾再生水资源利用。</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（五）规划主要内容</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本次污水专项规</w:t>
      </w:r>
      <w:r>
        <w:rPr>
          <w:rFonts w:hint="eastAsia" w:ascii="宋体" w:hAnsi="宋体" w:eastAsia="宋体" w:cs="宋体"/>
          <w:color w:val="auto"/>
          <w:sz w:val="21"/>
          <w:szCs w:val="21"/>
          <w:highlight w:val="none"/>
        </w:rPr>
        <w:t xml:space="preserve">划编制主要包含以下内容：</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（1）污水现状资料调研、汇编及整理</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对编制本专项规划的深刻理解的基础上，由规划编制单位对现状进行深入调研。由于区内的污水设施及管网规模较大，做好基础资料汇编和分析过程记录。具体应明确：高新区市政污水基础设施及管网的现状、需求和认识。</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（2）污水现状问题分析</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分析当前污水设施的现状，包括污水处理设施的分布、处理能力、运行情况以及存在的问题。在此基础上，明确污水专项规划的对策给出合理化的建议。</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（3）污水处理设施及污水处理规划</w:t>
      </w:r>
      <w:r/>
    </w:p>
    <w:p>
      <w:pPr>
        <w:contextualSpacing/>
        <w:ind w:firstLine="420"/>
        <w:jc w:val="both"/>
        <w:spacing w:line="360" w:lineRule="auto"/>
        <w:widowControl w:val="off"/>
        <w:tabs>
          <w:tab w:val="left" w:pos="5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对相关上位规划梳理的基础上，明确项目的重点难点，提出本次专项规划的合理目标。结合空间总体规划及高新区控规，预测未来污水量。在技术路线、系统结构和总体功能布局确定后，开展污水管网的方案编制，确保能够覆盖整个规划区域，实现污水的有效收集。明确管网建设的标准和要求，与相关规划做好管网系统衔接，确保路由通畅、管位充裕。</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（4）污泥处理处置规划</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污水处理厂实际情况及相关规划情况，根据污水处理规模和工艺，预测污泥的产生量。选择合适的污泥处理处置方法，如填埋、焚烧、堆肥等。规划建设相应的污泥处置设施，确保污泥得到安全、环保的处理。</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（5）再生水资源利用规划</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分析规划区域对再生水的需求，包括工业用水、景观用水、绿化用水等。规划再生水的利用途径，建设再生水输送管网。确定再生水的水质标准，保证再生水的安全可靠使用。</w:t>
      </w:r>
      <w:r/>
    </w:p>
    <w:p>
      <w:pPr>
        <w:contextualSpacing/>
        <w:ind w:firstLine="420"/>
        <w:jc w:val="both"/>
        <w:spacing w:line="360" w:lineRule="auto"/>
        <w:widowControl w:val="off"/>
        <w:tabs>
          <w:tab w:val="left" w:pos="5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（6）项目保障措施</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方案内容包括但不限于①进度保障措施②质量保障措施③安全保密措施等</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按照合同要求，编制单位应该从人员安排、工作量控制等角度提出进度保障措施；在现有的法律法规框架下形成质量保障措施；遵循当地数据保密的要求做好安全保密措施的工作，提交高质量的成果。</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（六）规划主要成果</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（1）规划成果</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规划成果主要包含高新区市政污水系统规划的规划说明书、文本、图纸、汇报ppt，相关主要成果如下：</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太仓高新区污水专项规划说明</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太仓高新区污水专项规划文本</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太仓高新区污水专项规划汇报文件（ppt）</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太仓高新区污水专项规划图纸（主要含规划区位图、土地利用规划图、污水系统现状图、污泥处置现状图、污水分区规划图、污水系统规划图、污泥处理处置规划图、污水管网规划图。</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（2）成果文件格式</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全部设计成果均应制作计算机文件，图形文件采用AutoCAD R14或以上的DWG格式文件。空间数据库采用ArcGIS  mdb地理数据库或者shapefile文件。文本文件采用Microsoft word6.0以上的格式文件。电脑渲染图的计算机文件应采用国内较为普及、通用的计算机软件，提交以上计算机文件光盘2套。提供的电子文件应当满足建设数据库系统的要求。</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（3）规划咨询服务内容（咨询服务时间以年度为单位）</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提交规划正式成果后，提供为期一年的常态化污水设施及管线相关的规划技术支持，包括污水管线设计方案规划建议、设计方案合规性审查等内容。</w:t>
      </w:r>
      <w:r/>
    </w:p>
    <w:p>
      <w:pPr>
        <w:contextualSpacing/>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（七）时间进度</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本次规划时间进度要求共分为三个阶段：</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第一阶段：合同签订之日起4个月，进行现状分析和初步构思汇报；</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第二阶段：第一阶段完成后2个月，形成中期成果并向甲方汇报；</w:t>
      </w:r>
      <w:r/>
    </w:p>
    <w:p>
      <w:pPr>
        <w:contextualSpacing/>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第三阶段：编制最终成果并通过验收。</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八</w:t>
      </w:r>
      <w:r>
        <w:rPr>
          <w:rFonts w:hint="eastAsia" w:ascii="宋体" w:hAnsi="宋体" w:eastAsia="宋体" w:cs="宋体"/>
          <w:b w:val="0"/>
          <w:bCs/>
          <w:color w:val="auto"/>
          <w:sz w:val="21"/>
          <w:szCs w:val="21"/>
          <w:highlight w:val="none"/>
          <w:lang w:val="en-US" w:eastAsia="zh-CN"/>
        </w:rPr>
        <w:t xml:space="preserve">）其他要求详见招标文件及乙方在投标文件中所做的承诺。</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双方的权利和义务</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协助、配合乙方收集工作区内相关资料</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为乙方工作提供便利条件，协调好</w:t>
      </w:r>
      <w:r>
        <w:rPr>
          <w:rFonts w:hint="eastAsia" w:ascii="宋体" w:hAnsi="宋体" w:eastAsia="宋体" w:cs="宋体"/>
          <w:color w:val="auto"/>
          <w:sz w:val="21"/>
          <w:szCs w:val="21"/>
          <w:highlight w:val="none"/>
          <w:lang w:val="en-US" w:eastAsia="zh-CN"/>
        </w:rPr>
        <w:t xml:space="preserve">各部门</w:t>
      </w:r>
      <w:r>
        <w:rPr>
          <w:rFonts w:hint="eastAsia" w:ascii="宋体" w:hAnsi="宋体" w:eastAsia="宋体" w:cs="宋体"/>
          <w:color w:val="auto"/>
          <w:sz w:val="21"/>
          <w:szCs w:val="21"/>
          <w:highlight w:val="none"/>
        </w:rPr>
        <w:t xml:space="preserve">关系。</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保证工作经费的及时到位。</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按照国家和江苏省相关法律法规、技术要求、标准规范等开展工作，</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及时向甲方汇报项目进展，工作中出现问题及时同甲方沟通解决。</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按时提交成果，并配合甲方要求做好成果应用服务工作。</w:t>
      </w:r>
      <w:r/>
    </w:p>
    <w:p>
      <w:pPr>
        <w:pStyle w:val="760"/>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bottom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乙方承诺：乙方将对在甲方</w:t>
      </w:r>
      <w:r>
        <w:rPr>
          <w:rFonts w:hint="eastAsia" w:ascii="宋体" w:hAnsi="宋体" w:eastAsia="宋体" w:cs="宋体"/>
          <w:b w:val="0"/>
          <w:bCs w:val="0"/>
          <w:color w:val="auto"/>
          <w:sz w:val="21"/>
          <w:szCs w:val="21"/>
          <w:highlight w:val="none"/>
          <w:lang w:eastAsia="zh-CN"/>
        </w:rPr>
        <w:t xml:space="preserve">指定</w:t>
      </w:r>
      <w:r>
        <w:rPr>
          <w:rFonts w:hint="eastAsia" w:ascii="宋体" w:hAnsi="宋体" w:eastAsia="宋体" w:cs="宋体"/>
          <w:b w:val="0"/>
          <w:bCs w:val="0"/>
          <w:color w:val="auto"/>
          <w:sz w:val="21"/>
          <w:szCs w:val="21"/>
          <w:highlight w:val="none"/>
        </w:rPr>
        <w:t xml:space="preserve">地点因履行义务而知晓的所有内部信息严格保守秘密,绝不将该等信息泄露给任何第三方；在服务项目结束或阶段性工作结束后,协议所涉及的由甲方送交给乙方的一切保密信息,无论是书面的还是其他具体形式,均需立即交还提供方,或者予以销毁,且有关销毁凭证应同时送交给对方；</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合同金额与支付</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1、根据本项目采购结果，合同总金额为人民币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contextualSpacing/>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付款方式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合同签订生效后，</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进行现状分析和初步构思汇报后支付合同金额的30%；提供送审稿，通过专家评审并修改完善后支付合同金额的40%；项目验收通过后支付合同金额的30%  。</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3、乙方开户银行：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第四条、税费</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中国政府根据现行税法规定对乙方征收的、与本合同有关的一切税费，均由乙方负担。</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第五条  技术情报及资料的保管</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乙方负责对甲方所提供资料及最终成果的保密。</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第六条  技术成果的归属和分享</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项目所完成的技术成果全部属于甲方所有（包括著作权等全部知识产权），未经甲方许可，乙方不得将成果全部或部分分批泄露或提供给第三方。</w:t>
      </w:r>
      <w:r/>
    </w:p>
    <w:p>
      <w:pPr>
        <w:pStyle w:val="772"/>
        <w:ind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第七条  </w:t>
      </w:r>
      <w:r>
        <w:rPr>
          <w:rFonts w:hint="eastAsia" w:ascii="宋体" w:hAnsi="宋体" w:eastAsia="宋体" w:cs="宋体"/>
          <w:b/>
          <w:bCs/>
          <w:color w:val="auto"/>
          <w:sz w:val="21"/>
          <w:szCs w:val="21"/>
          <w:highlight w:val="none"/>
        </w:rPr>
        <w:t xml:space="preserve">质量要求</w:t>
      </w:r>
      <w:r/>
    </w:p>
    <w:p>
      <w:pPr>
        <w:pStyle w:val="77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各项成果应严格按照招标文件、行业规范、技术标准执行，确保满足相关要求。</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第八条  风险责任的承担：</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乙方需按期完成所承担的工作，若因乙方未按期完成应承担的工作造成项目延误，其风险责任由乙方承担。</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违约责任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1、违约责任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在合同生效后，甲方无正当理由要求解除合同的，应向乙方偿付合同总价款10%的违约金，</w:t>
      </w:r>
      <w:bookmarkStart w:id="30" w:name="_Hlk112854527"/>
      <w:r>
        <w:rPr>
          <w:rFonts w:hint="eastAsia" w:ascii="宋体" w:hAnsi="宋体" w:eastAsia="宋体" w:cs="宋体"/>
          <w:color w:val="auto"/>
          <w:sz w:val="21"/>
          <w:szCs w:val="21"/>
          <w:highlight w:val="none"/>
        </w:rPr>
        <w:t xml:space="preserve">违约金不足以补偿损失的，乙方有权要求甲方补足。</w:t>
      </w:r>
      <w:bookmarkEnd w:id="30"/>
      <w:r/>
    </w:p>
    <w:p>
      <w:pPr>
        <w:numPr>
          <w:ilvl w:val="0"/>
          <w:numId w:val="8"/>
        </w:num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乙方有权要求甲方补足。</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（2）在合同生效后，乙方要求解除合同的，应向甲方偿付合同总价款10%的违约金，违约金不足以补偿损失的，甲方有权要求乙方补足。</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（3）乙方不能履行合同或者拒绝履行合同，从而影响甲方按期正常使用的，甲方有权解除合同，乙方向甲方偿付合同总价款10%的违约金，违约金不足以补偿损失的甲方有权要求乙方补足。</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4、不可抗力</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（3）本条所述的“不可抗力”系指下列甲、乙双方无法控制、不可预见的事件，但不包括甲、乙双方的违约或疏忽。这些事件包括：战争、严重火灾、洪水、台风、地震、疫情以及其他甲方和乙方商定的事件。</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第十条  </w:t>
      </w:r>
      <w:r>
        <w:rPr>
          <w:rFonts w:hint="eastAsia" w:ascii="宋体" w:hAnsi="宋体" w:eastAsia="宋体" w:cs="宋体"/>
          <w:b/>
          <w:bCs/>
          <w:color w:val="auto"/>
          <w:sz w:val="21"/>
          <w:szCs w:val="21"/>
          <w:highlight w:val="none"/>
        </w:rPr>
        <w:t xml:space="preserve">索赔</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同意赔偿甲方生效司法或行政文书所确认的金额。</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第十一条  </w:t>
      </w:r>
      <w:r>
        <w:rPr>
          <w:rFonts w:hint="eastAsia" w:ascii="宋体" w:hAnsi="宋体" w:eastAsia="宋体" w:cs="宋体"/>
          <w:b/>
          <w:bCs/>
          <w:color w:val="auto"/>
          <w:sz w:val="21"/>
          <w:szCs w:val="21"/>
          <w:highlight w:val="none"/>
        </w:rPr>
        <w:t xml:space="preserve">合同的转让</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合同的部分和全部都不得擅自转让，否则甲方有权解除本合同。</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第十二条  </w:t>
      </w:r>
      <w:r>
        <w:rPr>
          <w:rFonts w:hint="eastAsia" w:ascii="宋体" w:hAnsi="宋体" w:eastAsia="宋体" w:cs="宋体"/>
          <w:b/>
          <w:bCs/>
          <w:color w:val="auto"/>
          <w:sz w:val="21"/>
          <w:szCs w:val="21"/>
          <w:highlight w:val="none"/>
        </w:rPr>
        <w:t xml:space="preserve">合同的解除：</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right="0" w:firstLine="420"/>
        <w:keepLines w:val="0"/>
        <w:keepNext w:val="0"/>
        <w:pageBreakBefore w:val="0"/>
        <w:spacing w:line="360" w:lineRule="auto"/>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right="0" w:firstLine="420"/>
        <w:keepLines w:val="0"/>
        <w:keepNext w:val="0"/>
        <w:pageBreakBefore w:val="0"/>
        <w:spacing w:line="360" w:lineRule="auto"/>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有权解除合同的一方，应当在违约事实或不可抗力发生之后书面通知对方以主张解除合同，合同在书面通知到达对方时解除</w:t>
      </w:r>
      <w:r/>
    </w:p>
    <w:p>
      <w:pPr>
        <w:ind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第十三条  </w:t>
      </w:r>
      <w:r>
        <w:rPr>
          <w:rFonts w:hint="eastAsia" w:ascii="宋体" w:hAnsi="宋体" w:eastAsia="宋体" w:cs="宋体"/>
          <w:b/>
          <w:bCs/>
          <w:color w:val="auto"/>
          <w:sz w:val="21"/>
          <w:szCs w:val="21"/>
          <w:highlight w:val="none"/>
        </w:rPr>
        <w:t xml:space="preserve">争议处置</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第十四条  </w:t>
      </w:r>
      <w:r>
        <w:rPr>
          <w:rFonts w:hint="eastAsia" w:ascii="宋体" w:hAnsi="宋体" w:eastAsia="宋体" w:cs="宋体"/>
          <w:b/>
          <w:bCs/>
          <w:color w:val="auto"/>
          <w:sz w:val="21"/>
          <w:szCs w:val="21"/>
          <w:highlight w:val="none"/>
        </w:rPr>
        <w:t xml:space="preserve">合同生效及其它：</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本合同经双方签字盖章后生效，并向招标代理机构备案。</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合同在执行过程中出现的未尽事宜，双方在不违背本合同的原则下协商解决，协商结果以书面形式记录在案，作为本合同附件，与本合同具有同等效力。</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第十五条 特别条款</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双方签约人为各自法定代表人或被授权代表。</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伍</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份，代理机构</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份，各份具有同等法律效力。</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vAlign w:val="top"/>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甲方（盖章）：</w:t>
            </w:r>
            <w:r>
              <w:rPr>
                <w:rFonts w:hint="eastAsia" w:ascii="宋体" w:hAnsi="宋体" w:cs="宋体"/>
                <w:color w:val="auto"/>
                <w:sz w:val="21"/>
                <w:szCs w:val="21"/>
                <w:highlight w:val="none"/>
                <w:lang w:eastAsia="zh-CN"/>
              </w:rPr>
              <w:t xml:space="preserve">江苏省太仓高新技术产业开发区管理委员会</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46" w:type="dxa"/>
            <w:vAlign w:val="top"/>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代表人或委</w:t>
            </w:r>
            <w:r/>
          </w:p>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r>
    </w:tbl>
    <w:p>
      <w:pPr>
        <w:ind w:right="0" w:firstLine="420"/>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备案方</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全文完</w:t>
      </w:r>
      <w:r>
        <w:rPr>
          <w:rFonts w:hint="eastAsia" w:ascii="宋体" w:hAnsi="宋体" w:cs="宋体"/>
          <w:color w:val="auto"/>
          <w:sz w:val="21"/>
          <w:szCs w:val="21"/>
          <w:highlight w:val="none"/>
          <w:lang w:eastAsia="zh-CN"/>
        </w:rPr>
        <w:t xml:space="preserve">）</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2"/>
    </w:pPr>
    <w:r>
      <w:fldChar w:fldCharType="begin"/>
    </w:r>
    <w:r>
      <w:rPr>
        <w:rStyle w:val="767"/>
      </w:rPr>
      <w:instrText xml:space="preserve">PAGE  </w:instrText>
    </w:r>
    <w:r>
      <w:fldChar w:fldCharType="separate"/>
    </w:r>
    <w:r>
      <w:rPr>
        <w:rStyle w:val="767"/>
      </w:rPr>
      <w:t xml:space="preserve">0</w:t>
    </w:r>
    <w:r>
      <w:fldChar w:fldCharType="end"/>
    </w:r>
    <w:r/>
  </w:p>
  <w:p>
    <w:pPr>
      <w:pStyle w:val="75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rPr>
        <w:lang w:val="zh-CN"/>
      </w:rPr>
      <w:t xml:space="preserve">47</w:t>
    </w:r>
    <w:r>
      <w:fldChar w:fldCharType="end"/>
    </w:r>
    <w:r/>
  </w:p>
  <w:p>
    <w:pPr>
      <w:pStyle w:val="7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rPr>
        <w:lang w:val="zh-CN"/>
      </w:rPr>
      <w:t xml:space="preserve">1</w: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JSZC-320585-SZTZ-G2024-0032</w:t>
    </w:r>
    <w:r>
      <w:rPr>
        <w:rFonts w:hint="eastAsia"/>
        <w:lang w:eastAsia="zh-CN"/>
      </w:rPr>
      <w:tab/>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JSZC-320585-SZTZ-G2024-0032</w:t>
    </w:r>
    <w:r>
      <w:rPr>
        <w:rFonts w:hint="eastAsia"/>
        <w:lang w:eastAsia="zh-CN"/>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30"/>
      <w:isLgl w:val="false"/>
      <w:suff w:val="nothing"/>
      <w:lvlText w:val="%1、"/>
      <w:lvlJc w:val="left"/>
      <w:pPr>
        <w:ind w:left="0" w:firstLine="0"/>
      </w:pPr>
      <w:rPr>
        <w:rFonts w:hint="eastAsia"/>
      </w:rPr>
    </w:lvl>
    <w:lvl w:ilvl="1">
      <w:start w:val="1"/>
      <w:numFmt w:val="chineseCounting"/>
      <w:pStyle w:val="731"/>
      <w:isLgl w:val="false"/>
      <w:suff w:val="nothing"/>
      <w:lvlText w:val="（%2）"/>
      <w:lvlJc w:val="left"/>
      <w:pPr>
        <w:ind w:left="0" w:firstLine="0"/>
      </w:pPr>
      <w:rPr>
        <w:rFonts w:hint="eastAsia"/>
      </w:rPr>
    </w:lvl>
    <w:lvl w:ilvl="2">
      <w:start w:val="1"/>
      <w:numFmt w:val="decimal"/>
      <w:pStyle w:val="732"/>
      <w:isLgl w:val="false"/>
      <w:suff w:val="nothing"/>
      <w:lvlText w:val="%3．"/>
      <w:lvlJc w:val="left"/>
      <w:pPr>
        <w:ind w:left="0" w:firstLine="400"/>
      </w:pPr>
      <w:rPr>
        <w:rFonts w:hint="eastAsia"/>
      </w:rPr>
    </w:lvl>
    <w:lvl w:ilvl="3">
      <w:start w:val="1"/>
      <w:numFmt w:val="decimal"/>
      <w:pStyle w:val="733"/>
      <w:isLgl w:val="false"/>
      <w:suff w:val="nothing"/>
      <w:lvlText w:val="（%4）"/>
      <w:lvlJc w:val="left"/>
      <w:pPr>
        <w:ind w:left="0" w:firstLine="402"/>
      </w:pPr>
      <w:rPr>
        <w:rFonts w:hint="eastAsia"/>
      </w:rPr>
    </w:lvl>
    <w:lvl w:ilvl="4">
      <w:start w:val="1"/>
      <w:numFmt w:val="decimalEnclosedCircleChinese"/>
      <w:pStyle w:val="734"/>
      <w:isLgl w:val="false"/>
      <w:suff w:val="nothing"/>
      <w:lvlText w:val="%5"/>
      <w:lvlJc w:val="left"/>
      <w:pPr>
        <w:ind w:left="0" w:firstLine="402"/>
      </w:pPr>
      <w:rPr>
        <w:rFonts w:hint="eastAsia"/>
      </w:rPr>
    </w:lvl>
    <w:lvl w:ilvl="5">
      <w:start w:val="1"/>
      <w:numFmt w:val="decimal"/>
      <w:pStyle w:val="735"/>
      <w:isLgl w:val="false"/>
      <w:suff w:val="nothing"/>
      <w:lvlText w:val="%6）"/>
      <w:lvlJc w:val="left"/>
      <w:pPr>
        <w:ind w:left="0" w:firstLine="402"/>
      </w:pPr>
      <w:rPr>
        <w:rFonts w:hint="eastAsia"/>
      </w:rPr>
    </w:lvl>
    <w:lvl w:ilvl="6">
      <w:start w:val="1"/>
      <w:numFmt w:val="lowerLetter"/>
      <w:pStyle w:val="736"/>
      <w:isLgl w:val="false"/>
      <w:suff w:val="nothing"/>
      <w:lvlText w:val="%7．"/>
      <w:lvlJc w:val="left"/>
      <w:pPr>
        <w:ind w:left="0" w:firstLine="402"/>
      </w:pPr>
      <w:rPr>
        <w:rFonts w:hint="eastAsia"/>
      </w:rPr>
    </w:lvl>
    <w:lvl w:ilvl="7">
      <w:start w:val="1"/>
      <w:numFmt w:val="lowerLetter"/>
      <w:pStyle w:val="737"/>
      <w:isLgl w:val="false"/>
      <w:suff w:val="nothing"/>
      <w:lvlText w:val="%8）"/>
      <w:lvlJc w:val="left"/>
      <w:pPr>
        <w:ind w:left="0" w:firstLine="402"/>
      </w:pPr>
      <w:rPr>
        <w:rFonts w:hint="eastAsia"/>
      </w:rPr>
    </w:lvl>
    <w:lvl w:ilvl="8">
      <w:start w:val="1"/>
      <w:numFmt w:val="lowerRoman"/>
      <w:pStyle w:val="738"/>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pStyle w:val="827"/>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6">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807"/>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2"/>
  </w:num>
  <w:num w:numId="5">
    <w:abstractNumId w:val="7"/>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15">
    <w:name w:val="Heading 2 Char"/>
    <w:basedOn w:val="739"/>
    <w:link w:val="731"/>
    <w:uiPriority w:val="9"/>
    <w:rPr>
      <w:rFonts w:ascii="Arial" w:hAnsi="Arial" w:eastAsia="Arial" w:cs="Arial"/>
      <w:sz w:val="34"/>
    </w:rPr>
  </w:style>
  <w:style w:type="character" w:styleId="17">
    <w:name w:val="Heading 3 Char"/>
    <w:basedOn w:val="739"/>
    <w:link w:val="732"/>
    <w:uiPriority w:val="9"/>
    <w:rPr>
      <w:rFonts w:ascii="Arial" w:hAnsi="Arial" w:eastAsia="Arial" w:cs="Arial"/>
      <w:sz w:val="30"/>
      <w:szCs w:val="30"/>
    </w:rPr>
  </w:style>
  <w:style w:type="character" w:styleId="19">
    <w:name w:val="Heading 4 Char"/>
    <w:basedOn w:val="739"/>
    <w:link w:val="733"/>
    <w:uiPriority w:val="9"/>
    <w:rPr>
      <w:rFonts w:ascii="Arial" w:hAnsi="Arial" w:eastAsia="Arial" w:cs="Arial"/>
      <w:b/>
      <w:bCs/>
      <w:sz w:val="26"/>
      <w:szCs w:val="26"/>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character" w:styleId="34">
    <w:name w:val="Title Char"/>
    <w:basedOn w:val="739"/>
    <w:link w:val="761"/>
    <w:uiPriority w:val="10"/>
    <w:rPr>
      <w:sz w:val="48"/>
      <w:szCs w:val="48"/>
    </w:rPr>
  </w:style>
  <w:style w:type="character" w:styleId="36">
    <w:name w:val="Subtitle Char"/>
    <w:basedOn w:val="739"/>
    <w:link w:val="756"/>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9"/>
    <w:link w:val="753"/>
    <w:uiPriority w:val="99"/>
  </w:style>
  <w:style w:type="character" w:styleId="44">
    <w:name w:val="Footer Char"/>
    <w:basedOn w:val="739"/>
    <w:link w:val="751"/>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9"/>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9"/>
    <w:uiPriority w:val="99"/>
    <w:semiHidden/>
    <w:unhideWhenUsed/>
    <w:rPr>
      <w:vertAlign w:val="superscript"/>
    </w:r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uiPriority w:val="0"/>
    <w:qFormat/>
    <w:rPr>
      <w:rFonts w:ascii="Times New Roman" w:hAnsi="Times New Roman" w:eastAsia="宋体" w:cs="Times New Roman"/>
      <w:sz w:val="24"/>
      <w:szCs w:val="24"/>
      <w:lang w:val="en-US" w:eastAsia="zh-CN" w:bidi="ar-SA"/>
    </w:rPr>
  </w:style>
  <w:style w:type="paragraph" w:styleId="730">
    <w:name w:val="Heading 1"/>
    <w:basedOn w:val="729"/>
    <w:next w:val="729"/>
    <w:link w:val="773"/>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31">
    <w:name w:val="Heading 2"/>
    <w:basedOn w:val="729"/>
    <w:next w:val="729"/>
    <w:link w:val="774"/>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32">
    <w:name w:val="Heading 3"/>
    <w:basedOn w:val="729"/>
    <w:next w:val="741"/>
    <w:uiPriority w:val="0"/>
    <w:qFormat/>
    <w:pPr>
      <w:numPr>
        <w:ilvl w:val="2"/>
        <w:numId w:val="1"/>
      </w:numPr>
      <w:keepLines/>
      <w:keepNext/>
      <w:spacing w:before="260" w:after="260" w:line="416" w:lineRule="auto"/>
      <w:outlineLvl w:val="2"/>
    </w:pPr>
    <w:rPr>
      <w:b/>
      <w:bCs/>
      <w:sz w:val="32"/>
      <w:szCs w:val="32"/>
    </w:rPr>
  </w:style>
  <w:style w:type="paragraph" w:styleId="733">
    <w:name w:val="Heading 4"/>
    <w:basedOn w:val="729"/>
    <w:next w:val="72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34">
    <w:name w:val="Heading 5"/>
    <w:basedOn w:val="729"/>
    <w:next w:val="729"/>
    <w:uiPriority w:val="0"/>
    <w:qFormat/>
    <w:pPr>
      <w:numPr>
        <w:ilvl w:val="4"/>
        <w:numId w:val="1"/>
      </w:numPr>
      <w:keepLines/>
      <w:keepNext/>
      <w:spacing w:before="280" w:after="290" w:line="376" w:lineRule="auto"/>
      <w:outlineLvl w:val="4"/>
    </w:pPr>
    <w:rPr>
      <w:b/>
      <w:bCs/>
      <w:sz w:val="28"/>
      <w:szCs w:val="28"/>
    </w:rPr>
  </w:style>
  <w:style w:type="paragraph" w:styleId="735">
    <w:name w:val="Heading 6"/>
    <w:basedOn w:val="729"/>
    <w:next w:val="729"/>
    <w:uiPriority w:val="0"/>
    <w:qFormat/>
    <w:pPr>
      <w:numPr>
        <w:ilvl w:val="5"/>
        <w:numId w:val="1"/>
      </w:numPr>
      <w:keepLines/>
      <w:keepNext/>
      <w:spacing w:before="240" w:after="64" w:line="320" w:lineRule="auto"/>
      <w:outlineLvl w:val="5"/>
    </w:pPr>
    <w:rPr>
      <w:rFonts w:ascii="Arial" w:hAnsi="Arial" w:eastAsia="黑体"/>
      <w:b/>
      <w:bCs/>
    </w:rPr>
  </w:style>
  <w:style w:type="paragraph" w:styleId="736">
    <w:name w:val="Heading 7"/>
    <w:basedOn w:val="729"/>
    <w:next w:val="729"/>
    <w:uiPriority w:val="0"/>
    <w:qFormat/>
    <w:pPr>
      <w:numPr>
        <w:ilvl w:val="6"/>
        <w:numId w:val="1"/>
      </w:numPr>
      <w:jc w:val="center"/>
      <w:keepLines/>
      <w:keepNext/>
      <w:spacing w:before="30" w:after="10"/>
      <w:outlineLvl w:val="6"/>
    </w:pPr>
    <w:rPr>
      <w:rFonts w:eastAsia="黑体"/>
      <w:lang w:val="zh-CN"/>
    </w:rPr>
  </w:style>
  <w:style w:type="paragraph" w:styleId="737">
    <w:name w:val="Heading 8"/>
    <w:basedOn w:val="736"/>
    <w:next w:val="729"/>
    <w:uiPriority w:val="0"/>
    <w:qFormat/>
    <w:pPr>
      <w:numPr>
        <w:ilvl w:val="7"/>
      </w:numPr>
      <w:keepLines w:val="0"/>
      <w:keepNext w:val="0"/>
      <w:spacing w:before="10" w:after="30"/>
      <w:outlineLvl w:val="7"/>
    </w:pPr>
  </w:style>
  <w:style w:type="paragraph" w:styleId="738">
    <w:name w:val="Heading 9"/>
    <w:basedOn w:val="729"/>
    <w:next w:val="729"/>
    <w:uiPriority w:val="0"/>
    <w:qFormat/>
    <w:pPr>
      <w:numPr>
        <w:ilvl w:val="8"/>
        <w:numId w:val="1"/>
      </w:numPr>
      <w:keepLines/>
      <w:keepNext/>
      <w:spacing w:before="240" w:after="64" w:line="317" w:lineRule="auto"/>
      <w:outlineLvl w:val="8"/>
    </w:pPr>
    <w:rPr>
      <w:rFonts w:ascii="Arial" w:hAnsi="Arial" w:eastAsia="黑体"/>
      <w:sz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Normal Indent"/>
    <w:basedOn w:val="729"/>
    <w:uiPriority w:val="0"/>
    <w:qFormat/>
    <w:pPr>
      <w:ind w:firstLine="420"/>
      <w:widowControl w:val="off"/>
    </w:pPr>
    <w:rPr>
      <w:rFonts w:eastAsia="楷体_GB2312"/>
      <w:szCs w:val="20"/>
    </w:rPr>
  </w:style>
  <w:style w:type="paragraph" w:styleId="742">
    <w:name w:val="Document Map"/>
    <w:basedOn w:val="729"/>
    <w:link w:val="775"/>
    <w:uiPriority w:val="0"/>
    <w:qFormat/>
    <w:pPr>
      <w:shd w:val="clear" w:color="auto" w:fill="000080"/>
    </w:pPr>
  </w:style>
  <w:style w:type="paragraph" w:styleId="743">
    <w:name w:val="annotation text"/>
    <w:basedOn w:val="729"/>
    <w:uiPriority w:val="0"/>
    <w:qFormat/>
  </w:style>
  <w:style w:type="paragraph" w:styleId="744">
    <w:name w:val="Body Text"/>
    <w:basedOn w:val="729"/>
    <w:uiPriority w:val="0"/>
    <w:qFormat/>
    <w:pPr>
      <w:spacing w:after="120"/>
    </w:pPr>
  </w:style>
  <w:style w:type="paragraph" w:styleId="745">
    <w:name w:val="Body Text Indent"/>
    <w:basedOn w:val="729"/>
    <w:uiPriority w:val="0"/>
    <w:qFormat/>
    <w:pPr>
      <w:ind w:right="-159" w:firstLine="246"/>
      <w:jc w:val="both"/>
      <w:spacing w:line="240" w:lineRule="atLeast"/>
      <w:widowControl w:val="off"/>
    </w:pPr>
    <w:rPr>
      <w:spacing w:val="20"/>
      <w:sz w:val="21"/>
    </w:rPr>
  </w:style>
  <w:style w:type="paragraph" w:styleId="746">
    <w:name w:val="Block Text"/>
    <w:basedOn w:val="72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47">
    <w:name w:val="Plain Text"/>
    <w:basedOn w:val="729"/>
    <w:link w:val="776"/>
    <w:uiPriority w:val="0"/>
    <w:qFormat/>
    <w:rPr>
      <w:rFonts w:ascii="宋体" w:hAnsi="Courier New" w:eastAsia="楷体_GB2312"/>
      <w:sz w:val="26"/>
      <w:szCs w:val="20"/>
    </w:rPr>
  </w:style>
  <w:style w:type="paragraph" w:styleId="748">
    <w:name w:val="Date"/>
    <w:basedOn w:val="729"/>
    <w:next w:val="729"/>
    <w:link w:val="777"/>
    <w:uiPriority w:val="0"/>
    <w:qFormat/>
    <w:pPr>
      <w:ind w:left="100"/>
      <w:jc w:val="both"/>
      <w:widowControl w:val="off"/>
    </w:pPr>
    <w:rPr>
      <w:b/>
      <w:bCs/>
      <w:spacing w:val="20"/>
      <w:sz w:val="21"/>
    </w:rPr>
  </w:style>
  <w:style w:type="paragraph" w:styleId="749">
    <w:name w:val="Body Text Indent 2"/>
    <w:basedOn w:val="729"/>
    <w:uiPriority w:val="0"/>
    <w:qFormat/>
    <w:pPr>
      <w:ind w:firstLine="460"/>
      <w:spacing w:line="360" w:lineRule="auto"/>
    </w:pPr>
    <w:rPr>
      <w:spacing w:val="20"/>
      <w:sz w:val="21"/>
    </w:rPr>
  </w:style>
  <w:style w:type="paragraph" w:styleId="750">
    <w:name w:val="Balloon Text"/>
    <w:basedOn w:val="729"/>
    <w:uiPriority w:val="0"/>
    <w:qFormat/>
    <w:rPr>
      <w:sz w:val="18"/>
      <w:szCs w:val="18"/>
    </w:rPr>
  </w:style>
  <w:style w:type="paragraph" w:styleId="751">
    <w:name w:val="Footer"/>
    <w:basedOn w:val="729"/>
    <w:link w:val="778"/>
    <w:uiPriority w:val="99"/>
    <w:qFormat/>
    <w:pPr>
      <w:widowControl w:val="off"/>
      <w:tabs>
        <w:tab w:val="center" w:pos="4153" w:leader="none"/>
        <w:tab w:val="right" w:pos="8306" w:leader="none"/>
      </w:tabs>
    </w:pPr>
    <w:rPr>
      <w:sz w:val="18"/>
      <w:szCs w:val="18"/>
    </w:rPr>
  </w:style>
  <w:style w:type="paragraph" w:styleId="752">
    <w:name w:val="envelope return"/>
    <w:basedOn w:val="729"/>
    <w:uiPriority w:val="99"/>
    <w:unhideWhenUsed/>
    <w:qFormat/>
    <w:rPr>
      <w:rFonts w:ascii="Arial" w:hAnsi="Arial"/>
    </w:rPr>
  </w:style>
  <w:style w:type="paragraph" w:styleId="753">
    <w:name w:val="Header"/>
    <w:basedOn w:val="72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54">
    <w:name w:val="toc 1"/>
    <w:basedOn w:val="729"/>
    <w:next w:val="729"/>
    <w:uiPriority w:val="0"/>
    <w:qFormat/>
    <w:pPr>
      <w:widowControl w:val="off"/>
    </w:pPr>
    <w:rPr>
      <w:rFonts w:eastAsia="楷体_GB2312"/>
      <w:szCs w:val="20"/>
    </w:rPr>
  </w:style>
  <w:style w:type="paragraph" w:styleId="755">
    <w:name w:val="toc 4"/>
    <w:basedOn w:val="729"/>
    <w:next w:val="729"/>
    <w:uiPriority w:val="39"/>
    <w:unhideWhenUsed/>
    <w:qFormat/>
    <w:pPr>
      <w:ind w:left="1260"/>
    </w:pPr>
  </w:style>
  <w:style w:type="paragraph" w:styleId="756">
    <w:name w:val="Subtitle"/>
    <w:basedOn w:val="729"/>
    <w:next w:val="729"/>
    <w:uiPriority w:val="0"/>
    <w:qFormat/>
    <w:pPr>
      <w:jc w:val="center"/>
      <w:spacing w:before="240" w:after="60" w:line="312" w:lineRule="auto"/>
      <w:outlineLvl w:val="1"/>
    </w:pPr>
    <w:rPr>
      <w:rFonts w:ascii="宋体" w:hAnsi="Courier New" w:eastAsia="楷体_GB2312"/>
      <w:sz w:val="26"/>
      <w:szCs w:val="20"/>
    </w:rPr>
  </w:style>
  <w:style w:type="paragraph" w:styleId="757">
    <w:name w:val="Body Text Indent 3"/>
    <w:basedOn w:val="729"/>
    <w:link w:val="779"/>
    <w:uiPriority w:val="0"/>
    <w:qFormat/>
    <w:pPr>
      <w:ind w:firstLine="480"/>
      <w:spacing w:line="300" w:lineRule="auto"/>
      <w:widowControl w:val="off"/>
    </w:pPr>
  </w:style>
  <w:style w:type="paragraph" w:styleId="758">
    <w:name w:val="Body Text 2"/>
    <w:basedOn w:val="729"/>
    <w:uiPriority w:val="0"/>
    <w:qFormat/>
    <w:pPr>
      <w:spacing w:after="120" w:line="480" w:lineRule="auto"/>
    </w:pPr>
  </w:style>
  <w:style w:type="paragraph" w:styleId="759">
    <w:name w:val="HTML Preformatted"/>
    <w:basedOn w:val="72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760">
    <w:name w:val="Normal (Web)"/>
    <w:basedOn w:val="729"/>
    <w:uiPriority w:val="0"/>
    <w:qFormat/>
    <w:pPr>
      <w:spacing w:before="100" w:beforeAutospacing="1" w:after="100" w:afterAutospacing="1"/>
    </w:pPr>
    <w:rPr>
      <w:rFonts w:ascii="宋体" w:hAnsi="宋体" w:cs="宋体"/>
    </w:rPr>
  </w:style>
  <w:style w:type="paragraph" w:styleId="761">
    <w:name w:val="Title"/>
    <w:basedOn w:val="729"/>
    <w:next w:val="729"/>
    <w:link w:val="780"/>
    <w:uiPriority w:val="0"/>
    <w:qFormat/>
    <w:pPr>
      <w:jc w:val="center"/>
      <w:spacing w:before="240" w:after="60"/>
      <w:outlineLvl w:val="0"/>
    </w:pPr>
    <w:rPr>
      <w:rFonts w:ascii="Cambria" w:hAnsi="Cambria"/>
      <w:b/>
      <w:bCs/>
      <w:sz w:val="32"/>
      <w:szCs w:val="32"/>
    </w:rPr>
  </w:style>
  <w:style w:type="paragraph" w:styleId="762">
    <w:name w:val="annotation subject"/>
    <w:basedOn w:val="743"/>
    <w:next w:val="743"/>
    <w:uiPriority w:val="0"/>
    <w:qFormat/>
    <w:rPr>
      <w:b/>
      <w:bCs/>
    </w:rPr>
  </w:style>
  <w:style w:type="paragraph" w:styleId="763">
    <w:name w:val="Body Text First Indent"/>
    <w:basedOn w:val="744"/>
    <w:uiPriority w:val="0"/>
    <w:qFormat/>
    <w:pPr>
      <w:ind w:firstLine="420"/>
      <w:tabs>
        <w:tab w:val="left" w:pos="5250" w:leader="none"/>
      </w:tabs>
    </w:pPr>
  </w:style>
  <w:style w:type="paragraph" w:styleId="764">
    <w:name w:val="Body Text First Indent 2"/>
    <w:basedOn w:val="745"/>
    <w:uiPriority w:val="99"/>
    <w:qFormat/>
    <w:pPr>
      <w:ind w:firstLine="420"/>
    </w:pPr>
  </w:style>
  <w:style w:type="table" w:styleId="765">
    <w:name w:val="Table Grid"/>
    <w:basedOn w:val="7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page number"/>
    <w:uiPriority w:val="0"/>
    <w:qFormat/>
  </w:style>
  <w:style w:type="character" w:styleId="768">
    <w:name w:val="FollowedHyperlink"/>
    <w:uiPriority w:val="0"/>
    <w:qFormat/>
    <w:rPr>
      <w:color w:val="333333"/>
      <w:u w:val="none"/>
    </w:rPr>
  </w:style>
  <w:style w:type="character" w:styleId="769">
    <w:name w:val="Hyperlink"/>
    <w:uiPriority w:val="0"/>
    <w:qFormat/>
    <w:rPr>
      <w:color w:val="333333"/>
      <w:u w:val="none"/>
    </w:rPr>
  </w:style>
  <w:style w:type="character" w:styleId="770">
    <w:name w:val="annotation reference"/>
    <w:uiPriority w:val="0"/>
    <w:qFormat/>
    <w:rPr>
      <w:sz w:val="21"/>
      <w:szCs w:val="21"/>
    </w:rPr>
  </w:style>
  <w:style w:type="paragraph" w:styleId="771" w:customStyle="1">
    <w:name w:val="样式1"/>
    <w:basedOn w:val="729"/>
    <w:uiPriority w:val="0"/>
    <w:qFormat/>
    <w:pPr>
      <w:jc w:val="center"/>
    </w:pPr>
  </w:style>
  <w:style w:type="paragraph" w:styleId="772" w:customStyle="1">
    <w:name w:val="正文1"/>
    <w:basedOn w:val="729"/>
    <w:next w:val="729"/>
    <w:uiPriority w:val="0"/>
    <w:qFormat/>
    <w:pPr>
      <w:ind w:firstLine="540"/>
    </w:pPr>
    <w:rPr>
      <w:szCs w:val="20"/>
    </w:rPr>
  </w:style>
  <w:style w:type="character" w:styleId="773" w:customStyle="1">
    <w:name w:val="标题 1 字符"/>
    <w:link w:val="730"/>
    <w:uiPriority w:val="0"/>
    <w:qFormat/>
    <w:rPr>
      <w:rFonts w:eastAsia="楷体_GB2312"/>
      <w:b/>
      <w:sz w:val="44"/>
      <w:szCs w:val="20"/>
    </w:rPr>
  </w:style>
  <w:style w:type="character" w:styleId="774" w:customStyle="1">
    <w:name w:val="标题 2 字符"/>
    <w:basedOn w:val="739"/>
    <w:link w:val="731"/>
    <w:uiPriority w:val="9"/>
    <w:qFormat/>
    <w:rPr>
      <w:rFonts w:ascii="Cambria" w:hAnsi="Cambria" w:eastAsia="宋体" w:cs="Times New Roman"/>
      <w:b/>
      <w:bCs/>
      <w:sz w:val="32"/>
      <w:szCs w:val="32"/>
    </w:rPr>
  </w:style>
  <w:style w:type="character" w:styleId="775" w:customStyle="1">
    <w:name w:val="文档结构图 字符"/>
    <w:link w:val="742"/>
    <w:uiPriority w:val="0"/>
    <w:qFormat/>
    <w:rPr>
      <w:sz w:val="24"/>
      <w:szCs w:val="24"/>
      <w:shd w:val="clear" w:color="auto" w:fill="000080"/>
    </w:rPr>
  </w:style>
  <w:style w:type="character" w:styleId="776" w:customStyle="1">
    <w:name w:val="纯文本 字符"/>
    <w:link w:val="747"/>
    <w:uiPriority w:val="0"/>
    <w:qFormat/>
    <w:rPr>
      <w:rFonts w:ascii="宋体" w:hAnsi="Courier New" w:eastAsia="楷体_GB2312"/>
      <w:sz w:val="26"/>
    </w:rPr>
  </w:style>
  <w:style w:type="character" w:styleId="777" w:customStyle="1">
    <w:name w:val="日期 字符"/>
    <w:link w:val="748"/>
    <w:uiPriority w:val="0"/>
    <w:qFormat/>
    <w:rPr>
      <w:b/>
      <w:bCs/>
      <w:spacing w:val="20"/>
      <w:sz w:val="21"/>
      <w:szCs w:val="24"/>
    </w:rPr>
  </w:style>
  <w:style w:type="character" w:styleId="778" w:customStyle="1">
    <w:name w:val="页脚 字符"/>
    <w:link w:val="751"/>
    <w:uiPriority w:val="99"/>
    <w:qFormat/>
    <w:rPr>
      <w:sz w:val="18"/>
      <w:szCs w:val="18"/>
    </w:rPr>
  </w:style>
  <w:style w:type="character" w:styleId="779" w:customStyle="1">
    <w:name w:val="正文文本缩进 3 字符"/>
    <w:link w:val="757"/>
    <w:uiPriority w:val="0"/>
    <w:qFormat/>
    <w:rPr>
      <w:sz w:val="24"/>
      <w:szCs w:val="24"/>
    </w:rPr>
  </w:style>
  <w:style w:type="character" w:styleId="780" w:customStyle="1">
    <w:name w:val="标题 字符"/>
    <w:link w:val="761"/>
    <w:uiPriority w:val="0"/>
    <w:qFormat/>
    <w:rPr>
      <w:rFonts w:ascii="Cambria" w:hAnsi="Cambria" w:cs="Times New Roman"/>
      <w:b/>
      <w:bCs/>
      <w:sz w:val="32"/>
      <w:szCs w:val="32"/>
    </w:rPr>
  </w:style>
  <w:style w:type="character" w:styleId="781" w:customStyle="1">
    <w:name w:val="font31"/>
    <w:basedOn w:val="739"/>
    <w:uiPriority w:val="0"/>
    <w:qFormat/>
    <w:rPr>
      <w:rFonts w:hint="eastAsia" w:ascii="宋体" w:hAnsi="宋体" w:eastAsia="宋体" w:cs="宋体"/>
      <w:color w:val="000000"/>
      <w:sz w:val="21"/>
      <w:szCs w:val="21"/>
      <w:u w:val="none"/>
    </w:rPr>
  </w:style>
  <w:style w:type="character" w:styleId="782" w:customStyle="1">
    <w:name w:val="无"/>
    <w:uiPriority w:val="0"/>
    <w:qFormat/>
  </w:style>
  <w:style w:type="character" w:styleId="783" w:customStyle="1">
    <w:name w:val="apple-converted-space"/>
    <w:uiPriority w:val="0"/>
    <w:qFormat/>
  </w:style>
  <w:style w:type="character" w:styleId="784" w:customStyle="1">
    <w:name w:val="font21"/>
    <w:basedOn w:val="739"/>
    <w:uiPriority w:val="0"/>
    <w:qFormat/>
    <w:rPr>
      <w:rFonts w:hint="eastAsia" w:ascii="宋体" w:hAnsi="宋体" w:eastAsia="宋体" w:cs="宋体"/>
      <w:color w:val="000000"/>
      <w:sz w:val="24"/>
      <w:szCs w:val="24"/>
      <w:u w:val="none"/>
    </w:rPr>
  </w:style>
  <w:style w:type="character" w:styleId="785" w:customStyle="1">
    <w:name w:val="NormalCharacter"/>
    <w:uiPriority w:val="0"/>
    <w:qFormat/>
  </w:style>
  <w:style w:type="character" w:styleId="786" w:customStyle="1">
    <w:name w:val="font11"/>
    <w:uiPriority w:val="0"/>
    <w:qFormat/>
    <w:rPr>
      <w:rFonts w:hint="eastAsia" w:ascii="宋体" w:hAnsi="宋体" w:eastAsia="宋体" w:cs="宋体"/>
      <w:color w:val="000000"/>
      <w:sz w:val="24"/>
      <w:szCs w:val="24"/>
      <w:u w:val="none"/>
    </w:rPr>
  </w:style>
  <w:style w:type="character" w:styleId="787" w:customStyle="1">
    <w:name w:val="font01"/>
    <w:uiPriority w:val="0"/>
    <w:qFormat/>
    <w:rPr>
      <w:rFonts w:hint="eastAsia" w:ascii="宋体" w:hAnsi="宋体" w:eastAsia="宋体" w:cs="宋体"/>
      <w:color w:val="000000"/>
      <w:sz w:val="24"/>
      <w:szCs w:val="24"/>
      <w:u w:val="none"/>
    </w:rPr>
  </w:style>
  <w:style w:type="character" w:styleId="788" w:customStyle="1">
    <w:name w:val="font51"/>
    <w:basedOn w:val="739"/>
    <w:uiPriority w:val="0"/>
    <w:qFormat/>
    <w:rPr>
      <w:rFonts w:hint="eastAsia" w:ascii="宋体" w:hAnsi="宋体" w:eastAsia="宋体" w:cs="宋体"/>
      <w:color w:val="000000"/>
      <w:sz w:val="24"/>
      <w:szCs w:val="24"/>
      <w:u w:val="none"/>
    </w:rPr>
  </w:style>
  <w:style w:type="character" w:styleId="789" w:customStyle="1">
    <w:name w:val="Plain Text Char"/>
    <w:link w:val="790"/>
    <w:uiPriority w:val="0"/>
    <w:qFormat/>
    <w:rPr>
      <w:rFonts w:ascii="宋体" w:hAnsi="Courier New" w:eastAsia="楷体_GB2312"/>
      <w:sz w:val="26"/>
    </w:rPr>
  </w:style>
  <w:style w:type="paragraph" w:styleId="790" w:customStyle="1">
    <w:name w:val="纯文本1"/>
    <w:basedOn w:val="729"/>
    <w:link w:val="789"/>
    <w:uiPriority w:val="0"/>
    <w:qFormat/>
    <w:pPr>
      <w:jc w:val="both"/>
      <w:widowControl w:val="off"/>
    </w:pPr>
    <w:rPr>
      <w:rFonts w:ascii="宋体" w:hAnsi="Courier New" w:eastAsia="楷体_GB2312"/>
      <w:sz w:val="26"/>
      <w:szCs w:val="20"/>
    </w:rPr>
  </w:style>
  <w:style w:type="character" w:styleId="791" w:customStyle="1">
    <w:name w:val="Andy_正文 Char"/>
    <w:link w:val="792"/>
    <w:uiPriority w:val="0"/>
    <w:qFormat/>
    <w:rPr>
      <w:rFonts w:ascii="Calibri" w:hAnsi="Calibri"/>
      <w:sz w:val="24"/>
      <w:szCs w:val="24"/>
    </w:rPr>
  </w:style>
  <w:style w:type="paragraph" w:styleId="792" w:customStyle="1">
    <w:name w:val="Andy_正文"/>
    <w:basedOn w:val="729"/>
    <w:link w:val="791"/>
    <w:uiPriority w:val="0"/>
    <w:qFormat/>
    <w:pPr>
      <w:ind w:firstLine="480"/>
      <w:jc w:val="both"/>
      <w:spacing w:line="360" w:lineRule="auto"/>
      <w:widowControl w:val="off"/>
    </w:pPr>
    <w:rPr>
      <w:rFonts w:ascii="Calibri" w:hAnsi="Calibri"/>
    </w:rPr>
  </w:style>
  <w:style w:type="paragraph" w:styleId="793" w:customStyle="1">
    <w:name w:val="H-TextFormat"/>
    <w:uiPriority w:val="0"/>
    <w:qFormat/>
    <w:rPr>
      <w:rFonts w:ascii="Arial" w:hAnsi="Arial" w:eastAsia="宋体" w:cs="Times New Roman"/>
      <w:sz w:val="22"/>
      <w:lang w:val="en-GB" w:eastAsia="en-US" w:bidi="ar-SA"/>
    </w:rPr>
  </w:style>
  <w:style w:type="paragraph" w:styleId="794" w:customStyle="1">
    <w:name w:val="Char1"/>
    <w:basedOn w:val="729"/>
    <w:uiPriority w:val="0"/>
    <w:qFormat/>
    <w:pPr>
      <w:jc w:val="both"/>
      <w:widowControl w:val="off"/>
    </w:pPr>
    <w:rPr>
      <w:rFonts w:ascii="Tahoma" w:hAnsi="Tahoma"/>
      <w:szCs w:val="20"/>
    </w:rPr>
  </w:style>
  <w:style w:type="paragraph" w:styleId="795" w:customStyle="1">
    <w:name w:val="_Style 12"/>
    <w:basedOn w:val="742"/>
    <w:uiPriority w:val="0"/>
    <w:qFormat/>
    <w:pPr>
      <w:spacing w:line="360" w:lineRule="auto"/>
    </w:pPr>
  </w:style>
  <w:style w:type="paragraph" w:styleId="796" w:customStyle="1">
    <w:name w:val="Table Paragraph"/>
    <w:basedOn w:val="729"/>
    <w:uiPriority w:val="1"/>
    <w:qFormat/>
    <w:pPr>
      <w:widowControl w:val="off"/>
    </w:pPr>
    <w:rPr>
      <w:rFonts w:ascii="宋体" w:hAnsi="宋体" w:cs="宋体"/>
      <w:sz w:val="22"/>
      <w:szCs w:val="22"/>
      <w:lang w:val="zh-CN" w:bidi="zh-CN"/>
    </w:rPr>
  </w:style>
  <w:style w:type="paragraph" w:styleId="797" w:customStyle="1">
    <w:name w:val="_Style 25"/>
    <w:basedOn w:val="729"/>
    <w:uiPriority w:val="0"/>
    <w:qFormat/>
    <w:pPr>
      <w:spacing w:after="160" w:line="240" w:lineRule="exact"/>
    </w:pPr>
    <w:rPr>
      <w:szCs w:val="20"/>
    </w:rPr>
  </w:style>
  <w:style w:type="paragraph" w:styleId="798" w:customStyle="1">
    <w:name w:val="纯文本11"/>
    <w:basedOn w:val="729"/>
    <w:uiPriority w:val="0"/>
    <w:qFormat/>
    <w:pPr>
      <w:jc w:val="both"/>
      <w:widowControl w:val="off"/>
    </w:pPr>
    <w:rPr>
      <w:rFonts w:ascii="宋体" w:hAnsi="Courier New" w:eastAsia="楷体_GB2312"/>
      <w:sz w:val="28"/>
      <w:szCs w:val="20"/>
    </w:rPr>
  </w:style>
  <w:style w:type="paragraph" w:styleId="799"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800" w:customStyle="1">
    <w:name w:val="Char Char Char1 Char Char Char Char"/>
    <w:basedOn w:val="729"/>
    <w:uiPriority w:val="0"/>
    <w:qFormat/>
    <w:pPr>
      <w:spacing w:after="160" w:line="240" w:lineRule="exact"/>
    </w:pPr>
  </w:style>
  <w:style w:type="paragraph" w:styleId="801" w:customStyle="1">
    <w:name w:val="表正文"/>
    <w:basedOn w:val="729"/>
    <w:next w:val="745"/>
    <w:uiPriority w:val="0"/>
    <w:qFormat/>
    <w:pPr>
      <w:ind w:left="420"/>
      <w:spacing w:after="120"/>
    </w:pPr>
    <w:rPr>
      <w:sz w:val="21"/>
    </w:rPr>
  </w:style>
  <w:style w:type="paragraph" w:styleId="802" w:customStyle="1">
    <w:name w:val="Char Char Char Char Char Char Char Char Char Char"/>
    <w:basedOn w:val="729"/>
    <w:uiPriority w:val="0"/>
    <w:qFormat/>
    <w:pPr>
      <w:ind w:left="795" w:hanging="360"/>
      <w:jc w:val="both"/>
      <w:widowControl w:val="off"/>
      <w:tabs>
        <w:tab w:val="left" w:pos="795" w:leader="none"/>
      </w:tabs>
    </w:pPr>
  </w:style>
  <w:style w:type="paragraph" w:styleId="803" w:customStyle="1">
    <w:name w:val="Char1 Char Char Char"/>
    <w:basedOn w:val="729"/>
    <w:uiPriority w:val="0"/>
    <w:qFormat/>
    <w:pPr>
      <w:jc w:val="both"/>
      <w:widowControl w:val="off"/>
    </w:pPr>
    <w:rPr>
      <w:sz w:val="21"/>
    </w:rPr>
  </w:style>
  <w:style w:type="paragraph" w:styleId="80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05">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80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807" w:customStyle="1">
    <w:name w:val="Andy_2级"/>
    <w:basedOn w:val="729"/>
    <w:uiPriority w:val="0"/>
    <w:qFormat/>
    <w:pPr>
      <w:numPr>
        <w:ilvl w:val="1"/>
        <w:numId w:val="2"/>
      </w:numPr>
      <w:ind w:left="0" w:firstLine="510"/>
      <w:spacing w:line="360" w:lineRule="auto"/>
    </w:pPr>
    <w:rPr>
      <w:rFonts w:ascii="Calibri" w:hAnsi="Calibri"/>
      <w:szCs w:val="20"/>
    </w:rPr>
  </w:style>
  <w:style w:type="paragraph" w:styleId="808" w:customStyle="1">
    <w:name w:val="p16"/>
    <w:basedOn w:val="729"/>
    <w:uiPriority w:val="0"/>
    <w:qFormat/>
    <w:rPr>
      <w:rFonts w:ascii="宋体" w:hAnsi="宋体" w:cs="宋体"/>
      <w:sz w:val="26"/>
      <w:szCs w:val="26"/>
    </w:rPr>
  </w:style>
  <w:style w:type="paragraph" w:styleId="809" w:customStyle="1">
    <w:name w:val="纯文本3"/>
    <w:basedOn w:val="729"/>
    <w:uiPriority w:val="0"/>
    <w:qFormat/>
    <w:rPr>
      <w:rFonts w:ascii="宋体" w:hAnsi="Courier New"/>
      <w:sz w:val="26"/>
    </w:rPr>
  </w:style>
  <w:style w:type="paragraph" w:styleId="810" w:customStyle="1">
    <w:name w:val="Char Char Char"/>
    <w:basedOn w:val="729"/>
    <w:uiPriority w:val="0"/>
    <w:qFormat/>
    <w:pPr>
      <w:ind w:left="795" w:hanging="360"/>
      <w:jc w:val="both"/>
      <w:widowControl w:val="off"/>
      <w:tabs>
        <w:tab w:val="left" w:pos="795" w:leader="none"/>
      </w:tabs>
    </w:pPr>
  </w:style>
  <w:style w:type="paragraph" w:styleId="811" w:customStyle="1">
    <w:name w:val="样式2"/>
    <w:basedOn w:val="771"/>
    <w:uiPriority w:val="0"/>
    <w:qFormat/>
    <w:rPr>
      <w:sz w:val="21"/>
    </w:rPr>
  </w:style>
  <w:style w:type="paragraph" w:styleId="812" w:customStyle="1">
    <w:name w:val="f正文"/>
    <w:basedOn w:val="729"/>
    <w:uiPriority w:val="0"/>
    <w:qFormat/>
    <w:pPr>
      <w:ind w:firstLine="200"/>
    </w:pPr>
  </w:style>
  <w:style w:type="paragraph" w:styleId="813" w:customStyle="1">
    <w:name w:val="_Style 3"/>
    <w:basedOn w:val="729"/>
    <w:uiPriority w:val="0"/>
    <w:qFormat/>
    <w:pPr>
      <w:ind w:left="795" w:hanging="360"/>
      <w:jc w:val="both"/>
      <w:widowControl w:val="off"/>
      <w:tabs>
        <w:tab w:val="left" w:pos="540" w:leader="none"/>
      </w:tabs>
    </w:pPr>
  </w:style>
  <w:style w:type="paragraph" w:styleId="814" w:customStyle="1">
    <w:name w:val="Char Char Char Char Char Char Char Char Char1 Char"/>
    <w:basedOn w:val="742"/>
    <w:uiPriority w:val="0"/>
    <w:qFormat/>
    <w:pPr>
      <w:jc w:val="both"/>
      <w:spacing w:line="360" w:lineRule="auto"/>
      <w:widowControl w:val="off"/>
    </w:pPr>
    <w:rPr>
      <w:rFonts w:ascii="Tahoma" w:hAnsi="Tahoma"/>
    </w:rPr>
  </w:style>
  <w:style w:type="paragraph" w:styleId="815" w:customStyle="1">
    <w:name w:val="纯文本5"/>
    <w:basedOn w:val="729"/>
    <w:uiPriority w:val="0"/>
    <w:qFormat/>
    <w:rPr>
      <w:rFonts w:ascii="宋体" w:hAnsi="Courier New" w:eastAsia="楷体_GB2312"/>
      <w:sz w:val="28"/>
      <w:szCs w:val="20"/>
    </w:rPr>
  </w:style>
  <w:style w:type="paragraph" w:styleId="816" w:customStyle="1">
    <w:name w:val="p18"/>
    <w:basedOn w:val="729"/>
    <w:uiPriority w:val="0"/>
    <w:qFormat/>
    <w:pPr>
      <w:ind w:firstLine="420"/>
    </w:pPr>
  </w:style>
  <w:style w:type="paragraph" w:styleId="817" w:customStyle="1">
    <w:name w:val="纯文本2"/>
    <w:basedOn w:val="729"/>
    <w:uiPriority w:val="0"/>
    <w:qFormat/>
    <w:rPr>
      <w:rFonts w:ascii="宋体" w:hAnsi="Courier New"/>
    </w:rPr>
  </w:style>
  <w:style w:type="paragraph" w:styleId="818" w:customStyle="1">
    <w:name w:val="Char Char2"/>
    <w:basedOn w:val="742"/>
    <w:uiPriority w:val="0"/>
    <w:qFormat/>
    <w:pPr>
      <w:spacing w:line="360" w:lineRule="auto"/>
    </w:pPr>
  </w:style>
  <w:style w:type="paragraph" w:styleId="819" w:customStyle="1">
    <w:name w:val="_Style 5"/>
    <w:basedOn w:val="729"/>
    <w:uiPriority w:val="0"/>
    <w:qFormat/>
    <w:pPr>
      <w:spacing w:after="160" w:line="240" w:lineRule="exact"/>
    </w:pPr>
    <w:rPr>
      <w:szCs w:val="20"/>
    </w:rPr>
  </w:style>
  <w:style w:type="paragraph" w:styleId="820" w:customStyle="1">
    <w:name w:val="段"/>
    <w:next w:val="729"/>
    <w:uiPriority w:val="0"/>
    <w:qFormat/>
    <w:pPr>
      <w:ind w:firstLine="200"/>
      <w:jc w:val="both"/>
    </w:pPr>
    <w:rPr>
      <w:rFonts w:ascii="宋体" w:hAnsi="Times New Roman" w:eastAsia="宋体" w:cs="Times New Roman"/>
      <w:sz w:val="21"/>
      <w:szCs w:val="22"/>
      <w:lang w:val="en-US" w:eastAsia="zh-CN" w:bidi="ar-SA"/>
    </w:rPr>
  </w:style>
  <w:style w:type="paragraph" w:styleId="821" w:customStyle="1">
    <w:name w:val="Char Char Char Char"/>
    <w:basedOn w:val="742"/>
    <w:uiPriority w:val="0"/>
    <w:qFormat/>
    <w:pPr>
      <w:jc w:val="both"/>
      <w:spacing w:line="360" w:lineRule="auto"/>
      <w:widowControl w:val="off"/>
    </w:pPr>
    <w:rPr>
      <w:szCs w:val="20"/>
    </w:rPr>
  </w:style>
  <w:style w:type="paragraph" w:styleId="822" w:customStyle="1">
    <w:name w:val="p0"/>
    <w:basedOn w:val="729"/>
    <w:uiPriority w:val="0"/>
    <w:qFormat/>
  </w:style>
  <w:style w:type="paragraph" w:styleId="823" w:customStyle="1">
    <w:name w:val="Char Char Char Char Char Char Char Char Char1 Char1"/>
    <w:basedOn w:val="742"/>
    <w:uiPriority w:val="0"/>
    <w:qFormat/>
    <w:pPr>
      <w:jc w:val="both"/>
      <w:spacing w:line="360" w:lineRule="auto"/>
      <w:widowControl w:val="off"/>
    </w:pPr>
    <w:rPr>
      <w:rFonts w:ascii="Tahoma" w:hAnsi="Tahoma"/>
    </w:rPr>
  </w:style>
  <w:style w:type="paragraph" w:styleId="824" w:customStyle="1">
    <w:name w:val="列出段落1"/>
    <w:basedOn w:val="729"/>
    <w:uiPriority w:val="0"/>
    <w:qFormat/>
    <w:pPr>
      <w:ind w:firstLine="420"/>
    </w:pPr>
    <w:rPr>
      <w:rFonts w:ascii="Calibri" w:hAnsi="Calibri" w:cs="Calibri"/>
      <w:szCs w:val="22"/>
    </w:rPr>
  </w:style>
  <w:style w:type="paragraph" w:styleId="825" w:customStyle="1">
    <w:name w:val="纯文本111"/>
    <w:basedOn w:val="729"/>
    <w:uiPriority w:val="0"/>
    <w:qFormat/>
    <w:rPr>
      <w:rFonts w:ascii="宋体" w:hAnsi="Courier New"/>
    </w:rPr>
  </w:style>
  <w:style w:type="paragraph" w:styleId="826" w:customStyle="1">
    <w:name w:val="列表段落1"/>
    <w:basedOn w:val="729"/>
    <w:uiPriority w:val="0"/>
    <w:qFormat/>
    <w:pPr>
      <w:ind w:firstLine="420"/>
      <w:jc w:val="both"/>
      <w:widowControl w:val="off"/>
    </w:pPr>
    <w:rPr>
      <w:rFonts w:ascii="Calibri" w:hAnsi="Calibri"/>
      <w:sz w:val="21"/>
      <w:szCs w:val="22"/>
    </w:rPr>
  </w:style>
  <w:style w:type="paragraph" w:styleId="827" w:customStyle="1">
    <w:name w:val="Char Char3"/>
    <w:basedOn w:val="729"/>
    <w:uiPriority w:val="0"/>
    <w:qFormat/>
    <w:pPr>
      <w:numPr>
        <w:ilvl w:val="0"/>
        <w:numId w:val="3"/>
      </w:numPr>
      <w:jc w:val="both"/>
      <w:widowControl w:val="off"/>
    </w:pPr>
  </w:style>
  <w:style w:type="paragraph" w:styleId="828" w:customStyle="1">
    <w:name w:val="Char"/>
    <w:basedOn w:val="729"/>
    <w:uiPriority w:val="0"/>
    <w:qFormat/>
    <w:pPr>
      <w:jc w:val="both"/>
      <w:widowControl w:val="off"/>
    </w:pPr>
    <w:rPr>
      <w:rFonts w:ascii="Tahoma" w:hAnsi="Tahoma" w:cs="Tahoma"/>
    </w:rPr>
  </w:style>
  <w:style w:type="paragraph" w:styleId="829" w:customStyle="1">
    <w:name w:val="01 章标"/>
    <w:basedOn w:val="729"/>
    <w:uiPriority w:val="0"/>
    <w:qFormat/>
    <w:pPr>
      <w:ind w:firstLine="883"/>
      <w:jc w:val="center"/>
      <w:outlineLvl w:val="0"/>
    </w:pPr>
    <w:rPr>
      <w:b/>
      <w:sz w:val="44"/>
      <w:szCs w:val="44"/>
    </w:rPr>
  </w:style>
  <w:style w:type="paragraph" w:styleId="830" w:customStyle="1">
    <w:name w:val="首行缩进"/>
    <w:basedOn w:val="729"/>
    <w:uiPriority w:val="0"/>
    <w:qFormat/>
    <w:pPr>
      <w:ind w:firstLine="480"/>
    </w:pPr>
    <w:rPr>
      <w:rFonts w:eastAsia="楷体_GB2312"/>
      <w:sz w:val="26"/>
      <w:szCs w:val="20"/>
      <w:lang w:val="zh-CN"/>
    </w:rPr>
  </w:style>
  <w:style w:type="paragraph" w:styleId="831" w:customStyle="1">
    <w:name w:val="Other|1"/>
    <w:basedOn w:val="729"/>
    <w:uiPriority w:val="0"/>
    <w:qFormat/>
    <w:pPr>
      <w:spacing w:line="306" w:lineRule="exact"/>
    </w:pPr>
    <w:rPr>
      <w:rFonts w:ascii="宋体" w:hAnsi="宋体" w:cs="宋体"/>
      <w:sz w:val="20"/>
      <w:szCs w:val="20"/>
      <w:lang w:val="zh-TW" w:eastAsia="zh-TW" w:bidi="zh-TW"/>
    </w:rPr>
  </w:style>
  <w:style w:type="paragraph" w:styleId="832" w:customStyle="1">
    <w:name w:val="Plain Text1"/>
    <w:basedOn w:val="729"/>
    <w:uiPriority w:val="0"/>
    <w:qFormat/>
    <w:rPr>
      <w:rFonts w:hint="eastAsia" w:ascii="宋体" w:hAnsi="Courier New"/>
    </w:rPr>
  </w:style>
  <w:style w:type="paragraph" w:styleId="833" w:customStyle="1">
    <w:name w:val="正文2"/>
    <w:basedOn w:val="729"/>
    <w:uiPriority w:val="0"/>
    <w:qFormat/>
    <w:pPr>
      <w:ind w:firstLine="200"/>
      <w:spacing w:after="160" w:line="360" w:lineRule="auto"/>
    </w:pPr>
    <w:rPr>
      <w:rFonts w:ascii="Verdana" w:hAnsi="Verdana" w:eastAsia="黑体"/>
      <w:sz w:val="21"/>
      <w:szCs w:val="20"/>
      <w:lang w:eastAsia="en-US"/>
    </w:rPr>
  </w:style>
  <w:style w:type="paragraph" w:styleId="834" w:customStyle="1">
    <w:name w:val="图片格式"/>
    <w:basedOn w:val="729"/>
    <w:uiPriority w:val="0"/>
    <w:qFormat/>
    <w:pPr>
      <w:jc w:val="center"/>
      <w:tabs>
        <w:tab w:val="center" w:pos="4153" w:leader="none"/>
        <w:tab w:val="right" w:pos="8306" w:leader="none"/>
      </w:tabs>
    </w:pPr>
    <w:rPr>
      <w:rFonts w:cs="宋体"/>
      <w:szCs w:val="20"/>
    </w:rPr>
  </w:style>
  <w:style w:type="paragraph" w:styleId="835" w:customStyle="1">
    <w:name w:val="p17"/>
    <w:basedOn w:val="729"/>
    <w:uiPriority w:val="0"/>
    <w:qFormat/>
    <w:pPr>
      <w:jc w:val="both"/>
    </w:pPr>
    <w:rPr>
      <w:rFonts w:ascii="宋体" w:hAnsi="宋体" w:cs="宋体"/>
      <w:sz w:val="26"/>
      <w:szCs w:val="26"/>
    </w:rPr>
  </w:style>
  <w:style w:type="paragraph" w:styleId="836" w:customStyle="1">
    <w:name w:val="Char2"/>
    <w:basedOn w:val="742"/>
    <w:uiPriority w:val="0"/>
    <w:qFormat/>
    <w:pPr>
      <w:jc w:val="both"/>
      <w:spacing w:line="360" w:lineRule="auto"/>
      <w:widowControl w:val="off"/>
    </w:pPr>
    <w:rPr>
      <w:sz w:val="21"/>
    </w:rPr>
  </w:style>
  <w:style w:type="paragraph" w:styleId="837" w:customStyle="1">
    <w:name w:val="无间隔1"/>
    <w:uiPriority w:val="1"/>
    <w:qFormat/>
    <w:rPr>
      <w:rFonts w:ascii="微软雅黑." w:hAnsi="微软雅黑." w:eastAsia="宋体" w:cs="Times New Roman"/>
      <w:sz w:val="22"/>
      <w:szCs w:val="22"/>
      <w:lang w:val="en-US" w:eastAsia="zh-CN" w:bidi="ar-SA"/>
    </w:rPr>
  </w:style>
  <w:style w:type="paragraph" w:styleId="838" w:customStyle="1">
    <w:name w:val="方案正文"/>
    <w:basedOn w:val="729"/>
    <w:uiPriority w:val="0"/>
    <w:qFormat/>
    <w:pPr>
      <w:spacing w:line="440" w:lineRule="atLeast"/>
    </w:pPr>
  </w:style>
  <w:style w:type="paragraph" w:styleId="839" w:customStyle="1">
    <w:name w:val="*正文"/>
    <w:basedOn w:val="729"/>
    <w:uiPriority w:val="0"/>
    <w:qFormat/>
    <w:rPr>
      <w:rFonts w:ascii="宋体" w:hAnsi="宋体"/>
      <w:lang w:val="zh-CN"/>
    </w:rPr>
  </w:style>
  <w:style w:type="paragraph" w:styleId="840" w:customStyle="1">
    <w:name w:val="正文首行缩进 21"/>
    <w:basedOn w:val="745"/>
    <w:uiPriority w:val="99"/>
    <w:qFormat/>
    <w:pPr>
      <w:ind w:firstLine="420"/>
    </w:pPr>
  </w:style>
  <w:style w:type="paragraph" w:styleId="841" w:customStyle="1">
    <w:name w:val="普通正文"/>
    <w:basedOn w:val="729"/>
    <w:uiPriority w:val="0"/>
    <w:qFormat/>
    <w:pPr>
      <w:ind w:firstLine="480"/>
      <w:spacing w:before="120" w:after="120" w:line="360" w:lineRule="auto"/>
    </w:pPr>
    <w:rPr>
      <w:rFonts w:ascii="Arial" w:hAnsi="Arial" w:cs="Arial"/>
    </w:rPr>
  </w:style>
  <w:style w:type="paragraph" w:styleId="842" w:customStyle="1">
    <w:name w:val="_Style 7"/>
    <w:basedOn w:val="744"/>
    <w:next w:val="763"/>
    <w:uiPriority w:val="0"/>
    <w:qFormat/>
    <w:pPr>
      <w:ind w:firstLine="420"/>
    </w:pPr>
    <w:rPr>
      <w:rFonts w:ascii="Calibri" w:hAnsi="Calibri"/>
    </w:rPr>
  </w:style>
  <w:style w:type="paragraph" w:styleId="843" w:customStyle="1">
    <w:name w:val="目录 51"/>
    <w:next w:val="729"/>
    <w:uiPriority w:val="0"/>
    <w:qFormat/>
    <w:pPr>
      <w:ind w:left="1275"/>
      <w:jc w:val="both"/>
    </w:pPr>
    <w:rPr>
      <w:rFonts w:ascii="Times New Roman" w:hAnsi="Times New Roman" w:eastAsia="宋体" w:cs="Times New Roman"/>
      <w:sz w:val="21"/>
      <w:lang w:val="en-US" w:eastAsia="zh-CN" w:bidi="ar-SA"/>
    </w:rPr>
  </w:style>
  <w:style w:type="paragraph" w:styleId="844" w:customStyle="1">
    <w:name w:val="列表段落11"/>
    <w:basedOn w:val="729"/>
    <w:uiPriority w:val="34"/>
    <w:qFormat/>
    <w:pPr>
      <w:ind w:firstLine="420"/>
    </w:pPr>
  </w:style>
  <w:style w:type="paragraph" w:styleId="845" w:customStyle="1">
    <w:name w:val="Plain Text"/>
    <w:basedOn w:val="729"/>
    <w:uiPriority w:val="0"/>
    <w:qFormat/>
    <w:pPr>
      <w:jc w:val="both"/>
      <w:widowControl w:val="off"/>
    </w:pPr>
    <w:rPr>
      <w:rFonts w:ascii="宋体" w:hAnsi="Courier New" w:eastAsia="楷体_GB2312"/>
      <w:sz w:val="26"/>
      <w:szCs w:val="20"/>
    </w:rPr>
  </w:style>
  <w:style w:type="numbering" w:styleId="9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6</cp:revision>
  <dcterms:created xsi:type="dcterms:W3CDTF">2020-10-19T23:57:00Z</dcterms:created>
  <dcterms:modified xsi:type="dcterms:W3CDTF">2024-12-11T06:13:56Z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1D6AA09B50B74B888CFC31593CEAA8EB_13</vt:lpwstr>
  </property>
</Properties>
</file>