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公 开 招 标 文 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项目名称：桂五镇高庙社区蔬菜大棚产业建设项目</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项目编号：JSZC-320830-SZZB-G2024-0035               </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采购人：盱眙县桂五镇人民政府</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采购代理机构：江苏神州项目管理有限公司</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二〇二四年十月二十一日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第一章投标邀请</w:t>
      </w:r>
      <w:r/>
    </w:p>
    <w:p>
      <w:pPr>
        <w:ind w:left="0" w:right="0" w:firstLine="5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 桂五镇高庙社区蔬菜大棚产业建设项目JSZC-320830-SZZB-G2024-0035</w:t>
      </w:r>
      <w:r>
        <w:rPr>
          <w:rFonts w:ascii="FangSong" w:hAnsi="FangSong" w:eastAsia="FangSong" w:cs="FangSong"/>
          <w:color w:val="000000"/>
          <w:sz w:val="28"/>
        </w:rPr>
        <w:t xml:space="preserve"> 招标项目的潜在投标人应在江苏政府采购网或淮安市政府采购网获取招标文件。并于</w:t>
      </w:r>
      <w:r>
        <w:rPr>
          <w:rFonts w:ascii="FangSong" w:hAnsi="FangSong" w:eastAsia="FangSong" w:cs="FangSong"/>
          <w:color w:val="000000"/>
          <w:sz w:val="28"/>
          <w:u w:val="single"/>
        </w:rPr>
        <w:t xml:space="preserve">2024-11-12 09：00（</w:t>
      </w:r>
      <w:r>
        <w:rPr>
          <w:rFonts w:ascii="FangSong" w:hAnsi="FangSong" w:eastAsia="FangSong" w:cs="FangSong"/>
          <w:color w:val="000000"/>
          <w:sz w:val="28"/>
        </w:rPr>
        <w:t xml:space="preserve">北京时间）前递交投标文件。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项目编号：JSZC-320830-SZZB-G2024-0035</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项目名称：桂五镇高庙社区蔬菜大棚产业建设项目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预算金额：546.7万元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最高限价（如有）：546.7万元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采购需求：桂五镇高庙社区蔬菜大棚产业建设项目（详细内容见本招标文件第五章）</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合同履行期限：30日历天</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1.供应商可任选以下其中1项提供材料，2选1（扫描件上传至电子标书）：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（1）法定代表人资格证明（格式按照示范格式一要求）和法定代表人身份证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（2）授权委托书（格式按照示范格式二要求）和受托人身份证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2.有效的营业执照（扫描件上传至电子标书）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3.承诺书（格式按照示范格式三要求，扫描件上传至电子标书）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5.落实政府采购政策需满足的资格要求（提供下列任一项材料即可,扫描件上传至电子标书）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（1）中小企业声明函（按示范格式要求）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（2）残疾人福利性单位声明函（按示范格式要求）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（3）由省级以上监狱管理局、戒毒管理局（含新疆生产建设兵团）出具的属于监狱企业的证明文件）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磋商小组在资格审查时查询，一旦被查询存在上述失信行为记录名单的，将视为资格审查不通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本项目按照以下第</w:t>
      </w:r>
      <w:r>
        <w:rPr>
          <w:rFonts w:ascii="FangSong" w:hAnsi="FangSong" w:eastAsia="FangSong" w:cs="FangSong"/>
          <w:color w:val="000000"/>
          <w:sz w:val="28"/>
          <w:u w:val="single"/>
        </w:rPr>
        <w:t xml:space="preserve">1.1</w:t>
      </w:r>
      <w:r>
        <w:rPr>
          <w:rFonts w:ascii="FangSong" w:hAnsi="FangSong" w:eastAsia="FangSong" w:cs="FangSong"/>
          <w:color w:val="000000"/>
          <w:sz w:val="28"/>
        </w:rPr>
        <w:t xml:space="preserve">种方式落实政府采购促进中小企业发展的要求：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1.1本项目为专门面向中小企业采购的项目，供应商必须为中小微企业，不接受非中小型企业参与本项目投标。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1.2本项目通过以下第（）种方式预留部分采购份额采购中小企业服务：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（1）本项目要求供应商以联合体形式参加，中小企业合同金额应当达到的比例为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%，其中小微企业所占比例应为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%（两项比例均应符合《政府采购促进中小企业发展管理办法》第八条规定）。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（2）本项目要求供应商进行合同分包，中小企业合同金额应当达到的比例为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%，其中小微企业所占比例应为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%（两项比例均应符合《政府采购促进中小企业发展管理办法》第八条规定）。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1.3本项目为非预留份额的采购项目，对小微企业报价给予扣除，用扣除后的价格参加评审。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1.4本项目采购标的对应的中小企业划分标准所属行业为</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本项目无特定资格</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时间：自招标公告发布之日起五个工作日。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地点：江苏政府采购网或淮安市政府采购网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登陆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时间：2024-11-12 09：00 （北京时间）</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w:t>
      </w:r>
      <w:r>
        <w:rPr>
          <w:rFonts w:ascii="FangSong" w:hAnsi="FangSong" w:eastAsia="FangSong" w:cs="FangSong"/>
          <w:color w:val="000000"/>
          <w:sz w:val="28"/>
        </w:rPr>
        <w:t xml:space="preserve">l。</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有关本次招标的事项若存在变动或修改，敬请及时关注江苏政府采购网或淮安市政府采购网发布的更正公告。</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本次招标不收取投标保证金。</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单位名称：盱眙县桂五镇人民政府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单位地址：盱眙县桂五镇街道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联系电话：15252369830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单位名称：江苏神州项目管理有限公司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单位地址：盱眙县海通时代广场A09幢4楼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联系人：王新怡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联系电话：17551703339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项目联系人：王新怡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电话：17551703339</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盱眙县桂五镇人民政府</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2024年10月21日</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第二章投标人须知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1.适用范围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本次招标采取公开招标方式，本招标文件仅适用于本次投标邀请中所述项目的采购。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满足第一章投标邀请中投标人资格要求的规定。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满足招标文件中实质性条款的规定。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《中华人民共和国政府采购法》、《中华人民共和国政府采购法实施条例》、《政府采购货物和服务招标投标管理办法》等有关法律、规章和规定等。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投标人应自行承担所有与参加投标有关的费用，无论投标过程中的做法和结果如何，采购人在任何情况下均无义务和责任承担这些费用。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本次招标采购代理机构和采购人不收取标书工本费与中标服务费。</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本次项目招标代理费参照《江苏省招标代理服务收费的指导意见》的通知》(苏招协【2022】002 号文)规定收费标准优惠收取40000元；供应商在报价时综合考虑，由中标人在领取中标通知书时向代理机构一次性付清。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二、招标文件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任何对招标文件要求进行澄清的投标人，均应在投标截止时间前十五日按招标公告中的通讯地址，以书面形式送达采购单位，采购人对投标截止时间前十五日收到的任何澄清要求将以书面形式予以答复。由于投标人所留联系方式有问题而导致采购人无法通知的，其责任由投标人自行承担。（逾期递交对招标文件要求进行澄清的，采购人不予受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8.招标文件的更正或补充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在投标截止时间十五日前，采购人可主动地或在解答投标人提出的澄清问题时对招标文件用更正公告的方式进行修正。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w:t>
      </w:r>
      <w:r>
        <w:rPr>
          <w:rFonts w:ascii="FangSong" w:hAnsi="FangSong" w:eastAsia="FangSong" w:cs="FangSong"/>
          <w:color w:val="000000"/>
          <w:sz w:val="30"/>
        </w:rPr>
        <w:t xml:space="preserve"> </w:t>
      </w:r>
      <w:r>
        <w:rPr>
          <w:rFonts w:ascii="FangSong" w:hAnsi="FangSong" w:eastAsia="FangSong" w:cs="FangSong"/>
          <w:color w:val="000000"/>
          <w:sz w:val="28"/>
        </w:rPr>
        <w:t xml:space="preserve">招标文件的修改将以更正公告的形式进行发布，投标人应持续关注淮安市政府采购网、江苏政府采购网信息。更正公告将作为招标文件的组成部分，对所有参加本次投标的投标人都具有约束力。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为使投标人有足够的时间按招标文件的更正要求修正投标文件，采购人有权按照相关法定的要求推迟投标截止时间和开标日期。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投标人提交的投标文件以及投标人与采购人就有关投标的所有来往通知、函件和文件均应使用简体中文。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如标书制作工具中格式和内容与“淮安市政府采购网”发布的招标文件不一致，请以“淮安市政府采购网”发布的招标文件为准。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 招标文件对证明文件无明确形式要求的，证明文件可以以文字资料、图纸和数据等形式提交。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投标人应按照招标文件规定格式填报投标分项报价表。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 投标货币。投标文件中的单价和总价无特殊规定的采用人民币报价，以元为单位标注。招标文件中另有规定的按规定执行。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投标人需对招标文件中的技术要求与商务要求逐项作出响应或偏离，并说明原因。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投标人可在投标文件中提供认为需要的其他技术文件或说明。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 投标有效期为采购人规定的开标之日后九十（90）天。投标有效期比规定短的将被视为未实质性响应招标文件而予以拒绝。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四、投标文件上传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18.投标文件的上传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 投标人应当按照《操作手册》规定，在投标截止时间前制作并上传电子投标文件（中标公示结束中标人打印3套提交,纸质投标文件须打印并加盖投标人公章）。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 投标人上传的电子投标文件内容不清楚或不清晰的（含扫描件），造成无法评审或部分影响评审的，责任由投标人自负。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18.3 投标人上传电子投标文件的时间不得迟于投标邀请中规定的截止时间。投标人应充分考虑到网络环境、网络带宽等风险因素，如因投标人自身原因造成的电子投标文件上传不成功的按照本招标文件第二章第26.1.2条规定做无效投标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18.4 采购人可以按第8条规定，通过修改招标文件有权酌情延长投标文件接收截止时间。在此情况下，投标人的所有权利和义务以及投标人受制约的截止日期均应以延长后新的截止日期为准。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19.投标文件被拒绝接收的情形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 在招标文件规定的提交投标文件截止时间后上传的电子投标文件。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20.投标文件的修改和撤回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投标人在上传电子投标文件后可以对其修改或撤回，但这种修改和撤回，必须在规定的开标时间之前，具体操作方法见《操作手册》。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 投标人不得在开标时间以后修改电子投标文件。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20.3 投标人不得在提交电子投标文件截止时间起至投标有效期满前撤回电子投标文件。</w:t>
      </w:r>
      <w:r/>
    </w:p>
    <w:p>
      <w:pPr>
        <w:numPr>
          <w:ilvl w:val="0"/>
          <w:numId w:val="10"/>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开标及评标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21.开标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采购代理机构将在招标公告中规定的时间和地点组织开标。投标人应当按照《操作手册》规定，参加开标活动和在苏采云系统规定的时间内对投标文件进行解密。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开标仪式由采购代理机构组织。苏采云系统将自动对项目进行开标，并宣布各投标人名称和投标价格。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投标人在开标过程中涉及到的投标文件解密、开标结果确认等工作，应按照《操作手册》规定执行。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22.评标委员会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 开标后，采购代理机构将立即组织评标委员会（以下简称评委会）进行评标。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 评委会由采购人代表和有关技术、经济等方面的专家组成，且人员构成符合政府采购有关规定。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 评委会独立工作，负责评审所有投标文件并确定中标侯选人。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23．评标过程的保密与公正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 凡是与审查、澄清、评价和比较投标的有关资料以及授标建议等，采购人、评委、采购代理机构均不得向投标人或与评标无关的其他人员透露。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在评标过程中，投标人不得以任何行为影响评标过程，否则其投标文件将被作为无效投标文件。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 采购人、采购代理机构和评标委员会不向未中标的投标人解释未中标原因，也不公布评标过程中的相关细节。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23.4 采用综合评分法的项目，未中标的投标人可于中标结果公告期限届满之日起通过苏采云系统查看自己的评审得分及排序情况。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24．投标文件的澄清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 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评委会并非对每个投标人都做澄清要求。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24.3 接到评委会澄清、说明和补正要求的投标人如未按规定做出澄清、说明和补正，其风险由投标人自行承担。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25.对投标文件的初审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 投标文件初审分为资格审查和符合性审查。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25.1.1 资格审查：依据法律法规和招标文件的规定，由采购人对投标文件中的资格证明文件进行审查。资格审查的结论，采购人向评委会进行反馈。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25.1.2 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25.1.3 未通过资格审查或符合性审查的投标人，采购人将在苏采云系统中告知未通过资格审查或符合性审查的原因，评审结束后，采购人将不再告知未通过资格审查或符合性审查的原因。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25.4 评委会将对确定为实质性响应的投标进行进一步审核，看其是否有计算上或累加上的算术错误，修正错误的原则如下：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25.7 投标人在开、评标全过程中应保持通讯畅通，及时登录苏采云系统查阅、答复相关信息，并安排专人与评标委员会联系。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26.无效投标条款和废标条款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 无效投标条款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 投标人在苏采云系统规定的时间内未成功解密电子投标文件的。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投标人未按照招标文件要求上传电子投标文件的。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26.1.3 同一投标人提交两个（含两个）以上不同的投标报价的。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26.1.4 投标人不具备招标文件中规定资格要求的。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26.1.5 投标人的报价超过了采购预算或最高限价的。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26.1.6 未通过符合性审查的。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26.1.7 不符合招标文件中规定的实质性要求和条件的（实质性要求和条件是指本招标文件中用带星号（“★”）的商务和技术要求）。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26.1.9 投标文件含有采购人不能接受的附加条件的。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26.1.11 投标文件未按照招标文件要求加盖CA电子公章的。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26.1.12 其他法律、法规及本招标文件规定的属无效投标的情形。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 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26.2.1 符合专业条件的供应商或者对招标文件作实质响应的供应商不足三家的。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26.2.2 出现影响采购公正的违法、违规行为的。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26.2.3 因重大变故，采购任务取消的。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26.2.4 评标委员会认定招标文件存在歧义、重大缺陷导致评审工作无法进行。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26.2.5 因苏采云系统系统故障原因造成开标不成功的。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 投标截止时间结束后参加投标的供应商不足三家的处理：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26.3.1 如出现投标截止时间结束后参加投标的供应商或者在评标期间对招标文件做出实质响应的供应商不足三家情况，按政府采购相关规定执行。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六、定标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27.确定中标单位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 中标候选人的选取原则和数量见招标文件第三章规定。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 采购人应根据评委会推荐的中标候选人确定中标人。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采购人将在“江苏政府采购网、淮安市政府采购网”发布中标公告，公告期限为1个工作日。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 若有充分证据证明，中标人出现下列情况之一的，一经查实，将被取消中标资格：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27.4.1 提供虚假材料谋取中标的。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27.4.2 向采购人、采购代理机构行贿或者提供其他不正当利益的。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27.4.3 属于本文件规定的无效条件，但在评标过程中又未被评委会发现的。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27.4.4 与采购人或者其他供应商恶意串通的。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27.4.5 采取不正当手段诋毁、排挤其他供应商的。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 有下列情形之一的，视为投标人串通投标，投标无效：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27.5.1 不同投标人的投标文件由同一单位或者个人编制；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27.5.2 不同投标人委托同一单位或者个人办理投标事宜；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27.5.3 不同投标人的投标文件载明的项目管理成员或者联系人员为同一人；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27.5.4 不同投标人的投标文件异常一致或者投标报价呈规律性差异；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 投标人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未按28.6条的要求提供或匿名的质疑均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上述应知其权益受到损害之日是指：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（1）对招标文件提出质疑的，为采购文件公告期限届满之日起计算；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（2）对采购过程提出质疑的，为各采购程序环节结束之日起计算；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（3）对中标结果提出质疑的，为中标结果公告期限届满之日起计算。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质疑投标人在法定质疑期内应当一次性针对同一采购环节提出质疑。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质疑函应当包括以下主要内容，附上相关证明材料。否则，采购人不予受理。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（1）质疑投标人的名称、地址、邮编、联系人及联系电话；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（2）质疑项目的名称、编号；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（3）具体、明确的质疑事项和与质疑事实相关的请求；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（4）事实依据；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（5）必要的法律依据；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（6）提起质疑的日期；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函必须署名，由法定代表人或者其授权代表签字，并加盖单位公章。授权代表签字的，还需提供法定代表人出具的办理质疑事项授权书（授权中必须载明具体权限、期限和事项）。通过交易平台提交的及邮寄原件方式提交，未按上述要求提交的质疑函，采购人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28.7 对于内容、格式符合规定的质疑函，采购人将在七个工作日内以书面形式和通过交易平台作出答复，但质疑答复的内容不涉及商业秘密。采购人质疑接收人及联系方式见招标文件第一章。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 以下情形的质疑不予受理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28.8.1 内容不符合《政府采购质疑和投诉办法》第十二条规定的质疑。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28.8.2 超出政府采购法定期限的质疑。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28.8.3 非招标文件规定形式提出的质疑。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28.8.4 未参加投标活动的供应商或在投标活动中自身权益未受到损害的供应商所提出的质疑。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28.8.5供应商组成联合体参加投标，联合体中任何一方或多方未按要求签字、盖章、加盖公章的质疑。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28.9 投标人提出的质疑必须有理、有据，不得恶意质疑或提交虚假质疑。否则，一经查实，采购人有权依据政府采购的有关规定，报请相关监督部门对该投标人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29.l 中标结果确定后，采购人将向中标人发出中标通知书。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 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七、授予合同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30.签订合同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 中标人应当在中标通知书发出之日起三十日内，按照招标文件确定的事项与采购人签订政府采购合同。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 招标文件、中标人的投标文件及招标过程中有关澄清、承诺文件均应作为合同附件。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 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30.4.1 为保证合同的顺利执行，中标人必须在成交通知书发出之前，向采购人提交金额为成交总价1%的履约保证金。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30.4.2 中标人提供的履约保证金可以是人民币形式（银行本票、汇票、支票、电汇），或银行保函、担保公司的保证担保或保险公司的保证保险等多种形式。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30.4.3 中标人选取银行保函、担保公司的保证担保或保险公司的保证保险等形式的向采购人缴纳的，如保函（担保、保险等）的约定期到期但中标人履约仍未结束的，中标人须进行续保。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30.4.4 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30.4.5 如中标人未能履行合同规定的义务，采购人有权从履约保证金中取得补偿。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30.4.6 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30.4.7 履约保证金在合同约定期间内不予退还或者应完全有效，履约保证金在项目验收合格后无息退还给中标人。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30.4.8 退还方式：中标人携带履约保证金单据、成交通知书、合同、验收报告或采购人同意退还证明等至采购人处办理。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30.5 若中标人未按照30条执行，采购人报财政部门取消其成交资格，在此情况下采购人可将标授予下一个成交候选供应商，或重新采购。31.货物（包含与货物相关的服务）的追加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32.政府采购履约资金扶持政策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中标人可凭政府采购合同办理融资贷款，详情请见江苏政府采购网“政采贷”专栏。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33.促进中小企业发展政策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 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33.1.1 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（2）在工程采购中，工程由中小企业承建，及工程施工单位未中小企业；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33.1.2 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 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33.2.1 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33.2.2 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33.2.3 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33.2.4 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33.3 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（1）投标人须按照招标文件的要求提供相应的《企业声明函》，详见招标文件第六章示范格式。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33.4 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33.5 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（2）监狱企业标准请参照《关于政府采购支持监狱企业发展有关问题的通知》（财库[2014]68号）。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34.节能、环保政策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34.2 节能产品（本项目不涉及）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w:t>
      </w:r>
      <w:r>
        <w:rPr>
          <w:rFonts w:ascii="FangSong" w:hAnsi="FangSong" w:eastAsia="FangSong" w:cs="FangSong"/>
          <w:color w:val="000000"/>
          <w:sz w:val="28"/>
          <w:u w:val="single"/>
        </w:rPr>
        <w:t xml:space="preserve"> (采购产品)</w:t>
      </w:r>
      <w:r>
        <w:rPr>
          <w:rFonts w:ascii="FangSong" w:hAnsi="FangSong" w:eastAsia="FangSong" w:cs="FangSong"/>
          <w:color w:val="000000"/>
          <w:sz w:val="28"/>
        </w:rPr>
        <w:t xml:space="preserve">被列入“节能产品品目清单”的，实行</w:t>
      </w:r>
      <w:r>
        <w:rPr>
          <w:rFonts w:ascii="FangSong" w:hAnsi="FangSong" w:eastAsia="FangSong" w:cs="FangSong"/>
          <w:color w:val="000000"/>
          <w:sz w:val="28"/>
          <w:u w:val="single"/>
        </w:rPr>
        <w:t xml:space="preserve">（优先采购/强制采购）</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34.3 环保产品（本项目不涉及）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本项目中</w:t>
      </w:r>
      <w:r>
        <w:rPr>
          <w:rFonts w:ascii="FangSong" w:hAnsi="FangSong" w:eastAsia="FangSong" w:cs="FangSong"/>
          <w:color w:val="000000"/>
          <w:sz w:val="28"/>
          <w:u w:val="single"/>
        </w:rPr>
        <w:t xml:space="preserve"> (采购产品)</w:t>
      </w:r>
      <w:r>
        <w:rPr>
          <w:rFonts w:ascii="FangSong" w:hAnsi="FangSong" w:eastAsia="FangSong" w:cs="FangSong"/>
          <w:color w:val="000000"/>
          <w:sz w:val="28"/>
        </w:rPr>
        <w:t xml:space="preserve">被列入“环境标志产品品目清单”的，实行优先采购。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34.4 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35．政府绿色采购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21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0"/>
        <w:jc w:val="both"/>
        <w:spacing w:before="21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35.履约资金扶持政策</w:t>
      </w:r>
      <w:r/>
    </w:p>
    <w:p>
      <w:pPr>
        <w:ind w:left="0" w:right="0" w:firstLine="560"/>
        <w:jc w:val="both"/>
        <w:spacing w:before="21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58"/>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305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一、评委会根据招标文件中规定的评标标准对投标人进行综合评审，最终按综合评审得分由高到低的顺序推荐出3名中标候选人。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评委会将依据下列评标标准进行评标，本评标标准的总分为100分。按评审后得分由高到低顺序排列。得分相同的，按投标报价由低到高顺序排列，得分和投标报价均相同的并列，投标文件满足招标文件全部实质性要求，且按照评审因素的量化指标评审得分最高的投标人为中标候选人。</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99"/>
        <w:gridCol w:w="4814"/>
        <w:gridCol w:w="1023"/>
      </w:tblGrid>
      <w:tr>
        <w:trPr>
          <w:trHeight w:val="7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评分细则、标准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采用低价优先法计算，满足招标文件要求且最后报价最低为评标基准价，其价格分为满分。其他供应商的价格分按照下列公式计算（小数点保留两位）: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投标报价得分＝（评标基准价/投标报价）×30分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方案部分（45分）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总体布署：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分部项目方案：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工期进度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量管理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安全管理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拟投入本项目的技术人员素质、工种配备、劳动力安排、安装机械等情况：人员配置合理、安装机械先进、合理，满足本项目建设要求，得5-3分，人员配置合理、安装机械合理，满足本项目建设要求，得3-2分，人员、机械配置基本满足本项目建设要求，得2-0分，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对大棚生产系统进行深化设计，包括但不限于内遮阳系统、内保温系统、通风口电动卷膜系统等。提供（符合项目建设要求且切实可行）完整的系统深化设计的得10分；每提供1个系统深化设计的得1分；不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r>
      <w:tr>
        <w:trPr>
          <w:trHeight w:val="3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商务部分（25分）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（1）企业资质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供应商具有市政公用工程总承包三级资质得2分，具有二级及以上资质得4分，同时具有钢结构工程专业承包三级及以上资质得2分。不提供不得分，本项最高6分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（2）企业奖项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供应商自2022年以来获得过省级以上标准化星级工地得9分，市级以上标准化星级工地得3分。不提供不得分。本项最高9分。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（3）项目管理机构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拟派技术负责人具有相关专业高级工程师职称得9分，工程师证得3分。同时具有建筑工程专业二级建造师以上证书得1分，不提供不得分，本项最高10分。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注：提供相关证书和投标供应商为其缴纳的2024年5月以来任意1个月的社保证明。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r>
    </w:tbl>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注：评分标准中要求提供的材料、证书证明等材料均以扫描件上传电子投标文件，否则不予得分。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第四章合同格式及条款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政府采购货物买卖合同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14"/>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pStyle w:val="714"/>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甲方（全称）：             （采购人）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乙方（全称）：             （供应商）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依据《中华人民共和国民法典》、《中华人民共和国政府采购法》等有关的法律法规，以及本采购项目的招标文件等采购文件、乙方的《投标文件》及《中标（成交）通知书》，甲乙双方同意签订本合同。具体情况及要求如下：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1.项目信息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（1）采购项目名称：</w:t>
      </w:r>
      <w:r>
        <w:rPr>
          <w:rFonts w:ascii="FangSong" w:hAnsi="FangSong" w:eastAsia="FangSong" w:cs="FangSong"/>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采购项目编号：</w:t>
      </w:r>
      <w:r>
        <w:rPr>
          <w:rFonts w:ascii="FangSong" w:hAnsi="FangSong" w:eastAsia="FangSong" w:cs="FangSong"/>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（2）采购计划编号：</w:t>
      </w:r>
      <w:r>
        <w:rPr>
          <w:rFonts w:ascii="FangSong" w:hAnsi="FangSong" w:eastAsia="FangSong" w:cs="FangSong"/>
          <w:color w:val="000000"/>
          <w:sz w:val="21"/>
          <w:u w:val="single"/>
        </w:rPr>
        <w:t xml:space="preserve">                     /                     </w:t>
      </w:r>
      <w:r>
        <w:rPr>
          <w:rFonts w:ascii="FangSong" w:hAnsi="FangSong" w:eastAsia="FangSong" w:cs="FangSong"/>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（3）项目内容：</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采购标的及数量（台/套/个/架/组等）：详见报价明细表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（4）政府采购组织形式：分散采购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（5）政府采购方式：公开招标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合同金额小写：</w:t>
      </w:r>
      <w:r>
        <w:rPr>
          <w:rFonts w:ascii="FangSong" w:hAnsi="FangSong" w:eastAsia="FangSong" w:cs="FangSong"/>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大写：</w:t>
      </w:r>
      <w:r>
        <w:rPr>
          <w:rFonts w:ascii="FangSong" w:hAnsi="FangSong" w:eastAsia="FangSong" w:cs="FangSong"/>
          <w:color w:val="000000"/>
          <w:sz w:val="21"/>
          <w:u w:val="single"/>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（1）合同履行期限：</w:t>
      </w:r>
      <w:r>
        <w:rPr>
          <w:rFonts w:ascii="FangSong" w:hAnsi="FangSong" w:eastAsia="FangSong" w:cs="FangSong"/>
          <w:color w:val="000000"/>
          <w:sz w:val="21"/>
          <w:u w:val="single"/>
        </w:rPr>
        <w:t xml:space="preserve"> 30  </w:t>
      </w:r>
      <w:r>
        <w:rPr>
          <w:rFonts w:ascii="FangSong" w:hAnsi="FangSong" w:eastAsia="FangSong" w:cs="FangSong"/>
          <w:color w:val="000000"/>
          <w:sz w:val="21"/>
        </w:rPr>
        <w:t xml:space="preserve">日历天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起始日期：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日，完成日期：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履约地点：</w:t>
      </w:r>
      <w:r>
        <w:rPr>
          <w:rFonts w:ascii="FangSong" w:hAnsi="FangSong" w:eastAsia="FangSong" w:cs="FangSong"/>
          <w:color w:val="000000"/>
          <w:sz w:val="21"/>
          <w:u w:val="single"/>
        </w:rPr>
        <w:t xml:space="preserve">                             </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质量标准：合格，满足买方要求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4.付款方式：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预付款支付合同价的40%，待工程机械、人工进场后支付（付款前乙方须提供等额的付款保函作为担保，有效期至相关职能部门全部竣工验收合格）；项目竣工验收合格后付至合同价的80%（同时扣回预付款），审计结束后付至审计价的100%。（供应商凭正式的增值税普通发票支取）</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（8）国家法律、行政法规和规章制度规定或合同约定的作为合同组成部分的其他文件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本合同自</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本合同一式</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份，甲方执</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份，乙方执</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合同订立时间：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合同订立地点：</w:t>
      </w:r>
      <w:r>
        <w:rPr>
          <w:rFonts w:ascii="FangSong" w:hAnsi="FangSong" w:eastAsia="FangSong" w:cs="FangSong"/>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附件：具体标的及其技术要求和商务要求、联合协议、分包意向协议等。</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    方:                                           乙    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单位盖章:                                          单位盖章: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代表签字:                                          代表签字: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签定日期:                                          签定日期:</w:t>
      </w:r>
      <w:r/>
    </w:p>
    <w:p>
      <w:pPr>
        <w:pStyle w:val="714"/>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pStyle w:val="714"/>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第二节 政府采购合同通用条款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1.定义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本合同中的下列术语应解释为: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（1）“合同”系指买方与卖方签署的、合同格式中列明的买方与卖方所达成的协议，包括所有的附件、附录和构成合同的所有文件。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（2）“合同价”系指根据合同规定，卖方在完全履行合同义务后买方应支付给卖方的价格。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（3）“货物”系指卖方按合同要求，须向买方提供的一切设备、机械、仪表、备件、工具、手册和其他技术资料及其他材料。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（4）“服务”系指根据合同规定卖方承担与供货有关的所有辅助服务，如运输、保险以及其它的服务，如安装、调试、提供技术援助、培训及其他类似的义务。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（5）“买方”系指盱眙县桂五镇人民政府。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（6）“卖方”系指提供货物和服务的供应商。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2.技术规格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2.1卖方所提供货物的技术规格应与招标文件规定的技术规格以及所附的技术规格响应偏离表相一致。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3.专利权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4.包装要求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4.2每件包装箱内应附一份详细装箱单和质量合格标识。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5.装运条件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5.1根据采购人指定地点，卖方负责安排运输，运输费由卖方承担。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6.1本合同以人民币付款。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6.2卖方应按照与买方签订的合同规定交货。交货后卖方向买方提供下列单据，买方按合同规定审核后付款: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（1）发票；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（2）制造厂家出具的质量检验合格证书等；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（3）装箱单；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（4）采购人加盖公章证明货物交付使用合格的验收表。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6.3买方将按“合同条款前附表”规定的付款计划安排付款。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7.伴随服务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7.1卖方应按照国家有关规定和合同中所附的服务承诺提供服务。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7.2除第7.1条规定外，卖方还应提供下列服务: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（1）货物的现场安装和启动监督；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（2）提供货物组装和维修所需的工具；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（3）在合同中卖方承诺的期限内对所提供货物实施运行监督、维修，但前提条件是该服务并不能免除卖方在质量保证期内应承担的义务；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（4）在项目交货现场就货物的安装、启动、运行、维护对买方人员进行培训。</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7.3伴随服务的费用应含在合同价中，不单独进行支付。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8.质量保证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8.1卖方所提供货物必须符合招标文件要求并不低于国家有关标准。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8.4卖方在收到通知后，应在合同中所附服务承诺约定的时间内免费维修、更换有缺陷的货物或部件。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8.5如果卖方在收到通知后，在合同中所附服务承诺约定的时间内没有弥补缺陷，买方可采取必要的补救措施，但风险和费用将由卖方承担。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9.检验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10.1买方有权根据法定检验机构出具的检验报告，向卖方提出索赔。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（2）根据货物的低劣程度、损坏程度以及买方所遭损失的数额，卖方必须降低货物的价格。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11.卖方迟交货、安装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11.1卖方应按照“合同条款前附表”中规定的交货期交货、安装，并交付买方验收使用。如果卖方无正当理由拖延交货、安装，将受到以下制裁:不予退还履约保证金，加收误期赔偿或终止合同。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12.误期赔偿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12.1除合同条款第13条规定外，如果卖方没有按照合同规定的时间交货和提供服务，买方将从货款中扣除误期赔偿费而不影响合同项目的其他补救方法，赔偿费超期一天罚款5000元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13.不可抗力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13.2本条所述的“不可抗力”系指那些卖方无法控制、不可预见的事件，但不包括卖方的违约或疏忽。这些事件包括:战争、严重火灾、洪水、台风、地震以及其它买方和卖方商定的事件。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14.税费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14.1中国政府根据现行税法规定对买方征收的、与本合同有关的一切税费，均由买方负担，招标文件另有规定的除外。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14.2中国政府根据现行税法规定对卖方征收的、与本合同有关的一切税费，均由卖方负担。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15.1为保证合同的顺利执行，卖方必须在签订合同前，向买方提交金额为合同金额1%的履约保证金。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履约保证金：卖方必须在签订合同之前，向买方缴纳中标（包）预算价1%的履约保证金，否则买方可取消其中标资格；卖方提供的履约保证金可以是人民币形式（数字人民币、银行本票、汇票、支票、电汇），或银行保函、担保公司的保证担保或保险公司的保证保险等多种形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②卖方选取银行保函、担保公司的保证担保或保险公司的保证保险等形式的向买方缴纳，如保函（担保、保险等）的约定期到期但卖方履约仍未结束的，卖方须进行续保。</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③如卖方未能履行合同规定的义务，甲方有权从履约保证金中取得补偿。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履约保证金在合同约定期间内不予退还或者应完全有效，约定期届满，甲方应将人民币形式的履约保证金退还卖方，逾期退还的，按中国人民银行同期贷款基利率上浮20%后的利率支付超期资金占用费，但因卖方自身原因导致无法及时退还的除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16.2仲裁应根据《中华人民共和国仲裁法》的规定向买方所在地有管辖权的仲裁机构申请仲裁。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16.3仲裁裁决为最终裁决，对买方和卖方均有约束力。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16.4在仲裁期间，本合同应继续执行。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17.违约终止合同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17.1在买方对卖方违约而采取的任何补救措施不受影响的情况下，买方可向卖方发出终止部分或全部合同的书面通知书。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（1）如果卖方未能按合同规定的期限或买方同意延长的限期内提供部分或全部货物；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（2）卖方在收到买方发出的违约通知后贰拾天内，或经买方书面认可可延长的时间内未能纠正其过失；</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（3）如果卖方未能履行合同规定的其他义务。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18.破产中止合同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19.转让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19.1除买方事先书面同意外，卖方不得部分转让或全部转让其应履行的合同义务。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20.合同生效及其它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20.1淮安市政府采购网                              号招标文件、卖方提交的                      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20.2本合同应在买方和卖方双方签字盖章，并在卖方向买方交纳履约保证金后生效。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20.3本合同一式六份，以中文书写，卖方、买方各执二份，采购代理留存二份。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20.4合同货物交付使用后所发生的合同纠纷，买方与卖方进行处理。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20.5如需修改或补充合同内容，应经卖方、买方协商，签署书面修改或补充协议。该协议将作为本合同不可分割的一部分。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20.6本合同应按照中华人民共和国的现行法律进行解释。</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第五章项目采购需求</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gridAfter w:val="2"/>
          <w:trHeight w:val="691"/>
        </w:trPr>
        <w:tc>
          <w:tcPr>
            <w:gridSpan w:val="9"/>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5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投标分项报价表</w:t>
            </w:r>
            <w:r/>
          </w:p>
        </w:tc>
      </w:tr>
      <w:tr>
        <w:trPr>
          <w:gridAfter w:val="2"/>
          <w:trHeight w:val="30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规格型号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合价</w:t>
            </w:r>
            <w:r/>
          </w:p>
        </w:tc>
      </w:tr>
      <w:tr>
        <w:trPr>
          <w:gridAfter w:val="1"/>
          <w:trHeight w:val="294"/>
        </w:trPr>
        <w:tc>
          <w:tcPr>
            <w:vMerge w:val="continue"/>
            <w:textDirection w:val="lrTb"/>
            <w:noWrap w:val="false"/>
          </w:tcPr>
          <w:p>
            <w:r/>
            <w:r/>
          </w:p>
        </w:tc>
        <w:tc>
          <w:tcPr>
            <w:gridSpan w:val="9"/>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2栋联栋温室（94*120米*2栋）</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挖基坑土方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1.土壤类别:详地</w:t>
              <w:br/>
              <w:t xml:space="preserve">质勘探及现场勘察</w:t>
              <w:br/>
              <w:t xml:space="preserve">2.挖土深度:详图</w:t>
              <w:br/>
              <w:t xml:space="preserve">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1105.92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基础回填</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1.密实度要求:满</w:t>
              <w:br/>
              <w:t xml:space="preserve">足图纸及规范要求</w:t>
              <w:br/>
              <w:t xml:space="preserve">2.填方材料品种:</w:t>
              <w:br/>
              <w:t xml:space="preserve">满足图纸及规范要</w:t>
              <w:br/>
              <w:t xml:space="preserve">求</w:t>
              <w:br/>
              <w:t xml:space="preserve">3.填方粒径要求:</w:t>
              <w:br/>
              <w:t xml:space="preserve">满足图纸及规范要</w:t>
              <w:br/>
              <w:t xml:space="preserve">求</w:t>
              <w:br/>
              <w:t xml:space="preserve">4.填方来源、运</w:t>
              <w:br/>
              <w:t xml:space="preserve">距:就近取土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688.84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圈梁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1.混凝土种类:商</w:t>
              <w:br/>
            </w:r>
            <w:r>
              <w:rPr>
                <w:rFonts w:ascii="FangSong" w:hAnsi="FangSong" w:eastAsia="FangSong" w:cs="FangSong"/>
                <w:color w:val="000000"/>
                <w:sz w:val="21"/>
              </w:rPr>
              <w:t xml:space="preserve">品混凝土，含模板</w:t>
              <w:br/>
              <w:t xml:space="preserve">2.混凝土强度等</w:t>
              <w:br/>
              <w:t xml:space="preserve">级:C25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现浇构件钢筋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1.钢筋种类、规</w:t>
              <w:br/>
              <w:t xml:space="preserve">格:HRB400、d≤12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预埋铁件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1、MJ1:4*ф16螺纹钢</w:t>
              <w:br/>
              <w:t xml:space="preserve">、120*160*6钢板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钢屋架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1.钢材品种、规</w:t>
              <w:br/>
              <w:t xml:space="preserve">格:Q235B热镀锌，上悬杆圆钢管32*1.5、腹杆圆钢管12，水平支撑60*40*2</w:t>
              <w:br/>
              <w:t xml:space="preserve">2.油漆：底漆二遍、中间漆二遍、面漆二遍</w:t>
              <w:br/>
              <w:t xml:space="preserve">3.屋架跨度、安装</w:t>
              <w:br/>
              <w:t xml:space="preserve">高度:屋架跨度8m</w:t>
              <w:br/>
              <w:t xml:space="preserve">、安装高度5.8m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104.918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132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钢立柱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1.钢材品种、规</w:t>
              <w:br/>
              <w:t xml:space="preserve">格:热镀锌方管</w:t>
              <w:br/>
              <w:t xml:space="preserve">120*60*2.5、</w:t>
              <w:br/>
              <w:t xml:space="preserve">60*40*2.0 热镀锌</w:t>
              <w:br/>
              <w:t xml:space="preserve">圆管32*1.5</w:t>
              <w:br/>
              <w:t xml:space="preserve">Q235B</w:t>
              <w:br/>
              <w:t xml:space="preserve">2.油漆：底漆二遍、中间漆二遍、面漆二遍</w:t>
              <w:br/>
              <w:t xml:space="preserve">3.含立柱顶板、底</w:t>
              <w:br/>
              <w:t xml:space="preserve">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天沟水槽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1.含天沟、密封胶</w:t>
              <w:br/>
              <w:t xml:space="preserve">带等</w:t>
              <w:br/>
              <w:t xml:space="preserve">2.钢材品种、规</w:t>
              <w:br/>
              <w:t xml:space="preserve">格:钢板天沟,热镀</w:t>
              <w:br/>
              <w:t xml:space="preserve">锌钢板厚度2mm，</w:t>
              <w:br/>
              <w:t xml:space="preserve">Q235B</w:t>
              <w:br/>
              <w:t xml:space="preserve">3.漏斗、天沟形</w:t>
              <w:br/>
              <w:t xml:space="preserve">式:按设计图纸</w:t>
              <w:br/>
              <w:t xml:space="preserve">4.安装高度:4m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零星钢构件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含立柱顶板、底板</w:t>
              <w:br/>
              <w:t xml:space="preserve">、天沟托架、外遮</w:t>
              <w:br/>
              <w:t xml:space="preserve">阳立柱底板等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阳光板移门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阳光板移门：2.0*2.2米，参照图纸做法</w:t>
              <w:br/>
              <w:t xml:space="preserve">1、满足规范及验收要求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屋面排水管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1.排水管品种、规</w:t>
              <w:br/>
              <w:t xml:space="preserve">格:PVC-U  DN110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薄膜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12丝PEP利得膜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内遮阳系统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内遮阳：传动</w:t>
              <w:br/>
              <w:t xml:space="preserve">系统(A型拉幕齿轮</w:t>
              <w:br/>
              <w:t xml:space="preserve">齿条驱动)、 电机</w:t>
              <w:br/>
              <w:t xml:space="preserve">(WJ-750型)、 内遮</w:t>
              <w:br/>
              <w:t xml:space="preserve">阳(65%铝箔内遮阳</w:t>
              <w:br/>
              <w:t xml:space="preserve">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屋面卷膜系统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屋面卷膜系统含卷</w:t>
              <w:br/>
              <w:t xml:space="preserve">膜杆、伸缩杆、 电</w:t>
              <w:br/>
              <w:t xml:space="preserve">动卷膜器、压膜卡</w:t>
              <w:br/>
              <w:t xml:space="preserve">、防虫网等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24840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墙面卷膜系统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墙面卷膜系统含卷</w:t>
              <w:br/>
              <w:t xml:space="preserve">膜杆、伸缩杆、 电</w:t>
              <w:br/>
              <w:t xml:space="preserve">动卷膜器、压膜卡</w:t>
              <w:br/>
              <w:t xml:space="preserve">、防虫网等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压膜槽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镀锌卡槽、浸塑卡</w:t>
              <w:br/>
              <w:t xml:space="preserve">簧、卡槽连接片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压膜绳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黑色压膜绳、压膜</w:t>
              <w:br/>
              <w:t xml:space="preserve">绳挂钩等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4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外围管道、涵管及钢丝围栏</w:t>
            </w:r>
            <w:r/>
          </w:p>
        </w:tc>
      </w:tr>
      <w:tr>
        <w:trPr>
          <w:gridAfter w:val="2"/>
          <w:trHeight w:val="3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规格型号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合价</w:t>
            </w:r>
            <w:r/>
          </w:p>
        </w:tc>
      </w:tr>
      <w:tr>
        <w:trPr>
          <w:gridAfter w:val="1"/>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挖基础土方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1、土壤类别：见地勘图</w:t>
              <w:br/>
              <w:t xml:space="preserve">2、挖土深度：1M内</w:t>
              <w:br/>
              <w:t xml:space="preserve">3、弃土运距：1公里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396.9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回填方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基础施工完毕后,尽快回填基槽土方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独立基础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1.混凝土种类:商</w:t>
              <w:br/>
              <w:t xml:space="preserve">品混凝土，含模板</w:t>
              <w:br/>
              <w:t xml:space="preserve">2.混凝土强度等</w:t>
              <w:br/>
              <w:t xml:space="preserve">级:C30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预埋铁件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1、MJ1:6*ф10螺纹钢</w:t>
              <w:br/>
              <w:t xml:space="preserve">、300*300*18钢板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成品方钢钢丝围栏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成品方钢钢丝围栏：1.5厚48镀锌钢管立柱，刷墨绿色氟碳漆，做法见图纸要求</w:t>
              <w:br/>
              <w:t xml:space="preserve">2、做法满足甲方及规范验收要求。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35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晒水池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土方开挖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1.土壤类别:三类土</w:t>
              <w:br/>
              <w:t xml:space="preserve">2.挖土深度：1.5米以下</w:t>
              <w:br/>
              <w:t xml:space="preserve">3.弃土运距:含土方开挖回填外运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回填土方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1.密实度达到要求，原状土或经密实土，达到设计及验收要求。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59.94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砖基础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1、砖品种、规格、强度等级：水泥砖</w:t>
              <w:br/>
              <w:t xml:space="preserve">2、墙体类型：240mm外墙</w:t>
              <w:br/>
              <w:t xml:space="preserve">3、砂浆强度等级、配合比：M7.5混合砂浆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8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实心砖墙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1、砖品种、规格、强度等级：淤泥烧结保温砖</w:t>
              <w:br/>
              <w:t xml:space="preserve">2、墙体类型：240mm外墙</w:t>
              <w:br/>
              <w:t xml:space="preserve">3、砂浆强度等级、配合比：M5混合砂浆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压顶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1、混凝土种类：预拌，含模板</w:t>
              <w:br/>
              <w:t xml:space="preserve">2、混凝土强度等级：C15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0.78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墙面一般抹灰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15厚1:3水泥砂浆打底；</w:t>
              <w:br/>
              <w:t xml:space="preserve">2、 10厚1:2.5水泥砂浆抹面；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抹水泥砂浆 压顶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15厚1:3水泥砂浆打底；</w:t>
              <w:br/>
              <w:t xml:space="preserve">2、10厚1:2.5水泥砂浆抹面；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墙面涂膜防水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1、1.0厚聚氨酯涂膜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垫层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1、混凝土种类：预拌，含模板</w:t>
              <w:br/>
              <w:t xml:space="preserve">2、混凝土强度等级：C15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满堂基础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1、混凝土种类：预拌，含模板</w:t>
              <w:br/>
              <w:t xml:space="preserve">2、混凝土强度等级：C25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现浇构件钢筋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1.钢筋种类、规</w:t>
              <w:br/>
              <w:t xml:space="preserve">格:HRB335、d≤6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0.569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25厚砂浆找平层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1、25厚水泥砂浆找平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地面涂膜防水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1、1.0厚聚氨酯涂膜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聚合物砂浆找平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1、20厚聚合物砂浆找平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预埋铁件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1、MJ1:6*ф10螺纹钢</w:t>
              <w:br/>
              <w:t xml:space="preserve">、120*120*10钢板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0.023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不锈钢栏杆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成品不锈钢栏杆：见图纸做法及要求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空心板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1、3米楼板制安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土方开挖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1.土壤类别:三类土</w:t>
              <w:br/>
              <w:t xml:space="preserve">2.挖土深度：3米以下</w:t>
              <w:br/>
              <w:t xml:space="preserve">3.弃土运距:含土方开挖回填外运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76.76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回填土方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1.密实度达到要求，原状土或经密实土，达到设计及验收要求。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36.26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垫层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基础垫层  1:1砂碎石： 200mm厚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垫层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1、混凝土种类：预拌，含模板</w:t>
              <w:br/>
              <w:t xml:space="preserve">2、混凝土强度等级：C15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砖基础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1、砖品种、规格、强度等级：水泥砖</w:t>
              <w:br/>
              <w:t xml:space="preserve">2、墙体类型：240mm外墙</w:t>
              <w:br/>
              <w:t xml:space="preserve">3、砂浆强度等级、配合比：M5混合砂浆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墙面一般抹灰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12厚1:3水泥砂浆打底；</w:t>
              <w:br/>
              <w:t xml:space="preserve">2、 6厚1:2.5水泥砂浆抹面；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预制钢筋混凝土桩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1、预制钢筋混凝土</w:t>
              <w:br/>
              <w:t xml:space="preserve">2、满足图纸、甲方及规范要求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过滤网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1、过滤网：详见图纸要求</w:t>
              <w:br/>
              <w:t xml:space="preserve">2、粗过滤网：钢丝网</w:t>
              <w:br/>
              <w:t xml:space="preserve">3、筛绢布：规格80目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56"/>
        </w:trPr>
        <w:tc>
          <w:tcPr>
            <w:gridSpan w:val="8"/>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    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gridSpan w:val="9"/>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7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温室电力</w:t>
            </w:r>
            <w:r/>
          </w:p>
        </w:tc>
      </w:tr>
      <w:tr>
        <w:trPr>
          <w:gridAfter w:val="2"/>
          <w:trHeight w:val="3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规格型号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合价</w:t>
            </w:r>
            <w:r/>
          </w:p>
        </w:tc>
      </w:tr>
      <w:tr>
        <w:trPr>
          <w:gridAfter w:val="1"/>
          <w:trHeight w:val="35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电气设备安装工程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控制箱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1、名称：拉幕电机控制箱</w:t>
              <w:br/>
              <w:t xml:space="preserve">2、规格：APLM</w:t>
              <w:br/>
              <w:t xml:space="preserve">3、安装方式：落地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配电箱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1、名称：配电箱</w:t>
              <w:br/>
              <w:t xml:space="preserve">2、型号：AP1</w:t>
              <w:br/>
              <w:t xml:space="preserve">3、安装方式：落地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拉幕电机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1、名称：拉幕电机</w:t>
              <w:br/>
              <w:t xml:space="preserve">2、规格：0.55KW</w:t>
              <w:br/>
              <w:t xml:space="preserve">3、安装方式：落地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桥架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1、名称：镀锌桥架</w:t>
              <w:br/>
              <w:t xml:space="preserve">2、规格：200*150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铁构件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1、名称：桥架支吊架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配管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1、名称：线管敷设</w:t>
              <w:br/>
              <w:t xml:space="preserve">2、规格：SC32</w:t>
              <w:br/>
              <w:t xml:space="preserve">3、配置形式：暗配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配管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1、名称：线管敷设</w:t>
              <w:br/>
              <w:t xml:space="preserve">2、规格：SC25</w:t>
              <w:br/>
              <w:t xml:space="preserve">3、配置形式：暗配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电力电缆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1.名称:电力电缆</w:t>
              <w:br/>
              <w:t xml:space="preserve">2.规格:NHYJY-5*4</w:t>
              <w:br/>
              <w:t xml:space="preserve">3.敷设方式、部位:沿桥架或穿管</w:t>
              <w:br/>
              <w:t xml:space="preserve">4.其他未述事项按设计图纸及相关规范要求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3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电力电缆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1.名称:电力电缆</w:t>
              <w:br/>
              <w:t xml:space="preserve">2.规格:NHYJY-5*2.5</w:t>
              <w:br/>
              <w:t xml:space="preserve">3.敷设方式、部位:沿桥架或穿管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送配电装置系统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gridSpan w:val="8"/>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    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大棚室内喷灌管网</w:t>
            </w:r>
            <w:r/>
          </w:p>
        </w:tc>
      </w:tr>
      <w:tr>
        <w:trPr>
          <w:gridAfter w:val="2"/>
          <w:trHeight w:val="3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规格型号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合价</w:t>
            </w:r>
            <w:r/>
          </w:p>
        </w:tc>
      </w:tr>
      <w:tr>
        <w:trPr>
          <w:gridAfter w:val="1"/>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塑料管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1.材质及规格:加筋PE管DN300，0.8mpa</w:t>
              <w:br/>
              <w:t xml:space="preserve">2.连接形式:焊接接口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塑料管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1.材质及规格:加筋PE管DN90，0.8mpa</w:t>
              <w:br/>
              <w:t xml:space="preserve">2.连接形式:焊接接口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塑料管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1.材质及规格:加筋PE管DN63，0.8mpa</w:t>
              <w:br/>
              <w:t xml:space="preserve">2.连接形式:焊接接口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塑料管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1.材质及规格:加筋PE管DN20，0.8mpa</w:t>
              <w:br/>
              <w:t xml:space="preserve">2.连接形式:焊接接口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吊挂微喷头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1.设计工作压力0.3mpa,出水</w:t>
              <w:br/>
              <w:t xml:space="preserve">  流量40L-60L/h,设计喷洒半径2米，</w:t>
              <w:br/>
              <w:t xml:space="preserve">  设计布置间距3米（含重锤1个，防</w:t>
              <w:br/>
              <w:t xml:space="preserve">  滴阀1个，倒刺连 接头1个，毛管0.5</w:t>
              <w:br/>
              <w:t xml:space="preserve">  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1"/>
          <w:trHeight w:val="88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手动控制阀门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手动控制阀门：DN110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手动控制阀门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手动控制阀门：DN90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手动控制阀门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手动控制阀门：DN20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自吸泵、加压泵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1.名称:喷淋泵</w:t>
              <w:br/>
              <w:t xml:space="preserve">2.型号、规格:见图纸规格要求</w:t>
              <w:br/>
              <w:t xml:space="preserve">3.其他未述事项按设计图纸及相关规范要求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gridSpan w:val="8"/>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    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880"/>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6栋联栋温室（94*176、94*88、94*56、58*64、60*200、60*176米）</w:t>
            </w:r>
            <w:r/>
          </w:p>
        </w:tc>
      </w:tr>
      <w:tr>
        <w:trPr>
          <w:gridAfter w:val="2"/>
          <w:trHeight w:val="3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规格型号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合价</w:t>
            </w:r>
            <w:r/>
          </w:p>
        </w:tc>
      </w:tr>
      <w:tr>
        <w:trPr>
          <w:gridAfter w:val="1"/>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挖基坑土方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1.土壤类别:详地</w:t>
              <w:br/>
              <w:t xml:space="preserve">质勘探及现场勘察</w:t>
              <w:br/>
              <w:t xml:space="preserve">2.挖土深度:详图</w:t>
              <w:br/>
              <w:t xml:space="preserve">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5529.6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基础回填</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1.密实度要求:满</w:t>
              <w:br/>
              <w:t xml:space="preserve">足图纸及规范要求</w:t>
              <w:br/>
              <w:t xml:space="preserve">2.填方材料品种:</w:t>
              <w:br/>
              <w:t xml:space="preserve">满足图纸及规范要</w:t>
              <w:br/>
              <w:t xml:space="preserve">求</w:t>
              <w:br/>
              <w:t xml:space="preserve">3.填方粒径要求:</w:t>
              <w:br/>
              <w:t xml:space="preserve">满足图纸及规范要</w:t>
              <w:br/>
              <w:t xml:space="preserve">求</w:t>
              <w:br/>
              <w:t xml:space="preserve">4.填方来源、运</w:t>
              <w:br/>
              <w:t xml:space="preserve">距:就近取土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3444.2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圈梁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1.混凝土种类:商</w:t>
              <w:br/>
              <w:t xml:space="preserve">品混凝土，含模板</w:t>
              <w:br/>
              <w:t xml:space="preserve">2.混凝土强度等</w:t>
              <w:br/>
              <w:t xml:space="preserve">级:C25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现浇构件钢筋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1.钢筋种类、规</w:t>
              <w:br/>
              <w:t xml:space="preserve">格:HRB400、d≤12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8.395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预埋铁件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1、MJ1:4*ф16螺纹钢</w:t>
              <w:br/>
              <w:t xml:space="preserve">、120*160*6钢板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钢屋架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1.钢材品种、规</w:t>
              <w:br/>
              <w:t xml:space="preserve">格:Q235B热镀锌，上悬杆圆钢管32*1.5、腹杆圆钢管12，水平支撑60*40*2</w:t>
              <w:br/>
              <w:t xml:space="preserve">2.油漆：底漆二遍、中间漆二遍、面漆二遍</w:t>
              <w:br/>
              <w:t xml:space="preserve">3.屋架跨度、安装</w:t>
              <w:br/>
              <w:t xml:space="preserve">高度:屋架跨度8m</w:t>
              <w:br/>
              <w:t xml:space="preserve">、安装高度5.8m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钢立柱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1.钢材品种、规</w:t>
              <w:br/>
              <w:t xml:space="preserve">格:热镀锌方管</w:t>
              <w:br/>
              <w:t xml:space="preserve">120*60*2.5、</w:t>
              <w:br/>
              <w:t xml:space="preserve">60*40*2.0 热镀锌</w:t>
              <w:br/>
              <w:t xml:space="preserve">圆管32*1.5</w:t>
              <w:br/>
              <w:t xml:space="preserve">Q235B</w:t>
              <w:br/>
              <w:t xml:space="preserve">2.油漆：底漆二遍、中间漆二遍、面漆二遍</w:t>
              <w:br/>
              <w:t xml:space="preserve">3.含立柱顶板、底</w:t>
              <w:br/>
              <w:t xml:space="preserve">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86.93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天沟水槽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1.含天沟、密封胶</w:t>
              <w:br/>
              <w:t xml:space="preserve">带等</w:t>
              <w:br/>
              <w:t xml:space="preserve">2.钢材品种、规</w:t>
              <w:br/>
              <w:t xml:space="preserve">格:钢板天沟,热镀</w:t>
              <w:br/>
              <w:t xml:space="preserve">锌钢板厚度2mm，</w:t>
              <w:br/>
              <w:t xml:space="preserve">Q235B</w:t>
              <w:br/>
              <w:t xml:space="preserve">3.漏斗、天沟形</w:t>
              <w:br/>
              <w:t xml:space="preserve">式:按设计图纸</w:t>
              <w:br/>
              <w:t xml:space="preserve">4.安装高度:4m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零星钢构件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含立柱顶板、底板</w:t>
              <w:br/>
              <w:t xml:space="preserve">、天沟托架、外遮</w:t>
              <w:br/>
              <w:t xml:space="preserve">阳立柱底板等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t</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阳光板移门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阳光板移门：2.0*2.2米，参照图纸做法</w:t>
              <w:br/>
              <w:t xml:space="preserve">1、满足规范及验收要求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屋面排水管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1.排水管品种、规</w:t>
              <w:br/>
              <w:t xml:space="preserve">格:PVC-U  DN110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薄膜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12丝PEP利得膜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内遮阳系统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内遮阳：传动</w:t>
              <w:br/>
              <w:t xml:space="preserve">系统(A型拉幕齿轮</w:t>
              <w:br/>
              <w:t xml:space="preserve">齿条驱动)、 电机</w:t>
              <w:br/>
              <w:t xml:space="preserve">(WJ-750型)、 内遮</w:t>
              <w:br/>
              <w:t xml:space="preserve">阳(65%铝箔内遮阳</w:t>
              <w:br/>
              <w:t xml:space="preserve">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屋面卷膜系统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屋面卷膜系统含卷</w:t>
              <w:br/>
              <w:t xml:space="preserve">膜杆、伸缩杆、 电</w:t>
              <w:br/>
              <w:t xml:space="preserve">动卷膜器、压膜卡</w:t>
              <w:br/>
              <w:t xml:space="preserve">、防虫网等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124200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墙面卷膜系统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墙面卷膜系统含卷</w:t>
              <w:br/>
              <w:t xml:space="preserve">膜杆、伸缩杆、 电</w:t>
              <w:br/>
              <w:t xml:space="preserve">动卷膜器、压膜卡</w:t>
              <w:br/>
              <w:t xml:space="preserve">、防虫网等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压膜槽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镀锌卡槽、浸塑卡</w:t>
              <w:br/>
              <w:t xml:space="preserve">簧、卡槽连接片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压膜绳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黑色压膜绳、压膜</w:t>
              <w:br/>
              <w:t xml:space="preserve">绳挂钩等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排水渠、道路、工具用房</w:t>
            </w:r>
            <w:r/>
          </w:p>
        </w:tc>
      </w:tr>
      <w:tr>
        <w:trPr>
          <w:gridAfter w:val="2"/>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1</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外围整体排水渠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由投标自主勘察现场，满足规范及验收。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场内排水沟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详见图纸尺寸要求与做法，满足规范及验收。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道路网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3米宽，素土夯实，含1.5米路肩整平。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4</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工具用房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成品集装箱，供电要求≥3kw，3*6m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gridSpan w:val="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gridAfter w:val="2"/>
          <w:trHeight w:val="470"/>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投标总报价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报价采用总承包方式，“投标总报价”应包括所投货物（包含与货物相关的服务）费用、安装调试费、测试验收费、培训费、运行维护费用、税金及其他有关的为完成本项目发生的所有费用，招标文件中另有规定的除外。</w:t>
      </w:r>
      <w:r>
        <w:rPr>
          <w:rFonts w:ascii="FangSong" w:hAnsi="FangSong" w:eastAsia="FangSong" w:cs="FangSong"/>
          <w:color w:val="000000"/>
          <w:sz w:val="28"/>
        </w:rPr>
        <w:t xml:space="preserve">（</w:t>
      </w:r>
      <w:r>
        <w:rPr>
          <w:rFonts w:ascii="FangSong" w:hAnsi="FangSong" w:eastAsia="FangSong" w:cs="FangSong"/>
          <w:color w:val="000000"/>
          <w:sz w:val="28"/>
        </w:rPr>
        <w:t xml:space="preserve">图纸</w:t>
      </w:r>
      <w:r>
        <w:rPr>
          <w:rFonts w:ascii="FangSong" w:hAnsi="FangSong" w:eastAsia="FangSong" w:cs="FangSong"/>
          <w:color w:val="000000"/>
          <w:sz w:val="28"/>
        </w:rPr>
        <w:t xml:space="preserve">详见</w:t>
      </w:r>
      <w:r>
        <w:rPr>
          <w:rFonts w:ascii="FangSong" w:hAnsi="FangSong" w:eastAsia="FangSong" w:cs="FangSong"/>
          <w:color w:val="000000"/>
          <w:sz w:val="28"/>
        </w:rPr>
        <w:t xml:space="preserve">附件</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w:rPr>
          <w:rFonts w:ascii="FangSong" w:hAnsi="FangSong" w:eastAsia="FangSong" w:cs="FangSong"/>
          <w:color w:val="000000"/>
          <w:sz w:val="28"/>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084"/>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084"/>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066"/>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 标 人:</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二0二四年    月    日</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一、开标一览表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（此表以电子标书格式为准）</w:t>
      </w:r>
      <w:r/>
    </w:p>
    <w:p>
      <w:pPr>
        <w:ind w:left="0" w:right="0" w:firstLine="643"/>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二、投标函</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b/>
          <w:color w:val="000000"/>
          <w:sz w:val="28"/>
          <w:u w:val="single"/>
        </w:rPr>
        <w:t xml:space="preserve">      </w:t>
      </w:r>
      <w:r>
        <w:rPr>
          <w:rFonts w:ascii="FangSong" w:hAnsi="FangSong" w:eastAsia="FangSong" w:cs="FangSong"/>
          <w:color w:val="000000"/>
          <w:sz w:val="28"/>
          <w:u w:val="single"/>
        </w:rPr>
        <w:t xml:space="preserve">（采购单位）</w:t>
      </w:r>
      <w:r>
        <w:rPr>
          <w:rFonts w:ascii="FangSong" w:hAnsi="FangSong" w:eastAsia="FangSong" w:cs="FangSong"/>
          <w:b/>
          <w:color w:val="000000"/>
          <w:sz w:val="28"/>
          <w:u w:val="single"/>
        </w:rPr>
        <w:t xml:space="preserve">  </w:t>
      </w:r>
      <w:r>
        <w:rPr>
          <w:rFonts w:ascii="FangSong" w:hAnsi="FangSong" w:eastAsia="FangSong" w:cs="FangSong"/>
          <w:b/>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采购项目（项目编号: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招标文件（包括更正公告、如果有的话）收悉，我们经详细审阅和研究，现决定参加投标。同时，正式授权下述签字人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（姓名和职务）代表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（投标人单位名称），全权处理本次项目投标的有关事宜。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1、按照招标文件规定的各项要求，我方愿以总报价为</w:t>
      </w:r>
      <w:r>
        <w:rPr>
          <w:rFonts w:ascii="FangSong" w:hAnsi="FangSong" w:eastAsia="FangSong" w:cs="FangSong"/>
          <w:color w:val="000000"/>
          <w:sz w:val="28"/>
          <w:u w:val="single"/>
        </w:rPr>
        <w:t xml:space="preserve">大写；                   （小写            ）</w:t>
      </w:r>
      <w:r>
        <w:rPr>
          <w:rFonts w:ascii="FangSong" w:hAnsi="FangSong" w:eastAsia="FangSong" w:cs="FangSong"/>
          <w:color w:val="000000"/>
          <w:sz w:val="28"/>
        </w:rPr>
        <w:t xml:space="preserve">向采购人提供所需货物、服务（包含与货物相关的服务及与服务相关的货物）。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2、我们接受招标文件的所有的条款和规定。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同意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4、我们理解，你们无义务必须接受投标价最低的投标。同时也理解你们不承担我们本次投标的费用。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5、我们同意向贵方提供贵方可能要求的与投标有关的任何证据或资料，并保证所提供的都是真实的、准确的。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6、一旦我方中标，我方将根据招标文件的规定，严格履行合同的责任和义务，并保证在按招标文件中规定的时间内供货，并完成项目的施工、调试、交付买方验收、使用。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7、我公司没有为本项目提供整体设计、规范编制或者项目管理、监理、检测等服务。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8、参加本次采购活动前，我方没有被“信用中国”网站、“中国政府采购网”列入失信被执行人名单、重大税收违法案件当事人名单、政府采购严重违法失信行为记录名单。</w:t>
      </w:r>
      <w:r/>
    </w:p>
    <w:p>
      <w:pPr>
        <w:ind w:left="0" w:right="0" w:firstLine="22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2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投标人名称（电子签章）:</w:t>
      </w:r>
      <w:r>
        <w:rPr>
          <w:rFonts w:ascii="FangSong" w:hAnsi="FangSong" w:eastAsia="FangSong" w:cs="FangSong"/>
          <w:color w:val="000000"/>
          <w:sz w:val="28"/>
          <w:u w:val="single"/>
        </w:rPr>
        <w:t xml:space="preserve">             </w:t>
      </w:r>
      <w:r/>
    </w:p>
    <w:p>
      <w:pPr>
        <w:ind w:left="0" w:right="0" w:firstLine="22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邮编:</w:t>
      </w:r>
      <w:r>
        <w:rPr>
          <w:rFonts w:ascii="FangSong" w:hAnsi="FangSong" w:eastAsia="FangSong" w:cs="FangSong"/>
          <w:color w:val="000000"/>
          <w:sz w:val="28"/>
          <w:u w:val="single"/>
        </w:rPr>
        <w:t xml:space="preserve">             </w:t>
      </w:r>
      <w:r/>
    </w:p>
    <w:p>
      <w:pPr>
        <w:ind w:left="0" w:right="0"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p>
    <w:p>
      <w:pPr>
        <w:ind w:left="0" w:right="0"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三、投标分项报价表</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（格式详见采购需求）</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投标报价采用总承包方式，“投标总报价”应包括所投货物（包含与货物相关的服务）费用、安装调试费、测试验收费、培训费、运行维护费用、税金及其他有关的为完成本项目发生的所有费用，招标文件中另有规定的除外。</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0" w:right="0" w:firstLine="36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投标人名称（电子签章）:</w:t>
      </w:r>
      <w:r>
        <w:rPr>
          <w:rFonts w:ascii="FangSong" w:hAnsi="FangSong" w:eastAsia="FangSong" w:cs="FangSong"/>
          <w:color w:val="000000"/>
          <w:sz w:val="28"/>
          <w:u w:val="single"/>
        </w:rPr>
        <w:t xml:space="preserve">             </w:t>
      </w:r>
      <w:r/>
    </w:p>
    <w:p>
      <w:pPr>
        <w:ind w:left="0" w:right="0" w:firstLine="36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0" w:firstLine="36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四、服务承诺</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（格式由投标人自拟、加盖公章）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五、资质审查时投标人必须提供的资格证明文件</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（详见招标公告要求）</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六、综合评分时投标人需提供的证明文件</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（供应商根据第三章评标标准的要求提供相关材料，加盖公章）</w:t>
      </w:r>
      <w:r/>
    </w:p>
    <w:p>
      <w:pPr>
        <w:ind w:left="0" w:right="0" w:firstLine="56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2"/>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友情提醒：</w:t>
      </w:r>
      <w:r/>
    </w:p>
    <w:p>
      <w:pPr>
        <w:ind w:left="0" w:right="0" w:firstLine="56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投标人所提供的资格证明材料应真实、有效，采购代理机构及采购人保留对投标人提供的资格证明材料进行核查的权利。如发投标人提供虚假资格证明材料，政府采购监管部门将对其进行严肃处理。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示范格式一</w:t>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的法定代表人。为参与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注:投标人法定代表人参加投标的，必须附法定代表人身份证扫描件加盖投标人电子签章。法定代表人授权其他人参加投标的，仅需填写“授权委托书”。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br w:type="page" w:clear="all"/>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授权委托书</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致</w:t>
      </w:r>
      <w:r>
        <w:rPr>
          <w:rFonts w:ascii="FangSong" w:hAnsi="FangSong" w:eastAsia="FangSong" w:cs="FangSong"/>
          <w:color w:val="000000"/>
          <w:sz w:val="30"/>
          <w:u w:val="single"/>
        </w:rPr>
        <w:t xml:space="preserve">（采购单位）</w:t>
      </w:r>
      <w:r>
        <w:rPr>
          <w:rFonts w:ascii="FangSong" w:hAnsi="FangSong" w:eastAsia="FangSong" w:cs="FangSong"/>
          <w:color w:val="000000"/>
          <w:sz w:val="30"/>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委托方:</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性别:</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出生日期: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所在单位: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 份 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联系方式:</w:t>
      </w:r>
      <w:r>
        <w:rPr>
          <w:rFonts w:ascii="FangSong" w:hAnsi="FangSong" w:eastAsia="FangSong" w:cs="FangSong"/>
          <w:color w:val="000000"/>
          <w:sz w:val="28"/>
          <w:u w:val="single"/>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兹委托受托人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代表我公司参加</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组织的</w:t>
      </w:r>
      <w:r>
        <w:rPr>
          <w:rFonts w:ascii="FangSong" w:hAnsi="FangSong" w:eastAsia="FangSong" w:cs="FangSong"/>
          <w:color w:val="000000"/>
          <w:sz w:val="28"/>
          <w:u w:val="single"/>
        </w:rPr>
        <w:t xml:space="preserve">                    （项目编号:           ）</w:t>
      </w:r>
      <w:r>
        <w:rPr>
          <w:rFonts w:ascii="FangSong" w:hAnsi="FangSong" w:eastAsia="FangSong" w:cs="FangSong"/>
          <w:color w:val="000000"/>
          <w:sz w:val="28"/>
        </w:rPr>
        <w:t xml:space="preserve">采购项目的政府采购活动，受托人有权在该招标活动中，以我单位的名义签署投标函和投标文件，与采购人协商、澄清、解释，签订合同书并执行一切与此有关的事项。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委托期限:至上述事宜处理完毕止。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64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     （电子签章） </w:t>
      </w:r>
      <w:r/>
    </w:p>
    <w:p>
      <w:pPr>
        <w:ind w:left="0" w:right="0" w:firstLine="36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359" w:right="0"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59"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注:投标人委托受托人参加投标的，必须附受托人身份证扫描件加盖投标人电子签章。法定代表人直接参加投标的，仅需填写“法定代表人资格证明”。</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示范格式三</w:t>
      </w:r>
      <w:r/>
    </w:p>
    <w:p>
      <w:pPr>
        <w:ind w:left="-359" w:right="0" w:firstLine="357"/>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承诺书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）投标过程中，作如下承诺：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一、我方企业完全具备履行合同所必须的设备和专业技术能力；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二、我方参加政府采购活动前3年内在经营活动中没有重大违法记录（因违法经营受到刑事处罚或者责令停产停业、吊销许可证或者执照、较大数额罚款等行政处罚）。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三、我公司与参加本次采购活动的其他单位不存在单位负责人为同一人的情况，也不存在控股、管理关系的情况；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四、我公司没有为本采购项目提供整体设计、规范编制或者项目管理、监理、检测等服务；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不得出现的其他情况：1.投标截止后撤回投标的；2.提供的有关资料、资格证明文件被确认是不真实的；3.被证实有串通（统一哄抬价格）、欺诈行为的；4.被证明有妨碍其他人公平竞争、损害采购单位或者其他供应商合法权益的；5.投标人代表被证明在评标期间与采购人代表、评委、监督人员、工作人员有私下接触的；6.中标人在规定期限内未能按照采购文件规定签订合同的交纳履约保证金的；7.与其他投标人的投标文件由同一单位或者个人编制；8.与其他投标人的投标文件载明的项目管理成员或者联系人员为同一人;9.与其他投标人的投标文件异</w:t>
      </w:r>
      <w:r>
        <w:rPr>
          <w:rFonts w:ascii="FangSong" w:hAnsi="FangSong" w:eastAsia="FangSong" w:cs="FangSong"/>
          <w:color w:val="000000"/>
          <w:sz w:val="28"/>
        </w:rPr>
        <w:t xml:space="preserve">常一致或者投标报价呈规律性差异。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我公司承诺保证上述信息的真实和准确，并愿意承担因我方弄虚作假所引起的一切法律后果，并自愿接受相关监管部门作出的任何处罚。</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承诺人:</w:t>
      </w:r>
      <w:r>
        <w:rPr>
          <w:rFonts w:ascii="FangSong" w:hAnsi="FangSong" w:eastAsia="FangSong" w:cs="FangSong"/>
          <w:color w:val="000000"/>
          <w:sz w:val="28"/>
          <w:u w:val="single"/>
        </w:rPr>
        <w:t xml:space="preserve">     （电子签章）</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符合《政府采购法》第二十二条规定条件的声明函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我公司参加贵中心组织实施的（项目编号:       ）    采购项目的政府采购活动。针对《中华人民共和国政府采购法》第二十二条规定做出如下声明：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承诺人:</w:t>
      </w:r>
      <w:r>
        <w:rPr>
          <w:rFonts w:ascii="FangSong" w:hAnsi="FangSong" w:eastAsia="FangSong" w:cs="FangSong"/>
          <w:color w:val="000000"/>
          <w:sz w:val="28"/>
          <w:u w:val="single"/>
        </w:rPr>
        <w:t xml:space="preserve">     （电子签章）</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企业声明函（货物类）</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 号）的规定，本公司参加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采购活动，提供的货物全部由符合政策要求的中小企业制造。相关企业的具体情况如下：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w:t>
      </w: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 ，属于</w:t>
      </w:r>
      <w:r>
        <w:rPr>
          <w:rFonts w:ascii="FangSong" w:hAnsi="FangSong" w:eastAsia="FangSong" w:cs="FangSong"/>
          <w:color w:val="000000"/>
          <w:sz w:val="28"/>
          <w:u w:val="single"/>
        </w:rPr>
        <w:t xml:space="preserve">（采购文件中明确的所属行业）</w:t>
      </w:r>
      <w:r>
        <w:rPr>
          <w:rFonts w:ascii="FangSong" w:hAnsi="FangSong" w:eastAsia="FangSong" w:cs="FangSong"/>
          <w:color w:val="000000"/>
          <w:sz w:val="28"/>
        </w:rPr>
        <w:t xml:space="preserve">行业；制造商为（企业名称），从业人员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（标的名称）</w:t>
      </w:r>
      <w:r>
        <w:rPr>
          <w:rFonts w:ascii="FangSong" w:hAnsi="FangSong" w:eastAsia="FangSong" w:cs="FangSong"/>
          <w:color w:val="000000"/>
          <w:sz w:val="28"/>
        </w:rPr>
        <w:t xml:space="preserve"> ，属于（采购文件中明确的所属行业）行业；制造商为（企业名称），从业人员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示范格式六</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注:本公司对上述声明的真实性负责。如有虚假，将依法承担相应责任。</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监狱单位声明函（格式自拟）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90"/>
        <w:rPr>
          <w:i w:val="0"/>
          <w:iCs w:val="0"/>
          <w:color w:val="000000"/>
          <w:highlight w:val="none"/>
        </w:rPr>
      </w:pPr>
      <w:r>
        <w:rPr>
          <w:i w:val="0"/>
          <w:iCs w:val="0"/>
          <w:color w:val="000000"/>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华文行楷">
    <w:panose1 w:val="02010800040101010101"/>
  </w:font>
  <w:font w:name="SimSun">
    <w:panose1 w:val="02010600030101010101"/>
  </w:font>
  <w:font w:name="KaiTi">
    <w:panose1 w:val="0201060906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280"/>
      <w:tabs>
        <w:tab w:val="center" w:pos="4153" w:leader="none"/>
        <w:tab w:val="right" w:pos="8306" w:leader="none"/>
      </w:tabs>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p>
    <w:pPr>
      <w:pStyle w:val="94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280"/>
      <w:tabs>
        <w:tab w:val="center" w:pos="4153" w:leader="none"/>
        <w:tab w:val="right" w:pos="8306" w:leader="none"/>
      </w:tabs>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1"/>
      <w:isLgl w:val="false"/>
      <w:suff w:val="tab"/>
      <w:lvlText w:val="附录%1."/>
      <w:lvlJc w:val="left"/>
      <w:pPr>
        <w:pStyle w:val="8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8"/>
      <w:isLgl w:val="false"/>
      <w:suff w:val="tab"/>
      <w:lvlText w:val="%1."/>
      <w:lvlJc w:val="left"/>
      <w:pPr>
        <w:pStyle w:val="890"/>
        <w:ind w:left="709" w:hanging="709"/>
        <w:tabs>
          <w:tab w:val="num" w:pos="709" w:leader="none"/>
        </w:tabs>
      </w:pPr>
      <w:rPr>
        <w:rFonts w:hint="eastAsia"/>
      </w:rPr>
    </w:lvl>
    <w:lvl w:ilvl="1">
      <w:start w:val="1"/>
      <w:numFmt w:val="decimal"/>
      <w:isLgl w:val="false"/>
      <w:suff w:val="tab"/>
      <w:lvlText w:val="%1.%2"/>
      <w:lvlJc w:val="left"/>
      <w:pPr>
        <w:pStyle w:val="890"/>
        <w:ind w:left="709" w:hanging="709"/>
        <w:tabs>
          <w:tab w:val="num" w:pos="709" w:leader="none"/>
        </w:tabs>
      </w:pPr>
      <w:rPr>
        <w:rFonts w:hint="eastAsia"/>
      </w:rPr>
    </w:lvl>
    <w:lvl w:ilvl="2">
      <w:start w:val="1"/>
      <w:numFmt w:val="decimal"/>
      <w:isLgl w:val="false"/>
      <w:suff w:val="tab"/>
      <w:lvlText w:val="%1.%2.%3."/>
      <w:lvlJc w:val="left"/>
      <w:pPr>
        <w:pStyle w:val="890"/>
        <w:ind w:left="425" w:hanging="425"/>
        <w:tabs>
          <w:tab w:val="num" w:pos="425" w:leader="none"/>
        </w:tabs>
      </w:pPr>
      <w:rPr>
        <w:rFonts w:hint="eastAsia"/>
      </w:rPr>
    </w:lvl>
    <w:lvl w:ilvl="3">
      <w:start w:val="1"/>
      <w:numFmt w:val="decimal"/>
      <w:isLgl w:val="false"/>
      <w:suff w:val="tab"/>
      <w:lvlText w:val="%1.%2.%3.%4."/>
      <w:lvlJc w:val="left"/>
      <w:pPr>
        <w:pStyle w:val="890"/>
        <w:ind w:left="851" w:hanging="851"/>
        <w:tabs>
          <w:tab w:val="num" w:pos="851" w:leader="none"/>
        </w:tabs>
      </w:pPr>
      <w:rPr>
        <w:rFonts w:hint="eastAsia"/>
      </w:rPr>
    </w:lvl>
    <w:lvl w:ilvl="4">
      <w:start w:val="1"/>
      <w:numFmt w:val="decimal"/>
      <w:isLgl w:val="false"/>
      <w:suff w:val="tab"/>
      <w:lvlText w:val="%1.%2.%3.%4.%5."/>
      <w:lvlJc w:val="left"/>
      <w:pPr>
        <w:pStyle w:val="890"/>
        <w:ind w:left="992" w:hanging="992"/>
        <w:tabs>
          <w:tab w:val="num" w:pos="992" w:leader="none"/>
        </w:tabs>
      </w:pPr>
      <w:rPr>
        <w:rFonts w:hint="eastAsia"/>
      </w:rPr>
    </w:lvl>
    <w:lvl w:ilvl="5">
      <w:start w:val="1"/>
      <w:numFmt w:val="decimal"/>
      <w:isLgl w:val="false"/>
      <w:suff w:val="tab"/>
      <w:lvlText w:val="%1.%2.%3.%4.%5.%6."/>
      <w:lvlJc w:val="left"/>
      <w:pPr>
        <w:pStyle w:val="890"/>
        <w:ind w:left="1134" w:hanging="1134"/>
        <w:tabs>
          <w:tab w:val="num" w:pos="1134" w:leader="none"/>
        </w:tabs>
      </w:pPr>
      <w:rPr>
        <w:rFonts w:hint="eastAsia"/>
      </w:rPr>
    </w:lvl>
    <w:lvl w:ilvl="6">
      <w:start w:val="1"/>
      <w:numFmt w:val="decimal"/>
      <w:isLgl w:val="false"/>
      <w:suff w:val="tab"/>
      <w:lvlText w:val="%1.%2.%3.%4.%5.%6.%7."/>
      <w:lvlJc w:val="left"/>
      <w:pPr>
        <w:pStyle w:val="890"/>
        <w:ind w:left="1276" w:hanging="1276"/>
        <w:tabs>
          <w:tab w:val="num" w:pos="1276" w:leader="none"/>
        </w:tabs>
      </w:pPr>
      <w:rPr>
        <w:rFonts w:hint="eastAsia"/>
      </w:rPr>
    </w:lvl>
    <w:lvl w:ilvl="7">
      <w:start w:val="1"/>
      <w:numFmt w:val="decimal"/>
      <w:isLgl w:val="false"/>
      <w:suff w:val="tab"/>
      <w:lvlText w:val="%1.%2.%3.%4.%5.%6.%7.%8."/>
      <w:lvlJc w:val="left"/>
      <w:pPr>
        <w:pStyle w:val="890"/>
        <w:ind w:left="1418" w:hanging="1418"/>
        <w:tabs>
          <w:tab w:val="num" w:pos="1418" w:leader="none"/>
        </w:tabs>
      </w:pPr>
      <w:rPr>
        <w:rFonts w:hint="eastAsia"/>
      </w:rPr>
    </w:lvl>
    <w:lvl w:ilvl="8">
      <w:start w:val="1"/>
      <w:numFmt w:val="decimal"/>
      <w:isLgl w:val="false"/>
      <w:suff w:val="tab"/>
      <w:lvlText w:val="%1.%2.%3.%4.%5.%6.%7.%8.%9."/>
      <w:lvlJc w:val="left"/>
      <w:pPr>
        <w:pStyle w:val="89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0"/>
        <w:ind w:left="0" w:firstLine="0"/>
      </w:pPr>
      <w:rPr>
        <w:rFonts w:hint="eastAsia"/>
      </w:rPr>
    </w:lvl>
    <w:lvl w:ilvl="1">
      <w:start w:val="1"/>
      <w:numFmt w:val="decimal"/>
      <w:isLgl w:val="false"/>
      <w:suff w:val="nothing"/>
      <w:lvlText w:val="%2、"/>
      <w:lvlJc w:val="left"/>
      <w:pPr>
        <w:pStyle w:val="890"/>
        <w:ind w:left="0" w:firstLine="0"/>
      </w:pPr>
      <w:rPr>
        <w:rFonts w:hint="eastAsia"/>
      </w:rPr>
    </w:lvl>
    <w:lvl w:ilvl="2">
      <w:start w:val="1"/>
      <w:numFmt w:val="decimal"/>
      <w:isLgl w:val="false"/>
      <w:suff w:val="nothing"/>
      <w:lvlText w:val="%2.%3 "/>
      <w:lvlJc w:val="left"/>
      <w:pPr>
        <w:pStyle w:val="890"/>
        <w:ind w:left="0" w:firstLine="0"/>
      </w:pPr>
      <w:rPr>
        <w:rFonts w:hint="eastAsia"/>
      </w:rPr>
    </w:lvl>
    <w:lvl w:ilvl="3">
      <w:start w:val="1"/>
      <w:numFmt w:val="decimal"/>
      <w:isLgl w:val="false"/>
      <w:suff w:val="nothing"/>
      <w:lvlText w:val="%2.%3.%4 "/>
      <w:lvlJc w:val="left"/>
      <w:pPr>
        <w:pStyle w:val="890"/>
        <w:ind w:left="0" w:firstLine="0"/>
      </w:pPr>
      <w:rPr>
        <w:rFonts w:hint="eastAsia"/>
      </w:rPr>
    </w:lvl>
    <w:lvl w:ilvl="4">
      <w:start w:val="1"/>
      <w:numFmt w:val="decimal"/>
      <w:isLgl w:val="false"/>
      <w:suff w:val="nothing"/>
      <w:lvlText w:val="%2.%3.%4.%5 "/>
      <w:lvlJc w:val="left"/>
      <w:pPr>
        <w:pStyle w:val="890"/>
        <w:ind w:left="0" w:firstLine="0"/>
      </w:pPr>
      <w:rPr>
        <w:rFonts w:hint="eastAsia"/>
      </w:rPr>
    </w:lvl>
    <w:lvl w:ilvl="5">
      <w:start w:val="1"/>
      <w:numFmt w:val="decimal"/>
      <w:pStyle w:val="896"/>
      <w:isLgl w:val="false"/>
      <w:suff w:val="nothing"/>
      <w:lvlText w:val=""/>
      <w:lvlJc w:val="left"/>
      <w:pPr>
        <w:pStyle w:val="890"/>
        <w:ind w:left="0" w:firstLine="0"/>
      </w:pPr>
      <w:rPr>
        <w:rFonts w:hint="eastAsia"/>
      </w:rPr>
    </w:lvl>
    <w:lvl w:ilvl="6">
      <w:start w:val="1"/>
      <w:numFmt w:val="decimal"/>
      <w:pStyle w:val="897"/>
      <w:isLgl w:val="false"/>
      <w:suff w:val="nothing"/>
      <w:lvlText w:val=""/>
      <w:lvlJc w:val="left"/>
      <w:pPr>
        <w:pStyle w:val="890"/>
        <w:ind w:left="0" w:firstLine="0"/>
      </w:pPr>
      <w:rPr>
        <w:rFonts w:hint="eastAsia"/>
      </w:rPr>
    </w:lvl>
    <w:lvl w:ilvl="7">
      <w:start w:val="1"/>
      <w:numFmt w:val="decimal"/>
      <w:pStyle w:val="898"/>
      <w:isLgl w:val="false"/>
      <w:suff w:val="nothing"/>
      <w:lvlText w:val=""/>
      <w:lvlJc w:val="left"/>
      <w:pPr>
        <w:pStyle w:val="890"/>
        <w:ind w:left="0" w:firstLine="0"/>
      </w:pPr>
      <w:rPr>
        <w:rFonts w:hint="eastAsia"/>
      </w:rPr>
    </w:lvl>
    <w:lvl w:ilvl="8">
      <w:start w:val="1"/>
      <w:numFmt w:val="decimal"/>
      <w:pStyle w:val="899"/>
      <w:isLgl w:val="false"/>
      <w:suff w:val="nothing"/>
      <w:lvlText w:val=""/>
      <w:lvlJc w:val="left"/>
      <w:pPr>
        <w:pStyle w:val="890"/>
        <w:ind w:left="0" w:firstLine="0"/>
      </w:pPr>
      <w:rPr>
        <w:rFonts w:hint="eastAsia"/>
      </w:rPr>
    </w:lvl>
  </w:abstractNum>
  <w:abstractNum w:abstractNumId="5">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qFormat/>
    <w:pPr>
      <w:jc w:val="both"/>
      <w:widowControl w:val="off"/>
    </w:pPr>
    <w:rPr>
      <w:sz w:val="21"/>
      <w:szCs w:val="22"/>
      <w:lang w:val="en-US" w:eastAsia="zh-CN" w:bidi="ar-SA"/>
    </w:rPr>
  </w:style>
  <w:style w:type="paragraph" w:styleId="891">
    <w:name w:val="标题 1"/>
    <w:basedOn w:val="890"/>
    <w:next w:val="890"/>
    <w:link w:val="902"/>
    <w:qFormat/>
    <w:pPr>
      <w:jc w:val="center"/>
      <w:keepNext/>
      <w:outlineLvl w:val="0"/>
    </w:pPr>
    <w:rPr>
      <w:rFonts w:ascii="楷体_GB2312" w:hAnsi="Times New Roman" w:eastAsia="楷体_GB2312" w:cs="Times New Roman"/>
      <w:sz w:val="28"/>
      <w:szCs w:val="28"/>
    </w:rPr>
  </w:style>
  <w:style w:type="paragraph" w:styleId="892">
    <w:name w:val="标题 2"/>
    <w:basedOn w:val="890"/>
    <w:next w:val="890"/>
    <w:link w:val="903"/>
    <w:qFormat/>
    <w:pPr>
      <w:jc w:val="center"/>
      <w:keepLines/>
      <w:keepNext/>
      <w:spacing w:before="260" w:after="260" w:line="416" w:lineRule="auto"/>
      <w:outlineLvl w:val="1"/>
    </w:pPr>
    <w:rPr>
      <w:rFonts w:ascii="Arial" w:hAnsi="Arial" w:eastAsia="幼圆" w:cs="Arial"/>
      <w:b/>
      <w:bCs/>
      <w:sz w:val="44"/>
      <w:szCs w:val="44"/>
    </w:rPr>
  </w:style>
  <w:style w:type="paragraph" w:styleId="893">
    <w:name w:val="标题 3"/>
    <w:basedOn w:val="890"/>
    <w:next w:val="890"/>
    <w:link w:val="90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4">
    <w:name w:val="标题 4"/>
    <w:basedOn w:val="890"/>
    <w:next w:val="906"/>
    <w:link w:val="905"/>
    <w:qFormat/>
    <w:pPr>
      <w:keepLines/>
      <w:keepNext/>
      <w:spacing w:before="280" w:after="290" w:line="376" w:lineRule="auto"/>
      <w:outlineLvl w:val="3"/>
    </w:pPr>
    <w:rPr>
      <w:rFonts w:ascii="Arial" w:hAnsi="Arial" w:eastAsia="黑体" w:cs="Arial"/>
      <w:b/>
      <w:bCs/>
      <w:sz w:val="28"/>
      <w:szCs w:val="28"/>
    </w:rPr>
  </w:style>
  <w:style w:type="paragraph" w:styleId="895">
    <w:name w:val="标题 5"/>
    <w:basedOn w:val="890"/>
    <w:next w:val="906"/>
    <w:link w:val="908"/>
    <w:qFormat/>
    <w:pPr>
      <w:keepNext/>
      <w:outlineLvl w:val="4"/>
    </w:pPr>
    <w:rPr>
      <w:rFonts w:ascii="宋体" w:hAnsi="Times New Roman" w:eastAsia="宋体" w:cs="Times New Roman"/>
      <w:color w:val="000000"/>
      <w:sz w:val="28"/>
      <w:szCs w:val="28"/>
    </w:rPr>
  </w:style>
  <w:style w:type="paragraph" w:styleId="896">
    <w:name w:val="标题 6"/>
    <w:basedOn w:val="890"/>
    <w:next w:val="890"/>
    <w:link w:val="90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7">
    <w:name w:val="标题 7"/>
    <w:basedOn w:val="890"/>
    <w:next w:val="890"/>
    <w:link w:val="91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8">
    <w:name w:val="标题 8"/>
    <w:basedOn w:val="890"/>
    <w:next w:val="890"/>
    <w:link w:val="91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9">
    <w:name w:val="标题 9"/>
    <w:basedOn w:val="890"/>
    <w:next w:val="890"/>
    <w:link w:val="912"/>
    <w:qFormat/>
    <w:pPr>
      <w:numPr>
        <w:ilvl w:val="8"/>
        <w:numId w:val="1"/>
      </w:numPr>
      <w:keepLines/>
      <w:keepNext/>
      <w:spacing w:before="240" w:after="64" w:line="320" w:lineRule="auto"/>
      <w:outlineLvl w:val="8"/>
    </w:pPr>
    <w:rPr>
      <w:rFonts w:ascii="Arial" w:hAnsi="Arial" w:eastAsia="黑体" w:cs="Times New Roman"/>
      <w:szCs w:val="21"/>
    </w:rPr>
  </w:style>
  <w:style w:type="character" w:styleId="900">
    <w:name w:val="默认段落字体"/>
    <w:next w:val="900"/>
    <w:link w:val="890"/>
    <w:uiPriority w:val="1"/>
    <w:unhideWhenUsed/>
  </w:style>
  <w:style w:type="table" w:styleId="901">
    <w:name w:val="普通表格"/>
    <w:next w:val="901"/>
    <w:link w:val="890"/>
    <w:uiPriority w:val="99"/>
    <w:unhideWhenUsed/>
    <w:tblPr/>
  </w:style>
  <w:style w:type="character" w:styleId="902">
    <w:name w:val="标题 1 Char"/>
    <w:next w:val="902"/>
    <w:link w:val="891"/>
    <w:rPr>
      <w:rFonts w:ascii="楷体_GB2312" w:hAnsi="Times New Roman" w:eastAsia="楷体_GB2312" w:cs="Times New Roman"/>
      <w:sz w:val="28"/>
      <w:szCs w:val="28"/>
    </w:rPr>
  </w:style>
  <w:style w:type="character" w:styleId="903">
    <w:name w:val="标题 2 Char"/>
    <w:next w:val="903"/>
    <w:link w:val="892"/>
    <w:rPr>
      <w:rFonts w:ascii="Arial" w:hAnsi="Arial" w:eastAsia="幼圆" w:cs="Arial"/>
      <w:b/>
      <w:bCs/>
      <w:sz w:val="44"/>
      <w:szCs w:val="44"/>
    </w:rPr>
  </w:style>
  <w:style w:type="character" w:styleId="904">
    <w:name w:val="标题 3 Char"/>
    <w:next w:val="904"/>
    <w:link w:val="893"/>
    <w:rPr>
      <w:rFonts w:ascii="Times New Roman" w:hAnsi="Times New Roman" w:eastAsia="宋体" w:cs="Times New Roman"/>
      <w:b/>
      <w:bCs/>
      <w:sz w:val="32"/>
      <w:szCs w:val="32"/>
    </w:rPr>
  </w:style>
  <w:style w:type="character" w:styleId="905">
    <w:name w:val="标题 4 Char"/>
    <w:next w:val="905"/>
    <w:link w:val="894"/>
    <w:rPr>
      <w:rFonts w:ascii="Arial" w:hAnsi="Arial" w:eastAsia="黑体" w:cs="Arial"/>
      <w:b/>
      <w:bCs/>
      <w:sz w:val="28"/>
      <w:szCs w:val="28"/>
    </w:rPr>
  </w:style>
  <w:style w:type="paragraph" w:styleId="906">
    <w:name w:val="正文缩进"/>
    <w:basedOn w:val="890"/>
    <w:next w:val="906"/>
    <w:link w:val="907"/>
    <w:pPr>
      <w:ind w:firstLine="420"/>
    </w:pPr>
    <w:rPr>
      <w:szCs w:val="21"/>
    </w:rPr>
  </w:style>
  <w:style w:type="character" w:styleId="907">
    <w:name w:val="正文缩进 Char"/>
    <w:next w:val="907"/>
    <w:link w:val="906"/>
    <w:rPr>
      <w:szCs w:val="21"/>
    </w:rPr>
  </w:style>
  <w:style w:type="character" w:styleId="908">
    <w:name w:val="标题 5 Char"/>
    <w:next w:val="908"/>
    <w:link w:val="895"/>
    <w:rPr>
      <w:rFonts w:ascii="宋体" w:hAnsi="Times New Roman" w:eastAsia="宋体" w:cs="Times New Roman"/>
      <w:color w:val="000000"/>
      <w:sz w:val="28"/>
      <w:szCs w:val="28"/>
    </w:rPr>
  </w:style>
  <w:style w:type="character" w:styleId="909">
    <w:name w:val="标题 6 Char"/>
    <w:next w:val="909"/>
    <w:link w:val="896"/>
    <w:rPr>
      <w:rFonts w:ascii="Arial" w:hAnsi="Arial" w:eastAsia="黑体" w:cs="Times New Roman"/>
      <w:b/>
      <w:bCs/>
      <w:sz w:val="24"/>
      <w:szCs w:val="24"/>
    </w:rPr>
  </w:style>
  <w:style w:type="character" w:styleId="910">
    <w:name w:val="标题 7 Char"/>
    <w:next w:val="910"/>
    <w:link w:val="897"/>
    <w:rPr>
      <w:rFonts w:ascii="Times New Roman" w:hAnsi="Times New Roman" w:eastAsia="宋体" w:cs="Times New Roman"/>
      <w:b/>
      <w:bCs/>
      <w:sz w:val="24"/>
      <w:szCs w:val="24"/>
    </w:rPr>
  </w:style>
  <w:style w:type="character" w:styleId="911">
    <w:name w:val="标题 8 Char"/>
    <w:next w:val="911"/>
    <w:link w:val="898"/>
    <w:rPr>
      <w:rFonts w:ascii="Arial" w:hAnsi="Arial" w:eastAsia="黑体" w:cs="Times New Roman"/>
      <w:sz w:val="24"/>
      <w:szCs w:val="24"/>
    </w:rPr>
  </w:style>
  <w:style w:type="character" w:styleId="912">
    <w:name w:val="标题 9 Char"/>
    <w:next w:val="912"/>
    <w:link w:val="899"/>
    <w:rPr>
      <w:rFonts w:ascii="Arial" w:hAnsi="Arial" w:eastAsia="黑体" w:cs="Times New Roman"/>
      <w:szCs w:val="21"/>
    </w:rPr>
  </w:style>
  <w:style w:type="paragraph" w:styleId="913">
    <w:name w:val="列表 3"/>
    <w:basedOn w:val="890"/>
    <w:next w:val="913"/>
    <w:link w:val="890"/>
    <w:pPr>
      <w:ind w:left="100" w:hanging="200"/>
    </w:pPr>
    <w:rPr>
      <w:rFonts w:ascii="Times New Roman" w:hAnsi="Times New Roman" w:eastAsia="宋体" w:cs="Times New Roman"/>
      <w:szCs w:val="21"/>
    </w:rPr>
  </w:style>
  <w:style w:type="paragraph" w:styleId="914">
    <w:name w:val="目录 7"/>
    <w:basedOn w:val="890"/>
    <w:next w:val="890"/>
    <w:link w:val="890"/>
    <w:semiHidden/>
    <w:pPr>
      <w:ind w:left="1260"/>
      <w:jc w:val="left"/>
    </w:pPr>
    <w:rPr>
      <w:rFonts w:ascii="Times New Roman" w:hAnsi="Times New Roman" w:eastAsia="宋体" w:cs="Times New Roman"/>
      <w:szCs w:val="21"/>
    </w:rPr>
  </w:style>
  <w:style w:type="paragraph" w:styleId="915">
    <w:name w:val="文档结构图"/>
    <w:basedOn w:val="890"/>
    <w:next w:val="915"/>
    <w:link w:val="916"/>
    <w:semiHidden/>
    <w:pPr>
      <w:shd w:val="clear" w:color="auto" w:fill="000080"/>
    </w:pPr>
    <w:rPr>
      <w:rFonts w:ascii="Times New Roman" w:hAnsi="Times New Roman" w:eastAsia="宋体" w:cs="Times New Roman"/>
      <w:szCs w:val="21"/>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90"/>
    <w:next w:val="917"/>
    <w:link w:val="918"/>
    <w:unhideWhenUsed/>
    <w:pPr>
      <w:jc w:val="left"/>
    </w:pPr>
  </w:style>
  <w:style w:type="character" w:styleId="918">
    <w:name w:val="批注文字 Char"/>
    <w:basedOn w:val="900"/>
    <w:next w:val="918"/>
    <w:link w:val="917"/>
    <w:uiPriority w:val="99"/>
    <w:semiHidden/>
  </w:style>
  <w:style w:type="paragraph" w:styleId="919">
    <w:name w:val="正文文本 3"/>
    <w:basedOn w:val="890"/>
    <w:next w:val="919"/>
    <w:link w:val="920"/>
    <w:rPr>
      <w:rFonts w:ascii="仿宋_GB2312" w:hAnsi="Arial" w:eastAsia="仿宋_GB2312" w:cs="Times New Roman"/>
      <w:sz w:val="32"/>
      <w:szCs w:val="32"/>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90"/>
    <w:next w:val="890"/>
    <w:link w:val="922"/>
    <w:rPr>
      <w:rFonts w:ascii="楷体_GB2312" w:hAnsi="Arial" w:eastAsia="楷体_GB2312" w:cs="Times New Roman"/>
      <w:sz w:val="28"/>
      <w:szCs w:val="28"/>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90"/>
    <w:next w:val="923"/>
    <w:link w:val="924"/>
    <w:unhideWhenUsed/>
    <w:pPr>
      <w:ind w:left="420"/>
      <w:spacing w:after="120"/>
    </w:pPr>
  </w:style>
  <w:style w:type="character" w:styleId="924">
    <w:name w:val="正文文本缩进 Char"/>
    <w:basedOn w:val="900"/>
    <w:next w:val="924"/>
    <w:link w:val="923"/>
    <w:uiPriority w:val="99"/>
    <w:semiHidden/>
  </w:style>
  <w:style w:type="paragraph" w:styleId="925">
    <w:name w:val="列表 2"/>
    <w:basedOn w:val="890"/>
    <w:next w:val="925"/>
    <w:link w:val="890"/>
    <w:pPr>
      <w:ind w:left="100" w:hanging="200"/>
    </w:pPr>
    <w:rPr>
      <w:rFonts w:ascii="Times New Roman" w:hAnsi="Times New Roman" w:eastAsia="宋体" w:cs="Times New Roman"/>
      <w:szCs w:val="21"/>
    </w:rPr>
  </w:style>
  <w:style w:type="paragraph" w:styleId="926">
    <w:name w:val="文本块"/>
    <w:basedOn w:val="890"/>
    <w:next w:val="926"/>
    <w:link w:val="890"/>
    <w:uiPriority w:val="99"/>
    <w:qFormat/>
    <w:pPr>
      <w:ind w:left="420" w:right="33"/>
      <w:jc w:val="left"/>
    </w:pPr>
    <w:rPr>
      <w:sz w:val="24"/>
      <w:szCs w:val="20"/>
    </w:rPr>
  </w:style>
  <w:style w:type="paragraph" w:styleId="927">
    <w:name w:val="目录 5"/>
    <w:basedOn w:val="890"/>
    <w:next w:val="890"/>
    <w:link w:val="890"/>
    <w:semiHidden/>
    <w:pPr>
      <w:ind w:left="840"/>
      <w:jc w:val="left"/>
    </w:pPr>
    <w:rPr>
      <w:rFonts w:ascii="Times New Roman" w:hAnsi="Times New Roman" w:eastAsia="宋体" w:cs="Times New Roman"/>
      <w:szCs w:val="21"/>
    </w:rPr>
  </w:style>
  <w:style w:type="paragraph" w:styleId="928">
    <w:name w:val="目录 3"/>
    <w:basedOn w:val="890"/>
    <w:next w:val="890"/>
    <w:link w:val="890"/>
    <w:semiHidden/>
    <w:pPr>
      <w:ind w:left="420"/>
      <w:jc w:val="left"/>
    </w:pPr>
    <w:rPr>
      <w:rFonts w:ascii="Times New Roman" w:hAnsi="Times New Roman" w:eastAsia="宋体" w:cs="Times New Roman"/>
      <w:i/>
      <w:iCs/>
      <w:szCs w:val="24"/>
    </w:rPr>
  </w:style>
  <w:style w:type="paragraph" w:styleId="929">
    <w:name w:val="纯文本"/>
    <w:basedOn w:val="890"/>
    <w:next w:val="929"/>
    <w:link w:val="930"/>
    <w:rPr>
      <w:rFonts w:ascii="宋体" w:hAnsi="Courier New" w:eastAsia="宋体" w:cs="Courier New"/>
      <w:szCs w:val="21"/>
    </w:rPr>
  </w:style>
  <w:style w:type="character" w:styleId="930">
    <w:name w:val="纯文本 Char"/>
    <w:next w:val="930"/>
    <w:link w:val="929"/>
    <w:rPr>
      <w:rFonts w:ascii="宋体" w:hAnsi="Courier New" w:eastAsia="宋体" w:cs="Courier New"/>
      <w:szCs w:val="21"/>
    </w:rPr>
  </w:style>
  <w:style w:type="paragraph" w:styleId="931">
    <w:name w:val="目录 8"/>
    <w:basedOn w:val="890"/>
    <w:next w:val="890"/>
    <w:link w:val="890"/>
    <w:semiHidden/>
    <w:pPr>
      <w:ind w:left="1470"/>
      <w:jc w:val="left"/>
    </w:pPr>
    <w:rPr>
      <w:rFonts w:ascii="Times New Roman" w:hAnsi="Times New Roman" w:eastAsia="宋体" w:cs="Times New Roman"/>
      <w:szCs w:val="21"/>
    </w:rPr>
  </w:style>
  <w:style w:type="paragraph" w:styleId="932">
    <w:name w:val="日期"/>
    <w:basedOn w:val="890"/>
    <w:next w:val="890"/>
    <w:link w:val="933"/>
    <w:rPr>
      <w:rFonts w:ascii="Times New Roman" w:hAnsi="Times New Roman" w:eastAsia="宋体" w:cs="Times New Roman"/>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90"/>
    <w:next w:val="934"/>
    <w:link w:val="935"/>
    <w:pPr>
      <w:ind w:left="630" w:firstLine="645"/>
    </w:pPr>
    <w:rPr>
      <w:rFonts w:ascii="Arial" w:hAnsi="Arial" w:eastAsia="仿宋_GB2312" w:cs="Arial"/>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90"/>
    <w:next w:val="936"/>
    <w:link w:val="937"/>
    <w:semiHidden/>
    <w:rPr>
      <w:rFonts w:ascii="Times New Roman" w:hAnsi="Times New Roman" w:eastAsia="宋体" w:cs="Times New Roman"/>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90"/>
    <w:next w:val="890"/>
    <w:link w:val="939"/>
    <w:pPr>
      <w:jc w:val="left"/>
      <w:tabs>
        <w:tab w:val="center" w:pos="4153" w:leader="none"/>
        <w:tab w:val="right" w:pos="8306" w:leader="none"/>
      </w:tabs>
    </w:pPr>
    <w:rPr>
      <w:rFonts w:ascii="Times New Roman" w:hAnsi="Times New Roman" w:eastAsia="宋体" w:cs="Times New Roman"/>
      <w:sz w:val="18"/>
      <w:szCs w:val="18"/>
    </w:rPr>
  </w:style>
  <w:style w:type="character" w:styleId="939">
    <w:name w:val="页脚 Char"/>
    <w:next w:val="939"/>
    <w:link w:val="938"/>
    <w:rPr>
      <w:rFonts w:ascii="Times New Roman" w:hAnsi="Times New Roman" w:eastAsia="宋体" w:cs="Times New Roman"/>
      <w:sz w:val="18"/>
      <w:szCs w:val="18"/>
    </w:rPr>
  </w:style>
  <w:style w:type="paragraph" w:styleId="940">
    <w:name w:val="寄信人地址"/>
    <w:basedOn w:val="890"/>
    <w:next w:val="940"/>
    <w:link w:val="890"/>
    <w:qFormat/>
    <w:rPr>
      <w:rFonts w:ascii="Arial" w:hAnsi="Arial"/>
    </w:rPr>
  </w:style>
  <w:style w:type="paragraph" w:styleId="941">
    <w:name w:val="页眉"/>
    <w:basedOn w:val="890"/>
    <w:next w:val="941"/>
    <w:link w:val="9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0"/>
    <w:next w:val="890"/>
    <w:link w:val="89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0"/>
    <w:next w:val="890"/>
    <w:link w:val="890"/>
    <w:semiHidden/>
    <w:pPr>
      <w:ind w:left="630"/>
      <w:jc w:val="left"/>
    </w:pPr>
    <w:rPr>
      <w:rFonts w:ascii="Times New Roman" w:hAnsi="Times New Roman" w:eastAsia="宋体" w:cs="Times New Roman"/>
      <w:szCs w:val="21"/>
    </w:rPr>
  </w:style>
  <w:style w:type="paragraph" w:styleId="945">
    <w:name w:val="列表"/>
    <w:basedOn w:val="890"/>
    <w:next w:val="945"/>
    <w:link w:val="890"/>
    <w:pPr>
      <w:ind w:left="200" w:hanging="200"/>
    </w:pPr>
    <w:rPr>
      <w:rFonts w:ascii="Times New Roman" w:hAnsi="Times New Roman" w:eastAsia="宋体" w:cs="Times New Roman"/>
      <w:szCs w:val="21"/>
    </w:rPr>
  </w:style>
  <w:style w:type="paragraph" w:styleId="946">
    <w:name w:val="目录 6"/>
    <w:basedOn w:val="890"/>
    <w:next w:val="890"/>
    <w:link w:val="890"/>
    <w:semiHidden/>
    <w:pPr>
      <w:ind w:left="1050"/>
      <w:jc w:val="left"/>
    </w:pPr>
    <w:rPr>
      <w:rFonts w:ascii="Times New Roman" w:hAnsi="Times New Roman" w:eastAsia="宋体" w:cs="Times New Roman"/>
      <w:szCs w:val="21"/>
    </w:rPr>
  </w:style>
  <w:style w:type="paragraph" w:styleId="947">
    <w:name w:val="正文文本缩进 3"/>
    <w:basedOn w:val="890"/>
    <w:next w:val="947"/>
    <w:link w:val="948"/>
    <w:pPr>
      <w:ind w:left="645" w:firstLine="645"/>
    </w:pPr>
    <w:rPr>
      <w:rFonts w:ascii="Arial" w:hAnsi="Arial" w:eastAsia="仿宋_GB2312" w:cs="Arial"/>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0"/>
    <w:next w:val="890"/>
    <w:link w:val="890"/>
    <w:semiHidden/>
    <w:pPr>
      <w:ind w:left="840" w:hanging="420"/>
    </w:pPr>
    <w:rPr>
      <w:rFonts w:ascii="Times New Roman" w:hAnsi="Times New Roman" w:eastAsia="宋体" w:cs="Times New Roman"/>
      <w:szCs w:val="21"/>
    </w:rPr>
  </w:style>
  <w:style w:type="paragraph" w:styleId="950">
    <w:name w:val="目录 2"/>
    <w:basedOn w:val="890"/>
    <w:next w:val="890"/>
    <w:link w:val="890"/>
    <w:semiHidden/>
    <w:pPr>
      <w:ind w:left="210"/>
      <w:jc w:val="left"/>
    </w:pPr>
    <w:rPr>
      <w:rFonts w:ascii="Times New Roman" w:hAnsi="Times New Roman" w:eastAsia="宋体" w:cs="Times New Roman"/>
      <w:smallCaps/>
      <w:szCs w:val="24"/>
    </w:rPr>
  </w:style>
  <w:style w:type="paragraph" w:styleId="951">
    <w:name w:val="目录 9"/>
    <w:basedOn w:val="890"/>
    <w:next w:val="890"/>
    <w:link w:val="890"/>
    <w:semiHidden/>
    <w:pPr>
      <w:ind w:left="1680"/>
      <w:jc w:val="left"/>
    </w:pPr>
    <w:rPr>
      <w:rFonts w:ascii="Times New Roman" w:hAnsi="Times New Roman" w:eastAsia="宋体" w:cs="Times New Roman"/>
      <w:szCs w:val="21"/>
    </w:rPr>
  </w:style>
  <w:style w:type="paragraph" w:styleId="952">
    <w:name w:val="正文文本 2"/>
    <w:basedOn w:val="890"/>
    <w:next w:val="952"/>
    <w:link w:val="953"/>
    <w:pPr>
      <w:jc w:val="center"/>
      <w:widowControl/>
    </w:pPr>
    <w:rPr>
      <w:rFonts w:ascii="楷体_GB2312" w:hAnsi="Times New Roman" w:eastAsia="楷体_GB2312" w:cs="Times New Roman"/>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0"/>
    <w:next w:val="954"/>
    <w:link w:val="890"/>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0"/>
    <w:next w:val="890"/>
    <w:link w:val="890"/>
    <w:semiHidden/>
    <w:pPr>
      <w:spacing w:line="240" w:lineRule="atLeast"/>
    </w:pPr>
    <w:rPr>
      <w:rFonts w:ascii="Times New Roman" w:hAnsi="Times New Roman" w:eastAsia="宋体" w:cs="Times New Roman"/>
      <w:b/>
      <w:bCs/>
      <w:szCs w:val="21"/>
    </w:rPr>
  </w:style>
  <w:style w:type="paragraph" w:styleId="956">
    <w:name w:val="批注主题"/>
    <w:basedOn w:val="917"/>
    <w:next w:val="917"/>
    <w:link w:val="957"/>
    <w:semiHidden/>
    <w:rPr>
      <w:rFonts w:ascii="Times New Roman" w:hAnsi="Times New Roman" w:eastAsia="宋体" w:cs="Times New Roman"/>
      <w:b/>
      <w:bCs/>
      <w:szCs w:val="21"/>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921"/>
    <w:next w:val="946"/>
    <w:link w:val="959"/>
    <w:pPr>
      <w:ind w:firstLine="200"/>
      <w:spacing w:line="360" w:lineRule="auto"/>
    </w:pPr>
    <w:rPr>
      <w:rFonts w:ascii="仿宋_GB2312" w:hAnsi="Times New Roman" w:eastAsia="仿宋_GB2312" w:cs="Times New Roman"/>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3"/>
    <w:next w:val="960"/>
    <w:link w:val="961"/>
    <w:pPr>
      <w:ind w:left="0" w:firstLine="420"/>
      <w:spacing w:after="0" w:line="360" w:lineRule="auto"/>
    </w:pPr>
    <w:rPr>
      <w:rFonts w:ascii="宋体" w:hAnsi="宋体" w:eastAsia="宋体" w:cs="Times New Roman"/>
      <w:szCs w:val="20"/>
    </w:rPr>
  </w:style>
  <w:style w:type="character" w:styleId="961">
    <w:name w:val="正文首行缩进 2 Char"/>
    <w:next w:val="961"/>
    <w:link w:val="960"/>
    <w:rPr>
      <w:rFonts w:ascii="宋体" w:hAnsi="宋体" w:eastAsia="宋体" w:cs="Times New Roman"/>
      <w:szCs w:val="20"/>
    </w:rPr>
  </w:style>
  <w:style w:type="table" w:styleId="962">
    <w:name w:val="网格型"/>
    <w:basedOn w:val="901"/>
    <w:next w:val="962"/>
    <w:link w:val="890"/>
    <w:pPr>
      <w:jc w:val="both"/>
      <w:widowControl w:val="off"/>
    </w:pPr>
    <w:rPr>
      <w:rFonts w:ascii="Times New Roman" w:hAnsi="Times New Roman" w:eastAsia="宋体" w:cs="Times New Roman"/>
      <w:sz w:val="20"/>
      <w:szCs w:val="20"/>
    </w:rPr>
    <w:tblPr/>
  </w:style>
  <w:style w:type="character" w:styleId="963">
    <w:name w:val="要点"/>
    <w:next w:val="963"/>
    <w:link w:val="890"/>
    <w:qFormat/>
    <w:rPr>
      <w:b/>
      <w:bCs/>
    </w:rPr>
  </w:style>
  <w:style w:type="character" w:styleId="964">
    <w:name w:val="页码"/>
    <w:next w:val="964"/>
    <w:link w:val="890"/>
  </w:style>
  <w:style w:type="character" w:styleId="965">
    <w:name w:val="已访问的超链接"/>
    <w:basedOn w:val="900"/>
    <w:next w:val="965"/>
    <w:link w:val="890"/>
    <w:rPr>
      <w:color w:val="333333"/>
      <w:u w:val="none"/>
    </w:rPr>
  </w:style>
  <w:style w:type="character" w:styleId="966">
    <w:name w:val="超链接"/>
    <w:basedOn w:val="900"/>
    <w:next w:val="966"/>
    <w:link w:val="890"/>
    <w:rPr>
      <w:color w:val="333333"/>
      <w:u w:val="none"/>
    </w:rPr>
  </w:style>
  <w:style w:type="character" w:styleId="967">
    <w:name w:val="批注引用"/>
    <w:next w:val="967"/>
    <w:link w:val="890"/>
    <w:semiHidden/>
    <w:rPr>
      <w:sz w:val="21"/>
      <w:szCs w:val="21"/>
    </w:rPr>
  </w:style>
  <w:style w:type="character" w:styleId="968">
    <w:name w:val="NormalCharacter1"/>
    <w:next w:val="968"/>
    <w:link w:val="890"/>
    <w:qFormat/>
    <w:rPr>
      <w:sz w:val="21"/>
      <w:szCs w:val="22"/>
      <w:lang w:val="en-US" w:eastAsia="zh-CN" w:bidi="ar-SA"/>
    </w:rPr>
  </w:style>
  <w:style w:type="character" w:styleId="969">
    <w:name w:val="font5 Char"/>
    <w:next w:val="969"/>
    <w:link w:val="890"/>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0"/>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0"/>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0"/>
    <w:next w:val="921"/>
    <w:link w:val="890"/>
    <w:pPr>
      <w:spacing w:after="120"/>
    </w:pPr>
    <w:rPr>
      <w:rFonts w:ascii="宋体" w:hAnsi="Arial" w:eastAsia="宋体" w:cs="Times New Roman"/>
      <w:bCs/>
      <w:iCs/>
      <w:szCs w:val="24"/>
    </w:rPr>
  </w:style>
  <w:style w:type="paragraph" w:styleId="975">
    <w:name w:val="xl27"/>
    <w:basedOn w:val="890"/>
    <w:next w:val="975"/>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0"/>
    <w:next w:val="976"/>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0"/>
    <w:next w:val="977"/>
    <w:link w:val="890"/>
    <w:pPr>
      <w:ind w:firstLine="200"/>
      <w:tabs>
        <w:tab w:val="left" w:pos="360" w:leader="none"/>
      </w:tabs>
    </w:pPr>
    <w:rPr>
      <w:rFonts w:ascii="Times New Roman" w:hAnsi="Times New Roman" w:eastAsia="宋体" w:cs="Times New Roman"/>
      <w:sz w:val="28"/>
      <w:szCs w:val="30"/>
    </w:rPr>
  </w:style>
  <w:style w:type="paragraph" w:styleId="978">
    <w:name w:val=" Char"/>
    <w:basedOn w:val="915"/>
    <w:next w:val="978"/>
    <w:link w:val="890"/>
    <w:rPr>
      <w:rFonts w:ascii="Tahoma" w:hAnsi="Tahoma"/>
      <w:sz w:val="24"/>
      <w:szCs w:val="24"/>
    </w:rPr>
  </w:style>
  <w:style w:type="paragraph" w:styleId="979">
    <w:name w:val="普通正文"/>
    <w:basedOn w:val="890"/>
    <w:next w:val="979"/>
    <w:link w:val="890"/>
    <w:pPr>
      <w:ind w:firstLine="480"/>
      <w:jc w:val="left"/>
      <w:spacing w:before="120" w:after="120" w:line="360" w:lineRule="auto"/>
    </w:pPr>
    <w:rPr>
      <w:rFonts w:ascii="Arial" w:hAnsi="Arial" w:eastAsia="宋体" w:cs="Times New Roman"/>
      <w:sz w:val="24"/>
      <w:szCs w:val="24"/>
    </w:rPr>
  </w:style>
  <w:style w:type="paragraph" w:styleId="980">
    <w:name w:val="table_lines"/>
    <w:basedOn w:val="890"/>
    <w:next w:val="980"/>
    <w:link w:val="890"/>
    <w:pPr>
      <w:jc w:val="left"/>
      <w:widowControl/>
    </w:pPr>
    <w:rPr>
      <w:rFonts w:ascii="Times New Roman" w:hAnsi="Times New Roman" w:eastAsia="宋体" w:cs="Times New Roman"/>
      <w:sz w:val="20"/>
      <w:szCs w:val="20"/>
      <w:lang w:val="de-DE" w:eastAsia="de-DE"/>
    </w:rPr>
  </w:style>
  <w:style w:type="paragraph" w:styleId="981">
    <w:name w:val="附录1"/>
    <w:next w:val="981"/>
    <w:link w:val="89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0"/>
    <w:next w:val="982"/>
    <w:link w:val="890"/>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5"/>
    <w:next w:val="983"/>
    <w:link w:val="890"/>
    <w:pPr>
      <w:spacing w:line="360" w:lineRule="auto"/>
    </w:pPr>
    <w:rPr>
      <w:rFonts w:ascii="Tahoma" w:hAnsi="Tahoma"/>
      <w:sz w:val="24"/>
      <w:szCs w:val="24"/>
    </w:rPr>
  </w:style>
  <w:style w:type="paragraph" w:styleId="984">
    <w:name w:val="列出段落"/>
    <w:basedOn w:val="890"/>
    <w:next w:val="984"/>
    <w:link w:val="890"/>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0"/>
    <w:next w:val="947"/>
    <w:link w:val="890"/>
    <w:pPr>
      <w:ind w:firstLine="420"/>
      <w:spacing w:line="360" w:lineRule="auto"/>
    </w:pPr>
    <w:rPr>
      <w:rFonts w:ascii="Times New Roman" w:hAnsi="Times New Roman" w:eastAsia="宋体" w:cs="Times New Roman"/>
      <w:color w:val="ff0000"/>
      <w:sz w:val="24"/>
      <w:szCs w:val="24"/>
    </w:rPr>
  </w:style>
  <w:style w:type="paragraph" w:styleId="986">
    <w:name w:val="普通 (Web)"/>
    <w:basedOn w:val="890"/>
    <w:next w:val="986"/>
    <w:link w:val="890"/>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0"/>
    <w:next w:val="987"/>
    <w:link w:val="890"/>
    <w:pPr>
      <w:spacing w:line="360" w:lineRule="auto"/>
    </w:pPr>
    <w:rPr>
      <w:rFonts w:ascii="Times New Roman" w:hAnsi="Times New Roman" w:eastAsia="宋体" w:cs="Times New Roman"/>
      <w:sz w:val="24"/>
      <w:szCs w:val="20"/>
    </w:rPr>
  </w:style>
  <w:style w:type="paragraph" w:styleId="988">
    <w:name w:val="样式1"/>
    <w:basedOn w:val="890"/>
    <w:next w:val="988"/>
    <w:link w:val="890"/>
    <w:pPr>
      <w:numPr>
        <w:ilvl w:val="0"/>
        <w:numId w:val="3"/>
      </w:numPr>
      <w:tabs>
        <w:tab w:val="left" w:pos="709" w:leader="none"/>
      </w:tabs>
    </w:pPr>
    <w:rPr>
      <w:rFonts w:ascii="宋体" w:hAnsi="宋体" w:eastAsia="宋体" w:cs="Times New Roman"/>
      <w:szCs w:val="21"/>
    </w:rPr>
  </w:style>
  <w:style w:type="paragraph" w:styleId="989">
    <w:name w:val="font6"/>
    <w:basedOn w:val="890"/>
    <w:next w:val="989"/>
    <w:link w:val="890"/>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0"/>
    <w:next w:val="990"/>
    <w:link w:val="8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0"/>
    <w:next w:val="890"/>
    <w:link w:val="89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0"/>
    <w:next w:val="890"/>
    <w:link w:val="890"/>
    <w:pPr>
      <w:ind w:firstLine="624"/>
      <w:spacing w:line="590" w:lineRule="atLeast"/>
    </w:pPr>
    <w:rPr>
      <w:rFonts w:ascii="方正黑体_GBK" w:hAnsi="Times New Roman" w:eastAsia="方正黑体_GBK" w:cs="Times New Roman"/>
      <w:sz w:val="32"/>
      <w:szCs w:val="32"/>
    </w:rPr>
  </w:style>
  <w:style w:type="paragraph" w:styleId="993">
    <w:name w:val="xl24"/>
    <w:basedOn w:val="890"/>
    <w:next w:val="993"/>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0"/>
    <w:next w:val="994"/>
    <w:link w:val="89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0"/>
    <w:next w:val="995"/>
    <w:link w:val="890"/>
    <w:pPr>
      <w:jc w:val="left"/>
      <w:spacing w:after="160" w:line="240" w:lineRule="exact"/>
      <w:widowControl/>
    </w:pPr>
    <w:rPr>
      <w:rFonts w:ascii="Verdana" w:hAnsi="Verdana" w:eastAsia="宋体" w:cs="Times New Roman"/>
      <w:sz w:val="20"/>
      <w:szCs w:val="20"/>
      <w:lang w:eastAsia="en-US"/>
    </w:rPr>
  </w:style>
  <w:style w:type="paragraph" w:styleId="996">
    <w:name w:val="xl28"/>
    <w:basedOn w:val="890"/>
    <w:next w:val="996"/>
    <w:link w:val="8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0"/>
    <w:next w:val="997"/>
    <w:link w:val="890"/>
    <w:pPr>
      <w:jc w:val="left"/>
      <w:spacing w:after="160" w:line="240" w:lineRule="exact"/>
      <w:widowControl/>
    </w:pPr>
    <w:rPr>
      <w:rFonts w:ascii="Verdana" w:hAnsi="Verdana" w:eastAsia="宋体" w:cs="Times New Roman"/>
      <w:sz w:val="20"/>
      <w:szCs w:val="20"/>
      <w:lang w:eastAsia="en-US"/>
    </w:rPr>
  </w:style>
  <w:style w:type="paragraph" w:styleId="998">
    <w:name w:val="xl30"/>
    <w:basedOn w:val="890"/>
    <w:next w:val="998"/>
    <w:link w:val="890"/>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5"/>
    <w:next w:val="999"/>
    <w:link w:val="890"/>
    <w:pPr>
      <w:spacing w:line="360" w:lineRule="auto"/>
    </w:pPr>
    <w:rPr>
      <w:rFonts w:ascii="Tahoma" w:hAnsi="Tahoma"/>
      <w:sz w:val="24"/>
      <w:szCs w:val="24"/>
    </w:rPr>
  </w:style>
  <w:style w:type="paragraph" w:styleId="1000">
    <w:name w:val="table_1stline"/>
    <w:basedOn w:val="890"/>
    <w:next w:val="1000"/>
    <w:link w:val="890"/>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0"/>
    <w:next w:val="1001"/>
    <w:link w:val="890"/>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0"/>
    <w:next w:val="890"/>
    <w:link w:val="89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0"/>
    <w:uiPriority w:val="99"/>
    <w:semiHidden/>
    <w:rPr>
      <w:rFonts w:ascii="Times New Roman" w:hAnsi="Times New Roman"/>
      <w:sz w:val="21"/>
      <w:szCs w:val="21"/>
      <w:lang w:val="en-US" w:eastAsia="zh-CN" w:bidi="ar-SA"/>
    </w:rPr>
  </w:style>
  <w:style w:type="paragraph" w:styleId="1004">
    <w:name w:val="无间隔"/>
    <w:next w:val="1004"/>
    <w:link w:val="890"/>
    <w:uiPriority w:val="99"/>
    <w:qFormat/>
    <w:pPr>
      <w:jc w:val="both"/>
      <w:widowControl w:val="off"/>
    </w:pPr>
    <w:rPr>
      <w:rFonts w:ascii="Times New Roman" w:hAnsi="Times New Roman"/>
      <w:sz w:val="21"/>
      <w:szCs w:val="21"/>
      <w:lang w:val="en-US" w:eastAsia="zh-CN" w:bidi="ar-SA"/>
    </w:rPr>
  </w:style>
  <w:style w:type="paragraph" w:styleId="1005">
    <w:name w:val="索引 91"/>
    <w:basedOn w:val="890"/>
    <w:next w:val="890"/>
    <w:link w:val="890"/>
    <w:uiPriority w:val="99"/>
    <w:unhideWhenUsed/>
    <w:qFormat/>
    <w:pPr>
      <w:ind w:left="1600"/>
    </w:pPr>
  </w:style>
  <w:style w:type="paragraph" w:styleId="1006">
    <w:name w:val="表格文字"/>
    <w:basedOn w:val="890"/>
    <w:next w:val="921"/>
    <w:link w:val="890"/>
    <w:qFormat/>
    <w:pPr>
      <w:jc w:val="left"/>
      <w:spacing w:before="25" w:after="25"/>
    </w:pPr>
    <w:rPr>
      <w:bCs/>
      <w:spacing w:val="10"/>
      <w:sz w:val="24"/>
    </w:rPr>
  </w:style>
  <w:style w:type="paragraph" w:styleId="1007">
    <w:name w:val="正文1"/>
    <w:next w:val="890"/>
    <w:link w:val="890"/>
    <w:qFormat/>
    <w:pPr>
      <w:jc w:val="both"/>
    </w:pPr>
    <w:rPr>
      <w:rFonts w:ascii="Times New Roman" w:hAnsi="Times New Roman" w:eastAsia="宋体" w:cs="宋体"/>
      <w:sz w:val="21"/>
      <w:szCs w:val="21"/>
      <w:lang w:val="en-US" w:eastAsia="zh-CN" w:bidi="ar-SA"/>
    </w:rPr>
  </w:style>
  <w:style w:type="character" w:styleId="1008">
    <w:name w:val="a_p_1"/>
    <w:basedOn w:val="900"/>
    <w:next w:val="1008"/>
    <w:link w:val="890"/>
    <w:rPr>
      <w:sz w:val="27"/>
      <w:szCs w:val="27"/>
    </w:rPr>
  </w:style>
  <w:style w:type="character" w:styleId="1009">
    <w:name w:val="ul_li_a_1"/>
    <w:basedOn w:val="900"/>
    <w:next w:val="1009"/>
    <w:link w:val="890"/>
    <w:rPr>
      <w:b/>
      <w:bCs/>
      <w:color w:val="ffffff"/>
    </w:rPr>
  </w:style>
  <w:style w:type="character" w:styleId="1010">
    <w:name w:val="a_p_3"/>
    <w:basedOn w:val="900"/>
    <w:next w:val="1010"/>
    <w:link w:val="890"/>
    <w:rPr>
      <w:sz w:val="27"/>
      <w:szCs w:val="27"/>
    </w:rPr>
  </w:style>
  <w:style w:type="character" w:styleId="1011">
    <w:name w:val="a_p_2"/>
    <w:basedOn w:val="900"/>
    <w:next w:val="1011"/>
    <w:link w:val="890"/>
  </w:style>
  <w:style w:type="character" w:styleId="1012">
    <w:name w:val="a_p_21"/>
    <w:basedOn w:val="900"/>
    <w:next w:val="1012"/>
    <w:link w:val="890"/>
    <w:rPr>
      <w:sz w:val="27"/>
      <w:szCs w:val="27"/>
    </w:rPr>
  </w:style>
  <w:style w:type="character" w:styleId="1013">
    <w:name w:val="exap"/>
    <w:basedOn w:val="900"/>
    <w:next w:val="1013"/>
    <w:link w:val="890"/>
    <w:rPr>
      <w:sz w:val="27"/>
      <w:szCs w:val="27"/>
    </w:rPr>
  </w:style>
  <w:style w:type="paragraph" w:styleId="1014">
    <w:name w:val="[Normal]"/>
    <w:next w:val="1014"/>
    <w:link w:val="890"/>
    <w:qFormat/>
    <w:rPr>
      <w:rFonts w:ascii="方正仿宋简体" w:hAnsi="方正仿宋简体" w:eastAsia="方正仿宋简体" w:cs="Courier New"/>
      <w:sz w:val="24"/>
      <w:szCs w:val="22"/>
      <w:lang w:val="zh-CN" w:eastAsia="zh-CN" w:bidi="ar-SA"/>
    </w:rPr>
  </w:style>
  <w:style w:type="paragraph" w:styleId="1015">
    <w:name w:val="纯文本1"/>
    <w:basedOn w:val="890"/>
    <w:next w:val="1015"/>
    <w:link w:val="890"/>
    <w:qFormat/>
    <w:rPr>
      <w:rFonts w:ascii="宋体" w:hAnsi="Courier New"/>
      <w:szCs w:val="20"/>
    </w:rPr>
  </w:style>
  <w:style w:type="paragraph" w:styleId="1016">
    <w:name w:val="AONormal"/>
    <w:next w:val="1016"/>
    <w:link w:val="890"/>
    <w:qFormat/>
    <w:pPr>
      <w:ind w:firstLine="440"/>
      <w:spacing w:line="400" w:lineRule="exact"/>
    </w:pPr>
    <w:rPr>
      <w:rFonts w:ascii="华文楷体" w:hAnsi="华文楷体" w:eastAsia="华文楷体" w:cs="华文楷体"/>
      <w:sz w:val="22"/>
      <w:szCs w:val="21"/>
      <w:lang w:val="en-US" w:eastAsia="zh-CN" w:bidi="ar-SA"/>
    </w:rPr>
  </w:style>
  <w:style w:type="paragraph" w:styleId="1017">
    <w:name w:val="普通(网站)11"/>
    <w:basedOn w:val="890"/>
    <w:next w:val="1017"/>
    <w:link w:val="890"/>
    <w:qFormat/>
    <w:pPr>
      <w:jc w:val="left"/>
      <w:spacing w:beforeAutospacing="1" w:afterAutospacing="1"/>
    </w:pPr>
    <w:rPr>
      <w:rFonts w:ascii="Calibri" w:hAnsi="Calibri" w:eastAsia="宋体"/>
      <w:sz w:val="24"/>
    </w:rPr>
  </w:style>
  <w:style w:type="paragraph" w:styleId="1018">
    <w:name w:val="引文目录标题1"/>
    <w:basedOn w:val="890"/>
    <w:next w:val="890"/>
    <w:link w:val="890"/>
    <w:qFormat/>
    <w:pPr>
      <w:ind w:left="0" w:right="0"/>
      <w:jc w:val="both"/>
      <w:keepLines w:val="0"/>
      <w:keepNext w:val="0"/>
      <w:spacing w:before="120" w:beforeAutospacing="0" w:after="0" w:afterAutospacing="0"/>
      <w:widowControl w:val="off"/>
      <w:suppressLineNumbers w:val="0"/>
    </w:pPr>
    <w:rPr>
      <w:rFonts w:ascii="Arial" w:hAnsi="Arial" w:eastAsia="宋体" w:cs="Times New Roman"/>
      <w:sz w:val="24"/>
      <w:szCs w:val="24"/>
      <w:lang w:val="en-US" w:eastAsia="zh-CN" w:bidi="ar"/>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王新怡</cp:lastModifiedBy>
  <cp:revision>5</cp:revision>
  <dcterms:created xsi:type="dcterms:W3CDTF">2023-03-16T02:13:00Z</dcterms:created>
  <dcterms:modified xsi:type="dcterms:W3CDTF">2024-10-21T06:41:07Z</dcterms:modified>
</cp:coreProperties>
</file>