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pStyle w:val="1115"/>
        <w:jc w:val="right"/>
        <w:rPr>
          <w:rFonts w:hint="eastAsia" w:ascii="仿宋" w:hAnsi="仿宋" w:eastAsia="仿宋" w:cs="仿宋"/>
          <w:b/>
          <w:color w:val="auto"/>
          <w:szCs w:val="21"/>
          <w:highlight w:val="none"/>
        </w:rPr>
      </w:pPr>
      <w:r>
        <w:rPr>
          <w:rFonts w:hint="eastAsia" w:ascii="仿宋" w:hAnsi="仿宋" w:eastAsia="仿宋" w:cs="仿宋"/>
          <w:b/>
          <w:spacing w:val="76"/>
          <w:sz w:val="156"/>
          <w:szCs w:val="24"/>
          <w:highlight w:val="none"/>
        </w:rPr>
        <mc:AlternateContent>
          <mc:Choice Requires="wpg">
            <w:drawing>
              <wp:inline xmlns:wp="http://schemas.openxmlformats.org/drawingml/2006/wordprocessingDrawing" distT="0" distB="0" distL="0" distR="0">
                <wp:extent cx="1615440" cy="1237615"/>
                <wp:effectExtent l="0" t="0" r="0" b="12065"/>
                <wp:docPr id="10" name="图片 1" descr="8bce715c6c3df8888d53c6b4750d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descr="8bce715c6c3df8888d53c6b4750d3214"/>
                        <pic:cNvPicPr>
                          <a:picLocks noChangeAspect="1"/>
                        </pic:cNvPicPr>
                        <pic:nvPr/>
                      </pic:nvPicPr>
                      <pic:blipFill>
                        <a:blip r:embed="rId21"/>
                        <a:stretch/>
                      </pic:blipFill>
                      <pic:spPr bwMode="auto">
                        <a:xfrm>
                          <a:off x="0" y="0"/>
                          <a:ext cx="1615440" cy="1237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7.2pt;height:97.4pt;mso-wrap-distance-left:0.0pt;mso-wrap-distance-top:0.0pt;mso-wrap-distance-right:0.0pt;mso-wrap-distance-bottom:0.0pt;" stroked="f">
                <v:path textboxrect="0,0,0,0"/>
                <v:imagedata r:id="rId21" o:title=""/>
              </v:shape>
            </w:pict>
          </mc:Fallback>
        </mc:AlternateContent>
      </w:r>
      <w:r/>
    </w:p>
    <w:p>
      <w:pPr>
        <w:jc w:val="center"/>
        <w:rPr>
          <w:rFonts w:hint="eastAsia" w:ascii="仿宋" w:hAnsi="仿宋" w:eastAsia="仿宋" w:cs="仿宋"/>
          <w:b/>
          <w:color w:val="auto"/>
          <w:spacing w:val="76"/>
          <w:sz w:val="100"/>
          <w:szCs w:val="100"/>
          <w:highlight w:val="none"/>
        </w:rPr>
      </w:pPr>
      <w:r>
        <w:rPr>
          <w:rFonts w:hint="eastAsia" w:ascii="仿宋" w:hAnsi="仿宋" w:eastAsia="仿宋" w:cs="仿宋"/>
          <w:b/>
          <w:color w:val="auto"/>
          <w:spacing w:val="76"/>
          <w:sz w:val="100"/>
          <w:szCs w:val="100"/>
          <w:highlight w:val="none"/>
        </w:rPr>
      </w:r>
      <w:r/>
    </w:p>
    <w:p>
      <w:pPr>
        <w:jc w:val="center"/>
        <w:rPr>
          <w:rFonts w:hint="eastAsia" w:ascii="仿宋" w:hAnsi="仿宋" w:eastAsia="仿宋" w:cs="仿宋"/>
          <w:b/>
          <w:color w:val="auto"/>
          <w:spacing w:val="76"/>
          <w:sz w:val="112"/>
          <w:szCs w:val="112"/>
          <w:highlight w:val="none"/>
        </w:rPr>
      </w:pPr>
      <w:r>
        <w:rPr>
          <w:rFonts w:hint="eastAsia" w:ascii="仿宋" w:hAnsi="仿宋" w:eastAsia="仿宋" w:cs="仿宋"/>
          <w:b/>
          <w:color w:val="auto"/>
          <w:spacing w:val="76"/>
          <w:sz w:val="100"/>
          <w:szCs w:val="100"/>
          <w:highlight w:val="none"/>
        </w:rPr>
        <w:t xml:space="preserve">竞争性磋商文件</w:t>
      </w:r>
      <w:r/>
    </w:p>
    <w:p>
      <w:pPr>
        <w:pStyle w:val="1115"/>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15"/>
        <w:ind w:left="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2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643"/>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32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32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项目编号：</w:t>
      </w:r>
      <w:r>
        <w:rPr>
          <w:rFonts w:hint="eastAsia" w:ascii="仿宋" w:hAnsi="仿宋" w:eastAsia="仿宋" w:cs="仿宋"/>
          <w:color w:val="auto"/>
          <w:sz w:val="32"/>
          <w:szCs w:val="32"/>
          <w:highlight w:val="none"/>
          <w:lang w:eastAsia="zh-CN"/>
        </w:rPr>
        <w:t xml:space="preserve">JSZC-320300-HCGS-C2025-0010</w:t>
      </w:r>
      <w:r/>
    </w:p>
    <w:p>
      <w:pPr>
        <w:ind w:left="1919" w:hanging="160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right="-218"/>
        <w:spacing w:line="36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项目名称：</w:t>
      </w:r>
      <w:r>
        <w:rPr>
          <w:rFonts w:hint="eastAsia" w:ascii="仿宋" w:hAnsi="仿宋" w:eastAsia="仿宋" w:cs="仿宋"/>
          <w:color w:val="auto"/>
          <w:sz w:val="32"/>
          <w:szCs w:val="32"/>
          <w:highlight w:val="none"/>
          <w:lang w:eastAsia="zh-CN"/>
        </w:rPr>
        <w:t xml:space="preserve">永嘉新城福彩销售兑奖大厅装修项目</w:t>
      </w:r>
      <w:r/>
    </w:p>
    <w:p>
      <w:pPr>
        <w:ind w:firstLine="32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采 购 人：</w:t>
      </w:r>
      <w:r>
        <w:rPr>
          <w:rFonts w:hint="eastAsia" w:ascii="仿宋" w:hAnsi="仿宋" w:eastAsia="仿宋" w:cs="仿宋"/>
          <w:color w:val="auto"/>
          <w:sz w:val="32"/>
          <w:szCs w:val="32"/>
          <w:highlight w:val="none"/>
          <w:lang w:eastAsia="zh-CN"/>
        </w:rPr>
        <w:t xml:space="preserve">徐州市福利彩票发行中心</w:t>
      </w:r>
      <w:r/>
    </w:p>
    <w:p>
      <w:pPr>
        <w:ind w:firstLine="787"/>
        <w:spacing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ind w:right="-159" w:firstLine="2112"/>
        <w:spacing w:line="300" w:lineRule="auto"/>
        <w:rPr>
          <w:rFonts w:hint="eastAsia" w:ascii="仿宋" w:hAnsi="仿宋" w:eastAsia="仿宋" w:cs="仿宋"/>
          <w:color w:val="auto"/>
          <w:sz w:val="44"/>
          <w:highlight w:val="none"/>
        </w:rPr>
      </w:pPr>
      <w:r>
        <w:rPr>
          <w:rFonts w:hint="eastAsia" w:ascii="仿宋" w:hAnsi="仿宋" w:eastAsia="仿宋" w:cs="仿宋"/>
          <w:color w:val="auto"/>
          <w:sz w:val="44"/>
          <w:highlight w:val="none"/>
        </w:rPr>
      </w:r>
      <w:r/>
    </w:p>
    <w:p>
      <w:pPr>
        <w:ind w:firstLine="640"/>
        <w:jc w:val="both"/>
        <w:spacing w:line="360" w:lineRule="auto"/>
        <w:widowControl w:val="off"/>
        <w:rPr>
          <w:rFonts w:hint="eastAsia" w:ascii="仿宋" w:hAnsi="仿宋" w:eastAsia="仿宋" w:cs="仿宋"/>
          <w:sz w:val="32"/>
          <w:szCs w:val="32"/>
          <w:highlight w:val="none"/>
          <w:lang w:val="en-US" w:eastAsia="zh-CN" w:bidi="ar-SA"/>
        </w:rPr>
      </w:pPr>
      <w:r>
        <w:rPr>
          <w:rFonts w:hint="eastAsia" w:ascii="仿宋" w:hAnsi="仿宋" w:eastAsia="仿宋" w:cs="仿宋"/>
          <w:sz w:val="32"/>
          <w:szCs w:val="32"/>
          <w:highlight w:val="none"/>
          <w:lang w:val="en-US" w:eastAsia="zh-CN" w:bidi="ar-SA"/>
        </w:rPr>
        <w:t xml:space="preserve">采购代理机构：</w:t>
      </w:r>
      <w:bookmarkStart w:id="0" w:name="OLE_LINK1"/>
      <w:r>
        <w:rPr>
          <w:rFonts w:hint="eastAsia" w:ascii="仿宋" w:hAnsi="仿宋" w:eastAsia="仿宋" w:cs="仿宋"/>
          <w:sz w:val="32"/>
          <w:szCs w:val="32"/>
          <w:highlight w:val="none"/>
          <w:lang w:val="en-US" w:eastAsia="zh-CN" w:bidi="ar-SA"/>
        </w:rPr>
        <w:t xml:space="preserve">华春建设工程项目管理有限责任公司</w:t>
      </w:r>
      <w:bookmarkEnd w:id="0"/>
      <w:r/>
      <w:r/>
    </w:p>
    <w:p>
      <w:pPr>
        <w:ind w:firstLine="737"/>
        <w:jc w:val="center"/>
        <w:rPr>
          <w:rFonts w:hint="eastAsia" w:ascii="仿宋" w:hAnsi="仿宋" w:eastAsia="仿宋" w:cs="仿宋"/>
          <w:color w:val="auto"/>
          <w:sz w:val="32"/>
          <w:highlight w:val="none"/>
        </w:rPr>
      </w:pPr>
      <w:r>
        <w:rPr>
          <w:rFonts w:hint="eastAsia" w:ascii="仿宋" w:hAnsi="仿宋" w:eastAsia="仿宋" w:cs="仿宋"/>
          <w:sz w:val="32"/>
          <w:szCs w:val="32"/>
          <w:highlight w:val="none"/>
          <w:lang w:val="en-US" w:eastAsia="zh-CN" w:bidi="ar-SA"/>
        </w:rPr>
        <w:t xml:space="preserve">二〇二五年十一月</w:t>
      </w:r>
      <w:r/>
    </w:p>
    <w:p>
      <w:pPr>
        <w:spacing w:line="0" w:lineRule="atLeas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44"/>
          <w:szCs w:val="44"/>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仿宋" w:hAnsi="仿宋" w:eastAsia="仿宋" w:cs="仿宋"/>
          <w:b/>
          <w:color w:val="auto"/>
          <w:sz w:val="44"/>
          <w:szCs w:val="44"/>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b/>
          <w:color w:val="auto"/>
          <w:sz w:val="44"/>
          <w:szCs w:val="44"/>
          <w:highlight w:val="none"/>
        </w:rPr>
        <w:t xml:space="preserve">竞争性磋商文件</w:t>
      </w:r>
      <w:r/>
    </w:p>
    <w:p>
      <w:pPr>
        <w:jc w:val="center"/>
        <w:spacing w:line="360" w:lineRule="auto"/>
        <w:rPr>
          <w:rFonts w:hint="eastAsia" w:ascii="仿宋" w:hAnsi="仿宋" w:eastAsia="仿宋" w:cs="仿宋"/>
          <w:color w:val="auto"/>
          <w:sz w:val="24"/>
          <w:highlight w:val="none"/>
          <w:u w:val="single"/>
          <w:lang w:eastAsia="zh-CN"/>
        </w:rPr>
      </w:pPr>
      <w:r>
        <w:rPr>
          <w:rFonts w:hint="eastAsia" w:ascii="仿宋" w:hAnsi="仿宋" w:eastAsia="仿宋" w:cs="仿宋"/>
          <w:b/>
          <w:bCs/>
          <w:color w:val="auto"/>
          <w:sz w:val="24"/>
          <w:highlight w:val="none"/>
        </w:rPr>
        <w:t xml:space="preserve">项目编号：</w:t>
      </w:r>
      <w:r>
        <w:rPr>
          <w:rFonts w:hint="eastAsia" w:ascii="仿宋" w:hAnsi="仿宋" w:eastAsia="仿宋" w:cs="仿宋"/>
          <w:b/>
          <w:bCs/>
          <w:color w:val="auto"/>
          <w:sz w:val="24"/>
          <w:highlight w:val="none"/>
          <w:lang w:eastAsia="zh-CN"/>
        </w:rPr>
        <w:t xml:space="preserve">JSZC-320300-HCGS-C2025-0010</w:t>
      </w:r>
      <w:r/>
    </w:p>
    <w:p>
      <w:pPr>
        <w:spacing w:line="360" w:lineRule="auto"/>
        <w:tabs>
          <w:tab w:val="left" w:pos="324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（供应商）：</w:t>
      </w:r>
      <w:r/>
    </w:p>
    <w:p>
      <w:pPr>
        <w:ind w:firstLine="497"/>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u w:val="single"/>
          <w:lang w:eastAsia="zh-CN"/>
        </w:rPr>
        <w:t xml:space="preserve">华春建设工程项目管理有限责任公司</w:t>
      </w:r>
      <w:r>
        <w:rPr>
          <w:rFonts w:hint="eastAsia" w:ascii="仿宋" w:hAnsi="仿宋" w:eastAsia="仿宋" w:cs="仿宋"/>
          <w:color w:val="auto"/>
          <w:sz w:val="24"/>
          <w:highlight w:val="none"/>
        </w:rPr>
        <w:t xml:space="preserve">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 xml:space="preserve">永嘉新城福彩销售兑奖大厅装修项目</w:t>
      </w:r>
      <w:r>
        <w:rPr>
          <w:rFonts w:hint="eastAsia" w:ascii="仿宋" w:hAnsi="仿宋" w:eastAsia="仿宋" w:cs="仿宋"/>
          <w:color w:val="auto"/>
          <w:sz w:val="24"/>
          <w:highlight w:val="none"/>
        </w:rPr>
        <w:t xml:space="preserve">项目采取竞争性磋商采购方式进行采购，竞争性磋商文件（以下简称《磋商文件》）内容如下：</w:t>
      </w:r>
      <w:r/>
    </w:p>
    <w:p>
      <w:pPr>
        <w:jc w:val="both"/>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left="497"/>
        <w:jc w:val="cente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第一章 项目说明</w:t>
      </w:r>
      <w:r/>
    </w:p>
    <w:p>
      <w:pPr>
        <w:numPr>
          <w:ilvl w:val="0"/>
          <w:numId w:val="2"/>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w:t>
      </w:r>
      <w:r>
        <w:rPr>
          <w:rFonts w:hint="eastAsia" w:ascii="仿宋" w:hAnsi="仿宋" w:eastAsia="仿宋" w:cs="仿宋"/>
          <w:color w:val="auto"/>
          <w:sz w:val="24"/>
          <w:highlight w:val="none"/>
          <w:lang w:eastAsia="zh-CN"/>
        </w:rPr>
        <w:t xml:space="preserve">徐州市福利彩票发行中心</w:t>
      </w:r>
      <w:r>
        <w:rPr>
          <w:rFonts w:hint="eastAsia" w:ascii="仿宋" w:hAnsi="仿宋" w:eastAsia="仿宋" w:cs="仿宋"/>
          <w:color w:val="auto"/>
          <w:sz w:val="24"/>
          <w:highlight w:val="none"/>
        </w:rPr>
        <w:t xml:space="preserve">。</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二、项目名称：</w:t>
      </w:r>
      <w:r>
        <w:rPr>
          <w:rFonts w:hint="eastAsia" w:ascii="仿宋" w:hAnsi="仿宋" w:eastAsia="仿宋" w:cs="仿宋"/>
          <w:color w:val="auto"/>
          <w:sz w:val="24"/>
          <w:highlight w:val="none"/>
          <w:lang w:eastAsia="zh-CN"/>
        </w:rPr>
        <w:t xml:space="preserve">永嘉新城福彩销售兑奖大厅装修项目</w:t>
      </w:r>
      <w:r>
        <w:rPr>
          <w:rFonts w:hint="eastAsia" w:ascii="仿宋" w:hAnsi="仿宋" w:eastAsia="仿宋" w:cs="仿宋"/>
          <w:color w:val="auto"/>
          <w:sz w:val="24"/>
          <w:highlight w:val="none"/>
        </w:rPr>
        <w:t xml:space="preserve">。</w:t>
      </w:r>
      <w:r/>
    </w:p>
    <w:p>
      <w:pPr>
        <w:jc w:val="left"/>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三、项目编号：</w:t>
      </w:r>
      <w:r>
        <w:rPr>
          <w:rFonts w:hint="eastAsia" w:ascii="仿宋" w:hAnsi="仿宋" w:eastAsia="仿宋" w:cs="仿宋"/>
          <w:color w:val="auto"/>
          <w:sz w:val="24"/>
          <w:highlight w:val="none"/>
          <w:lang w:eastAsia="zh-CN"/>
        </w:rPr>
        <w:t xml:space="preserve">JSZC-320300-HCGS-C2025-0010</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四、采购邀请：通过发布公告的方式邀请符合相应资格条件的供应商参与竞争性磋商采购活动。</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五、采购方式：本项目采用竞争性磋商采购方式。</w:t>
      </w:r>
      <w:r/>
    </w:p>
    <w:p>
      <w:pPr>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六、供应商资格条件：见竞争性磋商公告。</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七、采购预算（采购项目预算金额）：见《磋商文件》附件2、《项目要求（采购需求）》。</w:t>
      </w:r>
      <w:r/>
    </w:p>
    <w:p>
      <w:pP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八、采购需求：</w:t>
      </w:r>
      <w:r>
        <w:rPr>
          <w:rFonts w:hint="eastAsia" w:ascii="仿宋" w:hAnsi="仿宋" w:eastAsia="仿宋" w:cs="仿宋"/>
          <w:color w:val="auto"/>
          <w:sz w:val="24"/>
          <w:highlight w:val="none"/>
        </w:rPr>
        <w:t xml:space="preserve">见《磋商文件》附件2、《项目要求（采购需求）》。</w:t>
      </w:r>
      <w:r/>
    </w:p>
    <w:p>
      <w:pP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九、拟签订的合同文本：</w:t>
      </w:r>
      <w:r>
        <w:rPr>
          <w:rFonts w:hint="eastAsia" w:ascii="仿宋" w:hAnsi="仿宋" w:eastAsia="仿宋" w:cs="仿宋"/>
          <w:color w:val="auto"/>
          <w:sz w:val="24"/>
          <w:highlight w:val="none"/>
        </w:rPr>
        <w:t xml:space="preserve">见《磋商文件》附件6、《拟签订的合同文本》。</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十、报价要求</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1、供应商报价为要约，</w:t>
      </w:r>
      <w:r>
        <w:rPr>
          <w:rFonts w:hint="eastAsia" w:ascii="仿宋" w:hAnsi="仿宋" w:eastAsia="仿宋" w:cs="仿宋"/>
          <w:color w:val="auto"/>
          <w:sz w:val="24"/>
          <w:highlight w:val="none"/>
          <w:u w:val="single"/>
          <w:lang w:eastAsia="zh-CN"/>
        </w:rPr>
        <w:t xml:space="preserve">华春建设工程项目管理有限责任公司</w:t>
      </w:r>
      <w:r>
        <w:rPr>
          <w:rFonts w:hint="eastAsia" w:ascii="仿宋" w:hAnsi="仿宋" w:eastAsia="仿宋" w:cs="仿宋"/>
          <w:color w:val="auto"/>
          <w:sz w:val="24"/>
          <w:highlight w:val="none"/>
        </w:rPr>
        <w:t xml:space="preserve">无承诺表示时视为未成交，</w:t>
      </w:r>
      <w:r>
        <w:rPr>
          <w:rFonts w:hint="eastAsia" w:ascii="仿宋" w:hAnsi="仿宋" w:eastAsia="仿宋" w:cs="仿宋"/>
          <w:color w:val="auto"/>
          <w:sz w:val="24"/>
          <w:highlight w:val="none"/>
          <w:u w:val="single"/>
          <w:lang w:eastAsia="zh-CN"/>
        </w:rPr>
        <w:t xml:space="preserve">华春建设工程项目管理有限责任公司</w:t>
      </w:r>
      <w:r>
        <w:rPr>
          <w:rFonts w:hint="eastAsia" w:ascii="仿宋" w:hAnsi="仿宋" w:eastAsia="仿宋" w:cs="仿宋"/>
          <w:color w:val="auto"/>
          <w:sz w:val="24"/>
          <w:highlight w:val="none"/>
        </w:rPr>
        <w:t xml:space="preserve">认为必要时可重新进行竞争性磋商采购或采取其它方式采购。</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2、按照《磋商报价表》要求填写首次报价。</w:t>
      </w:r>
      <w:r/>
    </w:p>
    <w:p>
      <w:pPr>
        <w:ind w:right="-57"/>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第二章 磋商保证金</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十一、供应商提交磋商保证金</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1、磋商保证金交纳数额和形式：不需交纳。</w:t>
      </w:r>
      <w:r/>
    </w:p>
    <w:p>
      <w:pPr>
        <w:ind w:left="497"/>
        <w:jc w:val="cente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第三章 响应文件</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十二、提交响应文件要求：</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“苏采云”系统使用要求：</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1、使用谷歌浏览器参与不见面开标及磋商环节。</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2、电脑需提前准备好麦克风、音响，摄像头，提前检查保证能够正常使用。</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3、操作系统至少win7以上，建议使用win10操作系统。</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（二）首次响应文件提交的截止时间：2025年</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12</w:t>
      </w:r>
      <w:r>
        <w:rPr>
          <w:rFonts w:hint="eastAsia" w:ascii="仿宋" w:hAnsi="仿宋" w:eastAsia="仿宋" w:cs="仿宋"/>
          <w:b/>
          <w:bCs/>
          <w:color w:val="auto"/>
          <w:sz w:val="24"/>
          <w:highlight w:val="none"/>
        </w:rPr>
        <w:t xml:space="preserve">月</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02</w:t>
      </w:r>
      <w:r>
        <w:rPr>
          <w:rFonts w:hint="eastAsia" w:ascii="仿宋" w:hAnsi="仿宋" w:eastAsia="仿宋" w:cs="仿宋"/>
          <w:b/>
          <w:bCs/>
          <w:color w:val="auto"/>
          <w:sz w:val="24"/>
          <w:highlight w:val="none"/>
        </w:rPr>
        <w:t xml:space="preserve">日上午09：30，</w:t>
      </w:r>
      <w:r>
        <w:rPr>
          <w:rFonts w:hint="eastAsia" w:ascii="仿宋" w:hAnsi="仿宋" w:eastAsia="仿宋" w:cs="仿宋"/>
          <w:color w:val="auto"/>
          <w:sz w:val="24"/>
          <w:highlight w:val="none"/>
        </w:rPr>
        <w:t xml:space="preserve">在截止时间后提交的首次响应文件为无效文件，将被拒收。</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（三）首次响应文件提交时间、地点：</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1、提交时间：</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首次响应文件提交的截止时间</w:t>
      </w:r>
      <w:r>
        <w:rPr>
          <w:rFonts w:hint="eastAsia" w:ascii="仿宋" w:hAnsi="仿宋" w:eastAsia="仿宋" w:cs="仿宋"/>
          <w:b/>
          <w:bCs/>
          <w:color w:val="auto"/>
          <w:sz w:val="24"/>
          <w:highlight w:val="none"/>
        </w:rPr>
        <w:t xml:space="preserve">（2025年</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12</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rPr>
        <w:t xml:space="preserve">月</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02</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rPr>
        <w:t xml:space="preserve">日上午09：30）前。</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2、提交地点：</w:t>
      </w:r>
      <w:r/>
    </w:p>
    <w:p>
      <w:pPr>
        <w:pStyle w:val="1116"/>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（四）首次响应文件开启时间：2025年</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12</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rPr>
        <w:t xml:space="preserve">月</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02</w:t>
      </w:r>
      <w:r>
        <w:rPr>
          <w:rFonts w:hint="eastAsia" w:ascii="仿宋" w:hAnsi="仿宋" w:eastAsia="仿宋" w:cs="仿宋"/>
          <w:b/>
          <w:bCs/>
          <w:color w:val="auto"/>
          <w:sz w:val="24"/>
          <w:highlight w:val="none"/>
        </w:rPr>
        <w:t xml:space="preserve">日上午09：30。</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（五）首次响应文件开启地点：</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（六）</w:t>
      </w:r>
      <w:r>
        <w:rPr>
          <w:rFonts w:hint="eastAsia" w:ascii="仿宋" w:hAnsi="仿宋" w:eastAsia="仿宋" w:cs="仿宋"/>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16"/>
        <w:jc w:val="left"/>
        <w:spacing w:line="360" w:lineRule="auto"/>
        <w:shd w:val="clear" w:color="auto" w:fill="ffffff"/>
        <w:widowControl/>
        <w:rPr>
          <w:rFonts w:hint="eastAsia" w:ascii="仿宋" w:hAnsi="仿宋" w:eastAsia="仿宋" w:cs="仿宋"/>
          <w:color w:val="auto"/>
          <w:sz w:val="24"/>
          <w:highlight w:val="none"/>
        </w:rPr>
        <w:outlineLvl w:val="0"/>
      </w:pPr>
      <w:r>
        <w:rPr>
          <w:rFonts w:hint="eastAsia" w:ascii="仿宋" w:hAnsi="仿宋" w:eastAsia="仿宋" w:cs="仿宋"/>
          <w:b/>
          <w:bCs/>
          <w:color w:val="auto"/>
          <w:sz w:val="24"/>
          <w:highlight w:val="none"/>
        </w:rPr>
        <w:t xml:space="preserve">（七）</w:t>
      </w:r>
      <w:r>
        <w:rPr>
          <w:rFonts w:hint="eastAsia" w:ascii="仿宋" w:hAnsi="仿宋" w:eastAsia="仿宋" w:cs="仿宋"/>
          <w:color w:val="auto"/>
          <w:sz w:val="24"/>
          <w:highlight w:val="none"/>
        </w:rPr>
        <w:t xml:space="preserve">不接受不按要求加盖公章（电子签章）的首次响应文件。电子签章相关要求见“苏采云”系统。</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（八）</w:t>
      </w:r>
      <w:r>
        <w:rPr>
          <w:rFonts w:hint="eastAsia" w:ascii="仿宋" w:hAnsi="仿宋" w:eastAsia="仿宋" w:cs="仿宋"/>
          <w:bCs/>
          <w:color w:val="auto"/>
          <w:sz w:val="24"/>
          <w:highlight w:val="none"/>
        </w:rPr>
        <w:t xml:space="preserve">首次响应文件解密：到达开启时间，</w:t>
      </w:r>
      <w:r>
        <w:rPr>
          <w:rFonts w:hint="eastAsia" w:ascii="仿宋" w:hAnsi="仿宋" w:eastAsia="仿宋" w:cs="仿宋"/>
          <w:color w:val="auto"/>
          <w:sz w:val="24"/>
          <w:highlight w:val="none"/>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auto"/>
          <w:sz w:val="24"/>
          <w:highlight w:val="none"/>
        </w:rPr>
        <w:t xml:space="preserve">开启时间后30分钟内</w:t>
      </w:r>
      <w:r>
        <w:rPr>
          <w:rFonts w:hint="eastAsia" w:ascii="仿宋" w:hAnsi="仿宋" w:eastAsia="仿宋" w:cs="仿宋"/>
          <w:color w:val="auto"/>
          <w:sz w:val="24"/>
          <w:highlight w:val="none"/>
        </w:rPr>
        <w:t xml:space="preserve">，通过“苏采云”系统（使用“CA数字证书”）解密。</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（九）</w:t>
      </w:r>
      <w:r>
        <w:rPr>
          <w:rFonts w:hint="eastAsia" w:ascii="仿宋" w:hAnsi="仿宋" w:eastAsia="仿宋" w:cs="仿宋"/>
          <w:color w:val="auto"/>
          <w:sz w:val="24"/>
          <w:highlight w:val="none"/>
        </w:rPr>
        <w:t xml:space="preserve">采购文件（后缀名为“.kedt”）、供应商操作手册及政府采购客户端工具可通过“苏采云”系统（网址：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http://jszfcg.jsczt.cn/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（十）相关说明：</w:t>
      </w:r>
      <w:r>
        <w:rPr>
          <w:rFonts w:hint="eastAsia" w:ascii="仿宋" w:hAnsi="仿宋" w:eastAsia="仿宋" w:cs="仿宋"/>
          <w:color w:val="auto"/>
          <w:sz w:val="24"/>
          <w:highlight w:val="none"/>
        </w:rPr>
        <w:t xml:space="preserve">供应商在“苏采云”系统中提交首次响应文件的时间即为数据电文（响应文件，下同）的发送时间和接收时间。</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十三、响应文件编制要求</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请按照以下要求（包括但不限于以下要求）制作：</w:t>
      </w:r>
      <w:r/>
    </w:p>
    <w:p>
      <w:pPr>
        <w:pStyle w:val="1116"/>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（一）基本目录</w:t>
      </w:r>
      <w:r/>
    </w:p>
    <w:p>
      <w:pPr>
        <w:pStyle w:val="1116"/>
        <w:spacing w:line="360" w:lineRule="auto"/>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 xml:space="preserve">1、《磋商报价表》</w:t>
      </w:r>
      <w:r>
        <w:rPr>
          <w:rFonts w:hint="eastAsia" w:ascii="仿宋" w:hAnsi="仿宋" w:eastAsia="仿宋" w:cs="仿宋"/>
          <w:color w:val="auto"/>
          <w:sz w:val="24"/>
          <w:highlight w:val="none"/>
        </w:rPr>
        <w:t xml:space="preserve">（加盖电子签章，政府采购客户端工具输入报价自动生成</w:t>
      </w:r>
      <w:r>
        <w:rPr>
          <w:rFonts w:hint="eastAsia" w:ascii="仿宋" w:hAnsi="仿宋" w:eastAsia="仿宋" w:cs="仿宋"/>
          <w:color w:val="auto"/>
          <w:sz w:val="24"/>
          <w:highlight w:val="none"/>
          <w:lang w:eastAsia="zh-CN"/>
        </w:rPr>
        <w:t xml:space="preserve">）；</w:t>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 xml:space="preserve">2</w:t>
      </w:r>
      <w:r>
        <w:rPr>
          <w:rFonts w:hint="eastAsia" w:ascii="仿宋" w:hAnsi="仿宋" w:eastAsia="仿宋" w:cs="仿宋"/>
          <w:b/>
          <w:color w:val="auto"/>
          <w:sz w:val="24"/>
          <w:highlight w:val="none"/>
        </w:rPr>
        <w:t xml:space="preserve">、供应商认为需要提供的其他资料（如有）。</w:t>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（二）资格条件（1～6项必须提供，否则响应无效）</w:t>
      </w:r>
      <w:r/>
    </w:p>
    <w:p>
      <w:pPr>
        <w:ind w:right="-334"/>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1、供应商合法有效的法人的营业执照扫描件或法人证书扫描件；</w:t>
      </w:r>
      <w:r/>
    </w:p>
    <w:p>
      <w:pPr>
        <w:pStyle w:val="1115"/>
        <w:ind w:left="0"/>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2、具备履行合同所必需的设备和专业技术能力的证明材料，即响应文件中提供《具备履行合同所必需的设备和专业技术能力的书面声明》（附证明材料，加盖供应商公章，格式见《磋商文件》附件）；</w:t>
      </w:r>
      <w:r/>
    </w:p>
    <w:p>
      <w:pPr>
        <w:ind w:right="-334"/>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①提供供应商</w:t>
      </w:r>
      <w:r>
        <w:rPr>
          <w:rFonts w:hint="eastAsia" w:ascii="仿宋" w:hAnsi="仿宋" w:eastAsia="仿宋" w:cs="仿宋"/>
          <w:bCs/>
          <w:color w:val="auto"/>
          <w:sz w:val="24"/>
          <w:highlight w:val="none"/>
          <w:lang w:val="en-US" w:eastAsia="zh-CN"/>
        </w:rPr>
        <w:t xml:space="preserve">有效的</w:t>
      </w:r>
      <w:r>
        <w:rPr>
          <w:rFonts w:hint="eastAsia" w:ascii="仿宋" w:hAnsi="仿宋" w:eastAsia="仿宋" w:cs="仿宋"/>
          <w:bCs/>
          <w:color w:val="auto"/>
          <w:sz w:val="24"/>
          <w:highlight w:val="none"/>
        </w:rPr>
        <w:t xml:space="preserve">的建筑装修装饰工程专业承包贰级（含）以上资质证书扫描件；</w:t>
      </w:r>
      <w:r/>
    </w:p>
    <w:p>
      <w:pPr>
        <w:ind w:right="-334"/>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②提供供应商拟选派项目负责人（注册建造师）具备</w:t>
      </w:r>
      <w:r>
        <w:rPr>
          <w:rFonts w:hint="eastAsia" w:ascii="仿宋" w:hAnsi="仿宋" w:eastAsia="仿宋" w:cs="仿宋"/>
          <w:bCs/>
          <w:color w:val="auto"/>
          <w:sz w:val="24"/>
          <w:highlight w:val="none"/>
          <w:lang w:val="en-US" w:eastAsia="zh-CN"/>
        </w:rPr>
        <w:t xml:space="preserve">有效的</w:t>
      </w:r>
      <w:r>
        <w:rPr>
          <w:rFonts w:hint="eastAsia" w:ascii="仿宋" w:hAnsi="仿宋" w:eastAsia="仿宋" w:cs="仿宋"/>
          <w:bCs/>
          <w:color w:val="auto"/>
          <w:sz w:val="24"/>
          <w:highlight w:val="none"/>
        </w:rPr>
        <w:t xml:space="preserve">建筑工程专业贰级（含）以上建造师资格证书；并取得</w:t>
      </w:r>
      <w:r>
        <w:rPr>
          <w:rFonts w:hint="eastAsia" w:ascii="仿宋" w:hAnsi="仿宋" w:eastAsia="仿宋" w:cs="仿宋"/>
          <w:bCs/>
          <w:color w:val="auto"/>
          <w:sz w:val="24"/>
          <w:highlight w:val="none"/>
          <w:lang w:val="en-US" w:eastAsia="zh-CN"/>
        </w:rPr>
        <w:t xml:space="preserve">有效的</w:t>
      </w:r>
      <w:r>
        <w:rPr>
          <w:rFonts w:hint="eastAsia" w:ascii="仿宋" w:hAnsi="仿宋" w:eastAsia="仿宋" w:cs="仿宋"/>
          <w:bCs/>
          <w:color w:val="auto"/>
          <w:sz w:val="24"/>
          <w:highlight w:val="none"/>
        </w:rPr>
        <w:t xml:space="preserve">《建筑施工企业项目负责人安全生产考核合格证书》（B证），响应文件中提供证书扫描件；供应商拟选派项目负责人（注册建造师）无在建工程，响应文件中提供证明材料或承诺书（格式自拟）。</w:t>
      </w:r>
      <w:r/>
    </w:p>
    <w:p>
      <w:pPr>
        <w:ind w:right="-334"/>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③供应商具备安全生产条件，取得</w:t>
      </w:r>
      <w:r>
        <w:rPr>
          <w:rFonts w:hint="eastAsia" w:ascii="仿宋" w:hAnsi="仿宋" w:eastAsia="仿宋" w:cs="仿宋"/>
          <w:bCs/>
          <w:color w:val="auto"/>
          <w:sz w:val="24"/>
          <w:highlight w:val="none"/>
          <w:lang w:val="en-US" w:eastAsia="zh-CN"/>
        </w:rPr>
        <w:t xml:space="preserve">有效的</w:t>
      </w:r>
      <w:r>
        <w:rPr>
          <w:rFonts w:hint="eastAsia" w:ascii="仿宋" w:hAnsi="仿宋" w:eastAsia="仿宋" w:cs="仿宋"/>
          <w:bCs/>
          <w:color w:val="auto"/>
          <w:sz w:val="24"/>
          <w:highlight w:val="none"/>
        </w:rPr>
        <w:t xml:space="preserve">《安全生产许可证》，响应文件中提供证书扫描件；</w:t>
      </w:r>
      <w:r/>
    </w:p>
    <w:p>
      <w:pPr>
        <w:ind w:right="-334"/>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3、财务状况报告，至少提供：</w:t>
      </w:r>
      <w:r/>
    </w:p>
    <w:p>
      <w:pPr>
        <w:ind w:right="-334"/>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供应商的提交首次响应文件时间前6个月内任何日期的</w:t>
      </w:r>
      <w:r>
        <w:rPr>
          <w:rFonts w:hint="eastAsia" w:ascii="仿宋" w:hAnsi="仿宋" w:eastAsia="仿宋" w:cs="仿宋"/>
          <w:b/>
          <w:color w:val="auto"/>
          <w:sz w:val="24"/>
          <w:highlight w:val="none"/>
        </w:rPr>
        <w:t xml:space="preserve">资产负债表和利润表</w:t>
      </w:r>
      <w:r>
        <w:rPr>
          <w:rFonts w:hint="eastAsia" w:ascii="仿宋" w:hAnsi="仿宋" w:eastAsia="仿宋" w:cs="仿宋"/>
          <w:bCs/>
          <w:color w:val="auto"/>
          <w:sz w:val="24"/>
          <w:highlight w:val="none"/>
        </w:rPr>
        <w:t xml:space="preserve">月报表扫描件</w:t>
      </w:r>
      <w:r>
        <w:rPr>
          <w:rFonts w:hint="eastAsia" w:ascii="仿宋" w:hAnsi="仿宋" w:eastAsia="仿宋" w:cs="仿宋"/>
          <w:b/>
          <w:color w:val="auto"/>
          <w:sz w:val="24"/>
          <w:highlight w:val="none"/>
        </w:rPr>
        <w:t xml:space="preserve">各一份；</w:t>
      </w:r>
      <w:r>
        <w:rPr>
          <w:rFonts w:hint="eastAsia" w:ascii="仿宋" w:hAnsi="仿宋" w:eastAsia="仿宋" w:cs="仿宋"/>
          <w:bCs/>
          <w:color w:val="auto"/>
          <w:sz w:val="24"/>
          <w:highlight w:val="none"/>
        </w:rPr>
        <w:t xml:space="preserve">或供应商基本开户银行出具的有效的资信证明扫描件；或财政部门认可的政府采购专业担保机构出具的有效的投标担保函扫描件；或其2024年度经审计的财务报告扫描件；</w:t>
      </w:r>
      <w:r/>
    </w:p>
    <w:p>
      <w:pPr>
        <w:ind w:right="-334"/>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4、供应商的提交首次响应文件时间前6个月内任何1月的</w:t>
      </w:r>
      <w:r>
        <w:rPr>
          <w:rFonts w:hint="eastAsia" w:ascii="仿宋" w:hAnsi="仿宋" w:eastAsia="仿宋" w:cs="仿宋"/>
          <w:b/>
          <w:color w:val="auto"/>
          <w:sz w:val="24"/>
          <w:highlight w:val="none"/>
        </w:rPr>
        <w:t xml:space="preserve">依法缴纳税收和社会保障资金</w:t>
      </w:r>
      <w:r>
        <w:rPr>
          <w:rFonts w:hint="eastAsia" w:ascii="仿宋" w:hAnsi="仿宋" w:eastAsia="仿宋" w:cs="仿宋"/>
          <w:bCs/>
          <w:color w:val="auto"/>
          <w:sz w:val="24"/>
          <w:highlight w:val="none"/>
        </w:rPr>
        <w:t xml:space="preserve">的相关材料扫描件</w:t>
      </w:r>
      <w:r>
        <w:rPr>
          <w:rFonts w:hint="eastAsia" w:ascii="仿宋" w:hAnsi="仿宋" w:eastAsia="仿宋" w:cs="仿宋"/>
          <w:b/>
          <w:color w:val="auto"/>
          <w:sz w:val="24"/>
          <w:highlight w:val="none"/>
        </w:rPr>
        <w:t xml:space="preserve">各一份；</w:t>
      </w:r>
      <w:r>
        <w:rPr>
          <w:rFonts w:hint="eastAsia" w:ascii="仿宋" w:hAnsi="仿宋" w:eastAsia="仿宋" w:cs="仿宋"/>
          <w:bCs/>
          <w:color w:val="auto"/>
          <w:sz w:val="24"/>
          <w:highlight w:val="none"/>
        </w:rPr>
        <w:t xml:space="preserve">或依法免税或不需要缴纳社会保障资金的供应商应提供相应其依法免税或不需要缴纳社会保障资金的证明文件扫描件；</w:t>
      </w:r>
      <w:r/>
    </w:p>
    <w:p>
      <w:pPr>
        <w:ind w:right="-334"/>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5、供应商参加政府采购活动前3年内在经营活动中没有重大违法记录的书面声明(原件，格式见《磋商文件》附件)；</w:t>
      </w:r>
      <w:r/>
    </w:p>
    <w:p>
      <w:pPr>
        <w:ind w:right="-334"/>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6、供应商为中小微企业（含中型、小型、微型企业，下同）的，提供《中小企业声明函》原件（加盖供应商公章，填写完整。必须提供，格式见《磋商文件》附件）。《中小企业声明函》查询渠道参考工业和信息化部发布的中小企业规模自测小程序。</w:t>
      </w:r>
      <w:r/>
    </w:p>
    <w:p>
      <w:pPr>
        <w:ind w:right="-334"/>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注：中小微企业，应当同时符合以下条件：</w:t>
      </w:r>
      <w:r/>
    </w:p>
    <w:p>
      <w:pPr>
        <w:ind w:right="-334"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供应商为残疾人福利性单位的，视同小微企业，提供《残疾人福利性单位声明函》（供应商公章，格式见附件》）。具体以《关于促进残疾人就业政府采购政策的通知》（财库〔2017〕141号）的规定为准。</w:t>
      </w:r>
      <w:r/>
    </w:p>
    <w:p>
      <w:pPr>
        <w:ind w:right="-334" w:firstLine="360"/>
        <w:spacing w:line="360" w:lineRule="auto"/>
        <w:rPr>
          <w:rFonts w:hint="eastAsia" w:ascii="仿宋" w:hAnsi="仿宋" w:eastAsia="仿宋" w:cs="仿宋"/>
          <w:b/>
          <w:bCs/>
          <w:color w:val="auto"/>
          <w:sz w:val="24"/>
          <w:highlight w:val="none"/>
        </w:rPr>
      </w:pPr>
      <w:r>
        <w:rPr>
          <w:rFonts w:hint="eastAsia" w:ascii="仿宋" w:hAnsi="仿宋" w:eastAsia="仿宋" w:cs="仿宋"/>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特别提示：</w:t>
      </w:r>
      <w:r/>
    </w:p>
    <w:p>
      <w:pPr>
        <w:ind w:firstLine="480"/>
        <w:spacing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根据《省住房和城乡建设厅关于部分调整我省建筑施工企业安管人员、建筑施工特种作业人员考核、延期复核及证书管理有关事项的公告》[2023]第 5</w:t>
      </w:r>
      <w:r/>
    </w:p>
    <w:p>
      <w:pPr>
        <w:spacing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号、《江苏省住房和城乡建设厅关于综合服务平台上线运行的公告》[2023]第 11 号，电子证照在新系统中启用全国一体化政务服务平台标准，旧版电子证照同时废止。各潜在</w:t>
      </w:r>
      <w:r>
        <w:rPr>
          <w:rFonts w:hint="eastAsia" w:ascii="仿宋" w:hAnsi="仿宋" w:eastAsia="仿宋" w:cs="仿宋"/>
          <w:b w:val="0"/>
          <w:bCs w:val="0"/>
          <w:color w:val="auto"/>
          <w:sz w:val="24"/>
          <w:highlight w:val="none"/>
          <w:lang w:val="en-US" w:eastAsia="zh-CN"/>
        </w:rPr>
        <w:t xml:space="preserve">供应商</w:t>
      </w:r>
      <w:r>
        <w:rPr>
          <w:rFonts w:hint="eastAsia" w:ascii="仿宋" w:hAnsi="仿宋" w:eastAsia="仿宋" w:cs="仿宋"/>
          <w:b w:val="0"/>
          <w:bCs w:val="0"/>
          <w:color w:val="auto"/>
          <w:sz w:val="24"/>
          <w:highlight w:val="none"/>
        </w:rPr>
        <w:t xml:space="preserve">按上述文件要求提供有效的电子证照证；相关规定不作要求的除外。</w:t>
      </w:r>
      <w:r/>
    </w:p>
    <w:p>
      <w:pPr>
        <w:ind w:firstLine="480"/>
        <w:spacing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省住房和城乡建设厅关于我省二级建造师、二级造价工程师、二级注册建筑师、二级注册结构工程师注册证书电子证照换发的公告》〔2023〕第26号，旧版电子证照由厅综合服务平台自动逐步换发新版电子证照，换发期后，旧版电子证照停止使用。</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（三）符合条件（必须提供，否则响应无效）</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1、《承诺书》（加盖供应商公章，格式见《磋商文件》附件）；</w:t>
      </w:r>
      <w:r/>
    </w:p>
    <w:p>
      <w:pPr>
        <w:ind w:right="-334"/>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2、《磋商报价表》（加盖电子签章，格式见《磋商文件》附件）；</w:t>
      </w:r>
      <w:r/>
    </w:p>
    <w:p>
      <w:pPr>
        <w:ind w:right="-334"/>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3、分项价格表（具有标价的工程量清单与报价表）（加盖供应商公章，格式见《磋商文件》附件）；</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4、授权委托书（后附授权委托书中受托人身份证原件的扫描件）（提供原件的扫描件，格式见《磋商文件》附件）；</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5、偏离表（加盖供应商公章，格式见《磋商文件》附件）；</w:t>
      </w:r>
      <w:r/>
    </w:p>
    <w:p>
      <w:pPr>
        <w:ind w:right="-334"/>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6、主要材料（设备）一览表（加盖供应商公章，格式见《磋商文件》附件）</w:t>
      </w:r>
      <w:r>
        <w:rPr>
          <w:rFonts w:hint="eastAsia" w:ascii="仿宋" w:hAnsi="仿宋" w:eastAsia="仿宋" w:cs="仿宋"/>
          <w:b/>
          <w:bCs/>
          <w:color w:val="auto"/>
          <w:sz w:val="24"/>
          <w:highlight w:val="none"/>
          <w:lang w:eastAsia="zh-CN"/>
        </w:rPr>
        <w:t xml:space="preserve">。</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（四）综合评审评分项</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一)技术部分：</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、所投主要材料性能与质量评价（要求见《磋商文件》附件1、《评分细则》及附件：2、《项目要求（采购需求）》）；</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、施工组织设计（要求见《磋商文件》附件1、《评分细则》及附件：2、《项目要求（采购需求）》）；</w:t>
      </w:r>
      <w:r/>
    </w:p>
    <w:p>
      <w:pPr>
        <w:spacing w:line="360" w:lineRule="auto"/>
        <w:rPr>
          <w:rFonts w:hint="eastAsia" w:ascii="仿宋" w:hAnsi="仿宋" w:eastAsia="仿宋" w:cs="仿宋"/>
          <w:b w:val="0"/>
          <w:bCs w:val="0"/>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、售后服务方案（要求见《磋商文件》附件1、《评分细则》及附件：2、</w:t>
      </w:r>
      <w:r>
        <w:rPr>
          <w:rFonts w:hint="eastAsia" w:ascii="仿宋" w:hAnsi="仿宋" w:eastAsia="仿宋" w:cs="仿宋"/>
          <w:b w:val="0"/>
          <w:bCs w:val="0"/>
          <w:color w:val="auto"/>
          <w:sz w:val="24"/>
          <w:highlight w:val="none"/>
        </w:rPr>
        <w:t xml:space="preserve">《项目要求（采购需求）》）；</w:t>
      </w:r>
      <w:r/>
    </w:p>
    <w:p>
      <w:pPr>
        <w:spacing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4</w:t>
      </w:r>
      <w:r>
        <w:rPr>
          <w:rFonts w:hint="eastAsia" w:ascii="仿宋" w:hAnsi="仿宋" w:eastAsia="仿宋" w:cs="仿宋"/>
          <w:b w:val="0"/>
          <w:bCs w:val="0"/>
          <w:color w:val="auto"/>
          <w:sz w:val="24"/>
          <w:highlight w:val="none"/>
        </w:rPr>
        <w:t xml:space="preserve">、评分细则中评分得分需提供的相关证明文件或供应商认为需要提供的其他资料。</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二）商务部分：</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1、供应商业绩（要求见《磋商文件》附件1、《评分细则》）；</w:t>
      </w:r>
      <w:r/>
    </w:p>
    <w:p>
      <w:pPr>
        <w:spacing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2、评分细则中评分得分需提供的相关证明文件或供应商认为需要提供的其他资料。</w:t>
      </w:r>
      <w:r/>
    </w:p>
    <w:p>
      <w:pPr>
        <w:pStyle w:val="1116"/>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（五）价格折扣文件格式</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color w:val="auto"/>
          <w:sz w:val="24"/>
          <w:highlight w:val="none"/>
        </w:rPr>
        <w:t xml:space="preserve">1、企业报价折扣证明：无。</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（六）提交的首次响应文件的密封、签署、盖章要求：</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1、密封（加密）要求：</w:t>
      </w:r>
      <w:r/>
    </w:p>
    <w:p>
      <w:pPr>
        <w:pStyle w:val="1116"/>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2、签署要求：</w:t>
      </w:r>
      <w:r>
        <w:rPr>
          <w:rFonts w:hint="eastAsia" w:ascii="仿宋" w:hAnsi="仿宋" w:eastAsia="仿宋" w:cs="仿宋"/>
          <w:color w:val="auto"/>
          <w:sz w:val="24"/>
          <w:highlight w:val="none"/>
        </w:rPr>
        <w:t xml:space="preserve">见《磋商文件》第九章附件中相关格式要求</w:t>
      </w:r>
      <w:r>
        <w:rPr>
          <w:rFonts w:hint="eastAsia" w:ascii="仿宋" w:hAnsi="仿宋" w:eastAsia="仿宋" w:cs="仿宋"/>
          <w:b/>
          <w:bCs/>
          <w:color w:val="auto"/>
          <w:sz w:val="24"/>
          <w:highlight w:val="none"/>
        </w:rPr>
        <w:t xml:space="preserve">（特别提醒：竞争性磋商文件中如需“被授权代表签字或盖章”，供应商可打印成文档，签字或盖章后再扫描上传，最后再电子签章）。</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3、盖章要求：</w:t>
      </w:r>
      <w:r>
        <w:rPr>
          <w:rFonts w:hint="eastAsia" w:ascii="仿宋" w:hAnsi="仿宋" w:eastAsia="仿宋" w:cs="仿宋"/>
          <w:color w:val="auto"/>
          <w:sz w:val="24"/>
          <w:highlight w:val="none"/>
        </w:rPr>
        <w:t xml:space="preserve">见《磋商文件》第九章附件中相关格式要求。供应商须通过“苏采云”系统提供的政府采购客户端工具（使用“CA数字证书”）加盖电子签章。</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（七）通过“苏采云”系统提交政府采购客户端工具导出加密的响应文件（后缀名为zip）。响应文件不得超过150M！ </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color w:val="auto"/>
          <w:sz w:val="24"/>
          <w:highlight w:val="none"/>
        </w:rPr>
        <w:t xml:space="preserve">供应商应当按照《磋商文件》的要求编制响应文件，并对其提交的响应文件的真实性、合法性承担法律责任。</w:t>
      </w:r>
      <w:r/>
    </w:p>
    <w:p>
      <w:pPr>
        <w:pStyle w:val="1116"/>
        <w:ind w:firstLine="478"/>
        <w:jc w:val="cente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Style w:val="1116"/>
        <w:ind w:firstLine="478"/>
        <w:jc w:val="cente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第四章 磋商相关说明</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十四、磋商相关说明</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（一）磋商要求</w:t>
      </w:r>
      <w:r/>
    </w:p>
    <w:p>
      <w:pPr>
        <w:pStyle w:val="111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11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2、供应商可通过CA数字证书，在首次响应文件开启时间后，使用CA数字证书在规定时间内解密各自响应文件。</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4、磋商顺序按照电子标书解密先后时间进行，解密时间相同的，不分先后顺序。</w:t>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11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6、未在规定时间内进行答疑澄清的，视同放弃澄清。</w:t>
      </w:r>
      <w:r/>
    </w:p>
    <w:p>
      <w:pPr>
        <w:pStyle w:val="1116"/>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7、未在规定时间内进行报价的，视为响应无效。</w:t>
      </w:r>
      <w:r/>
    </w:p>
    <w:p>
      <w:pPr>
        <w:pStyle w:val="111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8、被邀请参与磋商的供应商如未按上述磋商要求执行，视同放弃磋商的权利。</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c00000"/>
          <w:sz w:val="24"/>
          <w:highlight w:val="none"/>
        </w:rPr>
        <w:t xml:space="preserve">注：各供应商在未进行第二次报价前，请不要离开开标系统，随时接受磋商小组提出的二次报价，因供应商未能及时二次报价而引起的废标及损失，由供应商负责。</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（二）评审程序</w:t>
      </w:r>
      <w:r/>
    </w:p>
    <w:p>
      <w:pPr>
        <w:pStyle w:val="1116"/>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116"/>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116"/>
        <w:ind w:firstLine="480"/>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评审过程中出现下列情形之一的，评审委员会应当启动异常低价投标（响应）审查程序：</w:t>
      </w:r>
      <w:r/>
    </w:p>
    <w:p>
      <w:pPr>
        <w:pStyle w:val="1116"/>
        <w:ind w:firstLine="480"/>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①投标（响应）报价低于采购项目预算50%的，即投标（响应）报价&lt;采购项目预算×50%；</w:t>
      </w:r>
      <w:r/>
    </w:p>
    <w:p>
      <w:pPr>
        <w:pStyle w:val="1116"/>
        <w:ind w:firstLine="480"/>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②投标（响应）报价低于采购项目最高限价45%的，即投标（响应）报价&lt;采购项目最高限价×45%；</w:t>
      </w:r>
      <w:r/>
    </w:p>
    <w:p>
      <w:pPr>
        <w:pStyle w:val="1116"/>
        <w:ind w:firstLine="480"/>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③评审委员会认定的供应商报价过低、有可能影响产品质量或者不能诚信履约的其他情形。</w:t>
      </w:r>
      <w:r/>
    </w:p>
    <w:p>
      <w:pPr>
        <w:pStyle w:val="1116"/>
        <w:ind w:firstLine="480"/>
        <w:spacing w:line="360" w:lineRule="auto"/>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启动异常低价投标（响应）审查后，评审委员会应当要求相关供应商（通过“苏采云”系统）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116"/>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相关内容和要求见：《中华人民共和国政府采购法》、《中华人民共和国政府采购法实施条例》及《政府采购竞争性磋商采购方式管理暂行办法》</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(三) 查询及使用供应商信用记录</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1、由采购人查询信用信息。</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2、查询渠道包括：</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（1）“信用中国”网（www.creditchina.gov.cn）；</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（2）中国政府采购网（www.ccgp.gov.cn）；</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（3）“信用江苏”网（http://credit.jiangsu.gov.cn/）；</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（4）“信用中国(江苏徐州)”网（http://www.xuzhoucredit.gov.cn）。</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3、截止时点（查询环节）：首次响应文件开启后资格审查结束前。</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4、信用信息查询记录和证据留存的具体方式：</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网页截屏打印，与其他采购文件一并保存。</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5、信用信息的使用规则：</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16"/>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十五、评审方法和评审标准</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1、评审方法：综合评分法。</w:t>
      </w:r>
      <w:r/>
    </w:p>
    <w:p>
      <w:pPr>
        <w:pStyle w:val="1116"/>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2、评审标准：详见《磋商文件》附件1、《评分细则》。</w:t>
      </w:r>
      <w:r/>
    </w:p>
    <w:p>
      <w:pPr>
        <w:pStyle w:val="1116"/>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116"/>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116"/>
        <w:ind w:right="29"/>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十六、</w:t>
      </w:r>
      <w:r>
        <w:rPr>
          <w:rFonts w:hint="eastAsia" w:ascii="仿宋" w:hAnsi="仿宋" w:eastAsia="仿宋" w:cs="仿宋"/>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116"/>
        <w:ind w:right="29"/>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十七、</w:t>
      </w:r>
      <w:r>
        <w:rPr>
          <w:rFonts w:hint="eastAsia" w:ascii="仿宋" w:hAnsi="仿宋" w:eastAsia="仿宋" w:cs="仿宋"/>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116"/>
        <w:ind w:left="2" w:right="29" w:firstLine="480"/>
        <w:jc w:val="cente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第五章 确定成交供应商及合同签订等</w:t>
      </w:r>
      <w:r/>
    </w:p>
    <w:p>
      <w:pPr>
        <w:pStyle w:val="1116"/>
        <w:ind w:right="29"/>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十八、</w:t>
      </w:r>
      <w:r>
        <w:rPr>
          <w:rFonts w:hint="eastAsia" w:ascii="仿宋" w:hAnsi="仿宋" w:eastAsia="仿宋" w:cs="仿宋"/>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116"/>
        <w:jc w:val="left"/>
        <w:spacing w:line="360" w:lineRule="auto"/>
        <w:widowControl/>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十九、采购人与成交供应商应当在成交通知书发出之日起30日内，</w:t>
      </w:r>
      <w:r>
        <w:rPr>
          <w:rFonts w:hint="eastAsia" w:ascii="仿宋" w:hAnsi="仿宋" w:eastAsia="仿宋" w:cs="仿宋"/>
          <w:color w:val="auto"/>
          <w:sz w:val="24"/>
          <w:highlight w:val="none"/>
        </w:rPr>
        <w:t xml:space="preserve">按照《磋商文件》确定的合同文本以及采购标的、规格型号、采购金额、采购数量、技术和服务要求等事项签订政府采购合同。</w:t>
      </w:r>
      <w:r/>
    </w:p>
    <w:p>
      <w:pPr>
        <w:pStyle w:val="1116"/>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特别说明：</w:t>
      </w:r>
      <w:r>
        <w:rPr>
          <w:rFonts w:hint="eastAsia" w:ascii="仿宋" w:hAnsi="仿宋" w:eastAsia="仿宋" w:cs="仿宋"/>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1116"/>
        <w:jc w:val="left"/>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二十、</w:t>
      </w:r>
      <w:r>
        <w:rPr>
          <w:rFonts w:hint="eastAsia" w:ascii="仿宋" w:hAnsi="仿宋" w:eastAsia="仿宋" w:cs="仿宋"/>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116"/>
        <w:ind w:firstLine="480"/>
        <w:jc w:val="center"/>
        <w:spacing w:line="360" w:lineRule="auto"/>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Style w:val="1116"/>
        <w:ind w:firstLine="480"/>
        <w:jc w:val="center"/>
        <w:spacing w:line="360" w:lineRule="auto"/>
        <w:widowControl/>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第六章 磋商文件的澄清或者修改</w:t>
      </w:r>
      <w:r/>
    </w:p>
    <w:p>
      <w:pPr>
        <w:pStyle w:val="1116"/>
        <w:jc w:val="left"/>
        <w:spacing w:line="360" w:lineRule="auto"/>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二十一、《磋商文件》的澄清或者修改</w:t>
      </w:r>
      <w:r/>
    </w:p>
    <w:p>
      <w:pPr>
        <w:jc w:val="left"/>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spacing w:line="360" w:lineRule="auto"/>
        <w:widowControl/>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第七章 询问和质疑</w:t>
      </w:r>
      <w:r/>
    </w:p>
    <w:p>
      <w:pPr>
        <w:jc w:val="left"/>
        <w:spacing w:line="360" w:lineRule="auto"/>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二十二、询问和质疑</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2、供应商针对同一采购程序环节的质疑应当在法定质疑期内一次性提出。</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3、质疑和投诉按《政府采购质疑和投诉办法》执行。</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4、接收质疑函的方式：供应商直接送交或供应商通过EMS邮寄。</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联系人：</w:t>
      </w:r>
      <w:r>
        <w:rPr>
          <w:rFonts w:hint="eastAsia" w:ascii="仿宋" w:hAnsi="仿宋" w:eastAsia="仿宋" w:cs="仿宋"/>
          <w:color w:val="auto"/>
          <w:sz w:val="24"/>
          <w:highlight w:val="none"/>
          <w:lang w:val="en-US" w:eastAsia="zh-CN"/>
        </w:rPr>
        <w:t xml:space="preserve">李昆</w:t>
      </w:r>
      <w:r>
        <w:rPr>
          <w:rFonts w:hint="eastAsia" w:ascii="仿宋" w:hAnsi="仿宋" w:eastAsia="仿宋" w:cs="仿宋"/>
          <w:color w:val="auto"/>
          <w:sz w:val="24"/>
          <w:highlight w:val="none"/>
        </w:rPr>
        <w:t xml:space="preserve">        联系电话：0516-83859777</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通讯地址：徐州市新城区中茵广场3栋二楼218</w:t>
      </w:r>
      <w:r/>
    </w:p>
    <w:p>
      <w:pPr>
        <w:jc w:val="cente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第八章 联系方式</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1、采购人信息</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lang w:eastAsia="zh-CN"/>
        </w:rPr>
        <w:t xml:space="preserve">徐州市福利彩票发行中心</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地址：徐州市云龙区永嘉新城广场B幢11层</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val="en-US" w:eastAsia="zh-CN"/>
        </w:rPr>
        <w:t xml:space="preserve">刘曦洋 0516-83730811</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2、采</w:t>
      </w:r>
      <w:r>
        <w:rPr>
          <w:rFonts w:hint="eastAsia" w:ascii="仿宋" w:hAnsi="仿宋" w:eastAsia="仿宋" w:cs="仿宋"/>
          <w:color w:val="auto"/>
          <w:sz w:val="24"/>
          <w:highlight w:val="none"/>
          <w:lang w:eastAsia="zh-CN"/>
        </w:rPr>
        <w:t xml:space="preserve">购代理机构信息</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名称：华春建设工程项目管理有限责任公司</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地址：徐州市新城区中茵广场3栋二楼218</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 xml:space="preserve">联系方式：</w:t>
      </w:r>
      <w:r>
        <w:rPr>
          <w:rFonts w:hint="eastAsia" w:ascii="仿宋" w:hAnsi="仿宋" w:eastAsia="仿宋" w:cs="仿宋"/>
          <w:color w:val="auto"/>
          <w:sz w:val="24"/>
          <w:highlight w:val="none"/>
          <w:lang w:val="en-US" w:eastAsia="zh-CN"/>
        </w:rPr>
        <w:t xml:space="preserve">李昆</w:t>
      </w:r>
      <w:bookmarkStart w:id="1" w:name="OLE_LINK12"/>
      <w:r>
        <w:rPr>
          <w:rFonts w:hint="eastAsia" w:ascii="仿宋" w:hAnsi="仿宋" w:eastAsia="仿宋" w:cs="仿宋"/>
          <w:color w:val="auto"/>
          <w:sz w:val="24"/>
          <w:highlight w:val="none"/>
          <w:lang w:val="en-US" w:eastAsia="zh-CN"/>
        </w:rPr>
        <w:t xml:space="preserve">  </w:t>
      </w:r>
      <w:bookmarkEnd w:id="1"/>
      <w:r>
        <w:rPr>
          <w:rFonts w:hint="eastAsia" w:ascii="仿宋" w:hAnsi="仿宋" w:eastAsia="仿宋" w:cs="仿宋"/>
          <w:color w:val="auto"/>
          <w:sz w:val="24"/>
          <w:highlight w:val="none"/>
          <w:lang w:val="en-US" w:eastAsia="zh-CN" w:bidi="en-US"/>
        </w:rPr>
        <w:t xml:space="preserve">18252139142</w:t>
      </w:r>
      <w:r/>
    </w:p>
    <w:p>
      <w:pPr>
        <w:jc w:val="cente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第九章 其他要求及附件</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二十三、成交供应商在领取成交通知书前，向采购代理机构缴纳代理服务费，收取标准见附件。</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二十四、本项目属于专门面向中小微企业采购的项目，供应商应为中小微企业、监狱企业、残疾人福利性单位。</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二十五、采购人确定的采购项目属性：工程。</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二十六、</w:t>
      </w:r>
      <w:r>
        <w:rPr>
          <w:rFonts w:hint="eastAsia" w:ascii="仿宋" w:hAnsi="仿宋" w:eastAsia="仿宋" w:cs="仿宋"/>
          <w:b/>
          <w:bCs/>
          <w:color w:val="auto"/>
          <w:sz w:val="24"/>
          <w:highlight w:val="none"/>
          <w:lang w:eastAsia="zh-CN"/>
        </w:rPr>
        <w:t xml:space="preserve">履约担保（履约保证金）</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eastAsia="zh-CN"/>
        </w:rPr>
        <w:t xml:space="preserve">成交</w:t>
      </w:r>
      <w:r>
        <w:rPr>
          <w:rFonts w:hint="eastAsia" w:ascii="仿宋" w:hAnsi="仿宋" w:eastAsia="仿宋" w:cs="仿宋"/>
          <w:b/>
          <w:bCs/>
          <w:color w:val="auto"/>
          <w:sz w:val="24"/>
          <w:highlight w:val="none"/>
        </w:rPr>
        <w:t xml:space="preserve">金额的</w:t>
      </w:r>
      <w:r>
        <w:rPr>
          <w:rFonts w:hint="eastAsia" w:ascii="仿宋" w:hAnsi="仿宋" w:eastAsia="仿宋" w:cs="仿宋"/>
          <w:b/>
          <w:bCs/>
          <w:color w:val="auto"/>
          <w:sz w:val="24"/>
          <w:highlight w:val="none"/>
          <w:lang w:val="en-US" w:eastAsia="zh-CN"/>
        </w:rPr>
        <w:t xml:space="preserve">10</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合同签订前</w:t>
      </w:r>
      <w:r>
        <w:rPr>
          <w:rFonts w:hint="eastAsia" w:ascii="仿宋" w:hAnsi="仿宋" w:eastAsia="仿宋" w:cs="仿宋"/>
          <w:b/>
          <w:bCs/>
          <w:color w:val="auto"/>
          <w:sz w:val="24"/>
          <w:highlight w:val="none"/>
        </w:rPr>
        <w:t xml:space="preserve">向采购人交纳。</w:t>
      </w:r>
      <w:r/>
    </w:p>
    <w:p>
      <w:pPr>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eastAsia="zh-CN"/>
        </w:rPr>
        <w:t xml:space="preserve">履约担保（ 履约保证金）</w:t>
      </w:r>
      <w:r>
        <w:rPr>
          <w:rFonts w:hint="eastAsia" w:ascii="仿宋" w:hAnsi="仿宋" w:eastAsia="仿宋" w:cs="仿宋"/>
          <w:b/>
          <w:bCs/>
          <w:color w:val="auto"/>
          <w:sz w:val="24"/>
          <w:highlight w:val="none"/>
        </w:rPr>
        <w:t xml:space="preserve">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二十</w:t>
      </w:r>
      <w:r>
        <w:rPr>
          <w:rFonts w:hint="eastAsia" w:ascii="仿宋" w:hAnsi="仿宋" w:eastAsia="仿宋" w:cs="仿宋"/>
          <w:b/>
          <w:bCs/>
          <w:color w:val="auto"/>
          <w:sz w:val="24"/>
          <w:highlight w:val="none"/>
          <w:lang w:val="en-US" w:eastAsia="zh-CN"/>
        </w:rPr>
        <w:t xml:space="preserve">七</w:t>
      </w:r>
      <w:r>
        <w:rPr>
          <w:rFonts w:hint="eastAsia" w:ascii="仿宋" w:hAnsi="仿宋" w:eastAsia="仿宋" w:cs="仿宋"/>
          <w:b/>
          <w:bCs/>
          <w:color w:val="auto"/>
          <w:sz w:val="24"/>
          <w:highlight w:val="none"/>
        </w:rPr>
        <w:t xml:space="preserve">、附件：附后。</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附件：</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1、《评分细则》</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2、《项目要求（采购需求）》</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3、《磋商报价表》</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s="仿宋"/>
          <w:bCs/>
          <w:color w:val="auto"/>
          <w:sz w:val="24"/>
          <w:highlight w:val="none"/>
        </w:rPr>
        <w:t xml:space="preserve">分项价格表</w:t>
      </w:r>
      <w:r>
        <w:rPr>
          <w:rFonts w:hint="eastAsia" w:ascii="仿宋" w:hAnsi="仿宋" w:eastAsia="仿宋" w:cs="仿宋"/>
          <w:color w:val="auto"/>
          <w:sz w:val="24"/>
          <w:highlight w:val="none"/>
        </w:rPr>
        <w:t xml:space="preserve">》</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5、《主要材料（设备）一览表》</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6、《偏离表》</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7、《拟签订的合同文本》</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8、《承诺书》</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9、《授权委托书》</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10、《具备履行合同所必需的设备和专业技术能力的书面声明》（附证明材料）</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11、《中小企业声明函》</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、《供应商参加政府采购活动前3年内在经营活动中没有重大违法记录的书面声明》</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、《残疾人福利性单位声明函》</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、《代理服务收费标准》</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、《预付款保函支付条款模板》</w:t>
      </w:r>
      <w:r/>
    </w:p>
    <w:p>
      <w:pPr>
        <w:ind w:firstLine="61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61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2025年</w:t>
      </w: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lang w:val="en-US" w:eastAsia="zh-CN"/>
        </w:rPr>
        <w:t xml:space="preserve">19</w:t>
      </w:r>
      <w:r>
        <w:rPr>
          <w:rFonts w:hint="eastAsia" w:ascii="仿宋" w:hAnsi="仿宋" w:eastAsia="仿宋" w:cs="仿宋"/>
          <w:color w:val="auto"/>
          <w:sz w:val="24"/>
          <w:highlight w:val="none"/>
        </w:rPr>
        <w:t xml:space="preserve">日</w:t>
      </w:r>
      <w:r/>
    </w:p>
    <w:p>
      <w:pPr>
        <w:numPr>
          <w:ilvl w:val="0"/>
          <w:numId w:val="3"/>
        </w:numPr>
        <w:jc w:val="center"/>
        <w:spacing w:line="0" w:lineRule="atLeast"/>
        <w:rPr>
          <w:rFonts w:hint="eastAsia" w:ascii="仿宋" w:hAnsi="仿宋" w:eastAsia="仿宋" w:cs="仿宋"/>
          <w:b/>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仿宋" w:hAnsi="仿宋" w:eastAsia="仿宋" w:cs="仿宋"/>
          <w:b/>
          <w:color w:val="auto"/>
          <w:sz w:val="36"/>
          <w:highlight w:val="none"/>
        </w:rPr>
      </w:r>
      <w:r/>
    </w:p>
    <w:p>
      <w:pPr>
        <w:numPr>
          <w:ilvl w:val="0"/>
          <w:numId w:val="3"/>
        </w:num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评分细则</w:t>
      </w:r>
      <w:r/>
    </w:p>
    <w:tbl>
      <w:tblPr>
        <w:tblStyle w:val="1061"/>
        <w:tblW w:w="103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1505"/>
        <w:gridCol w:w="7889"/>
      </w:tblGrid>
      <w:tr>
        <w:trPr>
          <w:jc w:val="center"/>
          <w:trHeight w:val="407"/>
        </w:trPr>
        <w:tc>
          <w:tcPr>
            <w:tcW w:w="984" w:type="dxa"/>
            <w:vAlign w:val="center"/>
            <w:textDirection w:val="lrTb"/>
            <w:noWrap w:val="false"/>
          </w:tcPr>
          <w:p>
            <w:pPr>
              <w:pStyle w:val="1295"/>
              <w:ind w:firstLine="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项  目</w:t>
            </w:r>
            <w:r/>
          </w:p>
        </w:tc>
        <w:tc>
          <w:tcPr>
            <w:gridSpan w:val="2"/>
            <w:tcW w:w="9394" w:type="dxa"/>
            <w:vAlign w:val="center"/>
            <w:textDirection w:val="lrTb"/>
            <w:noWrap w:val="false"/>
          </w:tcPr>
          <w:p>
            <w:pPr>
              <w:pStyle w:val="1295"/>
              <w:ind w:firstLine="482"/>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评 分 依 据</w:t>
            </w:r>
            <w:r/>
          </w:p>
        </w:tc>
      </w:tr>
      <w:tr>
        <w:trPr>
          <w:jc w:val="center"/>
          <w:trHeight w:val="1121"/>
        </w:trPr>
        <w:tc>
          <w:tcPr>
            <w:tcW w:w="984" w:type="dxa"/>
            <w:vAlign w:val="center"/>
            <w:textDirection w:val="lrTb"/>
            <w:noWrap w:val="false"/>
          </w:tcPr>
          <w:p>
            <w:pPr>
              <w:pStyle w:val="1295"/>
              <w:ind w:firstLine="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p>
            <w:pPr>
              <w:pStyle w:val="1295"/>
              <w:ind w:firstLine="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20</w:t>
            </w:r>
            <w:r>
              <w:rPr>
                <w:rFonts w:hint="eastAsia" w:ascii="仿宋" w:hAnsi="仿宋" w:eastAsia="仿宋" w:cs="仿宋"/>
                <w:color w:val="auto"/>
                <w:sz w:val="24"/>
                <w:highlight w:val="none"/>
              </w:rPr>
              <w:t xml:space="preserve">分)</w:t>
            </w:r>
            <w:r/>
          </w:p>
        </w:tc>
        <w:tc>
          <w:tcPr>
            <w:gridSpan w:val="2"/>
            <w:tcW w:w="9394"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磋商报价得分=（磋商基准价/最后磋商报价）×</w:t>
            </w:r>
            <w:r>
              <w:rPr>
                <w:rFonts w:hint="eastAsia" w:ascii="仿宋" w:hAnsi="仿宋" w:eastAsia="仿宋" w:cs="仿宋"/>
                <w:color w:val="auto"/>
                <w:sz w:val="24"/>
                <w:highlight w:val="none"/>
                <w:lang w:val="en-US" w:eastAsia="zh-CN"/>
              </w:rPr>
              <w:t xml:space="preserve">20，得分保留小数点后两位。</w:t>
            </w:r>
            <w:r/>
          </w:p>
        </w:tc>
      </w:tr>
      <w:tr>
        <w:trPr>
          <w:cantSplit/>
          <w:jc w:val="center"/>
          <w:trHeight w:val="1564"/>
        </w:trPr>
        <w:tc>
          <w:tcPr>
            <w:tcW w:w="984" w:type="dxa"/>
            <w:vAlign w:val="center"/>
            <w:textDirection w:val="lrTb"/>
            <w:noWrap w:val="false"/>
          </w:tcPr>
          <w:p>
            <w:pPr>
              <w:jc w:val="center"/>
              <w:tabs>
                <w:tab w:val="left" w:pos="60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供应商业绩（4分）</w:t>
            </w:r>
            <w:r/>
          </w:p>
        </w:tc>
        <w:tc>
          <w:tcPr>
            <w:gridSpan w:val="2"/>
            <w:shd w:val="clear" w:color="auto" w:fill="auto"/>
            <w:tcW w:w="9394" w:type="dxa"/>
            <w:vAlign w:val="center"/>
            <w:textDirection w:val="lrTb"/>
            <w:noWrap w:val="false"/>
          </w:tcPr>
          <w:p>
            <w:pPr>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供</w:t>
            </w:r>
            <w:r>
              <w:rPr>
                <w:rFonts w:hint="eastAsia" w:ascii="仿宋" w:hAnsi="仿宋" w:eastAsia="仿宋" w:cs="仿宋"/>
                <w:color w:val="auto"/>
                <w:sz w:val="24"/>
                <w:highlight w:val="none"/>
              </w:rPr>
              <w:t xml:space="preserve">应商自2022年1月1日（含，时间以竣工验收证明为准）以来承担过同类或类似工程，以中标/成交通知书、施工合同及竣工验收证明为准（直接发包项目以施工合同、竣工验收证明为准），以上必须同时具备；每提供一份业绩得2分，最高得4分。</w:t>
            </w:r>
            <w:r/>
          </w:p>
          <w:p>
            <w:pPr>
              <w:pStyle w:val="1113"/>
              <w:spacing w:after="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响应文件中提供上述证明材料</w:t>
            </w:r>
            <w:r>
              <w:rPr>
                <w:rFonts w:hint="eastAsia" w:ascii="仿宋" w:hAnsi="仿宋" w:eastAsia="仿宋" w:cs="仿宋"/>
                <w:b/>
                <w:bCs/>
                <w:color w:val="auto"/>
                <w:sz w:val="24"/>
                <w:highlight w:val="none"/>
              </w:rPr>
              <w:t xml:space="preserve">扫描件并加盖供应商电子签章方为有效，未提供或提供不全视为不满足。</w:t>
            </w:r>
            <w:r/>
          </w:p>
        </w:tc>
      </w:tr>
      <w:tr>
        <w:trPr>
          <w:cantSplit/>
          <w:jc w:val="center"/>
          <w:trHeight w:val="2337"/>
        </w:trPr>
        <w:tc>
          <w:tcPr>
            <w:tcW w:w="984" w:type="dxa"/>
            <w:vAlign w:val="center"/>
            <w:textDirection w:val="lrTb"/>
            <w:noWrap w:val="false"/>
          </w:tcPr>
          <w:p>
            <w:pPr>
              <w:jc w:val="center"/>
              <w:tabs>
                <w:tab w:val="left" w:pos="60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所投主要材料性能与质量评价（</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tc>
        <w:tc>
          <w:tcPr>
            <w:gridSpan w:val="2"/>
            <w:tcW w:w="9394" w:type="dxa"/>
            <w:vAlign w:val="center"/>
            <w:textDirection w:val="lrTb"/>
            <w:noWrap w:val="false"/>
          </w:tcPr>
          <w:p>
            <w:pPr>
              <w:pStyle w:val="1115"/>
              <w:ind w:left="0"/>
              <w:spacing w:after="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根据供应商响应文件所投入设备及所投主要材料的</w:t>
            </w:r>
            <w:r>
              <w:rPr>
                <w:rFonts w:hint="eastAsia" w:ascii="仿宋" w:hAnsi="仿宋" w:eastAsia="仿宋" w:cs="仿宋"/>
                <w:color w:val="auto"/>
                <w:sz w:val="24"/>
                <w:highlight w:val="none"/>
                <w:lang w:val="en-US" w:eastAsia="zh-CN"/>
              </w:rPr>
              <w:t xml:space="preserve">说明</w:t>
            </w:r>
            <w:r>
              <w:rPr>
                <w:rFonts w:hint="eastAsia" w:ascii="仿宋" w:hAnsi="仿宋" w:eastAsia="仿宋" w:cs="仿宋"/>
                <w:color w:val="auto"/>
                <w:sz w:val="24"/>
                <w:highlight w:val="none"/>
              </w:rPr>
              <w:t xml:space="preserve">、检测报告、实样照片、</w:t>
            </w:r>
            <w:r>
              <w:rPr>
                <w:rFonts w:hint="eastAsia" w:ascii="仿宋" w:hAnsi="仿宋" w:eastAsia="仿宋" w:cs="仿宋"/>
                <w:color w:val="auto"/>
                <w:sz w:val="24"/>
                <w:highlight w:val="none"/>
                <w:lang w:val="en-US" w:eastAsia="zh-CN"/>
              </w:rPr>
              <w:t xml:space="preserve">产品</w:t>
            </w:r>
            <w:r>
              <w:rPr>
                <w:rFonts w:hint="eastAsia" w:ascii="仿宋" w:hAnsi="仿宋" w:eastAsia="仿宋" w:cs="仿宋"/>
                <w:color w:val="auto"/>
                <w:sz w:val="24"/>
                <w:highlight w:val="none"/>
              </w:rPr>
              <w:t xml:space="preserve">质量等，从性能稳定性、质量可靠性等方面</w:t>
            </w:r>
            <w:r>
              <w:rPr>
                <w:rFonts w:hint="eastAsia" w:ascii="仿宋" w:hAnsi="仿宋" w:eastAsia="仿宋" w:cs="仿宋"/>
                <w:color w:val="auto"/>
                <w:sz w:val="24"/>
                <w:highlight w:val="none"/>
                <w:lang w:val="en-US" w:eastAsia="zh-CN"/>
              </w:rPr>
              <w:t xml:space="preserve">进行评价</w:t>
            </w:r>
            <w:r>
              <w:rPr>
                <w:rFonts w:hint="eastAsia" w:ascii="仿宋" w:hAnsi="仿宋" w:eastAsia="仿宋" w:cs="仿宋"/>
                <w:color w:val="auto"/>
                <w:sz w:val="24"/>
                <w:highlight w:val="none"/>
              </w:rPr>
              <w:t xml:space="preserve">。</w:t>
            </w:r>
            <w:r/>
          </w:p>
          <w:p>
            <w:pPr>
              <w:pStyle w:val="1115"/>
              <w:ind w:left="0"/>
              <w:spacing w:after="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性能稳定性（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分）：性能稳定性高的得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分，性能稳定性较高的得2分，性能稳定性较差的得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pStyle w:val="1115"/>
              <w:ind w:left="0"/>
              <w:spacing w:after="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质量可靠性（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分）：质量可靠性高、配置合理的得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分，产品质量可靠性较高、配置较合理的得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分，质量可靠性程度较差、配置较差的得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pStyle w:val="1115"/>
              <w:ind w:left="0"/>
              <w:spacing w:after="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未提供不得分。本项最高得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分，最低不得分。</w:t>
            </w:r>
            <w:bookmarkStart w:id="19" w:name="_GoBack"/>
            <w:r/>
            <w:bookmarkEnd w:id="19"/>
            <w:r/>
            <w:r/>
          </w:p>
        </w:tc>
      </w:tr>
      <w:tr>
        <w:trPr>
          <w:cantSplit/>
          <w:jc w:val="center"/>
          <w:trHeight w:val="2497"/>
        </w:trPr>
        <w:tc>
          <w:tcPr>
            <w:tcW w:w="984" w:type="dxa"/>
            <w:vAlign w:val="center"/>
            <w:vMerge w:val="restart"/>
            <w:textDirection w:val="lrTb"/>
            <w:noWrap w:val="false"/>
          </w:tcPr>
          <w:p>
            <w:pPr>
              <w:pStyle w:val="1295"/>
              <w:ind w:firstLine="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施工组织设计（</w:t>
            </w:r>
            <w:r>
              <w:rPr>
                <w:rFonts w:hint="eastAsia" w:ascii="仿宋" w:hAnsi="仿宋" w:eastAsia="仿宋" w:cs="仿宋"/>
                <w:color w:val="auto"/>
                <w:sz w:val="24"/>
                <w:highlight w:val="none"/>
                <w:lang w:val="en-US" w:eastAsia="zh-CN"/>
              </w:rPr>
              <w:t xml:space="preserve">60</w:t>
            </w:r>
            <w:r>
              <w:rPr>
                <w:rFonts w:hint="eastAsia" w:ascii="仿宋" w:hAnsi="仿宋" w:eastAsia="仿宋" w:cs="仿宋"/>
                <w:color w:val="auto"/>
                <w:sz w:val="24"/>
                <w:highlight w:val="none"/>
              </w:rPr>
              <w:t xml:space="preserve">分）</w:t>
            </w:r>
            <w:r/>
          </w:p>
        </w:tc>
        <w:tc>
          <w:tcPr>
            <w:tcW w:w="1505" w:type="dxa"/>
            <w:vAlign w:val="center"/>
            <w:textDirection w:val="lrTb"/>
            <w:noWrap w:val="false"/>
          </w:tcPr>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总体施工方案</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12分</w:t>
            </w:r>
            <w:r>
              <w:rPr>
                <w:rFonts w:hint="eastAsia" w:ascii="仿宋" w:hAnsi="仿宋" w:eastAsia="仿宋" w:cs="仿宋"/>
                <w:color w:val="auto"/>
                <w:sz w:val="24"/>
                <w:highlight w:val="none"/>
                <w:lang w:eastAsia="zh-CN"/>
              </w:rPr>
              <w:t xml:space="preserve">）</w:t>
            </w:r>
            <w:r/>
          </w:p>
        </w:tc>
        <w:tc>
          <w:tcPr>
            <w:tcW w:w="788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依据响应文件中的总体施工方案，对工程总体及重点部分施工方案及工艺方法进行综合评分。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合理性(</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分)：合理得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分；较合理得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分；不太合理的得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针对性（</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分)：针对性强得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分；针对性较强得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分；针对性一般的得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分，欠缺针对性的得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分)：符合实际切实可行得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分；较切实可行得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分；可行性欠缺得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未提供的不得分。最高得</w:t>
            </w:r>
            <w:r>
              <w:rPr>
                <w:rFonts w:hint="eastAsia" w:ascii="仿宋" w:hAnsi="仿宋" w:eastAsia="仿宋" w:cs="仿宋"/>
                <w:color w:val="auto"/>
                <w:sz w:val="24"/>
                <w:highlight w:val="none"/>
                <w:lang w:val="en-US" w:eastAsia="zh-CN"/>
              </w:rPr>
              <w:t xml:space="preserve">12</w:t>
            </w:r>
            <w:r>
              <w:rPr>
                <w:rFonts w:hint="eastAsia" w:ascii="仿宋" w:hAnsi="仿宋" w:eastAsia="仿宋" w:cs="仿宋"/>
                <w:color w:val="auto"/>
                <w:sz w:val="24"/>
                <w:highlight w:val="none"/>
              </w:rPr>
              <w:t xml:space="preserve">分，最低不得分。</w:t>
            </w:r>
            <w:r/>
          </w:p>
        </w:tc>
      </w:tr>
      <w:tr>
        <w:trPr>
          <w:cantSplit/>
          <w:jc w:val="center"/>
          <w:trHeight w:val="2497"/>
        </w:trPr>
        <w:tc>
          <w:tcPr>
            <w:tcW w:w="984" w:type="dxa"/>
            <w:vAlign w:val="center"/>
            <w:vMerge w:val="continue"/>
            <w:textDirection w:val="lrTb"/>
            <w:noWrap w:val="false"/>
          </w:tcPr>
          <w:p>
            <w:pPr>
              <w:pStyle w:val="1295"/>
              <w:ind w:firstLine="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5" w:type="dxa"/>
            <w:vAlign w:val="center"/>
            <w:textDirection w:val="lrTb"/>
            <w:noWrap w:val="false"/>
          </w:tcPr>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施工进度计划和各阶段进度的保证措施</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9分</w:t>
            </w:r>
            <w:r>
              <w:rPr>
                <w:rFonts w:hint="eastAsia" w:ascii="仿宋" w:hAnsi="仿宋" w:eastAsia="仿宋" w:cs="仿宋"/>
                <w:color w:val="auto"/>
                <w:sz w:val="24"/>
                <w:highlight w:val="none"/>
                <w:lang w:eastAsia="zh-CN"/>
              </w:rPr>
              <w:t xml:space="preserve">）</w:t>
            </w:r>
            <w:r/>
          </w:p>
        </w:tc>
        <w:tc>
          <w:tcPr>
            <w:tcW w:w="788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依据响应文件中的工期安排、施工进度计划和各阶段进度的保证措施进行综合评分。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合理性(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分)：合理得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分；较合理得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分；不太合理的得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针对性（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分)：针对性强得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分；针对性较强得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分；针对性一般的得1分，欠缺针对性的得0.5分。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分)：符合实际切实可行得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分；较切实可行得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分；可行性欠缺得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未提供的不得分。最高得</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分，最低不得分。</w:t>
            </w:r>
            <w:r/>
          </w:p>
        </w:tc>
      </w:tr>
      <w:tr>
        <w:trPr>
          <w:cantSplit/>
          <w:jc w:val="center"/>
          <w:trHeight w:val="2185"/>
        </w:trPr>
        <w:tc>
          <w:tcPr>
            <w:tcW w:w="984" w:type="dxa"/>
            <w:vAlign w:val="center"/>
            <w:vMerge w:val="continue"/>
            <w:textDirection w:val="lrTb"/>
            <w:noWrap w:val="false"/>
          </w:tcPr>
          <w:p>
            <w:pPr>
              <w:pStyle w:val="1295"/>
              <w:ind w:firstLine="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5" w:type="dxa"/>
            <w:vAlign w:val="center"/>
            <w:textDirection w:val="lrTb"/>
            <w:noWrap w:val="false"/>
          </w:tcPr>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安全文明施工及环境保护措施</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9分</w:t>
            </w:r>
            <w:r>
              <w:rPr>
                <w:rFonts w:hint="eastAsia" w:ascii="仿宋" w:hAnsi="仿宋" w:eastAsia="仿宋" w:cs="仿宋"/>
                <w:color w:val="auto"/>
                <w:sz w:val="24"/>
                <w:highlight w:val="none"/>
                <w:lang w:eastAsia="zh-CN"/>
              </w:rPr>
              <w:t xml:space="preserve">）</w:t>
            </w:r>
            <w:r/>
          </w:p>
        </w:tc>
        <w:tc>
          <w:tcPr>
            <w:tcW w:w="788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依据响应文件中的安全文明施工及环境保护措施进行综合评分。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合理性(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分)：合理得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分；较合理得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分；不太合理的得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针对性（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分)：针对性强得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分；针对性较强得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分；针对性一般的得1分，欠缺针对性的得0.5分。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分)：符合实际切实可行得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分；较切实可行得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分；可行性欠缺得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未提供的不得分。最高得</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分，最低不得分。</w:t>
            </w:r>
            <w:r/>
          </w:p>
        </w:tc>
      </w:tr>
      <w:tr>
        <w:trPr>
          <w:cantSplit/>
          <w:jc w:val="center"/>
          <w:trHeight w:val="2185"/>
        </w:trPr>
        <w:tc>
          <w:tcPr>
            <w:tcW w:w="984" w:type="dxa"/>
            <w:vAlign w:val="center"/>
            <w:vMerge w:val="continue"/>
            <w:textDirection w:val="lrTb"/>
            <w:noWrap w:val="false"/>
          </w:tcPr>
          <w:p>
            <w:pPr>
              <w:pStyle w:val="1295"/>
              <w:ind w:firstLine="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1505" w:type="dxa"/>
            <w:vAlign w:val="center"/>
            <w:textDirection w:val="lrTb"/>
            <w:noWrap w:val="false"/>
          </w:tcPr>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质量保证措施</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11分</w:t>
            </w:r>
            <w:r>
              <w:rPr>
                <w:rFonts w:hint="eastAsia" w:ascii="仿宋" w:hAnsi="仿宋" w:eastAsia="仿宋" w:cs="仿宋"/>
                <w:color w:val="auto"/>
                <w:sz w:val="24"/>
                <w:highlight w:val="none"/>
                <w:lang w:eastAsia="zh-CN"/>
              </w:rPr>
              <w:t xml:space="preserve">）</w:t>
            </w:r>
            <w:r/>
          </w:p>
        </w:tc>
        <w:tc>
          <w:tcPr>
            <w:shd w:val="clear" w:color="auto" w:fill="auto"/>
            <w:tcW w:w="788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依据响应文件中的质量保证措施进行综合评分。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合理性(</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分)：合理得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分；较合理得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分；不太合理的得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针对性（</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分)：针对性强得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分；针对性较强得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分；针对性一般的得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分，欠缺针对性的得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分)：符合实际切实可行得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分；较切实可行得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分；可行性欠缺得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未提供的不得分。最高得</w:t>
            </w: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rPr>
              <w:t xml:space="preserve">分，最低不得分。</w:t>
            </w:r>
            <w:r/>
          </w:p>
        </w:tc>
      </w:tr>
      <w:tr>
        <w:trPr>
          <w:cantSplit/>
          <w:jc w:val="center"/>
          <w:trHeight w:val="2050"/>
        </w:trPr>
        <w:tc>
          <w:tcPr>
            <w:tcW w:w="984" w:type="dxa"/>
            <w:vAlign w:val="center"/>
            <w:vMerge w:val="continue"/>
            <w:textDirection w:val="lrTb"/>
            <w:noWrap w:val="false"/>
          </w:tcPr>
          <w:p>
            <w:pPr>
              <w:pStyle w:val="1295"/>
              <w:ind w:firstLine="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1505" w:type="dxa"/>
            <w:vAlign w:val="center"/>
            <w:textDirection w:val="lrTb"/>
            <w:noWrap w:val="false"/>
          </w:tcPr>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项目管理班子的人员配备、素质及管理经验、机械设备、材料投入保证措施等</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9分</w:t>
            </w:r>
            <w:r>
              <w:rPr>
                <w:rFonts w:hint="eastAsia" w:ascii="仿宋" w:hAnsi="仿宋" w:eastAsia="仿宋" w:cs="仿宋"/>
                <w:color w:val="auto"/>
                <w:sz w:val="24"/>
                <w:highlight w:val="none"/>
                <w:lang w:eastAsia="zh-CN"/>
              </w:rPr>
              <w:t xml:space="preserve">）</w:t>
            </w:r>
            <w:r/>
          </w:p>
        </w:tc>
        <w:tc>
          <w:tcPr>
            <w:shd w:val="clear" w:color="auto" w:fill="auto"/>
            <w:tcW w:w="788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依据响应文件中的项目管理班子的人员配备、素质及管理经验、机械设备、材料投入保证措施等进行综合评分。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合理性(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分)：合理得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分；较合理得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分；不太合理的得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针对性（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分)：针对性强得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分；针对性较强得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分；针对性一般的得1分，欠缺针对性的得0.5分。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分)：符合实际切实可行得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分；较切实可行得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分；可行性欠缺得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未提供的不得分。最高得</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分，最低不得分。</w:t>
            </w:r>
            <w:r/>
          </w:p>
        </w:tc>
      </w:tr>
      <w:tr>
        <w:trPr>
          <w:cantSplit/>
          <w:jc w:val="center"/>
          <w:trHeight w:val="2497"/>
        </w:trPr>
        <w:tc>
          <w:tcPr>
            <w:tcW w:w="984" w:type="dxa"/>
            <w:vAlign w:val="center"/>
            <w:vMerge w:val="continue"/>
            <w:textDirection w:val="lrTb"/>
            <w:noWrap w:val="false"/>
          </w:tcPr>
          <w:p>
            <w:pPr>
              <w:pStyle w:val="1295"/>
              <w:ind w:firstLine="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1505" w:type="dxa"/>
            <w:vAlign w:val="center"/>
            <w:textDirection w:val="lrTb"/>
            <w:noWrap w:val="false"/>
          </w:tcPr>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关键施工技术、工艺及工程项目实施的重点、难点和解决方案</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10分</w:t>
            </w:r>
            <w:r>
              <w:rPr>
                <w:rFonts w:hint="eastAsia" w:ascii="仿宋" w:hAnsi="仿宋" w:eastAsia="仿宋" w:cs="仿宋"/>
                <w:color w:val="auto"/>
                <w:sz w:val="24"/>
                <w:highlight w:val="none"/>
                <w:lang w:eastAsia="zh-CN"/>
              </w:rPr>
              <w:t xml:space="preserve">）</w:t>
            </w:r>
            <w:r/>
          </w:p>
        </w:tc>
        <w:tc>
          <w:tcPr>
            <w:shd w:val="clear" w:color="auto" w:fill="auto"/>
            <w:tcW w:w="788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依据响应文件中的关键施工技术、工艺及工程项目实施的重点、难点和解决方案进行综合评分。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合理性(</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分)：合理得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分；较合理得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分；不太合理的得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针对性（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分)：针对性强得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分；针对性较强得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分；针对性一般的得1分，欠缺针对性的得0.5分。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分)：符合实际切实可行得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分；较切实可行得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分；可行性欠缺得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未提供的不得分。最高得</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分，最低不得分。</w:t>
            </w:r>
            <w:r/>
          </w:p>
        </w:tc>
      </w:tr>
      <w:tr>
        <w:trPr>
          <w:cantSplit/>
          <w:jc w:val="center"/>
          <w:trHeight w:val="2817"/>
        </w:trPr>
        <w:tc>
          <w:tcPr>
            <w:shd w:val="clear" w:color="auto" w:fill="auto"/>
            <w:tcW w:w="984" w:type="dxa"/>
            <w:vAlign w:val="center"/>
            <w:textDirection w:val="lrTb"/>
            <w:noWrap w:val="false"/>
          </w:tcPr>
          <w:p>
            <w:pPr>
              <w:pStyle w:val="1295"/>
              <w:ind w:firstLine="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售后服务</w:t>
            </w:r>
            <w:r>
              <w:rPr>
                <w:rFonts w:hint="eastAsia" w:ascii="仿宋" w:hAnsi="仿宋" w:eastAsia="仿宋" w:cs="仿宋"/>
                <w:color w:val="auto"/>
                <w:sz w:val="24"/>
                <w:highlight w:val="none"/>
                <w:lang w:val="en-US" w:eastAsia="zh-CN"/>
              </w:rPr>
              <w:t xml:space="preserve">方案</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tc>
        <w:tc>
          <w:tcPr>
            <w:shd w:val="clear" w:color="auto" w:fill="auto"/>
            <w:tcW w:w="1505" w:type="dxa"/>
            <w:vAlign w:val="center"/>
            <w:textDirection w:val="lrTb"/>
            <w:noWrap w:val="false"/>
          </w:tcPr>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售后服务方案</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10分</w:t>
            </w:r>
            <w:r>
              <w:rPr>
                <w:rFonts w:hint="eastAsia" w:ascii="仿宋" w:hAnsi="仿宋" w:eastAsia="仿宋" w:cs="仿宋"/>
                <w:color w:val="auto"/>
                <w:sz w:val="24"/>
                <w:highlight w:val="none"/>
                <w:lang w:eastAsia="zh-CN"/>
              </w:rPr>
              <w:t xml:space="preserve">）</w:t>
            </w:r>
            <w:r/>
          </w:p>
        </w:tc>
        <w:tc>
          <w:tcPr>
            <w:shd w:val="clear" w:color="auto" w:fill="auto"/>
            <w:tcW w:w="788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依据响应文件中的售后服务方案，包含缺陷责任期内和缺陷责任期满后的服务方案进行综合评分。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全面性(</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分)：全面具体详实得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分；较全面得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val="en-US" w:eastAsia="zh-CN"/>
              </w:rPr>
              <w:t xml:space="preserve">基本具备的得2分；</w:t>
            </w:r>
            <w:r>
              <w:rPr>
                <w:rFonts w:hint="eastAsia" w:ascii="仿宋" w:hAnsi="仿宋" w:eastAsia="仿宋" w:cs="仿宋"/>
                <w:color w:val="auto"/>
                <w:sz w:val="24"/>
                <w:highlight w:val="none"/>
              </w:rPr>
              <w:t xml:space="preserve">不太全面得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针对性（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分)：针对性强得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分；针对性较强得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分；针对性一般的得1分，欠缺针对性的得0.5分。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分)：符合实际切实可行得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分；较切实可行得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分；可行性欠缺得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未提供的不得分。</w:t>
            </w:r>
            <w:r>
              <w:rPr>
                <w:rFonts w:hint="eastAsia" w:ascii="仿宋" w:hAnsi="仿宋" w:eastAsia="仿宋" w:cs="仿宋"/>
                <w:color w:val="auto"/>
                <w:sz w:val="24"/>
                <w:highlight w:val="none"/>
                <w:lang w:val="en-US" w:eastAsia="zh-CN"/>
              </w:rPr>
              <w:t xml:space="preserve">本项</w:t>
            </w:r>
            <w:r>
              <w:rPr>
                <w:rFonts w:hint="eastAsia" w:ascii="仿宋" w:hAnsi="仿宋" w:eastAsia="仿宋" w:cs="仿宋"/>
                <w:color w:val="auto"/>
                <w:sz w:val="24"/>
                <w:highlight w:val="none"/>
              </w:rPr>
              <w:t xml:space="preserve">最高得</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分，最低得0分。</w:t>
            </w:r>
            <w:r/>
          </w:p>
        </w:tc>
      </w:tr>
    </w:tbl>
    <w:p>
      <w:pPr>
        <w:spacing w:line="520" w:lineRule="exact"/>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 xml:space="preserve">说明：本项目采用综合评分法。</w:t>
      </w:r>
      <w:r>
        <w:rPr>
          <w:rFonts w:hint="eastAsia" w:ascii="仿宋" w:hAnsi="仿宋" w:eastAsia="仿宋" w:cs="仿宋"/>
          <w:b/>
          <w:bCs/>
          <w:color w:val="auto"/>
          <w:sz w:val="24"/>
          <w:highlight w:val="none"/>
          <w:lang w:val="en-US" w:eastAsia="zh-CN"/>
        </w:rPr>
        <w:t xml:space="preserve">最终得分保留小数点后两位。</w:t>
      </w:r>
      <w:r/>
    </w:p>
    <w:p>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rPr>
          <w:rFonts w:hint="eastAsia" w:ascii="仿宋" w:hAnsi="仿宋" w:eastAsia="仿宋" w:cs="仿宋"/>
          <w:b/>
          <w:bCs/>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仿宋" w:hAnsi="仿宋" w:eastAsia="仿宋" w:cs="仿宋"/>
          <w:b/>
          <w:bCs/>
          <w:color w:val="auto"/>
          <w:sz w:val="32"/>
          <w:szCs w:val="32"/>
          <w:highlight w:val="none"/>
        </w:rPr>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2、项目要求（采购需求）</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sz w:val="24"/>
          <w:highlight w:val="none"/>
        </w:rPr>
        <w:t xml:space="preserve">一、本项目不接受超过人民币93.56万元（项目</w:t>
      </w:r>
      <w:r>
        <w:rPr>
          <w:rFonts w:hint="eastAsia" w:ascii="仿宋" w:hAnsi="仿宋" w:eastAsia="仿宋" w:cs="仿宋"/>
          <w:b/>
          <w:bCs/>
          <w:color w:val="auto"/>
          <w:sz w:val="24"/>
          <w:highlight w:val="none"/>
          <w:lang w:val="en-US" w:eastAsia="zh-CN"/>
        </w:rPr>
        <w:t xml:space="preserve">最高限价</w:t>
      </w:r>
      <w:r>
        <w:rPr>
          <w:rFonts w:hint="eastAsia" w:ascii="仿宋" w:hAnsi="仿宋" w:eastAsia="仿宋" w:cs="仿宋"/>
          <w:b/>
          <w:bCs/>
          <w:color w:val="auto"/>
          <w:sz w:val="24"/>
          <w:highlight w:val="none"/>
        </w:rPr>
        <w:t xml:space="preserve">）的响应报价（首次报价和最终报价）。</w:t>
      </w:r>
      <w:r/>
    </w:p>
    <w:p>
      <w:pPr>
        <w:pStyle w:val="1296"/>
        <w:spacing w:before="0" w:beforeAutospacing="0" w:after="0" w:afterAutospacing="0"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二、项目说明：</w:t>
      </w:r>
      <w:r/>
    </w:p>
    <w:p>
      <w:pPr>
        <w:pStyle w:val="1296"/>
        <w:spacing w:before="0" w:beforeAutospacing="0" w:after="0" w:afterAutospacing="0"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1、项目名称：</w:t>
      </w:r>
      <w:bookmarkStart w:id="2" w:name="OLE_LINK2"/>
      <w:r>
        <w:rPr>
          <w:rFonts w:hint="eastAsia" w:ascii="仿宋" w:hAnsi="仿宋" w:eastAsia="仿宋" w:cs="仿宋"/>
          <w:b w:val="0"/>
          <w:bCs w:val="0"/>
          <w:color w:val="auto"/>
          <w:highlight w:val="none"/>
          <w:lang w:eastAsia="zh-CN"/>
        </w:rPr>
        <w:t xml:space="preserve">永嘉新城福彩销售兑奖大厅装修</w:t>
      </w:r>
      <w:bookmarkEnd w:id="2"/>
      <w:r>
        <w:rPr>
          <w:rFonts w:hint="eastAsia" w:ascii="仿宋" w:hAnsi="仿宋" w:eastAsia="仿宋" w:cs="仿宋"/>
          <w:b w:val="0"/>
          <w:bCs w:val="0"/>
          <w:color w:val="auto"/>
          <w:highlight w:val="none"/>
          <w:lang w:eastAsia="zh-CN"/>
        </w:rPr>
        <w:t xml:space="preserve">项目</w:t>
      </w:r>
      <w:r>
        <w:rPr>
          <w:rFonts w:hint="eastAsia" w:ascii="仿宋" w:hAnsi="仿宋" w:eastAsia="仿宋" w:cs="仿宋"/>
          <w:b w:val="0"/>
          <w:bCs w:val="0"/>
          <w:color w:val="auto"/>
          <w:highlight w:val="none"/>
        </w:rPr>
        <w:t xml:space="preserve">。</w:t>
      </w:r>
      <w:r/>
    </w:p>
    <w:p>
      <w:pPr>
        <w:pStyle w:val="1296"/>
        <w:spacing w:before="0" w:beforeAutospacing="0" w:after="0" w:afterAutospacing="0"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2、项目地址（建设地点）：</w:t>
      </w:r>
      <w:r>
        <w:rPr>
          <w:rFonts w:hint="eastAsia" w:ascii="仿宋" w:hAnsi="仿宋" w:eastAsia="仿宋" w:cs="仿宋"/>
          <w:b w:val="0"/>
          <w:bCs w:val="0"/>
          <w:color w:val="auto"/>
          <w:highlight w:val="none"/>
          <w:lang w:val="en-US" w:eastAsia="zh-CN"/>
        </w:rPr>
        <w:t xml:space="preserve">徐州市新城区</w:t>
      </w:r>
      <w:r>
        <w:rPr>
          <w:rFonts w:hint="eastAsia" w:ascii="仿宋" w:hAnsi="仿宋" w:eastAsia="仿宋" w:cs="仿宋"/>
          <w:b w:val="0"/>
          <w:bCs w:val="0"/>
          <w:color w:val="auto"/>
          <w:highlight w:val="none"/>
        </w:rPr>
        <w:t xml:space="preserve">永嘉新城一层业务用房。</w:t>
      </w:r>
      <w:r/>
    </w:p>
    <w:p>
      <w:pPr>
        <w:pStyle w:val="1296"/>
        <w:spacing w:before="0" w:beforeAutospacing="0" w:after="0" w:afterAutospacing="0"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3、工期：</w:t>
      </w:r>
      <w:r>
        <w:rPr>
          <w:rFonts w:hint="eastAsia" w:ascii="仿宋" w:hAnsi="仿宋" w:eastAsia="仿宋" w:cs="仿宋"/>
          <w:b w:val="0"/>
          <w:bCs w:val="0"/>
          <w:color w:val="auto"/>
          <w:highlight w:val="none"/>
          <w:lang w:val="en-US" w:eastAsia="zh-CN"/>
        </w:rPr>
        <w:t xml:space="preserve">100日历</w:t>
      </w:r>
      <w:r>
        <w:rPr>
          <w:rFonts w:hint="eastAsia" w:ascii="仿宋" w:hAnsi="仿宋" w:eastAsia="仿宋" w:cs="仿宋"/>
          <w:b w:val="0"/>
          <w:bCs w:val="0"/>
          <w:color w:val="auto"/>
          <w:highlight w:val="none"/>
        </w:rPr>
        <w:t xml:space="preserve">天。</w:t>
      </w:r>
      <w:r/>
    </w:p>
    <w:p>
      <w:pPr>
        <w:pStyle w:val="1296"/>
        <w:spacing w:before="0" w:beforeAutospacing="0" w:after="0" w:afterAutospacing="0"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4、工程质量：合格，质保期不少于2年（防水工程质保期不低于5年）。</w:t>
      </w:r>
      <w:r/>
    </w:p>
    <w:p>
      <w:pPr>
        <w:pStyle w:val="1296"/>
        <w:spacing w:before="0" w:beforeAutospacing="0" w:after="0" w:afterAutospacing="0"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5、项目概况及招标范围：</w:t>
      </w:r>
      <w:r>
        <w:rPr>
          <w:rFonts w:hint="eastAsia" w:ascii="仿宋" w:hAnsi="仿宋" w:eastAsia="仿宋" w:cs="仿宋"/>
          <w:b w:val="0"/>
          <w:bCs w:val="0"/>
          <w:color w:val="auto"/>
          <w:highlight w:val="none"/>
          <w:lang w:eastAsia="zh-CN"/>
        </w:rPr>
        <w:t xml:space="preserve">永嘉新城福彩销售兑奖大厅装修</w:t>
      </w:r>
      <w:r>
        <w:rPr>
          <w:rFonts w:hint="eastAsia" w:ascii="仿宋" w:hAnsi="仿宋" w:eastAsia="仿宋" w:cs="仿宋"/>
          <w:b w:val="0"/>
          <w:bCs w:val="0"/>
          <w:color w:val="auto"/>
          <w:highlight w:val="none"/>
        </w:rPr>
        <w:t xml:space="preserve">。具体详见工程量清单</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编制说明</w:t>
      </w:r>
      <w:r>
        <w:rPr>
          <w:rFonts w:hint="eastAsia" w:ascii="仿宋" w:hAnsi="仿宋" w:eastAsia="仿宋" w:cs="仿宋"/>
          <w:b w:val="0"/>
          <w:bCs w:val="0"/>
          <w:color w:val="auto"/>
          <w:highlight w:val="none"/>
        </w:rPr>
        <w:t xml:space="preserve">及施工图所含全部内容。</w:t>
      </w:r>
      <w:r/>
    </w:p>
    <w:p>
      <w:pPr>
        <w:pStyle w:val="1296"/>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6、承包方式：包工包料（产生的建筑垃圾、渣土负责清运）。</w:t>
      </w:r>
      <w:r/>
    </w:p>
    <w:p>
      <w:pPr>
        <w:pStyle w:val="1296"/>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7、现场自然及施工条件：要求供</w:t>
      </w:r>
      <w:r>
        <w:rPr>
          <w:rFonts w:hint="eastAsia" w:ascii="仿宋" w:hAnsi="仿宋" w:eastAsia="仿宋" w:cs="仿宋"/>
          <w:color w:val="auto"/>
          <w:highlight w:val="none"/>
        </w:rPr>
        <w:t xml:space="preserve">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296"/>
        <w:spacing w:before="0" w:beforeAutospacing="0" w:after="0" w:afterAutospacing="0"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8、现场踏勘：自行踏勘现场。</w:t>
      </w:r>
      <w:r/>
    </w:p>
    <w:p>
      <w:pPr>
        <w:pStyle w:val="1296"/>
        <w:spacing w:before="0" w:beforeAutospacing="0" w:after="0" w:afterAutospacing="0"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说明：</w:t>
      </w:r>
      <w:r/>
    </w:p>
    <w:p>
      <w:pPr>
        <w:pStyle w:val="1296"/>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（1）供应商对施工现场进行踏勘，以获取编制响应文件所需的现场信息资料。</w:t>
      </w:r>
      <w:r/>
    </w:p>
    <w:p>
      <w:pPr>
        <w:pStyle w:val="1296"/>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（2）供应商对本磋商文件所作出的理解、推论和解释由其自己负责。</w:t>
      </w:r>
      <w:r/>
    </w:p>
    <w:p>
      <w:pPr>
        <w:pStyle w:val="1296"/>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（3）由于现场踏勘没有进行或者不详细所导致的一切问题均由供应商自行负责。</w:t>
      </w:r>
      <w:r/>
    </w:p>
    <w:p>
      <w:pPr>
        <w:pStyle w:val="1296"/>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（4）供应商应承担现场踏勘的责任和风险，现场踏勘费用由供应商自己承担。</w:t>
      </w:r>
      <w:r/>
    </w:p>
    <w:p>
      <w:pPr>
        <w:pStyle w:val="1296"/>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9、本工程采用的技术规范：执行现行技术规范：</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执行国家、江苏省及徐州市颁发的现行行业规范、相关标准及相关文件。</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10、工程建设地点的现场条件：</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 现场自然条件：供应商自行踏勘现场获取。（包括：现场环境、地形、地貌、地质、水文、地震烈度及气温、雨雪量、风向、风力等）。</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 现场施工条件：供应商踏勘现场获取。</w:t>
      </w:r>
      <w:r/>
    </w:p>
    <w:p>
      <w:pPr>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（包括：建设用地面积、建筑物占地面积、场地情况、施工用水、电及有关勘探资料等）</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三、工程量清单</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1、工程量清单编制说明：</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1.1本工程量清单是依据现行国家标准《建设工程工程量清单计价规范》(GB50500-2013)及其9本计算规范(以下简称“计价规范”)、地方规定以及磋商文件中包括的图纸等编制。</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 本工程量清单应与磋商文件中通用合同条款、专用合同条款、技术标准和要求等章节内容一起阅读和理解。</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1.3本工程量清单仅是报价的共同基础，竣工结算的工程量按合同约定确定。合同价格的确定以及价款支付应遵循合同条款(包括通用合同条款和专用合同条款)、技术标准和要求以及本章的有关约定。</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 本条第1.1款中约定的计量和计价规则适用于合同履约过程中工程量计量与价款支付、工程变更、索赔和工程结算。</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 本清单要求是构成合同文件的已标价工程量清单的组成部分。</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2、响应报价编制要求</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2.1报价应根据磋商文件中的有关计价要求，并按照下列依据自主报价，但不得低于成本。</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本工程执行现行国家标准《建设工程工程量清单计价规范》（GB50500－2013）、《通用安装工程工</w:t>
      </w:r>
      <w:r>
        <w:rPr>
          <w:rFonts w:hint="eastAsia" w:ascii="仿宋" w:hAnsi="仿宋" w:eastAsia="仿宋" w:cs="仿宋"/>
          <w:color w:val="auto"/>
          <w:sz w:val="24"/>
          <w:highlight w:val="none"/>
        </w:rPr>
        <w:t xml:space="preserve">程量计算规范》（GB50856-2013）、《房屋建筑与装饰工程工程量计算规范》（GB50854-2013）、《江苏省建筑与装饰工程计价定额》（2014版）、《江苏安装工程计价定额》（2014年版）、《江苏省房屋修缮工程计价（土建）》（2009版）、《江苏省房屋修缮工程计价（安装）》（2009版）、《江苏省安装工程计价定额》（2014版）、《江苏省建设工程费用定额》（2014版）。人工费调整执行[苏建函价（2025）66号]文件等有关文件规定及采购人提供的工程量清单、施工蓝图、本文件及其补充通知和答疑纪要。</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3、报价应包含的内容：</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 报价应是指为完成竞争性磋商文件所确定的招标范围内、工程量清单所载明的所有内容需要的全部费用，其根据为供应商提交的已标价的工程量清单及响应文件。</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 供应商应按采购人提供的工程量清单内容填报价格。填写的项目编码、项目名称、项目特征、计量单位、工程量必须与采购人提供的一致。</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 本工程项目采用工程量清单计价。供应商应根据现场勘查和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 措施项目中的总价项目按下列要求报价：</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3.4.1 总价措施项目中，以费率计算的，供应商在报价时自主报价。</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3.4.2 措施项目清单中的安全文明施工费应按国家、省级或行业建设主管部门的规定计价，不得作为竞争性费用。</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3.4.3 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3.4.4 “总价措施项目清单与计价表”中所填写的报价金额，应全面涵盖磋商文件约定的供应商中标后施工、竣工、交付本工程并维修其任何缺陷所需要履行的责任和义务的全部费用。</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 其他项目清单费应按下列规定报价：</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3.5.1 暂列金额按“暂列金额明细表”中列出的金额报价。</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3.5.2计日工按“计日工表”中列出的项目和估算数量，自主确定综合单价并计算计日工金额。</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 规费和税金应按“规费、税金项目计价表”所列项目并根据国家、省级或行业建设主管部门的有关规定列项和计算，不得作为竞争性费用。</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 除磋商文件有强制性规定以及不可竞争部分以外，报价由供应商自主确定，但不得低于成本。</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3.8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3.9 管理费应由供应商在保证不低于其成本的基础上做竞争性考虑；利润由供应商根据自身情况和综合实力做竞争性考虑。</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3.10 响应报价中应考虑磋商文件中要求供应商承担的风险范围以及相关的费用。</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3.11 总价为供应商在响应文件中提出的各项支付金额的总和，为实施、完成招标工程并修补缺陷以及履行磋商文件中约定的风险范围内的所有责任和义务所发生的全部费用。</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3.12 有关报价的其他要求： 执行《省住房城乡建设厅关于调整建设工程按质论价等费用计取方法的公告》（江苏省住房和城乡建设厅〔2018〕第24号）规定。</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3.13 检验试验费：因本工程需要所做的全部检验、试验及检测相关费用，由供应商自行考虑风险并计入报价中，结算时不予调整。</w:t>
      </w:r>
      <w:r/>
    </w:p>
    <w:p>
      <w:pPr>
        <w:spacing w:line="360" w:lineRule="auto"/>
        <w:rPr>
          <w:rFonts w:hint="eastAsia" w:ascii="仿宋" w:hAnsi="仿宋" w:eastAsia="仿宋" w:cs="仿宋"/>
          <w:color w:val="auto"/>
          <w:spacing w:val="10"/>
          <w:sz w:val="24"/>
          <w:highlight w:val="none"/>
        </w:rPr>
      </w:pPr>
      <w:r>
        <w:rPr>
          <w:rFonts w:hint="eastAsia" w:ascii="仿宋" w:hAnsi="仿宋" w:eastAsia="仿宋" w:cs="仿宋"/>
          <w:color w:val="auto"/>
          <w:sz w:val="24"/>
          <w:highlight w:val="none"/>
        </w:rPr>
        <w:t xml:space="preserve">3.14 响应报价时含各专业施工过程中线管及相关井道开洞及封堵等费用。</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3.15 响应报价应包括磋商文件所确定的招标范围内工程量清单中所含施工图项目的全部内容，以及为完成上述内容所需的全部费用。本工程采用固定单价合同（除另有规定外），招标范围内所有材料价格、人工工资单价、机械价格等费用均不调整。供应商在计算报价时应充分考虑施工期间各种风险因素。 </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4、报价方式</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 供应商应充分考虑施工期间各类建材的市场风险，并计入总报价，今后不再调整，供应商所填写的单价和合价，在合同实施期间不因市场变化因素而变动。供应商在计算报价时应考虑一定的风险系数。风险费用应在投标报价中考虑，以后不再另外计算。</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 本工程材料风险约定：招标范围内所有材料价格结算时均不再调整。对于法律、法规、规章或有关政策出台导致工程税金、规费发生变化的，按有关规定执行。</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5、工程价款调整：</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5.1 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5.2 当工程量清单项目工程量的变化幅度超过10%，且其影响分部分项工程费超过0.1%时，应由受益方在合同约定时间内向合同的另一方以书面的形式提出工程价款调整要求，由承包人以书面的形式提出增加部分的工程量或减少后剩余部分的工程量的综合单价调整意见，经发包人书面确认后作为结算的依据，合同有约定的按合同执行。</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5.3 因非承包人原因的工程变更，造成施工组织设计或施工方案变更，引起措施项目发生变化时，措施项目费应按2014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6、相关取费要求：详见工程量清单。</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7、其他说明</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7.1词语和定义</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7.1.1 同义词语</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本磋商文件中使用的词语“采购人”和“供应商”分别与合同条款中定义的“发包人”和“承包人”同义。</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 工程量差异调整</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7.2.2 供应商可对采购人提供的工程量清单进行复核。这种复核包括对采购人提供的工程量清单中的项目编码、项目名称、项目特征描述、计量单位、工程量的准确性以及可能存在的任何书</w:t>
      </w:r>
      <w:r>
        <w:rPr>
          <w:rFonts w:hint="eastAsia" w:ascii="仿宋" w:hAnsi="仿宋" w:eastAsia="仿宋" w:cs="仿宋"/>
          <w:color w:val="auto"/>
          <w:sz w:val="24"/>
          <w:highlight w:val="none"/>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 招标控制价人工费调整执行苏建函价〔2025〕66号文件、材料价格参考《徐州工程造价信息》2025年第</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期，造价信息中没有的材料按照当期市场询价执行。</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 暂估价材料的单价由采购人提供，材料单价组成中应包括场外运输与采购保管费。投标人根据该单价计算相应分部分项工程和措施项目的综合单价，并在材料暂估价格表中列出暂估材料的数量、单价、合价和汇总价格，该汇总价格不计入其他项目工程费合计中。</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7.5 扬尘污染防治费根据《省住房城乡建设厅关于调整建设工程按质论价等费用计取方法的公告》【2018】第24号计算，施工期间，承包方应积极主动按照大气污染防治监管部门的要求，采取必要防治措施，对发生的费用单独计量和核算，费用从工地扬尘污染防治费中列支。</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7.5 建筑安装工程造价的组成</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7.5.1 分部分项工程费：执行现行国家标准《建设工程工程量清单计价规范》、（GB50500－2013）《房屋建筑与装饰工程工程量计算规范》（GB50854-2013）、《江苏省建筑与装饰工程计价定额》（2014版）、《江苏省房屋修缮工程计价（土建）》（2009版）、《江苏省房屋修缮工程计价（安装）》（2009版）、《江苏省安装工程计价定额》（2014版）、《江苏省建设工程费用定额》（2014版）。人工费调整执行苏建函价〔2025〕66号文件等有关文件规定。</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7.5.2 通用项目（供应商可自主报价，结算不调整）</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（1）夜间施工。</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（2）二次搬运。</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（3）冬雨季施工。</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（4）大型机械设备进出场及安拆。</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（5）施工排水。</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（6）施工降水。</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（7）地上、地下设施，建筑物的临时保护设施。</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（8）已完工程及设备保护。</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（9）临时设施。</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（10）材料与设备检验试验。</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（11）赶工措施。</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（12）工程按质论价。</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（13）特殊条件下施工增加。</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（14）垂直运输及超增加费。</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7.5.3 其他项目费：按照工程量清单载明的标准计价。</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7.5.4 措施项目费、规费、税金的取费率按照工程量清单载明的标准计价。</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8、低于成本报价：</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评审过程中出现下列情形之一的，评审委员会应当启动异常低价投标（响应）审查程序：</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①投标（响应）报价低于采购项目预算50%的，即投标（响应）报价&lt;采购项目预算×50%；</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②投标（响应）报价低于采购项目最高限价45%的，即投标（响应）报价&lt;采购项目最高限价×45%；</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③评审委员会认定的供应商报价过低、有可能影响产品质量或者不能诚信履约的其他情形。</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启动异常低价投标（响应）审查后，评审委员会应当要求相关供应商（通过“苏采云”系统）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9、项目相关要求：</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9.1供应商报价时需考虑完成本项目内容所涉及的人工费、材料费、机械费、税费、验收等相关的一切费用。</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9.2供应商应根据本项目实际情况，合理配置人员，除项目经理外，安全员、质检员、施工员、预算员、材料员等人员应经验丰富，确保项目顺利实施。</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10、设备材料采购管理：</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 供应商在参与竞争性磋商采购活动时需提供中档及以上档次品牌产品进行报价。</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 供应商采购本项目设备材料前应向监理及招标人报审同意后方可采购，采购人保留对设备材料厂家考察及变更材料品牌的权利。</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10.3 未经采购人同意，不得以任何借口更换供货商。若供应商提供的材料供货商有产品质量问题、违法行为或不良记录，采购人调研确认后,将保留更换供货商的权利。成交供应商不得由此而提出对合同价格进行调整。</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10.4供应商采购的设备、材料，均应提供完整有效的质保资料，否则不得使用。</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10.5 设备材料进场报验要求</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材料在合同执行过程中将严格按照下列要求进行报验审批：</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（1）设备材料选定应严格按照磋商文件、图纸、响应文件等的要求且供货商无违法行为及不良记录。</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（2）提供厂家出具的提货单，提货单需注明项目名称；若通过代理商订货，应提供厂家出具给该代理商的项目供货授权书（需注明项目名称），并且提供提货单。提货单供货数量必须跟工程量相匹配。</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（3）提供符合技术要求的产品报验资料包含不限于产品验收标准、产品合格证、检测报告、产品使用说明书等。</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（4）若不满足上述要求，采购人有权要求成交供应商更换材料，已进场材料无条件退场，所发生的费用由供应商承担。</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10.6 对于竞争性磋商活动中明确的设备材料，根据采购人要求，供应商在实施采购前应先提供样品，由监理工程师组织采购人、设计单位，共同对设备材料样品的型号、规格、样式、颜色等参数进行确认，经各方确认后的设备材料样品应封存。</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10.7 采购人保留更换品牌的权力，供应商须按市场主流产品的优等产品进行采购，采购前报采购人确认后方可采购。上述其他要求不变。</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10.8供应商须严格按照此采购管理要求进行本项目设备材料的采购和管理工作，否则由此产生的一切后果由供应商承担。</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11、质量要求标准：合格，通过相关部门验收。</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12、项目负责人或现场主要技术人员具有相关工程施工管理经验。在施工期间企业必须为每个项目安排不少于1名的固定技术人员。项目负责人或现场主要</w:t>
      </w:r>
      <w:r>
        <w:rPr>
          <w:rFonts w:hint="eastAsia" w:ascii="仿宋" w:hAnsi="仿宋" w:eastAsia="仿宋" w:cs="仿宋"/>
          <w:color w:val="auto"/>
          <w:sz w:val="24"/>
          <w:highlight w:val="none"/>
        </w:rPr>
        <w:t xml:space="preserve">技术人员须善于协调，能够按照采购单位要求在规定的工期和时间内及时完成任务。</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13、工程质量必须达到合同约定标准，执行现行相关《施工质量验收规范》</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14、项目验收前，采购人有权委托有资质的第三方检测机构对空气质量进行检测，检测费用包含在供应商报价中，采购人不承担相关费用。</w:t>
      </w:r>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四、售后服务及技术培训要求</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1、自验收合格之日起质保期不少于2年（防水工程质保期不低于5年）。</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2、接到故障通知后2小时响应到达现场服务以及故障应急处理方案，12小时完成故障处理。</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五、本项目无效响应文件的判定（磋商文件的实质性要求）：</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1、供应商资格条件不符合国家有关规定或磋商文件要求的； </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2、供应商名称或组织结构与资格审查时不一致的；</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3、除在响应文件提交截止时间前经采购人书面同意外，项目负责人与资格审查时不一致的； </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4、响应报价低于成本或者高于磋商文件设定的最高限价的； </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5、同一供应商提交两个及以上不同的响应文件或者响应报价，但磋商文件要求提交备选的除外； </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6、与磋商文件规定的暂列金额及甲供材料价格不一致的； </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7、与磋商文件明确列出的不可竞争费用项目或费率或计算基础不一致的； </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8、与磋商文件提供的工程量清单中的项目编码、项目名称、项目特征、计量单位、工程量不一致的； </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9、响应文件载明的招标项目完成期限超过磋商文件规定的期限的； </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10、明显不符合技术规范、技术标准的要求的； </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11、响应文件载明的货物包装方式、检验标准和方法等不符合磋商文件的要求的； </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12、响应文件提出了不能满足磋商文件要求或采购人不能接受的工程验收、计量、价款结算和支付办法的； </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13、不同供应商的响应文件以及响应文件制作过程出现了评标委员会认为不应当雷同的情况的； </w:t>
      </w:r>
      <w:r/>
    </w:p>
    <w:p>
      <w:pPr>
        <w:pStyle w:val="1113"/>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14、以他人的名义投标、串通投标、以行贿手段谋取成交或者以其他弄虚作假方式投标的。</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六、图纸</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color w:val="auto"/>
          <w:sz w:val="24"/>
          <w:highlight w:val="none"/>
        </w:rPr>
        <w:t xml:space="preserve">1、因系统原因，电子版图纸等资料无法上传到“徐州政府采购网”。电子版图纸资料领取方法：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“复制此链接，打开百度网盘自行获取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通过网盘分享的文件：永嘉新城福彩销售兑奖大厅装修项目施工图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链接: 通过网盘分享的文件：2025.09.24永嘉新城福彩店施工图最终(蓝图整理).zip</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链接: https://pan.baidu.com/s/1XFowF_8VHcyxlen_X05t1A?pwd=be29 提取码: be29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2、如在下载过程中出现异常情况，请及时联系：</w:t>
      </w:r>
      <w:r>
        <w:rPr>
          <w:rFonts w:hint="eastAsia" w:ascii="仿宋" w:hAnsi="仿宋" w:eastAsia="仿宋" w:cs="仿宋"/>
          <w:b/>
          <w:color w:val="auto"/>
          <w:sz w:val="24"/>
          <w:highlight w:val="none"/>
          <w:lang w:val="en-US" w:eastAsia="zh-CN"/>
        </w:rPr>
        <w:t xml:space="preserve">李昆</w:t>
      </w:r>
      <w:r>
        <w:rPr>
          <w:rFonts w:hint="eastAsia" w:ascii="仿宋" w:hAnsi="仿宋" w:eastAsia="仿宋" w:cs="仿宋"/>
          <w:b/>
          <w:color w:val="auto"/>
          <w:sz w:val="24"/>
          <w:highlight w:val="none"/>
        </w:rPr>
        <w:t xml:space="preserve">，联系电话：</w:t>
      </w:r>
      <w:r>
        <w:rPr>
          <w:rFonts w:hint="eastAsia" w:ascii="仿宋" w:hAnsi="仿宋" w:eastAsia="仿宋" w:cs="仿宋"/>
          <w:color w:val="auto"/>
          <w:sz w:val="24"/>
          <w:highlight w:val="none"/>
          <w:lang w:val="en-US" w:eastAsia="zh-CN" w:bidi="en-US"/>
        </w:rPr>
        <w:t xml:space="preserve">18252139142</w:t>
      </w:r>
      <w:r/>
    </w:p>
    <w:p>
      <w:pPr>
        <w:pStyle w:val="1113"/>
        <w:spacing w:after="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七、其他要求：</w:t>
      </w:r>
      <w:r/>
    </w:p>
    <w:p>
      <w:pPr>
        <w:pStyle w:val="1113"/>
        <w:spacing w:after="0" w:line="360" w:lineRule="auto"/>
        <w:rPr>
          <w:rFonts w:hint="eastAsia" w:ascii="仿宋" w:hAnsi="仿宋" w:eastAsia="仿宋" w:cs="仿宋"/>
          <w:color w:val="auto"/>
          <w:highlight w:val="none"/>
        </w:rPr>
      </w:pPr>
      <w:r>
        <w:rPr>
          <w:rFonts w:hint="eastAsia" w:ascii="仿宋" w:hAnsi="仿宋" w:eastAsia="仿宋" w:cs="仿宋"/>
          <w:b/>
          <w:bCs/>
          <w:color w:val="auto"/>
          <w:sz w:val="24"/>
          <w:highlight w:val="none"/>
        </w:rPr>
        <w:t xml:space="preserve">1、见《磋商文件》附件：6、《拟签订的合同文本》、《工程量清单》</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编制说明</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及《图纸》。</w:t>
      </w:r>
      <w:r/>
    </w:p>
    <w:p>
      <w:pPr>
        <w:jc w:val="center"/>
        <w:spacing w:line="360" w:lineRule="auto"/>
        <w:rPr>
          <w:rFonts w:hint="eastAsia" w:ascii="仿宋" w:hAnsi="仿宋" w:eastAsia="仿宋" w:cs="仿宋"/>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3、磋商报价表</w:t>
      </w:r>
      <w:r/>
    </w:p>
    <w:p>
      <w:pPr>
        <w:jc w:val="left"/>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p>
    <w:p>
      <w:pPr>
        <w:spacing w:line="52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本次为首次报价</w:t>
      </w:r>
      <w:r/>
    </w:p>
    <w:p>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货币单位：人民币元</w:t>
      </w:r>
      <w:r/>
    </w:p>
    <w:tbl>
      <w:tblPr>
        <w:tblStyle w:val="1061"/>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jc w:val="center"/>
          <w:trHeight w:val="839"/>
        </w:trPr>
        <w:tc>
          <w:tcPr>
            <w:tcW w:w="4726" w:type="dxa"/>
            <w:vAlign w:val="center"/>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项目名称</w:t>
            </w:r>
            <w:r/>
          </w:p>
        </w:tc>
        <w:tc>
          <w:tcPr>
            <w:tcW w:w="2035" w:type="dxa"/>
            <w:vAlign w:val="center"/>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项目内容</w:t>
            </w:r>
            <w:r/>
          </w:p>
        </w:tc>
        <w:tc>
          <w:tcPr>
            <w:tcW w:w="2180" w:type="dxa"/>
            <w:vAlign w:val="center"/>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总价（小写）</w:t>
            </w:r>
            <w:r/>
          </w:p>
        </w:tc>
      </w:tr>
      <w:tr>
        <w:trPr>
          <w:cantSplit/>
          <w:jc w:val="center"/>
          <w:trHeight w:val="1065" w:hRule="exact"/>
        </w:trPr>
        <w:tc>
          <w:tcPr>
            <w:tcW w:w="4726" w:type="dxa"/>
            <w:vAlign w:val="center"/>
            <w:textDirection w:val="lrTb"/>
            <w:noWrap w:val="false"/>
          </w:tcPr>
          <w:p>
            <w:pPr>
              <w:jc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 xml:space="preserve"> </w:t>
            </w:r>
            <w:r>
              <w:rPr>
                <w:rFonts w:hint="eastAsia" w:ascii="仿宋" w:hAnsi="仿宋" w:eastAsia="仿宋" w:cs="仿宋"/>
                <w:b/>
                <w:bCs/>
                <w:color w:val="auto"/>
                <w:sz w:val="24"/>
                <w:highlight w:val="none"/>
                <w:lang w:eastAsia="zh-CN"/>
              </w:rPr>
              <w:t xml:space="preserve">永嘉新城福彩销售兑奖大厅装修项目</w:t>
            </w:r>
            <w:r/>
          </w:p>
        </w:tc>
        <w:tc>
          <w:tcPr>
            <w:tcW w:w="2035" w:type="dxa"/>
            <w:vAlign w:val="center"/>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详见响应文件</w:t>
            </w:r>
            <w:r/>
          </w:p>
        </w:tc>
        <w:tc>
          <w:tcPr>
            <w:tcW w:w="2180" w:type="dxa"/>
            <w:vAlign w:val="center"/>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cantSplit/>
          <w:jc w:val="center"/>
          <w:trHeight w:val="850" w:hRule="exact"/>
        </w:trPr>
        <w:tc>
          <w:tcPr>
            <w:tcW w:w="4726" w:type="dxa"/>
            <w:vAlign w:val="center"/>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总价（大写）：</w:t>
            </w:r>
            <w:r/>
          </w:p>
        </w:tc>
        <w:tc>
          <w:tcPr>
            <w:gridSpan w:val="2"/>
            <w:tcW w:w="4215" w:type="dxa"/>
            <w:vAlign w:val="center"/>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bl>
    <w:p>
      <w:pPr>
        <w:spacing w:line="52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供应商承诺：本报价（总价）为供应商本企业提供的施工。</w:t>
      </w:r>
      <w:r/>
    </w:p>
    <w:p>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报价说明：</w:t>
      </w:r>
      <w:r/>
    </w:p>
    <w:p>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1、报价应包括磋商文件所确定的招标范围内工程量清单所含的全部内容，以及为完成上述内容所需的全部费用。</w:t>
      </w:r>
      <w:r/>
    </w:p>
    <w:p>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2、报价以总价为准，大小写不一致以大写为准；</w:t>
      </w:r>
      <w:r/>
    </w:p>
    <w:p>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3、偏离说明：详见《偏离表》；</w:t>
      </w:r>
      <w:r/>
    </w:p>
    <w:p>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4、如最后报价未列明单价，则最后所报各项单价计算方法为：（最后报价/最初报价）*各项最初报价的单价。</w:t>
      </w:r>
      <w:r/>
    </w:p>
    <w:p>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firstLine="480"/>
        <w:spacing w:line="52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供应商（供应商公章）：</w:t>
      </w:r>
      <w:r/>
    </w:p>
    <w:p>
      <w:pPr>
        <w:ind w:right="29" w:firstLine="480"/>
        <w:spacing w:line="52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right="29" w:firstLine="480"/>
        <w:spacing w:line="520" w:lineRule="exact"/>
        <w:rPr>
          <w:rFonts w:hint="eastAsia" w:ascii="仿宋" w:hAnsi="仿宋" w:eastAsia="仿宋" w:cs="仿宋"/>
          <w:b/>
          <w:bCs/>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仿宋" w:hAnsi="仿宋" w:eastAsia="仿宋" w:cs="仿宋"/>
          <w:b/>
          <w:bCs/>
          <w:color w:val="auto"/>
          <w:sz w:val="24"/>
          <w:highlight w:val="none"/>
        </w:rPr>
        <w:t xml:space="preserve">日期：   年  月  日</w:t>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4、分项价格表</w:t>
      </w:r>
      <w:r/>
    </w:p>
    <w:p>
      <w:pPr>
        <w:jc w:val="cente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（具有标价的工程量清单与报价表）</w:t>
      </w:r>
      <w:r/>
    </w:p>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本次为首次报价</w:t>
      </w:r>
      <w:r/>
    </w:p>
    <w:p>
      <w:pPr>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116"/>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按工程量清单报价（电子版，另附），</w:t>
      </w:r>
      <w:r/>
    </w:p>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8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86"/>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b/>
          <w:bCs/>
          <w:color w:val="auto"/>
          <w:sz w:val="24"/>
          <w:highlight w:val="none"/>
        </w:rPr>
        <w:t xml:space="preserve">  供应商（供应商公章）：</w:t>
      </w:r>
      <w:r/>
    </w:p>
    <w:p>
      <w:pPr>
        <w:ind w:right="2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right="2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日期：  年  月  日</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1、如果按单价计算的结果与总价不一致，以总价为准。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2、如果不提供详细分项报价将视为没有实质性响应。</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3、供应商对以上数据的真实性负责。</w:t>
      </w:r>
      <w:r/>
    </w:p>
    <w:p>
      <w:pPr>
        <w:rPr>
          <w:rFonts w:hint="eastAsia" w:ascii="仿宋" w:hAnsi="仿宋" w:eastAsia="仿宋" w:cs="仿宋"/>
          <w:b/>
          <w:i/>
          <w:color w:val="auto"/>
          <w:sz w:val="24"/>
          <w:highlight w:val="none"/>
          <w:u w:val="single"/>
        </w:rPr>
      </w:pPr>
      <w:r>
        <w:rPr>
          <w:rFonts w:hint="eastAsia" w:ascii="仿宋" w:hAnsi="仿宋" w:eastAsia="仿宋" w:cs="仿宋"/>
          <w:b/>
          <w:i/>
          <w:color w:val="auto"/>
          <w:sz w:val="24"/>
          <w:highlight w:val="none"/>
          <w:u w:val="single"/>
        </w:rPr>
        <w:t xml:space="preserve">采购人或采购代理机构有权将以上内容进行公示。</w:t>
      </w:r>
      <w:r/>
    </w:p>
    <w:p>
      <w:pPr>
        <w:jc w:val="center"/>
        <w:rPr>
          <w:rFonts w:hint="eastAsia" w:ascii="仿宋" w:hAnsi="仿宋" w:eastAsia="仿宋" w:cs="仿宋"/>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36"/>
          <w:highlight w:val="none"/>
        </w:rPr>
        <w:t xml:space="preserve">5、主要材料（设备）一览表</w:t>
      </w:r>
      <w:r/>
    </w:p>
    <w:p>
      <w:pPr>
        <w:jc w:val="left"/>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项目编号：</w:t>
      </w:r>
      <w:r/>
    </w:p>
    <w:p>
      <w:pPr>
        <w:jc w:val="left"/>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项目名称：</w:t>
      </w:r>
      <w:r/>
    </w:p>
    <w:tbl>
      <w:tblPr>
        <w:tblStyle w:val="1061"/>
        <w:tblW w:w="4995"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49"/>
        <w:gridCol w:w="2295"/>
        <w:gridCol w:w="959"/>
        <w:gridCol w:w="1376"/>
        <w:gridCol w:w="1969"/>
        <w:gridCol w:w="901"/>
        <w:gridCol w:w="1028"/>
      </w:tblGrid>
      <w:tr>
        <w:trPr>
          <w:jc w:val="center"/>
          <w:trHeight w:val="85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序号</w:t>
            </w:r>
            <w:r/>
          </w:p>
        </w:tc>
        <w:tc>
          <w:tcPr>
            <w:tcMar>
              <w:left w:w="15" w:type="dxa"/>
              <w:top w:w="15" w:type="dxa"/>
              <w:right w:w="15" w:type="dxa"/>
              <w:bottom w:w="0" w:type="dxa"/>
            </w:tcMar>
            <w:tcW w:w="1223" w:type="pct"/>
            <w:vAlign w:val="center"/>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材料（设备）名称</w:t>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品牌</w:t>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规格、型号</w:t>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产品</w:t>
            </w:r>
            <w:r>
              <w:rPr>
                <w:rFonts w:hint="eastAsia" w:ascii="仿宋" w:hAnsi="仿宋" w:eastAsia="仿宋" w:cs="仿宋"/>
                <w:b/>
                <w:bCs/>
                <w:color w:val="auto"/>
                <w:sz w:val="24"/>
                <w:highlight w:val="none"/>
                <w:lang w:val="en-US" w:eastAsia="zh-CN"/>
              </w:rPr>
              <w:t xml:space="preserve">生产厂家</w:t>
            </w:r>
            <w:r>
              <w:rPr>
                <w:rFonts w:hint="eastAsia" w:ascii="仿宋" w:hAnsi="仿宋" w:eastAsia="仿宋" w:cs="仿宋"/>
                <w:b/>
                <w:bCs/>
                <w:color w:val="auto"/>
                <w:sz w:val="24"/>
                <w:highlight w:val="none"/>
              </w:rPr>
              <w:t xml:space="preserve">名称</w:t>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val="en-US" w:eastAsia="zh-CN"/>
              </w:rPr>
              <w:t xml:space="preserve">产地</w:t>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备注</w:t>
            </w:r>
            <w:r/>
          </w:p>
        </w:tc>
      </w:tr>
      <w:tr>
        <w:trPr>
          <w:jc w:val="center"/>
          <w:trHeight w:val="567"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47"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shd w:val="clear" w:color="auto" w:fill="auto"/>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11</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shd w:val="clear" w:color="auto" w:fill="auto"/>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12</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shd w:val="clear" w:color="auto" w:fill="auto"/>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13</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shd w:val="clear" w:color="auto" w:fill="auto"/>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14</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shd w:val="clear" w:color="auto" w:fill="auto"/>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15</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shd w:val="clear" w:color="auto" w:fill="auto"/>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16</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shd w:val="clear" w:color="auto" w:fill="auto"/>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17</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shd w:val="clear" w:color="auto" w:fill="auto"/>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18</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shd w:val="clear" w:color="auto" w:fill="auto"/>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19</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20</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21</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22</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23</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24</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25</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26</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27</w:t>
            </w:r>
            <w:r/>
          </w:p>
        </w:tc>
        <w:tc>
          <w:tcPr>
            <w:tcMar>
              <w:left w:w="15" w:type="dxa"/>
              <w:top w:w="15" w:type="dxa"/>
              <w:right w:w="15" w:type="dxa"/>
              <w:bottom w:w="0" w:type="dxa"/>
            </w:tcMar>
            <w:tcW w:w="1223" w:type="pct"/>
            <w:vAlign w:val="center"/>
            <w:textDirection w:val="lrTb"/>
            <w:noWrap w:val="false"/>
          </w:tcPr>
          <w:p>
            <w:pPr>
              <w:jc w:val="center"/>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830" w:hRule="exact"/>
        </w:trPr>
        <w:tc>
          <w:tcPr>
            <w:tcMar>
              <w:left w:w="15" w:type="dxa"/>
              <w:top w:w="15" w:type="dxa"/>
              <w:right w:w="15" w:type="dxa"/>
              <w:bottom w:w="0" w:type="dxa"/>
            </w:tcMar>
            <w:tcW w:w="453" w:type="pct"/>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28</w:t>
            </w:r>
            <w:r/>
          </w:p>
        </w:tc>
        <w:tc>
          <w:tcPr>
            <w:tcMar>
              <w:left w:w="15" w:type="dxa"/>
              <w:top w:w="15" w:type="dxa"/>
              <w:right w:w="15" w:type="dxa"/>
              <w:bottom w:w="0" w:type="dxa"/>
            </w:tcMar>
            <w:tcW w:w="1223" w:type="pct"/>
            <w:vAlign w:val="center"/>
            <w:textDirection w:val="lrTb"/>
            <w:noWrap w:val="false"/>
          </w:tcPr>
          <w:p>
            <w:pPr>
              <w:jc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w:t>
            </w:r>
            <w:r/>
          </w:p>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供应商可自行添加</w:t>
            </w:r>
            <w:r/>
          </w:p>
        </w:tc>
        <w:tc>
          <w:tcPr>
            <w:tcMar>
              <w:left w:w="15" w:type="dxa"/>
              <w:top w:w="15" w:type="dxa"/>
              <w:right w:w="15" w:type="dxa"/>
              <w:bottom w:w="0" w:type="dxa"/>
            </w:tcMar>
            <w:tcW w:w="511"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2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供应商（公章）：</w:t>
      </w:r>
      <w:r/>
    </w:p>
    <w:p>
      <w:pPr>
        <w:spacing w:line="52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24"/>
          <w:highlight w:val="none"/>
        </w:rPr>
        <w:t xml:space="preserve">日期： 年  月  日</w:t>
      </w:r>
      <w:r/>
    </w:p>
    <w:p>
      <w:pPr>
        <w:spacing w:line="52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p>
    <w:p>
      <w:pPr>
        <w:spacing w:line="52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1、如果不提供《主要材料（设备）一览表》将视为没有实质性响应。</w:t>
      </w:r>
      <w:r/>
    </w:p>
    <w:p>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2、响应供应商对以上数据的真实性负责。</w:t>
      </w:r>
      <w:r/>
    </w:p>
    <w:p>
      <w:pPr>
        <w:spacing w:line="52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采购人或采购代理机构有权将以上内容进行公示。</w:t>
      </w:r>
      <w:r/>
    </w:p>
    <w:p>
      <w:pPr>
        <w:jc w:val="center"/>
        <w:rPr>
          <w:rFonts w:hint="eastAsia" w:ascii="仿宋" w:hAnsi="仿宋" w:eastAsia="仿宋" w:cs="仿宋"/>
          <w:b/>
          <w:bCs/>
          <w:color w:val="auto"/>
          <w:sz w:val="36"/>
          <w:highlight w:val="none"/>
        </w:rPr>
        <w:sectPr>
          <w:headerReference w:type="default" r:id="rId11"/>
          <w:footerReference w:type="default" r:id="rId15"/>
          <w:footerReference w:type="first" r:id="rId16"/>
          <w:footnotePr/>
          <w:endnotePr/>
          <w:type w:val="nextPage"/>
          <w:pgSz w:w="11906" w:h="16838" w:orient="portrait"/>
          <w:pgMar w:top="1418" w:right="1274" w:bottom="1418" w:left="1276" w:header="851" w:footer="992" w:gutter="0"/>
          <w:cols w:num="1" w:sep="0" w:space="1701" w:equalWidth="1"/>
          <w:docGrid w:linePitch="360"/>
        </w:sect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6、偏离表</w:t>
      </w:r>
      <w:r/>
    </w:p>
    <w:p>
      <w:pPr>
        <w:jc w:val="left"/>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项目编号：</w:t>
      </w:r>
      <w:r/>
    </w:p>
    <w:p>
      <w:pPr>
        <w:jc w:val="left"/>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项目名称：</w:t>
      </w:r>
      <w:r/>
    </w:p>
    <w:tbl>
      <w:tblPr>
        <w:tblStyle w:val="1061"/>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W w:w="122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偏离内容</w:t>
            </w:r>
            <w:r/>
          </w:p>
        </w:tc>
        <w:tc>
          <w:tcPr>
            <w:tcW w:w="241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首次响应文件中的内容</w:t>
            </w:r>
            <w:r/>
          </w:p>
        </w:tc>
        <w:tc>
          <w:tcPr>
            <w:tcW w:w="1351"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（正/负/无）偏离</w:t>
            </w:r>
            <w:r/>
          </w:p>
        </w:tc>
        <w:tc>
          <w:tcPr>
            <w:tcW w:w="2123"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W w:w="122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W w:w="241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W w:w="157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W w:w="1351"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W w:w="2123"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r>
      <w:tr>
        <w:trPr>
          <w:jc w:val="center"/>
          <w:trHeight w:val="794"/>
        </w:trPr>
        <w:tc>
          <w:tcPr>
            <w:tcW w:w="88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41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7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23"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88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41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7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23"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88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41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7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23"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88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41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7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23"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88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41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7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23"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88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41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7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23"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88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41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7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23"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W w:w="88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41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7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23"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right="29"/>
        <w:spacing w:line="52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供应商（供应商公章）：</w:t>
      </w:r>
      <w:r/>
    </w:p>
    <w:p>
      <w:pPr>
        <w:ind w:right="29"/>
        <w:spacing w:line="52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日期：  年  月  日</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297"/>
        <w:jc w:val="center"/>
        <w:spacing w:after="312" w:line="520" w:lineRule="exact"/>
        <w:rPr>
          <w:rFonts w:hint="eastAsia" w:ascii="仿宋" w:hAnsi="仿宋" w:eastAsia="仿宋" w:cs="仿宋"/>
          <w:b/>
          <w:bCs/>
          <w:color w:val="auto"/>
          <w:sz w:val="36"/>
          <w:szCs w:val="36"/>
          <w:highlight w:val="none"/>
        </w:rPr>
      </w:pPr>
      <w:r>
        <w:rPr>
          <w:rFonts w:hint="eastAsia" w:ascii="仿宋" w:hAnsi="仿宋" w:eastAsia="仿宋" w:cs="仿宋"/>
          <w:b/>
          <w:color w:val="auto"/>
          <w:sz w:val="36"/>
          <w:highlight w:val="none"/>
        </w:rPr>
        <w:br w:type="page" w:clear="all"/>
      </w:r>
      <w:r>
        <w:rPr>
          <w:rFonts w:hint="eastAsia" w:ascii="仿宋" w:hAnsi="仿宋" w:eastAsia="仿宋" w:cs="仿宋"/>
          <w:b/>
          <w:bCs/>
          <w:color w:val="auto"/>
          <w:sz w:val="36"/>
          <w:szCs w:val="36"/>
          <w:highlight w:val="none"/>
        </w:rPr>
        <w:t xml:space="preserve">7、拟签订的合同文本</w:t>
      </w:r>
      <w:r/>
    </w:p>
    <w:p>
      <w:pPr>
        <w:pStyle w:val="1297"/>
        <w:jc w:val="center"/>
        <w:spacing w:after="312"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298"/>
        <w:ind w:firstLine="442"/>
        <w:jc w:val="center"/>
        <w:spacing w:line="360" w:lineRule="auto"/>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lang w:eastAsia="zh-CN"/>
        </w:rPr>
        <w:t xml:space="preserve">永嘉新城福彩销售兑奖大厅装修项目</w:t>
      </w:r>
      <w:r>
        <w:rPr>
          <w:rFonts w:hint="eastAsia" w:ascii="仿宋" w:hAnsi="仿宋" w:eastAsia="仿宋" w:cs="仿宋"/>
          <w:b/>
          <w:color w:val="auto"/>
          <w:sz w:val="48"/>
          <w:szCs w:val="48"/>
          <w:highlight w:val="none"/>
        </w:rPr>
        <w:t xml:space="preserve">项目施工合同</w:t>
      </w:r>
      <w:r/>
    </w:p>
    <w:p>
      <w:pPr>
        <w:pStyle w:val="1298"/>
        <w:ind w:firstLine="321"/>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298"/>
        <w:ind w:firstLine="321"/>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298"/>
        <w:ind w:firstLine="904"/>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1298"/>
        <w:ind w:firstLine="602"/>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项目编号：</w:t>
      </w:r>
      <w:r/>
    </w:p>
    <w:p>
      <w:pPr>
        <w:pStyle w:val="1298"/>
        <w:ind w:firstLine="904"/>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1298"/>
        <w:ind w:firstLine="904"/>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1298"/>
        <w:ind w:firstLine="602"/>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rPr>
        <w:t xml:space="preserve">项目名称：</w:t>
      </w:r>
      <w:r>
        <w:rPr>
          <w:rFonts w:hint="eastAsia" w:ascii="仿宋" w:hAnsi="仿宋" w:eastAsia="仿宋" w:cs="仿宋"/>
          <w:b/>
          <w:color w:val="auto"/>
          <w:sz w:val="30"/>
          <w:szCs w:val="30"/>
          <w:highlight w:val="none"/>
          <w:lang w:eastAsia="zh-CN"/>
        </w:rPr>
        <w:t xml:space="preserve">永嘉新城福彩销售兑奖大厅装修项目</w:t>
      </w:r>
      <w:r/>
    </w:p>
    <w:p>
      <w:pPr>
        <w:pStyle w:val="1298"/>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1298"/>
        <w:ind w:firstLine="904"/>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1298"/>
        <w:ind w:firstLine="602"/>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rPr>
        <w:t xml:space="preserve">甲    方：</w:t>
      </w:r>
      <w:r>
        <w:rPr>
          <w:rFonts w:hint="eastAsia" w:ascii="仿宋" w:hAnsi="仿宋" w:eastAsia="仿宋" w:cs="仿宋"/>
          <w:b/>
          <w:color w:val="auto"/>
          <w:sz w:val="30"/>
          <w:szCs w:val="30"/>
          <w:highlight w:val="none"/>
          <w:lang w:eastAsia="zh-CN"/>
        </w:rPr>
        <w:t xml:space="preserve">徐州市福利彩票发行中心</w:t>
      </w:r>
      <w:r/>
    </w:p>
    <w:p>
      <w:pPr>
        <w:pStyle w:val="1298"/>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1298"/>
        <w:ind w:firstLine="904"/>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1298"/>
        <w:ind w:firstLine="602"/>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乙   方：</w:t>
      </w:r>
      <w:r/>
    </w:p>
    <w:p>
      <w:pPr>
        <w:pStyle w:val="1298"/>
        <w:ind w:firstLine="904"/>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1298"/>
        <w:ind w:firstLine="904"/>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1298"/>
        <w:ind w:firstLine="602"/>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签订时间： 年  月  日 </w:t>
      </w:r>
      <w:r/>
    </w:p>
    <w:p>
      <w:pPr>
        <w:pStyle w:val="1298"/>
        <w:ind w:firstLine="643"/>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298"/>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1298"/>
        <w:ind w:firstLine="56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友情提醒：采购人与中标、成交供应商应当在中标、成交通知书发出之日起三十日内，按照采购文件确定的事项签订政府采购合同。</w:t>
      </w:r>
      <w:r/>
    </w:p>
    <w:p>
      <w:pPr>
        <w:pStyle w:val="1298"/>
        <w:ind w:firstLine="562"/>
        <w:rPr>
          <w:rFonts w:hint="eastAsia" w:ascii="仿宋" w:hAnsi="仿宋" w:eastAsia="仿宋" w:cs="仿宋"/>
          <w:b/>
          <w:color w:val="auto"/>
          <w:sz w:val="28"/>
          <w:szCs w:val="28"/>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仿宋" w:hAnsi="仿宋" w:eastAsia="仿宋" w:cs="仿宋"/>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仿宋" w:hAnsi="仿宋" w:eastAsia="仿宋" w:cs="仿宋"/>
          <w:b/>
          <w:color w:val="auto"/>
          <w:sz w:val="30"/>
          <w:szCs w:val="30"/>
          <w:highlight w:val="none"/>
        </w:rPr>
      </w:pPr>
      <w:r>
        <w:rPr>
          <w:rFonts w:hint="eastAsia" w:ascii="仿宋" w:hAnsi="仿宋" w:eastAsia="仿宋" w:cs="仿宋"/>
          <w:b/>
          <w:color w:val="auto"/>
          <w:sz w:val="24"/>
          <w:highlight w:val="none"/>
        </w:rPr>
        <w:t xml:space="preserve">　　</w:t>
      </w:r>
      <w:r/>
    </w:p>
    <w:p>
      <w:pPr>
        <w:ind w:firstLine="3200"/>
        <w:jc w:val="lef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（GF—2017—0201）</w:t>
      </w:r>
      <w:r/>
    </w:p>
    <w:p>
      <w:pPr>
        <w:tabs>
          <w:tab w:val="left" w:pos="4410" w:leader="none"/>
        </w:tabs>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jc w:val="center"/>
        <w:rPr>
          <w:rFonts w:hint="eastAsia" w:ascii="仿宋" w:hAnsi="仿宋" w:eastAsia="仿宋" w:cs="仿宋"/>
          <w:b/>
          <w:color w:val="auto"/>
          <w:sz w:val="72"/>
          <w:szCs w:val="52"/>
          <w:highlight w:val="none"/>
        </w:rPr>
      </w:pPr>
      <w:r>
        <w:rPr>
          <w:rFonts w:hint="eastAsia" w:ascii="仿宋" w:hAnsi="仿宋" w:eastAsia="仿宋" w:cs="仿宋"/>
          <w:b/>
          <w:color w:val="auto"/>
          <w:sz w:val="72"/>
          <w:szCs w:val="52"/>
          <w:highlight w:val="none"/>
        </w:rPr>
        <w:t xml:space="preserve">建设工程施工合同</w:t>
      </w:r>
      <w:r/>
    </w:p>
    <w:p>
      <w:pPr>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 xml:space="preserve">（示范文本）</w:t>
      </w:r>
      <w:r/>
    </w:p>
    <w:p>
      <w:pPr>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right="2719" w:firstLine="2891"/>
        <w:rPr>
          <w:rFonts w:hint="eastAsia" w:ascii="仿宋" w:hAnsi="仿宋" w:eastAsia="仿宋" w:cs="仿宋"/>
          <w:b/>
          <w:color w:val="auto"/>
          <w:sz w:val="32"/>
          <w:szCs w:val="28"/>
          <w:highlight w:val="none"/>
        </w:rPr>
      </w:pPr>
      <w:r>
        <w:rPr>
          <w:rFonts w:hint="eastAsia" w:ascii="仿宋" w:hAnsi="仿宋" w:eastAsia="仿宋" w:cs="仿宋"/>
          <w:b/>
          <w:color w:val="auto"/>
          <w:sz w:val="32"/>
          <w:szCs w:val="28"/>
          <w:highlight w:val="none"/>
        </w:rPr>
        <w:t xml:space="preserve">住房和城乡建设部制定</w:t>
      </w:r>
      <w:r/>
    </w:p>
    <w:p>
      <w:pPr>
        <w:ind w:right="2719" w:firstLine="2750"/>
        <w:rPr>
          <w:rFonts w:hint="eastAsia" w:ascii="仿宋" w:hAnsi="仿宋" w:eastAsia="仿宋" w:cs="仿宋"/>
          <w:b/>
          <w:color w:val="auto"/>
          <w:sz w:val="32"/>
          <w:szCs w:val="28"/>
          <w:highlight w:val="none"/>
        </w:rPr>
      </w:pPr>
      <w:r>
        <w:rPr>
          <w:rFonts w:hint="eastAsia" w:ascii="仿宋" w:hAnsi="仿宋" w:eastAsia="仿宋" w:cs="仿宋"/>
          <w:b/>
          <w:color w:val="auto"/>
          <w:sz w:val="32"/>
          <w:szCs w:val="28"/>
          <w:highlight w:val="none"/>
        </w:rPr>
        <w:t xml:space="preserve">国家工商行政管理总局</w:t>
      </w:r>
      <w:r/>
    </w:p>
    <w:p>
      <w:pPr>
        <w:pStyle w:val="1299"/>
        <w:spacing w:before="120" w:after="120"/>
        <w:rPr>
          <w:rFonts w:hint="eastAsia" w:ascii="仿宋" w:hAnsi="仿宋" w:eastAsia="仿宋" w:cs="仿宋"/>
          <w:color w:val="auto"/>
          <w:sz w:val="28"/>
          <w:szCs w:val="28"/>
          <w:highlight w:val="none"/>
        </w:rPr>
        <w:sectPr>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仿宋" w:hAnsi="仿宋" w:eastAsia="仿宋" w:cs="仿宋"/>
          <w:color w:val="auto"/>
          <w:sz w:val="28"/>
          <w:szCs w:val="28"/>
          <w:highlight w:val="none"/>
        </w:rPr>
      </w:r>
      <w:r/>
    </w:p>
    <w:p>
      <w:pPr>
        <w:pStyle w:val="1301"/>
        <w:jc w:val="center"/>
        <w:spacing w:line="360" w:lineRule="auto"/>
        <w:rPr>
          <w:rFonts w:hint="eastAsia" w:ascii="仿宋" w:hAnsi="仿宋" w:eastAsia="仿宋" w:cs="仿宋"/>
          <w:b w:val="0"/>
          <w:color w:val="auto"/>
          <w:highlight w:val="none"/>
        </w:rPr>
      </w:pPr>
      <w:r>
        <w:rPr>
          <w:rFonts w:hint="eastAsia" w:ascii="仿宋" w:hAnsi="仿宋" w:eastAsia="仿宋" w:cs="仿宋"/>
          <w:color w:val="auto"/>
          <w:highlight w:val="none"/>
        </w:rPr>
        <w:t xml:space="preserve">第一部分 合同协议书</w:t>
      </w:r>
      <w:r/>
    </w:p>
    <w:p>
      <w:pPr>
        <w:spacing w:line="440" w:lineRule="exact"/>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rPr>
        <w:t xml:space="preserve">发包人（全称）：</w:t>
      </w:r>
      <w:r>
        <w:rPr>
          <w:rFonts w:hint="eastAsia" w:ascii="仿宋" w:hAnsi="仿宋" w:eastAsia="仿宋" w:cs="仿宋"/>
          <w:b/>
          <w:color w:val="auto"/>
          <w:sz w:val="24"/>
          <w:highlight w:val="none"/>
          <w:u w:val="single"/>
        </w:rPr>
        <w:t xml:space="preserve">                           </w:t>
      </w:r>
      <w:r/>
    </w:p>
    <w:p>
      <w:pPr>
        <w:spacing w:line="440" w:lineRule="exact"/>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rPr>
        <w:t xml:space="preserve">承包人（全称）：</w:t>
      </w:r>
      <w:r>
        <w:rPr>
          <w:rFonts w:hint="eastAsia" w:ascii="仿宋" w:hAnsi="仿宋" w:eastAsia="仿宋" w:cs="仿宋"/>
          <w:b/>
          <w:color w:val="auto"/>
          <w:sz w:val="24"/>
          <w:highlight w:val="none"/>
          <w:u w:val="single"/>
        </w:rPr>
        <w:t xml:space="preserve">                           </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auto"/>
          <w:sz w:val="24"/>
          <w:highlight w:val="none"/>
          <w:u w:val="single"/>
          <w:lang w:eastAsia="zh-CN"/>
        </w:rPr>
        <w:t xml:space="preserve">永嘉新城福彩销售兑奖大厅装修项目</w:t>
      </w:r>
      <w:r>
        <w:rPr>
          <w:rFonts w:hint="eastAsia" w:ascii="仿宋" w:hAnsi="仿宋" w:eastAsia="仿宋" w:cs="仿宋"/>
          <w:color w:val="auto"/>
          <w:sz w:val="24"/>
          <w:highlight w:val="none"/>
        </w:rPr>
        <w:t xml:space="preserve">项目及有关事项协商一致，共同达成如下协议：</w:t>
      </w:r>
      <w:r/>
    </w:p>
    <w:p>
      <w:pPr>
        <w:spacing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 </w:t>
      </w:r>
      <w:bookmarkStart w:id="3" w:name="_Toc351203481"/>
      <w:r>
        <w:rPr>
          <w:rFonts w:hint="eastAsia" w:ascii="仿宋" w:hAnsi="仿宋" w:eastAsia="仿宋" w:cs="仿宋"/>
          <w:b/>
          <w:color w:val="auto"/>
          <w:sz w:val="24"/>
          <w:highlight w:val="none"/>
        </w:rPr>
        <w:t xml:space="preserve">一、工程概况</w:t>
      </w:r>
      <w:bookmarkEnd w:id="3"/>
      <w:r/>
      <w:r/>
    </w:p>
    <w:p>
      <w:pPr>
        <w:jc w:val="left"/>
        <w:spacing w:line="44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1.工程名称：</w:t>
      </w:r>
      <w:r>
        <w:rPr>
          <w:rFonts w:hint="eastAsia" w:ascii="仿宋" w:hAnsi="仿宋" w:eastAsia="仿宋" w:cs="仿宋"/>
          <w:color w:val="auto"/>
          <w:sz w:val="24"/>
          <w:highlight w:val="none"/>
          <w:u w:val="single"/>
          <w:lang w:eastAsia="zh-CN"/>
        </w:rPr>
        <w:t xml:space="preserve">永嘉新城福彩销售兑奖大厅装修项目</w:t>
      </w:r>
      <w:r/>
    </w:p>
    <w:p>
      <w:pPr>
        <w:jc w:val="left"/>
        <w:spacing w:line="440" w:lineRule="exact"/>
        <w:rPr>
          <w:rFonts w:hint="eastAsia" w:ascii="仿宋" w:hAnsi="仿宋" w:eastAsia="仿宋" w:cs="仿宋"/>
          <w:color w:val="auto"/>
          <w:sz w:val="24"/>
          <w:szCs w:val="22"/>
          <w:highlight w:val="none"/>
          <w:u w:val="single"/>
        </w:rPr>
      </w:pPr>
      <w:r>
        <w:rPr>
          <w:rFonts w:hint="eastAsia" w:ascii="仿宋" w:hAnsi="仿宋" w:eastAsia="仿宋" w:cs="仿宋"/>
          <w:color w:val="auto"/>
          <w:sz w:val="24"/>
          <w:highlight w:val="none"/>
        </w:rPr>
        <w:t xml:space="preserve">2.工程地点：</w:t>
      </w:r>
      <w:r>
        <w:rPr>
          <w:rFonts w:hint="eastAsia" w:ascii="仿宋" w:hAnsi="仿宋" w:eastAsia="仿宋" w:cs="仿宋"/>
          <w:color w:val="auto"/>
          <w:sz w:val="24"/>
          <w:highlight w:val="none"/>
          <w:u w:val="single"/>
        </w:rPr>
        <w:t xml:space="preserve">           </w:t>
      </w:r>
      <w:r/>
    </w:p>
    <w:p>
      <w:pPr>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3.工程立项批准文号：</w:t>
      </w:r>
      <w:r>
        <w:rPr>
          <w:rFonts w:hint="eastAsia" w:ascii="仿宋" w:hAnsi="仿宋" w:eastAsia="仿宋" w:cs="仿宋"/>
          <w:b/>
          <w:bCs/>
          <w:color w:val="auto"/>
          <w:sz w:val="24"/>
          <w:highlight w:val="none"/>
          <w:u w:val="singl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b/>
          <w:bCs/>
          <w:color w:val="auto"/>
          <w:sz w:val="24"/>
          <w:highlight w:val="none"/>
          <w:u w:val="single"/>
        </w:rPr>
        <w:t xml:space="preserve">   </w:t>
      </w:r>
      <w:r/>
    </w:p>
    <w:p>
      <w:pPr>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4.资金来源：</w:t>
      </w:r>
      <w:r>
        <w:rPr>
          <w:rFonts w:hint="eastAsia" w:ascii="仿宋" w:hAnsi="仿宋" w:eastAsia="仿宋" w:cs="仿宋"/>
          <w:color w:val="auto"/>
          <w:sz w:val="24"/>
          <w:highlight w:val="none"/>
          <w:u w:val="single"/>
        </w:rPr>
        <w:t xml:space="preserve"> 财政资金，已落实 </w:t>
      </w:r>
      <w:r/>
    </w:p>
    <w:p>
      <w:pPr>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5.工程内容：</w:t>
      </w:r>
      <w:r>
        <w:rPr>
          <w:rFonts w:hint="eastAsia" w:ascii="仿宋" w:hAnsi="仿宋" w:eastAsia="仿宋" w:cs="仿宋"/>
          <w:color w:val="auto"/>
          <w:sz w:val="24"/>
          <w:highlight w:val="none"/>
          <w:u w:val="single"/>
          <w:lang w:eastAsia="zh-CN"/>
        </w:rPr>
        <w:t xml:space="preserve">永嘉新城福彩销售兑奖大厅装修项目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spacing w:line="440" w:lineRule="exact"/>
        <w:rPr>
          <w:rFonts w:hint="eastAsia" w:ascii="仿宋" w:hAnsi="仿宋" w:eastAsia="仿宋" w:cs="仿宋"/>
          <w:bCs/>
          <w:color w:val="auto"/>
          <w:sz w:val="24"/>
          <w:highlight w:val="none"/>
          <w:u w:val="single"/>
        </w:rPr>
      </w:pPr>
      <w:r>
        <w:rPr>
          <w:rFonts w:hint="eastAsia" w:ascii="仿宋" w:hAnsi="仿宋" w:eastAsia="仿宋" w:cs="仿宋"/>
          <w:bCs/>
          <w:color w:val="auto"/>
          <w:sz w:val="24"/>
          <w:highlight w:val="none"/>
        </w:rPr>
        <w:t xml:space="preserve">6.工程承包范围：</w:t>
      </w:r>
      <w:r>
        <w:rPr>
          <w:rFonts w:hint="eastAsia" w:ascii="仿宋" w:hAnsi="仿宋" w:eastAsia="仿宋" w:cs="仿宋"/>
          <w:bCs/>
          <w:color w:val="auto"/>
          <w:sz w:val="24"/>
          <w:highlight w:val="none"/>
          <w:u w:val="single"/>
          <w:lang w:eastAsia="zh-CN"/>
        </w:rPr>
        <w:t xml:space="preserve">永嘉新城福彩销售兑奖大厅装修项目</w:t>
      </w:r>
      <w:r>
        <w:rPr>
          <w:rFonts w:hint="eastAsia" w:ascii="仿宋" w:hAnsi="仿宋" w:eastAsia="仿宋" w:cs="仿宋"/>
          <w:bCs/>
          <w:color w:val="auto"/>
          <w:sz w:val="24"/>
          <w:highlight w:val="none"/>
          <w:u w:val="single"/>
        </w:rPr>
        <w:t xml:space="preserve">。具体详见工程量清单、图纸所含全部内容</w:t>
      </w:r>
      <w:r/>
    </w:p>
    <w:p>
      <w:pPr>
        <w:pStyle w:val="1302"/>
        <w:spacing w:before="120" w:after="120" w:line="440" w:lineRule="exac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   </w:t>
      </w:r>
      <w:bookmarkStart w:id="4" w:name="_Toc351203482"/>
      <w:r>
        <w:rPr>
          <w:rFonts w:hint="eastAsia" w:ascii="仿宋" w:hAnsi="仿宋" w:eastAsia="仿宋" w:cs="仿宋"/>
          <w:b w:val="0"/>
          <w:color w:val="auto"/>
          <w:sz w:val="24"/>
          <w:szCs w:val="24"/>
          <w:highlight w:val="none"/>
        </w:rPr>
        <w:t xml:space="preserve">二、合同工期</w:t>
      </w:r>
      <w:bookmarkEnd w:id="4"/>
      <w:r/>
      <w:r/>
    </w:p>
    <w:p>
      <w:pPr>
        <w:ind w:firstLine="459"/>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计划开工日期：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ind w:firstLine="459"/>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计划竣工日期：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ind w:firstLine="459"/>
        <w:spacing w:line="44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工期总日历天数：</w:t>
      </w:r>
      <w:r>
        <w:rPr>
          <w:rFonts w:hint="eastAsia" w:ascii="仿宋" w:hAnsi="仿宋" w:eastAsia="仿宋" w:cs="仿宋"/>
          <w:b/>
          <w:bCs/>
          <w:color w:val="auto"/>
          <w:sz w:val="24"/>
          <w:highlight w:val="none"/>
          <w:u w:val="single"/>
        </w:rPr>
        <w:t xml:space="preserve">   日历天</w:t>
      </w:r>
      <w:r>
        <w:rPr>
          <w:rFonts w:hint="eastAsia" w:ascii="仿宋" w:hAnsi="仿宋" w:eastAsia="仿宋" w:cs="仿宋"/>
          <w:color w:val="auto"/>
          <w:sz w:val="24"/>
          <w:highlight w:val="none"/>
        </w:rPr>
        <w:t xml:space="preserve">。工期总日历天数与根据前述计划开竣工日期计算的工期天数不一致的，以工期总日历天数为准</w:t>
      </w:r>
      <w:r>
        <w:rPr>
          <w:rFonts w:hint="eastAsia" w:ascii="仿宋" w:hAnsi="仿宋" w:eastAsia="仿宋" w:cs="仿宋"/>
          <w:b/>
          <w:color w:val="auto"/>
          <w:sz w:val="24"/>
          <w:highlight w:val="none"/>
        </w:rPr>
        <w:t xml:space="preserve">。</w:t>
      </w:r>
      <w:r/>
    </w:p>
    <w:p>
      <w:pPr>
        <w:pStyle w:val="1302"/>
        <w:spacing w:before="120" w:after="120"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5" w:name="_Toc351203483"/>
      <w:r>
        <w:rPr>
          <w:rFonts w:hint="eastAsia" w:ascii="仿宋" w:hAnsi="仿宋" w:eastAsia="仿宋" w:cs="仿宋"/>
          <w:b w:val="0"/>
          <w:color w:val="auto"/>
          <w:sz w:val="24"/>
          <w:szCs w:val="24"/>
          <w:highlight w:val="none"/>
        </w:rPr>
        <w:t xml:space="preserve">三、质量标准</w:t>
      </w:r>
      <w:bookmarkEnd w:id="5"/>
      <w:r/>
      <w:r/>
    </w:p>
    <w:p>
      <w:pPr>
        <w:ind w:firstLine="459"/>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工程质量符合</w:t>
      </w:r>
      <w:r>
        <w:rPr>
          <w:rFonts w:hint="eastAsia" w:ascii="仿宋" w:hAnsi="仿宋" w:eastAsia="仿宋" w:cs="仿宋"/>
          <w:color w:val="auto"/>
          <w:sz w:val="24"/>
          <w:highlight w:val="none"/>
          <w:u w:val="single"/>
        </w:rPr>
        <w:t xml:space="preserve">   合格   </w:t>
      </w:r>
      <w:r>
        <w:rPr>
          <w:rFonts w:hint="eastAsia" w:ascii="仿宋" w:hAnsi="仿宋" w:eastAsia="仿宋" w:cs="仿宋"/>
          <w:color w:val="auto"/>
          <w:sz w:val="24"/>
          <w:highlight w:val="none"/>
        </w:rPr>
        <w:t xml:space="preserve">标准。</w:t>
      </w:r>
      <w:r/>
    </w:p>
    <w:p>
      <w:pPr>
        <w:pStyle w:val="1302"/>
        <w:spacing w:before="120" w:after="120"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6" w:name="_Toc351203484"/>
      <w:r>
        <w:rPr>
          <w:rFonts w:hint="eastAsia" w:ascii="仿宋" w:hAnsi="仿宋" w:eastAsia="仿宋" w:cs="仿宋"/>
          <w:b w:val="0"/>
          <w:color w:val="auto"/>
          <w:sz w:val="24"/>
          <w:szCs w:val="24"/>
          <w:highlight w:val="none"/>
        </w:rPr>
        <w:t xml:space="preserve">四、签约合同价与合同价格形式</w:t>
      </w:r>
      <w:bookmarkEnd w:id="6"/>
      <w:r>
        <w:rPr>
          <w:rFonts w:hint="eastAsia" w:ascii="仿宋" w:hAnsi="仿宋" w:eastAsia="仿宋" w:cs="仿宋"/>
          <w:b w:val="0"/>
          <w:color w:val="auto"/>
          <w:sz w:val="24"/>
          <w:szCs w:val="24"/>
          <w:highlight w:val="none"/>
        </w:rPr>
        <w:tab/>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1.签约合同价为：</w:t>
      </w:r>
      <w:r/>
    </w:p>
    <w:p>
      <w:pPr>
        <w:ind w:firstLine="60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人民币（大写）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其中：（1）安全文明施工费：</w:t>
      </w:r>
      <w:r/>
    </w:p>
    <w:p>
      <w:pPr>
        <w:ind w:firstLine="10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人民币（大写）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（2）暂列金额：</w:t>
      </w:r>
      <w:r/>
    </w:p>
    <w:p>
      <w:pPr>
        <w:ind w:firstLine="10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人民币（大写）</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元)。</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2.合同价格形式：</w:t>
      </w:r>
      <w:r>
        <w:rPr>
          <w:rFonts w:hint="eastAsia" w:ascii="仿宋" w:hAnsi="仿宋" w:eastAsia="仿宋" w:cs="仿宋"/>
          <w:color w:val="auto"/>
          <w:sz w:val="24"/>
          <w:highlight w:val="none"/>
          <w:u w:val="single"/>
        </w:rPr>
        <w:t xml:space="preserve">  固定单价合同 </w:t>
      </w:r>
      <w:r>
        <w:rPr>
          <w:rFonts w:hint="eastAsia" w:ascii="仿宋" w:hAnsi="仿宋" w:eastAsia="仿宋" w:cs="仿宋"/>
          <w:color w:val="auto"/>
          <w:sz w:val="24"/>
          <w:highlight w:val="none"/>
        </w:rPr>
        <w:t xml:space="preserve">。</w:t>
      </w:r>
      <w:r/>
    </w:p>
    <w:p>
      <w:pPr>
        <w:pStyle w:val="1302"/>
        <w:spacing w:before="120" w:after="120" w:line="440" w:lineRule="exact"/>
        <w:rPr>
          <w:rFonts w:hint="eastAsia" w:ascii="仿宋" w:hAnsi="仿宋" w:eastAsia="仿宋" w:cs="仿宋"/>
          <w:b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7" w:name="_Toc351203485"/>
      <w:r>
        <w:rPr>
          <w:rFonts w:hint="eastAsia" w:ascii="仿宋" w:hAnsi="仿宋" w:eastAsia="仿宋" w:cs="仿宋"/>
          <w:b w:val="0"/>
          <w:color w:val="auto"/>
          <w:sz w:val="24"/>
          <w:szCs w:val="24"/>
          <w:highlight w:val="none"/>
        </w:rPr>
        <w:t xml:space="preserve">五、</w:t>
      </w:r>
      <w:bookmarkEnd w:id="7"/>
      <w:r>
        <w:rPr>
          <w:rFonts w:hint="eastAsia" w:ascii="仿宋" w:hAnsi="仿宋" w:eastAsia="仿宋" w:cs="仿宋"/>
          <w:b w:val="0"/>
          <w:color w:val="auto"/>
          <w:sz w:val="24"/>
          <w:szCs w:val="24"/>
          <w:highlight w:val="none"/>
        </w:rPr>
        <w:t xml:space="preserve">项目经理</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承包人项目经理：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pStyle w:val="1302"/>
        <w:spacing w:before="120" w:after="120"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8" w:name="_Toc351203486"/>
      <w:r>
        <w:rPr>
          <w:rFonts w:hint="eastAsia" w:ascii="仿宋" w:hAnsi="仿宋" w:eastAsia="仿宋" w:cs="仿宋"/>
          <w:b w:val="0"/>
          <w:color w:val="auto"/>
          <w:sz w:val="24"/>
          <w:szCs w:val="24"/>
          <w:highlight w:val="none"/>
        </w:rPr>
        <w:t xml:space="preserve">六、合同文件构成</w:t>
      </w:r>
      <w:bookmarkEnd w:id="8"/>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本协议书与下列文件一起构成合同文件：</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（1）合同协议书</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（2）中标（成交）通知书；</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（3）专用合同条款及其附件；</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（4）磋商文件(包括补充、修改、澄清的文件、答疑纪要)(如果有)；</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（5）供应商响应文件及其附件；</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（6）通用合同条款；</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（7）图纸；</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（8）已标价工程量清单或预算书；</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（9）双方约定的其他合同文件。</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在合同订立及履行过程中形成的与合同有关的文件均构成合同文件组成部分。</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302"/>
        <w:spacing w:before="120" w:after="120" w:line="4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9" w:name="_Toc351203487"/>
      <w:r>
        <w:rPr>
          <w:rFonts w:hint="eastAsia" w:ascii="仿宋" w:hAnsi="仿宋" w:eastAsia="仿宋" w:cs="仿宋"/>
          <w:b w:val="0"/>
          <w:color w:val="auto"/>
          <w:sz w:val="24"/>
          <w:szCs w:val="24"/>
          <w:highlight w:val="none"/>
        </w:rPr>
        <w:t xml:space="preserve">七、承诺</w:t>
      </w:r>
      <w:bookmarkEnd w:id="9"/>
      <w:r/>
      <w:r/>
    </w:p>
    <w:p>
      <w:pPr>
        <w:ind w:firstLine="48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1.发包人承诺按照法律规定履行项目审批手续、筹集工程建设资金并按照合同约定的期限和方式支付合同价款。</w:t>
      </w:r>
      <w:r/>
    </w:p>
    <w:p>
      <w:pPr>
        <w:ind w:firstLine="48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3.发包人和承包人通过招响应形式签订合同的，双方理解并承诺不再就同一工程另行签订与合同实质性内容相背离的协议。</w:t>
      </w:r>
      <w:r/>
    </w:p>
    <w:p>
      <w:pPr>
        <w:spacing w:line="440" w:lineRule="exact"/>
        <w:rPr>
          <w:rFonts w:hint="eastAsia" w:ascii="仿宋" w:hAnsi="仿宋" w:eastAsia="仿宋" w:cs="仿宋"/>
          <w:bCs/>
          <w:color w:val="auto"/>
          <w:sz w:val="24"/>
          <w:highlight w:val="none"/>
        </w:rPr>
      </w:pPr>
      <w:r/>
      <w:bookmarkStart w:id="10" w:name="_Toc351203488"/>
      <w:r>
        <w:rPr>
          <w:rFonts w:hint="eastAsia" w:ascii="仿宋" w:hAnsi="仿宋" w:eastAsia="仿宋" w:cs="仿宋"/>
          <w:b/>
          <w:color w:val="auto"/>
          <w:sz w:val="24"/>
          <w:highlight w:val="none"/>
        </w:rPr>
        <w:t xml:space="preserve">    八、词语含义</w:t>
      </w:r>
      <w:bookmarkEnd w:id="10"/>
      <w:r/>
      <w:r/>
    </w:p>
    <w:p>
      <w:pPr>
        <w:ind w:firstLine="48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本协议书中词语含义与第二部分通用合同条款中赋予的含义相同。</w:t>
      </w:r>
      <w:r/>
    </w:p>
    <w:p>
      <w:pPr>
        <w:pStyle w:val="1302"/>
        <w:spacing w:before="120" w:after="120"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11" w:name="_Toc351203489"/>
      <w:r>
        <w:rPr>
          <w:rFonts w:hint="eastAsia" w:ascii="仿宋" w:hAnsi="仿宋" w:eastAsia="仿宋" w:cs="仿宋"/>
          <w:bCs w:val="0"/>
          <w:color w:val="auto"/>
          <w:sz w:val="24"/>
          <w:szCs w:val="24"/>
          <w:highlight w:val="none"/>
        </w:rPr>
        <w:t xml:space="preserve">九、签订时间</w:t>
      </w:r>
      <w:bookmarkEnd w:id="11"/>
      <w:r/>
      <w:r/>
    </w:p>
    <w:p>
      <w:pPr>
        <w:ind w:firstLine="482"/>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本合同于</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 xml:space="preserve">年</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 xml:space="preserve">月</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 xml:space="preserve">日签订。</w:t>
      </w:r>
      <w:r/>
    </w:p>
    <w:p>
      <w:pPr>
        <w:pStyle w:val="1302"/>
        <w:spacing w:before="120" w:after="120"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12" w:name="_Toc351203490"/>
      <w:r>
        <w:rPr>
          <w:rFonts w:hint="eastAsia" w:ascii="仿宋" w:hAnsi="仿宋" w:eastAsia="仿宋" w:cs="仿宋"/>
          <w:bCs w:val="0"/>
          <w:color w:val="auto"/>
          <w:sz w:val="24"/>
          <w:szCs w:val="24"/>
          <w:highlight w:val="none"/>
        </w:rPr>
        <w:t xml:space="preserve">十、签订地点</w:t>
      </w:r>
      <w:bookmarkEnd w:id="12"/>
      <w:r/>
      <w:r/>
    </w:p>
    <w:p>
      <w:pPr>
        <w:ind w:firstLine="482"/>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本合同在</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 xml:space="preserve">签订。</w:t>
      </w:r>
      <w:r/>
    </w:p>
    <w:p>
      <w:pPr>
        <w:pStyle w:val="1302"/>
        <w:spacing w:before="120" w:after="120"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13" w:name="_Toc351203491"/>
      <w:r>
        <w:rPr>
          <w:rFonts w:hint="eastAsia" w:ascii="仿宋" w:hAnsi="仿宋" w:eastAsia="仿宋" w:cs="仿宋"/>
          <w:b w:val="0"/>
          <w:color w:val="auto"/>
          <w:sz w:val="24"/>
          <w:szCs w:val="24"/>
          <w:highlight w:val="none"/>
        </w:rPr>
        <w:t xml:space="preserve">十一、补充协议</w:t>
      </w:r>
      <w:bookmarkEnd w:id="13"/>
      <w:r/>
      <w:r/>
    </w:p>
    <w:p>
      <w:pPr>
        <w:ind w:firstLine="480"/>
        <w:spacing w:line="440" w:lineRule="exact"/>
        <w:rPr>
          <w:rFonts w:hint="eastAsia" w:ascii="仿宋" w:hAnsi="仿宋" w:eastAsia="仿宋" w:cs="仿宋"/>
          <w:b/>
          <w:bCs/>
          <w:color w:val="auto"/>
          <w:sz w:val="24"/>
          <w:highlight w:val="none"/>
        </w:rPr>
      </w:pPr>
      <w:r>
        <w:rPr>
          <w:rFonts w:hint="eastAsia" w:ascii="仿宋" w:hAnsi="仿宋" w:eastAsia="仿宋" w:cs="仿宋"/>
          <w:bCs/>
          <w:color w:val="auto"/>
          <w:sz w:val="24"/>
          <w:highlight w:val="none"/>
        </w:rPr>
        <w:t xml:space="preserve">合同未尽事宜，合同当事人另行签订补充协议，补充协议是合同的组成部分。</w:t>
      </w:r>
      <w:r/>
    </w:p>
    <w:p>
      <w:pPr>
        <w:pStyle w:val="1302"/>
        <w:spacing w:before="120" w:after="120"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14" w:name="_Toc351203492"/>
      <w:r>
        <w:rPr>
          <w:rFonts w:hint="eastAsia" w:ascii="仿宋" w:hAnsi="仿宋" w:eastAsia="仿宋" w:cs="仿宋"/>
          <w:b w:val="0"/>
          <w:color w:val="auto"/>
          <w:sz w:val="24"/>
          <w:szCs w:val="24"/>
          <w:highlight w:val="none"/>
        </w:rPr>
        <w:t xml:space="preserve">十二、合同生效</w:t>
      </w:r>
      <w:bookmarkEnd w:id="14"/>
      <w:r/>
      <w:r/>
    </w:p>
    <w:p>
      <w:pPr>
        <w:ind w:firstLine="48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本合同自</w:t>
      </w:r>
      <w:r>
        <w:rPr>
          <w:rFonts w:hint="eastAsia" w:ascii="仿宋" w:hAnsi="仿宋" w:eastAsia="仿宋" w:cs="仿宋"/>
          <w:bCs/>
          <w:color w:val="auto"/>
          <w:sz w:val="24"/>
          <w:highlight w:val="none"/>
          <w:u w:val="single"/>
        </w:rPr>
        <w:t xml:space="preserve">     </w:t>
      </w:r>
      <w:r>
        <w:rPr>
          <w:rFonts w:hint="eastAsia" w:ascii="仿宋" w:hAnsi="仿宋" w:eastAsia="仿宋" w:cs="仿宋"/>
          <w:b/>
          <w:bCs/>
          <w:color w:val="auto"/>
          <w:sz w:val="24"/>
          <w:highlight w:val="none"/>
          <w:u w:val="single"/>
        </w:rPr>
        <w:t xml:space="preserve">双方签字并盖章后     </w:t>
      </w:r>
      <w:r>
        <w:rPr>
          <w:rFonts w:hint="eastAsia" w:ascii="仿宋" w:hAnsi="仿宋" w:eastAsia="仿宋" w:cs="仿宋"/>
          <w:bCs/>
          <w:color w:val="auto"/>
          <w:sz w:val="24"/>
          <w:highlight w:val="none"/>
        </w:rPr>
        <w:t xml:space="preserve">生效。</w:t>
      </w:r>
      <w:r/>
    </w:p>
    <w:p>
      <w:pPr>
        <w:pStyle w:val="1302"/>
        <w:spacing w:before="120" w:after="120"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15" w:name="_Toc351203493"/>
      <w:r>
        <w:rPr>
          <w:rFonts w:hint="eastAsia" w:ascii="仿宋" w:hAnsi="仿宋" w:eastAsia="仿宋" w:cs="仿宋"/>
          <w:b w:val="0"/>
          <w:color w:val="auto"/>
          <w:sz w:val="24"/>
          <w:szCs w:val="24"/>
          <w:highlight w:val="none"/>
        </w:rPr>
        <w:t xml:space="preserve">十三、合同份数</w:t>
      </w:r>
      <w:bookmarkEnd w:id="15"/>
      <w:r/>
      <w:r/>
    </w:p>
    <w:p>
      <w:pPr>
        <w:ind w:firstLine="48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本合同一式</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份，均具有同等法律效力，发包人执</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份，承包人执</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份。</w:t>
      </w:r>
      <w:r/>
    </w:p>
    <w:p>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  (公章)                承包人：  (公章)</w:t>
      </w:r>
      <w:r/>
    </w:p>
    <w:p>
      <w:pPr>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                                 </w:t>
      </w:r>
      <w:r/>
    </w:p>
    <w:p>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法定代表人或其委托代理人：      法定代表人或其委托代理人：</w:t>
      </w:r>
      <w:r/>
    </w:p>
    <w:p>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（签字）                       （签字）</w:t>
      </w:r>
      <w:r/>
    </w:p>
    <w:p>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地       址：</w:t>
      </w:r>
      <w:r>
        <w:rPr>
          <w:rFonts w:hint="eastAsia" w:ascii="仿宋" w:hAnsi="仿宋" w:eastAsia="仿宋" w:cs="仿宋"/>
          <w:color w:val="auto"/>
          <w:sz w:val="24"/>
          <w:highlight w:val="none"/>
          <w:u w:val="single"/>
        </w:rPr>
        <w:t xml:space="preserve">                        </w:t>
      </w:r>
      <w:r/>
    </w:p>
    <w:p>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邮 政 编  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邮 政 编 码：</w:t>
      </w:r>
      <w:r>
        <w:rPr>
          <w:rFonts w:hint="eastAsia" w:ascii="仿宋" w:hAnsi="仿宋" w:eastAsia="仿宋" w:cs="仿宋"/>
          <w:color w:val="auto"/>
          <w:sz w:val="24"/>
          <w:highlight w:val="none"/>
          <w:u w:val="single"/>
        </w:rPr>
        <w:t xml:space="preserve">                        </w:t>
      </w:r>
      <w:r/>
    </w:p>
    <w:p>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 定 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法 定代表人：</w:t>
      </w:r>
      <w:r>
        <w:rPr>
          <w:rFonts w:hint="eastAsia" w:ascii="仿宋" w:hAnsi="仿宋" w:eastAsia="仿宋" w:cs="仿宋"/>
          <w:color w:val="auto"/>
          <w:sz w:val="24"/>
          <w:highlight w:val="none"/>
          <w:u w:val="single"/>
        </w:rPr>
        <w:t xml:space="preserve">                        </w:t>
      </w:r>
      <w:r/>
    </w:p>
    <w:p>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 托 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委 托代理人：</w:t>
      </w:r>
      <w:r>
        <w:rPr>
          <w:rFonts w:hint="eastAsia" w:ascii="仿宋" w:hAnsi="仿宋" w:eastAsia="仿宋" w:cs="仿宋"/>
          <w:color w:val="auto"/>
          <w:sz w:val="24"/>
          <w:highlight w:val="none"/>
          <w:u w:val="single"/>
        </w:rPr>
        <w:t xml:space="preserve">                         </w:t>
      </w:r>
      <w:r/>
    </w:p>
    <w:p>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        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       话：</w:t>
      </w:r>
      <w:r>
        <w:rPr>
          <w:rFonts w:hint="eastAsia" w:ascii="仿宋" w:hAnsi="仿宋" w:eastAsia="仿宋" w:cs="仿宋"/>
          <w:color w:val="auto"/>
          <w:sz w:val="24"/>
          <w:highlight w:val="none"/>
          <w:u w:val="single"/>
        </w:rPr>
        <w:t xml:space="preserve">                         </w:t>
      </w:r>
      <w:r/>
    </w:p>
    <w:p>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传        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传       真：</w:t>
      </w:r>
      <w:r>
        <w:rPr>
          <w:rFonts w:hint="eastAsia" w:ascii="仿宋" w:hAnsi="仿宋" w:eastAsia="仿宋" w:cs="仿宋"/>
          <w:color w:val="auto"/>
          <w:sz w:val="24"/>
          <w:highlight w:val="none"/>
          <w:u w:val="single"/>
        </w:rPr>
        <w:t xml:space="preserve">                         </w:t>
      </w:r>
      <w:r/>
    </w:p>
    <w:p>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 子  信 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 子 信 箱：</w:t>
      </w:r>
      <w:r>
        <w:rPr>
          <w:rFonts w:hint="eastAsia" w:ascii="仿宋" w:hAnsi="仿宋" w:eastAsia="仿宋" w:cs="仿宋"/>
          <w:color w:val="auto"/>
          <w:sz w:val="24"/>
          <w:highlight w:val="none"/>
          <w:u w:val="single"/>
        </w:rPr>
        <w:t xml:space="preserve">                         </w:t>
      </w:r>
      <w:r/>
    </w:p>
    <w:p>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 户 银  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开 户 银 行：</w:t>
      </w:r>
      <w:r>
        <w:rPr>
          <w:rFonts w:hint="eastAsia" w:ascii="仿宋" w:hAnsi="仿宋" w:eastAsia="仿宋" w:cs="仿宋"/>
          <w:color w:val="auto"/>
          <w:sz w:val="24"/>
          <w:highlight w:val="none"/>
          <w:u w:val="single"/>
        </w:rPr>
        <w:t xml:space="preserve">                         </w:t>
      </w:r>
      <w:r/>
    </w:p>
    <w:p>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账        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账       号：</w:t>
      </w:r>
      <w:r>
        <w:rPr>
          <w:rFonts w:hint="eastAsia" w:ascii="仿宋" w:hAnsi="仿宋" w:eastAsia="仿宋" w:cs="仿宋"/>
          <w:color w:val="auto"/>
          <w:sz w:val="24"/>
          <w:highlight w:val="none"/>
          <w:u w:val="single"/>
        </w:rPr>
        <w:t xml:space="preserve">                         </w:t>
      </w:r>
      <w:r/>
    </w:p>
    <w:p>
      <w:pPr>
        <w:pStyle w:val="1301"/>
        <w:jc w:val="cente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highlight w:val="none"/>
        </w:rPr>
        <w:t xml:space="preserve">第二部分 通用合同条款</w:t>
      </w:r>
      <w:r/>
    </w:p>
    <w:p>
      <w:pPr>
        <w:jc w:val="center"/>
        <w:spacing w:line="62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备注：</w:t>
      </w:r>
      <w:r>
        <w:rPr>
          <w:rFonts w:hint="eastAsia" w:ascii="仿宋" w:hAnsi="仿宋" w:eastAsia="仿宋" w:cs="仿宋"/>
          <w:color w:val="auto"/>
          <w:sz w:val="24"/>
          <w:highlight w:val="none"/>
        </w:rPr>
        <w:t xml:space="preserve">本合同通用条款执行建设工程施工合同(GF—2017—0201)</w:t>
      </w:r>
      <w:r/>
    </w:p>
    <w:p>
      <w:pPr>
        <w:jc w:val="center"/>
        <w:spacing w:line="440" w:lineRule="exact"/>
        <w:rPr>
          <w:rFonts w:hint="eastAsia" w:ascii="仿宋" w:hAnsi="仿宋" w:eastAsia="仿宋" w:cs="仿宋"/>
          <w:b/>
          <w:color w:val="auto"/>
          <w:sz w:val="44"/>
          <w:szCs w:val="44"/>
          <w:highlight w:val="none"/>
        </w:rPr>
      </w:pPr>
      <w:r>
        <w:rPr>
          <w:rFonts w:hint="eastAsia" w:ascii="仿宋" w:hAnsi="仿宋" w:eastAsia="仿宋" w:cs="仿宋"/>
          <w:b/>
          <w:color w:val="auto"/>
          <w:sz w:val="24"/>
          <w:highlight w:val="none"/>
          <w:u w:val="single"/>
        </w:rPr>
        <w:t xml:space="preserve">此部分在正式签订合同时应不加修改的、完整的装订在合同中</w:t>
      </w:r>
      <w:r/>
    </w:p>
    <w:p>
      <w:pPr>
        <w:pStyle w:val="1301"/>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01"/>
        <w:jc w:val="center"/>
        <w:spacing w:line="440" w:lineRule="exact"/>
        <w:rPr>
          <w:rFonts w:hint="eastAsia" w:ascii="仿宋" w:hAnsi="仿宋" w:eastAsia="仿宋" w:cs="仿宋"/>
          <w:color w:val="auto"/>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仿宋" w:hAnsi="仿宋" w:eastAsia="仿宋" w:cs="仿宋"/>
          <w:color w:val="auto"/>
          <w:highlight w:val="none"/>
        </w:rPr>
      </w:r>
      <w:r/>
    </w:p>
    <w:p>
      <w:pPr>
        <w:pStyle w:val="1301"/>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第三部分 专用合同条款</w:t>
      </w:r>
      <w:r/>
    </w:p>
    <w:p>
      <w:pPr>
        <w:pStyle w:val="1302"/>
        <w:spacing w:before="120" w:after="120" w:line="440" w:lineRule="exac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 一般约定</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 词语定义</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1.1.1合同</w:t>
      </w:r>
      <w:r/>
    </w:p>
    <w:p>
      <w:pPr>
        <w:ind w:firstLine="480"/>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1.1.1.10其他合同文件包括：</w:t>
      </w:r>
      <w:r>
        <w:rPr>
          <w:rFonts w:hint="eastAsia" w:ascii="仿宋" w:hAnsi="仿宋" w:eastAsia="仿宋" w:cs="仿宋"/>
          <w:color w:val="auto"/>
          <w:sz w:val="24"/>
          <w:highlight w:val="none"/>
          <w:u w:val="single"/>
        </w:rPr>
        <w:t xml:space="preserve">  合同履行过程中经双方共同签字认可的对合同有影响的会议纪要、签证、及设计变更等相关书面资料   </w:t>
      </w:r>
      <w:r>
        <w:rPr>
          <w:rFonts w:hint="eastAsia" w:ascii="仿宋" w:hAnsi="仿宋" w:eastAsia="仿宋" w:cs="仿宋"/>
          <w:color w:val="auto"/>
          <w:sz w:val="24"/>
          <w:highlight w:val="none"/>
        </w:rPr>
        <w:t xml:space="preserve">。</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 合同当事人及其他相关方</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1.1.2.1</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1.1.2.1监理人：</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    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资质类别和等级：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电子信箱：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通信地址：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1.1.2.2设计人：</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    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资质类别和等级：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电子信箱：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通信地址：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 工程和设备</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1.1.3.7 作为施工现场组成部分的其他场所包括：</w:t>
      </w:r>
      <w:r>
        <w:rPr>
          <w:rFonts w:hint="eastAsia" w:ascii="仿宋" w:hAnsi="仿宋" w:eastAsia="仿宋" w:cs="仿宋"/>
          <w:color w:val="auto"/>
          <w:sz w:val="24"/>
          <w:highlight w:val="none"/>
          <w:u w:val="single"/>
        </w:rPr>
        <w:t xml:space="preserve">现场临时办公及施工场地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1.1.3.9 永久占地包括：</w:t>
      </w:r>
      <w:r>
        <w:rPr>
          <w:rFonts w:hint="eastAsia" w:ascii="仿宋" w:hAnsi="仿宋" w:eastAsia="仿宋" w:cs="仿宋"/>
          <w:color w:val="auto"/>
          <w:sz w:val="24"/>
          <w:highlight w:val="none"/>
          <w:u w:val="single"/>
        </w:rPr>
        <w:t xml:space="preserve"> 规划用地范围内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1.1.3.10 临时占地包括：</w:t>
      </w:r>
      <w:r>
        <w:rPr>
          <w:rFonts w:hint="eastAsia" w:ascii="仿宋" w:hAnsi="仿宋" w:eastAsia="仿宋" w:cs="仿宋"/>
          <w:color w:val="auto"/>
          <w:sz w:val="24"/>
          <w:highlight w:val="none"/>
          <w:u w:val="single"/>
        </w:rPr>
        <w:t xml:space="preserve"> 规划用地范围外       </w:t>
      </w:r>
      <w:r>
        <w:rPr>
          <w:rFonts w:hint="eastAsia" w:ascii="仿宋" w:hAnsi="仿宋" w:eastAsia="仿宋" w:cs="仿宋"/>
          <w:color w:val="auto"/>
          <w:sz w:val="24"/>
          <w:highlight w:val="none"/>
        </w:rPr>
        <w:t xml:space="preserve">。</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1.3法律 </w:t>
      </w:r>
      <w:r/>
    </w:p>
    <w:p>
      <w:pPr>
        <w:ind w:left="15" w:firstLine="578"/>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适用于合同的其他规范性文件：</w:t>
      </w:r>
      <w:r>
        <w:rPr>
          <w:rFonts w:hint="eastAsia" w:ascii="仿宋" w:hAnsi="仿宋" w:eastAsia="仿宋" w:cs="仿宋"/>
          <w:color w:val="auto"/>
          <w:sz w:val="24"/>
          <w:highlight w:val="none"/>
          <w:u w:val="single"/>
        </w:rPr>
        <w:t xml:space="preserve"> 《中华人民共和国建筑法》、《中华人民共和国民法典》、《中华人民共和国招标投标法》、《建筑工程质量管理条例》、《建筑工程安全生产管理条例》及江苏省、徐州市现行的相关管理条例、规定。</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 标准和规范</w:t>
      </w:r>
      <w:r/>
    </w:p>
    <w:p>
      <w:pPr>
        <w:ind w:firstLine="480"/>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1.4.1适用于工程的标准规范包括：</w:t>
      </w:r>
      <w:r>
        <w:rPr>
          <w:rFonts w:hint="eastAsia" w:ascii="仿宋" w:hAnsi="仿宋" w:eastAsia="仿宋" w:cs="仿宋"/>
          <w:color w:val="auto"/>
          <w:sz w:val="24"/>
          <w:highlight w:val="none"/>
          <w:u w:val="single"/>
        </w:rPr>
        <w:t xml:space="preserve">设计有要求的按设计要求执行，设计没有要求的执行现行国家及本省、市有关标准、规范及其他适用于本工程的技术标准、规范、规程。</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 发包人提供国外标准、规范的名称：</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发包人提供国外标准、规范的份数：</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发包人提供国外标准、规范的名称：</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1.4.3发包人对工程的技术标准和功能要求的特殊要求：</w:t>
      </w:r>
      <w:r>
        <w:rPr>
          <w:rFonts w:hint="eastAsia" w:ascii="仿宋" w:hAnsi="仿宋" w:eastAsia="仿宋" w:cs="仿宋"/>
          <w:color w:val="auto"/>
          <w:sz w:val="24"/>
          <w:highlight w:val="none"/>
          <w:u w:val="single"/>
        </w:rPr>
        <w:t xml:space="preserve">符合有关行业主管部门和业主的要求  </w:t>
      </w:r>
      <w:r>
        <w:rPr>
          <w:rFonts w:hint="eastAsia" w:ascii="仿宋" w:hAnsi="仿宋" w:eastAsia="仿宋" w:cs="仿宋"/>
          <w:color w:val="auto"/>
          <w:sz w:val="24"/>
          <w:highlight w:val="none"/>
        </w:rPr>
        <w:t xml:space="preserve">。</w:t>
      </w:r>
      <w:r/>
    </w:p>
    <w:p>
      <w:pPr>
        <w:ind w:firstLine="528"/>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1.5 合同文件的优先顺序</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1）合同协议书；（2）中标（成交）通知书；（3）专用合同条款及其附件；（4）磋商文件(包括补充、修改、澄清的文件、答疑纪要)(如果有)；（5）供应商响应文件及其附件；（6）通用合同条款；（7）图纸；（8）已标价工程量清单或预算书；（9）双方约定的其他合同文件。</w:t>
      </w:r>
      <w:r/>
    </w:p>
    <w:p>
      <w:pPr>
        <w:ind w:firstLine="528"/>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上述各项合同文件包括合同当事人就该项合同文件所作出的补充和修改，属于同一类的文件，应以最新签署的为准。</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 图纸和承包人文件</w:t>
      </w:r>
      <w:r>
        <w:rPr>
          <w:rFonts w:hint="eastAsia" w:ascii="仿宋" w:hAnsi="仿宋" w:eastAsia="仿宋" w:cs="仿宋"/>
          <w:color w:val="auto"/>
          <w:sz w:val="24"/>
          <w:highlight w:val="none"/>
        </w:rPr>
        <w:tab/>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 图纸的提供</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发包人向承包人提供图纸的期限：</w:t>
      </w:r>
      <w:r>
        <w:rPr>
          <w:rFonts w:hint="eastAsia" w:ascii="仿宋" w:hAnsi="仿宋" w:eastAsia="仿宋" w:cs="仿宋"/>
          <w:color w:val="auto"/>
          <w:sz w:val="24"/>
          <w:highlight w:val="none"/>
          <w:u w:val="single"/>
        </w:rPr>
        <w:t xml:space="preserve">      /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发包人向承包人提供图纸的数量：</w:t>
      </w:r>
      <w:r>
        <w:rPr>
          <w:rFonts w:hint="eastAsia" w:ascii="仿宋" w:hAnsi="仿宋" w:eastAsia="仿宋" w:cs="仿宋"/>
          <w:color w:val="auto"/>
          <w:sz w:val="24"/>
          <w:highlight w:val="none"/>
          <w:u w:val="single"/>
        </w:rPr>
        <w:t xml:space="preserve">      /        ；</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发包人向承包人提供图纸的内容：</w:t>
      </w:r>
      <w:r>
        <w:rPr>
          <w:rFonts w:hint="eastAsia" w:ascii="仿宋" w:hAnsi="仿宋" w:eastAsia="仿宋" w:cs="仿宋"/>
          <w:color w:val="auto"/>
          <w:sz w:val="24"/>
          <w:highlight w:val="none"/>
          <w:u w:val="single"/>
        </w:rPr>
        <w:t xml:space="preserve">       /        。</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发包人对图纸的保密要求：</w:t>
      </w:r>
      <w:r>
        <w:rPr>
          <w:rFonts w:hint="eastAsia" w:ascii="仿宋" w:hAnsi="仿宋" w:eastAsia="仿宋" w:cs="仿宋"/>
          <w:color w:val="auto"/>
          <w:sz w:val="24"/>
          <w:highlight w:val="none"/>
          <w:u w:val="single"/>
        </w:rPr>
        <w:t xml:space="preserve">      /       。</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1.6.4 承包人文件</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需要由承包人提供的文件，包括但不限于：</w:t>
      </w:r>
      <w:r>
        <w:rPr>
          <w:rFonts w:hint="eastAsia" w:ascii="仿宋" w:hAnsi="仿宋" w:eastAsia="仿宋" w:cs="仿宋"/>
          <w:color w:val="auto"/>
          <w:sz w:val="24"/>
          <w:highlight w:val="none"/>
          <w:u w:val="single"/>
        </w:rPr>
        <w:t xml:space="preserve">施工组织设计、施工方案等与工程施工有关的文件</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承包人提供的文件的期限为：</w:t>
      </w:r>
      <w:r>
        <w:rPr>
          <w:rFonts w:hint="eastAsia" w:ascii="仿宋" w:hAnsi="仿宋" w:eastAsia="仿宋" w:cs="仿宋"/>
          <w:color w:val="auto"/>
          <w:sz w:val="24"/>
          <w:highlight w:val="none"/>
          <w:u w:val="single"/>
        </w:rPr>
        <w:t xml:space="preserve">   开工前7天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承包人提供的文件的数量为：</w:t>
      </w:r>
      <w:r>
        <w:rPr>
          <w:rFonts w:hint="eastAsia" w:ascii="仿宋" w:hAnsi="仿宋" w:eastAsia="仿宋" w:cs="仿宋"/>
          <w:color w:val="auto"/>
          <w:sz w:val="24"/>
          <w:highlight w:val="none"/>
          <w:u w:val="single"/>
        </w:rPr>
        <w:t xml:space="preserve">     4套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承包人提供的文件的形式为：</w:t>
      </w:r>
      <w:r>
        <w:rPr>
          <w:rFonts w:hint="eastAsia" w:ascii="仿宋" w:hAnsi="仿宋" w:eastAsia="仿宋" w:cs="仿宋"/>
          <w:color w:val="auto"/>
          <w:sz w:val="24"/>
          <w:highlight w:val="none"/>
          <w:u w:val="single"/>
        </w:rPr>
        <w:t xml:space="preserve">   加盖承包人鲜章（公章）的书面文件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发包人审批承包人文件的期限：</w:t>
      </w:r>
      <w:r>
        <w:rPr>
          <w:rFonts w:hint="eastAsia" w:ascii="仿宋" w:hAnsi="仿宋" w:eastAsia="仿宋" w:cs="仿宋"/>
          <w:color w:val="auto"/>
          <w:sz w:val="24"/>
          <w:highlight w:val="none"/>
          <w:u w:val="single"/>
        </w:rPr>
        <w:t xml:space="preserve">  执行通用条款</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1.6.5 现场图纸准备</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关于现场图纸准备的约定：</w:t>
      </w:r>
      <w:r>
        <w:rPr>
          <w:rFonts w:hint="eastAsia" w:ascii="仿宋" w:hAnsi="仿宋" w:eastAsia="仿宋" w:cs="仿宋"/>
          <w:color w:val="auto"/>
          <w:sz w:val="24"/>
          <w:highlight w:val="none"/>
          <w:u w:val="single"/>
        </w:rPr>
        <w:t xml:space="preserve">执行通用条款。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 联络</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1.7.1发包人和承包人应当在</w:t>
      </w:r>
      <w:r>
        <w:rPr>
          <w:rFonts w:hint="eastAsia" w:ascii="仿宋" w:hAnsi="仿宋" w:eastAsia="仿宋" w:cs="仿宋"/>
          <w:color w:val="auto"/>
          <w:sz w:val="24"/>
          <w:highlight w:val="none"/>
          <w:u w:val="single"/>
        </w:rPr>
        <w:t xml:space="preserve"> 7 </w:t>
      </w:r>
      <w:r>
        <w:rPr>
          <w:rFonts w:hint="eastAsia" w:ascii="仿宋" w:hAnsi="仿宋" w:eastAsia="仿宋" w:cs="仿宋"/>
          <w:color w:val="auto"/>
          <w:sz w:val="24"/>
          <w:highlight w:val="none"/>
        </w:rPr>
        <w:t xml:space="preserve">天内将与合同有关的通知、批准、证明、证书、指示、指令、要求、请求、同意、意见、确定和决定等书面函件送达对方当事人。</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1.7.2 发包人接收文件的地点：</w:t>
      </w:r>
      <w:r>
        <w:rPr>
          <w:rFonts w:hint="eastAsia" w:ascii="仿宋" w:hAnsi="仿宋" w:eastAsia="仿宋" w:cs="仿宋"/>
          <w:color w:val="auto"/>
          <w:sz w:val="24"/>
          <w:highlight w:val="none"/>
          <w:u w:val="single"/>
        </w:rPr>
        <w:t xml:space="preserve">   现场项目部办公室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发包人指定的接收人为：</w:t>
      </w:r>
      <w:r>
        <w:rPr>
          <w:rFonts w:hint="eastAsia" w:ascii="仿宋" w:hAnsi="仿宋" w:eastAsia="仿宋" w:cs="仿宋"/>
          <w:color w:val="auto"/>
          <w:sz w:val="24"/>
          <w:highlight w:val="none"/>
          <w:u w:val="single"/>
        </w:rPr>
        <w:t xml:space="preserve">      发包人指定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承包人接收文件的地点：</w:t>
      </w:r>
      <w:r>
        <w:rPr>
          <w:rFonts w:hint="eastAsia" w:ascii="仿宋" w:hAnsi="仿宋" w:eastAsia="仿宋" w:cs="仿宋"/>
          <w:color w:val="auto"/>
          <w:sz w:val="24"/>
          <w:highlight w:val="none"/>
          <w:u w:val="single"/>
        </w:rPr>
        <w:t xml:space="preserve">   现场项目部办公室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承包人指定的接收人为：</w:t>
      </w:r>
      <w:r>
        <w:rPr>
          <w:rFonts w:hint="eastAsia" w:ascii="仿宋" w:hAnsi="仿宋" w:eastAsia="仿宋" w:cs="仿宋"/>
          <w:color w:val="auto"/>
          <w:sz w:val="24"/>
          <w:highlight w:val="none"/>
          <w:u w:val="single"/>
        </w:rPr>
        <w:t xml:space="preserve">   承包人指定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监理人接收文件的地点：</w:t>
      </w:r>
      <w:r>
        <w:rPr>
          <w:rFonts w:hint="eastAsia" w:ascii="仿宋" w:hAnsi="仿宋" w:eastAsia="仿宋" w:cs="仿宋"/>
          <w:color w:val="auto"/>
          <w:sz w:val="24"/>
          <w:highlight w:val="none"/>
          <w:u w:val="single"/>
        </w:rPr>
        <w:t xml:space="preserve">         /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监理人指定的接收人为：</w:t>
      </w:r>
      <w:r>
        <w:rPr>
          <w:rFonts w:hint="eastAsia" w:ascii="仿宋" w:hAnsi="仿宋" w:eastAsia="仿宋" w:cs="仿宋"/>
          <w:color w:val="auto"/>
          <w:sz w:val="24"/>
          <w:highlight w:val="none"/>
          <w:u w:val="single"/>
        </w:rPr>
        <w:t xml:space="preserve">         /         </w:t>
      </w:r>
      <w:r/>
    </w:p>
    <w:p>
      <w:pPr>
        <w:ind w:firstLine="482"/>
        <w:spacing w:after="12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1.10 交通运输</w:t>
      </w:r>
      <w:r/>
    </w:p>
    <w:p>
      <w:pPr>
        <w:ind w:firstLine="480"/>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1.10.1 出入现场的权利</w:t>
      </w:r>
      <w:r>
        <w:rPr>
          <w:rFonts w:hint="eastAsia" w:ascii="仿宋" w:hAnsi="仿宋" w:eastAsia="仿宋" w:cs="仿宋"/>
          <w:color w:val="auto"/>
          <w:sz w:val="24"/>
          <w:highlight w:val="none"/>
          <w:u w:val="single"/>
        </w:rPr>
        <w:t xml:space="preserve">   承包人应根据工程的施工需要，负责办理取得出入施工场地的专用和临时道路的通行权。发包人应协助承包人办理上述手续。</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1.10.3 场内交通</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关于场外交通和场内交通的边界的约定：</w:t>
      </w:r>
      <w:r>
        <w:rPr>
          <w:rFonts w:hint="eastAsia" w:ascii="仿宋" w:hAnsi="仿宋" w:eastAsia="仿宋" w:cs="仿宋"/>
          <w:color w:val="auto"/>
          <w:sz w:val="24"/>
          <w:highlight w:val="none"/>
          <w:u w:val="single"/>
        </w:rPr>
        <w:t xml:space="preserve">  另行协商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关于发包人向承包人免费提供满足工程施工需要的场内道路和交通设施的约定：</w:t>
      </w:r>
      <w:r>
        <w:rPr>
          <w:rFonts w:hint="eastAsia" w:ascii="仿宋" w:hAnsi="仿宋" w:eastAsia="仿宋" w:cs="仿宋"/>
          <w:color w:val="auto"/>
          <w:sz w:val="24"/>
          <w:highlight w:val="none"/>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1.10.4超大件和超重件的运输</w:t>
      </w:r>
      <w:r/>
    </w:p>
    <w:p>
      <w:pPr>
        <w:ind w:left="120" w:firstLine="36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运输超大件或超重件所需的道路和桥梁临时加固改造费用和其他有关费用由</w:t>
      </w:r>
      <w:r>
        <w:rPr>
          <w:rFonts w:hint="eastAsia" w:ascii="仿宋" w:hAnsi="仿宋" w:eastAsia="仿宋" w:cs="仿宋"/>
          <w:color w:val="auto"/>
          <w:sz w:val="24"/>
          <w:highlight w:val="none"/>
          <w:u w:val="single"/>
        </w:rPr>
        <w:t xml:space="preserve">承包人</w:t>
      </w:r>
      <w:r>
        <w:rPr>
          <w:rFonts w:hint="eastAsia" w:ascii="仿宋" w:hAnsi="仿宋" w:eastAsia="仿宋" w:cs="仿宋"/>
          <w:color w:val="auto"/>
          <w:sz w:val="24"/>
          <w:highlight w:val="none"/>
        </w:rPr>
        <w:t xml:space="preserve">承担。</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 知识产权</w:t>
      </w:r>
      <w:r/>
    </w:p>
    <w:p>
      <w:pPr>
        <w:ind w:firstLine="480"/>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highlight w:val="none"/>
          <w:u w:val="single"/>
        </w:rPr>
        <w:t xml:space="preserve"> 执行通用条款  </w:t>
      </w:r>
      <w:r>
        <w:rPr>
          <w:rFonts w:hint="eastAsia" w:ascii="仿宋" w:hAnsi="仿宋" w:eastAsia="仿宋" w:cs="仿宋"/>
          <w:color w:val="auto"/>
          <w:sz w:val="24"/>
          <w:highlight w:val="none"/>
        </w:rPr>
        <w:t xml:space="preserve">。</w:t>
      </w:r>
      <w:r/>
    </w:p>
    <w:p>
      <w:pPr>
        <w:ind w:left="596"/>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关于发包人提供的上述文件的使用限制的要求：</w:t>
      </w:r>
      <w:r>
        <w:rPr>
          <w:rFonts w:hint="eastAsia" w:ascii="仿宋" w:hAnsi="仿宋" w:eastAsia="仿宋" w:cs="仿宋"/>
          <w:color w:val="auto"/>
          <w:sz w:val="24"/>
          <w:highlight w:val="none"/>
          <w:u w:val="single"/>
        </w:rPr>
        <w:t xml:space="preserve">  执行通用条款          </w:t>
      </w:r>
      <w:r>
        <w:rPr>
          <w:rFonts w:hint="eastAsia" w:ascii="仿宋" w:hAnsi="仿宋" w:eastAsia="仿宋" w:cs="仿宋"/>
          <w:color w:val="auto"/>
          <w:sz w:val="24"/>
          <w:highlight w:val="none"/>
        </w:rPr>
        <w:t xml:space="preserve">。</w:t>
      </w:r>
      <w:r/>
    </w:p>
    <w:p>
      <w:pPr>
        <w:ind w:left="596"/>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1.11.2 关于承包人为实施工程所编制文件的著作权的归属：</w:t>
      </w:r>
      <w:r>
        <w:rPr>
          <w:rFonts w:hint="eastAsia" w:ascii="仿宋" w:hAnsi="仿宋" w:eastAsia="仿宋" w:cs="仿宋"/>
          <w:color w:val="auto"/>
          <w:sz w:val="24"/>
          <w:highlight w:val="none"/>
          <w:u w:val="single"/>
        </w:rPr>
        <w:t xml:space="preserve"> 执行通用条款 </w:t>
      </w:r>
      <w:r>
        <w:rPr>
          <w:rFonts w:hint="eastAsia" w:ascii="仿宋" w:hAnsi="仿宋" w:eastAsia="仿宋" w:cs="仿宋"/>
          <w:color w:val="auto"/>
          <w:sz w:val="24"/>
          <w:highlight w:val="none"/>
        </w:rPr>
        <w:t xml:space="preserve">。</w:t>
      </w:r>
      <w:r/>
    </w:p>
    <w:p>
      <w:pPr>
        <w:ind w:firstLine="480"/>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关于承包人提供的上述文件的使用限制的要求：</w:t>
      </w:r>
      <w:r>
        <w:rPr>
          <w:rFonts w:hint="eastAsia" w:ascii="仿宋" w:hAnsi="仿宋" w:eastAsia="仿宋" w:cs="仿宋"/>
          <w:color w:val="auto"/>
          <w:sz w:val="24"/>
          <w:highlight w:val="none"/>
          <w:u w:val="single"/>
        </w:rPr>
        <w:t xml:space="preserve">  执行通用条款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1.11.4 承包人在施工过程中所采用的专利、专有技术、技术秘密的使用费的承担方式：</w:t>
      </w:r>
      <w:r>
        <w:rPr>
          <w:rFonts w:hint="eastAsia" w:ascii="仿宋" w:hAnsi="仿宋" w:eastAsia="仿宋" w:cs="仿宋"/>
          <w:color w:val="auto"/>
          <w:sz w:val="24"/>
          <w:highlight w:val="none"/>
          <w:u w:val="single"/>
        </w:rPr>
        <w:t xml:space="preserve">  执行通用条款   </w:t>
      </w:r>
      <w:r>
        <w:rPr>
          <w:rFonts w:hint="eastAsia" w:ascii="仿宋" w:hAnsi="仿宋" w:eastAsia="仿宋" w:cs="仿宋"/>
          <w:color w:val="auto"/>
          <w:sz w:val="24"/>
          <w:highlight w:val="none"/>
        </w:rPr>
        <w:t xml:space="preserve">。</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1.13工程量清单错误的修正</w:t>
      </w:r>
      <w:r/>
    </w:p>
    <w:p>
      <w:pPr>
        <w:ind w:firstLine="480"/>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出现工程量清单错误时，是否调整合同价格：</w:t>
      </w:r>
      <w:r>
        <w:rPr>
          <w:rFonts w:hint="eastAsia" w:ascii="仿宋" w:hAnsi="仿宋" w:eastAsia="仿宋" w:cs="仿宋"/>
          <w:color w:val="auto"/>
          <w:sz w:val="24"/>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允许调整合同价格的工程量偏差范围：</w:t>
      </w:r>
      <w:r>
        <w:rPr>
          <w:rFonts w:hint="eastAsia" w:ascii="仿宋" w:hAnsi="仿宋" w:eastAsia="仿宋" w:cs="仿宋"/>
          <w:color w:val="auto"/>
          <w:sz w:val="24"/>
          <w:highlight w:val="none"/>
          <w:u w:val="single"/>
        </w:rPr>
        <w:t xml:space="preserve">工程量清单中工程量偏差超过15%的允许调整合同价格,工程量偏差不超过15%时其综合单价不予调整。</w:t>
      </w:r>
      <w:r/>
    </w:p>
    <w:p>
      <w:pPr>
        <w:pStyle w:val="1302"/>
        <w:spacing w:before="120" w:after="120" w:line="440" w:lineRule="exac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2. 发包人</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 发包人代表</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发包人代表：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    务：</w:t>
      </w:r>
      <w:r>
        <w:rPr>
          <w:rFonts w:hint="eastAsia" w:ascii="仿宋" w:hAnsi="仿宋" w:eastAsia="仿宋" w:cs="仿宋"/>
          <w:color w:val="auto"/>
          <w:sz w:val="24"/>
          <w:highlight w:val="none"/>
          <w:u w:val="single"/>
        </w:rPr>
        <w:t xml:space="preserve">          项目负责人                  </w:t>
      </w:r>
      <w:r>
        <w:rPr>
          <w:rFonts w:hint="eastAsia" w:ascii="仿宋" w:hAnsi="仿宋" w:eastAsia="仿宋" w:cs="仿宋"/>
          <w:color w:val="auto"/>
          <w:sz w:val="24"/>
          <w:highlight w:val="none"/>
        </w:rPr>
        <w:t xml:space="preserve">；</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发包人对发包人代表的授权范围如下：</w:t>
      </w:r>
      <w:r>
        <w:rPr>
          <w:rFonts w:hint="eastAsia" w:ascii="仿宋" w:hAnsi="仿宋" w:eastAsia="仿宋" w:cs="仿宋"/>
          <w:color w:val="auto"/>
          <w:sz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spacing w:after="12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2.4 施工现场、施工条件和基础资料的提供</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2.4.1 提供施工现场</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关于发包人移交施工现场的期限要求：</w:t>
      </w:r>
      <w:r>
        <w:rPr>
          <w:rFonts w:hint="eastAsia" w:ascii="仿宋" w:hAnsi="仿宋" w:eastAsia="仿宋" w:cs="仿宋"/>
          <w:color w:val="auto"/>
          <w:sz w:val="24"/>
          <w:highlight w:val="none"/>
          <w:u w:val="single"/>
        </w:rPr>
        <w:t xml:space="preserve">  开工前3天。 </w:t>
      </w:r>
      <w:r/>
    </w:p>
    <w:p>
      <w:pPr>
        <w:numPr>
          <w:ilvl w:val="2"/>
          <w:numId w:val="4"/>
        </w:num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提供施工条件</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关于发包人应负责提供施工所需要的条件，包括：</w:t>
      </w:r>
      <w:r/>
    </w:p>
    <w:p>
      <w:pPr>
        <w:ind w:firstLine="600"/>
        <w:jc w:val="left"/>
        <w:spacing w:line="440" w:lineRule="exact"/>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u w:val="single"/>
        </w:rPr>
        <w:t xml:space="preserve">发包人负责在开工前提供施工用水用电的接口，</w:t>
      </w:r>
      <w:r>
        <w:rPr>
          <w:rFonts w:hint="eastAsia" w:ascii="仿宋" w:hAnsi="仿宋" w:eastAsia="仿宋" w:cs="仿宋"/>
          <w:color w:val="auto"/>
          <w:sz w:val="24"/>
          <w:highlight w:val="none"/>
          <w:u w:val="single"/>
        </w:rPr>
        <w:t xml:space="preserve">施工产生的水、电费由承包方支付，入场施工前永嘉广场物业会要求装修公司缴纳装修保证金，此项费用也由承包人支付</w:t>
      </w: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single"/>
        </w:rPr>
        <w:t xml:space="preserve">承包人承担水管、用电线路盒、计量仪表的购买、安装费用。法律规定和（或）合同约定需要办理的各类审批、核准或备案手续，由承包人办理，发包人应给予必要的协助和配合</w:t>
      </w:r>
      <w:r>
        <w:rPr>
          <w:rFonts w:hint="eastAsia" w:ascii="仿宋" w:hAnsi="仿宋" w:eastAsia="仿宋" w:cs="仿宋"/>
          <w:color w:val="auto"/>
          <w:sz w:val="24"/>
          <w:highlight w:val="none"/>
          <w:u w:val="single"/>
          <w:lang w:eastAsia="zh-CN"/>
        </w:rPr>
        <w:t xml:space="preserve">。</w:t>
      </w:r>
      <w:r/>
    </w:p>
    <w:p>
      <w:pPr>
        <w:ind w:firstLine="602"/>
        <w:jc w:val="left"/>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2.5资金来源证明及支付担保</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发包人提供资金来源证明的期限要求：</w:t>
      </w:r>
      <w:r>
        <w:rPr>
          <w:rFonts w:hint="eastAsia" w:ascii="仿宋" w:hAnsi="仿宋" w:eastAsia="仿宋" w:cs="仿宋"/>
          <w:color w:val="auto"/>
          <w:sz w:val="24"/>
          <w:highlight w:val="none"/>
          <w:u w:val="single"/>
        </w:rPr>
        <w:t xml:space="preserve">     /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发包人是否提供支付担保：</w:t>
      </w:r>
      <w:r>
        <w:rPr>
          <w:rFonts w:hint="eastAsia" w:ascii="仿宋" w:hAnsi="仿宋" w:eastAsia="仿宋" w:cs="仿宋"/>
          <w:color w:val="auto"/>
          <w:sz w:val="24"/>
          <w:highlight w:val="none"/>
          <w:u w:val="single"/>
        </w:rPr>
        <w:t xml:space="preserve">         /          </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发包人提供支付担保的形式：</w:t>
      </w:r>
      <w:r>
        <w:rPr>
          <w:rFonts w:hint="eastAsia" w:ascii="仿宋" w:hAnsi="仿宋" w:eastAsia="仿宋" w:cs="仿宋"/>
          <w:color w:val="auto"/>
          <w:sz w:val="24"/>
          <w:highlight w:val="none"/>
          <w:u w:val="single"/>
        </w:rPr>
        <w:t xml:space="preserve">     /            </w:t>
      </w:r>
      <w:r/>
    </w:p>
    <w:p>
      <w:pPr>
        <w:pStyle w:val="1302"/>
        <w:spacing w:before="120" w:after="120" w:line="440" w:lineRule="exac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3. 承包人 </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 承包人的一般义务：</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（9）承包人提交的竣工资料的内容：</w:t>
      </w:r>
      <w:r>
        <w:rPr>
          <w:rFonts w:hint="eastAsia" w:ascii="仿宋" w:hAnsi="仿宋" w:eastAsia="仿宋" w:cs="仿宋"/>
          <w:color w:val="auto"/>
          <w:sz w:val="24"/>
          <w:highlight w:val="none"/>
          <w:u w:val="single"/>
        </w:rPr>
        <w:t xml:space="preserve"> 符合江苏省、徐州市档案馆（或城建档案馆）对施工文件的要求。</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承包人需要提交的竣工资料套数：</w:t>
      </w:r>
      <w:r>
        <w:rPr>
          <w:rFonts w:hint="eastAsia" w:ascii="仿宋" w:hAnsi="仿宋" w:eastAsia="仿宋" w:cs="仿宋"/>
          <w:color w:val="auto"/>
          <w:sz w:val="24"/>
          <w:highlight w:val="none"/>
          <w:u w:val="single"/>
        </w:rPr>
        <w:t xml:space="preserve"> 4套。</w:t>
      </w:r>
      <w:r/>
    </w:p>
    <w:p>
      <w:pPr>
        <w:ind w:firstLine="480"/>
        <w:jc w:val="left"/>
        <w:spacing w:line="440" w:lineRule="exact"/>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承包人提交的竣工资料的费用承担：</w:t>
      </w:r>
      <w:r>
        <w:rPr>
          <w:rFonts w:hint="eastAsia" w:ascii="仿宋" w:hAnsi="仿宋" w:eastAsia="仿宋" w:cs="仿宋"/>
          <w:color w:val="auto"/>
          <w:sz w:val="24"/>
          <w:highlight w:val="none"/>
          <w:u w:val="single"/>
        </w:rPr>
        <w:t xml:space="preserve">    由承包人自行承担 。</w:t>
      </w:r>
      <w:r/>
    </w:p>
    <w:p>
      <w:pPr>
        <w:ind w:firstLine="480"/>
        <w:jc w:val="left"/>
        <w:spacing w:line="440" w:lineRule="exact"/>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承包人提交的竣工资料移交时间： </w:t>
      </w:r>
      <w:r>
        <w:rPr>
          <w:rFonts w:hint="eastAsia" w:ascii="仿宋" w:hAnsi="仿宋" w:eastAsia="仿宋" w:cs="仿宋"/>
          <w:color w:val="auto"/>
          <w:sz w:val="24"/>
          <w:highlight w:val="none"/>
          <w:u w:val="single"/>
        </w:rPr>
        <w:t xml:space="preserve"> 工程竣工后两个月内。</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承包人提交的竣工资料形式要求：</w:t>
      </w:r>
      <w:r>
        <w:rPr>
          <w:rFonts w:hint="eastAsia" w:ascii="仿宋" w:hAnsi="仿宋" w:eastAsia="仿宋" w:cs="仿宋"/>
          <w:color w:val="auto"/>
          <w:sz w:val="24"/>
          <w:highlight w:val="none"/>
          <w:u w:val="single"/>
        </w:rPr>
        <w:t xml:space="preserve"> 均要符合相关规范及徐州市城建档案等管理部门和发包人要求，经监理审核后同意后提交发包人和有关部门。</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（10）承包人应履行的其他义务：</w:t>
      </w:r>
      <w:r/>
    </w:p>
    <w:p>
      <w:pPr>
        <w:ind w:firstLine="60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① 承包人应按发包人的指令，完成发包人要求的对工程内容的任何增加和删减；</w:t>
      </w:r>
      <w:r/>
    </w:p>
    <w:p>
      <w:pPr>
        <w:ind w:firstLine="60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③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ind w:firstLine="602"/>
        <w:jc w:val="left"/>
        <w:spacing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3.2 项目经理</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3.2.1 项目经理：</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建造师执业资格等级：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建造师注册证书号：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建造师执业印章号：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安全生产考核合格证书号：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承包人对项目经理的授权范围如下：</w:t>
      </w:r>
      <w:r>
        <w:rPr>
          <w:rFonts w:hint="eastAsia" w:ascii="仿宋" w:hAnsi="仿宋" w:eastAsia="仿宋" w:cs="仿宋"/>
          <w:color w:val="auto"/>
          <w:sz w:val="24"/>
          <w:highlight w:val="none"/>
          <w:u w:val="single"/>
        </w:rPr>
        <w:t xml:space="preserve"> 对工程质量、安全、进度和文明施工全面负责，并完成承包人应做的各项工作。</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关于项目经理每月在施工现场的时间要求：</w:t>
      </w:r>
      <w:r>
        <w:rPr>
          <w:rFonts w:hint="eastAsia" w:ascii="仿宋" w:hAnsi="仿宋" w:eastAsia="仿宋" w:cs="仿宋"/>
          <w:color w:val="auto"/>
          <w:sz w:val="24"/>
          <w:highlight w:val="none"/>
          <w:u w:val="single"/>
        </w:rPr>
        <w:t xml:space="preserve"> 开工之日到竣工结束，项目经理每周不少于5天，每天必须不少于8小时在现场组织施工。</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承包人未提交劳动合同，以及没有为项目经理缴纳社会保险证明的违约责任：</w:t>
      </w:r>
      <w:r>
        <w:rPr>
          <w:rFonts w:hint="eastAsia" w:ascii="仿宋" w:hAnsi="仿宋" w:eastAsia="仿宋" w:cs="仿宋"/>
          <w:color w:val="auto"/>
          <w:sz w:val="24"/>
          <w:highlight w:val="none"/>
          <w:u w:val="single"/>
        </w:rPr>
        <w:t xml:space="preserve">由承包人自行承担 。</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项目经理未经批准，擅自离开施工现场的违约责任：</w:t>
      </w:r>
      <w:r>
        <w:rPr>
          <w:rFonts w:hint="eastAsia" w:ascii="仿宋" w:hAnsi="仿宋" w:eastAsia="仿宋" w:cs="仿宋"/>
          <w:color w:val="auto"/>
          <w:sz w:val="24"/>
          <w:highlight w:val="none"/>
          <w:u w:val="single"/>
        </w:rPr>
        <w:t xml:space="preserve"> 每查实一次向发包人支付违约金5000元，费用从当期应付工程款中直接扣除。如有特殊情况离开现场，应提前报请监理人、发包人同意 。</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3.2.3 承包人擅自更换项目经理的违约责任：</w:t>
      </w:r>
      <w:r>
        <w:rPr>
          <w:rFonts w:hint="eastAsia" w:ascii="仿宋" w:hAnsi="仿宋" w:eastAsia="仿宋" w:cs="仿宋"/>
          <w:color w:val="auto"/>
          <w:sz w:val="24"/>
          <w:highlight w:val="none"/>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jc w:val="left"/>
        <w:spacing w:line="440" w:lineRule="exact"/>
        <w:tabs>
          <w:tab w:val="left" w:pos="945"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3.2.4 承包人无正当理由拒绝更换项目经理的违约责任：</w:t>
      </w:r>
      <w:r>
        <w:rPr>
          <w:rFonts w:hint="eastAsia" w:ascii="仿宋" w:hAnsi="仿宋" w:eastAsia="仿宋" w:cs="仿宋"/>
          <w:color w:val="auto"/>
          <w:sz w:val="24"/>
          <w:highlight w:val="none"/>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 承包人人员</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3.3.1 承包人提交项目管理机构及施工现场管理人员安排报告的期限：</w:t>
      </w:r>
      <w:r>
        <w:rPr>
          <w:rFonts w:hint="eastAsia" w:ascii="仿宋" w:hAnsi="仿宋" w:eastAsia="仿宋" w:cs="仿宋"/>
          <w:color w:val="auto"/>
          <w:sz w:val="24"/>
          <w:highlight w:val="none"/>
          <w:u w:val="single"/>
        </w:rPr>
        <w:t xml:space="preserve">  合同签订后，开工前7日内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3.3.3 承包人无正当理由拒绝撤换主要施工管理人员的违约责任：</w:t>
      </w:r>
      <w:r>
        <w:rPr>
          <w:rFonts w:hint="eastAsia" w:ascii="仿宋" w:hAnsi="仿宋" w:eastAsia="仿宋" w:cs="仿宋"/>
          <w:color w:val="auto"/>
          <w:sz w:val="24"/>
          <w:highlight w:val="non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3.3.4 承包人主要施工管理人员离开施工现场的批准要求：</w:t>
      </w:r>
      <w:r>
        <w:rPr>
          <w:rFonts w:hint="eastAsia" w:ascii="仿宋" w:hAnsi="仿宋" w:eastAsia="仿宋" w:cs="仿宋"/>
          <w:color w:val="auto"/>
          <w:sz w:val="24"/>
          <w:highlight w:val="none"/>
          <w:u w:val="single"/>
        </w:rPr>
        <w:t xml:space="preserve">提前报请监理人、发包人同意后方可离场 。</w:t>
      </w:r>
      <w:r/>
    </w:p>
    <w:p>
      <w:pPr>
        <w:ind w:firstLine="540"/>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3.3.5承包人擅自更换主要施工管理人员的违约责任：</w:t>
      </w:r>
      <w:r>
        <w:rPr>
          <w:rFonts w:hint="eastAsia" w:ascii="仿宋" w:hAnsi="仿宋" w:eastAsia="仿宋" w:cs="仿宋"/>
          <w:color w:val="auto"/>
          <w:sz w:val="24"/>
          <w:highlight w:val="none"/>
          <w:u w:val="single"/>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承包人主要施工管理人员擅自离开施工现场的违约责任：</w:t>
      </w:r>
      <w:r>
        <w:rPr>
          <w:rFonts w:hint="eastAsia" w:ascii="仿宋" w:hAnsi="仿宋" w:eastAsia="仿宋" w:cs="仿宋"/>
          <w:color w:val="auto"/>
          <w:sz w:val="24"/>
          <w:highlight w:val="none"/>
          <w:u w:val="single"/>
        </w:rPr>
        <w:t xml:space="preserve">每查实一次支付违约金3000元/人次，费用从当期应付工程款中直接扣除。如有特殊情况离开现场，应提前报请监理人、发包人同意  。</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 分包</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3.5.1 分包的一般约定</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禁止分包的工程包括：</w:t>
      </w:r>
      <w:r>
        <w:rPr>
          <w:rFonts w:hint="eastAsia" w:ascii="仿宋" w:hAnsi="仿宋" w:eastAsia="仿宋" w:cs="仿宋"/>
          <w:color w:val="auto"/>
          <w:sz w:val="24"/>
          <w:highlight w:val="none"/>
          <w:u w:val="single"/>
        </w:rPr>
        <w:t xml:space="preserve">承包人承包范围内全部工程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主体结构、关键性工作的范围：</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3.5.2分包的确定</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允许分包的专业工程包括：</w:t>
      </w:r>
      <w:r>
        <w:rPr>
          <w:rFonts w:hint="eastAsia" w:ascii="仿宋" w:hAnsi="仿宋" w:eastAsia="仿宋" w:cs="仿宋"/>
          <w:color w:val="auto"/>
          <w:sz w:val="24"/>
          <w:highlight w:val="none"/>
          <w:u w:val="single"/>
        </w:rPr>
        <w:t xml:space="preserve">  不得分包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其他关于分包的约定：</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3.5.4 分包合同价款</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关于分包合同价款支付的约定：</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2"/>
        <w:jc w:val="left"/>
        <w:spacing w:after="12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3.6 工程照管与成品、半成品保护</w:t>
      </w:r>
      <w:r/>
    </w:p>
    <w:p>
      <w:pPr>
        <w:ind w:firstLine="480"/>
        <w:jc w:val="left"/>
        <w:spacing w:before="120" w:after="120"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承包人负责照管工程及工程相关的材料、工程设备的起始时间：</w:t>
      </w:r>
      <w:r>
        <w:rPr>
          <w:rFonts w:hint="eastAsia" w:ascii="仿宋" w:hAnsi="仿宋" w:eastAsia="仿宋" w:cs="仿宋"/>
          <w:color w:val="auto"/>
          <w:sz w:val="24"/>
          <w:highlight w:val="none"/>
          <w:u w:val="single"/>
        </w:rPr>
        <w:t xml:space="preserve">执行通用条款</w:t>
      </w:r>
      <w:r/>
    </w:p>
    <w:p>
      <w:pPr>
        <w:ind w:firstLine="482"/>
        <w:jc w:val="left"/>
        <w:spacing w:before="120" w:after="120" w:line="440" w:lineRule="exact"/>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 xml:space="preserve">3.7 履约担保</w:t>
      </w:r>
      <w:r>
        <w:rPr>
          <w:rFonts w:hint="eastAsia" w:ascii="仿宋" w:hAnsi="仿宋" w:eastAsia="仿宋" w:cs="仿宋"/>
          <w:b/>
          <w:color w:val="auto"/>
          <w:sz w:val="24"/>
          <w:highlight w:val="none"/>
          <w:lang w:eastAsia="zh-CN"/>
        </w:rPr>
        <w:t xml:space="preserve">（ 履约保证金）</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承包人是否提供履约担保（ 履约保证金）：</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提供</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承包人提供履约担保的形式、金额及期限的：</w:t>
      </w:r>
      <w:r>
        <w:rPr>
          <w:rFonts w:hint="eastAsia" w:ascii="仿宋" w:hAnsi="仿宋" w:eastAsia="仿宋" w:cs="仿宋"/>
          <w:color w:val="auto"/>
          <w:sz w:val="24"/>
          <w:highlight w:val="none"/>
          <w:u w:val="single"/>
        </w:rPr>
        <w:t xml:space="preserve"> 成交金额的</w:t>
      </w:r>
      <w:r>
        <w:rPr>
          <w:rFonts w:hint="eastAsia" w:ascii="仿宋" w:hAnsi="仿宋" w:eastAsia="仿宋" w:cs="仿宋"/>
          <w:color w:val="auto"/>
          <w:sz w:val="24"/>
          <w:highlight w:val="none"/>
          <w:u w:val="single"/>
          <w:lang w:val="en-US" w:eastAsia="zh-CN"/>
        </w:rPr>
        <w:t xml:space="preserve">10</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rPr>
        <w:t xml:space="preserve">，合同签订前向发包人交纳。履约担保（ 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仿宋" w:hAnsi="仿宋" w:eastAsia="仿宋" w:cs="仿宋"/>
          <w:color w:val="auto"/>
          <w:sz w:val="24"/>
          <w:highlight w:val="none"/>
        </w:rPr>
        <w:t xml:space="preserve">。</w:t>
      </w:r>
      <w:r/>
    </w:p>
    <w:p>
      <w:pPr>
        <w:pStyle w:val="1302"/>
        <w:spacing w:before="120" w:after="120" w:line="440" w:lineRule="exac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4. 监理人</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4.1监理人的一般规定</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关于监理人的监理内容：</w:t>
      </w:r>
      <w:r>
        <w:rPr>
          <w:rFonts w:hint="eastAsia" w:ascii="仿宋" w:hAnsi="仿宋" w:eastAsia="仿宋" w:cs="仿宋"/>
          <w:color w:val="auto"/>
          <w:sz w:val="24"/>
          <w:highlight w:val="none"/>
          <w:u w:val="single"/>
        </w:rPr>
        <w:t xml:space="preserve">监理人需根据与发包人签订的委托监理合同约定履行职责、行使权力</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关于监理人的监理权限：</w:t>
      </w:r>
      <w:r>
        <w:rPr>
          <w:rFonts w:hint="eastAsia" w:ascii="仿宋" w:hAnsi="仿宋" w:eastAsia="仿宋" w:cs="仿宋"/>
          <w:color w:val="auto"/>
          <w:sz w:val="24"/>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须经发包人事先批准行使的权力如下（包含但不限于）：</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 发布开工令、暂时停工或复工令；</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 审查技术规范（规定）或设计的变更，经发包人同意后批准实施；</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(3) 审核索赔额与现场签证，并上报发包人；</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(4) 本工程中所有涉及改变技术类、经济类的文件。   </w:t>
      </w:r>
      <w:r>
        <w:rPr>
          <w:rFonts w:hint="eastAsia" w:ascii="仿宋" w:hAnsi="仿宋" w:eastAsia="仿宋" w:cs="仿宋"/>
          <w:color w:val="auto"/>
          <w:sz w:val="24"/>
          <w:highlight w:val="none"/>
        </w:rPr>
        <w:t xml:space="preserve">。 </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关于监理人在施工现场的办公场所、生活场所的提供和费用承担的约定：</w:t>
      </w:r>
      <w:r>
        <w:rPr>
          <w:rFonts w:hint="eastAsia" w:ascii="仿宋" w:hAnsi="仿宋" w:eastAsia="仿宋" w:cs="仿宋"/>
          <w:color w:val="auto"/>
          <w:sz w:val="24"/>
          <w:highlight w:val="none"/>
          <w:u w:val="single"/>
        </w:rPr>
        <w:t xml:space="preserve">        由承包人提供并承担费用   </w:t>
      </w:r>
      <w:r>
        <w:rPr>
          <w:rFonts w:hint="eastAsia" w:ascii="仿宋" w:hAnsi="仿宋" w:eastAsia="仿宋" w:cs="仿宋"/>
          <w:color w:val="auto"/>
          <w:sz w:val="24"/>
          <w:highlight w:val="none"/>
        </w:rPr>
        <w:t xml:space="preserve">。</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 监理人员</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总监理工程师：</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    务：</w:t>
      </w:r>
      <w:r>
        <w:rPr>
          <w:rFonts w:hint="eastAsia" w:ascii="仿宋" w:hAnsi="仿宋" w:eastAsia="仿宋" w:cs="仿宋"/>
          <w:color w:val="auto"/>
          <w:sz w:val="24"/>
          <w:highlight w:val="none"/>
          <w:u w:val="single"/>
        </w:rPr>
        <w:t xml:space="preserve">          总监理工程师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监理工程师执业资格证书号：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关于监理人的其他约定：</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4.4 商定或确定</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在发包人和承包人不能通过协商达成一致意见时，发包人授权监理人对以下事项进行确定：</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u w:val="single"/>
        </w:rPr>
        <w:t xml:space="preserve">总监理工程师在对合同内涉及费用变化的任何事项进行商定或确定时，必须取得发包人的书面确认，否则无效。  </w:t>
      </w:r>
      <w:r>
        <w:rPr>
          <w:rFonts w:hint="eastAsia" w:ascii="仿宋" w:hAnsi="仿宋" w:eastAsia="仿宋" w:cs="仿宋"/>
          <w:color w:val="auto"/>
          <w:sz w:val="24"/>
          <w:highlight w:val="none"/>
        </w:rPr>
        <w:t xml:space="preserve">；</w:t>
      </w:r>
      <w:r/>
    </w:p>
    <w:p>
      <w:pPr>
        <w:pStyle w:val="1302"/>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工程质量</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5.1 质量要求</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5.1.1 特殊质量标准和要求：</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关于工程奖项的约定：</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spacing w:after="120"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5.3 隐蔽工程检查</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5.3.2承包人提前通知监理人隐蔽工程检查的期限的约定：</w:t>
      </w:r>
      <w:r>
        <w:rPr>
          <w:rFonts w:hint="eastAsia" w:ascii="仿宋" w:hAnsi="仿宋" w:eastAsia="仿宋" w:cs="仿宋"/>
          <w:color w:val="auto"/>
          <w:sz w:val="24"/>
          <w:highlight w:val="none"/>
          <w:u w:val="single"/>
        </w:rPr>
        <w:t xml:space="preserve">执行通用条款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监理人不能按时进行检查时，应提前</w:t>
      </w:r>
      <w:r>
        <w:rPr>
          <w:rFonts w:hint="eastAsia" w:ascii="仿宋" w:hAnsi="仿宋" w:eastAsia="仿宋" w:cs="仿宋"/>
          <w:color w:val="auto"/>
          <w:sz w:val="24"/>
          <w:highlight w:val="none"/>
          <w:u w:val="single"/>
        </w:rPr>
        <w:t xml:space="preserve">   执行通用条款  </w:t>
      </w:r>
      <w:r>
        <w:rPr>
          <w:rFonts w:hint="eastAsia" w:ascii="仿宋" w:hAnsi="仿宋" w:eastAsia="仿宋" w:cs="仿宋"/>
          <w:color w:val="auto"/>
          <w:sz w:val="24"/>
          <w:highlight w:val="none"/>
        </w:rPr>
        <w:t xml:space="preserve">小时提交书面延期要求。</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关于延期最长不得超过：</w:t>
      </w:r>
      <w:r>
        <w:rPr>
          <w:rFonts w:hint="eastAsia" w:ascii="仿宋" w:hAnsi="仿宋" w:eastAsia="仿宋" w:cs="仿宋"/>
          <w:color w:val="auto"/>
          <w:sz w:val="24"/>
          <w:highlight w:val="none"/>
          <w:u w:val="single"/>
        </w:rPr>
        <w:t xml:space="preserve">  执行通用条款  </w:t>
      </w:r>
      <w:r>
        <w:rPr>
          <w:rFonts w:hint="eastAsia" w:ascii="仿宋" w:hAnsi="仿宋" w:eastAsia="仿宋" w:cs="仿宋"/>
          <w:color w:val="auto"/>
          <w:sz w:val="24"/>
          <w:highlight w:val="none"/>
        </w:rPr>
        <w:t xml:space="preserve">小时。</w:t>
      </w:r>
      <w:r/>
    </w:p>
    <w:p>
      <w:pPr>
        <w:pStyle w:val="1302"/>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 安全文明施工与环境保护</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6.1安全文明施工</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6.1.1 项目安全生产的达标目标及相应事项的约定：</w:t>
      </w:r>
      <w:r>
        <w:rPr>
          <w:rFonts w:hint="eastAsia" w:ascii="仿宋" w:hAnsi="仿宋" w:eastAsia="仿宋" w:cs="仿宋"/>
          <w:color w:val="auto"/>
          <w:sz w:val="24"/>
          <w:highlight w:val="none"/>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6.1.4 关于治安保卫的特别约定：</w:t>
      </w:r>
      <w:r>
        <w:rPr>
          <w:rFonts w:hint="eastAsia" w:ascii="仿宋" w:hAnsi="仿宋" w:eastAsia="仿宋" w:cs="仿宋"/>
          <w:color w:val="auto"/>
          <w:sz w:val="24"/>
          <w:highlight w:val="none"/>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关于编制施工场地治安管理计划的约定：</w:t>
      </w:r>
      <w:r>
        <w:rPr>
          <w:rFonts w:hint="eastAsia" w:ascii="仿宋" w:hAnsi="仿宋" w:eastAsia="仿宋" w:cs="仿宋"/>
          <w:color w:val="auto"/>
          <w:sz w:val="24"/>
          <w:highlight w:val="none"/>
          <w:u w:val="single"/>
        </w:rPr>
        <w:t xml:space="preserve">  执行通用条款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6.1.5 文明施工</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合同当事人对文明施工的要求：</w:t>
      </w:r>
      <w:r>
        <w:rPr>
          <w:rFonts w:hint="eastAsia" w:ascii="仿宋" w:hAnsi="仿宋" w:eastAsia="仿宋" w:cs="仿宋"/>
          <w:color w:val="auto"/>
          <w:sz w:val="24"/>
          <w:highlight w:val="none"/>
          <w:u w:val="single"/>
        </w:rPr>
        <w:t xml:space="preserve"> </w:t>
      </w:r>
      <w:r>
        <w:rPr>
          <w:rFonts w:hint="eastAsia" w:ascii="仿宋" w:hAnsi="仿宋" w:eastAsia="仿宋" w:cs="仿宋"/>
          <w:b/>
          <w:color w:val="auto"/>
          <w:sz w:val="24"/>
          <w:highlight w:val="none"/>
          <w:u w:val="single"/>
        </w:rPr>
        <w:t xml:space="preserve">   </w:t>
      </w:r>
      <w:r>
        <w:rPr>
          <w:rFonts w:hint="eastAsia" w:ascii="仿宋" w:hAnsi="仿宋" w:eastAsia="仿宋" w:cs="仿宋"/>
          <w:color w:val="auto"/>
          <w:sz w:val="24"/>
          <w:highlight w:val="none"/>
          <w:u w:val="single"/>
        </w:rPr>
        <w:t xml:space="preserve">执行通用条款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6.1.6 关于安全文明施工费支付比例和支付期限的约定：</w:t>
      </w:r>
      <w:r>
        <w:rPr>
          <w:rFonts w:hint="eastAsia" w:ascii="仿宋" w:hAnsi="仿宋" w:eastAsia="仿宋" w:cs="仿宋"/>
          <w:color w:val="auto"/>
          <w:sz w:val="24"/>
          <w:highlight w:val="none"/>
          <w:u w:val="single"/>
        </w:rPr>
        <w:t xml:space="preserve">  首笔费用的支付已包含在预付款内，不再另行支付，其余部分与进度款同期支付  </w:t>
      </w:r>
      <w:r>
        <w:rPr>
          <w:rFonts w:hint="eastAsia" w:ascii="仿宋" w:hAnsi="仿宋" w:eastAsia="仿宋" w:cs="仿宋"/>
          <w:color w:val="auto"/>
          <w:sz w:val="24"/>
          <w:highlight w:val="none"/>
        </w:rPr>
        <w:t xml:space="preserve">。</w:t>
      </w:r>
      <w:r/>
    </w:p>
    <w:p>
      <w:pPr>
        <w:pStyle w:val="1302"/>
        <w:spacing w:before="120" w:after="120" w:line="440" w:lineRule="exac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7. 工期和进度</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 施工组织设计</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7.1.1 合同当事人约定的施工组织设计应包括的其他内容：</w:t>
      </w:r>
      <w:r/>
    </w:p>
    <w:p>
      <w:pPr>
        <w:ind w:firstLine="36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（1）施工方案；              </w:t>
      </w:r>
      <w:r/>
    </w:p>
    <w:p>
      <w:pPr>
        <w:ind w:firstLine="36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（2）施工现场平面布置图；    </w:t>
      </w:r>
      <w:r/>
    </w:p>
    <w:p>
      <w:pPr>
        <w:ind w:firstLine="36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（3）施工进度计划和保证措施；</w:t>
      </w:r>
      <w:r/>
    </w:p>
    <w:p>
      <w:pPr>
        <w:ind w:firstLine="36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（4）劳动力及材料供应计划；  </w:t>
      </w:r>
      <w:r/>
    </w:p>
    <w:p>
      <w:pPr>
        <w:ind w:firstLine="36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（5）施工机械设备的选用；    </w:t>
      </w:r>
      <w:r/>
    </w:p>
    <w:p>
      <w:pPr>
        <w:ind w:firstLine="36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（6）质量保证体系及措施；    </w:t>
      </w:r>
      <w:r/>
    </w:p>
    <w:p>
      <w:pPr>
        <w:ind w:firstLine="36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（7）安全生产、文明施工措施；</w:t>
      </w:r>
      <w:r/>
    </w:p>
    <w:p>
      <w:pPr>
        <w:ind w:firstLine="36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（8）环境保护、成本控制措施；</w:t>
      </w:r>
      <w:r/>
    </w:p>
    <w:p>
      <w:pPr>
        <w:ind w:firstLine="36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（9）合同当事人约定的其他内容。</w:t>
      </w:r>
      <w:r>
        <w:rPr>
          <w:rFonts w:hint="eastAsia" w:ascii="仿宋" w:hAnsi="仿宋" w:eastAsia="仿宋" w:cs="仿宋"/>
          <w:color w:val="auto"/>
          <w:sz w:val="24"/>
          <w:highlight w:val="none"/>
        </w:rPr>
        <w:t xml:space="preserve">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7.1.2 施工组织设计的提交和修改</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承包人提交详细施工组织设计的期限的约定：</w:t>
      </w:r>
      <w:r>
        <w:rPr>
          <w:rFonts w:hint="eastAsia" w:ascii="仿宋" w:hAnsi="仿宋" w:eastAsia="仿宋" w:cs="仿宋"/>
          <w:color w:val="auto"/>
          <w:sz w:val="24"/>
          <w:highlight w:val="none"/>
          <w:u w:val="single"/>
        </w:rPr>
        <w:t xml:space="preserve">执行通用条款</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发包人和监理人在收到详细的施工组织设计后确认或提出修改意见的期限：</w:t>
      </w:r>
      <w:r>
        <w:rPr>
          <w:rFonts w:hint="eastAsia" w:ascii="仿宋" w:hAnsi="仿宋" w:eastAsia="仿宋" w:cs="仿宋"/>
          <w:color w:val="auto"/>
          <w:sz w:val="24"/>
          <w:highlight w:val="none"/>
          <w:u w:val="single"/>
        </w:rPr>
        <w:t xml:space="preserve"> 执行通用条款  </w:t>
      </w:r>
      <w:r>
        <w:rPr>
          <w:rFonts w:hint="eastAsia" w:ascii="仿宋" w:hAnsi="仿宋" w:eastAsia="仿宋" w:cs="仿宋"/>
          <w:color w:val="auto"/>
          <w:sz w:val="24"/>
          <w:highlight w:val="none"/>
        </w:rPr>
        <w:t xml:space="preserve">。</w:t>
      </w:r>
      <w:r/>
    </w:p>
    <w:p>
      <w:pPr>
        <w:ind w:firstLine="482"/>
        <w:spacing w:after="12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7.2 施工进度计划</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7.2.2 施工进度计划的修订</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发包人和监理人在收到修订的施工进度计划后确认或提出修改意见的期限：</w:t>
      </w:r>
      <w:r>
        <w:rPr>
          <w:rFonts w:hint="eastAsia" w:ascii="仿宋" w:hAnsi="仿宋" w:eastAsia="仿宋" w:cs="仿宋"/>
          <w:color w:val="auto"/>
          <w:sz w:val="24"/>
          <w:highlight w:val="none"/>
          <w:u w:val="single"/>
        </w:rPr>
        <w:t xml:space="preserve">  执行通用条款 </w:t>
      </w:r>
      <w:r>
        <w:rPr>
          <w:rFonts w:hint="eastAsia" w:ascii="仿宋" w:hAnsi="仿宋" w:eastAsia="仿宋" w:cs="仿宋"/>
          <w:color w:val="auto"/>
          <w:sz w:val="24"/>
          <w:highlight w:val="none"/>
        </w:rPr>
        <w:t xml:space="preserve">。</w:t>
      </w:r>
      <w:r/>
    </w:p>
    <w:p>
      <w:pPr>
        <w:ind w:firstLine="482"/>
        <w:spacing w:after="12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7.3 开工</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7.3.1 开工准备</w:t>
      </w:r>
      <w:r/>
    </w:p>
    <w:p>
      <w:pPr>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    关于承包人提交工程开工报审表的期限：</w:t>
      </w:r>
      <w:r>
        <w:rPr>
          <w:rFonts w:hint="eastAsia" w:ascii="仿宋" w:hAnsi="仿宋" w:eastAsia="仿宋" w:cs="仿宋"/>
          <w:color w:val="auto"/>
          <w:sz w:val="24"/>
          <w:highlight w:val="none"/>
          <w:u w:val="single"/>
        </w:rPr>
        <w:t xml:space="preserve"> 执行通用条款。</w:t>
      </w:r>
      <w:r/>
    </w:p>
    <w:p>
      <w:pPr>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关于发包人应完成的其他开工准备工作及期限：</w:t>
      </w:r>
      <w:r>
        <w:rPr>
          <w:rFonts w:hint="eastAsia" w:ascii="仿宋" w:hAnsi="仿宋" w:eastAsia="仿宋" w:cs="仿宋"/>
          <w:color w:val="auto"/>
          <w:sz w:val="24"/>
          <w:highlight w:val="none"/>
          <w:u w:val="single"/>
        </w:rPr>
        <w:t xml:space="preserve">     已完成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关于承包人应完成的其他开工准备工作及期限：</w:t>
      </w:r>
      <w:r>
        <w:rPr>
          <w:rFonts w:hint="eastAsia" w:ascii="仿宋" w:hAnsi="仿宋" w:eastAsia="仿宋" w:cs="仿宋"/>
          <w:color w:val="auto"/>
          <w:sz w:val="24"/>
          <w:highlight w:val="none"/>
          <w:u w:val="single"/>
        </w:rPr>
        <w:t xml:space="preserve">      已完成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7.3.2开工通知</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因发包人原因造成监理人未能在计划开工日期之日起</w:t>
      </w:r>
      <w:r>
        <w:rPr>
          <w:rFonts w:hint="eastAsia" w:ascii="仿宋" w:hAnsi="仿宋" w:eastAsia="仿宋" w:cs="仿宋"/>
          <w:color w:val="auto"/>
          <w:sz w:val="24"/>
          <w:highlight w:val="none"/>
          <w:u w:val="single"/>
        </w:rPr>
        <w:t xml:space="preserve">  </w:t>
      </w:r>
      <w:r>
        <w:rPr>
          <w:rFonts w:hint="eastAsia" w:ascii="仿宋" w:hAnsi="仿宋" w:eastAsia="仿宋" w:cs="仿宋"/>
          <w:bCs/>
          <w:color w:val="auto"/>
          <w:sz w:val="24"/>
          <w:highlight w:val="none"/>
          <w:u w:val="single"/>
        </w:rPr>
        <w:t xml:space="preserve">执行通用条款 </w:t>
      </w:r>
      <w:r>
        <w:rPr>
          <w:rFonts w:hint="eastAsia" w:ascii="仿宋" w:hAnsi="仿宋" w:eastAsia="仿宋" w:cs="仿宋"/>
          <w:b/>
          <w:color w:val="auto"/>
          <w:sz w:val="24"/>
          <w:highlight w:val="none"/>
          <w:u w:val="single"/>
        </w:rPr>
        <w:t xml:space="preserve"> </w:t>
      </w:r>
      <w:r>
        <w:rPr>
          <w:rFonts w:hint="eastAsia" w:ascii="仿宋" w:hAnsi="仿宋" w:eastAsia="仿宋" w:cs="仿宋"/>
          <w:color w:val="auto"/>
          <w:sz w:val="24"/>
          <w:highlight w:val="none"/>
        </w:rPr>
        <w:t xml:space="preserve">天内发出开工通知的，承包人有权提出价格调整要求，或者解除合同。</w:t>
      </w:r>
      <w:r/>
    </w:p>
    <w:p>
      <w:pPr>
        <w:ind w:firstLine="482"/>
        <w:spacing w:after="12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7.4 测量放线</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7.4.1发包人通过监理人向承包人提供测量基准点、基准线和水准点及其书面资料的期限：</w:t>
      </w:r>
      <w:r>
        <w:rPr>
          <w:rFonts w:hint="eastAsia" w:ascii="仿宋" w:hAnsi="仿宋" w:eastAsia="仿宋" w:cs="仿宋"/>
          <w:color w:val="auto"/>
          <w:sz w:val="24"/>
          <w:highlight w:val="none"/>
          <w:u w:val="single"/>
        </w:rPr>
        <w:t xml:space="preserve">开工前提供，由发包人、承包人、监理人现场交验。监理工程师对放样、线形或标高的核查，均不能免除承包人对其准确性所负的责任。</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7.5 工期延误</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7.5.1 因发包人原因导致工期延误</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（7）因发包人原因导致工期延误的其他情形：</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7.5.2 因承包人原因导致工期延误</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因承包人原因造成工期延误，逾期竣工违约金的计算方法为：</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rPr>
        <w:t xml:space="preserve">每延误一天，由承包人向发包人按签约合同价的万分之五计算违约金，且发包人有权采取任何补救措施来弥补该延误，由此增加的费用由承包人承担。</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因承包人原因造成工期延误，逾期竣工违</w:t>
      </w:r>
      <w:r>
        <w:rPr>
          <w:rFonts w:hint="eastAsia" w:ascii="仿宋" w:hAnsi="仿宋" w:eastAsia="仿宋" w:cs="仿宋"/>
          <w:color w:val="auto"/>
          <w:sz w:val="24"/>
          <w:highlight w:val="none"/>
          <w:lang w:val="en-US" w:eastAsia="zh-CN"/>
        </w:rPr>
        <w:tab/>
      </w:r>
      <w:r>
        <w:rPr>
          <w:rFonts w:hint="eastAsia" w:ascii="仿宋" w:hAnsi="仿宋" w:eastAsia="仿宋" w:cs="仿宋"/>
          <w:color w:val="auto"/>
          <w:sz w:val="24"/>
          <w:highlight w:val="none"/>
        </w:rPr>
        <w:t xml:space="preserve">约金的上限：</w:t>
      </w:r>
      <w:r>
        <w:rPr>
          <w:rFonts w:hint="eastAsia" w:ascii="仿宋" w:hAnsi="仿宋" w:eastAsia="仿宋" w:cs="仿宋"/>
          <w:color w:val="auto"/>
          <w:sz w:val="24"/>
          <w:highlight w:val="none"/>
          <w:u w:val="single"/>
        </w:rPr>
        <w:t xml:space="preserve"> 合同金额的30%</w:t>
      </w:r>
      <w:r>
        <w:rPr>
          <w:rFonts w:hint="eastAsia" w:ascii="仿宋" w:hAnsi="仿宋" w:eastAsia="仿宋" w:cs="仿宋"/>
          <w:color w:val="auto"/>
          <w:sz w:val="24"/>
          <w:highlight w:val="none"/>
        </w:rPr>
        <w:t xml:space="preserve">。</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7.6 不利物质条件</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不利物质条件的其他情形和有关约定：</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7.7异常恶劣的气候条件</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发包人和承包人同意以下情形视为异常恶劣的气候条件：</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7.9 提前竣工的奖励</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7.9.2提前竣工的奖励：</w:t>
      </w:r>
      <w:r>
        <w:rPr>
          <w:rFonts w:hint="eastAsia" w:ascii="仿宋" w:hAnsi="仿宋" w:eastAsia="仿宋" w:cs="仿宋"/>
          <w:color w:val="auto"/>
          <w:sz w:val="24"/>
          <w:highlight w:val="none"/>
          <w:u w:val="single"/>
        </w:rPr>
        <w:t xml:space="preserve"> </w:t>
      </w:r>
      <w:r>
        <w:rPr>
          <w:rFonts w:hint="eastAsia" w:ascii="仿宋" w:hAnsi="仿宋" w:eastAsia="仿宋" w:cs="仿宋"/>
          <w:b/>
          <w:color w:val="auto"/>
          <w:sz w:val="24"/>
          <w:highlight w:val="none"/>
          <w:u w:val="single"/>
        </w:rPr>
        <w:t xml:space="preserve">          </w:t>
      </w:r>
      <w:r>
        <w:rPr>
          <w:rFonts w:hint="eastAsia" w:ascii="仿宋" w:hAnsi="仿宋" w:eastAsia="仿宋" w:cs="仿宋"/>
          <w:bCs/>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hint="eastAsia" w:ascii="仿宋" w:hAnsi="仿宋" w:eastAsia="仿宋" w:cs="仿宋"/>
          <w:bCs/>
          <w:color w:val="auto"/>
          <w:sz w:val="24"/>
          <w:highlight w:val="none"/>
          <w:u w:val="single"/>
        </w:rPr>
        <w:t xml:space="preserve"> </w:t>
      </w:r>
      <w:r>
        <w:rPr>
          <w:rFonts w:hint="eastAsia" w:ascii="仿宋" w:hAnsi="仿宋" w:eastAsia="仿宋" w:cs="仿宋"/>
          <w:b/>
          <w:color w:val="auto"/>
          <w:sz w:val="24"/>
          <w:highlight w:val="none"/>
          <w:u w:val="single"/>
        </w:rPr>
        <w:t xml:space="preserve">         </w:t>
      </w:r>
      <w:r>
        <w:rPr>
          <w:rFonts w:hint="eastAsia" w:ascii="仿宋" w:hAnsi="仿宋" w:eastAsia="仿宋" w:cs="仿宋"/>
          <w:color w:val="auto"/>
          <w:sz w:val="24"/>
          <w:highlight w:val="none"/>
        </w:rPr>
        <w:t xml:space="preserve">；</w:t>
      </w:r>
      <w:r/>
    </w:p>
    <w:p>
      <w:pPr>
        <w:pStyle w:val="1302"/>
        <w:spacing w:before="120" w:after="120" w:line="440" w:lineRule="exac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8. 材料与设备</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8.4材料与工程设备的保管与使用</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8.4.1发包人供应的材料设备的保管费用的承担：</w:t>
      </w:r>
      <w:r>
        <w:rPr>
          <w:rFonts w:hint="eastAsia" w:ascii="仿宋" w:hAnsi="仿宋" w:eastAsia="仿宋" w:cs="仿宋"/>
          <w:color w:val="auto"/>
          <w:sz w:val="24"/>
          <w:highlight w:val="none"/>
          <w:u w:val="single"/>
        </w:rPr>
        <w:t xml:space="preserve">无。</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8.6 样品</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8.6.1</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样品的报送与封存</w:t>
      </w:r>
      <w:r/>
    </w:p>
    <w:p>
      <w:pPr>
        <w:ind w:left="239" w:firstLine="24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需要承包人报送样品的材料或工程设备，样品的种类、名称、规格、数量要求：</w:t>
      </w:r>
      <w:r>
        <w:rPr>
          <w:rFonts w:hint="eastAsia" w:ascii="仿宋" w:hAnsi="仿宋" w:eastAsia="仿宋" w:cs="仿宋"/>
          <w:color w:val="auto"/>
          <w:sz w:val="24"/>
          <w:highlight w:val="none"/>
          <w:u w:val="single"/>
        </w:rPr>
        <w:t xml:space="preserve">  按照发包人要求 。</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8.8 施工设备和临时设施</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8.8.1 承包人提供的施工设备和临时设施</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关于修建临时设施费用承担的约定：</w:t>
      </w:r>
      <w:r>
        <w:rPr>
          <w:rFonts w:hint="eastAsia" w:ascii="仿宋" w:hAnsi="仿宋" w:eastAsia="仿宋" w:cs="仿宋"/>
          <w:color w:val="auto"/>
          <w:sz w:val="24"/>
          <w:highlight w:val="none"/>
          <w:u w:val="single"/>
        </w:rPr>
        <w:t xml:space="preserve"> 由承包人承担 </w:t>
      </w:r>
      <w:r>
        <w:rPr>
          <w:rFonts w:hint="eastAsia" w:ascii="仿宋" w:hAnsi="仿宋" w:eastAsia="仿宋" w:cs="仿宋"/>
          <w:color w:val="auto"/>
          <w:sz w:val="24"/>
          <w:highlight w:val="none"/>
        </w:rPr>
        <w:t xml:space="preserve">。     </w:t>
      </w:r>
      <w:r/>
    </w:p>
    <w:p>
      <w:pPr>
        <w:pStyle w:val="1302"/>
        <w:spacing w:before="120" w:after="120" w:line="440" w:lineRule="exac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9. 试验与检验</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9.1试验设备与试验人员</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9.1.2 试验设备</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施工现场需要配置的试验场所：</w:t>
      </w:r>
      <w:r>
        <w:rPr>
          <w:rFonts w:hint="eastAsia" w:ascii="仿宋" w:hAnsi="仿宋" w:eastAsia="仿宋" w:cs="仿宋"/>
          <w:color w:val="auto"/>
          <w:sz w:val="24"/>
          <w:highlight w:val="none"/>
          <w:u w:val="single"/>
        </w:rPr>
        <w:t xml:space="preserve"> 按有关规定执行      </w:t>
      </w:r>
      <w:r>
        <w:rPr>
          <w:rFonts w:hint="eastAsia" w:ascii="仿宋" w:hAnsi="仿宋" w:eastAsia="仿宋" w:cs="仿宋"/>
          <w:color w:val="auto"/>
          <w:sz w:val="24"/>
          <w:highlight w:val="none"/>
        </w:rPr>
        <w:t xml:space="preserve">。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施工现场需要配备的试验设备：</w:t>
      </w:r>
      <w:r>
        <w:rPr>
          <w:rFonts w:hint="eastAsia" w:ascii="仿宋" w:hAnsi="仿宋" w:eastAsia="仿宋" w:cs="仿宋"/>
          <w:color w:val="auto"/>
          <w:sz w:val="24"/>
          <w:highlight w:val="none"/>
          <w:u w:val="single"/>
        </w:rPr>
        <w:t xml:space="preserve">按有关规定执行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施工现场需要具备的其他试验条件：</w:t>
      </w:r>
      <w:r>
        <w:rPr>
          <w:rFonts w:hint="eastAsia" w:ascii="仿宋" w:hAnsi="仿宋" w:eastAsia="仿宋" w:cs="仿宋"/>
          <w:color w:val="auto"/>
          <w:sz w:val="24"/>
          <w:highlight w:val="none"/>
          <w:u w:val="single"/>
        </w:rPr>
        <w:t xml:space="preserve">按有关规定执行   </w:t>
      </w:r>
      <w:r>
        <w:rPr>
          <w:rFonts w:hint="eastAsia" w:ascii="仿宋" w:hAnsi="仿宋" w:eastAsia="仿宋" w:cs="仿宋"/>
          <w:color w:val="auto"/>
          <w:sz w:val="24"/>
          <w:highlight w:val="none"/>
        </w:rPr>
        <w:t xml:space="preserve">。</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9.4 现场工艺试验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现场工艺试验的有关约定：</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pStyle w:val="1302"/>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 变更</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10.1变更的范围</w:t>
      </w:r>
      <w:r/>
    </w:p>
    <w:p>
      <w:pPr>
        <w:ind w:firstLine="480"/>
        <w:spacing w:line="440" w:lineRule="exact"/>
        <w:rPr>
          <w:rFonts w:hint="eastAsia" w:ascii="仿宋" w:hAnsi="仿宋" w:eastAsia="仿宋" w:cs="仿宋"/>
          <w:bCs/>
          <w:color w:val="auto"/>
          <w:sz w:val="24"/>
          <w:highlight w:val="none"/>
          <w:u w:val="single"/>
        </w:rPr>
      </w:pPr>
      <w:r>
        <w:rPr>
          <w:rFonts w:hint="eastAsia" w:ascii="仿宋" w:hAnsi="仿宋" w:eastAsia="仿宋" w:cs="仿宋"/>
          <w:color w:val="auto"/>
          <w:sz w:val="24"/>
          <w:highlight w:val="none"/>
        </w:rPr>
        <w:t xml:space="preserve">关于变更的范围的约定：</w:t>
      </w:r>
      <w:r>
        <w:rPr>
          <w:rFonts w:hint="eastAsia" w:ascii="仿宋" w:hAnsi="仿宋" w:eastAsia="仿宋" w:cs="仿宋"/>
          <w:bCs/>
          <w:color w:val="auto"/>
          <w:sz w:val="24"/>
          <w:highlight w:val="none"/>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firstLine="480"/>
        <w:spacing w:after="120"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10.4 变更估价</w:t>
      </w:r>
      <w:r/>
    </w:p>
    <w:p>
      <w:pPr>
        <w:ind w:firstLine="480"/>
        <w:jc w:val="left"/>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10.4.1 变更估价原则</w:t>
      </w:r>
      <w:r/>
    </w:p>
    <w:p>
      <w:pPr>
        <w:ind w:firstLine="480"/>
        <w:jc w:val="left"/>
        <w:spacing w:line="440" w:lineRule="exact"/>
        <w:rPr>
          <w:rFonts w:hint="eastAsia" w:ascii="仿宋" w:hAnsi="仿宋" w:eastAsia="仿宋" w:cs="仿宋"/>
          <w:bCs/>
          <w:color w:val="auto"/>
          <w:sz w:val="24"/>
          <w:highlight w:val="none"/>
          <w:u w:val="single"/>
        </w:rPr>
      </w:pPr>
      <w:r>
        <w:rPr>
          <w:rFonts w:hint="eastAsia" w:ascii="仿宋" w:hAnsi="仿宋" w:eastAsia="仿宋" w:cs="仿宋"/>
          <w:bCs/>
          <w:color w:val="auto"/>
          <w:sz w:val="24"/>
          <w:highlight w:val="none"/>
        </w:rPr>
        <w:t xml:space="preserve">关于变更估价的约定: </w:t>
      </w:r>
      <w:r/>
    </w:p>
    <w:p>
      <w:pPr>
        <w:ind w:firstLine="480"/>
        <w:spacing w:after="120" w:line="440" w:lineRule="exact"/>
        <w:rPr>
          <w:rFonts w:hint="eastAsia" w:ascii="仿宋" w:hAnsi="仿宋" w:eastAsia="仿宋" w:cs="仿宋"/>
          <w:bCs/>
          <w:color w:val="auto"/>
          <w:sz w:val="24"/>
          <w:highlight w:val="none"/>
          <w:u w:val="single"/>
        </w:rPr>
      </w:pPr>
      <w:r>
        <w:rPr>
          <w:rFonts w:hint="eastAsia" w:ascii="仿宋" w:hAnsi="仿宋" w:eastAsia="仿宋" w:cs="仿宋"/>
          <w:bCs/>
          <w:color w:val="auto"/>
          <w:sz w:val="24"/>
          <w:highlight w:val="none"/>
          <w:u w:val="single"/>
        </w:rPr>
        <w:t xml:space="preserve">执行通用条款。</w:t>
      </w:r>
      <w:r/>
    </w:p>
    <w:p>
      <w:pPr>
        <w:ind w:firstLine="480"/>
        <w:spacing w:after="120"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10.5承包人的合理化建议</w:t>
      </w:r>
      <w:r/>
    </w:p>
    <w:p>
      <w:pPr>
        <w:ind w:firstLine="480"/>
        <w:jc w:val="left"/>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监理人审查承包人合理化建议的期限：</w:t>
      </w:r>
      <w:r>
        <w:rPr>
          <w:rFonts w:hint="eastAsia" w:ascii="仿宋" w:hAnsi="仿宋" w:eastAsia="仿宋" w:cs="仿宋"/>
          <w:bCs/>
          <w:color w:val="auto"/>
          <w:sz w:val="24"/>
          <w:highlight w:val="none"/>
          <w:u w:val="single"/>
        </w:rPr>
        <w:t xml:space="preserve">  / </w:t>
      </w:r>
      <w:r>
        <w:rPr>
          <w:rFonts w:hint="eastAsia" w:ascii="仿宋" w:hAnsi="仿宋" w:eastAsia="仿宋" w:cs="仿宋"/>
          <w:bCs/>
          <w:color w:val="auto"/>
          <w:sz w:val="24"/>
          <w:highlight w:val="none"/>
        </w:rPr>
        <w:t xml:space="preserve">。</w:t>
      </w:r>
      <w:r/>
    </w:p>
    <w:p>
      <w:pPr>
        <w:ind w:firstLine="480"/>
        <w:jc w:val="left"/>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发包人审批承包人合理化建议的期限：</w:t>
      </w:r>
      <w:r>
        <w:rPr>
          <w:rFonts w:hint="eastAsia" w:ascii="仿宋" w:hAnsi="仿宋" w:eastAsia="仿宋" w:cs="仿宋"/>
          <w:bCs/>
          <w:color w:val="auto"/>
          <w:sz w:val="24"/>
          <w:highlight w:val="none"/>
          <w:u w:val="single"/>
        </w:rPr>
        <w:t xml:space="preserve">  / </w:t>
      </w:r>
      <w:r>
        <w:rPr>
          <w:rFonts w:hint="eastAsia" w:ascii="仿宋" w:hAnsi="仿宋" w:eastAsia="仿宋" w:cs="仿宋"/>
          <w:bCs/>
          <w:color w:val="auto"/>
          <w:sz w:val="24"/>
          <w:highlight w:val="none"/>
        </w:rPr>
        <w:t xml:space="preserve">。</w:t>
      </w:r>
      <w:r/>
    </w:p>
    <w:p>
      <w:pPr>
        <w:ind w:firstLine="480"/>
        <w:jc w:val="left"/>
        <w:spacing w:line="440" w:lineRule="exact"/>
        <w:rPr>
          <w:rFonts w:hint="eastAsia" w:ascii="仿宋" w:hAnsi="仿宋" w:eastAsia="仿宋" w:cs="仿宋"/>
          <w:bCs/>
          <w:color w:val="auto"/>
          <w:sz w:val="24"/>
          <w:highlight w:val="none"/>
          <w:u w:val="single"/>
        </w:rPr>
      </w:pPr>
      <w:r>
        <w:rPr>
          <w:rFonts w:hint="eastAsia" w:ascii="仿宋" w:hAnsi="仿宋" w:eastAsia="仿宋" w:cs="仿宋"/>
          <w:bCs/>
          <w:color w:val="auto"/>
          <w:sz w:val="24"/>
          <w:highlight w:val="none"/>
        </w:rPr>
        <w:t xml:space="preserve">承包人提出的合理化建议降低了合同价格或者提高了工程经济效益的奖励的方法和金额为：</w:t>
      </w:r>
      <w:r>
        <w:rPr>
          <w:rFonts w:hint="eastAsia" w:ascii="仿宋" w:hAnsi="仿宋" w:eastAsia="仿宋" w:cs="仿宋"/>
          <w:bCs/>
          <w:color w:val="auto"/>
          <w:sz w:val="24"/>
          <w:highlight w:val="none"/>
          <w:u w:val="single"/>
        </w:rPr>
        <w:t xml:space="preserve">    /    </w:t>
      </w:r>
      <w:r>
        <w:rPr>
          <w:rFonts w:hint="eastAsia" w:ascii="仿宋" w:hAnsi="仿宋" w:eastAsia="仿宋" w:cs="仿宋"/>
          <w:bCs/>
          <w:color w:val="auto"/>
          <w:sz w:val="24"/>
          <w:highlight w:val="none"/>
        </w:rPr>
        <w:t xml:space="preserve">。</w:t>
      </w:r>
      <w:r/>
    </w:p>
    <w:p>
      <w:pPr>
        <w:pStyle w:val="1302"/>
        <w:spacing w:before="120" w:after="120" w:line="440" w:lineRule="exac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11. 价格调整</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 市场价格波动引起的调整</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市场价格波动是否调整合同价格的约定：</w:t>
      </w:r>
      <w:r>
        <w:rPr>
          <w:rFonts w:hint="eastAsia" w:ascii="仿宋" w:hAnsi="仿宋" w:eastAsia="仿宋" w:cs="仿宋"/>
          <w:color w:val="auto"/>
          <w:sz w:val="24"/>
          <w:highlight w:val="none"/>
          <w:u w:val="single"/>
        </w:rPr>
        <w:t xml:space="preserve">承包人应充分考虑施工期间各类建材的市场风险，合同约定由承包人供应的材料，其价格在结算时均不再调整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因市场价格波动调整合同价格，采用以下第</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种方式对合同价格进行调整：</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第1种方式：采用价格指数进行价格调整。</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关于各可调因子、定值和变值权重，以及基本价格指数及其来源的约定：</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第2种方式：采用造价信息进行价格调整。</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（2）关于基准价格的约定：</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%时，或材料单价跌幅以已标价工程量清单或预算书中载明材料单价为基础超过</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%时，其超过部分据实调整。</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%时，材料单价涨幅以已标价工程量清单或预算书中载明材料单价为基础超过</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%时，其超过部分据实调整。</w:t>
      </w:r>
      <w:r/>
    </w:p>
    <w:p>
      <w:pPr>
        <w:ind w:firstLine="645"/>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%时，其超过部分据实调整。</w:t>
      </w:r>
      <w:r/>
    </w:p>
    <w:p>
      <w:pPr>
        <w:ind w:firstLine="645"/>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第3种方式：其他价格调整方式：</w:t>
      </w:r>
      <w:r>
        <w:rPr>
          <w:rFonts w:hint="eastAsia" w:ascii="仿宋" w:hAnsi="仿宋" w:eastAsia="仿宋" w:cs="仿宋"/>
          <w:color w:val="auto"/>
          <w:sz w:val="24"/>
          <w:highlight w:val="none"/>
          <w:u w:val="single"/>
        </w:rPr>
        <w:t xml:space="preserve">/</w:t>
      </w:r>
      <w:r/>
    </w:p>
    <w:p>
      <w:pPr>
        <w:pStyle w:val="1302"/>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合同价格、计量与支付</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12.1 合同价格形式</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1、单价合同。</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综合单价包含的风险范围：</w:t>
      </w:r>
      <w:r>
        <w:rPr>
          <w:rFonts w:hint="eastAsia" w:ascii="仿宋" w:hAnsi="仿宋" w:eastAsia="仿宋" w:cs="仿宋"/>
          <w:color w:val="auto"/>
          <w:sz w:val="24"/>
          <w:highlight w:val="none"/>
          <w:u w:val="single"/>
        </w:rPr>
        <w:t xml:space="preserve"> a人工费按照苏建函价〔2025〕66号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风险费用的计算方法：</w:t>
      </w:r>
      <w:r>
        <w:rPr>
          <w:rFonts w:hint="eastAsia" w:ascii="仿宋" w:hAnsi="仿宋" w:eastAsia="仿宋" w:cs="仿宋"/>
          <w:color w:val="auto"/>
          <w:sz w:val="24"/>
          <w:highlight w:val="none"/>
          <w:u w:val="single"/>
        </w:rPr>
        <w:t xml:space="preserve">  风险费用已包含在合同价中</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风险范围以外合同价格的调整方法：</w:t>
      </w:r>
      <w:r/>
    </w:p>
    <w:p>
      <w:pPr>
        <w:ind w:firstLine="480"/>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工程量清单漏项、工程设计变更或具有完备手续的现场工程签证引起的清单项目工程量增加或减少，变化在15％以内，执行原有的综合单价；超出以外的部分，按照本谈判文件中规定的谈判控制价计价编制办法的原则计算，报发包人同意后进行结算；因非承包人原因的工程变更，造成施工组织设计或施工方案变更，引起措施项目发生变化时，措施项目费按响应时费率进行调整。</w:t>
      </w:r>
      <w:r/>
    </w:p>
    <w:p>
      <w:pPr>
        <w:ind w:firstLine="480"/>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谈判预算价计价办法提出固定价格，经发包人确认后执行，结算原则按中标价与谈判预算价相比的让利幅度同比例下浮。</w:t>
      </w:r>
      <w:r/>
    </w:p>
    <w:p>
      <w:pPr>
        <w:ind w:firstLine="480"/>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4）当实际施工中存在取消或未施工的工程内容，其费用结算时从合同价中扣除。</w:t>
      </w:r>
      <w:r/>
    </w:p>
    <w:p>
      <w:pPr>
        <w:ind w:firstLine="480"/>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5）发包人根据施工现场实际情况，有权增减施工内容及对应的费用，承包人须无条件接受。</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6）关于法律、法规、规章或各级政府在施工期间出台的有关政策导致工程规费、税金发生变化的，应按照有关规定执行。</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2、总价合同。</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总价包含的风险范围：</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风险费用的计算方法：</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风险范围以外合同价格的调整方法：</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3、其他价格方式：</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2"/>
        <w:jc w:val="left"/>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12.2.1 预付款的支付</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预付款支付比例或金额：</w:t>
      </w:r>
      <w:r>
        <w:rPr>
          <w:rFonts w:hint="eastAsia" w:ascii="仿宋" w:hAnsi="仿宋" w:eastAsia="仿宋" w:cs="仿宋"/>
          <w:color w:val="auto"/>
          <w:sz w:val="24"/>
          <w:highlight w:val="none"/>
          <w:u w:val="single"/>
        </w:rPr>
        <w:t xml:space="preserve"> </w:t>
      </w:r>
      <w:r>
        <w:rPr>
          <w:rFonts w:hint="eastAsia" w:ascii="仿宋" w:hAnsi="仿宋" w:eastAsia="仿宋" w:cs="仿宋"/>
          <w:b/>
          <w:color w:val="auto"/>
          <w:sz w:val="24"/>
          <w:highlight w:val="none"/>
          <w:u w:val="single"/>
          <w:lang w:val="en-US" w:eastAsia="zh-CN"/>
        </w:rPr>
        <w:t xml:space="preserve">无预付款</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预付款支付期限：</w:t>
      </w:r>
      <w:r>
        <w:rPr>
          <w:rFonts w:hint="eastAsia" w:ascii="仿宋" w:hAnsi="仿宋" w:eastAsia="仿宋" w:cs="仿宋"/>
          <w:b/>
          <w:bCs/>
          <w:color w:val="auto"/>
          <w:sz w:val="24"/>
          <w:highlight w:val="none"/>
          <w:u w:val="single"/>
          <w:lang w:val="en-US" w:eastAsia="zh-CN"/>
        </w:rPr>
        <w:t xml:space="preserve">/</w:t>
      </w:r>
      <w:r>
        <w:rPr>
          <w:rFonts w:hint="eastAsia" w:ascii="仿宋" w:hAnsi="仿宋" w:eastAsia="仿宋" w:cs="仿宋"/>
          <w:b/>
          <w:color w:val="auto"/>
          <w:sz w:val="24"/>
          <w:highlight w:val="none"/>
          <w:u w:val="single"/>
        </w:rPr>
        <w:t xml:space="preserve">。</w:t>
      </w:r>
      <w:r/>
    </w:p>
    <w:p>
      <w:pPr>
        <w:ind w:firstLine="480"/>
        <w:spacing w:line="400" w:lineRule="exact"/>
        <w:rPr>
          <w:rFonts w:hint="eastAsia" w:ascii="仿宋" w:hAnsi="仿宋" w:eastAsia="仿宋" w:cs="仿宋"/>
          <w:b/>
          <w:color w:val="auto"/>
          <w:sz w:val="24"/>
          <w:highlight w:val="none"/>
          <w:u w:val="single"/>
        </w:rPr>
        <w:outlineLvl w:val="0"/>
      </w:pPr>
      <w:r>
        <w:rPr>
          <w:rFonts w:hint="eastAsia" w:ascii="仿宋" w:hAnsi="仿宋" w:eastAsia="仿宋" w:cs="仿宋"/>
          <w:color w:val="auto"/>
          <w:sz w:val="24"/>
          <w:highlight w:val="none"/>
        </w:rPr>
        <w:t xml:space="preserve">预付款扣回的方式：</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u w:val="single"/>
          <w:lang w:val="en-US" w:eastAsia="zh-CN"/>
        </w:rPr>
        <w:t xml:space="preserve">/</w:t>
      </w:r>
      <w:r>
        <w:rPr>
          <w:rFonts w:hint="eastAsia" w:ascii="仿宋" w:hAnsi="仿宋" w:eastAsia="仿宋" w:cs="仿宋"/>
          <w:b/>
          <w:color w:val="auto"/>
          <w:sz w:val="24"/>
          <w:highlight w:val="none"/>
          <w:u w:val="single"/>
        </w:rPr>
        <w:t xml:space="preserve">。</w:t>
      </w:r>
      <w:r/>
    </w:p>
    <w:p>
      <w:pPr>
        <w:ind w:firstLine="480"/>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t xml:space="preserve">12.2.2 预付款担保</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承包人提交预付款担保的期限：</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30"/>
          <w:szCs w:val="32"/>
          <w:highlight w:val="none"/>
          <w:u w:val="single"/>
        </w:rPr>
        <w:t xml:space="preserve"> </w:t>
      </w:r>
      <w:r>
        <w:rPr>
          <w:rFonts w:hint="eastAsia" w:ascii="仿宋" w:hAnsi="仿宋" w:eastAsia="仿宋" w:cs="仿宋"/>
          <w:color w:val="auto"/>
          <w:sz w:val="24"/>
          <w:highlight w:val="none"/>
          <w:u w:val="single"/>
        </w:rPr>
        <w:t xml:space="preserve"> /  </w:t>
      </w:r>
      <w:r>
        <w:rPr>
          <w:rFonts w:hint="eastAsia" w:ascii="仿宋" w:hAnsi="仿宋" w:eastAsia="仿宋" w:cs="仿宋"/>
          <w:b/>
          <w:bCs/>
          <w:color w:val="auto"/>
          <w:sz w:val="24"/>
          <w:highlight w:val="none"/>
          <w:u w:val="singl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预付款担保的形式为：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30"/>
          <w:szCs w:val="32"/>
          <w:highlight w:val="none"/>
          <w:u w:val="single"/>
        </w:rPr>
        <w:t xml:space="preserve"> </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 计量</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12.3.1 计量原则</w:t>
      </w:r>
      <w:r/>
    </w:p>
    <w:p>
      <w:pPr>
        <w:ind w:firstLine="480"/>
        <w:spacing w:line="440" w:lineRule="exact"/>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工程量计算规则：</w:t>
      </w:r>
      <w:r>
        <w:rPr>
          <w:rFonts w:hint="eastAsia" w:ascii="仿宋" w:hAnsi="仿宋" w:eastAsia="仿宋" w:cs="仿宋"/>
          <w:color w:val="auto"/>
          <w:sz w:val="24"/>
          <w:highlight w:val="none"/>
          <w:u w:val="single"/>
        </w:rPr>
        <w:t xml:space="preserve"> </w:t>
      </w:r>
      <w:r>
        <w:rPr>
          <w:rFonts w:hint="eastAsia" w:ascii="仿宋" w:hAnsi="仿宋" w:eastAsia="仿宋" w:cs="仿宋"/>
          <w:b/>
          <w:color w:val="auto"/>
          <w:sz w:val="24"/>
          <w:highlight w:val="none"/>
          <w:u w:val="single"/>
        </w:rPr>
        <w:t xml:space="preserve">执行现行国家标准《建设工程工程量清单计价规范》（GB50500-2013）、《通用安装工程工程量计算规范》（GB50856-2013）及《江苏省建筑与装饰工程计价定额》（2014版）、《江苏省安装工程计价定额》（2014版）、《江苏省房屋修缮工程计价表》（2009年版）、《江苏省建设工程费用定额》（2014）（营改增后调整内容）、《省住房城乡建设厅关于建筑业实施营改增后江苏省建设工程计价依据调整的通知》（苏建价[2016]154号文）及有关文件规定及谈判人提供的工程量清单。</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12.3.2 计量周期</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关于计量周期的约定：</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12.3.3 单价合同的计量 </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关于单价合同计量的约定：</w:t>
      </w:r>
      <w:r>
        <w:rPr>
          <w:rFonts w:hint="eastAsia" w:ascii="仿宋" w:hAnsi="仿宋" w:eastAsia="仿宋" w:cs="仿宋"/>
          <w:color w:val="auto"/>
          <w:sz w:val="24"/>
          <w:highlight w:val="none"/>
          <w:u w:val="single"/>
        </w:rPr>
        <w:t xml:space="preserve"> </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（1）工程完工后承包人向监理人报送已完成的工程量报告，并附具付款申请单、已完成工程量报表和有关资料。</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u w:val="single"/>
        </w:rPr>
        <w:t xml:space="preserve">（3）工程价款根据监理人和发包人的审核结果计算。</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12.3.4 总价合同的计量</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关于总价合同计量的约定：</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12.3.5总价合同采用支付分解表计量支付的，是否适用第12.3.4 项〔总价合同的计量〕约定进行计量：</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12.3.6 其他价格形式合同的计量</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其他价格形式的计量方式和程序：</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2"/>
        <w:spacing w:after="12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12.4 工程进度款支付</w:t>
      </w:r>
      <w:r/>
    </w:p>
    <w:p>
      <w:pPr>
        <w:ind w:firstLine="482"/>
        <w:jc w:val="left"/>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12.4.1 付款周期</w:t>
      </w:r>
      <w:r/>
    </w:p>
    <w:p>
      <w:pPr>
        <w:numPr>
          <w:ilvl w:val="0"/>
          <w:numId w:val="0"/>
        </w:numPr>
        <w:ind w:right="0" w:firstLine="480"/>
        <w:jc w:val="left"/>
        <w:spacing w:line="360" w:lineRule="auto"/>
        <w:rPr>
          <w:rFonts w:hint="eastAsia" w:ascii="仿宋" w:hAnsi="仿宋" w:cs="仿宋"/>
          <w:b w:val="0"/>
          <w:bCs w:val="0"/>
          <w:color w:val="auto"/>
          <w:sz w:val="24"/>
          <w:szCs w:val="24"/>
          <w:highlight w:val="none"/>
          <w:u w:val="none"/>
        </w:rPr>
      </w:pPr>
      <w:r>
        <w:rPr>
          <w:rFonts w:hint="eastAsia" w:ascii="仿宋" w:hAnsi="仿宋" w:eastAsia="仿宋" w:cs="仿宋"/>
          <w:b w:val="0"/>
          <w:bCs w:val="0"/>
          <w:color w:val="auto"/>
          <w:sz w:val="24"/>
          <w:szCs w:val="24"/>
          <w:highlight w:val="none"/>
          <w:u w:val="none"/>
        </w:rPr>
      </w:r>
      <w:r>
        <w:rPr>
          <w:rFonts w:hint="eastAsia" w:ascii="仿宋" w:hAnsi="仿宋" w:eastAsia="仿宋" w:cs="仿宋"/>
          <w:b w:val="0"/>
          <w:bCs w:val="0"/>
          <w:color w:val="auto"/>
          <w:sz w:val="24"/>
          <w:szCs w:val="24"/>
          <w:highlight w:val="none"/>
          <w:u w:val="none"/>
        </w:rPr>
      </w:r>
      <w:r/>
    </w:p>
    <w:p>
      <w:pPr>
        <w:numPr>
          <w:ilvl w:val="0"/>
          <w:numId w:val="0"/>
        </w:numPr>
        <w:ind w:right="0" w:firstLine="480"/>
        <w:jc w:val="left"/>
        <w:spacing w:line="360" w:lineRule="auto"/>
        <w:rPr>
          <w:rFonts w:hint="eastAsia" w:ascii="仿宋" w:hAnsi="仿宋" w:eastAsia="仿宋" w:cs="仿宋"/>
          <w:b w:val="0"/>
          <w:bCs w:val="0"/>
          <w:color w:val="auto"/>
          <w:sz w:val="24"/>
          <w:szCs w:val="24"/>
          <w:highlight w:val="none"/>
          <w:u w:val="none"/>
        </w:rPr>
      </w:pPr>
      <w:r>
        <w:rPr>
          <w:rFonts w:hint="eastAsia" w:ascii="仿宋" w:hAnsi="仿宋" w:eastAsia="仿宋" w:cs="仿宋"/>
          <w:b w:val="0"/>
          <w:bCs w:val="0"/>
          <w:color w:val="auto"/>
          <w:sz w:val="24"/>
          <w:szCs w:val="24"/>
          <w:highlight w:val="none"/>
          <w:u w:val="none"/>
        </w:rPr>
        <w:t xml:space="preserve">合同价款的百分之</w:t>
      </w:r>
      <w:r>
        <w:rPr>
          <w:rFonts w:hint="eastAsia" w:ascii="仿宋" w:hAnsi="仿宋" w:eastAsia="仿宋" w:cs="仿宋"/>
          <w:b w:val="0"/>
          <w:bCs w:val="0"/>
          <w:color w:val="auto"/>
          <w:sz w:val="24"/>
          <w:szCs w:val="24"/>
          <w:highlight w:val="none"/>
          <w:u w:val="none"/>
          <w:lang w:val="en-US" w:eastAsia="zh-CN"/>
        </w:rPr>
        <w:t xml:space="preserve">三</w:t>
      </w:r>
      <w:r>
        <w:rPr>
          <w:rFonts w:hint="eastAsia" w:ascii="仿宋" w:hAnsi="仿宋" w:eastAsia="仿宋" w:cs="仿宋"/>
          <w:b w:val="0"/>
          <w:bCs w:val="0"/>
          <w:color w:val="auto"/>
          <w:sz w:val="24"/>
          <w:szCs w:val="24"/>
          <w:highlight w:val="none"/>
          <w:u w:val="none"/>
        </w:rPr>
        <w:t xml:space="preserve">十</w:t>
      </w:r>
      <w:r>
        <w:rPr>
          <w:rFonts w:hint="eastAsia" w:ascii="仿宋" w:hAnsi="仿宋" w:eastAsia="仿宋" w:cs="仿宋"/>
          <w:b w:val="0"/>
          <w:bCs w:val="0"/>
          <w:color w:val="auto"/>
          <w:sz w:val="24"/>
          <w:szCs w:val="24"/>
          <w:highlight w:val="none"/>
          <w:u w:val="none"/>
          <w:lang w:val="en-US" w:eastAsia="zh-CN"/>
        </w:rPr>
        <w:t xml:space="preserve">五</w:t>
      </w:r>
      <w:r>
        <w:rPr>
          <w:rFonts w:hint="eastAsia" w:ascii="仿宋" w:hAnsi="仿宋" w:eastAsia="宋体" w:cs="仿宋"/>
          <w:b w:val="0"/>
          <w:bCs w:val="0"/>
          <w:color w:val="auto"/>
          <w:sz w:val="24"/>
          <w:szCs w:val="24"/>
          <w:highlight w:val="none"/>
          <w:u w:val="none"/>
        </w:rPr>
        <w:t xml:space="preserve">(</w:t>
      </w:r>
      <w:r>
        <w:rPr>
          <w:rFonts w:hint="eastAsia" w:ascii="仿宋" w:hAnsi="仿宋" w:eastAsia="宋体" w:cs="仿宋"/>
          <w:b w:val="0"/>
          <w:bCs w:val="0"/>
          <w:color w:val="auto"/>
          <w:sz w:val="24"/>
          <w:szCs w:val="24"/>
          <w:highlight w:val="none"/>
          <w:u w:val="none"/>
          <w:lang w:val="en-US" w:eastAsia="zh-CN"/>
        </w:rPr>
        <w:t xml:space="preserve">35</w:t>
      </w:r>
      <w:r>
        <w:rPr>
          <w:rFonts w:hint="eastAsia" w:ascii="仿宋" w:hAnsi="仿宋" w:eastAsia="宋体" w:cs="仿宋"/>
          <w:b w:val="0"/>
          <w:bCs w:val="0"/>
          <w:color w:val="auto"/>
          <w:sz w:val="24"/>
          <w:szCs w:val="24"/>
          <w:highlight w:val="none"/>
          <w:u w:val="none"/>
        </w:rPr>
        <w:t xml:space="preserve">%)</w:t>
      </w:r>
      <w:r>
        <w:rPr>
          <w:rFonts w:hint="eastAsia" w:ascii="仿宋" w:hAnsi="仿宋" w:eastAsia="仿宋" w:cs="仿宋"/>
          <w:b w:val="0"/>
          <w:bCs w:val="0"/>
          <w:color w:val="auto"/>
          <w:sz w:val="24"/>
          <w:szCs w:val="24"/>
          <w:highlight w:val="none"/>
          <w:u w:val="none"/>
        </w:rPr>
        <w:t xml:space="preserve"> 即￥</w:t>
      </w:r>
      <w:r>
        <w:rPr>
          <w:rFonts w:hint="eastAsia" w:ascii="仿宋" w:hAnsi="仿宋" w:eastAsia="宋体" w:cs="仿宋"/>
          <w:b w:val="0"/>
          <w:bCs w:val="0"/>
          <w:color w:val="auto"/>
          <w:sz w:val="24"/>
          <w:szCs w:val="24"/>
          <w:highlight w:val="none"/>
          <w:u w:val="none"/>
          <w:lang w:val="en-US" w:eastAsia="zh-CN"/>
        </w:rPr>
        <w:t xml:space="preserve"> </w:t>
      </w:r>
      <w:r>
        <w:rPr>
          <w:rFonts w:hint="eastAsia" w:ascii="仿宋" w:hAnsi="仿宋" w:eastAsia="宋体"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none"/>
        </w:rPr>
        <w:t xml:space="preserve">，大写：人民币</w:t>
      </w:r>
      <w:r>
        <w:rPr>
          <w:rFonts w:hint="eastAsia" w:ascii="仿宋" w:hAnsi="仿宋" w:eastAsia="宋体"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none"/>
        </w:rPr>
        <w:t xml:space="preserve">整，在合同生效且</w:t>
      </w:r>
      <w:r>
        <w:rPr>
          <w:rFonts w:hint="eastAsia" w:ascii="仿宋" w:hAnsi="仿宋" w:eastAsia="仿宋" w:cs="仿宋"/>
          <w:b w:val="0"/>
          <w:bCs w:val="0"/>
          <w:color w:val="auto"/>
          <w:sz w:val="24"/>
          <w:szCs w:val="24"/>
          <w:highlight w:val="none"/>
          <w:u w:val="none"/>
          <w:lang w:val="en-US" w:eastAsia="zh-CN"/>
        </w:rPr>
        <w:t xml:space="preserve">工程完成总工程量的40%后，支付至合同价款的百分之三十五（35%）需</w:t>
      </w:r>
      <w:r>
        <w:rPr>
          <w:rFonts w:hint="eastAsia" w:ascii="仿宋" w:hAnsi="仿宋" w:eastAsia="仿宋" w:cs="仿宋"/>
          <w:b w:val="0"/>
          <w:bCs w:val="0"/>
          <w:color w:val="auto"/>
          <w:sz w:val="24"/>
          <w:szCs w:val="24"/>
          <w:highlight w:val="none"/>
          <w:u w:val="none"/>
        </w:rPr>
        <w:t xml:space="preserve">乙方提供对应金额的增值税发票，由甲方</w:t>
      </w:r>
      <w:r>
        <w:rPr>
          <w:rFonts w:hint="eastAsia" w:ascii="仿宋" w:hAnsi="仿宋" w:eastAsia="仿宋" w:cs="仿宋"/>
          <w:b w:val="0"/>
          <w:bCs w:val="0"/>
          <w:color w:val="auto"/>
          <w:sz w:val="24"/>
          <w:szCs w:val="24"/>
          <w:highlight w:val="none"/>
          <w:u w:val="none"/>
          <w:lang w:val="en-US" w:eastAsia="zh-CN"/>
        </w:rPr>
        <w:t xml:space="preserve">在15日内</w:t>
      </w:r>
      <w:r>
        <w:rPr>
          <w:rFonts w:hint="eastAsia" w:ascii="仿宋" w:hAnsi="仿宋" w:eastAsia="仿宋" w:cs="仿宋"/>
          <w:b w:val="0"/>
          <w:bCs w:val="0"/>
          <w:color w:val="auto"/>
          <w:sz w:val="24"/>
          <w:szCs w:val="24"/>
          <w:highlight w:val="none"/>
          <w:u w:val="none"/>
        </w:rPr>
        <w:t xml:space="preserve">办理政府采购资金结算手续，经审核后支付给乙方。</w:t>
      </w:r>
      <w:r>
        <w:rPr>
          <w:rFonts w:ascii="仿宋" w:hAnsi="仿宋" w:cs="仿宋"/>
        </w:rPr>
      </w:r>
      <w:r/>
    </w:p>
    <w:p>
      <w:pPr>
        <w:ind w:left="0" w:right="0" w:firstLine="420"/>
        <w:jc w:val="left"/>
        <w:spacing w:line="360" w:lineRule="auto"/>
        <w:rPr>
          <w:rFonts w:hint="eastAsia" w:ascii="仿宋" w:hAnsi="仿宋" w:cs="仿宋"/>
          <w:b w:val="0"/>
          <w:bCs w:val="0"/>
          <w:color w:val="auto"/>
          <w:sz w:val="24"/>
          <w:szCs w:val="24"/>
          <w:highlight w:val="none"/>
          <w:u w:val="none"/>
        </w:rPr>
      </w:pPr>
      <w:r>
        <w:rPr>
          <w:rFonts w:hint="eastAsia" w:ascii="仿宋" w:hAnsi="仿宋" w:eastAsia="仿宋" w:cs="仿宋"/>
          <w:b w:val="0"/>
          <w:bCs w:val="0"/>
          <w:color w:val="auto"/>
          <w:sz w:val="24"/>
          <w:szCs w:val="24"/>
          <w:highlight w:val="none"/>
          <w:u w:val="none"/>
          <w:lang w:val="en-US" w:eastAsia="zh-CN"/>
        </w:rPr>
        <w:t xml:space="preserve">工程竣工验收合格后15个工作日内付至合同价款的百分之八十（</w:t>
      </w:r>
      <w:r>
        <w:rPr>
          <w:rFonts w:hint="eastAsia" w:ascii="仿宋" w:hAnsi="仿宋" w:eastAsia="宋体" w:cs="仿宋"/>
          <w:b w:val="0"/>
          <w:bCs w:val="0"/>
          <w:color w:val="auto"/>
          <w:sz w:val="24"/>
          <w:szCs w:val="24"/>
          <w:highlight w:val="none"/>
          <w:u w:val="none"/>
          <w:lang w:val="en-US" w:eastAsia="zh-CN"/>
        </w:rPr>
        <w:t xml:space="preserve">80%</w:t>
      </w:r>
      <w:r>
        <w:rPr>
          <w:rFonts w:hint="eastAsia" w:ascii="仿宋" w:hAnsi="仿宋" w:eastAsia="仿宋" w:cs="仿宋"/>
          <w:b w:val="0"/>
          <w:bCs w:val="0"/>
          <w:color w:val="auto"/>
          <w:sz w:val="24"/>
          <w:szCs w:val="24"/>
          <w:highlight w:val="none"/>
          <w:u w:val="none"/>
          <w:lang w:val="en-US" w:eastAsia="zh-CN"/>
        </w:rPr>
        <w:t xml:space="preserve">）</w:t>
      </w:r>
      <w:r>
        <w:rPr>
          <w:rFonts w:hint="eastAsia" w:ascii="仿宋" w:hAnsi="仿宋" w:eastAsia="仿宋" w:cs="仿宋"/>
          <w:b w:val="0"/>
          <w:bCs w:val="0"/>
          <w:color w:val="auto"/>
          <w:sz w:val="24"/>
          <w:szCs w:val="24"/>
          <w:highlight w:val="none"/>
          <w:u w:val="none"/>
        </w:rPr>
        <w:t xml:space="preserve">即￥</w:t>
      </w:r>
      <w:r>
        <w:rPr>
          <w:rFonts w:hint="eastAsia" w:ascii="仿宋" w:hAnsi="仿宋" w:eastAsia="宋体" w:cs="仿宋"/>
          <w:b w:val="0"/>
          <w:bCs w:val="0"/>
          <w:color w:val="auto"/>
          <w:sz w:val="24"/>
          <w:szCs w:val="24"/>
          <w:highlight w:val="none"/>
          <w:u w:val="single"/>
          <w:lang w:val="en-US" w:eastAsia="zh-CN"/>
        </w:rPr>
        <w:t xml:space="preserve">         </w:t>
      </w:r>
      <w:r>
        <w:rPr>
          <w:rFonts w:hint="eastAsia" w:ascii="仿宋" w:hAnsi="仿宋" w:eastAsia="宋体" w:cs="仿宋"/>
          <w:b w:val="0"/>
          <w:bCs w:val="0"/>
          <w:color w:val="auto"/>
          <w:sz w:val="24"/>
          <w:szCs w:val="24"/>
          <w:highlight w:val="none"/>
          <w:u w:val="none"/>
          <w:lang w:val="en-US" w:eastAsia="zh-CN"/>
        </w:rPr>
        <w:t xml:space="preserve"> </w:t>
      </w:r>
      <w:r>
        <w:rPr>
          <w:rFonts w:hint="eastAsia" w:ascii="仿宋" w:hAnsi="仿宋" w:eastAsia="仿宋" w:cs="仿宋"/>
          <w:b w:val="0"/>
          <w:bCs w:val="0"/>
          <w:color w:val="auto"/>
          <w:sz w:val="24"/>
          <w:szCs w:val="24"/>
          <w:highlight w:val="none"/>
          <w:u w:val="none"/>
        </w:rPr>
        <w:t xml:space="preserve">，大写：人民币</w:t>
      </w:r>
      <w:r>
        <w:rPr>
          <w:rFonts w:hint="eastAsia" w:ascii="仿宋" w:hAnsi="仿宋" w:eastAsia="宋体" w:cs="仿宋"/>
          <w:b w:val="0"/>
          <w:bCs w:val="0"/>
          <w:color w:val="auto"/>
          <w:sz w:val="24"/>
          <w:szCs w:val="24"/>
          <w:highlight w:val="none"/>
          <w:u w:val="none"/>
          <w:lang w:val="en-US" w:eastAsia="zh-CN"/>
        </w:rPr>
        <w:t xml:space="preserve"> </w:t>
      </w:r>
      <w:r>
        <w:rPr>
          <w:rFonts w:hint="eastAsia" w:ascii="仿宋" w:hAnsi="仿宋" w:eastAsia="宋体"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none"/>
        </w:rPr>
        <w:t xml:space="preserve">整</w:t>
      </w:r>
      <w:r>
        <w:rPr>
          <w:rFonts w:hint="eastAsia" w:ascii="仿宋" w:hAnsi="仿宋" w:eastAsia="仿宋" w:cs="仿宋"/>
          <w:b w:val="0"/>
          <w:bCs w:val="0"/>
          <w:color w:val="auto"/>
          <w:sz w:val="24"/>
          <w:szCs w:val="24"/>
          <w:highlight w:val="none"/>
          <w:u w:val="none"/>
          <w:lang w:eastAsia="zh-CN"/>
        </w:rPr>
        <w:t xml:space="preserve">。</w:t>
      </w:r>
      <w:r>
        <w:rPr>
          <w:rFonts w:ascii="仿宋" w:hAnsi="仿宋" w:cs="仿宋"/>
        </w:rPr>
      </w:r>
      <w:r/>
    </w:p>
    <w:p>
      <w:pPr>
        <w:ind w:left="0" w:right="0" w:firstLine="420"/>
        <w:jc w:val="left"/>
        <w:spacing w:line="360" w:lineRule="auto"/>
        <w:rPr>
          <w:rFonts w:hint="eastAsia" w:ascii="仿宋" w:hAnsi="仿宋" w:cs="仿宋"/>
          <w:b w:val="0"/>
          <w:bCs w:val="0"/>
          <w:color w:val="auto"/>
          <w:sz w:val="24"/>
          <w:szCs w:val="24"/>
          <w:highlight w:val="none"/>
          <w:u w:val="none"/>
        </w:rPr>
      </w:pPr>
      <w:r>
        <w:rPr>
          <w:rFonts w:hint="eastAsia" w:ascii="仿宋" w:hAnsi="仿宋" w:eastAsia="仿宋" w:cs="仿宋"/>
          <w:b w:val="0"/>
          <w:bCs w:val="0"/>
          <w:color w:val="auto"/>
          <w:sz w:val="24"/>
          <w:szCs w:val="24"/>
          <w:highlight w:val="none"/>
          <w:u w:val="none"/>
          <w:lang w:val="en-US" w:eastAsia="zh-CN"/>
        </w:rPr>
        <w:t xml:space="preserve">财评</w:t>
      </w:r>
      <w:r>
        <w:rPr>
          <w:rFonts w:hint="eastAsia" w:ascii="仿宋" w:hAnsi="仿宋" w:eastAsia="仿宋" w:cs="仿宋"/>
          <w:b w:val="0"/>
          <w:bCs w:val="0"/>
          <w:color w:val="auto"/>
          <w:sz w:val="24"/>
          <w:szCs w:val="24"/>
          <w:highlight w:val="none"/>
          <w:u w:val="none"/>
          <w:lang w:val="en-US" w:eastAsia="zh-CN"/>
        </w:rPr>
        <w:t xml:space="preserve">审计结束后28日内，</w:t>
      </w:r>
      <w:r>
        <w:rPr>
          <w:rFonts w:hint="eastAsia" w:ascii="仿宋" w:hAnsi="仿宋" w:eastAsia="仿宋" w:cs="仿宋"/>
          <w:b w:val="0"/>
          <w:bCs w:val="0"/>
          <w:color w:val="auto"/>
          <w:sz w:val="24"/>
          <w:szCs w:val="24"/>
          <w:highlight w:val="none"/>
          <w:u w:val="none"/>
          <w:lang w:val="en-US" w:eastAsia="zh-CN"/>
        </w:rPr>
        <w:t xml:space="preserve">承包人</w:t>
      </w:r>
      <w:r>
        <w:rPr>
          <w:rFonts w:hint="eastAsia" w:ascii="仿宋" w:hAnsi="仿宋" w:eastAsia="仿宋" w:cs="仿宋"/>
          <w:b w:val="0"/>
          <w:bCs w:val="0"/>
          <w:color w:val="auto"/>
          <w:sz w:val="24"/>
          <w:szCs w:val="24"/>
          <w:highlight w:val="none"/>
          <w:u w:val="none"/>
          <w:lang w:val="en-US" w:eastAsia="zh-CN"/>
        </w:rPr>
        <w:t xml:space="preserve">将竣工结算资料报送采购人后付至经双方认可的竣工结算价款的百分之百（100%）</w:t>
      </w:r>
      <w:r>
        <w:rPr>
          <w:rFonts w:hint="eastAsia" w:ascii="仿宋" w:hAnsi="仿宋" w:eastAsia="仿宋" w:cs="仿宋"/>
          <w:b w:val="0"/>
          <w:bCs w:val="0"/>
          <w:color w:val="auto"/>
          <w:sz w:val="24"/>
          <w:szCs w:val="24"/>
          <w:highlight w:val="none"/>
          <w:u w:val="none"/>
          <w:lang w:eastAsia="zh-CN"/>
        </w:rPr>
        <w:t xml:space="preserve">。</w:t>
      </w:r>
      <w:r>
        <w:rPr>
          <w:rFonts w:hint="eastAsia" w:ascii="仿宋" w:hAnsi="仿宋" w:eastAsia="仿宋" w:cs="仿宋"/>
          <w:b w:val="0"/>
          <w:bCs w:val="0"/>
          <w:color w:val="auto"/>
          <w:sz w:val="24"/>
          <w:szCs w:val="24"/>
          <w:highlight w:val="none"/>
          <w:u w:val="none"/>
          <w:lang w:val="en-US" w:eastAsia="zh-CN"/>
        </w:rPr>
        <w:t xml:space="preserve">每次甲方收到符合规定的发票后15个工作日内递交财政报批，具体到账时间以财政拨付为准。</w:t>
      </w:r>
      <w:r>
        <w:rPr>
          <w:rFonts w:ascii="仿宋" w:hAnsi="仿宋" w:cs="仿宋"/>
        </w:rPr>
      </w:r>
      <w:r/>
    </w:p>
    <w:p>
      <w:pPr>
        <w:ind w:left="0" w:right="0" w:firstLine="420"/>
        <w:jc w:val="left"/>
        <w:spacing w:line="360" w:lineRule="auto"/>
        <w:rPr>
          <w:rFonts w:hint="eastAsia" w:ascii="仿宋" w:hAnsi="仿宋" w:cs="仿宋"/>
          <w:color w:val="auto"/>
          <w:sz w:val="24"/>
          <w:szCs w:val="24"/>
          <w:highlight w:val="none"/>
          <w:u w:val="none"/>
        </w:rPr>
      </w:pPr>
      <w:r>
        <w:rPr>
          <w:rFonts w:hint="eastAsia" w:ascii="仿宋" w:hAnsi="仿宋" w:eastAsia="仿宋" w:cs="仿宋"/>
          <w:color w:val="auto"/>
          <w:sz w:val="24"/>
          <w:szCs w:val="24"/>
          <w:highlight w:val="none"/>
          <w:u w:val="none"/>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lang w:val="en-US" w:eastAsia="zh-CN"/>
        </w:rPr>
        <w:t xml:space="preserve">以上付款方式，承包人不提供等额发票的，发包人有权拒绝付款且不视为违约。</w:t>
      </w:r>
      <w:r>
        <w:rPr>
          <w:rFonts w:ascii="仿宋" w:hAnsi="仿宋" w:cs="仿宋"/>
        </w:rPr>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 2）审计费用承担：审计核减率小于5%，审计费用由发包人承担；核减率大于或等于5%，则核减率超出5%部分所产生的审计费用由承包人承担，由发包人直接在结算款中扣除。审计费收费标准按发包人委托中介机构审计的协议执行；</w:t>
      </w:r>
      <w:r/>
    </w:p>
    <w:p>
      <w:pPr>
        <w:ind w:firstLine="480"/>
        <w:jc w:val="left"/>
        <w:spacing w:line="440" w:lineRule="exact"/>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u w:val="single"/>
        </w:rPr>
        <w:t xml:space="preserve">3）付款前，承包人应当提供能满足发包人财务要求的等额发票，未提供则发包人有权拒付相应款项。</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12.4.2 进度付款申请单的编制</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关于进度付款申请单编制的约定：</w:t>
      </w:r>
      <w:r>
        <w:rPr>
          <w:rFonts w:hint="eastAsia" w:ascii="仿宋" w:hAnsi="仿宋" w:eastAsia="仿宋" w:cs="仿宋"/>
          <w:color w:val="auto"/>
          <w:sz w:val="24"/>
          <w:highlight w:val="none"/>
          <w:u w:val="single"/>
        </w:rPr>
        <w:t xml:space="preserve">执行通用条款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12.4.3 进度付款申请单的提交</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（1）单价合同进度付款申请单提交的约定：</w:t>
      </w:r>
      <w:r>
        <w:rPr>
          <w:rFonts w:hint="eastAsia" w:ascii="仿宋" w:hAnsi="仿宋" w:eastAsia="仿宋" w:cs="仿宋"/>
          <w:color w:val="auto"/>
          <w:sz w:val="24"/>
          <w:highlight w:val="none"/>
          <w:u w:val="single"/>
        </w:rPr>
        <w:t xml:space="preserve"> 按本合同约定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（2）总价合同进度付款申请单提交的约定：</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（3）其他价格形式合同进度付款申请单提交的约定：</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12.4.4 进度款审核和支付</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（1）监理人审查并报送发包人的期限：</w:t>
      </w:r>
      <w:r>
        <w:rPr>
          <w:rFonts w:hint="eastAsia" w:ascii="仿宋" w:hAnsi="仿宋" w:eastAsia="仿宋" w:cs="仿宋"/>
          <w:color w:val="auto"/>
          <w:sz w:val="24"/>
          <w:highlight w:val="none"/>
          <w:u w:val="single"/>
        </w:rPr>
        <w:t xml:space="preserve">监理人应在收到承包人进度付款申请单以及相关资料后7天内完成审查并报送发包人。 </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发包人完成审批并签发进度款支付证书的期限：</w:t>
      </w:r>
      <w:r>
        <w:rPr>
          <w:rFonts w:hint="eastAsia" w:ascii="仿宋" w:hAnsi="仿宋" w:eastAsia="仿宋" w:cs="仿宋"/>
          <w:color w:val="auto"/>
          <w:sz w:val="24"/>
          <w:highlight w:val="none"/>
          <w:u w:val="single"/>
        </w:rPr>
        <w:t xml:space="preserve">执行通用条款。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（2）发包人支付进度款的期限：</w:t>
      </w:r>
      <w:r>
        <w:rPr>
          <w:rFonts w:hint="eastAsia" w:ascii="仿宋" w:hAnsi="仿宋" w:eastAsia="仿宋" w:cs="仿宋"/>
          <w:color w:val="auto"/>
          <w:sz w:val="24"/>
          <w:highlight w:val="none"/>
          <w:u w:val="single"/>
        </w:rPr>
        <w:t xml:space="preserve"> 经发包人审查完毕并签署同意支付本期进度款意见后14天内 </w:t>
      </w:r>
      <w:r>
        <w:rPr>
          <w:rFonts w:hint="eastAsia" w:ascii="仿宋" w:hAnsi="仿宋" w:eastAsia="仿宋" w:cs="仿宋"/>
          <w:color w:val="auto"/>
          <w:sz w:val="24"/>
          <w:highlight w:val="none"/>
        </w:rPr>
        <w:t xml:space="preserve">。</w:t>
      </w:r>
      <w:r/>
    </w:p>
    <w:p>
      <w:pPr>
        <w:ind w:firstLine="60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发包人逾期支付进度款的违约金的计算方式：</w:t>
      </w:r>
      <w:r>
        <w:rPr>
          <w:rFonts w:hint="eastAsia" w:ascii="仿宋" w:hAnsi="仿宋" w:eastAsia="仿宋" w:cs="仿宋"/>
          <w:color w:val="auto"/>
          <w:sz w:val="24"/>
          <w:highlight w:val="none"/>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仿宋" w:hAnsi="仿宋" w:eastAsia="仿宋" w:cs="仿宋"/>
          <w:color w:val="auto"/>
          <w:sz w:val="24"/>
          <w:highlight w:val="none"/>
        </w:rPr>
        <w:t xml:space="preserve">。</w:t>
      </w:r>
      <w:r/>
    </w:p>
    <w:p>
      <w:pPr>
        <w:ind w:firstLine="60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12.4.6 支付分解表的编制</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2、总价合同支付分解表的编制与审批：</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3、单价合同的总价项目支付分解表的编制与审批：</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pStyle w:val="1302"/>
        <w:spacing w:before="120" w:after="120" w:line="440" w:lineRule="exac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13. 验收和工程试车</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 分部分项工程验收</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13.1.2监理人不能按时进行验收时，应提前</w:t>
      </w:r>
      <w:r>
        <w:rPr>
          <w:rFonts w:hint="eastAsia" w:ascii="仿宋" w:hAnsi="仿宋" w:eastAsia="仿宋" w:cs="仿宋"/>
          <w:color w:val="auto"/>
          <w:sz w:val="24"/>
          <w:highlight w:val="none"/>
          <w:u w:val="single"/>
        </w:rPr>
        <w:t xml:space="preserve">  24 </w:t>
      </w:r>
      <w:r>
        <w:rPr>
          <w:rFonts w:hint="eastAsia" w:ascii="仿宋" w:hAnsi="仿宋" w:eastAsia="仿宋" w:cs="仿宋"/>
          <w:color w:val="auto"/>
          <w:sz w:val="24"/>
          <w:highlight w:val="none"/>
        </w:rPr>
        <w:t xml:space="preserve">小时提交书面延期要求。</w:t>
      </w:r>
      <w:r/>
    </w:p>
    <w:p>
      <w:pPr>
        <w:ind w:firstLine="480"/>
        <w:jc w:val="left"/>
        <w:spacing w:line="44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关于延期最长不得超过：</w:t>
      </w:r>
      <w:r>
        <w:rPr>
          <w:rFonts w:hint="eastAsia" w:ascii="仿宋" w:hAnsi="仿宋" w:eastAsia="仿宋" w:cs="仿宋"/>
          <w:color w:val="auto"/>
          <w:sz w:val="24"/>
          <w:highlight w:val="none"/>
          <w:u w:val="single"/>
        </w:rPr>
        <w:t xml:space="preserve">  48 </w:t>
      </w:r>
      <w:r>
        <w:rPr>
          <w:rFonts w:hint="eastAsia" w:ascii="仿宋" w:hAnsi="仿宋" w:eastAsia="仿宋" w:cs="仿宋"/>
          <w:color w:val="auto"/>
          <w:sz w:val="24"/>
          <w:highlight w:val="none"/>
        </w:rPr>
        <w:t xml:space="preserve">小时。</w:t>
      </w:r>
      <w:r/>
    </w:p>
    <w:p>
      <w:pPr>
        <w:ind w:firstLine="482"/>
        <w:spacing w:after="12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13.2 竣工验收</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13.2.2竣工验收程序</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关于竣工验收程序的约定：</w:t>
      </w:r>
      <w:r>
        <w:rPr>
          <w:rFonts w:hint="eastAsia" w:ascii="仿宋" w:hAnsi="仿宋" w:eastAsia="仿宋" w:cs="仿宋"/>
          <w:color w:val="auto"/>
          <w:sz w:val="24"/>
          <w:highlight w:val="none"/>
          <w:u w:val="single"/>
        </w:rPr>
        <w:t xml:space="preserve">   按通用条款执行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发包人不按照本项约定组织竣工验收、颁发工程接收证书的违约金的计算方法：</w:t>
      </w:r>
      <w:r>
        <w:rPr>
          <w:rFonts w:hint="eastAsia" w:ascii="仿宋" w:hAnsi="仿宋" w:eastAsia="仿宋" w:cs="仿宋"/>
          <w:color w:val="auto"/>
          <w:sz w:val="24"/>
          <w:highlight w:val="none"/>
          <w:u w:val="single"/>
        </w:rPr>
        <w:t xml:space="preserve">  按通用条款执行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13.2.5移交、接收全部与部分工程</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承包人向发包人移交工程的期限：</w:t>
      </w:r>
      <w:r>
        <w:rPr>
          <w:rFonts w:hint="eastAsia" w:ascii="仿宋" w:hAnsi="仿宋" w:eastAsia="仿宋" w:cs="仿宋"/>
          <w:color w:val="auto"/>
          <w:sz w:val="24"/>
          <w:highlight w:val="none"/>
          <w:u w:val="single"/>
        </w:rPr>
        <w:t xml:space="preserve"> 颁发工程接收证书后7天内完成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发包人未按本合同约定接收全部或部分工程的，违约金的计算方法为：</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jc w:val="left"/>
        <w:spacing w:line="440" w:lineRule="exact"/>
        <w:rPr>
          <w:rFonts w:hint="default"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rPr>
        <w:t xml:space="preserve">承包人未按时移交工程的，违约金的计算方法为：</w:t>
      </w:r>
      <w:r>
        <w:rPr>
          <w:rFonts w:hint="eastAsia" w:ascii="仿宋" w:hAnsi="仿宋" w:eastAsia="仿宋" w:cs="仿宋"/>
          <w:b/>
          <w:color w:val="auto"/>
          <w:sz w:val="24"/>
          <w:highlight w:val="none"/>
          <w:u w:val="single"/>
        </w:rPr>
        <w:t xml:space="preserve">每</w:t>
      </w:r>
      <w:r>
        <w:rPr>
          <w:rFonts w:hint="eastAsia" w:ascii="仿宋" w:hAnsi="仿宋" w:eastAsia="仿宋" w:cs="仿宋"/>
          <w:b/>
          <w:color w:val="auto"/>
          <w:sz w:val="24"/>
          <w:highlight w:val="none"/>
          <w:u w:val="single"/>
          <w:lang w:val="en-US" w:eastAsia="zh-CN"/>
        </w:rPr>
        <w:t xml:space="preserve">逾期</w:t>
      </w:r>
      <w:r>
        <w:rPr>
          <w:rFonts w:hint="eastAsia" w:ascii="仿宋" w:hAnsi="仿宋" w:eastAsia="仿宋" w:cs="仿宋"/>
          <w:b/>
          <w:color w:val="auto"/>
          <w:sz w:val="24"/>
          <w:highlight w:val="none"/>
          <w:u w:val="single"/>
        </w:rPr>
        <w:t xml:space="preserve">一天，由承包人向发包人按签约合同价的万分之五计算违约金，且发包人有权采取任何补救措施来弥补该延误，由此增加的费用由承包人承担。</w:t>
      </w:r>
      <w:r>
        <w:rPr>
          <w:rFonts w:hint="eastAsia" w:ascii="仿宋" w:hAnsi="仿宋" w:eastAsia="仿宋" w:cs="仿宋"/>
          <w:b/>
          <w:color w:val="auto"/>
          <w:sz w:val="24"/>
          <w:highlight w:val="none"/>
          <w:u w:val="single"/>
          <w:lang w:val="en-US" w:eastAsia="zh-CN"/>
        </w:rPr>
        <w:t xml:space="preserve">违约金上限为合同金额的30%。</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13.3 工程试车</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13.3.1 试车程序</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工程试车内容：</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（1）单机无负荷试车费用由</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承担；</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（2）无负荷联动试车费用由</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承担。</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13.3.3 投料试车</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关于投料试车相关事项的约定：</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13.6 竣工退场</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13.6.1 竣工退场</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承包人完成竣工退场的期限：</w:t>
      </w:r>
      <w:r>
        <w:rPr>
          <w:rFonts w:hint="eastAsia" w:ascii="仿宋" w:hAnsi="仿宋" w:eastAsia="仿宋" w:cs="仿宋"/>
          <w:color w:val="auto"/>
          <w:sz w:val="24"/>
          <w:highlight w:val="none"/>
          <w:u w:val="single"/>
        </w:rPr>
        <w:t xml:space="preserve">移交手续办理完毕28日内</w:t>
      </w:r>
      <w:r>
        <w:rPr>
          <w:rFonts w:hint="eastAsia" w:ascii="仿宋" w:hAnsi="仿宋" w:eastAsia="仿宋" w:cs="仿宋"/>
          <w:color w:val="auto"/>
          <w:sz w:val="24"/>
          <w:highlight w:val="none"/>
        </w:rPr>
        <w:t xml:space="preserve">。</w:t>
      </w:r>
      <w:r/>
    </w:p>
    <w:p>
      <w:pPr>
        <w:pStyle w:val="1302"/>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竣工结算</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 竣工结算申请</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承包人提交竣工结算申请单的期限：</w:t>
      </w:r>
      <w:r>
        <w:rPr>
          <w:rFonts w:hint="eastAsia" w:ascii="仿宋" w:hAnsi="仿宋" w:eastAsia="仿宋" w:cs="仿宋"/>
          <w:color w:val="auto"/>
          <w:sz w:val="24"/>
          <w:highlight w:val="none"/>
          <w:u w:val="single"/>
        </w:rPr>
        <w:t xml:space="preserve"> 工程竣工验收合格后28天内提交符合发包人要求的完整结算资料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竣工结算申请单应包括的内容：</w:t>
      </w:r>
      <w:r>
        <w:rPr>
          <w:rFonts w:hint="eastAsia" w:ascii="仿宋" w:hAnsi="仿宋" w:eastAsia="仿宋" w:cs="仿宋"/>
          <w:color w:val="auto"/>
          <w:sz w:val="24"/>
          <w:highlight w:val="none"/>
          <w:u w:val="single"/>
        </w:rPr>
        <w:t xml:space="preserve">谈判文件、响应文件、中标通知书；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 竣工结算审核</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发包人审批竣工付款申请单的期限：</w:t>
      </w:r>
      <w:r>
        <w:rPr>
          <w:rFonts w:hint="eastAsia" w:ascii="仿宋" w:hAnsi="仿宋" w:eastAsia="仿宋" w:cs="仿宋"/>
          <w:color w:val="auto"/>
          <w:sz w:val="24"/>
          <w:highlight w:val="none"/>
          <w:u w:val="single"/>
        </w:rPr>
        <w:t xml:space="preserve">  另行协商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发包人完成竣工付款的期限：</w:t>
      </w:r>
      <w:r>
        <w:rPr>
          <w:rFonts w:hint="eastAsia" w:ascii="仿宋" w:hAnsi="仿宋" w:eastAsia="仿宋" w:cs="仿宋"/>
          <w:color w:val="auto"/>
          <w:sz w:val="24"/>
          <w:highlight w:val="none"/>
          <w:u w:val="single"/>
        </w:rPr>
        <w:t xml:space="preserve">  竣工结算资料经审计部门审计完成并出具审计报告后。</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关于竣工付款证书异议部分复核的方式和程序</w:t>
      </w:r>
      <w:r>
        <w:rPr>
          <w:rFonts w:hint="eastAsia" w:ascii="仿宋" w:hAnsi="仿宋" w:eastAsia="仿宋" w:cs="仿宋"/>
          <w:color w:val="auto"/>
          <w:sz w:val="24"/>
          <w:highlight w:val="none"/>
          <w:u w:val="single"/>
        </w:rPr>
        <w:t xml:space="preserve">：按通用条款执行。</w:t>
      </w:r>
      <w:r/>
    </w:p>
    <w:p>
      <w:pPr>
        <w:ind w:firstLine="482"/>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b/>
          <w:color w:val="auto"/>
          <w:sz w:val="24"/>
          <w:highlight w:val="none"/>
        </w:rPr>
        <w:t xml:space="preserve">14.4 最终结清</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14.4.1 最终结清申请单</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承包人提交最终结清申请单的份数：</w:t>
      </w:r>
      <w:r>
        <w:rPr>
          <w:rFonts w:hint="eastAsia" w:ascii="仿宋" w:hAnsi="仿宋" w:eastAsia="仿宋" w:cs="仿宋"/>
          <w:color w:val="auto"/>
          <w:sz w:val="24"/>
          <w:highlight w:val="none"/>
          <w:u w:val="single"/>
        </w:rPr>
        <w:t xml:space="preserve">    根据发包人要求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承包人提交最终结算申请单的期限：</w:t>
      </w:r>
      <w:r>
        <w:rPr>
          <w:rFonts w:hint="eastAsia" w:ascii="仿宋" w:hAnsi="仿宋" w:eastAsia="仿宋" w:cs="仿宋"/>
          <w:color w:val="auto"/>
          <w:sz w:val="24"/>
          <w:highlight w:val="none"/>
          <w:u w:val="single"/>
        </w:rPr>
        <w:t xml:space="preserve">    执行通用条款       </w:t>
      </w:r>
      <w:r>
        <w:rPr>
          <w:rFonts w:hint="eastAsia" w:ascii="仿宋" w:hAnsi="仿宋" w:eastAsia="仿宋" w:cs="仿宋"/>
          <w:color w:val="auto"/>
          <w:sz w:val="24"/>
          <w:highlight w:val="none"/>
        </w:rPr>
        <w:t xml:space="preserve">。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14.4.2 最终结清证书和支付</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（1）发包人完成最终结清申请单的审批并颁发最终结清证书的期限：</w:t>
      </w:r>
      <w:r>
        <w:rPr>
          <w:rFonts w:hint="eastAsia" w:ascii="仿宋" w:hAnsi="仿宋" w:eastAsia="仿宋" w:cs="仿宋"/>
          <w:color w:val="auto"/>
          <w:sz w:val="24"/>
          <w:highlight w:val="none"/>
          <w:u w:val="single"/>
        </w:rPr>
        <w:t xml:space="preserve">执行通用条款。</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（2）发包人完成支付的期限：</w:t>
      </w:r>
      <w:r>
        <w:rPr>
          <w:rFonts w:hint="eastAsia" w:ascii="仿宋" w:hAnsi="仿宋" w:eastAsia="仿宋" w:cs="仿宋"/>
          <w:color w:val="auto"/>
          <w:sz w:val="24"/>
          <w:highlight w:val="none"/>
          <w:u w:val="single"/>
        </w:rPr>
        <w:t xml:space="preserve">执行通用条款。</w:t>
      </w:r>
      <w:r/>
    </w:p>
    <w:p>
      <w:pPr>
        <w:pStyle w:val="1302"/>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缺陷责任期与保修</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15.2缺陷责任期</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缺陷责任期的具体期限：</w:t>
      </w:r>
      <w:r>
        <w:rPr>
          <w:rFonts w:hint="eastAsia" w:ascii="仿宋" w:hAnsi="仿宋" w:eastAsia="仿宋" w:cs="仿宋"/>
          <w:color w:val="auto"/>
          <w:sz w:val="24"/>
          <w:highlight w:val="none"/>
          <w:u w:val="single"/>
        </w:rPr>
        <w:t xml:space="preserve"> 自实际竣工日后24个月 </w:t>
      </w:r>
      <w:r>
        <w:rPr>
          <w:rFonts w:hint="eastAsia" w:ascii="仿宋" w:hAnsi="仿宋" w:eastAsia="仿宋" w:cs="仿宋"/>
          <w:color w:val="auto"/>
          <w:sz w:val="24"/>
          <w:highlight w:val="none"/>
        </w:rPr>
        <w:t xml:space="preserve">。</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15.3 质量保证金</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关于是否扣留质量保证金的约定：</w:t>
      </w:r>
      <w:r>
        <w:rPr>
          <w:rFonts w:hint="eastAsia" w:ascii="仿宋" w:hAnsi="仿宋" w:eastAsia="仿宋" w:cs="仿宋"/>
          <w:color w:val="auto"/>
          <w:sz w:val="24"/>
          <w:highlight w:val="none"/>
          <w:u w:val="single"/>
        </w:rPr>
        <w:t xml:space="preserve">   不扣留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15.3.1 承包人提供质量保证金的方式</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质量保证金采用以下第</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种方式：</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（1）质量保证金保函，保证金额为：</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%的工程款；</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（3）其他方式:</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15.3.2 质量保证金的扣留：不扣留。 </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15.4保修</w:t>
      </w:r>
      <w:r/>
    </w:p>
    <w:p>
      <w:pPr>
        <w:ind w:firstLine="468"/>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15.4.1 保修责任</w:t>
      </w:r>
      <w:r/>
    </w:p>
    <w:p>
      <w:pPr>
        <w:ind w:firstLine="468"/>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工程保修期为：</w:t>
      </w:r>
      <w:r>
        <w:rPr>
          <w:rFonts w:hint="eastAsia" w:ascii="仿宋" w:hAnsi="仿宋" w:eastAsia="仿宋" w:cs="仿宋"/>
          <w:color w:val="auto"/>
          <w:sz w:val="24"/>
          <w:highlight w:val="none"/>
          <w:u w:val="single"/>
        </w:rPr>
        <w:t xml:space="preserve">  见工程质量保修  </w:t>
      </w:r>
      <w:r>
        <w:rPr>
          <w:rFonts w:hint="eastAsia" w:ascii="仿宋" w:hAnsi="仿宋" w:eastAsia="仿宋" w:cs="仿宋"/>
          <w:color w:val="auto"/>
          <w:sz w:val="24"/>
          <w:highlight w:val="none"/>
        </w:rPr>
        <w:t xml:space="preserve">。</w:t>
      </w:r>
      <w:r/>
    </w:p>
    <w:p>
      <w:pPr>
        <w:ind w:firstLine="468"/>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15.4.3 修复通知</w:t>
      </w:r>
      <w:r/>
    </w:p>
    <w:p>
      <w:pPr>
        <w:ind w:firstLine="468"/>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承包人收到保修通知并到达工程现场的合理时间：</w:t>
      </w:r>
      <w:r>
        <w:rPr>
          <w:rFonts w:hint="eastAsia" w:ascii="仿宋" w:hAnsi="仿宋" w:eastAsia="仿宋" w:cs="仿宋"/>
          <w:color w:val="auto"/>
          <w:sz w:val="24"/>
          <w:highlight w:val="none"/>
          <w:u w:val="single"/>
        </w:rPr>
        <w:t xml:space="preserve"> 接到发包人通知后48小时内</w:t>
      </w:r>
      <w:r>
        <w:rPr>
          <w:rFonts w:hint="eastAsia" w:ascii="仿宋" w:hAnsi="仿宋" w:eastAsia="仿宋" w:cs="仿宋"/>
          <w:color w:val="auto"/>
          <w:sz w:val="24"/>
          <w:highlight w:val="none"/>
        </w:rPr>
        <w:t xml:space="preserve">。</w:t>
      </w:r>
      <w:r/>
    </w:p>
    <w:p>
      <w:pPr>
        <w:pStyle w:val="1302"/>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违约</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 发包人违约</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16.1.1发包人违约的情形</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发包人违约的其他情形：</w:t>
      </w:r>
      <w:r>
        <w:rPr>
          <w:rFonts w:hint="eastAsia" w:ascii="仿宋" w:hAnsi="仿宋" w:eastAsia="仿宋" w:cs="仿宋"/>
          <w:color w:val="auto"/>
          <w:sz w:val="24"/>
          <w:highlight w:val="none"/>
          <w:u w:val="single"/>
        </w:rPr>
        <w:t xml:space="preserve"> 执行通用条款 </w:t>
      </w:r>
      <w:r>
        <w:rPr>
          <w:rFonts w:hint="eastAsia" w:ascii="仿宋" w:hAnsi="仿宋" w:eastAsia="仿宋" w:cs="仿宋"/>
          <w:color w:val="auto"/>
          <w:sz w:val="24"/>
          <w:highlight w:val="none"/>
        </w:rPr>
        <w:t xml:space="preserve">。</w:t>
      </w:r>
      <w:r/>
    </w:p>
    <w:p>
      <w:pPr>
        <w:ind w:left="1200" w:hanging="120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16.1.2 发包人违约的责任</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发包人违约责任的承担方式和计算方法：</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（1）因发包人原因未能在计划开工日期前7天内下达开工通知的违约责任：</w:t>
      </w:r>
      <w:r>
        <w:rPr>
          <w:rFonts w:hint="eastAsia" w:ascii="仿宋" w:hAnsi="仿宋" w:eastAsia="仿宋" w:cs="仿宋"/>
          <w:color w:val="auto"/>
          <w:sz w:val="24"/>
          <w:highlight w:val="none"/>
          <w:u w:val="single"/>
        </w:rPr>
        <w:t xml:space="preserve">  另行协商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（2）因发包人原因未能按合同约定支付合同价款的违约责任：</w:t>
      </w:r>
      <w:r>
        <w:rPr>
          <w:rFonts w:hint="eastAsia" w:ascii="仿宋" w:hAnsi="仿宋" w:eastAsia="仿宋" w:cs="仿宋"/>
          <w:color w:val="auto"/>
          <w:sz w:val="24"/>
          <w:highlight w:val="none"/>
          <w:u w:val="single"/>
        </w:rPr>
        <w:t xml:space="preserve">另行协商</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highlight w:val="none"/>
          <w:u w:val="single"/>
        </w:rPr>
        <w:t xml:space="preserve"> 另行协商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highlight w:val="none"/>
          <w:u w:val="single"/>
        </w:rPr>
        <w:t xml:space="preserve"> 无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（5）因发包人违反合同约定造成暂停施工的违约责任：</w:t>
      </w:r>
      <w:r>
        <w:rPr>
          <w:rFonts w:hint="eastAsia" w:ascii="仿宋" w:hAnsi="仿宋" w:eastAsia="仿宋" w:cs="仿宋"/>
          <w:color w:val="auto"/>
          <w:sz w:val="24"/>
          <w:highlight w:val="none"/>
          <w:u w:val="single"/>
        </w:rPr>
        <w:t xml:space="preserve"> 无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（6）发包人无正当理由没有在约定期限内发出复工指示，导致承包人无法复工的违约责任：</w:t>
      </w:r>
      <w:r>
        <w:rPr>
          <w:rFonts w:hint="eastAsia" w:ascii="仿宋" w:hAnsi="仿宋" w:eastAsia="仿宋" w:cs="仿宋"/>
          <w:color w:val="auto"/>
          <w:sz w:val="24"/>
          <w:highlight w:val="none"/>
          <w:u w:val="single"/>
        </w:rPr>
        <w:t xml:space="preserve"> 无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（7）其他：</w:t>
      </w:r>
      <w:r>
        <w:rPr>
          <w:rFonts w:hint="eastAsia" w:ascii="仿宋" w:hAnsi="仿宋" w:eastAsia="仿宋" w:cs="仿宋"/>
          <w:color w:val="auto"/>
          <w:sz w:val="24"/>
          <w:highlight w:val="none"/>
          <w:u w:val="single"/>
        </w:rPr>
        <w:t xml:space="preserve"> 无 </w:t>
      </w:r>
      <w:r>
        <w:rPr>
          <w:rFonts w:hint="eastAsia" w:ascii="仿宋" w:hAnsi="仿宋" w:eastAsia="仿宋" w:cs="仿宋"/>
          <w:color w:val="auto"/>
          <w:sz w:val="24"/>
          <w:highlight w:val="none"/>
        </w:rPr>
        <w:t xml:space="preserve">。</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16.1.3 因发包人违约解除合同</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承包人按16.1.1项〔发包人违约的情形〕约定暂停施工满</w:t>
      </w:r>
      <w:r>
        <w:rPr>
          <w:rFonts w:hint="eastAsia" w:ascii="仿宋" w:hAnsi="仿宋" w:eastAsia="仿宋" w:cs="仿宋"/>
          <w:color w:val="auto"/>
          <w:sz w:val="24"/>
          <w:highlight w:val="none"/>
          <w:u w:val="single"/>
        </w:rPr>
        <w:t xml:space="preserve"> 30 </w:t>
      </w:r>
      <w:r>
        <w:rPr>
          <w:rFonts w:hint="eastAsia" w:ascii="仿宋" w:hAnsi="仿宋" w:eastAsia="仿宋" w:cs="仿宋"/>
          <w:color w:val="auto"/>
          <w:sz w:val="24"/>
          <w:highlight w:val="none"/>
        </w:rPr>
        <w:t xml:space="preserve">天后发包人仍不纠正其违约行为并致使合同目的不能实现的，承包人有权解除合同。</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 承包人违约</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16.2.1 承包人违约的情形</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承包人违约的其他情形：</w:t>
      </w:r>
      <w:r>
        <w:rPr>
          <w:rFonts w:hint="eastAsia" w:ascii="仿宋" w:hAnsi="仿宋" w:eastAsia="仿宋" w:cs="仿宋"/>
          <w:color w:val="auto"/>
          <w:sz w:val="24"/>
          <w:highlight w:val="none"/>
          <w:u w:val="single"/>
        </w:rPr>
        <w:t xml:space="preserve"> 施工期间承包人未经发包人批准停止施工48小时，发包人有权更换承包人，承包人必须按发包人的要求限期退场。由此造成的一切损失由承包人承担。</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16.2.2承包人违约的责任</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承包人违约责任的承担方式和计算方法：</w:t>
      </w:r>
      <w:r>
        <w:rPr>
          <w:rFonts w:hint="eastAsia" w:ascii="仿宋" w:hAnsi="仿宋" w:eastAsia="仿宋" w:cs="仿宋"/>
          <w:color w:val="auto"/>
          <w:sz w:val="24"/>
          <w:highlight w:val="none"/>
          <w:u w:val="single"/>
        </w:rPr>
        <w:t xml:space="preserve">如在施工过程中出现质量事故、质量责任或不合格情况，发包人有权拒付相应工程款，承包人应承担由此产生的相关费用，直至达到合同要求的质量标准，工期不顺延。 </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16.2.3 因承包人违约解除合同</w:t>
      </w:r>
      <w:r/>
    </w:p>
    <w:p>
      <w:pPr>
        <w:ind w:firstLine="480"/>
        <w:spacing w:before="120" w:after="120"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关于承包人违约解除合同的特别约定：</w:t>
      </w:r>
      <w:r>
        <w:rPr>
          <w:rFonts w:hint="eastAsia" w:ascii="仿宋" w:hAnsi="仿宋" w:eastAsia="仿宋" w:cs="仿宋"/>
          <w:color w:val="auto"/>
          <w:sz w:val="24"/>
          <w:highlight w:val="none"/>
          <w:u w:val="single"/>
        </w:rPr>
        <w:t xml:space="preserve">按通用条款执行</w:t>
      </w:r>
      <w:r>
        <w:rPr>
          <w:rFonts w:hint="eastAsia" w:ascii="仿宋" w:hAnsi="仿宋" w:eastAsia="仿宋" w:cs="仿宋"/>
          <w:color w:val="auto"/>
          <w:sz w:val="24"/>
          <w:highlight w:val="none"/>
        </w:rPr>
        <w:t xml:space="preserve">。</w:t>
      </w:r>
      <w:r/>
    </w:p>
    <w:p>
      <w:pPr>
        <w:ind w:firstLine="480"/>
        <w:spacing w:before="120" w:after="120"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highlight w:val="none"/>
          <w:u w:val="single"/>
        </w:rPr>
        <w:t xml:space="preserve">另行协商</w:t>
      </w:r>
      <w:r>
        <w:rPr>
          <w:rFonts w:hint="eastAsia" w:ascii="仿宋" w:hAnsi="仿宋" w:eastAsia="仿宋" w:cs="仿宋"/>
          <w:color w:val="auto"/>
          <w:sz w:val="24"/>
          <w:highlight w:val="none"/>
          <w:u w:val="none"/>
        </w:rPr>
        <w:t xml:space="preserve">。</w:t>
      </w:r>
      <w:r/>
    </w:p>
    <w:p>
      <w:pPr>
        <w:pStyle w:val="1302"/>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不可抗力 </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 不可抗力的确认</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除通用合同条款约定的不可抗力事件之外，视为不可抗力的其他情形： </w:t>
      </w:r>
      <w:r>
        <w:rPr>
          <w:rFonts w:hint="eastAsia" w:ascii="仿宋" w:hAnsi="仿宋" w:eastAsia="仿宋" w:cs="仿宋"/>
          <w:color w:val="auto"/>
          <w:sz w:val="24"/>
          <w:highlight w:val="none"/>
          <w:u w:val="single"/>
        </w:rPr>
        <w:t xml:space="preserve">不可抗力包括因战争、动乱、空中飞行物体坠落或其他非发包人承包人责任造成的爆炸、火灾，以及以下方面的自然灾害： </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（1）烈度为6级以上的地震； </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（2）6级以上持续24小时的大风； </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（3）持续降雨24小时且降雨量200mm以上；下雪为30mm以上； </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（4）40℃及以上持续24小时的高温。</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17.4 因不可抗力解除合同</w:t>
      </w:r>
      <w:r/>
    </w:p>
    <w:p>
      <w:pPr>
        <w:ind w:firstLine="24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合同解除后，发包人应在商定或确定发包人应支付款项后</w:t>
      </w:r>
      <w:r>
        <w:rPr>
          <w:rFonts w:hint="eastAsia" w:ascii="仿宋" w:hAnsi="仿宋" w:eastAsia="仿宋" w:cs="仿宋"/>
          <w:color w:val="auto"/>
          <w:sz w:val="24"/>
          <w:highlight w:val="none"/>
          <w:u w:val="single"/>
        </w:rPr>
        <w:t xml:space="preserve">56天</w:t>
      </w:r>
      <w:r>
        <w:rPr>
          <w:rFonts w:hint="eastAsia" w:ascii="仿宋" w:hAnsi="仿宋" w:eastAsia="仿宋" w:cs="仿宋"/>
          <w:color w:val="auto"/>
          <w:sz w:val="24"/>
          <w:highlight w:val="none"/>
        </w:rPr>
        <w:t xml:space="preserve">内完成款项的支付。</w:t>
      </w:r>
      <w:r/>
    </w:p>
    <w:p>
      <w:pPr>
        <w:pStyle w:val="1302"/>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 保险</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 工程保险</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关于工程保险的特别约定：</w:t>
      </w:r>
      <w:r>
        <w:rPr>
          <w:rFonts w:hint="eastAsia" w:ascii="仿宋" w:hAnsi="仿宋" w:eastAsia="仿宋" w:cs="仿宋"/>
          <w:color w:val="auto"/>
          <w:sz w:val="24"/>
          <w:highlight w:val="none"/>
          <w:u w:val="single"/>
        </w:rPr>
        <w:t xml:space="preserve">承包人必须按照工程所在地相关规定要求执行,并承担保险费用。</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18.3 其他保险</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关于其他保险的约定：</w:t>
      </w:r>
      <w:r>
        <w:rPr>
          <w:rFonts w:hint="eastAsia" w:ascii="仿宋" w:hAnsi="仿宋" w:eastAsia="仿宋" w:cs="仿宋"/>
          <w:color w:val="auto"/>
          <w:sz w:val="24"/>
          <w:highlight w:val="none"/>
          <w:u w:val="single"/>
        </w:rPr>
        <w:t xml:space="preserve">承包人必须为施工场地内员工办理意外伤害保险，并缴纳保险费。</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承包人是否应为其施工设备等办理财产保险：</w:t>
      </w:r>
      <w:r>
        <w:rPr>
          <w:rFonts w:hint="eastAsia" w:ascii="仿宋" w:hAnsi="仿宋" w:eastAsia="仿宋" w:cs="仿宋"/>
          <w:color w:val="auto"/>
          <w:sz w:val="24"/>
          <w:highlight w:val="none"/>
          <w:u w:val="single"/>
        </w:rPr>
        <w:t xml:space="preserve"> 是 </w:t>
      </w:r>
      <w:r>
        <w:rPr>
          <w:rFonts w:hint="eastAsia" w:ascii="仿宋" w:hAnsi="仿宋" w:eastAsia="仿宋" w:cs="仿宋"/>
          <w:color w:val="auto"/>
          <w:sz w:val="24"/>
          <w:highlight w:val="none"/>
        </w:rPr>
        <w:t xml:space="preserve">。</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18.7 通知义务</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关于变更保险合同时的通知义务的约定：</w:t>
      </w:r>
      <w:r>
        <w:rPr>
          <w:rFonts w:hint="eastAsia" w:ascii="仿宋" w:hAnsi="仿宋" w:eastAsia="仿宋" w:cs="仿宋"/>
          <w:color w:val="auto"/>
          <w:sz w:val="24"/>
          <w:highlight w:val="none"/>
          <w:u w:val="single"/>
        </w:rPr>
        <w:t xml:space="preserve">按通用条款执行</w:t>
      </w:r>
      <w:r>
        <w:rPr>
          <w:rFonts w:hint="eastAsia" w:ascii="仿宋" w:hAnsi="仿宋" w:eastAsia="仿宋" w:cs="仿宋"/>
          <w:color w:val="auto"/>
          <w:sz w:val="24"/>
          <w:highlight w:val="none"/>
        </w:rPr>
        <w:t xml:space="preserve">。</w:t>
      </w:r>
      <w:r/>
    </w:p>
    <w:p>
      <w:pPr>
        <w:pStyle w:val="1302"/>
        <w:spacing w:before="120" w:after="12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 争议解决</w:t>
      </w:r>
      <w:r/>
    </w:p>
    <w:p>
      <w:pPr>
        <w:ind w:firstLine="480"/>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因合同及合同有关事项发生的争议，按下列第</w:t>
      </w:r>
      <w:r>
        <w:rPr>
          <w:rFonts w:hint="eastAsia" w:ascii="仿宋" w:hAnsi="仿宋" w:eastAsia="仿宋" w:cs="仿宋"/>
          <w:color w:val="auto"/>
          <w:sz w:val="24"/>
          <w:highlight w:val="none"/>
          <w:u w:val="single"/>
        </w:rPr>
        <w:t xml:space="preserve">（2）</w:t>
      </w:r>
      <w:r>
        <w:rPr>
          <w:rFonts w:hint="eastAsia" w:ascii="仿宋" w:hAnsi="仿宋" w:eastAsia="仿宋" w:cs="仿宋"/>
          <w:color w:val="auto"/>
          <w:sz w:val="24"/>
          <w:highlight w:val="none"/>
        </w:rPr>
        <w:t xml:space="preserve">种方式解决：</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（1）向</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仲裁委员会申请仲裁；</w:t>
      </w:r>
      <w:r/>
    </w:p>
    <w:p>
      <w:pPr>
        <w:ind w:firstLine="480"/>
        <w:jc w:val="lef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（2）向</w:t>
      </w:r>
      <w:r>
        <w:rPr>
          <w:rFonts w:hint="eastAsia" w:ascii="仿宋" w:hAnsi="仿宋" w:eastAsia="仿宋" w:cs="仿宋"/>
          <w:color w:val="auto"/>
          <w:sz w:val="24"/>
          <w:highlight w:val="none"/>
          <w:u w:val="single"/>
        </w:rPr>
        <w:t xml:space="preserve">  工程所在地 </w:t>
      </w:r>
      <w:r>
        <w:rPr>
          <w:rFonts w:hint="eastAsia" w:ascii="仿宋" w:hAnsi="仿宋" w:eastAsia="仿宋" w:cs="仿宋"/>
          <w:color w:val="auto"/>
          <w:sz w:val="24"/>
          <w:highlight w:val="none"/>
        </w:rPr>
        <w:t xml:space="preserve">人民法院起诉。</w:t>
      </w:r>
      <w:r/>
    </w:p>
    <w:p>
      <w:pPr>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b/>
          <w:color w:val="auto"/>
          <w:sz w:val="24"/>
          <w:highlight w:val="none"/>
        </w:rPr>
        <w:t xml:space="preserve">21.补充条款：</w:t>
      </w:r>
      <w:r>
        <w:rPr>
          <w:rFonts w:hint="eastAsia" w:ascii="仿宋" w:hAnsi="仿宋" w:eastAsia="仿宋" w:cs="仿宋"/>
          <w:color w:val="auto"/>
          <w:sz w:val="24"/>
          <w:highlight w:val="none"/>
          <w:u w:val="single"/>
        </w:rPr>
        <w:t xml:space="preserve"> </w:t>
      </w:r>
      <w:r/>
    </w:p>
    <w:p>
      <w:pPr>
        <w:ind w:firstLine="48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21.1承包人须与包括农民</w:t>
      </w:r>
      <w:r>
        <w:rPr>
          <w:rFonts w:hint="eastAsia" w:ascii="仿宋" w:hAnsi="仿宋" w:eastAsia="仿宋" w:cs="仿宋"/>
          <w:color w:val="auto"/>
          <w:sz w:val="24"/>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firstLine="36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仿宋" w:hAnsi="仿宋" w:eastAsia="仿宋" w:cs="仿宋"/>
          <w:color w:val="auto"/>
          <w:sz w:val="24"/>
          <w:highlight w:val="none"/>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left"/>
        <w:spacing w:line="480" w:lineRule="exact"/>
        <w:rPr>
          <w:rFonts w:hint="eastAsia" w:ascii="仿宋" w:hAnsi="仿宋" w:eastAsia="仿宋" w:cs="仿宋"/>
          <w:b/>
          <w:color w:val="auto"/>
          <w:sz w:val="24"/>
          <w:highlight w:val="none"/>
        </w:rPr>
      </w:pPr>
      <w:r/>
      <w:bookmarkStart w:id="16" w:name="_Toc351203652"/>
      <w:r/>
      <w:r/>
    </w:p>
    <w:p>
      <w:pPr>
        <w:jc w:val="left"/>
        <w:spacing w:line="480" w:lineRule="exact"/>
        <w:rPr>
          <w:rFonts w:hint="eastAsia" w:ascii="仿宋" w:hAnsi="仿宋" w:eastAsia="仿宋" w:cs="仿宋"/>
          <w:b/>
          <w:color w:val="auto"/>
          <w:sz w:val="24"/>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仿宋" w:hAnsi="仿宋" w:eastAsia="仿宋" w:cs="仿宋"/>
          <w:b/>
          <w:color w:val="auto"/>
          <w:sz w:val="24"/>
          <w:highlight w:val="none"/>
        </w:rPr>
      </w:r>
      <w:r/>
    </w:p>
    <w:p>
      <w:pPr>
        <w:jc w:val="left"/>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附件</w:t>
      </w:r>
      <w:bookmarkEnd w:id="16"/>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附件1：发包人供应材料设备一览表</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附件2：工程质量保修书</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附件3：承包人用于本工程施工的机械设备表</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附件4：承包人主要施工管理人员表</w:t>
      </w:r>
      <w:r/>
    </w:p>
    <w:p>
      <w:pPr>
        <w:jc w:val="left"/>
        <w:spacing w:line="360" w:lineRule="auto"/>
        <w:rPr>
          <w:rFonts w:hint="eastAsia" w:ascii="仿宋" w:hAnsi="仿宋" w:eastAsia="仿宋" w:cs="仿宋"/>
          <w:color w:val="auto"/>
          <w:sz w:val="30"/>
          <w:szCs w:val="3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仿宋" w:hAnsi="仿宋" w:eastAsia="仿宋" w:cs="仿宋"/>
          <w:color w:val="auto"/>
          <w:sz w:val="30"/>
          <w:szCs w:val="30"/>
          <w:highlight w:val="none"/>
        </w:rPr>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附件1：</w:t>
      </w:r>
      <w:r/>
    </w:p>
    <w:p>
      <w:pPr>
        <w:jc w:val="center"/>
        <w:spacing w:before="156" w:after="156"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发包人供应材料设备一览表</w:t>
      </w:r>
      <w:r/>
    </w:p>
    <w:tbl>
      <w:tblPr>
        <w:tblStyle w:val="106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1276"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材料、</w:t>
            </w:r>
            <w:r/>
          </w:p>
          <w:p>
            <w:pPr>
              <w:pStyle w:val="1113"/>
              <w:ind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设备品种</w:t>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规格型号</w:t>
            </w:r>
            <w:r/>
          </w:p>
        </w:tc>
        <w:tc>
          <w:tcPr>
            <w:tcW w:w="94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W w:w="1044"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单价（元）</w:t>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质量等级</w:t>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供应时间</w:t>
            </w:r>
            <w:r/>
          </w:p>
        </w:tc>
        <w:tc>
          <w:tcPr>
            <w:tcW w:w="1487"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送达地点</w:t>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jc w:val="center"/>
          <w:trHeight w:val="567"/>
        </w:trPr>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76"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44"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7"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76"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44"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7"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76"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44"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7"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76"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44"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7"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76"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44"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7"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76"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44"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7"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76"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44"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7"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76"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44"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7"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7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4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76"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44"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7"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7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4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7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4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7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4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7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4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7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4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7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4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br w:type="page" w:clear="all"/>
      </w:r>
      <w:r>
        <w:rPr>
          <w:rFonts w:hint="eastAsia" w:ascii="仿宋" w:hAnsi="仿宋" w:eastAsia="仿宋" w:cs="仿宋"/>
          <w:b/>
          <w:bCs/>
          <w:color w:val="auto"/>
          <w:sz w:val="24"/>
          <w:highlight w:val="none"/>
        </w:rPr>
        <w:t xml:space="preserve">附件2：    </w:t>
      </w:r>
      <w:r/>
    </w:p>
    <w:p>
      <w:pPr>
        <w:jc w:val="center"/>
        <w:spacing w:before="156" w:after="156"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工程质量保修书</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发包人（全称）：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 xml:space="preserve">徐州市福利彩票发行中心</w:t>
      </w:r>
      <w:r>
        <w:rPr>
          <w:rFonts w:hint="eastAsia" w:ascii="仿宋" w:hAnsi="仿宋" w:eastAsia="仿宋" w:cs="仿宋"/>
          <w:color w:val="auto"/>
          <w:sz w:val="24"/>
          <w:highlight w:val="none"/>
          <w:u w:val="single"/>
        </w:rPr>
        <w:t xml:space="preserve">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承包人（全称）：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发包人和承包人根据</w:t>
      </w:r>
      <w:r>
        <w:rPr>
          <w:rFonts w:hint="eastAsia" w:ascii="仿宋" w:hAnsi="仿宋" w:eastAsia="仿宋" w:cs="仿宋"/>
          <w:color w:val="auto"/>
          <w:sz w:val="24"/>
          <w:highlight w:val="none"/>
          <w:u w:val="single"/>
        </w:rPr>
        <w:t xml:space="preserve">《中华人民共和国建筑法》和《建设工程质量管理条例》</w:t>
      </w:r>
      <w:r>
        <w:rPr>
          <w:rFonts w:hint="eastAsia" w:ascii="仿宋" w:hAnsi="仿宋" w:eastAsia="仿宋" w:cs="仿宋"/>
          <w:color w:val="auto"/>
          <w:sz w:val="24"/>
          <w:highlight w:val="none"/>
        </w:rPr>
        <w:t xml:space="preserve">，经协商一致就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 xml:space="preserve">永嘉新城福彩销售兑奖大厅装修项目</w:t>
      </w:r>
      <w:r>
        <w:rPr>
          <w:rFonts w:hint="eastAsia" w:ascii="仿宋" w:hAnsi="仿宋" w:eastAsia="仿宋" w:cs="仿宋"/>
          <w:color w:val="auto"/>
          <w:sz w:val="24"/>
          <w:highlight w:val="none"/>
          <w:u w:val="none"/>
          <w:lang w:val="en-US" w:eastAsia="zh-CN"/>
        </w:rPr>
        <w:t xml:space="preserve">项目</w:t>
      </w:r>
      <w:r>
        <w:rPr>
          <w:rFonts w:hint="eastAsia" w:ascii="仿宋" w:hAnsi="仿宋" w:eastAsia="仿宋" w:cs="仿宋"/>
          <w:color w:val="auto"/>
          <w:sz w:val="24"/>
          <w:highlight w:val="none"/>
        </w:rPr>
        <w:t xml:space="preserve">（工程全称）签订工程质量保修书。</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一、工程质量保修范围和内容</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承包人在质量保修期内，按照有关法律规定和合同约定，承担工程质量保修责任。</w:t>
      </w:r>
      <w:r/>
    </w:p>
    <w:p>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auto"/>
          <w:sz w:val="24"/>
          <w:highlight w:val="none"/>
          <w:u w:val="single"/>
        </w:rPr>
        <w:t xml:space="preserve">由承包人承担的施工全部内容。</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二、质量保修期</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根据《建设工程质量管理条例》及有关规定，工程的质量保修期如下：</w:t>
      </w:r>
      <w:r/>
    </w:p>
    <w:p>
      <w:pPr>
        <w:numPr>
          <w:ilvl w:val="0"/>
          <w:numId w:val="5"/>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地基基础工程和主体结构工程为设计文件规定的工程合理使用年限；</w:t>
      </w:r>
      <w:r/>
    </w:p>
    <w:p>
      <w:pPr>
        <w:numPr>
          <w:ilvl w:val="0"/>
          <w:numId w:val="6"/>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屋面防水工程、有防水要求的卫生间、房间和外墙面的防渗为</w:t>
      </w:r>
      <w:r>
        <w:rPr>
          <w:rFonts w:hint="eastAsia" w:ascii="仿宋" w:hAnsi="仿宋" w:eastAsia="仿宋" w:cs="仿宋"/>
          <w:color w:val="auto"/>
          <w:sz w:val="24"/>
          <w:highlight w:val="none"/>
          <w:u w:val="single"/>
        </w:rPr>
        <w:t xml:space="preserve">  5  </w:t>
      </w:r>
      <w:r>
        <w:rPr>
          <w:rFonts w:hint="eastAsia" w:ascii="仿宋" w:hAnsi="仿宋" w:eastAsia="仿宋" w:cs="仿宋"/>
          <w:color w:val="auto"/>
          <w:sz w:val="24"/>
          <w:highlight w:val="none"/>
        </w:rPr>
        <w:t xml:space="preserve">年；</w:t>
      </w:r>
      <w:r/>
    </w:p>
    <w:p>
      <w:pPr>
        <w:numPr>
          <w:ilvl w:val="0"/>
          <w:numId w:val="7"/>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装修工程为</w:t>
      </w:r>
      <w:r>
        <w:rPr>
          <w:rFonts w:hint="eastAsia" w:ascii="仿宋" w:hAnsi="仿宋" w:eastAsia="仿宋" w:cs="仿宋"/>
          <w:color w:val="auto"/>
          <w:sz w:val="24"/>
          <w:highlight w:val="none"/>
          <w:u w:val="single"/>
        </w:rPr>
        <w:t xml:space="preserve">   2    </w:t>
      </w:r>
      <w:r>
        <w:rPr>
          <w:rFonts w:hint="eastAsia" w:ascii="仿宋" w:hAnsi="仿宋" w:eastAsia="仿宋" w:cs="仿宋"/>
          <w:color w:val="auto"/>
          <w:sz w:val="24"/>
          <w:highlight w:val="none"/>
        </w:rPr>
        <w:t xml:space="preserve">年；</w:t>
      </w:r>
      <w:r/>
    </w:p>
    <w:p>
      <w:pPr>
        <w:numPr>
          <w:ilvl w:val="0"/>
          <w:numId w:val="8"/>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电气管线、给排水管道、设备安装工程为</w:t>
      </w:r>
      <w:r>
        <w:rPr>
          <w:rFonts w:hint="eastAsia" w:ascii="仿宋" w:hAnsi="仿宋" w:eastAsia="仿宋" w:cs="仿宋"/>
          <w:color w:val="auto"/>
          <w:sz w:val="24"/>
          <w:highlight w:val="none"/>
          <w:u w:val="single"/>
        </w:rPr>
        <w:t xml:space="preserve">   2   </w:t>
      </w:r>
      <w:r>
        <w:rPr>
          <w:rFonts w:hint="eastAsia" w:ascii="仿宋" w:hAnsi="仿宋" w:eastAsia="仿宋" w:cs="仿宋"/>
          <w:color w:val="auto"/>
          <w:sz w:val="24"/>
          <w:highlight w:val="none"/>
        </w:rPr>
        <w:t xml:space="preserve">年；</w:t>
      </w:r>
      <w:r/>
    </w:p>
    <w:p>
      <w:pPr>
        <w:numPr>
          <w:ilvl w:val="0"/>
          <w:numId w:val="9"/>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供热与供冷系统为</w:t>
      </w:r>
      <w:r>
        <w:rPr>
          <w:rFonts w:hint="eastAsia" w:ascii="仿宋" w:hAnsi="仿宋" w:eastAsia="仿宋" w:cs="仿宋"/>
          <w:color w:val="auto"/>
          <w:sz w:val="24"/>
          <w:highlight w:val="none"/>
          <w:u w:val="single"/>
        </w:rPr>
        <w:t xml:space="preserve">    2   </w:t>
      </w:r>
      <w:r>
        <w:rPr>
          <w:rFonts w:hint="eastAsia" w:ascii="仿宋" w:hAnsi="仿宋" w:eastAsia="仿宋" w:cs="仿宋"/>
          <w:color w:val="auto"/>
          <w:sz w:val="24"/>
          <w:highlight w:val="none"/>
        </w:rPr>
        <w:t xml:space="preserve">个采暖期、供冷期；</w:t>
      </w:r>
      <w:r/>
    </w:p>
    <w:p>
      <w:pPr>
        <w:numPr>
          <w:ilvl w:val="0"/>
          <w:numId w:val="10"/>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住宅小区内的给排水设施、道路等配套工程为</w:t>
      </w:r>
      <w:r>
        <w:rPr>
          <w:rFonts w:hint="eastAsia" w:ascii="仿宋" w:hAnsi="仿宋" w:eastAsia="仿宋" w:cs="仿宋"/>
          <w:color w:val="auto"/>
          <w:sz w:val="24"/>
          <w:highlight w:val="none"/>
          <w:u w:val="single"/>
        </w:rPr>
        <w:t xml:space="preserve">  2    </w:t>
      </w:r>
      <w:r>
        <w:rPr>
          <w:rFonts w:hint="eastAsia" w:ascii="仿宋" w:hAnsi="仿宋" w:eastAsia="仿宋" w:cs="仿宋"/>
          <w:color w:val="auto"/>
          <w:sz w:val="24"/>
          <w:highlight w:val="none"/>
        </w:rPr>
        <w:t xml:space="preserve">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7．其他项目保修期限约定如下：</w:t>
      </w:r>
      <w:r>
        <w:rPr>
          <w:rFonts w:hint="eastAsia" w:ascii="仿宋" w:hAnsi="仿宋" w:eastAsia="仿宋" w:cs="仿宋"/>
          <w:color w:val="auto"/>
          <w:sz w:val="24"/>
          <w:highlight w:val="none"/>
          <w:u w:val="single"/>
        </w:rPr>
        <w:t xml:space="preserve">   2年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质量保修期自工程竣工验收合格之日起计算。</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三、缺陷责任期</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工程缺陷责任期为</w:t>
      </w:r>
      <w:r>
        <w:rPr>
          <w:rFonts w:hint="eastAsia" w:ascii="仿宋" w:hAnsi="仿宋" w:eastAsia="仿宋" w:cs="仿宋"/>
          <w:color w:val="auto"/>
          <w:sz w:val="24"/>
          <w:highlight w:val="none"/>
          <w:u w:val="single"/>
        </w:rPr>
        <w:t xml:space="preserve"> 24 </w:t>
      </w:r>
      <w:r>
        <w:rPr>
          <w:rFonts w:hint="eastAsia" w:ascii="仿宋" w:hAnsi="仿宋" w:eastAsia="仿宋" w:cs="仿宋"/>
          <w:color w:val="auto"/>
          <w:sz w:val="24"/>
          <w:highlight w:val="none"/>
        </w:rPr>
        <w:t xml:space="preserve">个月，缺陷责任期自工程实际竣工之日起计算。单位工程先于全部工程进行验收，单位工程缺陷责任期自单位工程验收合格之日起算。</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四、质量保修责任</w:t>
      </w:r>
      <w:r/>
    </w:p>
    <w:p>
      <w:pPr>
        <w:ind w:left="105" w:firstLine="491"/>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1．属于保修范围、内容的项目，承包人应当在接到保修通知之日起48小时内派人保修。承包人不在约定期限内派人保修的，发包人可以委托他人修理。</w:t>
      </w:r>
      <w:r/>
    </w:p>
    <w:p>
      <w:pPr>
        <w:ind w:left="105" w:firstLine="491"/>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2．发生紧急事故需抢修的，承包人在接到事故通知后，应当立即到达事故现场抢修。</w:t>
      </w:r>
      <w:r/>
    </w:p>
    <w:p>
      <w:pPr>
        <w:ind w:left="105" w:firstLine="491"/>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4．质量保修完成后，由发包人组织验收。</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五、保修费用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保修费用由造成质量缺陷的责任方承担。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保修期间保修费用由承包方承担。但在保修期内确属人为因素而非材料或工程质量问题造成的破损，承包人负责维修，发包人支付维修所需材料费用。</w:t>
      </w:r>
      <w:r/>
    </w:p>
    <w:p>
      <w:pPr>
        <w:jc w:val="left"/>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六、双方约定的其他工程质量保修事项：</w:t>
      </w:r>
      <w:r/>
    </w:p>
    <w:p>
      <w:pPr>
        <w:jc w:val="lef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    1.</w:t>
      </w:r>
      <w:r>
        <w:rPr>
          <w:rFonts w:hint="eastAsia" w:ascii="仿宋" w:hAnsi="仿宋" w:eastAsia="仿宋" w:cs="仿宋"/>
          <w:color w:val="auto"/>
          <w:sz w:val="24"/>
          <w:highlight w:val="non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2.如因承包人的责任，造成直接或间接损失，由承包人负责赔偿，费用从质保金中扣除。 </w:t>
      </w:r>
      <w:r/>
    </w:p>
    <w:p>
      <w:pPr>
        <w:ind w:firstLine="456"/>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发包人(公章)：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承包人(公章)：</w:t>
      </w:r>
      <w:r>
        <w:rPr>
          <w:rFonts w:hint="eastAsia" w:ascii="仿宋" w:hAnsi="仿宋" w:eastAsia="仿宋" w:cs="仿宋"/>
          <w:color w:val="auto"/>
          <w:sz w:val="24"/>
          <w:highlight w:val="none"/>
          <w:u w:val="single"/>
        </w:rPr>
        <w:t xml:space="preserve">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地  址：</w:t>
      </w:r>
      <w:r>
        <w:rPr>
          <w:rFonts w:hint="eastAsia" w:ascii="仿宋" w:hAnsi="仿宋" w:eastAsia="仿宋" w:cs="仿宋"/>
          <w:color w:val="auto"/>
          <w:sz w:val="24"/>
          <w:highlight w:val="none"/>
          <w:u w:val="single"/>
        </w:rPr>
        <w:t xml:space="preserve">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法定代表人(签字)：</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法定代表人(签字)：</w:t>
      </w:r>
      <w:r>
        <w:rPr>
          <w:rFonts w:hint="eastAsia" w:ascii="仿宋" w:hAnsi="仿宋" w:eastAsia="仿宋" w:cs="仿宋"/>
          <w:color w:val="auto"/>
          <w:sz w:val="24"/>
          <w:highlight w:val="none"/>
          <w:u w:val="single"/>
        </w:rPr>
        <w:t xml:space="preserve">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委托代理人(签字)：</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委托代理人(签字)：</w:t>
      </w:r>
      <w:r>
        <w:rPr>
          <w:rFonts w:hint="eastAsia" w:ascii="仿宋" w:hAnsi="仿宋" w:eastAsia="仿宋" w:cs="仿宋"/>
          <w:color w:val="auto"/>
          <w:sz w:val="24"/>
          <w:highlight w:val="none"/>
          <w:u w:val="single"/>
        </w:rPr>
        <w:t xml:space="preserve">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  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  话：</w:t>
      </w:r>
      <w:r>
        <w:rPr>
          <w:rFonts w:hint="eastAsia" w:ascii="仿宋" w:hAnsi="仿宋" w:eastAsia="仿宋" w:cs="仿宋"/>
          <w:color w:val="auto"/>
          <w:sz w:val="24"/>
          <w:highlight w:val="none"/>
          <w:u w:val="single"/>
        </w:rPr>
        <w:t xml:space="preserve">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传  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传  真：</w:t>
      </w:r>
      <w:r>
        <w:rPr>
          <w:rFonts w:hint="eastAsia" w:ascii="仿宋" w:hAnsi="仿宋" w:eastAsia="仿宋" w:cs="仿宋"/>
          <w:color w:val="auto"/>
          <w:sz w:val="24"/>
          <w:highlight w:val="none"/>
          <w:u w:val="single"/>
        </w:rPr>
        <w:t xml:space="preserve">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开户银行：</w:t>
      </w:r>
      <w:r>
        <w:rPr>
          <w:rFonts w:hint="eastAsia" w:ascii="仿宋" w:hAnsi="仿宋" w:eastAsia="仿宋" w:cs="仿宋"/>
          <w:color w:val="auto"/>
          <w:sz w:val="24"/>
          <w:highlight w:val="none"/>
          <w:u w:val="single"/>
        </w:rPr>
        <w:t xml:space="preserve">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账  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账  号：</w:t>
      </w:r>
      <w:r>
        <w:rPr>
          <w:rFonts w:hint="eastAsia" w:ascii="仿宋" w:hAnsi="仿宋" w:eastAsia="仿宋" w:cs="仿宋"/>
          <w:color w:val="auto"/>
          <w:sz w:val="24"/>
          <w:highlight w:val="none"/>
          <w:u w:val="single"/>
        </w:rPr>
        <w:t xml:space="preserve">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邮政编码：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邮政编码：</w:t>
      </w:r>
      <w:r>
        <w:rPr>
          <w:rFonts w:hint="eastAsia" w:ascii="仿宋" w:hAnsi="仿宋" w:eastAsia="仿宋" w:cs="仿宋"/>
          <w:color w:val="auto"/>
          <w:sz w:val="24"/>
          <w:highlight w:val="none"/>
          <w:u w:val="single"/>
        </w:rPr>
        <w:t xml:space="preserve">                     </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color w:val="auto"/>
          <w:sz w:val="24"/>
          <w:highlight w:val="none"/>
        </w:rPr>
        <w:br w:type="page" w:clear="all"/>
      </w:r>
      <w:r>
        <w:rPr>
          <w:rFonts w:hint="eastAsia" w:ascii="仿宋" w:hAnsi="仿宋" w:eastAsia="仿宋" w:cs="仿宋"/>
          <w:b/>
          <w:bCs/>
          <w:color w:val="auto"/>
          <w:sz w:val="24"/>
          <w:highlight w:val="none"/>
        </w:rPr>
        <w:t xml:space="preserve">附件3：</w:t>
      </w:r>
      <w:r/>
    </w:p>
    <w:p>
      <w:pPr>
        <w:jc w:val="center"/>
        <w:spacing w:before="156" w:after="156"/>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承包人用于本工程施工的机械设备表</w:t>
      </w:r>
      <w:r/>
    </w:p>
    <w:tbl>
      <w:tblPr>
        <w:tblStyle w:val="106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机械或设备名称</w:t>
            </w:r>
            <w:r/>
          </w:p>
        </w:tc>
        <w:tc>
          <w:tcPr>
            <w:tcW w:w="85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规格型号</w:t>
            </w:r>
            <w:r/>
          </w:p>
        </w:tc>
        <w:tc>
          <w:tcPr>
            <w:tcW w:w="105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W w:w="8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产地</w:t>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制造年份</w:t>
            </w:r>
            <w:r/>
          </w:p>
        </w:tc>
        <w:tc>
          <w:tcPr>
            <w:tcW w:w="14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额定功率(kW)</w:t>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生产能力</w:t>
            </w:r>
            <w:r/>
          </w:p>
        </w:tc>
        <w:tc>
          <w:tcPr>
            <w:tcW w:w="92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jc w:val="center"/>
          <w:trHeight w:val="567"/>
        </w:trPr>
        <w:tc>
          <w:tcPr>
            <w:tcW w:w="116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pStyle w:val="1113"/>
              <w:ind w:left="63" w:right="63"/>
              <w:jc w:val="center"/>
              <w:keepNex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8"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8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br w:type="page" w:clear="all"/>
      </w:r>
      <w:r>
        <w:rPr>
          <w:rFonts w:hint="eastAsia" w:ascii="仿宋" w:hAnsi="仿宋" w:eastAsia="仿宋" w:cs="仿宋"/>
          <w:b/>
          <w:bCs/>
          <w:color w:val="auto"/>
          <w:sz w:val="24"/>
          <w:highlight w:val="none"/>
        </w:rPr>
        <w:t xml:space="preserve">附件4：</w:t>
      </w:r>
      <w:r/>
    </w:p>
    <w:p>
      <w:pPr>
        <w:jc w:val="center"/>
        <w:spacing w:before="156" w:after="156" w:line="44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承包人主要施工管理人员表</w:t>
      </w:r>
      <w:r/>
    </w:p>
    <w:tbl>
      <w:tblPr>
        <w:tblStyle w:val="106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113"/>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 称</w:t>
            </w:r>
            <w:r/>
          </w:p>
        </w:tc>
        <w:tc>
          <w:tcPr>
            <w:tcW w:w="1418" w:type="dxa"/>
            <w:vAlign w:val="center"/>
            <w:textDirection w:val="lrTb"/>
            <w:noWrap w:val="false"/>
          </w:tcPr>
          <w:p>
            <w:pPr>
              <w:pStyle w:val="1113"/>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姓名</w:t>
            </w:r>
            <w:r/>
          </w:p>
        </w:tc>
        <w:tc>
          <w:tcPr>
            <w:tcW w:w="1134" w:type="dxa"/>
            <w:vAlign w:val="center"/>
            <w:textDirection w:val="lrTb"/>
            <w:noWrap w:val="false"/>
          </w:tcPr>
          <w:p>
            <w:pPr>
              <w:pStyle w:val="1113"/>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职务</w:t>
            </w:r>
            <w:r/>
          </w:p>
        </w:tc>
        <w:tc>
          <w:tcPr>
            <w:tcW w:w="1134" w:type="dxa"/>
            <w:vAlign w:val="center"/>
            <w:textDirection w:val="lrTb"/>
            <w:noWrap w:val="false"/>
          </w:tcPr>
          <w:p>
            <w:pPr>
              <w:pStyle w:val="1113"/>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职称</w:t>
            </w:r>
            <w:r/>
          </w:p>
        </w:tc>
        <w:tc>
          <w:tcPr>
            <w:tcW w:w="4252" w:type="dxa"/>
            <w:vAlign w:val="center"/>
            <w:textDirection w:val="lrTb"/>
            <w:noWrap w:val="false"/>
          </w:tcPr>
          <w:p>
            <w:pPr>
              <w:pStyle w:val="1113"/>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一、总部人员</w:t>
            </w:r>
            <w:r/>
          </w:p>
        </w:tc>
      </w:tr>
      <w:tr>
        <w:trPr>
          <w:jc w:val="center"/>
        </w:trPr>
        <w:tc>
          <w:tcPr>
            <w:tcW w:w="1871"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项目主管</w:t>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其他人员</w:t>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gridSpan w:val="5"/>
            <w:tcW w:w="9809"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二、现场人员</w:t>
            </w:r>
            <w:r/>
          </w:p>
        </w:tc>
      </w:tr>
      <w:tr>
        <w:trPr>
          <w:jc w:val="center"/>
        </w:trPr>
        <w:tc>
          <w:tcPr>
            <w:tcW w:w="1871"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项目经理</w:t>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项目副经理</w:t>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技术负责人</w:t>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造价管理</w:t>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质量管理</w:t>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材料管理</w:t>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施工管理</w:t>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安全管理</w:t>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restart"/>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其他人员</w:t>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1113"/>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312"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480"/>
        <w:spacing w:line="31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pStyle w:val="1311"/>
        <w:ind w:left="0" w:right="0" w:firstLine="480"/>
        <w:jc w:val="both"/>
        <w:spacing w:before="0" w:after="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1297"/>
        <w:jc w:val="center"/>
        <w:spacing w:after="312" w:line="52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8、承诺书</w:t>
      </w:r>
      <w:r/>
    </w:p>
    <w:p>
      <w:pPr>
        <w:jc w:val="center"/>
        <w:spacing w:line="288"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288"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lang w:eastAsia="zh-CN"/>
        </w:rPr>
        <w:t xml:space="preserve">徐州市福利彩票发行中心</w:t>
      </w:r>
      <w:r>
        <w:rPr>
          <w:rFonts w:hint="eastAsia" w:ascii="仿宋" w:hAnsi="仿宋" w:eastAsia="仿宋" w:cs="仿宋"/>
          <w:b/>
          <w:bCs/>
          <w:color w:val="auto"/>
          <w:sz w:val="24"/>
          <w:highlight w:val="none"/>
        </w:rPr>
        <w:t xml:space="preserve">：</w:t>
      </w:r>
      <w:r/>
    </w:p>
    <w:p>
      <w:pPr>
        <w:pStyle w:val="1306"/>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06"/>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w:t>
      </w:r>
      <w:r>
        <w:rPr>
          <w:rFonts w:hint="eastAsia" w:ascii="仿宋" w:hAnsi="仿宋" w:eastAsia="仿宋" w:cs="仿宋"/>
          <w:bCs/>
          <w:color w:val="auto"/>
          <w:sz w:val="24"/>
          <w:szCs w:val="24"/>
          <w:highlight w:val="none"/>
        </w:rPr>
        <w:t xml:space="preserve">磋商文件</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）要求，本供应商正式提交以下首次响应文件。</w:t>
      </w:r>
      <w:r/>
    </w:p>
    <w:p>
      <w:pPr>
        <w:pStyle w:val="1306"/>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仿宋"/>
          <w:color w:val="auto"/>
          <w:sz w:val="24"/>
          <w:szCs w:val="24"/>
          <w:highlight w:val="none"/>
        </w:rPr>
        <w:t xml:space="preserve">（1）承诺书； </w:t>
      </w:r>
      <w:r/>
    </w:p>
    <w:p>
      <w:pPr>
        <w:pStyle w:val="1306"/>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 </w:t>
      </w:r>
      <w:r/>
    </w:p>
    <w:p>
      <w:pPr>
        <w:pStyle w:val="1306"/>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（3）偏离表；</w:t>
      </w:r>
      <w:r/>
    </w:p>
    <w:p>
      <w:pPr>
        <w:pStyle w:val="1306"/>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w:t>
      </w:r>
      <w:r>
        <w:rPr>
          <w:rFonts w:hint="eastAsia" w:ascii="仿宋" w:hAnsi="仿宋" w:eastAsia="仿宋" w:cs="仿宋"/>
          <w:bCs/>
          <w:color w:val="auto"/>
          <w:sz w:val="24"/>
          <w:szCs w:val="24"/>
          <w:highlight w:val="none"/>
        </w:rPr>
        <w:t xml:space="preserve">文件</w:t>
      </w:r>
      <w:r>
        <w:rPr>
          <w:rFonts w:hint="eastAsia" w:ascii="仿宋" w:hAnsi="仿宋" w:eastAsia="仿宋" w:cs="仿宋"/>
          <w:color w:val="auto"/>
          <w:sz w:val="24"/>
          <w:szCs w:val="24"/>
          <w:highlight w:val="none"/>
        </w:rPr>
        <w:t xml:space="preserve">要求提供的其他响应文件。</w:t>
      </w:r>
      <w:r/>
    </w:p>
    <w:p>
      <w:pPr>
        <w:pStyle w:val="1306"/>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我单位符合《中华人民共和国政府采购法》第二十二条的规定，符合本项目供应商资格要求。</w:t>
      </w:r>
      <w:r/>
    </w:p>
    <w:p>
      <w:pPr>
        <w:pStyle w:val="1306"/>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供应商兹宣布同意如下: </w:t>
      </w:r>
      <w:r/>
    </w:p>
    <w:p>
      <w:pPr>
        <w:pStyle w:val="1306"/>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color w:val="auto"/>
          <w:sz w:val="24"/>
          <w:szCs w:val="24"/>
          <w:highlight w:val="none"/>
        </w:rPr>
        <w:t xml:space="preserve">一、完全承担根据《磋商文件》规定完成合同的责任和义务（如有偏离，将全部填写在偏离表中）。</w:t>
      </w:r>
      <w:r/>
    </w:p>
    <w:p>
      <w:pPr>
        <w:pStyle w:val="1306"/>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rPr>
        <w:t xml:space="preserve">二、保证所提供的响应文件及所有材料的真实、合法、有效，并对其负责。</w:t>
      </w:r>
      <w:r/>
    </w:p>
    <w:p>
      <w:pPr>
        <w:ind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四、所供货物保证符合国家有关产品质量、性能和安全标准，无权利瑕疵。</w:t>
      </w:r>
      <w:r/>
    </w:p>
    <w:p>
      <w:pPr>
        <w:ind w:right="29"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五、报价有效期为30个工作日。</w:t>
      </w:r>
      <w:r/>
    </w:p>
    <w:p>
      <w:pPr>
        <w:ind w:right="29"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七、完全理解贵方不一定要接受最低的报价或收到的任何报价。</w:t>
      </w:r>
      <w:r/>
    </w:p>
    <w:p>
      <w:pPr>
        <w:ind w:right="29"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供应商（供应商公章）：</w:t>
      </w:r>
      <w:r/>
    </w:p>
    <w:p>
      <w:pP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p>
    <w:p>
      <w:pPr>
        <w:ind w:right="29"/>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jc w:val="center"/>
        <w:rPr>
          <w:rFonts w:hint="eastAsia" w:ascii="仿宋" w:hAnsi="仿宋" w:eastAsia="仿宋" w:cs="仿宋"/>
          <w:b/>
          <w:color w:val="auto"/>
          <w:sz w:val="36"/>
          <w:highlight w:val="none"/>
        </w:rPr>
      </w:pPr>
      <w:r>
        <w:rPr>
          <w:rFonts w:hint="eastAsia" w:ascii="仿宋" w:hAnsi="仿宋" w:eastAsia="仿宋" w:cs="仿宋"/>
          <w:b/>
          <w:bCs/>
          <w:color w:val="auto"/>
          <w:sz w:val="28"/>
          <w:highlight w:val="none"/>
        </w:rPr>
        <w:br w:type="page" w:clear="all"/>
      </w:r>
      <w:r>
        <w:rPr>
          <w:rFonts w:hint="eastAsia" w:ascii="仿宋" w:hAnsi="仿宋" w:eastAsia="仿宋" w:cs="仿宋"/>
          <w:b/>
          <w:bCs/>
          <w:color w:val="auto"/>
          <w:sz w:val="36"/>
          <w:szCs w:val="36"/>
          <w:highlight w:val="none"/>
        </w:rPr>
        <w:t xml:space="preserve">9、授权委托书</w:t>
      </w:r>
      <w:r/>
    </w:p>
    <w:p>
      <w:pPr>
        <w:spacing w:line="5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委托人（全称）：</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统一社会信用代码：</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                  先生（女士）</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）全权代表我企业（公司）参与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eastAsia="zh-CN"/>
        </w:rPr>
        <w:t xml:space="preserve">永嘉新城福彩销售兑奖大厅装修项目</w:t>
      </w:r>
      <w:r>
        <w:rPr>
          <w:rFonts w:hint="eastAsia" w:ascii="仿宋" w:hAnsi="仿宋" w:eastAsia="仿宋" w:cs="仿宋"/>
          <w:color w:val="auto"/>
          <w:sz w:val="28"/>
          <w:szCs w:val="28"/>
          <w:highlight w:val="none"/>
        </w:rPr>
        <w:t xml:space="preserve">项目[项目编号：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]的磋商活动及签订合同。（</w:t>
      </w:r>
      <w:r>
        <w:rPr>
          <w:rFonts w:hint="eastAsia" w:ascii="仿宋" w:hAnsi="仿宋" w:eastAsia="仿宋" w:cs="仿宋"/>
          <w:b/>
          <w:color w:val="auto"/>
          <w:sz w:val="28"/>
          <w:szCs w:val="28"/>
          <w:highlight w:val="none"/>
          <w:u w:val="single"/>
        </w:rPr>
        <w:t xml:space="preserve">   </w:t>
      </w:r>
      <w:r>
        <w:rPr>
          <w:rFonts w:hint="eastAsia" w:ascii="仿宋" w:hAnsi="仿宋" w:eastAsia="仿宋" w:cs="仿宋"/>
          <w:color w:val="auto"/>
          <w:sz w:val="28"/>
          <w:szCs w:val="28"/>
          <w:highlight w:val="none"/>
        </w:rPr>
        <w:t xml:space="preserve">）以我企业（公司）名义所为的行为及签署的文件，我企业（公司）均予以认可。有关法律责任均由我企业（公司）承担。（</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）无转委托权。</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委托期限自</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日起至</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日止。</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委托人（</w:t>
      </w:r>
      <w:r>
        <w:rPr>
          <w:rFonts w:hint="eastAsia" w:ascii="仿宋" w:hAnsi="仿宋" w:eastAsia="仿宋" w:cs="仿宋"/>
          <w:b/>
          <w:bCs/>
          <w:color w:val="auto"/>
          <w:sz w:val="28"/>
          <w:szCs w:val="28"/>
          <w:highlight w:val="none"/>
          <w:lang w:val="en-US" w:eastAsia="zh-CN"/>
        </w:rPr>
        <w:t xml:space="preserve">电子签章</w:t>
      </w:r>
      <w:r>
        <w:rPr>
          <w:rFonts w:hint="eastAsia" w:ascii="仿宋" w:hAnsi="仿宋" w:eastAsia="仿宋" w:cs="仿宋"/>
          <w:b/>
          <w:bCs/>
          <w:color w:val="auto"/>
          <w:sz w:val="28"/>
          <w:szCs w:val="28"/>
          <w:highlight w:val="none"/>
        </w:rPr>
        <w:t xml:space="preserve">）：</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法定代表人（签字或盖章）：</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受托人联系方式：</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受托人（签字或盖章）：</w:t>
      </w:r>
      <w:r/>
    </w:p>
    <w:p>
      <w:pPr>
        <w:ind w:firstLine="4575"/>
        <w:spacing w:line="360" w:lineRule="auto"/>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年   月   日</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(受托人身份证扫描件附后)</w:t>
      </w:r>
      <w:r/>
    </w:p>
    <w:p>
      <w:pPr>
        <w:jc w:val="center"/>
        <w:spacing w:before="100" w:beforeAutospacing="1" w:after="100" w:afterAutospacing="1" w:line="450" w:lineRule="atLeast"/>
        <w:widowControl/>
        <w:rPr>
          <w:rFonts w:hint="eastAsia" w:ascii="仿宋" w:hAnsi="仿宋" w:eastAsia="仿宋" w:cs="仿宋"/>
          <w:b/>
          <w:bCs/>
          <w:color w:val="auto"/>
          <w:sz w:val="36"/>
          <w:szCs w:val="36"/>
          <w:highlight w:val="none"/>
        </w:rPr>
        <w:sectPr>
          <w:headerReference w:type="default" r:id="rId12"/>
          <w:footerReference w:type="default" r:id="rId18"/>
          <w:footerReference w:type="first" r:id="rId19"/>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仿宋" w:hAnsi="仿宋" w:eastAsia="仿宋" w:cs="仿宋"/>
          <w:b/>
          <w:bCs/>
          <w:color w:val="auto"/>
          <w:sz w:val="36"/>
          <w:szCs w:val="36"/>
          <w:highlight w:val="none"/>
        </w:rPr>
      </w:r>
      <w:r/>
    </w:p>
    <w:p>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1</w:t>
      </w:r>
      <w:r>
        <w:rPr>
          <w:rFonts w:hint="eastAsia" w:ascii="仿宋" w:hAnsi="仿宋" w:eastAsia="仿宋" w:cs="仿宋"/>
          <w:b/>
          <w:bCs/>
          <w:color w:val="auto"/>
          <w:sz w:val="36"/>
          <w:szCs w:val="36"/>
          <w:highlight w:val="none"/>
          <w:lang w:val="en-US" w:eastAsia="zh-CN"/>
        </w:rPr>
        <w:t xml:space="preserve">0</w:t>
      </w:r>
      <w:r>
        <w:rPr>
          <w:rFonts w:hint="eastAsia" w:ascii="仿宋" w:hAnsi="仿宋" w:eastAsia="仿宋" w:cs="仿宋"/>
          <w:b/>
          <w:bCs/>
          <w:color w:val="auto"/>
          <w:sz w:val="36"/>
          <w:szCs w:val="36"/>
          <w:highlight w:val="none"/>
        </w:rPr>
        <w:t xml:space="preserve">、具备履行合同所必需的设备和专业技术能力的书面声明（附证明材料）格式</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供应商对声明的真实性负责。如有虚假，将依法承担相应责任。</w:t>
      </w:r>
      <w:r/>
    </w:p>
    <w:p>
      <w:pPr>
        <w:ind w:firstLine="560"/>
        <w:spacing w:line="360" w:lineRule="auto"/>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供应商郑重声明：供应商具备履行合同（项目名称：</w:t>
      </w:r>
      <w:r>
        <w:rPr>
          <w:rFonts w:hint="eastAsia" w:ascii="仿宋" w:hAnsi="仿宋" w:eastAsia="仿宋" w:cs="仿宋"/>
          <w:color w:val="auto"/>
          <w:sz w:val="28"/>
          <w:szCs w:val="28"/>
          <w:highlight w:val="none"/>
          <w:u w:val="single"/>
          <w:lang w:eastAsia="zh-CN"/>
        </w:rPr>
        <w:t xml:space="preserve">永嘉新城福彩销售兑奖大厅装修项目</w:t>
      </w: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所必需的设备和专业技术能力，具体为：</w:t>
      </w:r>
      <w:r/>
    </w:p>
    <w:p>
      <w:pPr>
        <w:pStyle w:val="1115"/>
        <w:ind w:left="0" w:firstLine="482"/>
        <w:jc w:val="left"/>
        <w:spacing w:after="0"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① 提供供应商有效的的建筑装修装饰工程专业承包贰级（含）以上资质证书扫描件；</w:t>
      </w:r>
      <w:r/>
    </w:p>
    <w:p>
      <w:pPr>
        <w:pStyle w:val="1115"/>
        <w:ind w:left="0" w:firstLine="482"/>
        <w:jc w:val="left"/>
        <w:spacing w:after="0"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② 提供供应商拟选派项目负责人（注册建造师）具备有效的建筑工程专业贰级（含）以上建造师资格证书；并取得有效的《建筑施工企业项目负责人安全生产考核合格证书》（B证），响应文件中提供证书扫描件；供应商拟选派项目负责人（注册建造师）无在建工程，响应文件中提供证明材料或承诺书（格式自拟）。</w:t>
      </w:r>
      <w:r/>
    </w:p>
    <w:p>
      <w:pPr>
        <w:pStyle w:val="1115"/>
        <w:ind w:left="0" w:firstLine="482"/>
        <w:jc w:val="left"/>
        <w:spacing w:after="0"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③ 供应商具备安全生产条件，取得有效的《安全生产许可证》，响应文件中提供证书扫描件；</w:t>
      </w:r>
      <w:r/>
    </w:p>
    <w:p>
      <w:pPr>
        <w:pStyle w:val="1115"/>
        <w:ind w:left="0" w:firstLine="0"/>
        <w:jc w:val="left"/>
        <w:spacing w:after="0"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1067"/>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67"/>
        <w:rPr>
          <w:rFonts w:hint="eastAsia" w:ascii="仿宋" w:hAnsi="仿宋" w:eastAsia="仿宋" w:cs="仿宋"/>
          <w:b/>
          <w:bCs/>
          <w:color w:val="auto"/>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仿宋" w:hAnsi="仿宋" w:eastAsia="仿宋" w:cs="仿宋"/>
          <w:b/>
          <w:bCs/>
          <w:color w:val="auto"/>
          <w:highlight w:val="none"/>
        </w:rPr>
        <w:t xml:space="preserve">上述证明材料必须提供，否则按无效响应文件处理。</w:t>
      </w:r>
      <w:r/>
    </w:p>
    <w:p>
      <w:pPr>
        <w:jc w:val="center"/>
        <w:spacing w:before="100" w:beforeAutospacing="1" w:after="100" w:afterAutospacing="1" w:line="450" w:lineRule="atLeast"/>
        <w:widowControl/>
        <w:rPr>
          <w:rFonts w:hint="eastAsia" w:ascii="仿宋" w:hAnsi="仿宋" w:eastAsia="仿宋" w:cs="仿宋"/>
          <w:b/>
          <w:color w:val="auto"/>
          <w:sz w:val="36"/>
          <w:szCs w:val="36"/>
          <w:highlight w:val="none"/>
        </w:rPr>
      </w:pPr>
      <w:r>
        <w:rPr>
          <w:rFonts w:hint="eastAsia" w:ascii="仿宋" w:hAnsi="仿宋" w:eastAsia="仿宋" w:cs="仿宋"/>
          <w:b/>
          <w:bCs/>
          <w:color w:val="auto"/>
          <w:sz w:val="36"/>
          <w:szCs w:val="36"/>
          <w:highlight w:val="none"/>
        </w:rPr>
        <w:t xml:space="preserve">1</w:t>
      </w:r>
      <w:r>
        <w:rPr>
          <w:rFonts w:hint="eastAsia" w:ascii="仿宋" w:hAnsi="仿宋" w:eastAsia="仿宋" w:cs="仿宋"/>
          <w:b/>
          <w:bCs/>
          <w:color w:val="auto"/>
          <w:sz w:val="36"/>
          <w:szCs w:val="36"/>
          <w:highlight w:val="none"/>
          <w:lang w:val="en-US" w:eastAsia="zh-CN"/>
        </w:rPr>
        <w:t xml:space="preserve">1</w:t>
      </w:r>
      <w:r>
        <w:rPr>
          <w:rFonts w:hint="eastAsia" w:ascii="仿宋" w:hAnsi="仿宋" w:eastAsia="仿宋" w:cs="仿宋"/>
          <w:b/>
          <w:bCs/>
          <w:color w:val="auto"/>
          <w:sz w:val="36"/>
          <w:szCs w:val="36"/>
          <w:highlight w:val="none"/>
        </w:rPr>
        <w:t xml:space="preserve">、中小企业声明函</w:t>
      </w:r>
      <w:r/>
    </w:p>
    <w:p>
      <w:pPr>
        <w:spacing w:line="360" w:lineRule="auto"/>
        <w:rPr>
          <w:rFonts w:hint="eastAsia" w:ascii="仿宋" w:hAnsi="仿宋" w:eastAsia="仿宋" w:cs="仿宋"/>
          <w:color w:val="auto"/>
          <w:spacing w:val="6"/>
          <w:sz w:val="28"/>
          <w:szCs w:val="28"/>
          <w:highlight w:val="none"/>
          <w:u w:val="single"/>
        </w:rPr>
      </w:pPr>
      <w:r>
        <w:rPr>
          <w:rFonts w:hint="eastAsia" w:ascii="仿宋" w:hAnsi="仿宋" w:eastAsia="仿宋" w:cs="仿宋"/>
          <w:color w:val="auto"/>
          <w:spacing w:val="6"/>
          <w:sz w:val="28"/>
          <w:szCs w:val="28"/>
          <w:highlight w:val="none"/>
        </w:rPr>
        <w:t xml:space="preserve">项目编号：</w:t>
      </w:r>
      <w:r/>
    </w:p>
    <w:p>
      <w:pPr>
        <w:spacing w:line="360" w:lineRule="auto"/>
        <w:rPr>
          <w:rFonts w:hint="eastAsia" w:ascii="仿宋" w:hAnsi="仿宋" w:eastAsia="仿宋" w:cs="仿宋"/>
          <w:color w:val="auto"/>
          <w:spacing w:val="6"/>
          <w:sz w:val="28"/>
          <w:szCs w:val="28"/>
          <w:highlight w:val="none"/>
          <w:u w:val="single"/>
        </w:rPr>
      </w:pPr>
      <w:r>
        <w:rPr>
          <w:rFonts w:hint="eastAsia" w:ascii="仿宋" w:hAnsi="仿宋" w:eastAsia="仿宋" w:cs="仿宋"/>
          <w:color w:val="auto"/>
          <w:spacing w:val="6"/>
          <w:sz w:val="28"/>
          <w:szCs w:val="28"/>
          <w:highlight w:val="none"/>
        </w:rPr>
        <w:t xml:space="preserve">项目名称：</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u w:val="single"/>
          <w:lang w:eastAsia="zh-CN"/>
        </w:rPr>
        <w:t xml:space="preserve">徐州市福利彩票发行中心</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eastAsia="zh-CN"/>
        </w:rPr>
        <w:t xml:space="preserve">永嘉新城福彩销售兑奖大厅装修项目</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采购活动，工程的施工单位全部为符合政策要求的中小企业。相关企业的具体情况如下：</w:t>
      </w:r>
      <w:r/>
    </w:p>
    <w:p>
      <w:pPr>
        <w:ind w:firstLine="560"/>
        <w:spacing w:line="360" w:lineRule="auto"/>
        <w:rPr>
          <w:rFonts w:hint="eastAsia" w:ascii="仿宋" w:hAnsi="仿宋" w:eastAsia="仿宋" w:cs="仿宋"/>
          <w:b/>
          <w:color w:val="auto"/>
          <w:spacing w:val="6"/>
          <w:sz w:val="28"/>
          <w:szCs w:val="28"/>
          <w:highlight w:val="none"/>
        </w:rPr>
      </w:pP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u w:val="single"/>
          <w:lang w:eastAsia="zh-CN"/>
        </w:rPr>
        <w:t xml:space="preserve">永嘉新城福彩销售兑奖大厅装修项目</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，属于</w:t>
      </w:r>
      <w:r>
        <w:rPr>
          <w:rFonts w:hint="eastAsia" w:ascii="仿宋" w:hAnsi="仿宋" w:eastAsia="仿宋" w:cs="仿宋"/>
          <w:color w:val="auto"/>
          <w:sz w:val="28"/>
          <w:szCs w:val="28"/>
          <w:highlight w:val="none"/>
          <w:u w:val="single"/>
        </w:rPr>
        <w:t xml:space="preserve">（建筑业）</w:t>
      </w:r>
      <w:r>
        <w:rPr>
          <w:rFonts w:hint="eastAsia" w:ascii="仿宋" w:hAnsi="仿宋" w:eastAsia="仿宋" w:cs="仿宋"/>
          <w:color w:val="auto"/>
          <w:sz w:val="28"/>
          <w:szCs w:val="28"/>
          <w:highlight w:val="none"/>
        </w:rPr>
        <w:t xml:space="preserve">； 承建（承接）企业为</w:t>
      </w:r>
      <w:r>
        <w:rPr>
          <w:rFonts w:hint="eastAsia" w:ascii="仿宋" w:hAnsi="仿宋" w:eastAsia="仿宋" w:cs="仿宋"/>
          <w:color w:val="auto"/>
          <w:sz w:val="28"/>
          <w:szCs w:val="28"/>
          <w:highlight w:val="none"/>
          <w:u w:val="single"/>
        </w:rPr>
        <w:t xml:space="preserve">（企业名称）</w:t>
      </w:r>
      <w:r>
        <w:rPr>
          <w:rFonts w:hint="eastAsia" w:ascii="仿宋" w:hAnsi="仿宋" w:eastAsia="仿宋" w:cs="仿宋"/>
          <w:color w:val="auto"/>
          <w:sz w:val="28"/>
          <w:szCs w:val="28"/>
          <w:highlight w:val="none"/>
        </w:rPr>
        <w:t xml:space="preserve">，从业人员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人，营业收入为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万元，资产总额为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万元，</w:t>
      </w:r>
      <w:r>
        <w:rPr>
          <w:rFonts w:hint="eastAsia" w:ascii="仿宋" w:hAnsi="仿宋" w:eastAsia="仿宋" w:cs="仿宋"/>
          <w:b/>
          <w:color w:val="auto"/>
          <w:sz w:val="28"/>
          <w:szCs w:val="28"/>
          <w:highlight w:val="none"/>
        </w:rPr>
        <w:t xml:space="preserve">属于（□中型企业、□小型企业、□微型企业，请勾选！）；</w:t>
      </w:r>
      <w:r/>
    </w:p>
    <w:p>
      <w:pPr>
        <w:ind w:firstLine="560"/>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本企业对上述声明内容的真实性负责。如有虚假，将依法承担相应责任。</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注：本项目采购属于</w:t>
      </w:r>
      <w:r>
        <w:rPr>
          <w:rFonts w:hint="eastAsia" w:ascii="仿宋" w:hAnsi="仿宋" w:eastAsia="仿宋" w:cs="仿宋"/>
          <w:b/>
          <w:bCs/>
          <w:color w:val="auto"/>
          <w:sz w:val="28"/>
          <w:szCs w:val="28"/>
          <w:highlight w:val="none"/>
          <w:u w:val="single"/>
        </w:rPr>
        <w:t xml:space="preserve">建筑业</w:t>
      </w:r>
      <w:r>
        <w:rPr>
          <w:rFonts w:hint="eastAsia" w:ascii="仿宋" w:hAnsi="仿宋" w:eastAsia="仿宋" w:cs="仿宋"/>
          <w:b/>
          <w:bCs/>
          <w:color w:val="auto"/>
          <w:sz w:val="28"/>
          <w:szCs w:val="28"/>
          <w:highlight w:val="none"/>
        </w:rPr>
        <w:t xml:space="preserve">。</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企业名称（供应商公章）：</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备注：从业人员、营业收入、资产总额填报上一年度数据，无上一年度数据的新成立企业可不填报。</w:t>
      </w:r>
      <w:r/>
    </w:p>
    <w:p>
      <w:pPr>
        <w:spacing w:line="360" w:lineRule="auto"/>
        <w:rPr>
          <w:rFonts w:hint="eastAsia" w:ascii="仿宋" w:hAnsi="仿宋" w:eastAsia="仿宋" w:cs="仿宋"/>
          <w:color w:val="auto"/>
          <w:sz w:val="28"/>
          <w:szCs w:val="28"/>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1413510</wp:posOffset>
                </wp:positionH>
                <wp:positionV relativeFrom="paragraph">
                  <wp:posOffset>1688465</wp:posOffset>
                </wp:positionV>
                <wp:extent cx="1860550" cy="3744595"/>
                <wp:effectExtent l="0" t="0" r="6350" b="8255"/>
                <wp:wrapTopAndBottom/>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2"/>
                        <a:stretch/>
                      </pic:blipFill>
                      <pic:spPr bwMode="auto">
                        <a:xfrm>
                          <a:off x="0" y="0"/>
                          <a:ext cx="1860550" cy="374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5408;o:allowoverlap:true;o:allowincell:true;mso-position-horizontal-relative:text;margin-left:111.3pt;mso-position-horizontal:absolute;mso-position-vertical-relative:text;margin-top:132.9pt;mso-position-vertical:absolute;width:146.5pt;height:294.8pt;mso-wrap-distance-left:9.0pt;mso-wrap-distance-top:0.0pt;mso-wrap-distance-right:9.0pt;mso-wrap-distance-bottom:0.0pt;" stroked="f">
                <v:path textboxrect="0,0,0,0"/>
                <w10:wrap type="topAndBottom"/>
                <v:imagedata r:id="rId22" o:title=""/>
              </v:shape>
            </w:pict>
          </mc:Fallback>
        </mc:AlternateContent>
      </w:r>
      <w:r>
        <w:rPr>
          <w:rFonts w:hint="eastAsia" w:ascii="仿宋" w:hAnsi="仿宋" w:eastAsia="仿宋" w:cs="仿宋"/>
          <w:color w:val="auto"/>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bCs/>
          <w:color w:val="auto"/>
          <w:sz w:val="36"/>
          <w:szCs w:val="36"/>
          <w:highlight w:val="none"/>
        </w:rPr>
        <w:t xml:space="preserve">1</w:t>
      </w:r>
      <w:r>
        <w:rPr>
          <w:rFonts w:hint="eastAsia" w:ascii="仿宋" w:hAnsi="仿宋" w:eastAsia="仿宋" w:cs="仿宋"/>
          <w:b/>
          <w:bCs/>
          <w:color w:val="auto"/>
          <w:sz w:val="36"/>
          <w:szCs w:val="36"/>
          <w:highlight w:val="none"/>
          <w:lang w:val="en-US" w:eastAsia="zh-CN"/>
        </w:rPr>
        <w:t xml:space="preserve">2</w:t>
      </w:r>
      <w:r>
        <w:rPr>
          <w:rFonts w:hint="eastAsia" w:ascii="仿宋" w:hAnsi="仿宋" w:eastAsia="仿宋" w:cs="仿宋"/>
          <w:b/>
          <w:bCs/>
          <w:color w:val="auto"/>
          <w:sz w:val="36"/>
          <w:szCs w:val="36"/>
          <w:highlight w:val="none"/>
        </w:rPr>
        <w:t xml:space="preserve">、</w:t>
      </w:r>
      <w:r>
        <w:rPr>
          <w:rFonts w:hint="eastAsia" w:ascii="仿宋" w:hAnsi="仿宋" w:eastAsia="仿宋" w:cs="仿宋"/>
          <w:b/>
          <w:color w:val="auto"/>
          <w:sz w:val="36"/>
          <w:szCs w:val="36"/>
          <w:highlight w:val="none"/>
        </w:rPr>
        <w:t xml:space="preserve">供应商参加政府采购活动前3年内在经营活动中没有重大违法记录的书面声明</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840"/>
        <w:jc w:val="left"/>
        <w:spacing w:before="100" w:beforeAutospacing="1" w:after="100" w:afterAutospacing="1"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我单位在参加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eastAsia="zh-CN"/>
        </w:rPr>
        <w:t xml:space="preserve">永嘉新城福彩销售兑奖大厅装修项目</w:t>
      </w:r>
      <w:r>
        <w:rPr>
          <w:rFonts w:hint="eastAsia" w:ascii="仿宋" w:hAnsi="仿宋" w:eastAsia="仿宋" w:cs="仿宋"/>
          <w:color w:val="auto"/>
          <w:sz w:val="28"/>
          <w:szCs w:val="28"/>
          <w:highlight w:val="none"/>
        </w:rPr>
        <w:t xml:space="preserve">项目（项目编号：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我单位对上述声明的真实性负责。如有虚假，将依法承担相应责任。</w:t>
      </w:r>
      <w:r/>
    </w:p>
    <w:p>
      <w:pPr>
        <w:ind w:right="29"/>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ind w:right="29"/>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供应商（供应商公章）：</w:t>
      </w:r>
      <w:r/>
    </w:p>
    <w:p>
      <w:pPr>
        <w:ind w:right="29"/>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29"/>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pStyle w:val="1296"/>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96"/>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96"/>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96"/>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96"/>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96"/>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96"/>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96"/>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96"/>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588" w:lineRule="exact"/>
        <w:rPr>
          <w:rFonts w:hint="eastAsia" w:ascii="仿宋" w:hAnsi="仿宋" w:eastAsia="仿宋" w:cs="仿宋"/>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仿宋" w:hAnsi="仿宋" w:eastAsia="仿宋" w:cs="仿宋"/>
          <w:b/>
          <w:color w:val="auto"/>
          <w:sz w:val="36"/>
          <w:szCs w:val="36"/>
          <w:highlight w:val="none"/>
        </w:rPr>
      </w:r>
      <w:r/>
    </w:p>
    <w:p>
      <w:pPr>
        <w:jc w:val="center"/>
        <w:spacing w:line="360" w:lineRule="auto"/>
        <w:rPr>
          <w:rFonts w:hint="eastAsia" w:ascii="仿宋" w:hAnsi="仿宋" w:eastAsia="仿宋" w:cs="仿宋"/>
          <w:b/>
          <w:bCs/>
          <w:color w:val="auto"/>
          <w:sz w:val="36"/>
          <w:szCs w:val="36"/>
          <w:highlight w:val="none"/>
        </w:rPr>
      </w:pPr>
      <w:r/>
      <w:bookmarkStart w:id="17" w:name="OLE_LINK14"/>
      <w:r/>
      <w:bookmarkStart w:id="18" w:name="OLE_LINK13"/>
      <w:r>
        <w:rPr>
          <w:rFonts w:hint="eastAsia" w:ascii="仿宋" w:hAnsi="仿宋" w:eastAsia="仿宋" w:cs="仿宋"/>
          <w:b/>
          <w:bCs/>
          <w:color w:val="auto"/>
          <w:sz w:val="36"/>
          <w:szCs w:val="36"/>
          <w:highlight w:val="none"/>
        </w:rPr>
        <w:t xml:space="preserve">1</w:t>
      </w:r>
      <w:r>
        <w:rPr>
          <w:rFonts w:hint="eastAsia" w:ascii="仿宋" w:hAnsi="仿宋" w:eastAsia="仿宋" w:cs="仿宋"/>
          <w:b/>
          <w:bCs/>
          <w:color w:val="auto"/>
          <w:sz w:val="36"/>
          <w:szCs w:val="36"/>
          <w:highlight w:val="none"/>
          <w:lang w:val="en-US" w:eastAsia="zh-CN"/>
        </w:rPr>
        <w:t xml:space="preserve">3</w:t>
      </w:r>
      <w:r>
        <w:rPr>
          <w:rFonts w:hint="eastAsia" w:ascii="仿宋" w:hAnsi="仿宋" w:eastAsia="仿宋" w:cs="仿宋"/>
          <w:b/>
          <w:bCs/>
          <w:color w:val="auto"/>
          <w:sz w:val="36"/>
          <w:szCs w:val="36"/>
          <w:highlight w:val="none"/>
        </w:rPr>
        <w:t xml:space="preserve">、残疾人福利性单位声明函</w:t>
      </w:r>
      <w:bookmarkEnd w:id="17"/>
      <w:r/>
      <w:bookmarkEnd w:id="18"/>
      <w:r/>
      <w:r/>
    </w:p>
    <w:p>
      <w:pPr>
        <w:jc w:val="center"/>
        <w:spacing w:line="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0" w:lineRule="atLeas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（注：如供应商不属于残疾人福利性单位，不需提供此声明函）</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项目名称：</w:t>
      </w:r>
      <w:r/>
    </w:p>
    <w:p>
      <w:pPr>
        <w:ind w:firstLine="584"/>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8"/>
          <w:szCs w:val="28"/>
          <w:highlight w:val="none"/>
        </w:rPr>
        <w:t xml:space="preserve">〔2017〕 141</w:t>
      </w:r>
      <w:r>
        <w:rPr>
          <w:rFonts w:hint="eastAsia" w:ascii="仿宋" w:hAnsi="仿宋" w:eastAsia="仿宋" w:cs="仿宋"/>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单位名称（供应商公章）：</w:t>
      </w:r>
      <w:r/>
    </w:p>
    <w:p>
      <w:pPr>
        <w:ind w:right="1560" w:firstLine="584"/>
        <w:spacing w:line="588" w:lineRule="exact"/>
        <w:tabs>
          <w:tab w:val="left" w:pos="486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日  期：  年  月  日</w:t>
      </w:r>
      <w:r/>
    </w:p>
    <w:p>
      <w:pPr>
        <w:pStyle w:val="1115"/>
        <w:ind w:left="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享受政府采购支持政策的残疾人福利性单位应当同时满足以下条件：</w:t>
      </w:r>
      <w:r/>
    </w:p>
    <w:p>
      <w:pPr>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（一）安置的残疾人占本单位在职职工人数的比例不低于25%（含25%），并且安置的残疾人人数不少于10人（含10人）；</w:t>
      </w:r>
      <w:r/>
    </w:p>
    <w:p>
      <w:pPr>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（二）依法与安置的每位残疾人签订了一年以上（含一年）的劳动合同或服务协议；</w:t>
      </w:r>
      <w:r/>
    </w:p>
    <w:p>
      <w:pPr>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（三）为安置的每位残疾人按月足额缴纳了基本养老保险、基本医疗保险、失业保险、工伤保险和生育保险等社会保险费；</w:t>
      </w:r>
      <w:r/>
    </w:p>
    <w:p>
      <w:pPr>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具体以《财政部 民政部 中国残疾人联合会关于促进残疾人就业政府采购政策的通知》（财库〔2017〕141号）规定为准。</w:t>
      </w:r>
      <w:r/>
    </w:p>
    <w:p>
      <w:pPr>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w:t>
      </w:r>
      <w:r/>
    </w:p>
    <w:p>
      <w:pPr>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仿宋" w:hAnsi="仿宋" w:eastAsia="仿宋" w:cs="仿宋"/>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仿宋" w:hAnsi="仿宋" w:eastAsia="仿宋" w:cs="仿宋"/>
          <w:b/>
          <w:color w:val="auto"/>
          <w:sz w:val="36"/>
          <w:szCs w:val="36"/>
          <w:highlight w:val="none"/>
        </w:rPr>
      </w:r>
      <w:r/>
    </w:p>
    <w:p>
      <w:pPr>
        <w:jc w:val="center"/>
        <w:spacing w:line="380" w:lineRule="exact"/>
        <w:widowControl/>
        <w:rPr>
          <w:rFonts w:hint="eastAsia" w:ascii="仿宋" w:hAnsi="仿宋" w:eastAsia="仿宋" w:cs="仿宋"/>
          <w:b/>
          <w:color w:val="auto"/>
          <w:sz w:val="28"/>
          <w:szCs w:val="28"/>
          <w:highlight w:val="none"/>
        </w:rPr>
      </w:pPr>
      <w:r>
        <w:rPr>
          <w:rFonts w:hint="eastAsia" w:ascii="仿宋" w:hAnsi="仿宋" w:eastAsia="仿宋" w:cs="仿宋"/>
          <w:b/>
          <w:bCs/>
          <w:color w:val="auto"/>
          <w:sz w:val="36"/>
          <w:szCs w:val="36"/>
          <w:highlight w:val="none"/>
        </w:rPr>
        <w:t xml:space="preserve">1</w:t>
      </w:r>
      <w:r>
        <w:rPr>
          <w:rFonts w:hint="eastAsia" w:ascii="仿宋" w:hAnsi="仿宋" w:eastAsia="仿宋" w:cs="仿宋"/>
          <w:b/>
          <w:bCs/>
          <w:color w:val="auto"/>
          <w:sz w:val="36"/>
          <w:szCs w:val="36"/>
          <w:highlight w:val="none"/>
          <w:lang w:val="en-US" w:eastAsia="zh-CN"/>
        </w:rPr>
        <w:t xml:space="preserve">4</w:t>
      </w:r>
      <w:r>
        <w:rPr>
          <w:rFonts w:hint="eastAsia" w:ascii="仿宋" w:hAnsi="仿宋" w:eastAsia="仿宋" w:cs="仿宋"/>
          <w:b/>
          <w:bCs/>
          <w:color w:val="auto"/>
          <w:sz w:val="36"/>
          <w:szCs w:val="36"/>
          <w:highlight w:val="none"/>
        </w:rPr>
        <w:t xml:space="preserve">、代理服务收费标准</w:t>
      </w:r>
      <w:r/>
    </w:p>
    <w:p>
      <w:pPr>
        <w:ind w:firstLine="0"/>
        <w:spacing w:line="520" w:lineRule="exact"/>
        <w:widowControl/>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tbl>
      <w:tblPr>
        <w:tblStyle w:val="1061"/>
        <w:tblW w:w="6513" w:type="dxa"/>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4818"/>
        <w:gridCol w:w="1695"/>
      </w:tblGrid>
      <w:tr>
        <w:trPr>
          <w:jc w:val="center"/>
          <w:tblCellSpacing w:w="0" w:type="dxa"/>
          <w:trHeight w:val="524"/>
        </w:trPr>
        <w:tc>
          <w:tcPr>
            <w:shd w:val="clear" w:color="auto" w:fill="auto"/>
            <w:tcMar>
              <w:left w:w="108" w:type="dxa"/>
              <w:right w:w="108" w:type="dxa"/>
            </w:tcMar>
            <w:tcW w:w="4818" w:type="dxa"/>
            <w:vAlign w:val="center"/>
            <w:textDirection w:val="lrTb"/>
            <w:noWrap w:val="false"/>
          </w:tcPr>
          <w:p>
            <w:pPr>
              <w:pStyle w:val="1085"/>
              <w:keepLines w:val="0"/>
              <w:keepNext w:val="0"/>
              <w:spacing w:before="153" w:beforeAutospacing="0" w:after="80" w:afterAutospacing="0" w:line="218"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auto"/>
                <w:sz w:val="24"/>
                <w:szCs w:val="24"/>
                <w:highlight w:val="none"/>
              </w:rPr>
              <w:t xml:space="preserve">中标或者成交金额</w:t>
            </w:r>
            <w:r/>
          </w:p>
        </w:tc>
        <w:tc>
          <w:tcPr>
            <w:shd w:val="clear" w:color="auto" w:fill="auto"/>
            <w:tcMar>
              <w:left w:w="108" w:type="dxa"/>
              <w:right w:w="108" w:type="dxa"/>
            </w:tcMar>
            <w:tcW w:w="1695" w:type="dxa"/>
            <w:vAlign w:val="center"/>
            <w:textDirection w:val="lrTb"/>
            <w:noWrap w:val="false"/>
          </w:tcPr>
          <w:p>
            <w:pPr>
              <w:pStyle w:val="1085"/>
              <w:keepLines w:val="0"/>
              <w:keepNext w:val="0"/>
              <w:spacing w:before="153" w:beforeAutospacing="0" w:after="80" w:afterAutospacing="0" w:line="218"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auto"/>
                <w:sz w:val="24"/>
                <w:szCs w:val="24"/>
                <w:highlight w:val="none"/>
              </w:rPr>
              <w:t xml:space="preserve">费率</w:t>
            </w:r>
            <w:r/>
          </w:p>
        </w:tc>
      </w:tr>
      <w:tr>
        <w:trPr>
          <w:jc w:val="center"/>
          <w:tblCellSpacing w:w="0" w:type="dxa"/>
          <w:trHeight w:val="342"/>
        </w:trPr>
        <w:tc>
          <w:tcPr>
            <w:shd w:val="clear" w:color="auto" w:fill="auto"/>
            <w:tcMar>
              <w:left w:w="108" w:type="dxa"/>
              <w:right w:w="108" w:type="dxa"/>
            </w:tcMar>
            <w:tcW w:w="4818" w:type="dxa"/>
            <w:vAlign w:val="center"/>
            <w:textDirection w:val="lrTb"/>
            <w:noWrap w:val="false"/>
          </w:tcPr>
          <w:p>
            <w:pPr>
              <w:pStyle w:val="1085"/>
              <w:ind w:left="114"/>
              <w:keepLines w:val="0"/>
              <w:keepNext w:val="0"/>
              <w:spacing w:before="153" w:beforeAutospacing="0" w:after="80" w:afterAutospacing="0" w:line="218"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最低收费金额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每个委托项目</w:t>
            </w:r>
            <w:r>
              <w:rPr>
                <w:rFonts w:hint="eastAsia" w:ascii="仿宋" w:hAnsi="仿宋" w:eastAsia="仿宋" w:cs="仿宋"/>
                <w:color w:val="auto"/>
                <w:sz w:val="24"/>
                <w:szCs w:val="24"/>
                <w:highlight w:val="none"/>
                <w:lang w:eastAsia="zh-CN"/>
              </w:rPr>
              <w:t xml:space="preserve">）</w:t>
            </w:r>
            <w:r/>
          </w:p>
        </w:tc>
        <w:tc>
          <w:tcPr>
            <w:shd w:val="clear" w:color="auto" w:fill="auto"/>
            <w:tcMar>
              <w:left w:w="108" w:type="dxa"/>
              <w:right w:w="108" w:type="dxa"/>
            </w:tcMar>
            <w:tcW w:w="1695" w:type="dxa"/>
            <w:vAlign w:val="center"/>
            <w:textDirection w:val="lrTb"/>
            <w:noWrap w:val="false"/>
          </w:tcPr>
          <w:p>
            <w:pPr>
              <w:pStyle w:val="1085"/>
              <w:ind w:left="87"/>
              <w:keepLines w:val="0"/>
              <w:keepNext w:val="0"/>
              <w:spacing w:before="154" w:beforeAutospacing="0" w:after="80" w:afterAutospacing="0" w:line="218"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5000元</w:t>
            </w:r>
            <w:r/>
          </w:p>
        </w:tc>
      </w:tr>
      <w:tr>
        <w:trPr>
          <w:jc w:val="center"/>
          <w:tblCellSpacing w:w="0" w:type="dxa"/>
          <w:trHeight w:val="369"/>
        </w:trPr>
        <w:tc>
          <w:tcPr>
            <w:shd w:val="clear" w:color="auto" w:fill="auto"/>
            <w:tcMar>
              <w:left w:w="108" w:type="dxa"/>
              <w:right w:w="108" w:type="dxa"/>
            </w:tcMar>
            <w:tcW w:w="4818" w:type="dxa"/>
            <w:vAlign w:val="center"/>
            <w:textDirection w:val="lrTb"/>
            <w:noWrap w:val="false"/>
          </w:tcPr>
          <w:p>
            <w:pPr>
              <w:pStyle w:val="1085"/>
              <w:ind w:left="114"/>
              <w:keepLines w:val="0"/>
              <w:keepNext w:val="0"/>
              <w:spacing w:before="164" w:beforeAutospacing="0" w:after="80" w:afterAutospacing="0" w:line="218"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50万元以下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含50万元</w:t>
            </w:r>
            <w:r>
              <w:rPr>
                <w:rFonts w:hint="eastAsia" w:ascii="仿宋" w:hAnsi="仿宋" w:eastAsia="仿宋" w:cs="仿宋"/>
                <w:color w:val="auto"/>
                <w:sz w:val="24"/>
                <w:szCs w:val="24"/>
                <w:highlight w:val="none"/>
                <w:lang w:eastAsia="zh-CN"/>
              </w:rPr>
              <w:t xml:space="preserve">）</w:t>
            </w:r>
            <w:r/>
          </w:p>
        </w:tc>
        <w:tc>
          <w:tcPr>
            <w:shd w:val="clear" w:color="auto" w:fill="auto"/>
            <w:tcMar>
              <w:left w:w="108" w:type="dxa"/>
              <w:right w:w="108" w:type="dxa"/>
            </w:tcMar>
            <w:tcW w:w="1695" w:type="dxa"/>
            <w:vAlign w:val="center"/>
            <w:textDirection w:val="lrTb"/>
            <w:noWrap w:val="false"/>
          </w:tcPr>
          <w:p>
            <w:pPr>
              <w:pStyle w:val="1085"/>
              <w:ind w:left="87"/>
              <w:keepLines w:val="0"/>
              <w:keepNext w:val="0"/>
              <w:spacing w:before="243" w:beforeAutospacing="0" w:after="80" w:afterAutospacing="0" w:line="182"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1.6%</w:t>
            </w:r>
            <w:r/>
          </w:p>
        </w:tc>
      </w:tr>
      <w:tr>
        <w:trPr>
          <w:jc w:val="center"/>
          <w:tblCellSpacing w:w="0" w:type="dxa"/>
          <w:trHeight w:val="370"/>
        </w:trPr>
        <w:tc>
          <w:tcPr>
            <w:shd w:val="clear" w:color="auto" w:fill="auto"/>
            <w:tcMar>
              <w:left w:w="108" w:type="dxa"/>
              <w:right w:w="108" w:type="dxa"/>
            </w:tcMar>
            <w:tcW w:w="4818" w:type="dxa"/>
            <w:vAlign w:val="center"/>
            <w:textDirection w:val="lrTb"/>
            <w:noWrap w:val="false"/>
          </w:tcPr>
          <w:p>
            <w:pPr>
              <w:pStyle w:val="1085"/>
              <w:ind w:left="114"/>
              <w:keepLines w:val="0"/>
              <w:keepNext w:val="0"/>
              <w:spacing w:before="165" w:beforeAutospacing="0" w:after="80" w:afterAutospacing="0" w:line="218"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50-400万元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含400万元</w:t>
            </w:r>
            <w:r>
              <w:rPr>
                <w:rFonts w:hint="eastAsia" w:ascii="仿宋" w:hAnsi="仿宋" w:eastAsia="仿宋" w:cs="仿宋"/>
                <w:color w:val="auto"/>
                <w:sz w:val="24"/>
                <w:szCs w:val="24"/>
                <w:highlight w:val="none"/>
                <w:lang w:eastAsia="zh-CN"/>
              </w:rPr>
              <w:t xml:space="preserve">）</w:t>
            </w:r>
            <w:r/>
          </w:p>
        </w:tc>
        <w:tc>
          <w:tcPr>
            <w:shd w:val="clear" w:color="auto" w:fill="auto"/>
            <w:tcMar>
              <w:left w:w="108" w:type="dxa"/>
              <w:right w:w="108" w:type="dxa"/>
            </w:tcMar>
            <w:tcW w:w="1695" w:type="dxa"/>
            <w:vAlign w:val="center"/>
            <w:textDirection w:val="lrTb"/>
            <w:noWrap w:val="false"/>
          </w:tcPr>
          <w:p>
            <w:pPr>
              <w:pStyle w:val="1085"/>
              <w:ind w:left="87"/>
              <w:keepLines w:val="0"/>
              <w:keepNext w:val="0"/>
              <w:spacing w:before="244" w:beforeAutospacing="0" w:after="80" w:afterAutospacing="0" w:line="182"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1.5%</w:t>
            </w:r>
            <w:r/>
          </w:p>
        </w:tc>
      </w:tr>
      <w:tr>
        <w:trPr>
          <w:jc w:val="center"/>
          <w:tblCellSpacing w:w="0" w:type="dxa"/>
          <w:trHeight w:val="370"/>
        </w:trPr>
        <w:tc>
          <w:tcPr>
            <w:shd w:val="clear" w:color="auto" w:fill="auto"/>
            <w:tcMar>
              <w:left w:w="108" w:type="dxa"/>
              <w:right w:w="108" w:type="dxa"/>
            </w:tcMar>
            <w:tcW w:w="4818" w:type="dxa"/>
            <w:vAlign w:val="center"/>
            <w:textDirection w:val="lrTb"/>
            <w:noWrap w:val="false"/>
          </w:tcPr>
          <w:p>
            <w:pPr>
              <w:pStyle w:val="1085"/>
              <w:ind w:left="114"/>
              <w:keepLines w:val="0"/>
              <w:keepNext w:val="0"/>
              <w:spacing w:before="166" w:beforeAutospacing="0" w:after="80" w:afterAutospacing="0" w:line="218"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400-1000万元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含1000万元</w:t>
            </w:r>
            <w:r>
              <w:rPr>
                <w:rFonts w:hint="eastAsia" w:ascii="仿宋" w:hAnsi="仿宋" w:eastAsia="仿宋" w:cs="仿宋"/>
                <w:color w:val="auto"/>
                <w:sz w:val="24"/>
                <w:szCs w:val="24"/>
                <w:highlight w:val="none"/>
                <w:lang w:eastAsia="zh-CN"/>
              </w:rPr>
              <w:t xml:space="preserve">）</w:t>
            </w:r>
            <w:r/>
          </w:p>
        </w:tc>
        <w:tc>
          <w:tcPr>
            <w:shd w:val="clear" w:color="auto" w:fill="auto"/>
            <w:tcMar>
              <w:left w:w="108" w:type="dxa"/>
              <w:right w:w="108" w:type="dxa"/>
            </w:tcMar>
            <w:tcW w:w="1695" w:type="dxa"/>
            <w:vAlign w:val="center"/>
            <w:textDirection w:val="lrTb"/>
            <w:noWrap w:val="false"/>
          </w:tcPr>
          <w:p>
            <w:pPr>
              <w:pStyle w:val="1085"/>
              <w:ind w:left="87"/>
              <w:keepLines w:val="0"/>
              <w:keepNext w:val="0"/>
              <w:spacing w:before="245" w:beforeAutospacing="0" w:after="80" w:afterAutospacing="0" w:line="182"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1.1%</w:t>
            </w:r>
            <w:r/>
          </w:p>
        </w:tc>
      </w:tr>
      <w:tr>
        <w:trPr>
          <w:jc w:val="center"/>
          <w:tblCellSpacing w:w="0" w:type="dxa"/>
          <w:trHeight w:val="527"/>
        </w:trPr>
        <w:tc>
          <w:tcPr>
            <w:shd w:val="clear" w:color="auto" w:fill="auto"/>
            <w:tcMar>
              <w:left w:w="108" w:type="dxa"/>
              <w:right w:w="108" w:type="dxa"/>
            </w:tcMar>
            <w:tcW w:w="4818" w:type="dxa"/>
            <w:vAlign w:val="center"/>
            <w:textDirection w:val="lrTb"/>
            <w:noWrap w:val="false"/>
          </w:tcPr>
          <w:p>
            <w:pPr>
              <w:pStyle w:val="1085"/>
              <w:ind w:left="114"/>
              <w:keepLines w:val="0"/>
              <w:keepNext w:val="0"/>
              <w:spacing w:before="157" w:beforeAutospacing="0" w:after="80" w:afterAutospacing="0" w:line="218"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1000-5000万元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含5000万元</w:t>
            </w:r>
            <w:r>
              <w:rPr>
                <w:rFonts w:hint="eastAsia" w:ascii="仿宋" w:hAnsi="仿宋" w:eastAsia="仿宋" w:cs="仿宋"/>
                <w:color w:val="auto"/>
                <w:sz w:val="24"/>
                <w:szCs w:val="24"/>
                <w:highlight w:val="none"/>
                <w:lang w:eastAsia="zh-CN"/>
              </w:rPr>
              <w:t xml:space="preserve">）</w:t>
            </w:r>
            <w:r/>
          </w:p>
        </w:tc>
        <w:tc>
          <w:tcPr>
            <w:shd w:val="clear" w:color="auto" w:fill="auto"/>
            <w:tcMar>
              <w:left w:w="108" w:type="dxa"/>
              <w:right w:w="108" w:type="dxa"/>
            </w:tcMar>
            <w:tcW w:w="1695" w:type="dxa"/>
            <w:vAlign w:val="center"/>
            <w:textDirection w:val="lrTb"/>
            <w:noWrap w:val="false"/>
          </w:tcPr>
          <w:p>
            <w:pPr>
              <w:pStyle w:val="1085"/>
              <w:ind w:left="87"/>
              <w:keepLines w:val="0"/>
              <w:keepNext w:val="0"/>
              <w:spacing w:before="237" w:beforeAutospacing="0" w:after="80" w:afterAutospacing="0" w:line="182"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0.8%</w:t>
            </w:r>
            <w:r/>
          </w:p>
        </w:tc>
      </w:tr>
      <w:tr>
        <w:trPr>
          <w:jc w:val="center"/>
          <w:tblCellSpacing w:w="0" w:type="dxa"/>
          <w:trHeight w:val="372"/>
        </w:trPr>
        <w:tc>
          <w:tcPr>
            <w:shd w:val="clear" w:color="auto" w:fill="auto"/>
            <w:tcMar>
              <w:left w:w="108" w:type="dxa"/>
              <w:right w:w="108" w:type="dxa"/>
            </w:tcMar>
            <w:tcW w:w="4818" w:type="dxa"/>
            <w:vAlign w:val="center"/>
            <w:textDirection w:val="lrTb"/>
            <w:noWrap w:val="false"/>
          </w:tcPr>
          <w:p>
            <w:pPr>
              <w:pStyle w:val="1085"/>
              <w:ind w:left="114"/>
              <w:keepLines w:val="0"/>
              <w:keepNext w:val="0"/>
              <w:spacing w:before="168" w:beforeAutospacing="0" w:after="80" w:afterAutospacing="0" w:line="218"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5000-1亿元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含1亿元</w:t>
            </w:r>
            <w:r>
              <w:rPr>
                <w:rFonts w:hint="eastAsia" w:ascii="仿宋" w:hAnsi="仿宋" w:eastAsia="仿宋" w:cs="仿宋"/>
                <w:color w:val="auto"/>
                <w:sz w:val="24"/>
                <w:szCs w:val="24"/>
                <w:highlight w:val="none"/>
                <w:lang w:eastAsia="zh-CN"/>
              </w:rPr>
              <w:t xml:space="preserve">）</w:t>
            </w:r>
            <w:r/>
          </w:p>
        </w:tc>
        <w:tc>
          <w:tcPr>
            <w:shd w:val="clear" w:color="auto" w:fill="auto"/>
            <w:tcMar>
              <w:left w:w="108" w:type="dxa"/>
              <w:right w:w="108" w:type="dxa"/>
            </w:tcMar>
            <w:tcW w:w="1695" w:type="dxa"/>
            <w:vAlign w:val="center"/>
            <w:textDirection w:val="lrTb"/>
            <w:noWrap w:val="false"/>
          </w:tcPr>
          <w:p>
            <w:pPr>
              <w:pStyle w:val="1085"/>
              <w:ind w:left="87"/>
              <w:keepLines w:val="0"/>
              <w:keepNext w:val="0"/>
              <w:spacing w:before="248" w:beforeAutospacing="0" w:after="80" w:afterAutospacing="0" w:line="182"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0.25%</w:t>
            </w:r>
            <w:r/>
          </w:p>
        </w:tc>
      </w:tr>
      <w:tr>
        <w:trPr>
          <w:jc w:val="center"/>
          <w:tblCellSpacing w:w="0" w:type="dxa"/>
          <w:trHeight w:val="372"/>
        </w:trPr>
        <w:tc>
          <w:tcPr>
            <w:shd w:val="clear" w:color="auto" w:fill="auto"/>
            <w:tcMar>
              <w:left w:w="108" w:type="dxa"/>
              <w:right w:w="108" w:type="dxa"/>
            </w:tcMar>
            <w:tcW w:w="4818" w:type="dxa"/>
            <w:vAlign w:val="center"/>
            <w:textDirection w:val="lrTb"/>
            <w:noWrap w:val="false"/>
          </w:tcPr>
          <w:p>
            <w:pPr>
              <w:pStyle w:val="1085"/>
              <w:ind w:left="114"/>
              <w:keepLines w:val="0"/>
              <w:keepNext w:val="0"/>
              <w:spacing w:before="169" w:beforeAutospacing="0" w:after="80" w:afterAutospacing="0" w:line="218"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1-10亿元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含10亿元</w:t>
            </w:r>
            <w:r>
              <w:rPr>
                <w:rFonts w:hint="eastAsia" w:ascii="仿宋" w:hAnsi="仿宋" w:eastAsia="仿宋" w:cs="仿宋"/>
                <w:color w:val="auto"/>
                <w:sz w:val="24"/>
                <w:szCs w:val="24"/>
                <w:highlight w:val="none"/>
                <w:lang w:eastAsia="zh-CN"/>
              </w:rPr>
              <w:t xml:space="preserve">）</w:t>
            </w:r>
            <w:r/>
          </w:p>
        </w:tc>
        <w:tc>
          <w:tcPr>
            <w:shd w:val="clear" w:color="auto" w:fill="auto"/>
            <w:tcMar>
              <w:left w:w="108" w:type="dxa"/>
              <w:right w:w="108" w:type="dxa"/>
            </w:tcMar>
            <w:tcW w:w="1695" w:type="dxa"/>
            <w:vAlign w:val="center"/>
            <w:textDirection w:val="lrTb"/>
            <w:noWrap w:val="false"/>
          </w:tcPr>
          <w:p>
            <w:pPr>
              <w:pStyle w:val="1085"/>
              <w:ind w:left="87"/>
              <w:keepLines w:val="0"/>
              <w:keepNext w:val="0"/>
              <w:spacing w:before="249" w:beforeAutospacing="0" w:after="80" w:afterAutospacing="0" w:line="182"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0.05%</w:t>
            </w:r>
            <w:r/>
          </w:p>
        </w:tc>
      </w:tr>
      <w:tr>
        <w:trPr>
          <w:jc w:val="center"/>
          <w:tblCellSpacing w:w="0" w:type="dxa"/>
          <w:trHeight w:val="367"/>
        </w:trPr>
        <w:tc>
          <w:tcPr>
            <w:shd w:val="clear" w:color="auto" w:fill="auto"/>
            <w:tcMar>
              <w:left w:w="108" w:type="dxa"/>
              <w:right w:w="108" w:type="dxa"/>
            </w:tcMar>
            <w:tcW w:w="4818" w:type="dxa"/>
            <w:vAlign w:val="center"/>
            <w:textDirection w:val="lrTb"/>
            <w:noWrap w:val="false"/>
          </w:tcPr>
          <w:p>
            <w:pPr>
              <w:pStyle w:val="1085"/>
              <w:ind w:left="114"/>
              <w:keepLines w:val="0"/>
              <w:keepNext w:val="0"/>
              <w:spacing w:before="160" w:beforeAutospacing="0" w:after="80" w:afterAutospacing="0" w:line="218"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10-50亿元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含50亿元</w:t>
            </w:r>
            <w:r>
              <w:rPr>
                <w:rFonts w:hint="eastAsia" w:ascii="仿宋" w:hAnsi="仿宋" w:eastAsia="仿宋" w:cs="仿宋"/>
                <w:color w:val="auto"/>
                <w:sz w:val="24"/>
                <w:szCs w:val="24"/>
                <w:highlight w:val="none"/>
                <w:lang w:eastAsia="zh-CN"/>
              </w:rPr>
              <w:t xml:space="preserve">）</w:t>
            </w:r>
            <w:r/>
          </w:p>
        </w:tc>
        <w:tc>
          <w:tcPr>
            <w:shd w:val="clear" w:color="auto" w:fill="auto"/>
            <w:tcMar>
              <w:left w:w="108" w:type="dxa"/>
              <w:right w:w="108" w:type="dxa"/>
            </w:tcMar>
            <w:tcW w:w="1695" w:type="dxa"/>
            <w:vAlign w:val="center"/>
            <w:textDirection w:val="lrTb"/>
            <w:noWrap w:val="false"/>
          </w:tcPr>
          <w:p>
            <w:pPr>
              <w:pStyle w:val="1085"/>
              <w:ind w:left="87"/>
              <w:keepLines w:val="0"/>
              <w:keepNext w:val="0"/>
              <w:spacing w:before="239" w:beforeAutospacing="0" w:after="80" w:afterAutospacing="0" w:line="182"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0.01%</w:t>
            </w:r>
            <w:r/>
          </w:p>
        </w:tc>
      </w:tr>
      <w:tr>
        <w:trPr>
          <w:jc w:val="center"/>
          <w:tblCellSpacing w:w="0" w:type="dxa"/>
          <w:trHeight w:val="380"/>
        </w:trPr>
        <w:tc>
          <w:tcPr>
            <w:shd w:val="clear" w:color="auto" w:fill="auto"/>
            <w:tcMar>
              <w:left w:w="108" w:type="dxa"/>
              <w:right w:w="108" w:type="dxa"/>
            </w:tcMar>
            <w:tcW w:w="4818" w:type="dxa"/>
            <w:vAlign w:val="center"/>
            <w:textDirection w:val="lrTb"/>
            <w:noWrap w:val="false"/>
          </w:tcPr>
          <w:p>
            <w:pPr>
              <w:pStyle w:val="1085"/>
              <w:ind w:left="114"/>
              <w:keepLines w:val="0"/>
              <w:keepNext w:val="0"/>
              <w:spacing w:before="172" w:beforeAutospacing="0" w:after="80" w:afterAutospacing="0" w:line="218"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50亿元以上</w:t>
            </w:r>
            <w:r/>
          </w:p>
        </w:tc>
        <w:tc>
          <w:tcPr>
            <w:shd w:val="clear" w:color="auto" w:fill="auto"/>
            <w:tcMar>
              <w:left w:w="108" w:type="dxa"/>
              <w:right w:w="108" w:type="dxa"/>
            </w:tcMar>
            <w:tcW w:w="1695" w:type="dxa"/>
            <w:vAlign w:val="center"/>
            <w:textDirection w:val="lrTb"/>
            <w:noWrap w:val="false"/>
          </w:tcPr>
          <w:p>
            <w:pPr>
              <w:pStyle w:val="1085"/>
              <w:ind w:left="87"/>
              <w:keepLines w:val="0"/>
              <w:keepNext w:val="0"/>
              <w:spacing w:before="251" w:beforeAutospacing="0" w:after="80" w:afterAutospacing="0" w:line="182" w:lineRule="auto"/>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0.005%</w:t>
            </w:r>
            <w:r/>
          </w:p>
        </w:tc>
      </w:tr>
    </w:tbl>
    <w:p>
      <w:pPr>
        <w:ind w:firstLine="560"/>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 明 ：</w:t>
      </w:r>
      <w:r/>
    </w:p>
    <w:p>
      <w:pPr>
        <w:ind w:firstLine="560"/>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1.按上表计算的收费为代理服务全过程的收费金额。各社会代理机构不再收取采购文件制作售卖费用。</w:t>
      </w:r>
      <w:r/>
    </w:p>
    <w:p>
      <w:pPr>
        <w:ind w:firstLine="560"/>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2.代理服务费按差额定率累进法计算。</w:t>
      </w:r>
      <w:r/>
    </w:p>
    <w:p>
      <w:pPr>
        <w:ind w:firstLine="560"/>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3.代理服务费基准金额</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按差额定率累进法计算的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=中标金额</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按差额定率累进法计算的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*费率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ind w:firstLine="560"/>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4.代理服务费应收取金额=代理服务费基准金额</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按差额定率 累进法计算的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的合计数。</w:t>
      </w:r>
      <w:r/>
    </w:p>
    <w:p>
      <w:pPr>
        <w:ind w:firstLine="560"/>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5.定点类等无金额或事先不能计算出价格总额的项目，按中标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成交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金额100万元计算。</w:t>
      </w:r>
      <w:r/>
    </w:p>
    <w:p>
      <w:pPr>
        <w:ind w:firstLine="560"/>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6.本项目服务费按预算金额计算招标代理服务费。</w:t>
      </w:r>
      <w:r/>
    </w:p>
    <w:p>
      <w:pPr>
        <w:ind w:firstLine="560"/>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.有分包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分标段</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的按一个项目计算。</w:t>
      </w:r>
      <w:r/>
    </w:p>
    <w:p>
      <w:pPr>
        <w:ind w:firstLine="560"/>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8.该标准为自行约定服务费标准，代理服务费按以上标准的50% 收取。</w:t>
      </w:r>
      <w:r/>
    </w:p>
    <w:p>
      <w:pP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jc w:val="center"/>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1</w:t>
      </w:r>
      <w:r>
        <w:rPr>
          <w:rFonts w:hint="eastAsia" w:ascii="仿宋" w:hAnsi="仿宋" w:eastAsia="仿宋" w:cs="仿宋"/>
          <w:b/>
          <w:bCs/>
          <w:color w:val="auto"/>
          <w:sz w:val="36"/>
          <w:szCs w:val="36"/>
          <w:highlight w:val="none"/>
          <w:lang w:val="en-US" w:eastAsia="zh-CN"/>
        </w:rPr>
        <w:t xml:space="preserve">5</w:t>
      </w:r>
      <w:r>
        <w:rPr>
          <w:rFonts w:hint="eastAsia" w:ascii="仿宋" w:hAnsi="仿宋" w:eastAsia="仿宋" w:cs="仿宋"/>
          <w:b/>
          <w:bCs/>
          <w:color w:val="auto"/>
          <w:sz w:val="36"/>
          <w:szCs w:val="36"/>
          <w:highlight w:val="none"/>
        </w:rPr>
        <w:t xml:space="preserve">、预付款保函支付条款模板</w:t>
      </w:r>
      <w:r/>
    </w:p>
    <w:p>
      <w:pPr>
        <w:ind w:firstLine="565"/>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484"/>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符合条件一：提交预付款保函的</w:t>
      </w:r>
      <w:r/>
    </w:p>
    <w:p>
      <w:pPr>
        <w:ind w:firstLine="482"/>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（1）合同签订且乙方向甲方出具预付款保函后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     XX（   XX%），</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140" w:firstLine="482"/>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乙方需提交的支付文件：乙方出具的全额正式发票。</w:t>
      </w:r>
      <w:r/>
    </w:p>
    <w:p>
      <w:pPr>
        <w:ind w:left="140" w:firstLine="482"/>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（2）验收合格后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XX（    XX%），</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4"/>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w:t>
      </w:r>
      <w:r/>
    </w:p>
    <w:p>
      <w:pPr>
        <w:ind w:firstLine="484"/>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符合条件二：不提交预付款保函的</w:t>
      </w:r>
      <w:r/>
    </w:p>
    <w:p>
      <w:pPr>
        <w:ind w:firstLine="482"/>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（1）合同签订后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XX（    XX%），</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140" w:firstLine="482"/>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乙方需提交的支付文件：乙方出具的全额正式发票。</w:t>
      </w:r>
      <w:r/>
    </w:p>
    <w:p>
      <w:pPr>
        <w:ind w:left="140" w:firstLine="482"/>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（2）验收合格后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XX（    XX%），</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4"/>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w:t>
      </w:r>
      <w:r/>
    </w:p>
    <w:p>
      <w:pPr>
        <w:ind w:left="140" w:firstLine="484"/>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w:t>
      </w:r>
      <w:r/>
    </w:p>
    <w:p>
      <w:pPr>
        <w:ind w:left="140" w:firstLine="482"/>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1、付款条件一中，出具预付款保函后支付的合同款应当与保函金额一致。</w:t>
      </w:r>
      <w:r/>
    </w:p>
    <w:p>
      <w:pPr>
        <w:ind w:left="140" w:firstLine="482"/>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2、付款条件二中，预付款比例设定应符合《关于做好政府采购支持企业发展有关事项的通知》(苏财购〔2020〕52号)要求。</w:t>
      </w:r>
      <w:r/>
    </w:p>
    <w:p>
      <w:pPr>
        <w:pStyle w:val="1115"/>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仿宋">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40</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40</w:t>
                    </w:r>
                    <w:r>
                      <w:rPr>
                        <w:rFonts w:hint="eastAsia"/>
                        <w:sz w:val="18"/>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widowControl/>
      <w:rPr>
        <w:rStyle w:val="1310"/>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v:textbox>
            </v:shape>
          </w:pict>
        </mc:Fallback>
      </mc:AlternateContent>
    </w:r>
    <w:r>
      <w:rPr>
        <w:rStyle w:val="131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06"/>
                            <w:widowControl/>
                            <w:tabs>
                              <w:tab w:val="clear" w:pos="4153" w:leader="none"/>
                              <w:tab w:val="clear" w:pos="8306" w:leader="none"/>
                            </w:tabs>
                            <w:rPr>
                              <w:rStyle w:val="1310"/>
                              <w:sz w:val="18"/>
                              <w:szCs w:val="18"/>
                            </w:rPr>
                          </w:pPr>
                          <w:r>
                            <w:rPr>
                              <w:sz w:val="18"/>
                              <w:szCs w:val="18"/>
                            </w:rPr>
                          </w:r>
                          <w:r/>
                        </w:p>
                        <w:p>
                          <w:pPr>
                            <w:widowControl/>
                            <w:rPr>
                              <w:rStyle w:val="1310"/>
                            </w:rPr>
                          </w:pPr>
                          <w:r/>
                          <w:r/>
                        </w:p>
                        <w:p>
                          <w:r/>
                          <w:r/>
                        </w:p>
                        <w:p>
                          <w:r/>
                          <w:r/>
                        </w:p>
                      </w:txbxContent>
                    </wps:txbx>
                    <wps:bodyPr wrap="square" lIns="0" tIns="0" rIns="0" bIns="0" upright="1"/>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06"/>
                      <w:widowControl/>
                      <w:tabs>
                        <w:tab w:val="clear" w:pos="4153" w:leader="none"/>
                        <w:tab w:val="clear" w:pos="8306" w:leader="none"/>
                      </w:tabs>
                      <w:rPr>
                        <w:rStyle w:val="1310"/>
                        <w:sz w:val="18"/>
                        <w:szCs w:val="18"/>
                      </w:rPr>
                    </w:pPr>
                    <w:r>
                      <w:rPr>
                        <w:sz w:val="18"/>
                        <w:szCs w:val="18"/>
                      </w:rPr>
                    </w:r>
                    <w:r/>
                  </w:p>
                  <w:p>
                    <w:pPr>
                      <w:widowControl/>
                      <w:rPr>
                        <w:rStyle w:val="1310"/>
                      </w:rPr>
                    </w:p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310"/>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29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0" w:default="1">
    <w:name w:val="Normal"/>
    <w:next w:val="1062"/>
    <w:uiPriority w:val="0"/>
    <w:qFormat/>
    <w:pPr>
      <w:jc w:val="both"/>
      <w:widowControl w:val="off"/>
    </w:pPr>
    <w:rPr>
      <w:rFonts w:hint="default" w:ascii="Calibri" w:hAnsi="Calibri" w:eastAsia="宋体" w:cs="Times New Roman"/>
      <w:sz w:val="21"/>
      <w:szCs w:val="24"/>
      <w:lang w:val="en-US" w:eastAsia="zh-CN" w:bidi="ar-SA"/>
    </w:rPr>
  </w:style>
  <w:style w:type="paragraph" w:styleId="1051">
    <w:name w:val="Heading 1"/>
    <w:basedOn w:val="1050"/>
    <w:next w:val="1050"/>
    <w:link w:val="1159"/>
    <w:uiPriority w:val="9"/>
    <w:qFormat/>
    <w:pPr>
      <w:keepLines/>
      <w:keepNext/>
      <w:spacing w:before="480" w:after="200"/>
      <w:outlineLvl w:val="0"/>
    </w:pPr>
    <w:rPr>
      <w:rFonts w:ascii="Arial" w:hAnsi="Arial" w:eastAsia="Arial" w:cs="Arial"/>
      <w:sz w:val="40"/>
      <w:szCs w:val="40"/>
    </w:rPr>
  </w:style>
  <w:style w:type="paragraph" w:styleId="1052">
    <w:name w:val="Heading 2"/>
    <w:basedOn w:val="1050"/>
    <w:next w:val="1050"/>
    <w:link w:val="1160"/>
    <w:uiPriority w:val="9"/>
    <w:unhideWhenUsed/>
    <w:qFormat/>
    <w:pPr>
      <w:keepLines/>
      <w:keepNext/>
      <w:spacing w:before="360" w:after="200"/>
      <w:outlineLvl w:val="1"/>
    </w:pPr>
    <w:rPr>
      <w:rFonts w:ascii="Arial" w:hAnsi="Arial" w:eastAsia="Arial" w:cs="Arial"/>
      <w:sz w:val="34"/>
    </w:rPr>
  </w:style>
  <w:style w:type="paragraph" w:styleId="1053">
    <w:name w:val="Heading 3"/>
    <w:basedOn w:val="1050"/>
    <w:next w:val="1050"/>
    <w:link w:val="1161"/>
    <w:uiPriority w:val="9"/>
    <w:unhideWhenUsed/>
    <w:qFormat/>
    <w:pPr>
      <w:keepLines/>
      <w:keepNext/>
      <w:spacing w:before="320" w:after="200"/>
      <w:outlineLvl w:val="2"/>
    </w:pPr>
    <w:rPr>
      <w:rFonts w:ascii="Arial" w:hAnsi="Arial" w:eastAsia="Arial" w:cs="Arial"/>
      <w:sz w:val="30"/>
      <w:szCs w:val="30"/>
    </w:rPr>
  </w:style>
  <w:style w:type="paragraph" w:styleId="1054">
    <w:name w:val="Heading 4"/>
    <w:basedOn w:val="1050"/>
    <w:next w:val="1050"/>
    <w:link w:val="1162"/>
    <w:uiPriority w:val="9"/>
    <w:unhideWhenUsed/>
    <w:qFormat/>
    <w:pPr>
      <w:keepLines/>
      <w:keepNext/>
      <w:spacing w:before="320" w:after="200"/>
      <w:outlineLvl w:val="3"/>
    </w:pPr>
    <w:rPr>
      <w:rFonts w:ascii="Arial" w:hAnsi="Arial" w:eastAsia="Arial" w:cs="Arial"/>
      <w:b/>
      <w:bCs/>
      <w:sz w:val="26"/>
      <w:szCs w:val="26"/>
    </w:rPr>
  </w:style>
  <w:style w:type="paragraph" w:styleId="1055">
    <w:name w:val="Heading 5"/>
    <w:basedOn w:val="1050"/>
    <w:next w:val="1050"/>
    <w:link w:val="1163"/>
    <w:uiPriority w:val="9"/>
    <w:unhideWhenUsed/>
    <w:qFormat/>
    <w:pPr>
      <w:keepLines/>
      <w:keepNext/>
      <w:spacing w:before="320" w:after="200"/>
      <w:outlineLvl w:val="4"/>
    </w:pPr>
    <w:rPr>
      <w:rFonts w:ascii="Arial" w:hAnsi="Arial" w:eastAsia="Arial" w:cs="Arial"/>
      <w:b/>
      <w:bCs/>
      <w:sz w:val="24"/>
    </w:rPr>
  </w:style>
  <w:style w:type="paragraph" w:styleId="1056">
    <w:name w:val="Heading 6"/>
    <w:basedOn w:val="1050"/>
    <w:next w:val="1050"/>
    <w:link w:val="1164"/>
    <w:uiPriority w:val="9"/>
    <w:unhideWhenUsed/>
    <w:qFormat/>
    <w:pPr>
      <w:keepLines/>
      <w:keepNext/>
      <w:spacing w:before="320" w:after="200"/>
      <w:outlineLvl w:val="5"/>
    </w:pPr>
    <w:rPr>
      <w:rFonts w:ascii="Arial" w:hAnsi="Arial" w:eastAsia="Arial" w:cs="Arial"/>
      <w:b/>
      <w:bCs/>
      <w:sz w:val="22"/>
      <w:szCs w:val="22"/>
    </w:rPr>
  </w:style>
  <w:style w:type="paragraph" w:styleId="1057">
    <w:name w:val="Heading 7"/>
    <w:basedOn w:val="1050"/>
    <w:next w:val="1050"/>
    <w:link w:val="1165"/>
    <w:uiPriority w:val="9"/>
    <w:unhideWhenUsed/>
    <w:qFormat/>
    <w:pPr>
      <w:keepLines/>
      <w:keepNext/>
      <w:spacing w:before="320" w:after="200"/>
      <w:outlineLvl w:val="6"/>
    </w:pPr>
    <w:rPr>
      <w:rFonts w:ascii="Arial" w:hAnsi="Arial" w:eastAsia="Arial" w:cs="Arial"/>
      <w:b/>
      <w:bCs/>
      <w:i/>
      <w:iCs/>
      <w:sz w:val="22"/>
      <w:szCs w:val="22"/>
    </w:rPr>
  </w:style>
  <w:style w:type="paragraph" w:styleId="1058">
    <w:name w:val="Heading 8"/>
    <w:basedOn w:val="1050"/>
    <w:next w:val="1050"/>
    <w:link w:val="1166"/>
    <w:uiPriority w:val="9"/>
    <w:unhideWhenUsed/>
    <w:qFormat/>
    <w:pPr>
      <w:keepLines/>
      <w:keepNext/>
      <w:spacing w:before="320" w:after="200"/>
      <w:outlineLvl w:val="7"/>
    </w:pPr>
    <w:rPr>
      <w:rFonts w:ascii="Arial" w:hAnsi="Arial" w:eastAsia="Arial" w:cs="Arial"/>
      <w:i/>
      <w:iCs/>
      <w:sz w:val="22"/>
      <w:szCs w:val="22"/>
    </w:rPr>
  </w:style>
  <w:style w:type="paragraph" w:styleId="1059">
    <w:name w:val="Heading 9"/>
    <w:basedOn w:val="1050"/>
    <w:next w:val="1050"/>
    <w:link w:val="1167"/>
    <w:uiPriority w:val="9"/>
    <w:unhideWhenUsed/>
    <w:qFormat/>
    <w:pPr>
      <w:keepLines/>
      <w:keepNext/>
      <w:spacing w:before="320" w:after="200"/>
      <w:outlineLvl w:val="8"/>
    </w:pPr>
    <w:rPr>
      <w:rFonts w:ascii="Arial" w:hAnsi="Arial" w:eastAsia="Arial" w:cs="Arial"/>
      <w:i/>
      <w:iCs/>
      <w:szCs w:val="21"/>
    </w:rPr>
  </w:style>
  <w:style w:type="character" w:styleId="1060" w:default="1">
    <w:name w:val="Default Paragraph Font"/>
    <w:uiPriority w:val="1"/>
    <w:semiHidden/>
    <w:unhideWhenUsed/>
    <w:qFormat/>
  </w:style>
  <w:style w:type="table" w:styleId="1061" w:default="1">
    <w:name w:val="Normal Table"/>
    <w:uiPriority w:val="99"/>
    <w:semiHidden/>
    <w:unhideWhenUsed/>
    <w:qFormat/>
    <w:tblPr>
      <w:tblCellMar>
        <w:left w:w="108" w:type="dxa"/>
        <w:top w:w="0" w:type="dxa"/>
        <w:right w:w="108" w:type="dxa"/>
        <w:bottom w:w="0" w:type="dxa"/>
      </w:tblCellMar>
    </w:tblPr>
  </w:style>
  <w:style w:type="paragraph" w:styleId="1062" w:customStyle="1">
    <w:name w:val="正文首行缩进1"/>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1063">
    <w:name w:val="toc 7"/>
    <w:basedOn w:val="1050"/>
    <w:next w:val="1050"/>
    <w:uiPriority w:val="39"/>
    <w:unhideWhenUsed/>
    <w:qFormat/>
    <w:pPr>
      <w:ind w:left="1701"/>
      <w:spacing w:after="57"/>
    </w:pPr>
  </w:style>
  <w:style w:type="paragraph" w:styleId="1064">
    <w:name w:val="Caption"/>
    <w:basedOn w:val="1050"/>
    <w:next w:val="105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65">
    <w:name w:val="annotation text"/>
    <w:basedOn w:val="1050"/>
    <w:link w:val="1315"/>
    <w:uiPriority w:val="99"/>
    <w:semiHidden/>
    <w:unhideWhenUsed/>
    <w:qFormat/>
    <w:pPr>
      <w:jc w:val="left"/>
    </w:pPr>
  </w:style>
  <w:style w:type="paragraph" w:styleId="1066">
    <w:name w:val="Body Text"/>
    <w:basedOn w:val="1050"/>
    <w:link w:val="1312"/>
    <w:uiPriority w:val="0"/>
    <w:qFormat/>
    <w:pPr>
      <w:ind w:left="72" w:right="30"/>
      <w:jc w:val="center"/>
      <w:spacing w:after="60" w:line="360" w:lineRule="atLeast"/>
    </w:pPr>
    <w:rPr>
      <w:rFonts w:ascii="Times New Roman" w:hAnsi="Times New Roman"/>
      <w:sz w:val="20"/>
      <w:szCs w:val="20"/>
    </w:rPr>
  </w:style>
  <w:style w:type="paragraph" w:styleId="1067">
    <w:name w:val="Block Text"/>
    <w:basedOn w:val="1050"/>
    <w:uiPriority w:val="0"/>
    <w:qFormat/>
    <w:pPr>
      <w:ind w:left="256" w:right="6" w:firstLine="624"/>
    </w:pPr>
    <w:rPr>
      <w:rFonts w:eastAsia="仿宋"/>
      <w:sz w:val="28"/>
      <w:szCs w:val="20"/>
    </w:rPr>
  </w:style>
  <w:style w:type="paragraph" w:styleId="1068">
    <w:name w:val="toc 5"/>
    <w:basedOn w:val="1050"/>
    <w:next w:val="1050"/>
    <w:uiPriority w:val="39"/>
    <w:unhideWhenUsed/>
    <w:qFormat/>
    <w:pPr>
      <w:ind w:left="1134"/>
      <w:spacing w:after="57"/>
    </w:pPr>
  </w:style>
  <w:style w:type="paragraph" w:styleId="1069">
    <w:name w:val="toc 3"/>
    <w:basedOn w:val="1050"/>
    <w:next w:val="1050"/>
    <w:uiPriority w:val="39"/>
    <w:unhideWhenUsed/>
    <w:qFormat/>
    <w:pPr>
      <w:ind w:left="567"/>
      <w:spacing w:after="57"/>
    </w:pPr>
  </w:style>
  <w:style w:type="paragraph" w:styleId="1070">
    <w:name w:val="Plain Text"/>
    <w:basedOn w:val="1050"/>
    <w:next w:val="1050"/>
    <w:uiPriority w:val="0"/>
    <w:qFormat/>
    <w:rPr>
      <w:rFonts w:hint="eastAsia" w:ascii="宋体" w:hAnsi="Courier New" w:eastAsia="仿宋_GB2312"/>
      <w:sz w:val="30"/>
      <w:szCs w:val="20"/>
    </w:rPr>
  </w:style>
  <w:style w:type="paragraph" w:styleId="1071">
    <w:name w:val="toc 8"/>
    <w:basedOn w:val="1050"/>
    <w:next w:val="1050"/>
    <w:uiPriority w:val="39"/>
    <w:unhideWhenUsed/>
    <w:qFormat/>
    <w:pPr>
      <w:ind w:left="1984"/>
      <w:spacing w:after="57"/>
    </w:pPr>
  </w:style>
  <w:style w:type="paragraph" w:styleId="1072">
    <w:name w:val="Date"/>
    <w:basedOn w:val="1050"/>
    <w:next w:val="1050"/>
    <w:uiPriority w:val="0"/>
    <w:unhideWhenUsed/>
    <w:qFormat/>
    <w:rPr>
      <w:rFonts w:ascii="宋体" w:hAnsi="Times New Roman"/>
    </w:rPr>
  </w:style>
  <w:style w:type="paragraph" w:styleId="1073">
    <w:name w:val="endnote text"/>
    <w:basedOn w:val="1050"/>
    <w:link w:val="1286"/>
    <w:uiPriority w:val="99"/>
    <w:semiHidden/>
    <w:unhideWhenUsed/>
    <w:qFormat/>
    <w:rPr>
      <w:sz w:val="20"/>
    </w:rPr>
  </w:style>
  <w:style w:type="paragraph" w:styleId="1074">
    <w:name w:val="Balloon Text"/>
    <w:basedOn w:val="1050"/>
    <w:link w:val="1314"/>
    <w:uiPriority w:val="99"/>
    <w:semiHidden/>
    <w:unhideWhenUsed/>
    <w:qFormat/>
    <w:rPr>
      <w:sz w:val="18"/>
      <w:szCs w:val="18"/>
    </w:rPr>
  </w:style>
  <w:style w:type="paragraph" w:styleId="1075">
    <w:name w:val="Footer"/>
    <w:basedOn w:val="1050"/>
    <w:link w:val="1178"/>
    <w:uiPriority w:val="99"/>
    <w:unhideWhenUsed/>
    <w:qFormat/>
    <w:pPr>
      <w:tabs>
        <w:tab w:val="center" w:pos="7143" w:leader="none"/>
        <w:tab w:val="right" w:pos="14287" w:leader="none"/>
      </w:tabs>
    </w:pPr>
  </w:style>
  <w:style w:type="paragraph" w:styleId="1076">
    <w:name w:val="Header"/>
    <w:basedOn w:val="1050"/>
    <w:link w:val="1176"/>
    <w:uiPriority w:val="99"/>
    <w:unhideWhenUsed/>
    <w:qFormat/>
    <w:pPr>
      <w:tabs>
        <w:tab w:val="center" w:pos="7143" w:leader="none"/>
        <w:tab w:val="right" w:pos="14287" w:leader="none"/>
      </w:tabs>
    </w:pPr>
  </w:style>
  <w:style w:type="paragraph" w:styleId="1077">
    <w:name w:val="toc 1"/>
    <w:basedOn w:val="1050"/>
    <w:next w:val="1050"/>
    <w:uiPriority w:val="39"/>
    <w:unhideWhenUsed/>
    <w:qFormat/>
    <w:pPr>
      <w:spacing w:after="57"/>
    </w:pPr>
  </w:style>
  <w:style w:type="paragraph" w:styleId="1078">
    <w:name w:val="toc 4"/>
    <w:basedOn w:val="1050"/>
    <w:next w:val="1050"/>
    <w:uiPriority w:val="39"/>
    <w:unhideWhenUsed/>
    <w:qFormat/>
    <w:pPr>
      <w:ind w:left="850"/>
      <w:spacing w:after="57"/>
    </w:pPr>
  </w:style>
  <w:style w:type="paragraph" w:styleId="1079">
    <w:name w:val="Subtitle"/>
    <w:basedOn w:val="1050"/>
    <w:next w:val="1050"/>
    <w:link w:val="1171"/>
    <w:uiPriority w:val="11"/>
    <w:qFormat/>
    <w:pPr>
      <w:spacing w:before="200" w:after="200"/>
    </w:pPr>
    <w:rPr>
      <w:sz w:val="24"/>
    </w:rPr>
  </w:style>
  <w:style w:type="paragraph" w:styleId="1080">
    <w:name w:val="footnote text"/>
    <w:basedOn w:val="1050"/>
    <w:link w:val="1285"/>
    <w:uiPriority w:val="99"/>
    <w:semiHidden/>
    <w:unhideWhenUsed/>
    <w:qFormat/>
    <w:pPr>
      <w:spacing w:after="40"/>
    </w:pPr>
    <w:rPr>
      <w:sz w:val="18"/>
    </w:rPr>
  </w:style>
  <w:style w:type="paragraph" w:styleId="1081">
    <w:name w:val="toc 6"/>
    <w:basedOn w:val="1050"/>
    <w:next w:val="1050"/>
    <w:uiPriority w:val="39"/>
    <w:unhideWhenUsed/>
    <w:qFormat/>
    <w:pPr>
      <w:ind w:left="1417"/>
      <w:spacing w:after="57"/>
    </w:pPr>
  </w:style>
  <w:style w:type="paragraph" w:styleId="1082">
    <w:name w:val="table of figures"/>
    <w:basedOn w:val="1050"/>
    <w:next w:val="1050"/>
    <w:uiPriority w:val="99"/>
    <w:unhideWhenUsed/>
    <w:qFormat/>
  </w:style>
  <w:style w:type="paragraph" w:styleId="1083">
    <w:name w:val="toc 2"/>
    <w:basedOn w:val="1050"/>
    <w:next w:val="1050"/>
    <w:uiPriority w:val="39"/>
    <w:unhideWhenUsed/>
    <w:qFormat/>
    <w:pPr>
      <w:ind w:left="283"/>
      <w:spacing w:after="57"/>
    </w:pPr>
  </w:style>
  <w:style w:type="paragraph" w:styleId="1084">
    <w:name w:val="toc 9"/>
    <w:basedOn w:val="1050"/>
    <w:next w:val="1050"/>
    <w:uiPriority w:val="39"/>
    <w:unhideWhenUsed/>
    <w:qFormat/>
    <w:pPr>
      <w:ind w:left="2268"/>
      <w:spacing w:after="57"/>
    </w:pPr>
  </w:style>
  <w:style w:type="paragraph" w:styleId="1085">
    <w:name w:val="Normal (Web)"/>
    <w:basedOn w:val="1050"/>
    <w:uiPriority w:val="0"/>
    <w:unhideWhenUsed/>
    <w:qFormat/>
    <w:pPr>
      <w:jc w:val="left"/>
      <w:spacing w:before="100" w:beforeAutospacing="1" w:after="100" w:afterAutospacing="1"/>
      <w:widowControl/>
    </w:pPr>
    <w:rPr>
      <w:rFonts w:ascii="宋体" w:hAnsi="宋体" w:cs="宋体"/>
      <w:sz w:val="24"/>
    </w:rPr>
  </w:style>
  <w:style w:type="paragraph" w:styleId="1086">
    <w:name w:val="Title"/>
    <w:basedOn w:val="1050"/>
    <w:next w:val="1050"/>
    <w:link w:val="1170"/>
    <w:uiPriority w:val="10"/>
    <w:qFormat/>
    <w:pPr>
      <w:contextualSpacing/>
      <w:spacing w:before="300" w:after="200"/>
    </w:pPr>
    <w:rPr>
      <w:sz w:val="48"/>
      <w:szCs w:val="48"/>
    </w:rPr>
  </w:style>
  <w:style w:type="paragraph" w:styleId="1087">
    <w:name w:val="annotation subject"/>
    <w:basedOn w:val="1065"/>
    <w:next w:val="1065"/>
    <w:link w:val="1316"/>
    <w:uiPriority w:val="99"/>
    <w:semiHidden/>
    <w:unhideWhenUsed/>
    <w:qFormat/>
    <w:rPr>
      <w:b/>
      <w:bCs/>
    </w:rPr>
  </w:style>
  <w:style w:type="table" w:styleId="1088">
    <w:name w:val="Table Grid"/>
    <w:basedOn w:val="10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9">
    <w:name w:val="endnote reference"/>
    <w:basedOn w:val="1060"/>
    <w:uiPriority w:val="99"/>
    <w:semiHidden/>
    <w:unhideWhenUsed/>
    <w:qFormat/>
    <w:rPr>
      <w:vertAlign w:val="superscript"/>
    </w:rPr>
  </w:style>
  <w:style w:type="character" w:styleId="1090">
    <w:name w:val="Hyperlink"/>
    <w:uiPriority w:val="99"/>
    <w:unhideWhenUsed/>
    <w:qFormat/>
    <w:rPr>
      <w:color w:val="0563c1" w:themeColor="hyperlink"/>
      <w:u w:val="single"/>
      <w14:textFill>
        <w14:solidFill>
          <w14:schemeClr w14:val="hlink"/>
        </w14:solidFill>
      </w14:textFill>
    </w:rPr>
  </w:style>
  <w:style w:type="character" w:styleId="1091">
    <w:name w:val="annotation reference"/>
    <w:basedOn w:val="1060"/>
    <w:uiPriority w:val="99"/>
    <w:semiHidden/>
    <w:unhideWhenUsed/>
    <w:qFormat/>
    <w:rPr>
      <w:sz w:val="21"/>
      <w:szCs w:val="21"/>
    </w:rPr>
  </w:style>
  <w:style w:type="character" w:styleId="1092">
    <w:name w:val="footnote reference"/>
    <w:basedOn w:val="1060"/>
    <w:uiPriority w:val="99"/>
    <w:unhideWhenUsed/>
    <w:qFormat/>
    <w:rPr>
      <w:vertAlign w:val="superscript"/>
    </w:rPr>
  </w:style>
  <w:style w:type="table" w:styleId="1093" w:customStyle="1">
    <w:name w:val="Plain Table 1"/>
    <w:basedOn w:val="10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4" w:customStyle="1">
    <w:name w:val="Plain Table 2"/>
    <w:basedOn w:val="10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5" w:customStyle="1">
    <w:name w:val="Plain Table 3"/>
    <w:basedOn w:val="10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6" w:customStyle="1">
    <w:name w:val="Plain Table 4"/>
    <w:basedOn w:val="10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7" w:customStyle="1">
    <w:name w:val="Plain Table 5"/>
    <w:basedOn w:val="10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8" w:customStyle="1">
    <w:name w:val="Grid Table 1 Light"/>
    <w:basedOn w:val="10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9" w:customStyle="1">
    <w:name w:val="Grid Table 2"/>
    <w:basedOn w:val="10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0" w:customStyle="1">
    <w:name w:val="Grid Table 3"/>
    <w:basedOn w:val="10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4"/>
    <w:basedOn w:val="10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2" w:customStyle="1">
    <w:name w:val="Grid Table 5 Dark"/>
    <w:basedOn w:val="10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3" w:customStyle="1">
    <w:name w:val="Grid Table 6 Colorful"/>
    <w:basedOn w:val="10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4" w:customStyle="1">
    <w:name w:val="Grid Table 7 Colorful"/>
    <w:basedOn w:val="10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5" w:customStyle="1">
    <w:name w:val="List Table 1 Light"/>
    <w:basedOn w:val="10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6" w:customStyle="1">
    <w:name w:val="List Table 2"/>
    <w:basedOn w:val="10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7" w:customStyle="1">
    <w:name w:val="List Table 3"/>
    <w:basedOn w:val="10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8" w:customStyle="1">
    <w:name w:val="List Table 4"/>
    <w:basedOn w:val="10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9" w:customStyle="1">
    <w:name w:val="List Table 5 Dark"/>
    <w:basedOn w:val="10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6 Colorful"/>
    <w:basedOn w:val="10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1" w:customStyle="1">
    <w:name w:val="List Table 7 Colorful"/>
    <w:basedOn w:val="10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12" w:customStyle="1">
    <w:name w:val="TOC Heading"/>
    <w:uiPriority w:val="39"/>
    <w:unhideWhenUsed/>
    <w:qFormat/>
    <w:rPr>
      <w:rFonts w:hint="default" w:ascii="Times New Roman" w:hAnsi="Times New Roman" w:eastAsia="宋体" w:cs="Times New Roman"/>
    </w:rPr>
  </w:style>
  <w:style w:type="paragraph" w:styleId="1113" w:customStyle="1">
    <w:name w:val="正文文本11"/>
    <w:basedOn w:val="1050"/>
    <w:next w:val="1114"/>
    <w:uiPriority w:val="0"/>
    <w:qFormat/>
    <w:pPr>
      <w:spacing w:after="120"/>
    </w:pPr>
  </w:style>
  <w:style w:type="paragraph" w:styleId="1114" w:customStyle="1">
    <w:name w:val="正文111"/>
    <w:next w:val="11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正文文本缩进1"/>
    <w:basedOn w:val="1116"/>
    <w:next w:val="1120"/>
    <w:uiPriority w:val="0"/>
    <w:qFormat/>
    <w:pPr>
      <w:ind w:left="420"/>
      <w:spacing w:after="120"/>
    </w:pPr>
  </w:style>
  <w:style w:type="paragraph" w:styleId="1116" w:customStyle="1">
    <w:name w:val="正文1"/>
    <w:next w:val="1117"/>
    <w:uiPriority w:val="0"/>
    <w:qFormat/>
    <w:pPr>
      <w:jc w:val="both"/>
      <w:widowControl w:val="off"/>
    </w:pPr>
    <w:rPr>
      <w:rFonts w:hint="default" w:ascii="Calibri" w:hAnsi="Calibri" w:eastAsia="宋体" w:cs="Times New Roman"/>
      <w:sz w:val="21"/>
      <w:szCs w:val="24"/>
      <w:lang w:val="en-US" w:eastAsia="zh-CN" w:bidi="ar-SA"/>
    </w:rPr>
  </w:style>
  <w:style w:type="paragraph" w:styleId="1117" w:customStyle="1">
    <w:name w:val="目录 11"/>
    <w:basedOn w:val="1118"/>
    <w:next w:val="1118"/>
    <w:uiPriority w:val="39"/>
    <w:unhideWhenUsed/>
    <w:qFormat/>
    <w:pPr>
      <w:jc w:val="left"/>
      <w:spacing w:after="100" w:line="259" w:lineRule="auto"/>
      <w:widowControl/>
    </w:pPr>
    <w:rPr>
      <w:rFonts w:ascii="Calibri" w:hAnsi="Calibri"/>
      <w:sz w:val="22"/>
      <w:szCs w:val="22"/>
    </w:rPr>
  </w:style>
  <w:style w:type="paragraph" w:styleId="1118" w:customStyle="1">
    <w:name w:val="正文12"/>
    <w:next w:val="11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9" w:customStyle="1">
    <w:name w:val="正文文本111"/>
    <w:next w:val="111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20" w:customStyle="1">
    <w:name w:val="寄信人地址1"/>
    <w:basedOn w:val="1050"/>
    <w:uiPriority w:val="0"/>
    <w:qFormat/>
    <w:rPr>
      <w:rFonts w:ascii="Arial" w:hAnsi="Arial"/>
    </w:rPr>
  </w:style>
  <w:style w:type="table" w:styleId="1121" w:customStyle="1">
    <w:name w:val="无格式表格 11"/>
    <w:basedOn w:val="10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2" w:customStyle="1">
    <w:name w:val="无格式表格 21"/>
    <w:basedOn w:val="10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3" w:customStyle="1">
    <w:name w:val="无格式表格 31"/>
    <w:basedOn w:val="106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4" w:customStyle="1">
    <w:name w:val="无格式表格 41"/>
    <w:basedOn w:val="106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5" w:customStyle="1">
    <w:name w:val="无格式表格 51"/>
    <w:basedOn w:val="106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6" w:customStyle="1">
    <w:name w:val="网格表 1 浅色1"/>
    <w:basedOn w:val="10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7" w:customStyle="1">
    <w:name w:val="网格表 21"/>
    <w:basedOn w:val="10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8" w:customStyle="1">
    <w:name w:val="网格表 31"/>
    <w:basedOn w:val="10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网格表 41"/>
    <w:basedOn w:val="10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0" w:customStyle="1">
    <w:name w:val="网格表 5 深色1"/>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1" w:customStyle="1">
    <w:name w:val="网格表 6 彩色1"/>
    <w:basedOn w:val="10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2" w:customStyle="1">
    <w:name w:val="网格表 7 彩色1"/>
    <w:basedOn w:val="10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3" w:customStyle="1">
    <w:name w:val="清单表 1 浅色1"/>
    <w:basedOn w:val="106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4" w:customStyle="1">
    <w:name w:val="清单表 21"/>
    <w:basedOn w:val="10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5" w:customStyle="1">
    <w:name w:val="清单表 31"/>
    <w:basedOn w:val="10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6" w:customStyle="1">
    <w:name w:val="清单表 41"/>
    <w:basedOn w:val="10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7" w:customStyle="1">
    <w:name w:val="清单表 5 深色1"/>
    <w:basedOn w:val="10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清单表 6 彩色1"/>
    <w:basedOn w:val="106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9" w:customStyle="1">
    <w:name w:val="清单表 7 彩色1"/>
    <w:basedOn w:val="106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40" w:customStyle="1">
    <w:name w:val="TOC 标题1"/>
    <w:uiPriority w:val="39"/>
    <w:unhideWhenUsed/>
    <w:qFormat/>
    <w:rPr>
      <w:rFonts w:hint="default" w:ascii="Times New Roman" w:hAnsi="Times New Roman" w:eastAsia="宋体" w:cs="Times New Roman"/>
      <w:lang w:val="en-US" w:eastAsia="zh-CN" w:bidi="ar-SA"/>
    </w:rPr>
  </w:style>
  <w:style w:type="character" w:styleId="1141" w:customStyle="1">
    <w:name w:val="Heading 1 Char"/>
    <w:basedOn w:val="1060"/>
    <w:uiPriority w:val="9"/>
    <w:qFormat/>
    <w:rPr>
      <w:rFonts w:ascii="Arial" w:hAnsi="Arial" w:eastAsia="Arial" w:cs="Arial"/>
      <w:sz w:val="40"/>
      <w:szCs w:val="40"/>
    </w:rPr>
  </w:style>
  <w:style w:type="character" w:styleId="1142" w:customStyle="1">
    <w:name w:val="Heading 2 Char"/>
    <w:basedOn w:val="1060"/>
    <w:uiPriority w:val="9"/>
    <w:qFormat/>
    <w:rPr>
      <w:rFonts w:ascii="Arial" w:hAnsi="Arial" w:eastAsia="Arial" w:cs="Arial"/>
      <w:sz w:val="34"/>
    </w:rPr>
  </w:style>
  <w:style w:type="character" w:styleId="1143" w:customStyle="1">
    <w:name w:val="Heading 3 Char"/>
    <w:basedOn w:val="1060"/>
    <w:uiPriority w:val="9"/>
    <w:qFormat/>
    <w:rPr>
      <w:rFonts w:ascii="Arial" w:hAnsi="Arial" w:eastAsia="Arial" w:cs="Arial"/>
      <w:sz w:val="30"/>
      <w:szCs w:val="30"/>
    </w:rPr>
  </w:style>
  <w:style w:type="character" w:styleId="1144" w:customStyle="1">
    <w:name w:val="Heading 4 Char"/>
    <w:basedOn w:val="1060"/>
    <w:uiPriority w:val="9"/>
    <w:qFormat/>
    <w:rPr>
      <w:rFonts w:ascii="Arial" w:hAnsi="Arial" w:eastAsia="Arial" w:cs="Arial"/>
      <w:b/>
      <w:bCs/>
      <w:sz w:val="26"/>
      <w:szCs w:val="26"/>
    </w:rPr>
  </w:style>
  <w:style w:type="character" w:styleId="1145" w:customStyle="1">
    <w:name w:val="Heading 5 Char"/>
    <w:basedOn w:val="1060"/>
    <w:uiPriority w:val="9"/>
    <w:qFormat/>
    <w:rPr>
      <w:rFonts w:ascii="Arial" w:hAnsi="Arial" w:eastAsia="Arial" w:cs="Arial"/>
      <w:b/>
      <w:bCs/>
      <w:sz w:val="24"/>
      <w:szCs w:val="24"/>
    </w:rPr>
  </w:style>
  <w:style w:type="character" w:styleId="1146" w:customStyle="1">
    <w:name w:val="Heading 6 Char"/>
    <w:basedOn w:val="1060"/>
    <w:uiPriority w:val="9"/>
    <w:qFormat/>
    <w:rPr>
      <w:rFonts w:ascii="Arial" w:hAnsi="Arial" w:eastAsia="Arial" w:cs="Arial"/>
      <w:b/>
      <w:bCs/>
      <w:sz w:val="22"/>
      <w:szCs w:val="22"/>
    </w:rPr>
  </w:style>
  <w:style w:type="character" w:styleId="1147" w:customStyle="1">
    <w:name w:val="Heading 7 Char"/>
    <w:basedOn w:val="1060"/>
    <w:uiPriority w:val="9"/>
    <w:qFormat/>
    <w:rPr>
      <w:rFonts w:ascii="Arial" w:hAnsi="Arial" w:eastAsia="Arial" w:cs="Arial"/>
      <w:b/>
      <w:bCs/>
      <w:i/>
      <w:iCs/>
      <w:sz w:val="22"/>
      <w:szCs w:val="22"/>
    </w:rPr>
  </w:style>
  <w:style w:type="character" w:styleId="1148" w:customStyle="1">
    <w:name w:val="Heading 8 Char"/>
    <w:basedOn w:val="1060"/>
    <w:uiPriority w:val="9"/>
    <w:qFormat/>
    <w:rPr>
      <w:rFonts w:ascii="Arial" w:hAnsi="Arial" w:eastAsia="Arial" w:cs="Arial"/>
      <w:i/>
      <w:iCs/>
      <w:sz w:val="22"/>
      <w:szCs w:val="22"/>
    </w:rPr>
  </w:style>
  <w:style w:type="character" w:styleId="1149" w:customStyle="1">
    <w:name w:val="Heading 9 Char"/>
    <w:basedOn w:val="1060"/>
    <w:uiPriority w:val="9"/>
    <w:qFormat/>
    <w:rPr>
      <w:rFonts w:ascii="Arial" w:hAnsi="Arial" w:eastAsia="Arial" w:cs="Arial"/>
      <w:i/>
      <w:iCs/>
      <w:sz w:val="21"/>
      <w:szCs w:val="21"/>
    </w:rPr>
  </w:style>
  <w:style w:type="character" w:styleId="1150" w:customStyle="1">
    <w:name w:val="Title Char"/>
    <w:basedOn w:val="1060"/>
    <w:uiPriority w:val="10"/>
    <w:qFormat/>
    <w:rPr>
      <w:sz w:val="48"/>
      <w:szCs w:val="48"/>
    </w:rPr>
  </w:style>
  <w:style w:type="character" w:styleId="1151" w:customStyle="1">
    <w:name w:val="Subtitle Char"/>
    <w:basedOn w:val="1060"/>
    <w:uiPriority w:val="11"/>
    <w:qFormat/>
    <w:rPr>
      <w:sz w:val="24"/>
      <w:szCs w:val="24"/>
    </w:rPr>
  </w:style>
  <w:style w:type="character" w:styleId="1152" w:customStyle="1">
    <w:name w:val="Quote Char"/>
    <w:uiPriority w:val="29"/>
    <w:qFormat/>
    <w:rPr>
      <w:i/>
    </w:rPr>
  </w:style>
  <w:style w:type="character" w:styleId="1153" w:customStyle="1">
    <w:name w:val="Intense Quote Char"/>
    <w:uiPriority w:val="30"/>
    <w:qFormat/>
    <w:rPr>
      <w:i/>
    </w:rPr>
  </w:style>
  <w:style w:type="character" w:styleId="1154" w:customStyle="1">
    <w:name w:val="Header Char"/>
    <w:basedOn w:val="1060"/>
    <w:uiPriority w:val="99"/>
    <w:qFormat/>
  </w:style>
  <w:style w:type="character" w:styleId="1155" w:customStyle="1">
    <w:name w:val="Caption Char"/>
    <w:uiPriority w:val="99"/>
    <w:qFormat/>
  </w:style>
  <w:style w:type="character" w:styleId="1156" w:customStyle="1">
    <w:name w:val="Footnote Text Char"/>
    <w:uiPriority w:val="99"/>
    <w:qFormat/>
    <w:rPr>
      <w:sz w:val="18"/>
    </w:rPr>
  </w:style>
  <w:style w:type="character" w:styleId="1157" w:customStyle="1">
    <w:name w:val="Endnote Text Char"/>
    <w:uiPriority w:val="99"/>
    <w:qFormat/>
    <w:rPr>
      <w:sz w:val="20"/>
    </w:rPr>
  </w:style>
  <w:style w:type="paragraph" w:styleId="1158" w:customStyle="1">
    <w:name w:val="TOC 标题111"/>
    <w:uiPriority w:val="39"/>
    <w:unhideWhenUsed/>
    <w:qFormat/>
    <w:rPr>
      <w:rFonts w:hint="default" w:ascii="Calibri" w:hAnsi="Calibri" w:eastAsia="宋体" w:cs="Times New Roman"/>
      <w:lang w:val="en-US" w:eastAsia="zh-CN" w:bidi="ar-SA"/>
    </w:rPr>
  </w:style>
  <w:style w:type="character" w:styleId="1159" w:customStyle="1">
    <w:name w:val="标题 1 Char"/>
    <w:basedOn w:val="1060"/>
    <w:link w:val="1051"/>
    <w:uiPriority w:val="9"/>
    <w:qFormat/>
    <w:rPr>
      <w:rFonts w:ascii="Arial" w:hAnsi="Arial" w:eastAsia="Arial" w:cs="Arial"/>
      <w:sz w:val="40"/>
      <w:szCs w:val="40"/>
    </w:rPr>
  </w:style>
  <w:style w:type="character" w:styleId="1160" w:customStyle="1">
    <w:name w:val="标题 2 Char"/>
    <w:basedOn w:val="1060"/>
    <w:link w:val="1052"/>
    <w:uiPriority w:val="9"/>
    <w:qFormat/>
    <w:rPr>
      <w:rFonts w:ascii="Arial" w:hAnsi="Arial" w:eastAsia="Arial" w:cs="Arial"/>
      <w:sz w:val="34"/>
    </w:rPr>
  </w:style>
  <w:style w:type="character" w:styleId="1161" w:customStyle="1">
    <w:name w:val="标题 3 Char"/>
    <w:basedOn w:val="1060"/>
    <w:link w:val="1053"/>
    <w:uiPriority w:val="9"/>
    <w:qFormat/>
    <w:rPr>
      <w:rFonts w:ascii="Arial" w:hAnsi="Arial" w:eastAsia="Arial" w:cs="Arial"/>
      <w:sz w:val="30"/>
      <w:szCs w:val="30"/>
    </w:rPr>
  </w:style>
  <w:style w:type="character" w:styleId="1162" w:customStyle="1">
    <w:name w:val="标题 4 Char"/>
    <w:basedOn w:val="1060"/>
    <w:link w:val="1054"/>
    <w:uiPriority w:val="9"/>
    <w:qFormat/>
    <w:rPr>
      <w:rFonts w:ascii="Arial" w:hAnsi="Arial" w:eastAsia="Arial" w:cs="Arial"/>
      <w:b/>
      <w:bCs/>
      <w:sz w:val="26"/>
      <w:szCs w:val="26"/>
    </w:rPr>
  </w:style>
  <w:style w:type="character" w:styleId="1163" w:customStyle="1">
    <w:name w:val="标题 5 Char"/>
    <w:basedOn w:val="1060"/>
    <w:link w:val="1055"/>
    <w:uiPriority w:val="9"/>
    <w:qFormat/>
    <w:rPr>
      <w:rFonts w:ascii="Arial" w:hAnsi="Arial" w:eastAsia="Arial" w:cs="Arial"/>
      <w:b/>
      <w:bCs/>
      <w:sz w:val="24"/>
      <w:szCs w:val="24"/>
    </w:rPr>
  </w:style>
  <w:style w:type="character" w:styleId="1164" w:customStyle="1">
    <w:name w:val="标题 6 Char"/>
    <w:basedOn w:val="1060"/>
    <w:link w:val="1056"/>
    <w:uiPriority w:val="9"/>
    <w:qFormat/>
    <w:rPr>
      <w:rFonts w:ascii="Arial" w:hAnsi="Arial" w:eastAsia="Arial" w:cs="Arial"/>
      <w:b/>
      <w:bCs/>
      <w:sz w:val="22"/>
      <w:szCs w:val="22"/>
    </w:rPr>
  </w:style>
  <w:style w:type="character" w:styleId="1165" w:customStyle="1">
    <w:name w:val="标题 7 Char"/>
    <w:basedOn w:val="1060"/>
    <w:link w:val="1057"/>
    <w:uiPriority w:val="9"/>
    <w:qFormat/>
    <w:rPr>
      <w:rFonts w:ascii="Arial" w:hAnsi="Arial" w:eastAsia="Arial" w:cs="Arial"/>
      <w:b/>
      <w:bCs/>
      <w:i/>
      <w:iCs/>
      <w:sz w:val="22"/>
      <w:szCs w:val="22"/>
    </w:rPr>
  </w:style>
  <w:style w:type="character" w:styleId="1166" w:customStyle="1">
    <w:name w:val="标题 8 Char"/>
    <w:basedOn w:val="1060"/>
    <w:link w:val="1058"/>
    <w:uiPriority w:val="9"/>
    <w:qFormat/>
    <w:rPr>
      <w:rFonts w:ascii="Arial" w:hAnsi="Arial" w:eastAsia="Arial" w:cs="Arial"/>
      <w:i/>
      <w:iCs/>
      <w:sz w:val="22"/>
      <w:szCs w:val="22"/>
    </w:rPr>
  </w:style>
  <w:style w:type="character" w:styleId="1167" w:customStyle="1">
    <w:name w:val="标题 9 Char"/>
    <w:basedOn w:val="1060"/>
    <w:link w:val="1059"/>
    <w:uiPriority w:val="9"/>
    <w:qFormat/>
    <w:rPr>
      <w:rFonts w:ascii="Arial" w:hAnsi="Arial" w:eastAsia="Arial" w:cs="Arial"/>
      <w:i/>
      <w:iCs/>
      <w:sz w:val="21"/>
      <w:szCs w:val="21"/>
    </w:rPr>
  </w:style>
  <w:style w:type="paragraph" w:styleId="1168">
    <w:name w:val="List Paragraph"/>
    <w:basedOn w:val="1050"/>
    <w:uiPriority w:val="34"/>
    <w:qFormat/>
    <w:pPr>
      <w:contextualSpacing/>
      <w:ind w:left="720"/>
    </w:pPr>
  </w:style>
  <w:style w:type="paragraph" w:styleId="1169">
    <w:name w:val="No Spacing"/>
    <w:uiPriority w:val="1"/>
    <w:qFormat/>
    <w:rPr>
      <w:rFonts w:hint="default" w:asciiTheme="minorHAnsi" w:hAnsiTheme="minorHAnsi" w:eastAsiaTheme="minorEastAsia" w:cstheme="minorBidi"/>
      <w:lang w:val="en-US" w:eastAsia="zh-CN" w:bidi="ar-SA"/>
    </w:rPr>
  </w:style>
  <w:style w:type="character" w:styleId="1170" w:customStyle="1">
    <w:name w:val="标题 Char"/>
    <w:basedOn w:val="1060"/>
    <w:link w:val="1086"/>
    <w:uiPriority w:val="10"/>
    <w:qFormat/>
    <w:rPr>
      <w:sz w:val="48"/>
      <w:szCs w:val="48"/>
    </w:rPr>
  </w:style>
  <w:style w:type="character" w:styleId="1171" w:customStyle="1">
    <w:name w:val="副标题 Char"/>
    <w:basedOn w:val="1060"/>
    <w:link w:val="1079"/>
    <w:uiPriority w:val="11"/>
    <w:qFormat/>
    <w:rPr>
      <w:sz w:val="24"/>
      <w:szCs w:val="24"/>
    </w:rPr>
  </w:style>
  <w:style w:type="paragraph" w:styleId="1172">
    <w:name w:val="Quote"/>
    <w:basedOn w:val="1050"/>
    <w:next w:val="1050"/>
    <w:link w:val="1173"/>
    <w:uiPriority w:val="29"/>
    <w:qFormat/>
    <w:pPr>
      <w:ind w:left="720" w:right="720"/>
    </w:pPr>
    <w:rPr>
      <w:i/>
    </w:rPr>
  </w:style>
  <w:style w:type="character" w:styleId="1173" w:customStyle="1">
    <w:name w:val="引用 Char"/>
    <w:link w:val="1172"/>
    <w:uiPriority w:val="29"/>
    <w:qFormat/>
    <w:rPr>
      <w:i/>
    </w:rPr>
  </w:style>
  <w:style w:type="paragraph" w:styleId="1174">
    <w:name w:val="Intense Quote"/>
    <w:basedOn w:val="1050"/>
    <w:next w:val="1050"/>
    <w:link w:val="11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5" w:customStyle="1">
    <w:name w:val="明显引用 Char"/>
    <w:link w:val="1174"/>
    <w:uiPriority w:val="30"/>
    <w:qFormat/>
    <w:rPr>
      <w:i/>
    </w:rPr>
  </w:style>
  <w:style w:type="character" w:styleId="1176" w:customStyle="1">
    <w:name w:val="页眉 Char"/>
    <w:basedOn w:val="1060"/>
    <w:link w:val="1076"/>
    <w:uiPriority w:val="99"/>
    <w:qFormat/>
  </w:style>
  <w:style w:type="character" w:styleId="1177" w:customStyle="1">
    <w:name w:val="Footer Char"/>
    <w:basedOn w:val="1060"/>
    <w:uiPriority w:val="99"/>
    <w:qFormat/>
  </w:style>
  <w:style w:type="character" w:styleId="1178" w:customStyle="1">
    <w:name w:val="页脚 Char"/>
    <w:link w:val="1075"/>
    <w:uiPriority w:val="99"/>
    <w:qFormat/>
  </w:style>
  <w:style w:type="table" w:styleId="1179" w:customStyle="1">
    <w:name w:val="Table Grid Light"/>
    <w:basedOn w:val="10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80" w:customStyle="1">
    <w:name w:val="Grid Table 1 Light - Accent 1"/>
    <w:basedOn w:val="10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81" w:customStyle="1">
    <w:name w:val="Grid Table 1 Light - Accent 2"/>
    <w:basedOn w:val="10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82" w:customStyle="1">
    <w:name w:val="Grid Table 1 Light - Accent 3"/>
    <w:basedOn w:val="10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83" w:customStyle="1">
    <w:name w:val="Grid Table 1 Light - Accent 4"/>
    <w:basedOn w:val="10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84" w:customStyle="1">
    <w:name w:val="Grid Table 1 Light - Accent 5"/>
    <w:basedOn w:val="10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85" w:customStyle="1">
    <w:name w:val="Grid Table 1 Light - Accent 6"/>
    <w:basedOn w:val="10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86" w:customStyle="1">
    <w:name w:val="Grid Table 2 - Accent 1"/>
    <w:basedOn w:val="10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87" w:customStyle="1">
    <w:name w:val="Grid Table 2 - Accent 2"/>
    <w:basedOn w:val="10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88" w:customStyle="1">
    <w:name w:val="Grid Table 2 - Accent 3"/>
    <w:basedOn w:val="10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89" w:customStyle="1">
    <w:name w:val="Grid Table 2 - Accent 4"/>
    <w:basedOn w:val="10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90" w:customStyle="1">
    <w:name w:val="Grid Table 2 - Accent 5"/>
    <w:basedOn w:val="106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91" w:customStyle="1">
    <w:name w:val="Grid Table 2 - Accent 6"/>
    <w:basedOn w:val="106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92" w:customStyle="1">
    <w:name w:val="Grid Table 3 - Accent 1"/>
    <w:basedOn w:val="10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3" w:customStyle="1">
    <w:name w:val="Grid Table 3 - Accent 2"/>
    <w:basedOn w:val="10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4" w:customStyle="1">
    <w:name w:val="Grid Table 3 - Accent 3"/>
    <w:basedOn w:val="10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5" w:customStyle="1">
    <w:name w:val="Grid Table 3 - Accent 4"/>
    <w:basedOn w:val="10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6" w:customStyle="1">
    <w:name w:val="Grid Table 3 - Accent 5"/>
    <w:basedOn w:val="106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7" w:customStyle="1">
    <w:name w:val="Grid Table 3 - Accent 6"/>
    <w:basedOn w:val="106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8" w:customStyle="1">
    <w:name w:val="Grid Table 4 - Accent 1"/>
    <w:basedOn w:val="106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99" w:customStyle="1">
    <w:name w:val="Grid Table 4 - Accent 2"/>
    <w:basedOn w:val="106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00" w:customStyle="1">
    <w:name w:val="Grid Table 4 - Accent 3"/>
    <w:basedOn w:val="106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01" w:customStyle="1">
    <w:name w:val="Grid Table 4 - Accent 4"/>
    <w:basedOn w:val="106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202" w:customStyle="1">
    <w:name w:val="Grid Table 4 - Accent 5"/>
    <w:basedOn w:val="106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03" w:customStyle="1">
    <w:name w:val="Grid Table 4 - Accent 6"/>
    <w:basedOn w:val="106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04" w:customStyle="1">
    <w:name w:val="Grid Table 5 Dark- Accent 1"/>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05" w:customStyle="1">
    <w:name w:val="Grid Table 5 Dark - Accent 2"/>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06" w:customStyle="1">
    <w:name w:val="Grid Table 5 Dark - Accent 3"/>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07" w:customStyle="1">
    <w:name w:val="Grid Table 5 Dark- Accent 4"/>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08" w:customStyle="1">
    <w:name w:val="Grid Table 5 Dark - Accent 5"/>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09" w:customStyle="1">
    <w:name w:val="Grid Table 5 Dark - Accent 6"/>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10" w:customStyle="1">
    <w:name w:val="Grid Table 6 Colorful - Accent 1"/>
    <w:basedOn w:val="106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211" w:customStyle="1">
    <w:name w:val="Grid Table 6 Colorful - Accent 2"/>
    <w:basedOn w:val="10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212" w:customStyle="1">
    <w:name w:val="Grid Table 6 Colorful - Accent 3"/>
    <w:basedOn w:val="106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213" w:customStyle="1">
    <w:name w:val="Grid Table 6 Colorful - Accent 4"/>
    <w:basedOn w:val="10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214" w:customStyle="1">
    <w:name w:val="Grid Table 6 Colorful - Accent 5"/>
    <w:basedOn w:val="106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15" w:customStyle="1">
    <w:name w:val="Grid Table 6 Colorful - Accent 6"/>
    <w:basedOn w:val="106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16" w:customStyle="1">
    <w:name w:val="Grid Table 7 Colorful - Accent 1"/>
    <w:basedOn w:val="106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217" w:customStyle="1">
    <w:name w:val="Grid Table 7 Colorful - Accent 2"/>
    <w:basedOn w:val="106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18" w:customStyle="1">
    <w:name w:val="Grid Table 7 Colorful - Accent 3"/>
    <w:basedOn w:val="106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19" w:customStyle="1">
    <w:name w:val="Grid Table 7 Colorful - Accent 4"/>
    <w:basedOn w:val="106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20" w:customStyle="1">
    <w:name w:val="Grid Table 7 Colorful - Accent 5"/>
    <w:basedOn w:val="106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221" w:customStyle="1">
    <w:name w:val="Grid Table 7 Colorful - Accent 6"/>
    <w:basedOn w:val="106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22" w:customStyle="1">
    <w:name w:val="List Table 1 Light - Accent 1"/>
    <w:basedOn w:val="1061"/>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223" w:customStyle="1">
    <w:name w:val="List Table 1 Light - Accent 2"/>
    <w:basedOn w:val="106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24" w:customStyle="1">
    <w:name w:val="List Table 1 Light - Accent 3"/>
    <w:basedOn w:val="106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25" w:customStyle="1">
    <w:name w:val="List Table 1 Light - Accent 4"/>
    <w:basedOn w:val="106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26" w:customStyle="1">
    <w:name w:val="List Table 1 Light - Accent 5"/>
    <w:basedOn w:val="1061"/>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27" w:customStyle="1">
    <w:name w:val="List Table 1 Light - Accent 6"/>
    <w:basedOn w:val="106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28" w:customStyle="1">
    <w:name w:val="List Table 2 - Accent 1"/>
    <w:basedOn w:val="106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29" w:customStyle="1">
    <w:name w:val="List Table 2 - Accent 2"/>
    <w:basedOn w:val="106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30" w:customStyle="1">
    <w:name w:val="List Table 2 - Accent 3"/>
    <w:basedOn w:val="106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31" w:customStyle="1">
    <w:name w:val="List Table 2 - Accent 4"/>
    <w:basedOn w:val="106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32" w:customStyle="1">
    <w:name w:val="List Table 2 - Accent 5"/>
    <w:basedOn w:val="106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33" w:customStyle="1">
    <w:name w:val="List Table 2 - Accent 6"/>
    <w:basedOn w:val="106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34" w:customStyle="1">
    <w:name w:val="List Table 3 - Accent 1"/>
    <w:basedOn w:val="106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35" w:customStyle="1">
    <w:name w:val="List Table 3 - Accent 2"/>
    <w:basedOn w:val="10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36" w:customStyle="1">
    <w:name w:val="List Table 3 - Accent 3"/>
    <w:basedOn w:val="106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37" w:customStyle="1">
    <w:name w:val="List Table 3 - Accent 4"/>
    <w:basedOn w:val="10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38" w:customStyle="1">
    <w:name w:val="List Table 3 - Accent 5"/>
    <w:basedOn w:val="106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39" w:customStyle="1">
    <w:name w:val="List Table 3 - Accent 6"/>
    <w:basedOn w:val="106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40" w:customStyle="1">
    <w:name w:val="List Table 4 - Accent 1"/>
    <w:basedOn w:val="106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41" w:customStyle="1">
    <w:name w:val="List Table 4 - Accent 2"/>
    <w:basedOn w:val="106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42" w:customStyle="1">
    <w:name w:val="List Table 4 - Accent 3"/>
    <w:basedOn w:val="106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43" w:customStyle="1">
    <w:name w:val="List Table 4 - Accent 4"/>
    <w:basedOn w:val="106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44" w:customStyle="1">
    <w:name w:val="List Table 4 - Accent 5"/>
    <w:basedOn w:val="106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45" w:customStyle="1">
    <w:name w:val="List Table 4 - Accent 6"/>
    <w:basedOn w:val="106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46" w:customStyle="1">
    <w:name w:val="List Table 5 Dark - Accent 1"/>
    <w:basedOn w:val="106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7" w:customStyle="1">
    <w:name w:val="List Table 5 Dark - Accent 2"/>
    <w:basedOn w:val="106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8" w:customStyle="1">
    <w:name w:val="List Table 5 Dark - Accent 3"/>
    <w:basedOn w:val="106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9" w:customStyle="1">
    <w:name w:val="List Table 5 Dark - Accent 4"/>
    <w:basedOn w:val="106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0" w:customStyle="1">
    <w:name w:val="List Table 5 Dark - Accent 5"/>
    <w:basedOn w:val="106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1" w:customStyle="1">
    <w:name w:val="List Table 5 Dark - Accent 6"/>
    <w:basedOn w:val="106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2" w:customStyle="1">
    <w:name w:val="List Table 6 Colorful - Accent 1"/>
    <w:basedOn w:val="106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53" w:customStyle="1">
    <w:name w:val="List Table 6 Colorful - Accent 2"/>
    <w:basedOn w:val="106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54" w:customStyle="1">
    <w:name w:val="List Table 6 Colorful - Accent 3"/>
    <w:basedOn w:val="106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55" w:customStyle="1">
    <w:name w:val="List Table 6 Colorful - Accent 4"/>
    <w:basedOn w:val="106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56" w:customStyle="1">
    <w:name w:val="List Table 6 Colorful - Accent 5"/>
    <w:basedOn w:val="106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57" w:customStyle="1">
    <w:name w:val="List Table 6 Colorful - Accent 6"/>
    <w:basedOn w:val="106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58" w:customStyle="1">
    <w:name w:val="List Table 7 Colorful - Accent 1"/>
    <w:basedOn w:val="106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59" w:customStyle="1">
    <w:name w:val="List Table 7 Colorful - Accent 2"/>
    <w:basedOn w:val="106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60" w:customStyle="1">
    <w:name w:val="List Table 7 Colorful - Accent 3"/>
    <w:basedOn w:val="106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61" w:customStyle="1">
    <w:name w:val="List Table 7 Colorful - Accent 4"/>
    <w:basedOn w:val="106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62" w:customStyle="1">
    <w:name w:val="List Table 7 Colorful - Accent 5"/>
    <w:basedOn w:val="106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63" w:customStyle="1">
    <w:name w:val="List Table 7 Colorful - Accent 6"/>
    <w:basedOn w:val="106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64" w:customStyle="1">
    <w:name w:val="Lined - Accent"/>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5" w:customStyle="1">
    <w:name w:val="Lined - Accent 1"/>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66" w:customStyle="1">
    <w:name w:val="Lined - Accent 2"/>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67" w:customStyle="1">
    <w:name w:val="Lined - Accent 3"/>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68" w:customStyle="1">
    <w:name w:val="Lined - Accent 4"/>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69" w:customStyle="1">
    <w:name w:val="Lined - Accent 5"/>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70" w:customStyle="1">
    <w:name w:val="Lined - Accent 6"/>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71" w:customStyle="1">
    <w:name w:val="Bordered &amp; Lined - Accent"/>
    <w:basedOn w:val="10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2" w:customStyle="1">
    <w:name w:val="Bordered &amp; Lined - Accent 1"/>
    <w:basedOn w:val="106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73" w:customStyle="1">
    <w:name w:val="Bordered &amp; Lined - Accent 2"/>
    <w:basedOn w:val="106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74" w:customStyle="1">
    <w:name w:val="Bordered &amp; Lined - Accent 3"/>
    <w:basedOn w:val="106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75" w:customStyle="1">
    <w:name w:val="Bordered &amp; Lined - Accent 4"/>
    <w:basedOn w:val="106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76" w:customStyle="1">
    <w:name w:val="Bordered &amp; Lined - Accent 5"/>
    <w:basedOn w:val="106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77" w:customStyle="1">
    <w:name w:val="Bordered &amp; Lined - Accent 6"/>
    <w:basedOn w:val="106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78" w:customStyle="1">
    <w:name w:val="Bordered"/>
    <w:basedOn w:val="10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79" w:customStyle="1">
    <w:name w:val="Bordered - Accent 1"/>
    <w:basedOn w:val="10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80" w:customStyle="1">
    <w:name w:val="Bordered - Accent 2"/>
    <w:basedOn w:val="10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81" w:customStyle="1">
    <w:name w:val="Bordered - Accent 3"/>
    <w:basedOn w:val="10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82" w:customStyle="1">
    <w:name w:val="Bordered - Accent 4"/>
    <w:basedOn w:val="10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83" w:customStyle="1">
    <w:name w:val="Bordered - Accent 5"/>
    <w:basedOn w:val="10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84" w:customStyle="1">
    <w:name w:val="Bordered - Accent 6"/>
    <w:basedOn w:val="10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85" w:customStyle="1">
    <w:name w:val="脚注文本 Char"/>
    <w:link w:val="1080"/>
    <w:uiPriority w:val="99"/>
    <w:qFormat/>
    <w:rPr>
      <w:sz w:val="18"/>
    </w:rPr>
  </w:style>
  <w:style w:type="character" w:styleId="1286" w:customStyle="1">
    <w:name w:val="尾注文本 Char"/>
    <w:link w:val="1073"/>
    <w:uiPriority w:val="99"/>
    <w:qFormat/>
    <w:rPr>
      <w:sz w:val="20"/>
    </w:rPr>
  </w:style>
  <w:style w:type="paragraph" w:styleId="1287"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288" w:customStyle="1">
    <w:name w:val="脚注文本1"/>
    <w:basedOn w:val="1116"/>
    <w:next w:val="1289"/>
    <w:uiPriority w:val="0"/>
    <w:qFormat/>
    <w:pPr>
      <w:jc w:val="left"/>
      <w:spacing w:line="360" w:lineRule="atLeast"/>
    </w:pPr>
    <w:rPr>
      <w:rFonts w:ascii="宋体" w:eastAsia="Times New Roman"/>
      <w:sz w:val="18"/>
      <w:szCs w:val="18"/>
    </w:rPr>
  </w:style>
  <w:style w:type="paragraph" w:styleId="1289" w:customStyle="1">
    <w:name w:val="索引 51"/>
    <w:basedOn w:val="1116"/>
    <w:next w:val="1116"/>
    <w:uiPriority w:val="0"/>
    <w:qFormat/>
    <w:pPr>
      <w:ind w:left="798"/>
      <w:jc w:val="left"/>
      <w:spacing w:line="360" w:lineRule="atLeast"/>
    </w:pPr>
    <w:rPr>
      <w:sz w:val="24"/>
      <w:szCs w:val="20"/>
    </w:rPr>
  </w:style>
  <w:style w:type="paragraph" w:styleId="1290" w:customStyle="1">
    <w:name w:val="正文文本1"/>
    <w:basedOn w:val="1116"/>
    <w:next w:val="1291"/>
    <w:uiPriority w:val="0"/>
    <w:qFormat/>
    <w:pPr>
      <w:spacing w:after="120"/>
    </w:pPr>
    <w:rPr>
      <w:lang w:eastAsia="en-US"/>
    </w:rPr>
  </w:style>
  <w:style w:type="paragraph" w:styleId="1291" w:customStyle="1">
    <w:name w:val="一级条标题"/>
    <w:basedOn w:val="1292"/>
    <w:next w:val="12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92" w:customStyle="1">
    <w:name w:val="章标题"/>
    <w:next w:val="105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93" w:customStyle="1">
    <w:name w:val="段"/>
    <w:basedOn w:val="1050"/>
    <w:next w:val="1050"/>
    <w:uiPriority w:val="0"/>
    <w:qFormat/>
    <w:pPr>
      <w:ind w:firstLine="200"/>
      <w:widowControl/>
    </w:pPr>
    <w:rPr>
      <w:rFonts w:hint="eastAsia" w:ascii="宋体"/>
      <w:szCs w:val="20"/>
    </w:rPr>
  </w:style>
  <w:style w:type="paragraph" w:styleId="1294" w:customStyle="1">
    <w:name w:val="标题 21"/>
    <w:basedOn w:val="1050"/>
    <w:next w:val="105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95" w:customStyle="1">
    <w:name w:val="彩色列表 - 着色 11"/>
    <w:basedOn w:val="1050"/>
    <w:uiPriority w:val="0"/>
    <w:qFormat/>
    <w:pPr>
      <w:ind w:firstLine="420"/>
    </w:pPr>
    <w:rPr>
      <w:rFonts w:ascii="Times New Roman" w:hAnsi="Times New Roman"/>
      <w:sz w:val="20"/>
    </w:rPr>
  </w:style>
  <w:style w:type="paragraph" w:styleId="1296" w:customStyle="1">
    <w:name w:val="普通(网站)1"/>
    <w:basedOn w:val="1050"/>
    <w:uiPriority w:val="99"/>
    <w:qFormat/>
    <w:pPr>
      <w:jc w:val="left"/>
      <w:spacing w:before="100" w:beforeAutospacing="1" w:after="100" w:afterAutospacing="1"/>
      <w:widowControl/>
    </w:pPr>
    <w:rPr>
      <w:rFonts w:ascii="宋体" w:hAnsi="宋体" w:cs="宋体"/>
      <w:sz w:val="24"/>
    </w:rPr>
  </w:style>
  <w:style w:type="paragraph" w:styleId="1297" w:customStyle="1">
    <w:name w:val="纯文本1"/>
    <w:basedOn w:val="1050"/>
    <w:uiPriority w:val="0"/>
    <w:qFormat/>
    <w:rPr>
      <w:rFonts w:ascii="宋体" w:hAnsi="Courier New"/>
      <w:szCs w:val="21"/>
    </w:rPr>
  </w:style>
  <w:style w:type="paragraph" w:styleId="129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_Style 2"/>
    <w:basedOn w:val="1300"/>
    <w:next w:val="1050"/>
    <w:uiPriority w:val="0"/>
    <w:qFormat/>
    <w:pPr>
      <w:jc w:val="both"/>
      <w:spacing w:line="576" w:lineRule="auto"/>
      <w:outlineLvl w:val="9"/>
    </w:pPr>
    <w:rPr>
      <w:rFonts w:ascii="Times New Roman" w:hAnsi="Times New Roman"/>
    </w:rPr>
  </w:style>
  <w:style w:type="paragraph" w:styleId="1300" w:customStyle="1">
    <w:name w:val="标题 11"/>
    <w:basedOn w:val="1050"/>
    <w:next w:val="1050"/>
    <w:uiPriority w:val="0"/>
    <w:qFormat/>
    <w:pPr>
      <w:jc w:val="center"/>
      <w:keepLines/>
      <w:keepNext/>
      <w:spacing w:before="340" w:after="330" w:line="578" w:lineRule="auto"/>
      <w:outlineLvl w:val="0"/>
    </w:pPr>
    <w:rPr>
      <w:b/>
      <w:bCs/>
      <w:sz w:val="44"/>
      <w:szCs w:val="44"/>
    </w:rPr>
  </w:style>
  <w:style w:type="paragraph" w:styleId="1301" w:customStyle="1">
    <w:name w:val="标题 31"/>
    <w:basedOn w:val="1050"/>
    <w:next w:val="1050"/>
    <w:uiPriority w:val="0"/>
    <w:qFormat/>
    <w:pPr>
      <w:keepLines/>
      <w:keepNext/>
      <w:spacing w:before="260" w:after="260" w:line="416" w:lineRule="auto"/>
      <w:outlineLvl w:val="2"/>
    </w:pPr>
    <w:rPr>
      <w:b/>
      <w:bCs/>
      <w:sz w:val="32"/>
      <w:szCs w:val="32"/>
    </w:rPr>
  </w:style>
  <w:style w:type="paragraph" w:styleId="1302" w:customStyle="1">
    <w:name w:val="标题 41"/>
    <w:basedOn w:val="1050"/>
    <w:next w:val="1050"/>
    <w:uiPriority w:val="0"/>
    <w:qFormat/>
    <w:pPr>
      <w:keepLines/>
      <w:keepNext/>
      <w:spacing w:before="280" w:after="290" w:line="372" w:lineRule="auto"/>
      <w:outlineLvl w:val="3"/>
    </w:pPr>
    <w:rPr>
      <w:rFonts w:ascii="Cambria" w:hAnsi="Cambria"/>
      <w:b/>
      <w:bCs/>
      <w:sz w:val="28"/>
      <w:szCs w:val="28"/>
    </w:rPr>
  </w:style>
  <w:style w:type="paragraph" w:styleId="1303" w:customStyle="1">
    <w:name w:val="正文11"/>
    <w:basedOn w:val="1050"/>
    <w:next w:val="1304"/>
    <w:uiPriority w:val="0"/>
    <w:qFormat/>
  </w:style>
  <w:style w:type="paragraph" w:styleId="1304" w:customStyle="1">
    <w:name w:val="正文首行缩进 21"/>
    <w:next w:val="1050"/>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1305" w:customStyle="1">
    <w:name w:val="文本块1"/>
    <w:basedOn w:val="1114"/>
    <w:next w:val="1302"/>
    <w:uiPriority w:val="6"/>
    <w:qFormat/>
    <w:pPr>
      <w:ind w:left="256" w:right="6" w:firstLine="624"/>
    </w:pPr>
    <w:rPr>
      <w:rFonts w:eastAsia="仿宋"/>
      <w:sz w:val="28"/>
      <w:szCs w:val="20"/>
    </w:rPr>
  </w:style>
  <w:style w:type="paragraph" w:styleId="1306" w:customStyle="1">
    <w:name w:val="页脚1"/>
    <w:basedOn w:val="1050"/>
    <w:uiPriority w:val="0"/>
    <w:qFormat/>
    <w:pPr>
      <w:jc w:val="left"/>
      <w:tabs>
        <w:tab w:val="center" w:pos="4153" w:leader="none"/>
        <w:tab w:val="right" w:pos="8306" w:leader="none"/>
      </w:tabs>
    </w:pPr>
    <w:rPr>
      <w:sz w:val="18"/>
      <w:szCs w:val="18"/>
    </w:rPr>
  </w:style>
  <w:style w:type="paragraph" w:styleId="1307" w:customStyle="1">
    <w:name w:val="页眉1"/>
    <w:basedOn w:val="1050"/>
    <w:uiPriority w:val="0"/>
    <w:qFormat/>
    <w:pPr>
      <w:jc w:val="center"/>
      <w:tabs>
        <w:tab w:val="center" w:pos="4153" w:leader="none"/>
        <w:tab w:val="right" w:pos="8306" w:leader="none"/>
      </w:tabs>
      <w:pBdr>
        <w:bottom w:val="single" w:color="000000" w:sz="6" w:space="1"/>
      </w:pBdr>
    </w:pPr>
    <w:rPr>
      <w:sz w:val="18"/>
      <w:szCs w:val="18"/>
    </w:rPr>
  </w:style>
  <w:style w:type="character" w:styleId="1308" w:customStyle="1">
    <w:name w:val="页码1"/>
    <w:basedOn w:val="1309"/>
    <w:uiPriority w:val="0"/>
    <w:qFormat/>
    <w:rPr>
      <w:rFonts w:hint="default" w:ascii="Calibri" w:hAnsi="Calibri" w:eastAsia="宋体" w:cs="Times New Roman"/>
      <w:sz w:val="21"/>
      <w:szCs w:val="24"/>
      <w:lang w:val="en-US" w:eastAsia="zh-CN" w:bidi="ar-SA"/>
    </w:rPr>
  </w:style>
  <w:style w:type="character" w:styleId="1309" w:customStyle="1">
    <w:name w:val="默认段落字体1"/>
    <w:uiPriority w:val="0"/>
    <w:semiHidden/>
    <w:qFormat/>
  </w:style>
  <w:style w:type="character" w:styleId="1310" w:customStyle="1">
    <w:name w:val="NormalCharacter1"/>
    <w:uiPriority w:val="0"/>
    <w:semiHidden/>
    <w:qFormat/>
    <w:rPr>
      <w:sz w:val="21"/>
      <w:szCs w:val="24"/>
      <w:lang w:val="en-US" w:eastAsia="zh-CN" w:bidi="ar-SA"/>
    </w:rPr>
  </w:style>
  <w:style w:type="paragraph" w:styleId="1311" w:customStyle="1">
    <w:name w:val="Blockquote"/>
    <w:basedOn w:val="1050"/>
    <w:uiPriority w:val="0"/>
    <w:qFormat/>
    <w:pPr>
      <w:ind w:left="764" w:right="567"/>
      <w:jc w:val="left"/>
      <w:spacing w:before="100" w:after="100"/>
    </w:pPr>
    <w:rPr>
      <w:rFonts w:ascii="Times New Roman" w:hAnsi="Times New Roman"/>
      <w:sz w:val="24"/>
      <w:szCs w:val="20"/>
    </w:rPr>
  </w:style>
  <w:style w:type="character" w:styleId="1312" w:customStyle="1">
    <w:name w:val="正文文本 Char"/>
    <w:link w:val="1066"/>
    <w:uiPriority w:val="0"/>
    <w:qFormat/>
  </w:style>
  <w:style w:type="character" w:styleId="1313" w:customStyle="1">
    <w:name w:val="正文文本 字符1"/>
    <w:basedOn w:val="1060"/>
    <w:uiPriority w:val="99"/>
    <w:semiHidden/>
    <w:qFormat/>
    <w:rPr>
      <w:rFonts w:ascii="Calibri" w:hAnsi="Calibri"/>
      <w:sz w:val="21"/>
      <w:szCs w:val="24"/>
    </w:rPr>
  </w:style>
  <w:style w:type="character" w:styleId="1314" w:customStyle="1">
    <w:name w:val="批注框文本 Char"/>
    <w:basedOn w:val="1060"/>
    <w:link w:val="1074"/>
    <w:uiPriority w:val="99"/>
    <w:semiHidden/>
    <w:qFormat/>
    <w:rPr>
      <w:rFonts w:ascii="Calibri" w:hAnsi="Calibri"/>
      <w:sz w:val="18"/>
      <w:szCs w:val="18"/>
    </w:rPr>
  </w:style>
  <w:style w:type="character" w:styleId="1315" w:customStyle="1">
    <w:name w:val="批注文字 Char"/>
    <w:basedOn w:val="1060"/>
    <w:link w:val="1065"/>
    <w:uiPriority w:val="99"/>
    <w:semiHidden/>
    <w:qFormat/>
    <w:rPr>
      <w:sz w:val="21"/>
      <w:szCs w:val="24"/>
    </w:rPr>
  </w:style>
  <w:style w:type="character" w:styleId="1316" w:customStyle="1">
    <w:name w:val="批注主题 Char"/>
    <w:basedOn w:val="1315"/>
    <w:link w:val="1087"/>
    <w:uiPriority w:val="99"/>
    <w:semiHidden/>
    <w:qFormat/>
    <w:rPr>
      <w:b/>
      <w:bCs/>
      <w:sz w:val="21"/>
      <w:szCs w:val="24"/>
    </w:rPr>
  </w:style>
  <w:style w:type="paragraph" w:styleId="1317" w:customStyle="1">
    <w:name w:val="正文文本13"/>
    <w:next w:val="12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正文112"/>
    <w:next w:val="1062"/>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李昆</cp:lastModifiedBy>
  <cp:revision>12</cp:revision>
  <dcterms:created xsi:type="dcterms:W3CDTF">2025-06-18T00:51:00Z</dcterms:created>
  <dcterms:modified xsi:type="dcterms:W3CDTF">2025-11-18T09:53:07Z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FDB0ECF0D4CE48298ABBA7122E010A5D_13</vt:lpwstr>
  </property>
  <property fmtid="{D5CDD505-2E9C-101B-9397-08002B2CF9AE}" pid="4" name="KSOTemplateDocerSaveRecord">
    <vt:lpwstr>eyJoZGlkIjoiY2ZjNDJlZTQ4YTBjNzkyYTI4ZGYyZjgyOWMyMmRjNTMiLCJ1c2VySWQiOiI3MDgyNjYwMjYifQ==</vt:lpwstr>
  </property>
</Properties>
</file>