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仿宋" w:hAnsi="仿宋" w:eastAsia="仿宋"/>
          <w:b/>
          <w:color w:val="auto"/>
          <w:sz w:val="48"/>
          <w:szCs w:val="48"/>
          <w:highlight w:val="none"/>
          <w:u w:val="single"/>
        </w:rPr>
      </w:pPr>
      <w:r>
        <w:rPr>
          <w:rFonts w:ascii="仿宋" w:hAnsi="仿宋" w:eastAsia="仿宋"/>
          <w:b/>
          <w:color w:val="auto"/>
          <w:sz w:val="48"/>
          <w:szCs w:val="48"/>
          <w:highlight w:val="none"/>
          <w:u w:val="single"/>
        </w:rPr>
      </w:r>
      <w:r/>
    </w:p>
    <w:p>
      <w:pPr>
        <w:jc w:val="center"/>
        <w:widowControl/>
        <w:rPr>
          <w:rFonts w:ascii="仿宋" w:hAnsi="仿宋" w:eastAsia="仿宋"/>
          <w:b/>
          <w:color w:val="auto"/>
          <w:sz w:val="48"/>
          <w:szCs w:val="48"/>
          <w:highlight w:val="none"/>
          <w:u w:val="single"/>
        </w:rPr>
      </w:pPr>
      <w:r>
        <w:rPr>
          <w:rFonts w:ascii="仿宋" w:hAnsi="仿宋" w:eastAsia="仿宋"/>
          <w:b/>
          <w:color w:val="auto"/>
          <w:sz w:val="48"/>
          <w:szCs w:val="48"/>
          <w:highlight w:val="none"/>
          <w:u w:val="single"/>
        </w:rPr>
      </w:r>
      <w:r/>
    </w:p>
    <w:p>
      <w:pPr>
        <w:pStyle w:val="998"/>
        <w:rPr>
          <w:color w:val="auto"/>
          <w:highlight w:val="none"/>
        </w:rPr>
      </w:pPr>
      <w:r>
        <w:rPr>
          <w:color w:val="auto"/>
          <w:highlight w:val="none"/>
        </w:rPr>
      </w:r>
      <w:r/>
    </w:p>
    <w:p>
      <w:pPr>
        <w:jc w:val="center"/>
        <w:widowControl/>
        <w:rPr>
          <w:rFonts w:ascii="仿宋" w:hAnsi="仿宋" w:eastAsia="仿宋"/>
          <w:b/>
          <w:color w:val="auto"/>
          <w:sz w:val="48"/>
          <w:szCs w:val="48"/>
          <w:highlight w:val="none"/>
          <w:u w:val="single"/>
        </w:rPr>
      </w:pPr>
      <w:r>
        <w:rPr>
          <w:rFonts w:ascii="仿宋" w:hAnsi="仿宋" w:eastAsia="仿宋"/>
          <w:b/>
          <w:color w:val="auto"/>
          <w:sz w:val="48"/>
          <w:szCs w:val="48"/>
          <w:highlight w:val="none"/>
          <w:u w:val="single"/>
        </w:rPr>
      </w:r>
      <w:r/>
    </w:p>
    <w:p>
      <w:pPr>
        <w:jc w:val="center"/>
        <w:spacing w:line="720" w:lineRule="auto"/>
        <w:widowControl/>
        <w:rPr>
          <w:rFonts w:ascii="仿宋" w:hAnsi="仿宋" w:eastAsia="仿宋"/>
          <w:b/>
          <w:color w:val="auto"/>
          <w:sz w:val="40"/>
          <w:szCs w:val="40"/>
          <w:highlight w:val="none"/>
        </w:rPr>
      </w:pPr>
      <w:r>
        <w:rPr>
          <w:rFonts w:hint="eastAsia" w:ascii="仿宋" w:hAnsi="仿宋" w:eastAsia="仿宋"/>
          <w:b/>
          <w:color w:val="auto"/>
          <w:sz w:val="40"/>
          <w:szCs w:val="40"/>
          <w:highlight w:val="none"/>
        </w:rPr>
        <w:t xml:space="preserve">江苏省地质调查研究院</w:t>
      </w:r>
      <w:r/>
    </w:p>
    <w:p>
      <w:pPr>
        <w:jc w:val="center"/>
        <w:spacing w:line="360" w:lineRule="auto"/>
        <w:rPr>
          <w:rFonts w:hint="eastAsia" w:ascii="仿宋" w:hAnsi="仿宋" w:eastAsia="仿宋"/>
          <w:b/>
          <w:color w:val="auto"/>
          <w:sz w:val="40"/>
          <w:szCs w:val="40"/>
          <w:highlight w:val="none"/>
          <w:lang w:eastAsia="zh-CN"/>
        </w:rPr>
      </w:pPr>
      <w:r/>
      <w:bookmarkStart w:id="0" w:name="_Hlk132963650"/>
      <w:r>
        <w:rPr>
          <w:rFonts w:hint="eastAsia" w:ascii="仿宋" w:hAnsi="仿宋" w:eastAsia="仿宋"/>
          <w:b/>
          <w:color w:val="auto"/>
          <w:sz w:val="40"/>
          <w:szCs w:val="40"/>
          <w:highlight w:val="none"/>
          <w:lang w:eastAsia="zh-CN"/>
        </w:rPr>
        <w:t xml:space="preserve">“数字赋能与智慧监管项目”2023年商业雷达、高光谱卫星影像补充及处理</w:t>
      </w:r>
      <w:r/>
    </w:p>
    <w:p>
      <w:pPr>
        <w:jc w:val="center"/>
        <w:spacing w:line="360" w:lineRule="auto"/>
        <w:rPr>
          <w:rFonts w:ascii="仿宋" w:hAnsi="仿宋" w:eastAsia="仿宋"/>
          <w:b/>
          <w:color w:val="auto"/>
          <w:sz w:val="40"/>
          <w:szCs w:val="40"/>
          <w:highlight w:val="none"/>
        </w:rPr>
      </w:pPr>
      <w:r>
        <w:rPr>
          <w:rFonts w:hint="eastAsia" w:ascii="仿宋" w:hAnsi="仿宋" w:eastAsia="仿宋"/>
          <w:b/>
          <w:color w:val="auto"/>
          <w:sz w:val="40"/>
          <w:szCs w:val="40"/>
          <w:highlight w:val="none"/>
        </w:rPr>
        <w:t xml:space="preserve">招标文件</w:t>
      </w:r>
      <w:bookmarkEnd w:id="0"/>
      <w:r/>
      <w:r/>
    </w:p>
    <w:p>
      <w:pPr>
        <w:jc w:val="center"/>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1866"/>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pStyle w:val="998"/>
        <w:rPr>
          <w:color w:val="auto"/>
          <w:highlight w:val="none"/>
        </w:rPr>
      </w:pPr>
      <w:r>
        <w:rPr>
          <w:color w:val="auto"/>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firstLine="1632"/>
        <w:widowControl/>
        <w:rPr>
          <w:rFonts w:ascii="仿宋" w:hAnsi="仿宋" w:eastAsia="仿宋"/>
          <w:b/>
          <w:color w:val="auto"/>
          <w:sz w:val="28"/>
          <w:szCs w:val="32"/>
          <w:highlight w:val="none"/>
        </w:rPr>
      </w:pPr>
      <w:r>
        <w:rPr>
          <w:rFonts w:ascii="仿宋" w:hAnsi="仿宋" w:eastAsia="仿宋"/>
          <w:b/>
          <w:color w:val="auto"/>
          <w:sz w:val="28"/>
          <w:szCs w:val="32"/>
          <w:highlight w:val="none"/>
        </w:rPr>
      </w:r>
      <w:r/>
    </w:p>
    <w:p>
      <w:pPr>
        <w:ind w:left="2000" w:right="2000"/>
        <w:jc w:val="both"/>
        <w:spacing w:line="360" w:lineRule="auto"/>
        <w:widowControl/>
        <w:rPr>
          <w:rFonts w:hint="eastAsia" w:ascii="黑体" w:hAnsi="宋体" w:eastAsia="黑体"/>
          <w:b/>
          <w:color w:val="auto"/>
          <w:sz w:val="24"/>
          <w:szCs w:val="32"/>
          <w:highlight w:val="none"/>
          <w:lang w:eastAsia="zh-CN"/>
        </w:rPr>
      </w:pPr>
      <w:r>
        <w:rPr>
          <w:rFonts w:hint="eastAsia" w:ascii="仿宋" w:hAnsi="仿宋" w:eastAsia="仿宋"/>
          <w:b/>
          <w:color w:val="auto"/>
          <w:sz w:val="24"/>
          <w:szCs w:val="32"/>
          <w:highlight w:val="none"/>
        </w:rPr>
        <w:t xml:space="preserve">项目编号:</w:t>
      </w:r>
      <w:r>
        <w:rPr>
          <w:rFonts w:hint="eastAsia" w:ascii="黑体" w:hAnsi="宋体" w:eastAsia="黑体"/>
          <w:b/>
          <w:color w:val="auto"/>
          <w:sz w:val="24"/>
          <w:szCs w:val="32"/>
          <w:highlight w:val="none"/>
          <w:lang w:eastAsia="zh-CN"/>
        </w:rPr>
        <w:t xml:space="preserve">JSTCC2400215409</w:t>
      </w:r>
      <w:r/>
    </w:p>
    <w:p>
      <w:pPr>
        <w:ind w:left="2000" w:right="2000"/>
        <w:jc w:val="both"/>
        <w:spacing w:line="360" w:lineRule="auto"/>
        <w:widowControl/>
        <w:rPr>
          <w:rFonts w:hint="eastAsia" w:ascii="黑体" w:hAnsi="宋体" w:eastAsia="黑体"/>
          <w:b/>
          <w:color w:val="auto"/>
          <w:sz w:val="24"/>
          <w:szCs w:val="32"/>
          <w:highlight w:val="none"/>
          <w:lang w:eastAsia="zh-CN"/>
        </w:rPr>
      </w:pPr>
      <w:r>
        <w:rPr>
          <w:rFonts w:hint="eastAsia" w:ascii="仿宋" w:hAnsi="仿宋" w:eastAsia="仿宋"/>
          <w:b/>
          <w:sz w:val="24"/>
          <w:szCs w:val="32"/>
          <w:highlight w:val="none"/>
        </w:rPr>
        <w:t xml:space="preserve">（</w:t>
      </w:r>
      <w:r>
        <w:rPr>
          <w:rFonts w:hint="eastAsia" w:ascii="仿宋" w:hAnsi="仿宋" w:eastAsia="仿宋"/>
          <w:b/>
          <w:sz w:val="24"/>
          <w:szCs w:val="32"/>
          <w:highlight w:val="none"/>
          <w:lang w:eastAsia="zh-CN"/>
        </w:rPr>
        <w:t xml:space="preserve">JSZC-320000-JITC-G2024-0287</w:t>
      </w:r>
      <w:r>
        <w:rPr>
          <w:rFonts w:hint="eastAsia" w:ascii="仿宋" w:hAnsi="仿宋" w:eastAsia="仿宋"/>
          <w:b/>
          <w:sz w:val="24"/>
          <w:szCs w:val="32"/>
          <w:highlight w:val="none"/>
        </w:rPr>
        <w:t xml:space="preserve">）</w:t>
      </w:r>
      <w:r/>
    </w:p>
    <w:p>
      <w:pPr>
        <w:ind w:left="2000" w:right="2000"/>
        <w:jc w:val="both"/>
        <w:spacing w:line="360" w:lineRule="auto"/>
        <w:widowControl/>
        <w:rPr>
          <w:rFonts w:ascii="仿宋" w:hAnsi="仿宋" w:eastAsia="仿宋"/>
          <w:b/>
          <w:color w:val="auto"/>
          <w:sz w:val="24"/>
          <w:szCs w:val="32"/>
          <w:highlight w:val="none"/>
        </w:rPr>
      </w:pPr>
      <w:r>
        <w:rPr>
          <w:rFonts w:hint="eastAsia" w:ascii="仿宋" w:hAnsi="仿宋" w:eastAsia="仿宋"/>
          <w:b/>
          <w:color w:val="auto"/>
          <w:sz w:val="24"/>
          <w:szCs w:val="32"/>
          <w:highlight w:val="none"/>
        </w:rPr>
        <w:t xml:space="preserve">采购人：江苏省地质调查研究院</w:t>
      </w:r>
      <w:r/>
    </w:p>
    <w:p>
      <w:pPr>
        <w:ind w:left="2000" w:right="2000"/>
        <w:jc w:val="both"/>
        <w:spacing w:line="360" w:lineRule="auto"/>
        <w:widowControl/>
        <w:rPr>
          <w:rFonts w:ascii="仿宋" w:hAnsi="仿宋" w:eastAsia="仿宋"/>
          <w:b/>
          <w:color w:val="auto"/>
          <w:sz w:val="24"/>
          <w:szCs w:val="32"/>
          <w:highlight w:val="none"/>
        </w:rPr>
      </w:pPr>
      <w:r>
        <w:rPr>
          <w:rFonts w:hint="eastAsia" w:ascii="仿宋" w:hAnsi="仿宋" w:eastAsia="仿宋"/>
          <w:b/>
          <w:color w:val="auto"/>
          <w:sz w:val="24"/>
          <w:szCs w:val="32"/>
          <w:highlight w:val="none"/>
        </w:rPr>
        <w:t xml:space="preserve">采购代理机构：江苏省招标中心有限公司</w:t>
      </w:r>
      <w:r/>
    </w:p>
    <w:p>
      <w:pPr>
        <w:ind w:firstLine="1721"/>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before="312" w:after="312"/>
        <w:rPr>
          <w:rFonts w:ascii="仿宋" w:hAnsi="仿宋" w:eastAsia="仿宋"/>
          <w:b/>
          <w:bCs/>
          <w:color w:val="auto"/>
          <w:sz w:val="24"/>
          <w:szCs w:val="24"/>
          <w:highlight w:val="none"/>
        </w:rPr>
      </w:pPr>
      <w:r>
        <w:rPr>
          <w:rFonts w:hint="eastAsia" w:ascii="仿宋" w:hAnsi="仿宋" w:eastAsia="仿宋"/>
          <w:b/>
          <w:color w:val="auto"/>
          <w:sz w:val="32"/>
          <w:szCs w:val="32"/>
          <w:highlight w:val="none"/>
        </w:rPr>
      </w:r>
      <w:r>
        <w:rPr>
          <w:rFonts w:hint="eastAsia" w:ascii="仿宋" w:hAnsi="仿宋" w:eastAsia="仿宋"/>
          <w:b/>
          <w:color w:val="auto"/>
          <w:sz w:val="32"/>
          <w:szCs w:val="32"/>
          <w:highlight w:val="none"/>
        </w:rPr>
      </w:r>
      <w:r/>
    </w:p>
    <w:p>
      <w:pPr>
        <w:jc w:val="left"/>
        <w:spacing w:before="312" w:after="312"/>
        <w:rPr>
          <w:rFonts w:hint="eastAsia" w:ascii="仿宋" w:hAnsi="仿宋" w:eastAsia="仿宋"/>
          <w:b/>
          <w:bCs/>
          <w:color w:val="auto"/>
          <w:sz w:val="32"/>
          <w:szCs w:val="32"/>
          <w:highlight w:val="none"/>
        </w:rPr>
      </w:pPr>
      <w:r>
        <w:rPr>
          <w:rFonts w:ascii="仿宋" w:hAnsi="仿宋" w:eastAsia="仿宋"/>
          <w:b/>
          <w:color w:val="auto"/>
          <w:sz w:val="32"/>
          <w:szCs w:val="32"/>
          <w:highlight w:val="none"/>
        </w:rPr>
        <w:t xml:space="preserve">                         20</w:t>
      </w:r>
      <w:r>
        <w:rPr>
          <w:rFonts w:hint="eastAsia" w:ascii="仿宋" w:hAnsi="仿宋" w:eastAsia="仿宋"/>
          <w:b/>
          <w:color w:val="auto"/>
          <w:sz w:val="32"/>
          <w:szCs w:val="32"/>
          <w:highlight w:val="none"/>
        </w:rPr>
        <w:t xml:space="preserve">2</w:t>
      </w:r>
      <w:r>
        <w:rPr>
          <w:rFonts w:hint="eastAsia" w:ascii="仿宋" w:hAnsi="仿宋" w:eastAsia="仿宋"/>
          <w:b/>
          <w:color w:val="auto"/>
          <w:sz w:val="32"/>
          <w:szCs w:val="32"/>
          <w:highlight w:val="none"/>
          <w:lang w:val="en-US" w:eastAsia="zh-CN"/>
        </w:rPr>
        <w:t xml:space="preserve">4</w:t>
      </w:r>
      <w:r>
        <w:rPr>
          <w:rFonts w:ascii="仿宋" w:hAnsi="仿宋" w:eastAsia="仿宋"/>
          <w:b/>
          <w:color w:val="auto"/>
          <w:sz w:val="32"/>
          <w:szCs w:val="32"/>
          <w:highlight w:val="none"/>
        </w:rPr>
        <w:t xml:space="preserve">年</w:t>
      </w:r>
      <w:r>
        <w:rPr>
          <w:rFonts w:hint="eastAsia" w:ascii="仿宋" w:hAnsi="仿宋" w:eastAsia="仿宋"/>
          <w:b/>
          <w:color w:val="auto"/>
          <w:sz w:val="32"/>
          <w:szCs w:val="32"/>
          <w:highlight w:val="none"/>
        </w:rPr>
        <w:t xml:space="preserve">10月</w:t>
      </w:r>
      <w:r/>
    </w:p>
    <w:p>
      <w:pPr>
        <w:pStyle w:val="1101"/>
        <w:jc w:val="center"/>
        <w:spacing w:before="240"/>
        <w:rPr>
          <w:rFonts w:ascii="仿宋" w:hAnsi="仿宋" w:eastAsia="仿宋"/>
          <w:color w:val="auto"/>
          <w:highlight w:val="none"/>
        </w:rPr>
      </w:pPr>
      <w:r>
        <w:rPr>
          <w:rFonts w:ascii="仿宋" w:hAnsi="仿宋" w:eastAsia="仿宋"/>
          <w:color w:val="auto"/>
          <w:highlight w:val="none"/>
          <w:lang w:val="zh-CN"/>
        </w:rPr>
      </w:r>
      <w:r>
        <w:rPr>
          <w:rFonts w:ascii="仿宋" w:hAnsi="仿宋" w:eastAsia="仿宋"/>
          <w:color w:val="auto"/>
          <w:highlight w:val="none"/>
          <w:lang w:val="zh-CN"/>
        </w:rPr>
      </w:r>
      <w:r/>
    </w:p>
    <w:p>
      <w:pPr>
        <w:pStyle w:val="1101"/>
        <w:jc w:val="center"/>
        <w:spacing w:before="240"/>
        <w:rPr>
          <w:rFonts w:ascii="仿宋" w:hAnsi="仿宋" w:eastAsia="仿宋"/>
          <w:color w:val="auto"/>
          <w:highlight w:val="none"/>
          <w:lang w:val="zh-CN"/>
        </w:rPr>
      </w:pPr>
      <w:r>
        <w:rPr>
          <w:rFonts w:ascii="仿宋" w:hAnsi="仿宋" w:eastAsia="仿宋"/>
          <w:color w:val="auto"/>
          <w:highlight w:val="none"/>
          <w:lang w:val="zh-CN"/>
        </w:rPr>
        <w:t xml:space="preserve">目   录</w:t>
      </w:r>
      <w:r/>
    </w:p>
    <w:p>
      <w:pPr>
        <w:pStyle w:val="1016"/>
        <w:tabs>
          <w:tab w:val="right" w:pos="9638" w:leader="dot"/>
        </w:tabs>
        <w:rPr>
          <w:highlight w:val="none"/>
        </w:rPr>
      </w:pPr>
      <w:r>
        <w:rPr>
          <w:rFonts w:ascii="仿宋" w:hAnsi="仿宋" w:eastAsia="仿宋"/>
          <w:bCs w:val="0"/>
          <w:caps w:val="0"/>
          <w:color w:val="auto"/>
          <w:sz w:val="22"/>
          <w:szCs w:val="22"/>
          <w:highlight w:val="none"/>
        </w:rPr>
        <w:fldChar w:fldCharType="begin"/>
      </w:r>
      <w:r>
        <w:rPr>
          <w:rFonts w:ascii="仿宋" w:hAnsi="仿宋" w:eastAsia="仿宋"/>
          <w:bCs w:val="0"/>
          <w:caps w:val="0"/>
          <w:color w:val="auto"/>
          <w:sz w:val="22"/>
          <w:szCs w:val="22"/>
          <w:highlight w:val="none"/>
        </w:rPr>
        <w:instrText xml:space="preserve"> TOC \o "1-3" \h \z \u </w:instrText>
      </w:r>
      <w:r>
        <w:rPr>
          <w:rFonts w:ascii="仿宋" w:hAnsi="仿宋" w:eastAsia="仿宋"/>
          <w:bCs w:val="0"/>
          <w:caps w:val="0"/>
          <w:color w:val="auto"/>
          <w:sz w:val="22"/>
          <w:szCs w:val="22"/>
          <w:highlight w:val="none"/>
        </w:rPr>
        <w:fldChar w:fldCharType="separate"/>
      </w:r>
      <w:r>
        <w:rPr>
          <w:rFonts w:ascii="仿宋" w:hAnsi="仿宋" w:eastAsia="仿宋"/>
          <w:bCs w:val="0"/>
          <w:caps w:val="0"/>
          <w:color w:val="auto"/>
          <w:szCs w:val="22"/>
          <w:highlight w:val="none"/>
        </w:rPr>
        <w:fldChar w:fldCharType="begin"/>
      </w:r>
      <w:r>
        <w:rPr>
          <w:rFonts w:ascii="仿宋" w:hAnsi="仿宋" w:eastAsia="仿宋"/>
          <w:bCs w:val="0"/>
          <w:caps w:val="0"/>
          <w:szCs w:val="22"/>
          <w:highlight w:val="none"/>
        </w:rPr>
        <w:instrText xml:space="preserve"> HYPERLINK \l _Toc27786 </w:instrText>
      </w:r>
      <w:r>
        <w:rPr>
          <w:rFonts w:ascii="仿宋" w:hAnsi="仿宋" w:eastAsia="仿宋"/>
          <w:bCs w:val="0"/>
          <w:caps w:val="0"/>
          <w:szCs w:val="22"/>
          <w:highlight w:val="none"/>
        </w:rPr>
        <w:fldChar w:fldCharType="separate"/>
      </w:r>
      <w:r>
        <w:rPr>
          <w:rFonts w:hint="eastAsia" w:ascii="仿宋" w:hAnsi="仿宋" w:eastAsia="仿宋"/>
          <w:szCs w:val="36"/>
          <w:highlight w:val="none"/>
        </w:rPr>
        <w:t xml:space="preserve">第一章    供应商须知</w:t>
      </w:r>
      <w:r>
        <w:rPr>
          <w:highlight w:val="none"/>
        </w:rPr>
        <w:tab/>
      </w:r>
      <w:r>
        <w:rPr>
          <w:highlight w:val="none"/>
        </w:rPr>
        <w:fldChar w:fldCharType="begin"/>
      </w:r>
      <w:r>
        <w:rPr>
          <w:highlight w:val="none"/>
        </w:rPr>
        <w:instrText xml:space="preserve"> PAGEREF _Toc27786 \h </w:instrText>
      </w:r>
      <w:r>
        <w:rPr>
          <w:highlight w:val="none"/>
        </w:rPr>
        <w:fldChar w:fldCharType="separate"/>
      </w:r>
      <w:r>
        <w:rPr>
          <w:highlight w:val="none"/>
        </w:rPr>
        <w:t xml:space="preserve">3</w:t>
      </w:r>
      <w:r>
        <w:rPr>
          <w:highlight w:val="none"/>
        </w:rPr>
        <w:fldChar w:fldCharType="end"/>
      </w:r>
      <w:r>
        <w:rPr>
          <w:rFonts w:ascii="仿宋" w:hAnsi="仿宋" w:eastAsia="仿宋"/>
          <w:bCs w:val="0"/>
          <w:caps w:val="0"/>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_Toc22376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一、总则</w:t>
      </w:r>
      <w:r>
        <w:rPr>
          <w:highlight w:val="none"/>
        </w:rPr>
        <w:tab/>
      </w:r>
      <w:r>
        <w:rPr>
          <w:highlight w:val="none"/>
        </w:rPr>
        <w:fldChar w:fldCharType="begin"/>
      </w:r>
      <w:r>
        <w:rPr>
          <w:highlight w:val="none"/>
        </w:rPr>
        <w:instrText xml:space="preserve"> PAGEREF _Toc22376 \h </w:instrText>
      </w:r>
      <w:r>
        <w:rPr>
          <w:highlight w:val="none"/>
        </w:rPr>
        <w:fldChar w:fldCharType="separate"/>
      </w:r>
      <w:r>
        <w:rPr>
          <w:highlight w:val="none"/>
        </w:rPr>
        <w:t xml:space="preserve">3</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_Toc6828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1．适用范围</w:t>
      </w:r>
      <w:r>
        <w:rPr>
          <w:highlight w:val="none"/>
        </w:rPr>
        <w:tab/>
      </w:r>
      <w:r>
        <w:rPr>
          <w:highlight w:val="none"/>
        </w:rPr>
        <w:fldChar w:fldCharType="begin"/>
      </w:r>
      <w:r>
        <w:rPr>
          <w:highlight w:val="none"/>
        </w:rPr>
        <w:instrText xml:space="preserve"> PAGEREF _Toc6828 \h </w:instrText>
      </w:r>
      <w:r>
        <w:rPr>
          <w:highlight w:val="none"/>
        </w:rPr>
        <w:fldChar w:fldCharType="separate"/>
      </w:r>
      <w:r>
        <w:rPr>
          <w:highlight w:val="none"/>
        </w:rPr>
        <w:t xml:space="preserve">3</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_Toc2996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2．合格的供应商</w:t>
      </w:r>
      <w:r>
        <w:rPr>
          <w:highlight w:val="none"/>
        </w:rPr>
        <w:tab/>
      </w:r>
      <w:r>
        <w:rPr>
          <w:highlight w:val="none"/>
        </w:rPr>
        <w:fldChar w:fldCharType="begin"/>
      </w:r>
      <w:r>
        <w:rPr>
          <w:highlight w:val="none"/>
        </w:rPr>
        <w:instrText xml:space="preserve"> PAGEREF _Toc2996 \h </w:instrText>
      </w:r>
      <w:r>
        <w:rPr>
          <w:highlight w:val="none"/>
        </w:rPr>
        <w:fldChar w:fldCharType="separate"/>
      </w:r>
      <w:r>
        <w:rPr>
          <w:highlight w:val="none"/>
        </w:rPr>
        <w:t xml:space="preserve">3</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_Toc29906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3．投标费用</w:t>
      </w:r>
      <w:r>
        <w:rPr>
          <w:highlight w:val="none"/>
        </w:rPr>
        <w:tab/>
      </w:r>
      <w:r>
        <w:rPr>
          <w:highlight w:val="none"/>
        </w:rPr>
        <w:fldChar w:fldCharType="begin"/>
      </w:r>
      <w:r>
        <w:rPr>
          <w:highlight w:val="none"/>
        </w:rPr>
        <w:instrText xml:space="preserve"> PAGEREF _Toc29906 \h </w:instrText>
      </w:r>
      <w:r>
        <w:rPr>
          <w:highlight w:val="none"/>
        </w:rPr>
        <w:fldChar w:fldCharType="separate"/>
      </w:r>
      <w:r>
        <w:rPr>
          <w:highlight w:val="none"/>
        </w:rPr>
        <w:t xml:space="preserve">3</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_Toc32454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4．法律适用</w:t>
      </w:r>
      <w:r>
        <w:rPr>
          <w:highlight w:val="none"/>
        </w:rPr>
        <w:tab/>
      </w:r>
      <w:r>
        <w:rPr>
          <w:highlight w:val="none"/>
        </w:rPr>
        <w:fldChar w:fldCharType="begin"/>
      </w:r>
      <w:r>
        <w:rPr>
          <w:highlight w:val="none"/>
        </w:rPr>
        <w:instrText xml:space="preserve"> PAGEREF _Toc32454 \h </w:instrText>
      </w:r>
      <w:r>
        <w:rPr>
          <w:highlight w:val="none"/>
        </w:rPr>
        <w:fldChar w:fldCharType="separate"/>
      </w:r>
      <w:r>
        <w:rPr>
          <w:highlight w:val="none"/>
        </w:rPr>
        <w:t xml:space="preserve">3</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_Toc25392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5．招标文件的约束力</w:t>
      </w:r>
      <w:r>
        <w:rPr>
          <w:highlight w:val="none"/>
        </w:rPr>
        <w:tab/>
      </w:r>
      <w:r>
        <w:rPr>
          <w:highlight w:val="none"/>
        </w:rPr>
        <w:fldChar w:fldCharType="begin"/>
      </w:r>
      <w:r>
        <w:rPr>
          <w:highlight w:val="none"/>
        </w:rPr>
        <w:instrText xml:space="preserve"> PAGEREF _Toc25392 \h </w:instrText>
      </w:r>
      <w:r>
        <w:rPr>
          <w:highlight w:val="none"/>
        </w:rPr>
        <w:fldChar w:fldCharType="separate"/>
      </w:r>
      <w:r>
        <w:rPr>
          <w:highlight w:val="none"/>
        </w:rPr>
        <w:t xml:space="preserve">3</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_Toc30870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二、招标文件</w:t>
      </w:r>
      <w:r>
        <w:rPr>
          <w:highlight w:val="none"/>
        </w:rPr>
        <w:tab/>
      </w:r>
      <w:r>
        <w:rPr>
          <w:highlight w:val="none"/>
        </w:rPr>
        <w:fldChar w:fldCharType="begin"/>
      </w:r>
      <w:r>
        <w:rPr>
          <w:highlight w:val="none"/>
        </w:rPr>
        <w:instrText xml:space="preserve"> PAGEREF _Toc30870 \h </w:instrText>
      </w:r>
      <w:r>
        <w:rPr>
          <w:highlight w:val="none"/>
        </w:rPr>
        <w:fldChar w:fldCharType="separate"/>
      </w:r>
      <w:r>
        <w:rPr>
          <w:highlight w:val="none"/>
        </w:rPr>
        <w:t xml:space="preserve">4</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_Toc21539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6．招标文件的组成</w:t>
      </w:r>
      <w:r>
        <w:rPr>
          <w:highlight w:val="none"/>
        </w:rPr>
        <w:tab/>
      </w:r>
      <w:r>
        <w:rPr>
          <w:highlight w:val="none"/>
        </w:rPr>
        <w:fldChar w:fldCharType="begin"/>
      </w:r>
      <w:r>
        <w:rPr>
          <w:highlight w:val="none"/>
        </w:rPr>
        <w:instrText xml:space="preserve"> PAGEREF _Toc21539 \h </w:instrText>
      </w:r>
      <w:r>
        <w:rPr>
          <w:highlight w:val="none"/>
        </w:rPr>
        <w:fldChar w:fldCharType="separate"/>
      </w:r>
      <w:r>
        <w:rPr>
          <w:highlight w:val="none"/>
        </w:rPr>
        <w:t xml:space="preserve">4</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_Toc812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9．投标文件的组成</w:t>
      </w:r>
      <w:r>
        <w:rPr>
          <w:highlight w:val="none"/>
        </w:rPr>
        <w:tab/>
      </w:r>
      <w:r>
        <w:rPr>
          <w:highlight w:val="none"/>
        </w:rPr>
        <w:fldChar w:fldCharType="begin"/>
      </w:r>
      <w:r>
        <w:rPr>
          <w:highlight w:val="none"/>
        </w:rPr>
        <w:instrText xml:space="preserve"> PAGEREF _Toc812 \h </w:instrText>
      </w:r>
      <w:r>
        <w:rPr>
          <w:highlight w:val="none"/>
        </w:rPr>
        <w:fldChar w:fldCharType="separate"/>
      </w:r>
      <w:r>
        <w:rPr>
          <w:highlight w:val="none"/>
        </w:rPr>
        <w:t xml:space="preserve">4</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_Toc12854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7．招标文件的澄清或修改</w:t>
      </w:r>
      <w:r>
        <w:rPr>
          <w:highlight w:val="none"/>
        </w:rPr>
        <w:tab/>
      </w:r>
      <w:r>
        <w:rPr>
          <w:highlight w:val="none"/>
        </w:rPr>
        <w:fldChar w:fldCharType="begin"/>
      </w:r>
      <w:r>
        <w:rPr>
          <w:highlight w:val="none"/>
        </w:rPr>
        <w:instrText xml:space="preserve"> PAGEREF _Toc12854 \h </w:instrText>
      </w:r>
      <w:r>
        <w:rPr>
          <w:highlight w:val="none"/>
        </w:rPr>
        <w:fldChar w:fldCharType="separate"/>
      </w:r>
      <w:r>
        <w:rPr>
          <w:highlight w:val="none"/>
        </w:rPr>
        <w:t xml:space="preserve">4</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_Toc11546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三、投标文件</w:t>
      </w:r>
      <w:r>
        <w:rPr>
          <w:highlight w:val="none"/>
        </w:rPr>
        <w:tab/>
      </w:r>
      <w:r>
        <w:rPr>
          <w:highlight w:val="none"/>
        </w:rPr>
        <w:fldChar w:fldCharType="begin"/>
      </w:r>
      <w:r>
        <w:rPr>
          <w:highlight w:val="none"/>
        </w:rPr>
        <w:instrText xml:space="preserve"> PAGEREF _Toc11546 \h </w:instrText>
      </w:r>
      <w:r>
        <w:rPr>
          <w:highlight w:val="none"/>
        </w:rPr>
        <w:fldChar w:fldCharType="separate"/>
      </w:r>
      <w:r>
        <w:rPr>
          <w:highlight w:val="none"/>
        </w:rPr>
        <w:t xml:space="preserve">5</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_Toc12054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8．投标文件的语言及度量衡</w:t>
      </w:r>
      <w:r>
        <w:rPr>
          <w:highlight w:val="none"/>
        </w:rPr>
        <w:tab/>
      </w:r>
      <w:r>
        <w:rPr>
          <w:highlight w:val="none"/>
        </w:rPr>
        <w:fldChar w:fldCharType="begin"/>
      </w:r>
      <w:r>
        <w:rPr>
          <w:highlight w:val="none"/>
        </w:rPr>
        <w:instrText xml:space="preserve"> PAGEREF _Toc12054 \h </w:instrText>
      </w:r>
      <w:r>
        <w:rPr>
          <w:highlight w:val="none"/>
        </w:rPr>
        <w:fldChar w:fldCharType="separate"/>
      </w:r>
      <w:r>
        <w:rPr>
          <w:highlight w:val="none"/>
        </w:rPr>
        <w:t xml:space="preserve">5</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_Toc28956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10．投标报价</w:t>
      </w:r>
      <w:r>
        <w:rPr>
          <w:highlight w:val="none"/>
        </w:rPr>
        <w:tab/>
      </w:r>
      <w:r>
        <w:rPr>
          <w:highlight w:val="none"/>
        </w:rPr>
        <w:fldChar w:fldCharType="begin"/>
      </w:r>
      <w:r>
        <w:rPr>
          <w:highlight w:val="none"/>
        </w:rPr>
        <w:instrText xml:space="preserve"> PAGEREF _Toc28956 \h </w:instrText>
      </w:r>
      <w:r>
        <w:rPr>
          <w:highlight w:val="none"/>
        </w:rPr>
        <w:fldChar w:fldCharType="separate"/>
      </w:r>
      <w:r>
        <w:rPr>
          <w:highlight w:val="none"/>
        </w:rPr>
        <w:t xml:space="preserve">5</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_Toc13132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11. 投标货币</w:t>
      </w:r>
      <w:r>
        <w:rPr>
          <w:highlight w:val="none"/>
        </w:rPr>
        <w:tab/>
      </w:r>
      <w:r>
        <w:rPr>
          <w:highlight w:val="none"/>
        </w:rPr>
        <w:fldChar w:fldCharType="begin"/>
      </w:r>
      <w:r>
        <w:rPr>
          <w:highlight w:val="none"/>
        </w:rPr>
        <w:instrText xml:space="preserve"> PAGEREF _Toc13132 \h </w:instrText>
      </w:r>
      <w:r>
        <w:rPr>
          <w:highlight w:val="none"/>
        </w:rPr>
        <w:fldChar w:fldCharType="separate"/>
      </w:r>
      <w:r>
        <w:rPr>
          <w:highlight w:val="none"/>
        </w:rPr>
        <w:t xml:space="preserve">5</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_Toc29543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12．投标保证金</w:t>
      </w:r>
      <w:r>
        <w:rPr>
          <w:highlight w:val="none"/>
        </w:rPr>
        <w:tab/>
      </w:r>
      <w:r>
        <w:rPr>
          <w:highlight w:val="none"/>
        </w:rPr>
        <w:fldChar w:fldCharType="begin"/>
      </w:r>
      <w:r>
        <w:rPr>
          <w:highlight w:val="none"/>
        </w:rPr>
        <w:instrText xml:space="preserve"> PAGEREF _Toc29543 \h </w:instrText>
      </w:r>
      <w:r>
        <w:rPr>
          <w:highlight w:val="none"/>
        </w:rPr>
        <w:fldChar w:fldCharType="separate"/>
      </w:r>
      <w:r>
        <w:rPr>
          <w:highlight w:val="none"/>
        </w:rPr>
        <w:t xml:space="preserve">5</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_Toc192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13．投标有效期</w:t>
      </w:r>
      <w:r>
        <w:rPr>
          <w:highlight w:val="none"/>
        </w:rPr>
        <w:tab/>
      </w:r>
      <w:r>
        <w:rPr>
          <w:highlight w:val="none"/>
        </w:rPr>
        <w:fldChar w:fldCharType="begin"/>
      </w:r>
      <w:r>
        <w:rPr>
          <w:highlight w:val="none"/>
        </w:rPr>
        <w:instrText xml:space="preserve"> PAGEREF _Toc192 \h </w:instrText>
      </w:r>
      <w:r>
        <w:rPr>
          <w:highlight w:val="none"/>
        </w:rPr>
        <w:fldChar w:fldCharType="separate"/>
      </w:r>
      <w:r>
        <w:rPr>
          <w:highlight w:val="none"/>
        </w:rPr>
        <w:t xml:space="preserve">6</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_Toc2727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14．投标文件的签署、形式及装订</w:t>
      </w:r>
      <w:r>
        <w:rPr>
          <w:highlight w:val="none"/>
        </w:rPr>
        <w:tab/>
      </w:r>
      <w:r>
        <w:rPr>
          <w:highlight w:val="none"/>
        </w:rPr>
        <w:fldChar w:fldCharType="begin"/>
      </w:r>
      <w:r>
        <w:rPr>
          <w:highlight w:val="none"/>
        </w:rPr>
        <w:instrText xml:space="preserve"> PAGEREF _Toc2727 \h </w:instrText>
      </w:r>
      <w:r>
        <w:rPr>
          <w:highlight w:val="none"/>
        </w:rPr>
        <w:fldChar w:fldCharType="separate"/>
      </w:r>
      <w:r>
        <w:rPr>
          <w:highlight w:val="none"/>
        </w:rPr>
        <w:t xml:space="preserve">6</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_Toc17995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四、投标文件的递交</w:t>
      </w:r>
      <w:r>
        <w:rPr>
          <w:highlight w:val="none"/>
        </w:rPr>
        <w:tab/>
      </w:r>
      <w:r>
        <w:rPr>
          <w:highlight w:val="none"/>
        </w:rPr>
        <w:fldChar w:fldCharType="begin"/>
      </w:r>
      <w:r>
        <w:rPr>
          <w:highlight w:val="none"/>
        </w:rPr>
        <w:instrText xml:space="preserve"> PAGEREF _Toc17995 \h </w:instrText>
      </w:r>
      <w:r>
        <w:rPr>
          <w:highlight w:val="none"/>
        </w:rPr>
        <w:fldChar w:fldCharType="separate"/>
      </w:r>
      <w:r>
        <w:rPr>
          <w:highlight w:val="none"/>
        </w:rPr>
        <w:t xml:space="preserve">7</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_Toc31171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15．投标文件的密封及标记</w:t>
      </w:r>
      <w:r>
        <w:rPr>
          <w:highlight w:val="none"/>
        </w:rPr>
        <w:tab/>
      </w:r>
      <w:r>
        <w:rPr>
          <w:highlight w:val="none"/>
        </w:rPr>
        <w:fldChar w:fldCharType="begin"/>
      </w:r>
      <w:r>
        <w:rPr>
          <w:highlight w:val="none"/>
        </w:rPr>
        <w:instrText xml:space="preserve"> PAGEREF _Toc31171 \h </w:instrText>
      </w:r>
      <w:r>
        <w:rPr>
          <w:highlight w:val="none"/>
        </w:rPr>
        <w:fldChar w:fldCharType="separate"/>
      </w:r>
      <w:r>
        <w:rPr>
          <w:highlight w:val="none"/>
        </w:rPr>
        <w:t xml:space="preserve">7</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_Toc5348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16．投标截止时间</w:t>
      </w:r>
      <w:r>
        <w:rPr>
          <w:highlight w:val="none"/>
        </w:rPr>
        <w:tab/>
      </w:r>
      <w:r>
        <w:rPr>
          <w:highlight w:val="none"/>
        </w:rPr>
        <w:fldChar w:fldCharType="begin"/>
      </w:r>
      <w:r>
        <w:rPr>
          <w:highlight w:val="none"/>
        </w:rPr>
        <w:instrText xml:space="preserve"> PAGEREF _Toc5348 \h </w:instrText>
      </w:r>
      <w:r>
        <w:rPr>
          <w:highlight w:val="none"/>
        </w:rPr>
        <w:fldChar w:fldCharType="separate"/>
      </w:r>
      <w:r>
        <w:rPr>
          <w:highlight w:val="none"/>
        </w:rPr>
        <w:t xml:space="preserve">7</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_Toc10455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17．迟交的投标文件</w:t>
      </w:r>
      <w:r>
        <w:rPr>
          <w:highlight w:val="none"/>
        </w:rPr>
        <w:tab/>
      </w:r>
      <w:r>
        <w:rPr>
          <w:highlight w:val="none"/>
        </w:rPr>
        <w:fldChar w:fldCharType="begin"/>
      </w:r>
      <w:r>
        <w:rPr>
          <w:highlight w:val="none"/>
        </w:rPr>
        <w:instrText xml:space="preserve"> PAGEREF _Toc10455 \h </w:instrText>
      </w:r>
      <w:r>
        <w:rPr>
          <w:highlight w:val="none"/>
        </w:rPr>
        <w:fldChar w:fldCharType="separate"/>
      </w:r>
      <w:r>
        <w:rPr>
          <w:highlight w:val="none"/>
        </w:rPr>
        <w:t xml:space="preserve">7</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_Toc27436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18．投标文件的修改和撤回</w:t>
      </w:r>
      <w:r>
        <w:rPr>
          <w:highlight w:val="none"/>
        </w:rPr>
        <w:tab/>
      </w:r>
      <w:r>
        <w:rPr>
          <w:highlight w:val="none"/>
        </w:rPr>
        <w:fldChar w:fldCharType="begin"/>
      </w:r>
      <w:r>
        <w:rPr>
          <w:highlight w:val="none"/>
        </w:rPr>
        <w:instrText xml:space="preserve"> PAGEREF _Toc27436 \h </w:instrText>
      </w:r>
      <w:r>
        <w:rPr>
          <w:highlight w:val="none"/>
        </w:rPr>
        <w:fldChar w:fldCharType="separate"/>
      </w:r>
      <w:r>
        <w:rPr>
          <w:highlight w:val="none"/>
        </w:rPr>
        <w:t xml:space="preserve">7</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_Toc24337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五、开标及评标</w:t>
      </w:r>
      <w:r>
        <w:rPr>
          <w:highlight w:val="none"/>
        </w:rPr>
        <w:tab/>
      </w:r>
      <w:r>
        <w:rPr>
          <w:highlight w:val="none"/>
        </w:rPr>
        <w:fldChar w:fldCharType="begin"/>
      </w:r>
      <w:r>
        <w:rPr>
          <w:highlight w:val="none"/>
        </w:rPr>
        <w:instrText xml:space="preserve"> PAGEREF _Toc24337 \h </w:instrText>
      </w:r>
      <w:r>
        <w:rPr>
          <w:highlight w:val="none"/>
        </w:rPr>
        <w:fldChar w:fldCharType="separate"/>
      </w:r>
      <w:r>
        <w:rPr>
          <w:highlight w:val="none"/>
        </w:rPr>
        <w:t xml:space="preserve">8</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_Toc29286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19．开标</w:t>
      </w:r>
      <w:r>
        <w:rPr>
          <w:highlight w:val="none"/>
        </w:rPr>
        <w:tab/>
      </w:r>
      <w:r>
        <w:rPr>
          <w:highlight w:val="none"/>
        </w:rPr>
        <w:fldChar w:fldCharType="begin"/>
      </w:r>
      <w:r>
        <w:rPr>
          <w:highlight w:val="none"/>
        </w:rPr>
        <w:instrText xml:space="preserve"> PAGEREF _Toc29286 \h </w:instrText>
      </w:r>
      <w:r>
        <w:rPr>
          <w:highlight w:val="none"/>
        </w:rPr>
        <w:fldChar w:fldCharType="separate"/>
      </w:r>
      <w:r>
        <w:rPr>
          <w:highlight w:val="none"/>
        </w:rPr>
        <w:t xml:space="preserve">8</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_Toc19531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20．评标委员会</w:t>
      </w:r>
      <w:r>
        <w:rPr>
          <w:highlight w:val="none"/>
        </w:rPr>
        <w:tab/>
      </w:r>
      <w:r>
        <w:rPr>
          <w:highlight w:val="none"/>
        </w:rPr>
        <w:fldChar w:fldCharType="begin"/>
      </w:r>
      <w:r>
        <w:rPr>
          <w:highlight w:val="none"/>
        </w:rPr>
        <w:instrText xml:space="preserve"> PAGEREF _Toc19531 \h </w:instrText>
      </w:r>
      <w:r>
        <w:rPr>
          <w:highlight w:val="none"/>
        </w:rPr>
        <w:fldChar w:fldCharType="separate"/>
      </w:r>
      <w:r>
        <w:rPr>
          <w:highlight w:val="none"/>
        </w:rPr>
        <w:t xml:space="preserve">8</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_Toc8221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21．对投标文件的资格性审查和符合性审查</w:t>
      </w:r>
      <w:r>
        <w:rPr>
          <w:highlight w:val="none"/>
        </w:rPr>
        <w:tab/>
      </w:r>
      <w:r>
        <w:rPr>
          <w:highlight w:val="none"/>
        </w:rPr>
        <w:fldChar w:fldCharType="begin"/>
      </w:r>
      <w:r>
        <w:rPr>
          <w:highlight w:val="none"/>
        </w:rPr>
        <w:instrText xml:space="preserve"> PAGEREF _Toc8221 \h </w:instrText>
      </w:r>
      <w:r>
        <w:rPr>
          <w:highlight w:val="none"/>
        </w:rPr>
        <w:fldChar w:fldCharType="separate"/>
      </w:r>
      <w:r>
        <w:rPr>
          <w:highlight w:val="none"/>
        </w:rPr>
        <w:t xml:space="preserve">8</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_Toc26775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22．投标文件的澄清</w:t>
      </w:r>
      <w:r>
        <w:rPr>
          <w:highlight w:val="none"/>
        </w:rPr>
        <w:tab/>
      </w:r>
      <w:r>
        <w:rPr>
          <w:highlight w:val="none"/>
        </w:rPr>
        <w:fldChar w:fldCharType="begin"/>
      </w:r>
      <w:r>
        <w:rPr>
          <w:highlight w:val="none"/>
        </w:rPr>
        <w:instrText xml:space="preserve"> PAGEREF _Toc26775 \h </w:instrText>
      </w:r>
      <w:r>
        <w:rPr>
          <w:highlight w:val="none"/>
        </w:rPr>
        <w:fldChar w:fldCharType="separate"/>
      </w:r>
      <w:r>
        <w:rPr>
          <w:highlight w:val="none"/>
        </w:rPr>
        <w:t xml:space="preserve">9</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_Toc18947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23．评标及定标</w:t>
      </w:r>
      <w:r>
        <w:rPr>
          <w:highlight w:val="none"/>
        </w:rPr>
        <w:tab/>
      </w:r>
      <w:r>
        <w:rPr>
          <w:highlight w:val="none"/>
        </w:rPr>
        <w:fldChar w:fldCharType="begin"/>
      </w:r>
      <w:r>
        <w:rPr>
          <w:highlight w:val="none"/>
        </w:rPr>
        <w:instrText xml:space="preserve"> PAGEREF _Toc18947 \h </w:instrText>
      </w:r>
      <w:r>
        <w:rPr>
          <w:highlight w:val="none"/>
        </w:rPr>
        <w:fldChar w:fldCharType="separate"/>
      </w:r>
      <w:r>
        <w:rPr>
          <w:highlight w:val="none"/>
        </w:rPr>
        <w:t xml:space="preserve">10</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_Toc8481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24．评标过程保密</w:t>
      </w:r>
      <w:r>
        <w:rPr>
          <w:highlight w:val="none"/>
        </w:rPr>
        <w:tab/>
      </w:r>
      <w:r>
        <w:rPr>
          <w:highlight w:val="none"/>
        </w:rPr>
        <w:fldChar w:fldCharType="begin"/>
      </w:r>
      <w:r>
        <w:rPr>
          <w:highlight w:val="none"/>
        </w:rPr>
        <w:instrText xml:space="preserve"> PAGEREF _Toc8481 \h </w:instrText>
      </w:r>
      <w:r>
        <w:rPr>
          <w:highlight w:val="none"/>
        </w:rPr>
        <w:fldChar w:fldCharType="separate"/>
      </w:r>
      <w:r>
        <w:rPr>
          <w:highlight w:val="none"/>
        </w:rPr>
        <w:t xml:space="preserve">10</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_Toc26068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25. 投标截止时间结束后参加投标的供应商不足三家的处理</w:t>
      </w:r>
      <w:r>
        <w:rPr>
          <w:highlight w:val="none"/>
        </w:rPr>
        <w:tab/>
      </w:r>
      <w:r>
        <w:rPr>
          <w:highlight w:val="none"/>
        </w:rPr>
        <w:fldChar w:fldCharType="begin"/>
      </w:r>
      <w:r>
        <w:rPr>
          <w:highlight w:val="none"/>
        </w:rPr>
        <w:instrText xml:space="preserve"> PAGEREF _Toc26068 \h </w:instrText>
      </w:r>
      <w:r>
        <w:rPr>
          <w:highlight w:val="none"/>
        </w:rPr>
        <w:fldChar w:fldCharType="separate"/>
      </w:r>
      <w:r>
        <w:rPr>
          <w:highlight w:val="none"/>
        </w:rPr>
        <w:t xml:space="preserve">10</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_Toc17669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六、授标及签约</w:t>
      </w:r>
      <w:r>
        <w:rPr>
          <w:highlight w:val="none"/>
        </w:rPr>
        <w:tab/>
      </w:r>
      <w:r>
        <w:rPr>
          <w:highlight w:val="none"/>
        </w:rPr>
        <w:fldChar w:fldCharType="begin"/>
      </w:r>
      <w:r>
        <w:rPr>
          <w:highlight w:val="none"/>
        </w:rPr>
        <w:instrText xml:space="preserve"> PAGEREF _Toc17669 \h </w:instrText>
      </w:r>
      <w:r>
        <w:rPr>
          <w:highlight w:val="none"/>
        </w:rPr>
        <w:fldChar w:fldCharType="separate"/>
      </w:r>
      <w:r>
        <w:rPr>
          <w:highlight w:val="none"/>
        </w:rPr>
        <w:t xml:space="preserve">11</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_Toc15680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26．定标原则</w:t>
      </w:r>
      <w:r>
        <w:rPr>
          <w:highlight w:val="none"/>
        </w:rPr>
        <w:tab/>
      </w:r>
      <w:r>
        <w:rPr>
          <w:highlight w:val="none"/>
        </w:rPr>
        <w:fldChar w:fldCharType="begin"/>
      </w:r>
      <w:r>
        <w:rPr>
          <w:highlight w:val="none"/>
        </w:rPr>
        <w:instrText xml:space="preserve"> PAGEREF _Toc15680 \h </w:instrText>
      </w:r>
      <w:r>
        <w:rPr>
          <w:highlight w:val="none"/>
        </w:rPr>
        <w:fldChar w:fldCharType="separate"/>
      </w:r>
      <w:r>
        <w:rPr>
          <w:highlight w:val="none"/>
        </w:rPr>
        <w:t xml:space="preserve">11</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_Toc31257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27. 质疑处理</w:t>
      </w:r>
      <w:r>
        <w:rPr>
          <w:highlight w:val="none"/>
        </w:rPr>
        <w:tab/>
      </w:r>
      <w:r>
        <w:rPr>
          <w:highlight w:val="none"/>
        </w:rPr>
        <w:fldChar w:fldCharType="begin"/>
      </w:r>
      <w:r>
        <w:rPr>
          <w:highlight w:val="none"/>
        </w:rPr>
        <w:instrText xml:space="preserve"> PAGEREF _Toc31257 \h </w:instrText>
      </w:r>
      <w:r>
        <w:rPr>
          <w:highlight w:val="none"/>
        </w:rPr>
        <w:fldChar w:fldCharType="separate"/>
      </w:r>
      <w:r>
        <w:rPr>
          <w:highlight w:val="none"/>
        </w:rPr>
        <w:t xml:space="preserve">11</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_Toc24100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28．中标通知</w:t>
      </w:r>
      <w:r>
        <w:rPr>
          <w:highlight w:val="none"/>
        </w:rPr>
        <w:tab/>
      </w:r>
      <w:r>
        <w:rPr>
          <w:highlight w:val="none"/>
        </w:rPr>
        <w:fldChar w:fldCharType="begin"/>
      </w:r>
      <w:r>
        <w:rPr>
          <w:highlight w:val="none"/>
        </w:rPr>
        <w:instrText xml:space="preserve"> PAGEREF _Toc24100 \h </w:instrText>
      </w:r>
      <w:r>
        <w:rPr>
          <w:highlight w:val="none"/>
        </w:rPr>
        <w:fldChar w:fldCharType="separate"/>
      </w:r>
      <w:r>
        <w:rPr>
          <w:highlight w:val="none"/>
        </w:rPr>
        <w:t xml:space="preserve">11</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_Toc179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29．签订合同</w:t>
      </w:r>
      <w:r>
        <w:rPr>
          <w:highlight w:val="none"/>
        </w:rPr>
        <w:tab/>
      </w:r>
      <w:r>
        <w:rPr>
          <w:highlight w:val="none"/>
        </w:rPr>
        <w:fldChar w:fldCharType="begin"/>
      </w:r>
      <w:r>
        <w:rPr>
          <w:highlight w:val="none"/>
        </w:rPr>
        <w:instrText xml:space="preserve"> PAGEREF _Toc179 \h </w:instrText>
      </w:r>
      <w:r>
        <w:rPr>
          <w:highlight w:val="none"/>
        </w:rPr>
        <w:fldChar w:fldCharType="separate"/>
      </w:r>
      <w:r>
        <w:rPr>
          <w:highlight w:val="none"/>
        </w:rPr>
        <w:t xml:space="preserve">11</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_Toc4512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30．招标代理服务费</w:t>
      </w:r>
      <w:r>
        <w:rPr>
          <w:highlight w:val="none"/>
        </w:rPr>
        <w:tab/>
      </w:r>
      <w:r>
        <w:rPr>
          <w:highlight w:val="none"/>
        </w:rPr>
        <w:fldChar w:fldCharType="begin"/>
      </w:r>
      <w:r>
        <w:rPr>
          <w:highlight w:val="none"/>
        </w:rPr>
        <w:instrText xml:space="preserve"> PAGEREF _Toc4512 \h </w:instrText>
      </w:r>
      <w:r>
        <w:rPr>
          <w:highlight w:val="none"/>
        </w:rPr>
        <w:fldChar w:fldCharType="separate"/>
      </w:r>
      <w:r>
        <w:rPr>
          <w:highlight w:val="none"/>
        </w:rPr>
        <w:t xml:space="preserve">12</w:t>
      </w:r>
      <w:r>
        <w:rPr>
          <w:highlight w:val="none"/>
        </w:rPr>
        <w:fldChar w:fldCharType="end"/>
      </w:r>
      <w:r>
        <w:rPr>
          <w:rFonts w:ascii="仿宋" w:hAnsi="仿宋" w:eastAsia="仿宋"/>
          <w:bCs/>
          <w:caps/>
          <w:color w:val="auto"/>
          <w:szCs w:val="22"/>
          <w:highlight w:val="none"/>
        </w:rPr>
        <w:fldChar w:fldCharType="end"/>
      </w:r>
      <w:r/>
    </w:p>
    <w:p>
      <w:pPr>
        <w:pStyle w:val="1016"/>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_Toc1782 </w:instrText>
      </w:r>
      <w:r>
        <w:rPr>
          <w:rFonts w:ascii="仿宋" w:hAnsi="仿宋" w:eastAsia="仿宋"/>
          <w:bCs/>
          <w:caps/>
          <w:szCs w:val="22"/>
          <w:highlight w:val="none"/>
        </w:rPr>
        <w:fldChar w:fldCharType="separate"/>
      </w:r>
      <w:r>
        <w:rPr>
          <w:rFonts w:hint="eastAsia" w:ascii="仿宋" w:hAnsi="仿宋" w:eastAsia="仿宋"/>
          <w:szCs w:val="36"/>
          <w:highlight w:val="none"/>
        </w:rPr>
        <w:t xml:space="preserve">第二章  合同条款及格式</w:t>
      </w:r>
      <w:r>
        <w:rPr>
          <w:highlight w:val="none"/>
        </w:rPr>
        <w:tab/>
      </w:r>
      <w:r>
        <w:rPr>
          <w:highlight w:val="none"/>
        </w:rPr>
        <w:fldChar w:fldCharType="begin"/>
      </w:r>
      <w:r>
        <w:rPr>
          <w:highlight w:val="none"/>
        </w:rPr>
        <w:instrText xml:space="preserve"> PAGEREF _Toc1782 \h </w:instrText>
      </w:r>
      <w:r>
        <w:rPr>
          <w:highlight w:val="none"/>
        </w:rPr>
        <w:fldChar w:fldCharType="separate"/>
      </w:r>
      <w:r>
        <w:rPr>
          <w:highlight w:val="none"/>
        </w:rPr>
        <w:t xml:space="preserve">13</w:t>
      </w:r>
      <w:r>
        <w:rPr>
          <w:highlight w:val="none"/>
        </w:rPr>
        <w:fldChar w:fldCharType="end"/>
      </w:r>
      <w:r>
        <w:rPr>
          <w:rFonts w:ascii="仿宋" w:hAnsi="仿宋" w:eastAsia="仿宋"/>
          <w:bCs/>
          <w:caps/>
          <w:color w:val="auto"/>
          <w:szCs w:val="22"/>
          <w:highlight w:val="none"/>
        </w:rPr>
        <w:fldChar w:fldCharType="end"/>
      </w:r>
      <w:r/>
    </w:p>
    <w:p>
      <w:pPr>
        <w:pStyle w:val="1016"/>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_Toc14542 </w:instrText>
      </w:r>
      <w:r>
        <w:rPr>
          <w:rFonts w:ascii="仿宋" w:hAnsi="仿宋" w:eastAsia="仿宋"/>
          <w:bCs/>
          <w:caps/>
          <w:szCs w:val="22"/>
          <w:highlight w:val="none"/>
        </w:rPr>
        <w:fldChar w:fldCharType="separate"/>
      </w:r>
      <w:r>
        <w:rPr>
          <w:rFonts w:hint="eastAsia" w:ascii="仿宋" w:hAnsi="仿宋" w:eastAsia="仿宋"/>
          <w:szCs w:val="36"/>
          <w:highlight w:val="none"/>
        </w:rPr>
        <w:t xml:space="preserve">第三章  投标邀请</w:t>
      </w:r>
      <w:r>
        <w:rPr>
          <w:highlight w:val="none"/>
        </w:rPr>
        <w:tab/>
      </w:r>
      <w:r>
        <w:rPr>
          <w:highlight w:val="none"/>
        </w:rPr>
        <w:fldChar w:fldCharType="begin"/>
      </w:r>
      <w:r>
        <w:rPr>
          <w:highlight w:val="none"/>
        </w:rPr>
        <w:instrText xml:space="preserve"> PAGEREF _Toc14542 \h </w:instrText>
      </w:r>
      <w:r>
        <w:rPr>
          <w:highlight w:val="none"/>
        </w:rPr>
        <w:fldChar w:fldCharType="separate"/>
      </w:r>
      <w:r>
        <w:rPr>
          <w:highlight w:val="none"/>
        </w:rPr>
        <w:t xml:space="preserve">19</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_Toc3883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一、招标主要内容</w:t>
      </w:r>
      <w:r>
        <w:rPr>
          <w:highlight w:val="none"/>
        </w:rPr>
        <w:tab/>
      </w:r>
      <w:r>
        <w:rPr>
          <w:highlight w:val="none"/>
        </w:rPr>
        <w:fldChar w:fldCharType="begin"/>
      </w:r>
      <w:r>
        <w:rPr>
          <w:highlight w:val="none"/>
        </w:rPr>
        <w:instrText xml:space="preserve"> PAGEREF _Toc3883 \h </w:instrText>
      </w:r>
      <w:r>
        <w:rPr>
          <w:highlight w:val="none"/>
        </w:rPr>
        <w:fldChar w:fldCharType="separate"/>
      </w:r>
      <w:r>
        <w:rPr>
          <w:highlight w:val="none"/>
        </w:rPr>
        <w:t xml:space="preserve">19</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_Toc9242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二、合格供应商的基本资格要求（本项目为资格后审）</w:t>
      </w:r>
      <w:r>
        <w:rPr>
          <w:highlight w:val="none"/>
        </w:rPr>
        <w:tab/>
      </w:r>
      <w:r>
        <w:rPr>
          <w:highlight w:val="none"/>
        </w:rPr>
        <w:fldChar w:fldCharType="begin"/>
      </w:r>
      <w:r>
        <w:rPr>
          <w:highlight w:val="none"/>
        </w:rPr>
        <w:instrText xml:space="preserve"> PAGEREF _Toc9242 \h </w:instrText>
      </w:r>
      <w:r>
        <w:rPr>
          <w:highlight w:val="none"/>
        </w:rPr>
        <w:fldChar w:fldCharType="separate"/>
      </w:r>
      <w:r>
        <w:rPr>
          <w:highlight w:val="none"/>
        </w:rPr>
        <w:t xml:space="preserve">21</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_Toc18984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三、评标办法</w:t>
      </w:r>
      <w:r>
        <w:rPr>
          <w:highlight w:val="none"/>
        </w:rPr>
        <w:tab/>
      </w:r>
      <w:r>
        <w:rPr>
          <w:highlight w:val="none"/>
        </w:rPr>
        <w:fldChar w:fldCharType="begin"/>
      </w:r>
      <w:r>
        <w:rPr>
          <w:highlight w:val="none"/>
        </w:rPr>
        <w:instrText xml:space="preserve"> PAGEREF _Toc18984 \h </w:instrText>
      </w:r>
      <w:r>
        <w:rPr>
          <w:highlight w:val="none"/>
        </w:rPr>
        <w:fldChar w:fldCharType="separate"/>
      </w:r>
      <w:r>
        <w:rPr>
          <w:highlight w:val="none"/>
        </w:rPr>
        <w:t xml:space="preserve">22</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_Toc25241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四、样品</w:t>
      </w:r>
      <w:r>
        <w:rPr>
          <w:highlight w:val="none"/>
        </w:rPr>
        <w:tab/>
      </w:r>
      <w:r>
        <w:rPr>
          <w:highlight w:val="none"/>
        </w:rPr>
        <w:fldChar w:fldCharType="begin"/>
      </w:r>
      <w:r>
        <w:rPr>
          <w:highlight w:val="none"/>
        </w:rPr>
        <w:instrText xml:space="preserve"> PAGEREF _Toc25241 \h </w:instrText>
      </w:r>
      <w:r>
        <w:rPr>
          <w:highlight w:val="none"/>
        </w:rPr>
        <w:fldChar w:fldCharType="separate"/>
      </w:r>
      <w:r>
        <w:rPr>
          <w:highlight w:val="none"/>
        </w:rPr>
        <w:t xml:space="preserve">25</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_Toc3559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五、有关招投标的事务和本项目的更正通知</w:t>
      </w:r>
      <w:r>
        <w:rPr>
          <w:highlight w:val="none"/>
        </w:rPr>
        <w:tab/>
      </w:r>
      <w:r>
        <w:rPr>
          <w:highlight w:val="none"/>
        </w:rPr>
        <w:fldChar w:fldCharType="begin"/>
      </w:r>
      <w:r>
        <w:rPr>
          <w:highlight w:val="none"/>
        </w:rPr>
        <w:instrText xml:space="preserve"> PAGEREF _Toc3559 \h </w:instrText>
      </w:r>
      <w:r>
        <w:rPr>
          <w:highlight w:val="none"/>
        </w:rPr>
        <w:fldChar w:fldCharType="separate"/>
      </w:r>
      <w:r>
        <w:rPr>
          <w:highlight w:val="none"/>
        </w:rPr>
        <w:t xml:space="preserve">25</w:t>
      </w:r>
      <w:r>
        <w:rPr>
          <w:highlight w:val="none"/>
        </w:rPr>
        <w:fldChar w:fldCharType="end"/>
      </w:r>
      <w:r>
        <w:rPr>
          <w:rFonts w:ascii="仿宋" w:hAnsi="仿宋" w:eastAsia="仿宋"/>
          <w:bCs/>
          <w:caps/>
          <w:color w:val="auto"/>
          <w:szCs w:val="22"/>
          <w:highlight w:val="none"/>
        </w:rPr>
        <w:fldChar w:fldCharType="end"/>
      </w:r>
      <w:r/>
    </w:p>
    <w:p>
      <w:pPr>
        <w:pStyle w:val="1016"/>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_Toc12490 </w:instrText>
      </w:r>
      <w:r>
        <w:rPr>
          <w:rFonts w:ascii="仿宋" w:hAnsi="仿宋" w:eastAsia="仿宋"/>
          <w:bCs/>
          <w:caps/>
          <w:szCs w:val="22"/>
          <w:highlight w:val="none"/>
        </w:rPr>
        <w:fldChar w:fldCharType="separate"/>
      </w:r>
      <w:r>
        <w:rPr>
          <w:rFonts w:hint="eastAsia" w:ascii="仿宋" w:hAnsi="仿宋" w:eastAsia="仿宋"/>
          <w:highlight w:val="none"/>
        </w:rPr>
        <w:t xml:space="preserve">第四章  招标技术规格及要求</w:t>
      </w:r>
      <w:r>
        <w:rPr>
          <w:highlight w:val="none"/>
        </w:rPr>
        <w:tab/>
      </w:r>
      <w:r>
        <w:rPr>
          <w:highlight w:val="none"/>
        </w:rPr>
        <w:fldChar w:fldCharType="begin"/>
      </w:r>
      <w:r>
        <w:rPr>
          <w:highlight w:val="none"/>
        </w:rPr>
        <w:instrText xml:space="preserve"> PAGEREF _Toc12490 \h </w:instrText>
      </w:r>
      <w:r>
        <w:rPr>
          <w:highlight w:val="none"/>
        </w:rPr>
        <w:fldChar w:fldCharType="separate"/>
      </w:r>
      <w:r>
        <w:rPr>
          <w:highlight w:val="none"/>
        </w:rPr>
        <w:t xml:space="preserve">26</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_Toc4521 </w:instrText>
      </w:r>
      <w:r>
        <w:rPr>
          <w:rFonts w:ascii="仿宋" w:hAnsi="仿宋" w:eastAsia="仿宋"/>
          <w:bCs/>
          <w:caps/>
          <w:szCs w:val="22"/>
          <w:highlight w:val="none"/>
        </w:rPr>
        <w:fldChar w:fldCharType="separate"/>
      </w:r>
      <w:r>
        <w:rPr>
          <w:rFonts w:hint="eastAsia" w:ascii="仿宋" w:hAnsi="仿宋" w:eastAsia="仿宋"/>
          <w:bCs/>
          <w:szCs w:val="24"/>
          <w:highlight w:val="none"/>
        </w:rPr>
        <w:t xml:space="preserve">一、采购需求</w:t>
      </w:r>
      <w:r>
        <w:rPr>
          <w:highlight w:val="none"/>
        </w:rPr>
        <w:tab/>
      </w:r>
      <w:r>
        <w:rPr>
          <w:highlight w:val="none"/>
        </w:rPr>
        <w:fldChar w:fldCharType="begin"/>
      </w:r>
      <w:r>
        <w:rPr>
          <w:highlight w:val="none"/>
        </w:rPr>
        <w:instrText xml:space="preserve"> PAGEREF _Toc4521 \h </w:instrText>
      </w:r>
      <w:r>
        <w:rPr>
          <w:highlight w:val="none"/>
        </w:rPr>
        <w:fldChar w:fldCharType="separate"/>
      </w:r>
      <w:r>
        <w:rPr>
          <w:highlight w:val="none"/>
        </w:rPr>
        <w:t xml:space="preserve">26</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_Toc10917 </w:instrText>
      </w:r>
      <w:r>
        <w:rPr>
          <w:rFonts w:ascii="仿宋" w:hAnsi="仿宋" w:eastAsia="仿宋"/>
          <w:bCs/>
          <w:caps/>
          <w:szCs w:val="22"/>
          <w:highlight w:val="none"/>
        </w:rPr>
        <w:fldChar w:fldCharType="separate"/>
      </w:r>
      <w:r>
        <w:rPr>
          <w:rFonts w:hint="eastAsia" w:ascii="仿宋" w:hAnsi="仿宋" w:eastAsia="仿宋"/>
          <w:bCs/>
          <w:szCs w:val="24"/>
          <w:highlight w:val="none"/>
        </w:rPr>
        <w:t xml:space="preserve">二</w:t>
      </w:r>
      <w:r>
        <w:rPr>
          <w:rFonts w:ascii="仿宋" w:hAnsi="仿宋" w:eastAsia="仿宋"/>
          <w:bCs/>
          <w:szCs w:val="24"/>
          <w:highlight w:val="none"/>
        </w:rPr>
        <w:t xml:space="preserve">、预期提交成果</w:t>
      </w:r>
      <w:r>
        <w:rPr>
          <w:highlight w:val="none"/>
        </w:rPr>
        <w:tab/>
      </w:r>
      <w:r>
        <w:rPr>
          <w:highlight w:val="none"/>
        </w:rPr>
        <w:fldChar w:fldCharType="begin"/>
      </w:r>
      <w:r>
        <w:rPr>
          <w:highlight w:val="none"/>
        </w:rPr>
        <w:instrText xml:space="preserve"> PAGEREF _Toc10917 \h </w:instrText>
      </w:r>
      <w:r>
        <w:rPr>
          <w:highlight w:val="none"/>
        </w:rPr>
        <w:fldChar w:fldCharType="separate"/>
      </w:r>
      <w:r>
        <w:rPr>
          <w:highlight w:val="none"/>
        </w:rPr>
        <w:t xml:space="preserve">26</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_Toc9308 </w:instrText>
      </w:r>
      <w:r>
        <w:rPr>
          <w:rFonts w:ascii="仿宋" w:hAnsi="仿宋" w:eastAsia="仿宋"/>
          <w:bCs/>
          <w:caps/>
          <w:szCs w:val="22"/>
          <w:highlight w:val="none"/>
        </w:rPr>
        <w:fldChar w:fldCharType="separate"/>
      </w:r>
      <w:r>
        <w:rPr>
          <w:rFonts w:hint="eastAsia" w:ascii="仿宋" w:hAnsi="仿宋" w:eastAsia="仿宋"/>
          <w:bCs/>
          <w:szCs w:val="24"/>
          <w:highlight w:val="none"/>
        </w:rPr>
        <w:t xml:space="preserve">三</w:t>
      </w:r>
      <w:r>
        <w:rPr>
          <w:rFonts w:ascii="仿宋" w:hAnsi="仿宋" w:eastAsia="仿宋"/>
          <w:bCs/>
          <w:szCs w:val="24"/>
          <w:highlight w:val="none"/>
        </w:rPr>
        <w:t xml:space="preserve">、</w:t>
      </w:r>
      <w:r>
        <w:rPr>
          <w:rFonts w:hint="eastAsia" w:ascii="仿宋" w:hAnsi="仿宋" w:eastAsia="仿宋"/>
          <w:bCs/>
          <w:szCs w:val="24"/>
          <w:highlight w:val="none"/>
        </w:rPr>
        <w:t xml:space="preserve">技术</w:t>
      </w:r>
      <w:r>
        <w:rPr>
          <w:rFonts w:ascii="仿宋" w:hAnsi="仿宋" w:eastAsia="仿宋"/>
          <w:bCs/>
          <w:szCs w:val="24"/>
          <w:highlight w:val="none"/>
        </w:rPr>
        <w:t xml:space="preserve">要求</w:t>
      </w:r>
      <w:r>
        <w:rPr>
          <w:highlight w:val="none"/>
        </w:rPr>
        <w:tab/>
      </w:r>
      <w:r>
        <w:rPr>
          <w:highlight w:val="none"/>
        </w:rPr>
        <w:fldChar w:fldCharType="begin"/>
      </w:r>
      <w:r>
        <w:rPr>
          <w:highlight w:val="none"/>
        </w:rPr>
        <w:instrText xml:space="preserve"> PAGEREF _Toc9308 \h </w:instrText>
      </w:r>
      <w:r>
        <w:rPr>
          <w:highlight w:val="none"/>
        </w:rPr>
        <w:fldChar w:fldCharType="separate"/>
      </w:r>
      <w:r>
        <w:rPr>
          <w:highlight w:val="none"/>
        </w:rPr>
        <w:t xml:space="preserve">27</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_Toc17127 </w:instrText>
      </w:r>
      <w:r>
        <w:rPr>
          <w:rFonts w:ascii="仿宋" w:hAnsi="仿宋" w:eastAsia="仿宋"/>
          <w:bCs/>
          <w:caps/>
          <w:szCs w:val="22"/>
          <w:highlight w:val="none"/>
        </w:rPr>
        <w:fldChar w:fldCharType="separate"/>
      </w:r>
      <w:r>
        <w:rPr>
          <w:rFonts w:hint="eastAsia" w:ascii="仿宋" w:hAnsi="仿宋" w:eastAsia="仿宋"/>
          <w:bCs/>
          <w:szCs w:val="24"/>
          <w:highlight w:val="none"/>
        </w:rPr>
        <w:t xml:space="preserve">四、交付时间</w:t>
      </w:r>
      <w:r>
        <w:rPr>
          <w:highlight w:val="none"/>
        </w:rPr>
        <w:tab/>
      </w:r>
      <w:r>
        <w:rPr>
          <w:highlight w:val="none"/>
        </w:rPr>
        <w:fldChar w:fldCharType="begin"/>
      </w:r>
      <w:r>
        <w:rPr>
          <w:highlight w:val="none"/>
        </w:rPr>
        <w:instrText xml:space="preserve"> PAGEREF _Toc17127 \h </w:instrText>
      </w:r>
      <w:r>
        <w:rPr>
          <w:highlight w:val="none"/>
        </w:rPr>
        <w:fldChar w:fldCharType="separate"/>
      </w:r>
      <w:r>
        <w:rPr>
          <w:highlight w:val="none"/>
        </w:rPr>
        <w:t xml:space="preserve">27</w:t>
      </w:r>
      <w:r>
        <w:rPr>
          <w:highlight w:val="none"/>
        </w:rPr>
        <w:fldChar w:fldCharType="end"/>
      </w:r>
      <w:r>
        <w:rPr>
          <w:rFonts w:ascii="仿宋" w:hAnsi="仿宋" w:eastAsia="仿宋"/>
          <w:bCs/>
          <w:caps/>
          <w:color w:val="auto"/>
          <w:szCs w:val="22"/>
          <w:highlight w:val="none"/>
        </w:rPr>
        <w:fldChar w:fldCharType="end"/>
      </w:r>
      <w:r/>
    </w:p>
    <w:p>
      <w:pPr>
        <w:pStyle w:val="1016"/>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_Toc30501 </w:instrText>
      </w:r>
      <w:r>
        <w:rPr>
          <w:rFonts w:ascii="仿宋" w:hAnsi="仿宋" w:eastAsia="仿宋"/>
          <w:bCs/>
          <w:caps/>
          <w:szCs w:val="22"/>
          <w:highlight w:val="none"/>
        </w:rPr>
        <w:fldChar w:fldCharType="separate"/>
      </w:r>
      <w:r>
        <w:rPr>
          <w:rFonts w:hint="eastAsia" w:ascii="仿宋" w:hAnsi="仿宋" w:eastAsia="仿宋"/>
          <w:highlight w:val="none"/>
        </w:rPr>
        <w:t xml:space="preserve">第五章  投标文件格式</w:t>
      </w:r>
      <w:r>
        <w:rPr>
          <w:highlight w:val="none"/>
        </w:rPr>
        <w:tab/>
      </w:r>
      <w:r>
        <w:rPr>
          <w:highlight w:val="none"/>
        </w:rPr>
        <w:fldChar w:fldCharType="begin"/>
      </w:r>
      <w:r>
        <w:rPr>
          <w:highlight w:val="none"/>
        </w:rPr>
        <w:instrText xml:space="preserve"> PAGEREF _Toc30501 \h </w:instrText>
      </w:r>
      <w:r>
        <w:rPr>
          <w:highlight w:val="none"/>
        </w:rPr>
        <w:fldChar w:fldCharType="separate"/>
      </w:r>
      <w:r>
        <w:rPr>
          <w:highlight w:val="none"/>
        </w:rPr>
        <w:t xml:space="preserve">28</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_Toc20988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一、投标函、投标报价及项目相关文件</w:t>
      </w:r>
      <w:r>
        <w:rPr>
          <w:highlight w:val="none"/>
        </w:rPr>
        <w:tab/>
      </w:r>
      <w:r>
        <w:rPr>
          <w:highlight w:val="none"/>
        </w:rPr>
        <w:fldChar w:fldCharType="begin"/>
      </w:r>
      <w:r>
        <w:rPr>
          <w:highlight w:val="none"/>
        </w:rPr>
        <w:instrText xml:space="preserve"> PAGEREF _Toc20988 \h </w:instrText>
      </w:r>
      <w:r>
        <w:rPr>
          <w:highlight w:val="none"/>
        </w:rPr>
        <w:fldChar w:fldCharType="separate"/>
      </w:r>
      <w:r>
        <w:rPr>
          <w:highlight w:val="none"/>
        </w:rPr>
        <w:t xml:space="preserve">29</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_Toc9527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1.投标函</w:t>
      </w:r>
      <w:r>
        <w:rPr>
          <w:highlight w:val="none"/>
        </w:rPr>
        <w:tab/>
      </w:r>
      <w:r>
        <w:rPr>
          <w:highlight w:val="none"/>
        </w:rPr>
        <w:fldChar w:fldCharType="begin"/>
      </w:r>
      <w:r>
        <w:rPr>
          <w:highlight w:val="none"/>
        </w:rPr>
        <w:instrText xml:space="preserve"> PAGEREF _Toc9527 \h </w:instrText>
      </w:r>
      <w:r>
        <w:rPr>
          <w:highlight w:val="none"/>
        </w:rPr>
        <w:fldChar w:fldCharType="separate"/>
      </w:r>
      <w:r>
        <w:rPr>
          <w:highlight w:val="none"/>
        </w:rPr>
        <w:t xml:space="preserve">29</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_Toc24821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2.开标一览表</w:t>
      </w:r>
      <w:r>
        <w:rPr>
          <w:highlight w:val="none"/>
        </w:rPr>
        <w:tab/>
      </w:r>
      <w:r>
        <w:rPr>
          <w:highlight w:val="none"/>
        </w:rPr>
        <w:fldChar w:fldCharType="begin"/>
      </w:r>
      <w:r>
        <w:rPr>
          <w:highlight w:val="none"/>
        </w:rPr>
        <w:instrText xml:space="preserve"> PAGEREF _Toc24821 \h </w:instrText>
      </w:r>
      <w:r>
        <w:rPr>
          <w:highlight w:val="none"/>
        </w:rPr>
        <w:fldChar w:fldCharType="separate"/>
      </w:r>
      <w:r>
        <w:rPr>
          <w:highlight w:val="none"/>
        </w:rPr>
        <w:t xml:space="preserve">30</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_Toc11101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3.报价明细表</w:t>
      </w:r>
      <w:r>
        <w:rPr>
          <w:highlight w:val="none"/>
        </w:rPr>
        <w:tab/>
      </w:r>
      <w:r>
        <w:rPr>
          <w:highlight w:val="none"/>
        </w:rPr>
        <w:fldChar w:fldCharType="begin"/>
      </w:r>
      <w:r>
        <w:rPr>
          <w:highlight w:val="none"/>
        </w:rPr>
        <w:instrText xml:space="preserve"> PAGEREF _Toc11101 \h </w:instrText>
      </w:r>
      <w:r>
        <w:rPr>
          <w:highlight w:val="none"/>
        </w:rPr>
        <w:fldChar w:fldCharType="separate"/>
      </w:r>
      <w:r>
        <w:rPr>
          <w:highlight w:val="none"/>
        </w:rPr>
        <w:t xml:space="preserve">31</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_Toc21734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二、资格证明文件</w:t>
      </w:r>
      <w:r>
        <w:rPr>
          <w:highlight w:val="none"/>
        </w:rPr>
        <w:tab/>
      </w:r>
      <w:r>
        <w:rPr>
          <w:highlight w:val="none"/>
        </w:rPr>
        <w:fldChar w:fldCharType="begin"/>
      </w:r>
      <w:r>
        <w:rPr>
          <w:highlight w:val="none"/>
        </w:rPr>
        <w:instrText xml:space="preserve"> PAGEREF _Toc21734 \h </w:instrText>
      </w:r>
      <w:r>
        <w:rPr>
          <w:highlight w:val="none"/>
        </w:rPr>
        <w:fldChar w:fldCharType="separate"/>
      </w:r>
      <w:r>
        <w:rPr>
          <w:highlight w:val="none"/>
        </w:rPr>
        <w:t xml:space="preserve">32</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_Toc18748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三、法人授权委托书</w:t>
      </w:r>
      <w:r>
        <w:rPr>
          <w:highlight w:val="none"/>
        </w:rPr>
        <w:tab/>
      </w:r>
      <w:r>
        <w:rPr>
          <w:highlight w:val="none"/>
        </w:rPr>
        <w:fldChar w:fldCharType="begin"/>
      </w:r>
      <w:r>
        <w:rPr>
          <w:highlight w:val="none"/>
        </w:rPr>
        <w:instrText xml:space="preserve"> PAGEREF _Toc18748 \h </w:instrText>
      </w:r>
      <w:r>
        <w:rPr>
          <w:highlight w:val="none"/>
        </w:rPr>
        <w:fldChar w:fldCharType="separate"/>
      </w:r>
      <w:r>
        <w:rPr>
          <w:highlight w:val="none"/>
        </w:rPr>
        <w:t xml:space="preserve">33</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_Toc4301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四、证明服务的合格性和符合招标文件规定的文件的实施方案</w:t>
      </w:r>
      <w:r>
        <w:rPr>
          <w:highlight w:val="none"/>
        </w:rPr>
        <w:tab/>
      </w:r>
      <w:r>
        <w:rPr>
          <w:highlight w:val="none"/>
        </w:rPr>
        <w:fldChar w:fldCharType="begin"/>
      </w:r>
      <w:r>
        <w:rPr>
          <w:highlight w:val="none"/>
        </w:rPr>
        <w:instrText xml:space="preserve"> PAGEREF _Toc4301 \h </w:instrText>
      </w:r>
      <w:r>
        <w:rPr>
          <w:highlight w:val="none"/>
        </w:rPr>
        <w:fldChar w:fldCharType="separate"/>
      </w:r>
      <w:r>
        <w:rPr>
          <w:highlight w:val="none"/>
        </w:rPr>
        <w:t xml:space="preserve">34</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_Toc8591 </w:instrText>
      </w:r>
      <w:r>
        <w:rPr>
          <w:rFonts w:ascii="仿宋" w:hAnsi="仿宋" w:eastAsia="仿宋"/>
          <w:bCs/>
          <w:caps/>
          <w:szCs w:val="22"/>
          <w:highlight w:val="none"/>
        </w:rPr>
        <w:fldChar w:fldCharType="separate"/>
      </w:r>
      <w:r>
        <w:rPr>
          <w:rFonts w:eastAsia="仿宋"/>
          <w:szCs w:val="24"/>
          <w:highlight w:val="none"/>
        </w:rPr>
        <w:t xml:space="preserve">1</w:t>
      </w:r>
      <w:r>
        <w:rPr>
          <w:rFonts w:hint="eastAsia" w:eastAsia="仿宋"/>
          <w:szCs w:val="24"/>
          <w:highlight w:val="none"/>
        </w:rPr>
        <w:t xml:space="preserve">.</w:t>
      </w:r>
      <w:r>
        <w:rPr>
          <w:rFonts w:eastAsia="仿宋"/>
          <w:szCs w:val="24"/>
          <w:highlight w:val="none"/>
        </w:rPr>
        <w:t xml:space="preserve">商务条款偏离表</w:t>
      </w:r>
      <w:r>
        <w:rPr>
          <w:highlight w:val="none"/>
        </w:rPr>
        <w:tab/>
      </w:r>
      <w:r>
        <w:rPr>
          <w:highlight w:val="none"/>
        </w:rPr>
        <w:fldChar w:fldCharType="begin"/>
      </w:r>
      <w:r>
        <w:rPr>
          <w:highlight w:val="none"/>
        </w:rPr>
        <w:instrText xml:space="preserve"> PAGEREF _Toc8591 \h </w:instrText>
      </w:r>
      <w:r>
        <w:rPr>
          <w:highlight w:val="none"/>
        </w:rPr>
        <w:fldChar w:fldCharType="separate"/>
      </w:r>
      <w:r>
        <w:rPr>
          <w:highlight w:val="none"/>
        </w:rPr>
        <w:t xml:space="preserve">34</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_Toc31066 </w:instrText>
      </w:r>
      <w:r>
        <w:rPr>
          <w:rFonts w:ascii="仿宋" w:hAnsi="仿宋" w:eastAsia="仿宋"/>
          <w:bCs/>
          <w:caps/>
          <w:szCs w:val="22"/>
          <w:highlight w:val="none"/>
        </w:rPr>
        <w:fldChar w:fldCharType="separate"/>
      </w:r>
      <w:r>
        <w:rPr>
          <w:rFonts w:eastAsia="仿宋"/>
          <w:szCs w:val="24"/>
          <w:highlight w:val="none"/>
        </w:rPr>
        <w:t xml:space="preserve">2</w:t>
      </w:r>
      <w:r>
        <w:rPr>
          <w:rFonts w:hint="eastAsia" w:eastAsia="仿宋"/>
          <w:szCs w:val="24"/>
          <w:highlight w:val="none"/>
        </w:rPr>
        <w:t xml:space="preserve">.</w:t>
      </w:r>
      <w:r>
        <w:rPr>
          <w:rFonts w:eastAsia="仿宋"/>
          <w:szCs w:val="24"/>
          <w:highlight w:val="none"/>
        </w:rPr>
        <w:t xml:space="preserve">技术要求响应/偏离表</w:t>
      </w:r>
      <w:r>
        <w:rPr>
          <w:highlight w:val="none"/>
        </w:rPr>
        <w:tab/>
      </w:r>
      <w:r>
        <w:rPr>
          <w:highlight w:val="none"/>
        </w:rPr>
        <w:fldChar w:fldCharType="begin"/>
      </w:r>
      <w:r>
        <w:rPr>
          <w:highlight w:val="none"/>
        </w:rPr>
        <w:instrText xml:space="preserve"> PAGEREF _Toc31066 \h </w:instrText>
      </w:r>
      <w:r>
        <w:rPr>
          <w:highlight w:val="none"/>
        </w:rPr>
        <w:fldChar w:fldCharType="separate"/>
      </w:r>
      <w:r>
        <w:rPr>
          <w:highlight w:val="none"/>
        </w:rPr>
        <w:t xml:space="preserve">35</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_Toc21112 </w:instrText>
      </w:r>
      <w:r>
        <w:rPr>
          <w:rFonts w:ascii="仿宋" w:hAnsi="仿宋" w:eastAsia="仿宋"/>
          <w:bCs/>
          <w:caps/>
          <w:szCs w:val="22"/>
          <w:highlight w:val="none"/>
        </w:rPr>
        <w:fldChar w:fldCharType="separate"/>
      </w:r>
      <w:r>
        <w:rPr>
          <w:rFonts w:eastAsia="仿宋"/>
          <w:szCs w:val="24"/>
          <w:highlight w:val="none"/>
        </w:rPr>
        <w:t xml:space="preserve">3</w:t>
      </w:r>
      <w:r>
        <w:rPr>
          <w:rFonts w:hint="eastAsia" w:eastAsia="仿宋"/>
          <w:szCs w:val="24"/>
          <w:highlight w:val="none"/>
        </w:rPr>
        <w:t xml:space="preserve">.</w:t>
      </w:r>
      <w:r>
        <w:rPr>
          <w:rFonts w:hint="eastAsia"/>
          <w:highlight w:val="none"/>
        </w:rPr>
        <w:t xml:space="preserve"> </w:t>
      </w:r>
      <w:r>
        <w:rPr>
          <w:rFonts w:hint="eastAsia" w:eastAsia="仿宋"/>
          <w:szCs w:val="24"/>
          <w:highlight w:val="none"/>
        </w:rPr>
        <w:t xml:space="preserve">商务部分</w:t>
      </w:r>
      <w:r>
        <w:rPr>
          <w:highlight w:val="none"/>
        </w:rPr>
        <w:tab/>
      </w:r>
      <w:r>
        <w:rPr>
          <w:highlight w:val="none"/>
        </w:rPr>
        <w:fldChar w:fldCharType="begin"/>
      </w:r>
      <w:r>
        <w:rPr>
          <w:highlight w:val="none"/>
        </w:rPr>
        <w:instrText xml:space="preserve"> PAGEREF _Toc21112 \h </w:instrText>
      </w:r>
      <w:r>
        <w:rPr>
          <w:highlight w:val="none"/>
        </w:rPr>
        <w:fldChar w:fldCharType="separate"/>
      </w:r>
      <w:r>
        <w:rPr>
          <w:highlight w:val="none"/>
        </w:rPr>
        <w:t xml:space="preserve">36</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_Toc27020 </w:instrText>
      </w:r>
      <w:r>
        <w:rPr>
          <w:rFonts w:ascii="仿宋" w:hAnsi="仿宋" w:eastAsia="仿宋"/>
          <w:bCs/>
          <w:caps/>
          <w:szCs w:val="22"/>
          <w:highlight w:val="none"/>
        </w:rPr>
        <w:fldChar w:fldCharType="separate"/>
      </w:r>
      <w:r>
        <w:rPr>
          <w:rFonts w:eastAsia="仿宋"/>
          <w:szCs w:val="24"/>
          <w:highlight w:val="none"/>
        </w:rPr>
        <w:t xml:space="preserve">4</w:t>
      </w:r>
      <w:r>
        <w:rPr>
          <w:rFonts w:hint="eastAsia" w:eastAsia="仿宋"/>
          <w:szCs w:val="24"/>
          <w:highlight w:val="none"/>
        </w:rPr>
        <w:t xml:space="preserve">.</w:t>
      </w:r>
      <w:r>
        <w:rPr>
          <w:rFonts w:hint="eastAsia"/>
          <w:highlight w:val="none"/>
        </w:rPr>
        <w:t xml:space="preserve"> </w:t>
      </w:r>
      <w:r>
        <w:rPr>
          <w:rFonts w:hint="eastAsia" w:eastAsia="仿宋"/>
          <w:szCs w:val="24"/>
          <w:highlight w:val="none"/>
        </w:rPr>
        <w:t xml:space="preserve">技术部分</w:t>
      </w:r>
      <w:r>
        <w:rPr>
          <w:highlight w:val="none"/>
        </w:rPr>
        <w:tab/>
      </w:r>
      <w:r>
        <w:rPr>
          <w:highlight w:val="none"/>
        </w:rPr>
        <w:fldChar w:fldCharType="begin"/>
      </w:r>
      <w:r>
        <w:rPr>
          <w:highlight w:val="none"/>
        </w:rPr>
        <w:instrText xml:space="preserve"> PAGEREF _Toc27020 \h </w:instrText>
      </w:r>
      <w:r>
        <w:rPr>
          <w:highlight w:val="none"/>
        </w:rPr>
        <w:fldChar w:fldCharType="separate"/>
      </w:r>
      <w:r>
        <w:rPr>
          <w:highlight w:val="none"/>
        </w:rPr>
        <w:t xml:space="preserve">36</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_Toc12594 </w:instrText>
      </w:r>
      <w:r>
        <w:rPr>
          <w:rFonts w:ascii="仿宋" w:hAnsi="仿宋" w:eastAsia="仿宋"/>
          <w:bCs/>
          <w:caps/>
          <w:szCs w:val="22"/>
          <w:highlight w:val="none"/>
        </w:rPr>
        <w:fldChar w:fldCharType="separate"/>
      </w:r>
      <w:r>
        <w:rPr>
          <w:rFonts w:ascii="仿宋" w:hAnsi="仿宋" w:eastAsia="仿宋"/>
          <w:szCs w:val="24"/>
          <w:highlight w:val="none"/>
        </w:rPr>
        <w:t xml:space="preserve">五</w:t>
      </w:r>
      <w:r>
        <w:rPr>
          <w:rFonts w:hint="eastAsia" w:ascii="仿宋" w:hAnsi="仿宋" w:eastAsia="仿宋"/>
          <w:szCs w:val="24"/>
          <w:highlight w:val="none"/>
        </w:rPr>
        <w:t xml:space="preserve">、其他针对“第三章  投标邀请”中“评标办法”的相关内容</w:t>
      </w:r>
      <w:r>
        <w:rPr>
          <w:highlight w:val="none"/>
        </w:rPr>
        <w:tab/>
      </w:r>
      <w:r>
        <w:rPr>
          <w:highlight w:val="none"/>
        </w:rPr>
        <w:fldChar w:fldCharType="begin"/>
      </w:r>
      <w:r>
        <w:rPr>
          <w:highlight w:val="none"/>
        </w:rPr>
        <w:instrText xml:space="preserve"> PAGEREF _Toc12594 \h </w:instrText>
      </w:r>
      <w:r>
        <w:rPr>
          <w:highlight w:val="none"/>
        </w:rPr>
        <w:fldChar w:fldCharType="separate"/>
      </w:r>
      <w:r>
        <w:rPr>
          <w:highlight w:val="none"/>
        </w:rPr>
        <w:t xml:space="preserve">36</w:t>
      </w:r>
      <w:r>
        <w:rPr>
          <w:highlight w:val="none"/>
        </w:rPr>
        <w:fldChar w:fldCharType="end"/>
      </w:r>
      <w:r>
        <w:rPr>
          <w:rFonts w:ascii="仿宋" w:hAnsi="仿宋" w:eastAsia="仿宋"/>
          <w:bCs/>
          <w:caps/>
          <w:color w:val="auto"/>
          <w:szCs w:val="22"/>
          <w:highlight w:val="none"/>
        </w:rPr>
        <w:fldChar w:fldCharType="end"/>
      </w:r>
      <w:r/>
    </w:p>
    <w:p>
      <w:pPr>
        <w:pStyle w:val="1022"/>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_Toc5899 </w:instrText>
      </w:r>
      <w:r>
        <w:rPr>
          <w:rFonts w:ascii="仿宋" w:hAnsi="仿宋" w:eastAsia="仿宋"/>
          <w:bCs/>
          <w:caps/>
          <w:szCs w:val="22"/>
          <w:highlight w:val="none"/>
        </w:rPr>
        <w:fldChar w:fldCharType="separate"/>
      </w:r>
      <w:r>
        <w:rPr>
          <w:rFonts w:hint="eastAsia" w:ascii="仿宋" w:hAnsi="仿宋" w:eastAsia="仿宋"/>
          <w:szCs w:val="24"/>
          <w:highlight w:val="none"/>
        </w:rPr>
        <w:t xml:space="preserve">六、政府采购政策</w:t>
      </w:r>
      <w:r>
        <w:rPr>
          <w:highlight w:val="none"/>
        </w:rPr>
        <w:tab/>
      </w:r>
      <w:r>
        <w:rPr>
          <w:highlight w:val="none"/>
        </w:rPr>
        <w:fldChar w:fldCharType="begin"/>
      </w:r>
      <w:r>
        <w:rPr>
          <w:highlight w:val="none"/>
        </w:rPr>
        <w:instrText xml:space="preserve"> PAGEREF _Toc5899 \h </w:instrText>
      </w:r>
      <w:r>
        <w:rPr>
          <w:highlight w:val="none"/>
        </w:rPr>
        <w:fldChar w:fldCharType="separate"/>
      </w:r>
      <w:r>
        <w:rPr>
          <w:highlight w:val="none"/>
        </w:rPr>
        <w:t xml:space="preserve">37</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_Toc17618 </w:instrText>
      </w:r>
      <w:r>
        <w:rPr>
          <w:rFonts w:ascii="仿宋" w:hAnsi="仿宋" w:eastAsia="仿宋"/>
          <w:bCs/>
          <w:caps/>
          <w:szCs w:val="22"/>
          <w:highlight w:val="none"/>
        </w:rPr>
        <w:fldChar w:fldCharType="separate"/>
      </w:r>
      <w:r>
        <w:rPr>
          <w:rFonts w:ascii="仿宋" w:hAnsi="仿宋" w:eastAsia="仿宋"/>
          <w:bCs/>
          <w:szCs w:val="24"/>
          <w:highlight w:val="none"/>
        </w:rPr>
        <w:t xml:space="preserve">（一）政府采购促进中小企业发展政策</w:t>
      </w:r>
      <w:r>
        <w:rPr>
          <w:highlight w:val="none"/>
        </w:rPr>
        <w:tab/>
      </w:r>
      <w:r>
        <w:rPr>
          <w:highlight w:val="none"/>
        </w:rPr>
        <w:fldChar w:fldCharType="begin"/>
      </w:r>
      <w:r>
        <w:rPr>
          <w:highlight w:val="none"/>
        </w:rPr>
        <w:instrText xml:space="preserve"> PAGEREF _Toc17618 \h </w:instrText>
      </w:r>
      <w:r>
        <w:rPr>
          <w:highlight w:val="none"/>
        </w:rPr>
        <w:fldChar w:fldCharType="separate"/>
      </w:r>
      <w:r>
        <w:rPr>
          <w:highlight w:val="none"/>
        </w:rPr>
        <w:t xml:space="preserve">37</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_Toc7285 </w:instrText>
      </w:r>
      <w:r>
        <w:rPr>
          <w:rFonts w:ascii="仿宋" w:hAnsi="仿宋" w:eastAsia="仿宋"/>
          <w:bCs/>
          <w:caps/>
          <w:szCs w:val="22"/>
          <w:highlight w:val="none"/>
        </w:rPr>
        <w:fldChar w:fldCharType="separate"/>
      </w:r>
      <w:r>
        <w:rPr>
          <w:rFonts w:ascii="仿宋" w:hAnsi="仿宋" w:eastAsia="仿宋"/>
          <w:bCs/>
          <w:szCs w:val="24"/>
          <w:highlight w:val="none"/>
        </w:rPr>
        <w:t xml:space="preserve">（二）政府采购节能产品政策</w:t>
      </w:r>
      <w:r>
        <w:rPr>
          <w:highlight w:val="none"/>
        </w:rPr>
        <w:tab/>
      </w:r>
      <w:r>
        <w:rPr>
          <w:highlight w:val="none"/>
        </w:rPr>
        <w:fldChar w:fldCharType="begin"/>
      </w:r>
      <w:r>
        <w:rPr>
          <w:highlight w:val="none"/>
        </w:rPr>
        <w:instrText xml:space="preserve"> PAGEREF _Toc7285 \h </w:instrText>
      </w:r>
      <w:r>
        <w:rPr>
          <w:highlight w:val="none"/>
        </w:rPr>
        <w:fldChar w:fldCharType="separate"/>
      </w:r>
      <w:r>
        <w:rPr>
          <w:highlight w:val="none"/>
        </w:rPr>
        <w:t xml:space="preserve">41</w:t>
      </w:r>
      <w:r>
        <w:rPr>
          <w:highlight w:val="none"/>
        </w:rPr>
        <w:fldChar w:fldCharType="end"/>
      </w:r>
      <w:r>
        <w:rPr>
          <w:rFonts w:ascii="仿宋" w:hAnsi="仿宋" w:eastAsia="仿宋"/>
          <w:bCs/>
          <w:caps/>
          <w:color w:val="auto"/>
          <w:szCs w:val="22"/>
          <w:highlight w:val="none"/>
        </w:rPr>
        <w:fldChar w:fldCharType="end"/>
      </w:r>
      <w:r/>
    </w:p>
    <w:p>
      <w:pPr>
        <w:pStyle w:val="1008"/>
        <w:tabs>
          <w:tab w:val="right" w:pos="9638" w:leader="dot"/>
        </w:tabs>
        <w:rPr>
          <w:highlight w:val="none"/>
        </w:rPr>
      </w:pPr>
      <w:r>
        <w:rPr>
          <w:rFonts w:ascii="仿宋" w:hAnsi="仿宋" w:eastAsia="仿宋"/>
          <w:bCs/>
          <w:caps/>
          <w:color w:val="auto"/>
          <w:szCs w:val="22"/>
          <w:highlight w:val="none"/>
        </w:rPr>
        <w:fldChar w:fldCharType="begin"/>
      </w:r>
      <w:r>
        <w:rPr>
          <w:rFonts w:ascii="仿宋" w:hAnsi="仿宋" w:eastAsia="仿宋"/>
          <w:bCs/>
          <w:caps/>
          <w:szCs w:val="22"/>
          <w:highlight w:val="none"/>
        </w:rPr>
        <w:instrText xml:space="preserve"> HYPERLINK \l _Toc13784 </w:instrText>
      </w:r>
      <w:r>
        <w:rPr>
          <w:rFonts w:ascii="仿宋" w:hAnsi="仿宋" w:eastAsia="仿宋"/>
          <w:bCs/>
          <w:caps/>
          <w:szCs w:val="22"/>
          <w:highlight w:val="none"/>
        </w:rPr>
        <w:fldChar w:fldCharType="separate"/>
      </w:r>
      <w:r>
        <w:rPr>
          <w:rFonts w:ascii="仿宋" w:hAnsi="仿宋" w:eastAsia="仿宋"/>
          <w:bCs/>
          <w:szCs w:val="24"/>
          <w:highlight w:val="none"/>
        </w:rPr>
        <w:t xml:space="preserve">（三）政府采购环境标志产品政策</w:t>
      </w:r>
      <w:r>
        <w:rPr>
          <w:highlight w:val="none"/>
        </w:rPr>
        <w:tab/>
      </w:r>
      <w:r>
        <w:rPr>
          <w:highlight w:val="none"/>
        </w:rPr>
        <w:fldChar w:fldCharType="begin"/>
      </w:r>
      <w:r>
        <w:rPr>
          <w:highlight w:val="none"/>
        </w:rPr>
        <w:instrText xml:space="preserve"> PAGEREF _Toc13784 \h </w:instrText>
      </w:r>
      <w:r>
        <w:rPr>
          <w:highlight w:val="none"/>
        </w:rPr>
        <w:fldChar w:fldCharType="separate"/>
      </w:r>
      <w:r>
        <w:rPr>
          <w:highlight w:val="none"/>
        </w:rPr>
        <w:t xml:space="preserve">42</w:t>
      </w:r>
      <w:r>
        <w:rPr>
          <w:highlight w:val="none"/>
        </w:rPr>
        <w:fldChar w:fldCharType="end"/>
      </w:r>
      <w:r>
        <w:rPr>
          <w:rFonts w:ascii="仿宋" w:hAnsi="仿宋" w:eastAsia="仿宋"/>
          <w:bCs/>
          <w:caps/>
          <w:color w:val="auto"/>
          <w:szCs w:val="22"/>
          <w:highlight w:val="none"/>
        </w:rPr>
        <w:fldChar w:fldCharType="end"/>
      </w:r>
      <w:r/>
    </w:p>
    <w:p>
      <w:pPr>
        <w:pStyle w:val="1008"/>
        <w:ind w:left="0"/>
        <w:tabs>
          <w:tab w:val="right" w:pos="9060" w:leader="dot"/>
        </w:tabs>
        <w:rPr>
          <w:rFonts w:ascii="仿宋" w:hAnsi="仿宋" w:eastAsia="仿宋"/>
          <w:bCs/>
          <w:caps/>
          <w:color w:val="auto"/>
          <w:sz w:val="22"/>
          <w:szCs w:val="22"/>
          <w:highlight w:val="none"/>
        </w:rPr>
      </w:pPr>
      <w:r>
        <w:rPr>
          <w:rFonts w:ascii="仿宋" w:hAnsi="仿宋" w:eastAsia="仿宋"/>
          <w:bCs/>
          <w:caps/>
          <w:color w:val="auto"/>
          <w:szCs w:val="22"/>
          <w:highlight w:val="none"/>
        </w:rPr>
        <w:fldChar w:fldCharType="end"/>
      </w:r>
      <w:r/>
    </w:p>
    <w:p>
      <w:pPr>
        <w:widowControl/>
        <w:rPr>
          <w:rFonts w:ascii="仿宋" w:hAnsi="仿宋" w:eastAsia="仿宋"/>
          <w:bCs/>
          <w:iCs/>
          <w:caps/>
          <w:color w:val="auto"/>
          <w:sz w:val="22"/>
          <w:szCs w:val="22"/>
          <w:highlight w:val="none"/>
        </w:rPr>
      </w:pPr>
      <w:r>
        <w:rPr>
          <w:rFonts w:ascii="仿宋" w:hAnsi="仿宋" w:eastAsia="仿宋"/>
          <w:bCs/>
          <w:caps/>
          <w:color w:val="auto"/>
          <w:sz w:val="22"/>
          <w:szCs w:val="22"/>
          <w:highlight w:val="none"/>
        </w:rPr>
        <w:br w:type="page" w:clear="all"/>
      </w:r>
      <w:r/>
    </w:p>
    <w:p>
      <w:pPr>
        <w:pStyle w:val="985"/>
        <w:jc w:val="center"/>
        <w:spacing w:line="240" w:lineRule="auto"/>
        <w:rPr>
          <w:rFonts w:ascii="仿宋" w:hAnsi="仿宋" w:eastAsia="仿宋"/>
          <w:color w:val="auto"/>
          <w:sz w:val="36"/>
          <w:szCs w:val="36"/>
          <w:highlight w:val="none"/>
        </w:rPr>
      </w:pPr>
      <w:r/>
      <w:bookmarkStart w:id="1" w:name="_Toc27786"/>
      <w:r/>
      <w:bookmarkStart w:id="2" w:name="_Toc420657340"/>
      <w:r/>
      <w:bookmarkStart w:id="3" w:name="_Toc420487845"/>
      <w:r/>
      <w:bookmarkStart w:id="4" w:name="OLE_LINK1"/>
      <w:r>
        <w:rPr>
          <w:rFonts w:hint="eastAsia" w:ascii="仿宋" w:hAnsi="仿宋" w:eastAsia="仿宋"/>
          <w:color w:val="auto"/>
          <w:sz w:val="36"/>
          <w:szCs w:val="36"/>
          <w:highlight w:val="none"/>
        </w:rPr>
        <w:t xml:space="preserve">第一章    供应商须知</w:t>
      </w:r>
      <w:bookmarkEnd w:id="1"/>
      <w:r/>
      <w:bookmarkEnd w:id="2"/>
      <w:r/>
      <w:bookmarkEnd w:id="3"/>
      <w:r/>
      <w:r/>
    </w:p>
    <w:p>
      <w:pPr>
        <w:pStyle w:val="986"/>
        <w:jc w:val="center"/>
        <w:spacing w:line="240" w:lineRule="auto"/>
        <w:rPr>
          <w:rFonts w:ascii="仿宋" w:hAnsi="仿宋" w:eastAsia="仿宋"/>
          <w:color w:val="auto"/>
          <w:sz w:val="24"/>
          <w:szCs w:val="24"/>
          <w:highlight w:val="none"/>
        </w:rPr>
      </w:pPr>
      <w:r/>
      <w:bookmarkStart w:id="5" w:name="_Toc524622066"/>
      <w:r/>
      <w:bookmarkStart w:id="6" w:name="_Toc22376"/>
      <w:r>
        <w:rPr>
          <w:rFonts w:hint="eastAsia" w:ascii="仿宋" w:hAnsi="仿宋" w:eastAsia="仿宋"/>
          <w:color w:val="auto"/>
          <w:sz w:val="24"/>
          <w:szCs w:val="24"/>
          <w:highlight w:val="none"/>
        </w:rPr>
        <w:t xml:space="preserve">一、总则</w:t>
      </w:r>
      <w:bookmarkEnd w:id="5"/>
      <w:r/>
      <w:bookmarkEnd w:id="6"/>
      <w:r/>
      <w:r/>
    </w:p>
    <w:p>
      <w:pPr>
        <w:pStyle w:val="987"/>
        <w:spacing w:line="500" w:lineRule="exact"/>
        <w:rPr>
          <w:rFonts w:ascii="仿宋" w:hAnsi="仿宋" w:eastAsia="仿宋"/>
          <w:color w:val="auto"/>
          <w:sz w:val="24"/>
          <w:szCs w:val="24"/>
          <w:highlight w:val="none"/>
        </w:rPr>
      </w:pPr>
      <w:r/>
      <w:bookmarkStart w:id="7" w:name="_Toc496721227"/>
      <w:r/>
      <w:bookmarkStart w:id="8" w:name="_Toc524622067"/>
      <w:r/>
      <w:bookmarkStart w:id="9" w:name="_Toc6828"/>
      <w:r>
        <w:rPr>
          <w:rFonts w:hint="eastAsia" w:ascii="仿宋" w:hAnsi="仿宋" w:eastAsia="仿宋"/>
          <w:color w:val="auto"/>
          <w:sz w:val="24"/>
          <w:szCs w:val="24"/>
          <w:highlight w:val="none"/>
        </w:rPr>
        <w:t xml:space="preserve">1．适用范围</w:t>
      </w:r>
      <w:bookmarkEnd w:id="7"/>
      <w:r/>
      <w:bookmarkEnd w:id="8"/>
      <w:r/>
      <w:bookmarkEnd w:id="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1.l 本招标文件仅适用于江苏省招标中心有限公司（以下简称采购代理机构）组织的招标活动。</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1.2采购人指江苏省地质调查研究院。</w:t>
      </w:r>
      <w:r/>
    </w:p>
    <w:p>
      <w:pPr>
        <w:pStyle w:val="987"/>
        <w:spacing w:line="500" w:lineRule="exact"/>
        <w:rPr>
          <w:rFonts w:ascii="仿宋" w:hAnsi="仿宋" w:eastAsia="仿宋"/>
          <w:color w:val="auto"/>
          <w:sz w:val="24"/>
          <w:szCs w:val="24"/>
          <w:highlight w:val="none"/>
        </w:rPr>
      </w:pPr>
      <w:r/>
      <w:bookmarkStart w:id="10" w:name="_Toc496721228"/>
      <w:r/>
      <w:bookmarkStart w:id="11" w:name="_Toc2996"/>
      <w:r/>
      <w:bookmarkStart w:id="12" w:name="_Toc420657343"/>
      <w:r/>
      <w:bookmarkStart w:id="13" w:name="_Toc420487848"/>
      <w:r/>
      <w:bookmarkStart w:id="14" w:name="_Toc524622068"/>
      <w:r/>
      <w:bookmarkStart w:id="15" w:name="_Toc493863202"/>
      <w:r>
        <w:rPr>
          <w:rFonts w:hint="eastAsia" w:ascii="仿宋" w:hAnsi="仿宋" w:eastAsia="仿宋"/>
          <w:color w:val="auto"/>
          <w:sz w:val="24"/>
          <w:szCs w:val="24"/>
          <w:highlight w:val="none"/>
        </w:rPr>
        <w:t xml:space="preserve">2．合格的供应商</w:t>
      </w:r>
      <w:bookmarkEnd w:id="10"/>
      <w:r/>
      <w:bookmarkEnd w:id="11"/>
      <w:r/>
      <w:bookmarkEnd w:id="12"/>
      <w:r/>
      <w:bookmarkEnd w:id="13"/>
      <w:r/>
      <w:bookmarkEnd w:id="14"/>
      <w:r/>
      <w:bookmarkEnd w:id="1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2.l 凡有能力按照本招标文件规定的要求交付货物、工程和服务，并符合招标文件第三章“合格供应商的基本资格要求”的投标单位均为合格的供应商。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 供应商参加本次招标活动应当符合《中华人民共和国政府采购法》的规定并符合此招标文件的规定。</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 供应商应遵守《中华人民共和国政府采购法》、《民法典》和《反不正当竞争法》等有关法律、法规，如有违反，将视为不合格供应商，其投标文件无效。</w:t>
      </w:r>
      <w:r/>
    </w:p>
    <w:p>
      <w:pPr>
        <w:pStyle w:val="987"/>
        <w:spacing w:line="500" w:lineRule="exact"/>
        <w:rPr>
          <w:rFonts w:ascii="仿宋" w:hAnsi="仿宋" w:eastAsia="仿宋"/>
          <w:color w:val="auto"/>
          <w:sz w:val="24"/>
          <w:szCs w:val="24"/>
          <w:highlight w:val="none"/>
        </w:rPr>
      </w:pPr>
      <w:r/>
      <w:bookmarkStart w:id="16" w:name="_Toc29906"/>
      <w:r/>
      <w:bookmarkStart w:id="17" w:name="_Toc420487849"/>
      <w:r/>
      <w:bookmarkStart w:id="18" w:name="_Toc420657344"/>
      <w:r/>
      <w:bookmarkStart w:id="19" w:name="_Toc493863203"/>
      <w:r/>
      <w:bookmarkStart w:id="20" w:name="_Toc496721229"/>
      <w:r/>
      <w:bookmarkStart w:id="21" w:name="_Toc524622069"/>
      <w:r>
        <w:rPr>
          <w:rFonts w:hint="eastAsia" w:ascii="仿宋" w:hAnsi="仿宋" w:eastAsia="仿宋"/>
          <w:color w:val="auto"/>
          <w:sz w:val="24"/>
          <w:szCs w:val="24"/>
          <w:highlight w:val="none"/>
        </w:rPr>
        <w:t xml:space="preserve">3．投标费用</w:t>
      </w:r>
      <w:bookmarkEnd w:id="16"/>
      <w:r/>
      <w:bookmarkEnd w:id="17"/>
      <w:r/>
      <w:bookmarkEnd w:id="18"/>
      <w:r/>
      <w:bookmarkEnd w:id="19"/>
      <w:r/>
      <w:bookmarkEnd w:id="20"/>
      <w:r/>
      <w:bookmarkEnd w:id="2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无论招标投标过程中的做法和结果如何，供应商自行承担与参加投标有关的全部费用。</w:t>
      </w:r>
      <w:r/>
    </w:p>
    <w:p>
      <w:pPr>
        <w:pStyle w:val="987"/>
        <w:spacing w:line="500" w:lineRule="exact"/>
        <w:rPr>
          <w:rFonts w:ascii="仿宋" w:hAnsi="仿宋" w:eastAsia="仿宋"/>
          <w:color w:val="auto"/>
          <w:sz w:val="24"/>
          <w:szCs w:val="24"/>
          <w:highlight w:val="none"/>
        </w:rPr>
      </w:pPr>
      <w:r/>
      <w:bookmarkStart w:id="22" w:name="_Toc420657345"/>
      <w:r/>
      <w:bookmarkStart w:id="23" w:name="_Toc32454"/>
      <w:r/>
      <w:bookmarkStart w:id="24" w:name="_Toc493863204"/>
      <w:r/>
      <w:bookmarkStart w:id="25" w:name="_Toc496721230"/>
      <w:r/>
      <w:bookmarkStart w:id="26" w:name="_Toc524622070"/>
      <w:r/>
      <w:bookmarkStart w:id="27" w:name="_Toc420487850"/>
      <w:r>
        <w:rPr>
          <w:rFonts w:hint="eastAsia" w:ascii="仿宋" w:hAnsi="仿宋" w:eastAsia="仿宋"/>
          <w:color w:val="auto"/>
          <w:sz w:val="24"/>
          <w:szCs w:val="24"/>
          <w:highlight w:val="none"/>
        </w:rPr>
        <w:t xml:space="preserve">4．法律适用</w:t>
      </w:r>
      <w:bookmarkEnd w:id="22"/>
      <w:r/>
      <w:bookmarkEnd w:id="23"/>
      <w:r/>
      <w:bookmarkEnd w:id="24"/>
      <w:r/>
      <w:bookmarkEnd w:id="25"/>
      <w:r/>
      <w:bookmarkEnd w:id="26"/>
      <w:r/>
      <w:bookmarkEnd w:id="27"/>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本次招标活动及由本次招标产生的合同受中华人民共和国的法律制约和保护。</w:t>
      </w:r>
      <w:r/>
    </w:p>
    <w:p>
      <w:pPr>
        <w:pStyle w:val="987"/>
        <w:spacing w:line="500" w:lineRule="exact"/>
        <w:rPr>
          <w:rFonts w:ascii="仿宋" w:hAnsi="仿宋" w:eastAsia="仿宋"/>
          <w:color w:val="auto"/>
          <w:sz w:val="24"/>
          <w:szCs w:val="24"/>
          <w:highlight w:val="none"/>
        </w:rPr>
      </w:pPr>
      <w:r/>
      <w:bookmarkStart w:id="28" w:name="_Toc524622071"/>
      <w:r/>
      <w:bookmarkStart w:id="29" w:name="_Toc25392"/>
      <w:r/>
      <w:bookmarkStart w:id="30" w:name="_Toc420657346"/>
      <w:r/>
      <w:bookmarkStart w:id="31" w:name="_Toc496721231"/>
      <w:r/>
      <w:bookmarkStart w:id="32" w:name="_Toc493863205"/>
      <w:r/>
      <w:bookmarkStart w:id="33" w:name="_Toc420487851"/>
      <w:r>
        <w:rPr>
          <w:rFonts w:hint="eastAsia" w:ascii="仿宋" w:hAnsi="仿宋" w:eastAsia="仿宋"/>
          <w:color w:val="auto"/>
          <w:sz w:val="24"/>
          <w:szCs w:val="24"/>
          <w:highlight w:val="none"/>
        </w:rPr>
        <w:t xml:space="preserve">5．招标文件的约束力</w:t>
      </w:r>
      <w:bookmarkEnd w:id="28"/>
      <w:r/>
      <w:bookmarkEnd w:id="29"/>
      <w:r/>
      <w:bookmarkEnd w:id="30"/>
      <w:r/>
      <w:bookmarkEnd w:id="31"/>
      <w:r/>
      <w:bookmarkEnd w:id="32"/>
      <w:r/>
      <w:bookmarkEnd w:id="3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5.l 供应商一旦参加投标，即被认为接受了本招标文件中的所有条款和规定。</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5.2 本招标文件由采购代理机构负责解释。</w:t>
      </w:r>
      <w:r/>
    </w:p>
    <w:p>
      <w:pP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6"/>
        <w:jc w:val="center"/>
        <w:spacing w:line="500" w:lineRule="exact"/>
        <w:rPr>
          <w:rFonts w:ascii="仿宋" w:hAnsi="仿宋" w:eastAsia="仿宋"/>
          <w:color w:val="auto"/>
          <w:sz w:val="24"/>
          <w:szCs w:val="24"/>
          <w:highlight w:val="none"/>
        </w:rPr>
      </w:pPr>
      <w:r/>
      <w:bookmarkStart w:id="34" w:name="_Toc524622072"/>
      <w:r/>
      <w:bookmarkStart w:id="35" w:name="_Toc420657347"/>
      <w:r/>
      <w:bookmarkStart w:id="36" w:name="_Toc493863206"/>
      <w:r/>
      <w:bookmarkStart w:id="37" w:name="_Toc30870"/>
      <w:r/>
      <w:bookmarkStart w:id="38" w:name="_Toc496721232"/>
      <w:r/>
      <w:bookmarkStart w:id="39" w:name="_Toc420487852"/>
      <w:r>
        <w:rPr>
          <w:rFonts w:hint="eastAsia" w:ascii="仿宋" w:hAnsi="仿宋" w:eastAsia="仿宋"/>
          <w:color w:val="auto"/>
          <w:sz w:val="24"/>
          <w:szCs w:val="24"/>
          <w:highlight w:val="none"/>
        </w:rPr>
        <w:t xml:space="preserve">二、招标文件</w:t>
      </w:r>
      <w:bookmarkEnd w:id="34"/>
      <w:r/>
      <w:bookmarkEnd w:id="35"/>
      <w:r/>
      <w:bookmarkEnd w:id="36"/>
      <w:r/>
      <w:bookmarkEnd w:id="37"/>
      <w:r/>
      <w:bookmarkEnd w:id="38"/>
      <w:r/>
      <w:bookmarkEnd w:id="39"/>
      <w:r/>
      <w:r/>
    </w:p>
    <w:p>
      <w:pPr>
        <w:pStyle w:val="987"/>
        <w:spacing w:line="500" w:lineRule="exact"/>
        <w:rPr>
          <w:rFonts w:ascii="仿宋" w:hAnsi="仿宋" w:eastAsia="仿宋"/>
          <w:color w:val="auto"/>
          <w:sz w:val="24"/>
          <w:szCs w:val="24"/>
          <w:highlight w:val="none"/>
        </w:rPr>
      </w:pPr>
      <w:r/>
      <w:bookmarkStart w:id="40" w:name="_Toc524622073"/>
      <w:r/>
      <w:bookmarkStart w:id="41" w:name="_Toc420487853"/>
      <w:r/>
      <w:bookmarkStart w:id="42" w:name="_Toc496721233"/>
      <w:r/>
      <w:bookmarkStart w:id="43" w:name="_Toc21539"/>
      <w:r/>
      <w:bookmarkStart w:id="44" w:name="_Toc420657348"/>
      <w:r/>
      <w:bookmarkStart w:id="45" w:name="_Toc493863207"/>
      <w:r>
        <w:rPr>
          <w:rFonts w:hint="eastAsia" w:ascii="仿宋" w:hAnsi="仿宋" w:eastAsia="仿宋"/>
          <w:color w:val="auto"/>
          <w:sz w:val="24"/>
          <w:szCs w:val="24"/>
          <w:highlight w:val="none"/>
        </w:rPr>
        <w:t xml:space="preserve">6．招标文件的组成</w:t>
      </w:r>
      <w:bookmarkEnd w:id="40"/>
      <w:r/>
      <w:bookmarkEnd w:id="41"/>
      <w:r/>
      <w:bookmarkEnd w:id="42"/>
      <w:r/>
      <w:bookmarkEnd w:id="43"/>
      <w:r/>
      <w:bookmarkEnd w:id="44"/>
      <w:r/>
      <w:bookmarkEnd w:id="4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6.l 招标文件由以下部分组成，包括：</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第一章  供应商须知</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第二章  合同条款及格式</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第三章  投标邀请</w:t>
      </w:r>
      <w:r/>
    </w:p>
    <w:p>
      <w:pPr>
        <w:ind w:firstLine="192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第四章  招标技术规格及要求</w:t>
      </w:r>
      <w:r/>
    </w:p>
    <w:p>
      <w:pPr>
        <w:ind w:firstLine="192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第五章  投标文件格式</w:t>
      </w:r>
      <w:r/>
    </w:p>
    <w:p>
      <w:pPr>
        <w:ind w:left="425"/>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请仔细检查招标文件是否齐全，如有缺漏，请立即与采购代理机构联系解决。</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6.2 供应商被视为充分熟悉本招标项目所在地的与履行合同有关的各种情况，包括自然环境、气候条件、劳动力及公用设施等，本招标文件不再对上述情况进行描述。</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6.3 供应商必须详阅招标文件的所有条款、文件及表格格式等。供应商若未按招标文件的要求和规范编制、提交投标文件，将有可能导致投标文件被拒绝接受或被视为无效。</w:t>
      </w:r>
      <w:r/>
    </w:p>
    <w:p>
      <w:pPr>
        <w:pStyle w:val="987"/>
        <w:spacing w:line="500" w:lineRule="exact"/>
        <w:rPr>
          <w:rFonts w:ascii="仿宋" w:hAnsi="仿宋" w:eastAsia="仿宋"/>
          <w:color w:val="auto"/>
          <w:sz w:val="24"/>
          <w:szCs w:val="24"/>
          <w:highlight w:val="none"/>
        </w:rPr>
      </w:pPr>
      <w:r/>
      <w:bookmarkStart w:id="46" w:name="_Toc496721237"/>
      <w:r/>
      <w:bookmarkStart w:id="47" w:name="_Toc493863211"/>
      <w:r/>
      <w:bookmarkStart w:id="48" w:name="_Toc524622077"/>
      <w:r/>
      <w:bookmarkStart w:id="49" w:name="_Toc420657353"/>
      <w:r/>
      <w:bookmarkStart w:id="50" w:name="_Toc812"/>
      <w:r/>
      <w:bookmarkStart w:id="51" w:name="_Toc420487858"/>
      <w:r/>
      <w:bookmarkStart w:id="52" w:name="_Toc420657349"/>
      <w:r/>
      <w:bookmarkStart w:id="53" w:name="_Toc420487854"/>
      <w:r/>
      <w:bookmarkStart w:id="54" w:name="_Toc496721234"/>
      <w:r/>
      <w:bookmarkStart w:id="55" w:name="_Toc493863208"/>
      <w:r/>
      <w:bookmarkStart w:id="56" w:name="_Toc524622074"/>
      <w:r>
        <w:rPr>
          <w:rFonts w:hint="eastAsia" w:ascii="仿宋" w:hAnsi="仿宋" w:eastAsia="仿宋"/>
          <w:color w:val="auto"/>
          <w:sz w:val="24"/>
          <w:szCs w:val="24"/>
          <w:highlight w:val="none"/>
        </w:rPr>
        <w:t xml:space="preserve">9．投标文件的组成</w:t>
      </w:r>
      <w:bookmarkEnd w:id="46"/>
      <w:r/>
      <w:bookmarkEnd w:id="47"/>
      <w:r/>
      <w:bookmarkEnd w:id="48"/>
      <w:r/>
      <w:bookmarkEnd w:id="49"/>
      <w:r/>
      <w:bookmarkEnd w:id="50"/>
      <w:r/>
      <w:bookmarkEnd w:id="5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9.l 投标文件应包括下列部分（目录及有关格式按招标文件第五章“投标文件格式”要求）：</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9.1.l 投标函、投标报价及相关证明文件。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9.1.2 供应商资格证明文件。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9.2 招标文件第四章中指出的工艺、材料和设备的标准，以及商标、牌号或其目录编号，仅起说明作用并非进行限制。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9.3 若供应商未按招标文件的要求提供资料，或未对招标文件做出实质性响应，将导致投标文件被视为无效。</w:t>
      </w:r>
      <w:r/>
    </w:p>
    <w:p>
      <w:pPr>
        <w:pStyle w:val="987"/>
        <w:spacing w:line="500" w:lineRule="exact"/>
        <w:rPr>
          <w:rFonts w:ascii="仿宋" w:hAnsi="仿宋" w:eastAsia="仿宋"/>
          <w:color w:val="auto"/>
          <w:sz w:val="24"/>
          <w:szCs w:val="24"/>
          <w:highlight w:val="none"/>
        </w:rPr>
      </w:pPr>
      <w:r/>
      <w:bookmarkStart w:id="57" w:name="_Toc12854"/>
      <w:r>
        <w:rPr>
          <w:rFonts w:hint="eastAsia" w:ascii="仿宋" w:hAnsi="仿宋" w:eastAsia="仿宋"/>
          <w:color w:val="auto"/>
          <w:sz w:val="24"/>
          <w:szCs w:val="24"/>
          <w:highlight w:val="none"/>
        </w:rPr>
        <w:t xml:space="preserve">7．招标文件的澄清</w:t>
      </w:r>
      <w:bookmarkEnd w:id="52"/>
      <w:r/>
      <w:bookmarkEnd w:id="53"/>
      <w:r>
        <w:rPr>
          <w:rFonts w:hint="eastAsia" w:ascii="仿宋" w:hAnsi="仿宋" w:eastAsia="仿宋"/>
          <w:color w:val="auto"/>
          <w:sz w:val="24"/>
          <w:szCs w:val="24"/>
          <w:highlight w:val="none"/>
        </w:rPr>
        <w:t xml:space="preserve">或修改</w:t>
      </w:r>
      <w:bookmarkEnd w:id="54"/>
      <w:r/>
      <w:bookmarkEnd w:id="55"/>
      <w:r/>
      <w:bookmarkEnd w:id="56"/>
      <w:r/>
      <w:bookmarkEnd w:id="57"/>
      <w:r/>
      <w:r/>
    </w:p>
    <w:p>
      <w:pPr>
        <w:ind w:firstLine="480"/>
        <w:spacing w:line="500" w:lineRule="exact"/>
        <w:rPr>
          <w:rFonts w:ascii="仿宋" w:hAnsi="仿宋" w:eastAsia="仿宋"/>
          <w:color w:val="auto"/>
          <w:sz w:val="24"/>
          <w:szCs w:val="24"/>
          <w:highlight w:val="none"/>
        </w:rPr>
      </w:pPr>
      <w:r/>
      <w:bookmarkStart w:id="58" w:name="_Toc420487855"/>
      <w:r/>
      <w:bookmarkStart w:id="59" w:name="_Toc420657350"/>
      <w:r>
        <w:rPr>
          <w:rFonts w:hint="eastAsia" w:ascii="仿宋" w:hAnsi="仿宋" w:eastAsia="仿宋"/>
          <w:color w:val="auto"/>
          <w:sz w:val="24"/>
          <w:szCs w:val="24"/>
          <w:highlight w:val="none"/>
        </w:rPr>
        <w:t xml:space="preserve">7.l 在投标截止时间前，采购代理机构可对招标文件用更正公告的方式进行必要的澄清或修改，并以书面通知的方式通知所有招标文件收受人。</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7.2该澄清或修改的内容公告将作为招标文件的组成部分，对所有供应商有约束力。</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7.3 当招标文件与以上澄清或修改公告的内容相互矛盾时，以采购代理机构最后发出的最后的澄清或修改为准。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7.4 为使供应商有足够的时间按招标文件的澄清或修改要求修正投标文件，采购代理机构有权决定推迟投标截止日期和开标时间，并按7.1条规定的方式将具体变更情况通知供应商。</w:t>
      </w:r>
      <w:bookmarkEnd w:id="58"/>
      <w:r/>
      <w:bookmarkEnd w:id="59"/>
      <w:r/>
      <w:r/>
    </w:p>
    <w:p>
      <w:pPr>
        <w:pStyle w:val="986"/>
        <w:jc w:val="center"/>
        <w:spacing w:line="500" w:lineRule="exact"/>
        <w:rPr>
          <w:rFonts w:ascii="仿宋" w:hAnsi="仿宋" w:eastAsia="仿宋"/>
          <w:color w:val="auto"/>
          <w:sz w:val="24"/>
          <w:szCs w:val="24"/>
          <w:highlight w:val="none"/>
        </w:rPr>
      </w:pPr>
      <w:r/>
      <w:bookmarkStart w:id="60" w:name="_Toc420657351"/>
      <w:r/>
      <w:bookmarkStart w:id="61" w:name="_Toc524622075"/>
      <w:r/>
      <w:bookmarkStart w:id="62" w:name="_Toc420487856"/>
      <w:r/>
      <w:bookmarkStart w:id="63" w:name="_Toc493863209"/>
      <w:r/>
      <w:bookmarkStart w:id="64" w:name="_Toc496721235"/>
      <w:r/>
      <w:bookmarkStart w:id="65" w:name="_Toc11546"/>
      <w:r>
        <w:rPr>
          <w:rFonts w:hint="eastAsia" w:ascii="仿宋" w:hAnsi="仿宋" w:eastAsia="仿宋"/>
          <w:color w:val="auto"/>
          <w:sz w:val="24"/>
          <w:szCs w:val="24"/>
          <w:highlight w:val="none"/>
        </w:rPr>
        <w:t xml:space="preserve">三、投标文件</w:t>
      </w:r>
      <w:bookmarkEnd w:id="60"/>
      <w:r/>
      <w:bookmarkEnd w:id="61"/>
      <w:r/>
      <w:bookmarkEnd w:id="62"/>
      <w:r/>
      <w:bookmarkEnd w:id="63"/>
      <w:r/>
      <w:bookmarkEnd w:id="64"/>
      <w:r/>
      <w:bookmarkEnd w:id="65"/>
      <w:r/>
      <w:r/>
    </w:p>
    <w:p>
      <w:pPr>
        <w:pStyle w:val="987"/>
        <w:spacing w:line="500" w:lineRule="exact"/>
        <w:rPr>
          <w:rFonts w:ascii="仿宋" w:hAnsi="仿宋" w:eastAsia="仿宋"/>
          <w:color w:val="auto"/>
          <w:sz w:val="24"/>
          <w:szCs w:val="24"/>
          <w:highlight w:val="none"/>
        </w:rPr>
      </w:pPr>
      <w:r/>
      <w:bookmarkStart w:id="66" w:name="_Toc524622076"/>
      <w:r/>
      <w:bookmarkStart w:id="67" w:name="_Toc12054"/>
      <w:r/>
      <w:bookmarkStart w:id="68" w:name="_Toc420657352"/>
      <w:r/>
      <w:bookmarkStart w:id="69" w:name="_Toc493863210"/>
      <w:r/>
      <w:bookmarkStart w:id="70" w:name="_Toc420487857"/>
      <w:r/>
      <w:bookmarkStart w:id="71" w:name="_Toc496721236"/>
      <w:r>
        <w:rPr>
          <w:rFonts w:hint="eastAsia" w:ascii="仿宋" w:hAnsi="仿宋" w:eastAsia="仿宋"/>
          <w:color w:val="auto"/>
          <w:sz w:val="24"/>
          <w:szCs w:val="24"/>
          <w:highlight w:val="none"/>
        </w:rPr>
        <w:t xml:space="preserve">8．投标文件的语言及度量衡</w:t>
      </w:r>
      <w:bookmarkEnd w:id="66"/>
      <w:r/>
      <w:bookmarkEnd w:id="67"/>
      <w:r/>
      <w:bookmarkEnd w:id="68"/>
      <w:r/>
      <w:bookmarkEnd w:id="69"/>
      <w:r/>
      <w:bookmarkEnd w:id="70"/>
      <w:r/>
      <w:bookmarkEnd w:id="7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8.l 投标文件以及供应商与采购代理机构之间的所有书面往来都应用简体中文书写。</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8.2 供应商已印刷好的资料如产品样本、说明书等可以用其他语言，但其中要点应附有中文译文。在解释投标文件时，以译文为准。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8.3 除在招标文件第五章中另有规定外，度量衡单位应使用国际单位制。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8.4 本招标文件所表述的时间均为北京时间。</w:t>
      </w:r>
      <w:r/>
    </w:p>
    <w:p>
      <w:pPr>
        <w:pStyle w:val="987"/>
        <w:spacing w:line="500" w:lineRule="exact"/>
        <w:rPr>
          <w:rFonts w:ascii="仿宋" w:hAnsi="仿宋" w:eastAsia="仿宋"/>
          <w:color w:val="auto"/>
          <w:sz w:val="24"/>
          <w:szCs w:val="24"/>
          <w:highlight w:val="none"/>
        </w:rPr>
      </w:pPr>
      <w:r/>
      <w:bookmarkStart w:id="72" w:name="_Toc493863212"/>
      <w:r/>
      <w:bookmarkStart w:id="73" w:name="_Toc420657354"/>
      <w:r/>
      <w:bookmarkStart w:id="74" w:name="_Toc420487859"/>
      <w:r/>
      <w:bookmarkStart w:id="75" w:name="_Toc496721238"/>
      <w:r/>
      <w:bookmarkStart w:id="76" w:name="_Toc28956"/>
      <w:r/>
      <w:bookmarkStart w:id="77" w:name="_Toc524622078"/>
      <w:r>
        <w:rPr>
          <w:rFonts w:hint="eastAsia" w:ascii="仿宋" w:hAnsi="仿宋" w:eastAsia="仿宋"/>
          <w:color w:val="auto"/>
          <w:sz w:val="24"/>
          <w:szCs w:val="24"/>
          <w:highlight w:val="none"/>
        </w:rPr>
        <w:t xml:space="preserve">10．投标报价</w:t>
      </w:r>
      <w:bookmarkEnd w:id="72"/>
      <w:r/>
      <w:bookmarkEnd w:id="73"/>
      <w:r/>
      <w:bookmarkEnd w:id="74"/>
      <w:r/>
      <w:bookmarkEnd w:id="75"/>
      <w:r/>
      <w:bookmarkEnd w:id="76"/>
      <w:r/>
      <w:bookmarkEnd w:id="77"/>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10.1 本次采购采用总承包方式，因此供应商的报价应包括全部货物、工程和服务的价格及相关税费、运输到指定地点的装运费用、安装调试、培训、售后服务等其他有关的所有费用。</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10.2 采购代理机构不接受备选的投标方案或有选择的报价。</w:t>
      </w:r>
      <w:r/>
    </w:p>
    <w:p>
      <w:pPr>
        <w:pStyle w:val="987"/>
        <w:spacing w:line="500" w:lineRule="exact"/>
        <w:rPr>
          <w:rFonts w:ascii="仿宋" w:hAnsi="仿宋" w:eastAsia="仿宋"/>
          <w:color w:val="auto"/>
          <w:sz w:val="24"/>
          <w:szCs w:val="24"/>
          <w:highlight w:val="none"/>
        </w:rPr>
      </w:pPr>
      <w:r/>
      <w:bookmarkStart w:id="78" w:name="_Toc493863213"/>
      <w:r/>
      <w:bookmarkStart w:id="79" w:name="_Toc420657355"/>
      <w:r/>
      <w:bookmarkStart w:id="80" w:name="_Toc496721239"/>
      <w:r/>
      <w:bookmarkStart w:id="81" w:name="_Toc420487860"/>
      <w:r/>
      <w:bookmarkStart w:id="82" w:name="_Toc524622079"/>
      <w:r/>
      <w:bookmarkStart w:id="83" w:name="_Toc13132"/>
      <w:r>
        <w:rPr>
          <w:rFonts w:hint="eastAsia" w:ascii="仿宋" w:hAnsi="仿宋" w:eastAsia="仿宋"/>
          <w:color w:val="auto"/>
          <w:sz w:val="24"/>
          <w:szCs w:val="24"/>
          <w:highlight w:val="none"/>
        </w:rPr>
        <w:t xml:space="preserve">11. 投标货币</w:t>
      </w:r>
      <w:bookmarkEnd w:id="78"/>
      <w:r/>
      <w:bookmarkEnd w:id="79"/>
      <w:r/>
      <w:bookmarkEnd w:id="80"/>
      <w:r/>
      <w:bookmarkEnd w:id="81"/>
      <w:r/>
      <w:bookmarkEnd w:id="82"/>
      <w:r/>
      <w:bookmarkEnd w:id="8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投标报价均须以人民币为计算单位。招标文件另有规定的，从其规定。</w:t>
      </w:r>
      <w:r/>
    </w:p>
    <w:p>
      <w:pPr>
        <w:pStyle w:val="987"/>
        <w:spacing w:line="500" w:lineRule="exact"/>
        <w:rPr>
          <w:rFonts w:ascii="仿宋" w:hAnsi="仿宋" w:eastAsia="仿宋"/>
          <w:color w:val="auto"/>
          <w:sz w:val="24"/>
          <w:szCs w:val="24"/>
          <w:highlight w:val="none"/>
        </w:rPr>
      </w:pPr>
      <w:r/>
      <w:bookmarkStart w:id="84" w:name="_Toc524622080"/>
      <w:r/>
      <w:bookmarkStart w:id="85" w:name="_Toc420657356"/>
      <w:r/>
      <w:bookmarkStart w:id="86" w:name="_Toc29543"/>
      <w:r/>
      <w:bookmarkStart w:id="87" w:name="_Toc420487861"/>
      <w:r/>
      <w:bookmarkStart w:id="88" w:name="_Toc496721240"/>
      <w:r/>
      <w:bookmarkStart w:id="89" w:name="_Toc493863214"/>
      <w:r>
        <w:rPr>
          <w:rFonts w:hint="eastAsia" w:ascii="仿宋" w:hAnsi="仿宋" w:eastAsia="仿宋"/>
          <w:color w:val="auto"/>
          <w:sz w:val="24"/>
          <w:szCs w:val="24"/>
          <w:highlight w:val="none"/>
        </w:rPr>
        <w:t xml:space="preserve">12．投标保证金</w:t>
      </w:r>
      <w:bookmarkEnd w:id="84"/>
      <w:r/>
      <w:bookmarkEnd w:id="85"/>
      <w:r/>
      <w:bookmarkEnd w:id="86"/>
      <w:r/>
      <w:bookmarkEnd w:id="87"/>
      <w:r/>
      <w:bookmarkEnd w:id="88"/>
      <w:r/>
      <w:bookmarkEnd w:id="8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12.1 投标保证金是参加本项目投标的必要条件，金额按招标文件第三章要求执行。</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12.2 投标保证金必须在现场签名报到之前交纳。</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12.3 投标保证金的交纳形式招标文件第三章要求执行</w:t>
      </w:r>
      <w:r>
        <w:rPr>
          <w:rFonts w:hint="eastAsia" w:ascii="仿宋" w:hAnsi="仿宋" w:eastAsia="仿宋"/>
          <w:b/>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12.4 若供应商不按第 12.l、12.2和12.3条的规定提交投标保证金，其投标文件将被拒绝接受。</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12.5 投标保证金的退还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12.5.l 中标供应商的投标保证金在其支付招标代理服务费后退回。</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12.5.2 落标的供应商在采购代理机构发出中标通知书后5个工作日内无息退还。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12.6 发生下列情况之一，投标保证金将不予退还：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（1）供应商在投标有效期内放弃或撤回投标；</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（2）中标供应商不按第29条规定签订合同；</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（3）供应商提供虚假材料谋取中标、成交的；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（4）采取不正当手段诋毁、排挤其他供应商的；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（5）与采购人、采购代理机构或者其他供应商恶意串通的；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（6）向采购人、采购代理机构行贿或者提供其他不正当利益的；</w:t>
      </w:r>
      <w:r/>
    </w:p>
    <w:p>
      <w:pPr>
        <w:pStyle w:val="987"/>
        <w:spacing w:line="500" w:lineRule="exact"/>
        <w:rPr>
          <w:rFonts w:ascii="仿宋" w:hAnsi="仿宋" w:eastAsia="仿宋"/>
          <w:color w:val="auto"/>
          <w:sz w:val="24"/>
          <w:szCs w:val="24"/>
          <w:highlight w:val="none"/>
        </w:rPr>
      </w:pPr>
      <w:r/>
      <w:bookmarkStart w:id="90" w:name="_Toc192"/>
      <w:r/>
      <w:bookmarkStart w:id="91" w:name="_Toc496721241"/>
      <w:r/>
      <w:bookmarkStart w:id="92" w:name="_Toc493863215"/>
      <w:r/>
      <w:bookmarkStart w:id="93" w:name="_Toc524622081"/>
      <w:r/>
      <w:bookmarkStart w:id="94" w:name="_Toc420487862"/>
      <w:r/>
      <w:bookmarkStart w:id="95" w:name="_Toc420657357"/>
      <w:r>
        <w:rPr>
          <w:rFonts w:hint="eastAsia" w:ascii="仿宋" w:hAnsi="仿宋" w:eastAsia="仿宋"/>
          <w:color w:val="auto"/>
          <w:sz w:val="24"/>
          <w:szCs w:val="24"/>
          <w:highlight w:val="none"/>
        </w:rPr>
        <w:t xml:space="preserve">13．投标有效期</w:t>
      </w:r>
      <w:bookmarkEnd w:id="90"/>
      <w:r/>
      <w:bookmarkEnd w:id="91"/>
      <w:r/>
      <w:bookmarkEnd w:id="92"/>
      <w:r/>
      <w:bookmarkEnd w:id="93"/>
      <w:r/>
      <w:bookmarkEnd w:id="94"/>
      <w:r/>
      <w:bookmarkEnd w:id="9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13.l 投标有效期为从开标之日起计算的</w:t>
      </w:r>
      <w:r>
        <w:rPr>
          <w:rFonts w:hint="eastAsia" w:ascii="仿宋" w:hAnsi="仿宋" w:eastAsia="仿宋"/>
          <w:b/>
          <w:color w:val="auto"/>
          <w:sz w:val="24"/>
          <w:szCs w:val="24"/>
          <w:highlight w:val="none"/>
          <w:u w:val="single"/>
        </w:rPr>
        <w:t xml:space="preserve">九十天</w:t>
      </w:r>
      <w:r>
        <w:rPr>
          <w:rFonts w:hint="eastAsia" w:ascii="仿宋" w:hAnsi="仿宋" w:eastAsia="仿宋"/>
          <w:color w:val="auto"/>
          <w:sz w:val="24"/>
          <w:szCs w:val="24"/>
          <w:highlight w:val="none"/>
        </w:rPr>
        <w:t xml:space="preserve">，有效期短于此规定的投标文件将被视为无效。</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13.2 在特殊情况下，采购代理机构可于投标有效期满之前，征得供应商同意延长投标有效期，要求与答复均应以书面形式进行。供应商可以拒绝接受这一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987"/>
        <w:spacing w:line="500" w:lineRule="exact"/>
        <w:rPr>
          <w:rFonts w:ascii="仿宋" w:hAnsi="仿宋" w:eastAsia="仿宋"/>
          <w:color w:val="auto"/>
          <w:sz w:val="24"/>
          <w:szCs w:val="24"/>
          <w:highlight w:val="none"/>
        </w:rPr>
      </w:pPr>
      <w:r/>
      <w:bookmarkStart w:id="96" w:name="_Toc420487863"/>
      <w:r/>
      <w:bookmarkStart w:id="97" w:name="_Toc524622082"/>
      <w:r/>
      <w:bookmarkStart w:id="98" w:name="_Toc493863216"/>
      <w:r/>
      <w:bookmarkStart w:id="99" w:name="_Toc420657358"/>
      <w:r/>
      <w:bookmarkStart w:id="100" w:name="_Toc2727"/>
      <w:r/>
      <w:bookmarkStart w:id="101" w:name="_Toc496721242"/>
      <w:r>
        <w:rPr>
          <w:rFonts w:hint="eastAsia" w:ascii="仿宋" w:hAnsi="仿宋" w:eastAsia="仿宋"/>
          <w:color w:val="auto"/>
          <w:sz w:val="24"/>
          <w:szCs w:val="24"/>
          <w:highlight w:val="none"/>
        </w:rPr>
        <w:t xml:space="preserve">14．投标文件的签署、形式及装订</w:t>
      </w:r>
      <w:bookmarkEnd w:id="96"/>
      <w:r/>
      <w:bookmarkEnd w:id="97"/>
      <w:r/>
      <w:bookmarkEnd w:id="98"/>
      <w:r/>
      <w:bookmarkEnd w:id="99"/>
      <w:r/>
      <w:bookmarkEnd w:id="100"/>
      <w:r/>
      <w:bookmarkEnd w:id="10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14.l 投标文件按招标文件第三章要求执行，每份投标书均须在封面上清楚标明“正本”或“副本”字样，“正本”和“副本”之间如有差异，以正本为准。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14.2 投标文件正本中，除招标文件第五章规定的可提交复印件外，其他文件均须提交原件，文字材料需打印或用不褪色墨水书写。投标文件的正本须经法人代表或授权代表签署和加盖供应商公章。</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14.3 投标文件如有错误必须修改时，修改处须由法人代表或授权代表签名或加盖公章。</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14.4 投标文件须固定装订成册。</w:t>
      </w:r>
      <w:r/>
    </w:p>
    <w:p>
      <w:pP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6"/>
        <w:jc w:val="center"/>
        <w:spacing w:line="500" w:lineRule="exact"/>
        <w:rPr>
          <w:rFonts w:ascii="仿宋" w:hAnsi="仿宋" w:eastAsia="仿宋"/>
          <w:color w:val="auto"/>
          <w:sz w:val="24"/>
          <w:szCs w:val="24"/>
          <w:highlight w:val="none"/>
        </w:rPr>
      </w:pPr>
      <w:r/>
      <w:bookmarkStart w:id="102" w:name="_Toc493863217"/>
      <w:r/>
      <w:bookmarkStart w:id="103" w:name="_Toc420487864"/>
      <w:r/>
      <w:bookmarkStart w:id="104" w:name="_Toc524622083"/>
      <w:r/>
      <w:bookmarkStart w:id="105" w:name="_Toc17995"/>
      <w:r/>
      <w:bookmarkStart w:id="106" w:name="_Toc420657359"/>
      <w:r/>
      <w:bookmarkStart w:id="107" w:name="_Toc496721243"/>
      <w:r>
        <w:rPr>
          <w:rFonts w:hint="eastAsia" w:ascii="仿宋" w:hAnsi="仿宋" w:eastAsia="仿宋"/>
          <w:color w:val="auto"/>
          <w:sz w:val="24"/>
          <w:szCs w:val="24"/>
          <w:highlight w:val="none"/>
        </w:rPr>
        <w:t xml:space="preserve">四、投标文件的递交</w:t>
      </w:r>
      <w:bookmarkEnd w:id="102"/>
      <w:r/>
      <w:bookmarkEnd w:id="103"/>
      <w:r/>
      <w:bookmarkEnd w:id="104"/>
      <w:r/>
      <w:bookmarkEnd w:id="105"/>
      <w:r/>
      <w:bookmarkEnd w:id="106"/>
      <w:r/>
      <w:bookmarkEnd w:id="107"/>
      <w:r/>
      <w:r/>
    </w:p>
    <w:p>
      <w:pPr>
        <w:pStyle w:val="987"/>
        <w:spacing w:line="500" w:lineRule="exact"/>
        <w:rPr>
          <w:rFonts w:ascii="仿宋" w:hAnsi="仿宋" w:eastAsia="仿宋"/>
          <w:color w:val="auto"/>
          <w:sz w:val="24"/>
          <w:szCs w:val="24"/>
          <w:highlight w:val="none"/>
        </w:rPr>
      </w:pPr>
      <w:r/>
      <w:bookmarkStart w:id="108" w:name="_Toc524622084"/>
      <w:r/>
      <w:bookmarkStart w:id="109" w:name="_Toc496721244"/>
      <w:r/>
      <w:bookmarkStart w:id="110" w:name="_Toc31171"/>
      <w:r/>
      <w:bookmarkStart w:id="111" w:name="_Toc420657360"/>
      <w:r/>
      <w:bookmarkStart w:id="112" w:name="_Toc493863218"/>
      <w:r/>
      <w:bookmarkStart w:id="113" w:name="_Toc420487865"/>
      <w:r>
        <w:rPr>
          <w:rFonts w:hint="eastAsia" w:ascii="仿宋" w:hAnsi="仿宋" w:eastAsia="仿宋"/>
          <w:color w:val="auto"/>
          <w:sz w:val="24"/>
          <w:szCs w:val="24"/>
          <w:highlight w:val="none"/>
        </w:rPr>
        <w:t xml:space="preserve">15．投标文件的密封及标记</w:t>
      </w:r>
      <w:bookmarkEnd w:id="108"/>
      <w:r/>
      <w:bookmarkEnd w:id="109"/>
      <w:r/>
      <w:bookmarkEnd w:id="110"/>
      <w:r/>
      <w:bookmarkEnd w:id="111"/>
      <w:r/>
      <w:bookmarkEnd w:id="112"/>
      <w:r/>
      <w:bookmarkEnd w:id="11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15.l 供应商应将投标文件正本和所有副本分别密封在两个投标专用袋（箱）中（正本一包，副本一包），并在投标专用袋（箱）上标明“正本”、“副本”字样，封口处应加盖骑缝章或授权代表签字。</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15.2 投标专用袋（箱）上须按采购代理机构提供的格式注明：</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（l）项目编号及项目名称：</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（2）分包号（如有）：</w:t>
      </w:r>
      <w:r/>
    </w:p>
    <w:p>
      <w:pPr>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（3）供应商的名称、地址、联系人、电话和传真：</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15.3 投标文件未按第 15.l和 15.2条规定书写标记和密封者，采购代理机构不对投标文件被错放或先期启封负责。</w:t>
      </w:r>
      <w:r/>
    </w:p>
    <w:p>
      <w:pPr>
        <w:pStyle w:val="987"/>
        <w:spacing w:line="500" w:lineRule="exact"/>
        <w:rPr>
          <w:rFonts w:ascii="仿宋" w:hAnsi="仿宋" w:eastAsia="仿宋"/>
          <w:color w:val="auto"/>
          <w:sz w:val="24"/>
          <w:szCs w:val="24"/>
          <w:highlight w:val="none"/>
        </w:rPr>
      </w:pPr>
      <w:r/>
      <w:bookmarkStart w:id="114" w:name="_Toc493863219"/>
      <w:r/>
      <w:bookmarkStart w:id="115" w:name="_Toc524622085"/>
      <w:r/>
      <w:bookmarkStart w:id="116" w:name="_Toc420487866"/>
      <w:r/>
      <w:bookmarkStart w:id="117" w:name="_Toc496721245"/>
      <w:r/>
      <w:bookmarkStart w:id="118" w:name="_Toc5348"/>
      <w:r/>
      <w:bookmarkStart w:id="119" w:name="_Toc420657361"/>
      <w:r>
        <w:rPr>
          <w:rFonts w:hint="eastAsia" w:ascii="仿宋" w:hAnsi="仿宋" w:eastAsia="仿宋"/>
          <w:color w:val="auto"/>
          <w:sz w:val="24"/>
          <w:szCs w:val="24"/>
          <w:highlight w:val="none"/>
        </w:rPr>
        <w:t xml:space="preserve">16．投标截止时间</w:t>
      </w:r>
      <w:bookmarkEnd w:id="114"/>
      <w:r/>
      <w:bookmarkEnd w:id="115"/>
      <w:r/>
      <w:bookmarkEnd w:id="116"/>
      <w:r/>
      <w:bookmarkEnd w:id="117"/>
      <w:r/>
      <w:bookmarkEnd w:id="118"/>
      <w:r/>
      <w:bookmarkEnd w:id="11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16.l 供应商须在招标文件第三章“投标邀请”规定的投标截止时间前将投标文件送达采购代理机构规定的投标地点。</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16.2 若采购代理机构按7.4条规定推迟了投标截止时间，采购代理机构和供应商受投标截止时间制约的所有权利和义务均应以新的截止时间为准。</w:t>
      </w:r>
      <w:r/>
    </w:p>
    <w:p>
      <w:pPr>
        <w:pStyle w:val="987"/>
        <w:spacing w:line="500" w:lineRule="exact"/>
        <w:rPr>
          <w:rFonts w:ascii="仿宋" w:hAnsi="仿宋" w:eastAsia="仿宋"/>
          <w:color w:val="auto"/>
          <w:sz w:val="24"/>
          <w:szCs w:val="24"/>
          <w:highlight w:val="none"/>
        </w:rPr>
      </w:pPr>
      <w:r/>
      <w:bookmarkStart w:id="120" w:name="_Toc420657362"/>
      <w:r/>
      <w:bookmarkStart w:id="121" w:name="_Toc496721246"/>
      <w:r/>
      <w:bookmarkStart w:id="122" w:name="_Toc10455"/>
      <w:r/>
      <w:bookmarkStart w:id="123" w:name="_Toc420487867"/>
      <w:r/>
      <w:bookmarkStart w:id="124" w:name="_Toc524622086"/>
      <w:r/>
      <w:bookmarkStart w:id="125" w:name="_Toc493863220"/>
      <w:r>
        <w:rPr>
          <w:rFonts w:hint="eastAsia" w:ascii="仿宋" w:hAnsi="仿宋" w:eastAsia="仿宋"/>
          <w:color w:val="auto"/>
          <w:sz w:val="24"/>
          <w:szCs w:val="24"/>
          <w:highlight w:val="none"/>
        </w:rPr>
        <w:t xml:space="preserve">17．迟交的投标文件</w:t>
      </w:r>
      <w:bookmarkEnd w:id="120"/>
      <w:r/>
      <w:bookmarkEnd w:id="121"/>
      <w:r/>
      <w:bookmarkEnd w:id="122"/>
      <w:r/>
      <w:bookmarkEnd w:id="123"/>
      <w:r/>
      <w:bookmarkEnd w:id="124"/>
      <w:r/>
      <w:bookmarkEnd w:id="12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在投标截止时间后递交的投标文件，采购代理机构将拒绝接受。</w:t>
      </w:r>
      <w:r/>
    </w:p>
    <w:p>
      <w:pPr>
        <w:pStyle w:val="987"/>
        <w:spacing w:line="500" w:lineRule="exact"/>
        <w:rPr>
          <w:rFonts w:ascii="仿宋" w:hAnsi="仿宋" w:eastAsia="仿宋"/>
          <w:color w:val="auto"/>
          <w:sz w:val="24"/>
          <w:szCs w:val="24"/>
          <w:highlight w:val="none"/>
        </w:rPr>
      </w:pPr>
      <w:r/>
      <w:bookmarkStart w:id="126" w:name="_Toc524622087"/>
      <w:r/>
      <w:bookmarkStart w:id="127" w:name="_Toc493863221"/>
      <w:r/>
      <w:bookmarkStart w:id="128" w:name="_Toc27436"/>
      <w:r/>
      <w:bookmarkStart w:id="129" w:name="_Toc420657363"/>
      <w:r/>
      <w:bookmarkStart w:id="130" w:name="_Toc496721247"/>
      <w:r/>
      <w:bookmarkStart w:id="131" w:name="_Toc420487868"/>
      <w:r>
        <w:rPr>
          <w:rFonts w:hint="eastAsia" w:ascii="仿宋" w:hAnsi="仿宋" w:eastAsia="仿宋"/>
          <w:color w:val="auto"/>
          <w:sz w:val="24"/>
          <w:szCs w:val="24"/>
          <w:highlight w:val="none"/>
        </w:rPr>
        <w:t xml:space="preserve">18．投标文件的修改和撤回</w:t>
      </w:r>
      <w:bookmarkEnd w:id="126"/>
      <w:r/>
      <w:bookmarkEnd w:id="127"/>
      <w:r/>
      <w:bookmarkEnd w:id="128"/>
      <w:r/>
      <w:bookmarkEnd w:id="129"/>
      <w:r/>
      <w:bookmarkEnd w:id="130"/>
      <w:r/>
      <w:bookmarkEnd w:id="13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18.l 供应商在提交投标文件后可对其进行修改或撤回，但必须使采购代理机构在投标截止时间前收到该修改的书面内容或撤回的书面通知，该书面文件须由法人代表或其授权代表签署。</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18.2 投标文件的修改文件应按第15条规定签署，正、副本分别密封，并按第 15.2条规定标记，还须注明“修改投标文件”和“开标前不得启封”字样。修改文件须在投标截止时间前送达采购代理机构规定的投标地点。上述补充或修改若涉及投标报价，必须注明“最终唯一报价”字样，否则将视为有选择的报价。</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18.3 供应商不得在投标截止时间以后修改投标文件。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18.4 供应商不得在投标截止时间起至投标有效期满前撤回投标文件，否则投标保证金将被没收。该供应商的投标文件不予退还。</w:t>
      </w:r>
      <w:r/>
    </w:p>
    <w:p>
      <w:pPr>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6"/>
        <w:jc w:val="center"/>
        <w:spacing w:line="500" w:lineRule="exact"/>
        <w:rPr>
          <w:rFonts w:ascii="仿宋" w:hAnsi="仿宋" w:eastAsia="仿宋"/>
          <w:color w:val="auto"/>
          <w:sz w:val="24"/>
          <w:szCs w:val="24"/>
          <w:highlight w:val="none"/>
        </w:rPr>
      </w:pPr>
      <w:r/>
      <w:bookmarkStart w:id="132" w:name="_Toc420487869"/>
      <w:r/>
      <w:bookmarkStart w:id="133" w:name="_Toc496721248"/>
      <w:r/>
      <w:bookmarkStart w:id="134" w:name="_Toc493863222"/>
      <w:r/>
      <w:bookmarkStart w:id="135" w:name="_Toc524622088"/>
      <w:r/>
      <w:bookmarkStart w:id="136" w:name="_Toc24337"/>
      <w:r/>
      <w:bookmarkStart w:id="137" w:name="_Toc420657364"/>
      <w:r>
        <w:rPr>
          <w:rFonts w:hint="eastAsia" w:ascii="仿宋" w:hAnsi="仿宋" w:eastAsia="仿宋"/>
          <w:color w:val="auto"/>
          <w:sz w:val="24"/>
          <w:szCs w:val="24"/>
          <w:highlight w:val="none"/>
        </w:rPr>
        <w:t xml:space="preserve">五、开标及评标</w:t>
      </w:r>
      <w:bookmarkEnd w:id="132"/>
      <w:r/>
      <w:bookmarkEnd w:id="133"/>
      <w:r/>
      <w:bookmarkEnd w:id="134"/>
      <w:r/>
      <w:bookmarkEnd w:id="135"/>
      <w:r/>
      <w:bookmarkEnd w:id="136"/>
      <w:r/>
      <w:bookmarkEnd w:id="137"/>
      <w:r/>
      <w:r/>
    </w:p>
    <w:p>
      <w:pPr>
        <w:pStyle w:val="987"/>
        <w:spacing w:line="500" w:lineRule="exact"/>
        <w:rPr>
          <w:rFonts w:ascii="仿宋" w:hAnsi="仿宋" w:eastAsia="仿宋"/>
          <w:color w:val="auto"/>
          <w:sz w:val="24"/>
          <w:szCs w:val="24"/>
          <w:highlight w:val="none"/>
        </w:rPr>
      </w:pPr>
      <w:r/>
      <w:bookmarkStart w:id="138" w:name="_Toc496721249"/>
      <w:r/>
      <w:bookmarkStart w:id="139" w:name="_Toc29286"/>
      <w:r/>
      <w:bookmarkStart w:id="140" w:name="_Toc493863223"/>
      <w:r/>
      <w:bookmarkStart w:id="141" w:name="_Toc420487870"/>
      <w:r/>
      <w:bookmarkStart w:id="142" w:name="_Toc524622089"/>
      <w:r/>
      <w:bookmarkStart w:id="143" w:name="_Toc420657365"/>
      <w:r>
        <w:rPr>
          <w:rFonts w:hint="eastAsia" w:ascii="仿宋" w:hAnsi="仿宋" w:eastAsia="仿宋"/>
          <w:color w:val="auto"/>
          <w:sz w:val="24"/>
          <w:szCs w:val="24"/>
          <w:highlight w:val="none"/>
        </w:rPr>
        <w:t xml:space="preserve">19．开标</w:t>
      </w:r>
      <w:bookmarkEnd w:id="138"/>
      <w:r/>
      <w:bookmarkEnd w:id="139"/>
      <w:r/>
      <w:bookmarkEnd w:id="140"/>
      <w:r/>
      <w:bookmarkEnd w:id="141"/>
      <w:r/>
      <w:bookmarkEnd w:id="142"/>
      <w:r/>
      <w:bookmarkEnd w:id="14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19.l 采购人、采购代理机构按招标文件第三章“投标邀请”规定的时间和地点开标。</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19.2 供应商应委派授权代表参加开标活动，办理交纳保证金、签名报到和递交投标文件等事宜</w:t>
      </w:r>
      <w:r>
        <w:rPr>
          <w:rFonts w:hint="eastAsia" w:ascii="仿宋" w:hAnsi="仿宋" w:eastAsia="仿宋"/>
          <w:b/>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19.3 供应商必须在投标截止时间前办理完毕交纳保证金、签名报到、递交投标文件以及其它招标文件所规定的应在投标截止时间前完成的事项（如样品递交等）。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19.4 开标时，供应商或供应商推选的代表将查验投标文件密封情况，确认无误后采购代理机构拆封唱标，公布每份投标文件中“开标一览表”的内容，以及采购代理机构认为合适的其他内容，采购代理机构将作开标记录。</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19.5 若投标文件未密封，或供应商未提交投标保证金（包括投标保证金不符合第12条规定），采购代理机构将拒绝接受该供应商的投标文件。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19.6 按照第18条规定，同意撤回的投标文件将不予拆封。</w:t>
      </w:r>
      <w:r/>
    </w:p>
    <w:p>
      <w:pPr>
        <w:pStyle w:val="987"/>
        <w:spacing w:line="500" w:lineRule="exact"/>
        <w:rPr>
          <w:rFonts w:ascii="仿宋" w:hAnsi="仿宋" w:eastAsia="仿宋"/>
          <w:color w:val="auto"/>
          <w:sz w:val="24"/>
          <w:szCs w:val="24"/>
          <w:highlight w:val="none"/>
        </w:rPr>
      </w:pPr>
      <w:r/>
      <w:bookmarkStart w:id="144" w:name="_Toc496721250"/>
      <w:r/>
      <w:bookmarkStart w:id="145" w:name="_Toc420487871"/>
      <w:r/>
      <w:bookmarkStart w:id="146" w:name="_Toc493863224"/>
      <w:r/>
      <w:bookmarkStart w:id="147" w:name="_Toc420657366"/>
      <w:r/>
      <w:bookmarkStart w:id="148" w:name="_Toc524622090"/>
      <w:r/>
      <w:bookmarkStart w:id="149" w:name="_Toc19531"/>
      <w:r>
        <w:rPr>
          <w:rFonts w:hint="eastAsia" w:ascii="仿宋" w:hAnsi="仿宋" w:eastAsia="仿宋"/>
          <w:color w:val="auto"/>
          <w:sz w:val="24"/>
          <w:szCs w:val="24"/>
          <w:highlight w:val="none"/>
        </w:rPr>
        <w:t xml:space="preserve">20．评标委员会</w:t>
      </w:r>
      <w:bookmarkEnd w:id="144"/>
      <w:r/>
      <w:bookmarkEnd w:id="145"/>
      <w:r/>
      <w:bookmarkEnd w:id="146"/>
      <w:r/>
      <w:bookmarkEnd w:id="147"/>
      <w:r/>
      <w:bookmarkEnd w:id="148"/>
      <w:r/>
      <w:bookmarkEnd w:id="14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评标委员会由采购人代表和有关技术、经济等方面的专家组成，该委员会独立工作，负责评审所有投标文件并确定中标侯选供应商。</w:t>
      </w:r>
      <w:r/>
    </w:p>
    <w:p>
      <w:pPr>
        <w:pStyle w:val="987"/>
        <w:spacing w:line="500" w:lineRule="exact"/>
        <w:rPr>
          <w:rFonts w:ascii="仿宋" w:hAnsi="仿宋" w:eastAsia="仿宋"/>
          <w:color w:val="auto"/>
          <w:sz w:val="24"/>
          <w:szCs w:val="24"/>
          <w:highlight w:val="none"/>
        </w:rPr>
      </w:pPr>
      <w:r/>
      <w:bookmarkStart w:id="150" w:name="_Toc524622091"/>
      <w:r/>
      <w:bookmarkStart w:id="151" w:name="_Toc420657367"/>
      <w:r/>
      <w:bookmarkStart w:id="152" w:name="_Toc420487872"/>
      <w:r/>
      <w:bookmarkStart w:id="153" w:name="_Toc8221"/>
      <w:r/>
      <w:bookmarkStart w:id="154" w:name="_Toc496721251"/>
      <w:r/>
      <w:bookmarkStart w:id="155" w:name="_Toc493863225"/>
      <w:r>
        <w:rPr>
          <w:rFonts w:hint="eastAsia" w:ascii="仿宋" w:hAnsi="仿宋" w:eastAsia="仿宋"/>
          <w:color w:val="auto"/>
          <w:sz w:val="24"/>
          <w:szCs w:val="24"/>
          <w:highlight w:val="none"/>
        </w:rPr>
        <w:t xml:space="preserve">21．对投标文件的资格性审查和符合性审查</w:t>
      </w:r>
      <w:bookmarkEnd w:id="150"/>
      <w:r/>
      <w:bookmarkEnd w:id="151"/>
      <w:r/>
      <w:bookmarkEnd w:id="152"/>
      <w:r/>
      <w:bookmarkEnd w:id="153"/>
      <w:r/>
      <w:bookmarkEnd w:id="154"/>
      <w:r/>
      <w:bookmarkEnd w:id="155"/>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21.l 资格性审查的内容包括：</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（1）资格证明；</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（2）投标保证金；</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21.2 符合性审查的内容包括：</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（1）投标文件的有效性(签署情况等)；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（2）投标文件的完整性(正本和副本数量、内容等)；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（3）对招标文件的响应程度（是否存在重大负偏离等）。</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21.3 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21.4 评标委员会在初审中，对算术错误的修正原则如下:</w:t>
      </w:r>
      <w:r/>
    </w:p>
    <w:p>
      <w:pPr>
        <w:ind w:firstLine="480"/>
        <w:spacing w:line="500" w:lineRule="exact"/>
        <w:rPr>
          <w:rFonts w:ascii="仿宋" w:hAnsi="仿宋" w:eastAsia="仿宋" w:cs="Calibri"/>
          <w:color w:val="auto"/>
          <w:sz w:val="24"/>
          <w:szCs w:val="24"/>
          <w:highlight w:val="none"/>
        </w:rPr>
      </w:pPr>
      <w:r/>
      <w:bookmarkStart w:id="156" w:name="_Toc496721252"/>
      <w:r/>
      <w:bookmarkStart w:id="157" w:name="_Toc420487873"/>
      <w:r/>
      <w:bookmarkStart w:id="158" w:name="_Toc524622092"/>
      <w:r/>
      <w:bookmarkStart w:id="159" w:name="_Toc420657368"/>
      <w:r/>
      <w:bookmarkStart w:id="160" w:name="_Toc493863226"/>
      <w:r>
        <w:rPr>
          <w:rFonts w:hint="eastAsia" w:ascii="仿宋" w:hAnsi="仿宋" w:eastAsia="仿宋" w:cs="Calibri"/>
          <w:color w:val="auto"/>
          <w:sz w:val="24"/>
          <w:szCs w:val="24"/>
          <w:highlight w:val="none"/>
        </w:rPr>
        <w:t xml:space="preserve">21.4.l投标文件中开标一览表（报价表）内容与投标文件中相应内容不一致的，以开标一览表（报价表）为准；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21.4.2大写金额和小写金额不一致的，以大写金额为准；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21.4.3单价金额小数点或者百分比有明显错位的，以开标一览表的总价为准，并修改单价准；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21.4.4总价金额与按单价汇总金额不一致的，以单价金额计算结果为准；</w:t>
      </w:r>
      <w:r/>
    </w:p>
    <w:p>
      <w:pPr>
        <w:ind w:firstLine="480"/>
        <w:spacing w:line="500" w:lineRule="exact"/>
        <w:rPr>
          <w:rFonts w:ascii="仿宋" w:hAnsi="仿宋" w:eastAsia="仿宋" w:cs="Calibri"/>
          <w:color w:val="auto"/>
          <w:sz w:val="24"/>
          <w:szCs w:val="24"/>
          <w:highlight w:val="none"/>
        </w:rPr>
      </w:pPr>
      <w:r>
        <w:rPr>
          <w:rFonts w:hint="eastAsia" w:ascii="仿宋" w:hAnsi="仿宋" w:eastAsia="仿宋" w:cs="Calibri"/>
          <w:color w:val="auto"/>
          <w:sz w:val="24"/>
          <w:szCs w:val="24"/>
          <w:highlight w:val="none"/>
        </w:rPr>
        <w:t xml:space="preserve">21.4.5同时出现两种以上不一致的，按照前款规定的顺序修正。修正后的报价经投标人确认后产生约束力，投标人不确认的，其投标无效。</w:t>
      </w:r>
      <w:r/>
    </w:p>
    <w:p>
      <w:pPr>
        <w:pStyle w:val="987"/>
        <w:spacing w:line="500" w:lineRule="exact"/>
        <w:rPr>
          <w:rFonts w:ascii="仿宋" w:hAnsi="仿宋" w:eastAsia="仿宋"/>
          <w:color w:val="auto"/>
          <w:sz w:val="24"/>
          <w:szCs w:val="24"/>
          <w:highlight w:val="none"/>
        </w:rPr>
      </w:pPr>
      <w:r/>
      <w:bookmarkStart w:id="161" w:name="_Toc26775"/>
      <w:r>
        <w:rPr>
          <w:rFonts w:hint="eastAsia" w:ascii="仿宋" w:hAnsi="仿宋" w:eastAsia="仿宋"/>
          <w:color w:val="auto"/>
          <w:sz w:val="24"/>
          <w:szCs w:val="24"/>
          <w:highlight w:val="none"/>
        </w:rPr>
        <w:t xml:space="preserve">22．投标文件的澄清</w:t>
      </w:r>
      <w:bookmarkEnd w:id="156"/>
      <w:r/>
      <w:bookmarkEnd w:id="157"/>
      <w:r/>
      <w:bookmarkEnd w:id="158"/>
      <w:r/>
      <w:bookmarkEnd w:id="159"/>
      <w:r/>
      <w:bookmarkEnd w:id="160"/>
      <w:r/>
      <w:bookmarkEnd w:id="16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22.1 在评标期间，评标委员会有权要求供应商对其投标文件中含义不明确、同类问题表述不一致或者有明显文字和计算错误的内容进行澄清。供应商应派授权代表和技术人员按评标委员会通知的时间和地点接受询标。</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22.2 评标委员会认为有必要，可要求供应商对某些问题作出必要的澄清、说明和纠正。供应商的澄清、说明或者补正应当采用书面形式，由其授权的代表签字，并不得超出投标文件的范围或者改变投标文件的实质性内容。供应商的书面澄清材料作为投标文件的补充。</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22.3供应商不按评标委员会规定的时间和地点作书面澄清，将视为放弃该权利。</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22.4 并非每个供应商都将被询标。</w:t>
      </w:r>
      <w:r/>
    </w:p>
    <w:p>
      <w:pPr>
        <w:pStyle w:val="987"/>
        <w:spacing w:line="500" w:lineRule="exact"/>
        <w:rPr>
          <w:rFonts w:ascii="仿宋" w:hAnsi="仿宋" w:eastAsia="仿宋"/>
          <w:color w:val="auto"/>
          <w:sz w:val="24"/>
          <w:szCs w:val="24"/>
          <w:highlight w:val="none"/>
        </w:rPr>
      </w:pPr>
      <w:r/>
      <w:bookmarkStart w:id="162" w:name="_Toc420487874"/>
      <w:r/>
      <w:bookmarkStart w:id="163" w:name="_Toc18947"/>
      <w:r/>
      <w:bookmarkStart w:id="164" w:name="_Toc493863227"/>
      <w:r/>
      <w:bookmarkStart w:id="165" w:name="_Toc496721253"/>
      <w:r/>
      <w:bookmarkStart w:id="166" w:name="_Toc524622093"/>
      <w:r/>
      <w:bookmarkStart w:id="167" w:name="_Toc420657369"/>
      <w:r>
        <w:rPr>
          <w:rFonts w:hint="eastAsia" w:ascii="仿宋" w:hAnsi="仿宋" w:eastAsia="仿宋"/>
          <w:color w:val="auto"/>
          <w:sz w:val="24"/>
          <w:szCs w:val="24"/>
          <w:highlight w:val="none"/>
        </w:rPr>
        <w:t xml:space="preserve">23．评标及定标</w:t>
      </w:r>
      <w:bookmarkEnd w:id="162"/>
      <w:r/>
      <w:bookmarkEnd w:id="163"/>
      <w:r/>
      <w:bookmarkEnd w:id="164"/>
      <w:r/>
      <w:bookmarkEnd w:id="165"/>
      <w:r/>
      <w:bookmarkEnd w:id="166"/>
      <w:r/>
      <w:bookmarkEnd w:id="167"/>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23.1 评标委员会将对通过资格性审查和符合性审查的投标文件进行评价和比较。</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23．2 评标委员会按招标文件第三章中公布的评标办法对每份投标文件进行评审，确定中标候选供应商。最低投标价等任何单项因素的最优不能作为中标的保证。</w:t>
      </w:r>
      <w:r/>
    </w:p>
    <w:p>
      <w:pPr>
        <w:pStyle w:val="987"/>
        <w:spacing w:line="500" w:lineRule="exact"/>
        <w:rPr>
          <w:rFonts w:ascii="仿宋" w:hAnsi="仿宋" w:eastAsia="仿宋"/>
          <w:color w:val="auto"/>
          <w:sz w:val="24"/>
          <w:szCs w:val="24"/>
          <w:highlight w:val="none"/>
        </w:rPr>
      </w:pPr>
      <w:r/>
      <w:bookmarkStart w:id="168" w:name="_Toc8481"/>
      <w:r/>
      <w:bookmarkStart w:id="169" w:name="_Toc524622094"/>
      <w:r/>
      <w:bookmarkStart w:id="170" w:name="_Toc420487875"/>
      <w:r/>
      <w:bookmarkStart w:id="171" w:name="_Toc496721254"/>
      <w:r/>
      <w:bookmarkStart w:id="172" w:name="_Toc420657370"/>
      <w:r/>
      <w:bookmarkStart w:id="173" w:name="_Toc493863228"/>
      <w:r>
        <w:rPr>
          <w:rFonts w:hint="eastAsia" w:ascii="仿宋" w:hAnsi="仿宋" w:eastAsia="仿宋"/>
          <w:color w:val="auto"/>
          <w:sz w:val="24"/>
          <w:szCs w:val="24"/>
          <w:highlight w:val="none"/>
        </w:rPr>
        <w:t xml:space="preserve">24．评标过程保密</w:t>
      </w:r>
      <w:bookmarkEnd w:id="168"/>
      <w:r/>
      <w:bookmarkEnd w:id="169"/>
      <w:r/>
      <w:bookmarkEnd w:id="170"/>
      <w:r/>
      <w:bookmarkEnd w:id="171"/>
      <w:r/>
      <w:bookmarkEnd w:id="172"/>
      <w:r/>
      <w:bookmarkEnd w:id="17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24.l 在宣布中标结果之前，凡属于审查、澄清、评价、比较投标文件和中标意向等有关信息，相关当事人均不得泄露给任何供应商或与评标工作无关的人员。</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24.2 供应商不得探听上述信息，不得以任何行为影响评标过程，否则其投标文件将被作为无效投标文件。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24.3 在评标期间，采购代理机构将有专门人员与供应商进行联络。</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24.4 采购人、采购代理机构和评标委员会不向落标的供应商解释落标原因，也不对评标过程中的细节问题进行公布。</w:t>
      </w:r>
      <w:r/>
    </w:p>
    <w:p>
      <w:pPr>
        <w:pStyle w:val="987"/>
        <w:spacing w:line="500" w:lineRule="exact"/>
        <w:rPr>
          <w:rFonts w:ascii="仿宋" w:hAnsi="仿宋" w:eastAsia="仿宋"/>
          <w:color w:val="auto"/>
          <w:sz w:val="24"/>
          <w:szCs w:val="24"/>
          <w:highlight w:val="none"/>
        </w:rPr>
      </w:pPr>
      <w:r/>
      <w:bookmarkStart w:id="174" w:name="_Toc420487876"/>
      <w:r/>
      <w:bookmarkStart w:id="175" w:name="_Toc493863229"/>
      <w:r/>
      <w:bookmarkStart w:id="176" w:name="_Toc524622095"/>
      <w:r/>
      <w:bookmarkStart w:id="177" w:name="_Toc26068"/>
      <w:r/>
      <w:bookmarkStart w:id="178" w:name="_Toc420657371"/>
      <w:r/>
      <w:bookmarkStart w:id="179" w:name="_Toc496721255"/>
      <w:r>
        <w:rPr>
          <w:rFonts w:hint="eastAsia" w:ascii="仿宋" w:hAnsi="仿宋" w:eastAsia="仿宋"/>
          <w:color w:val="auto"/>
          <w:sz w:val="24"/>
          <w:szCs w:val="24"/>
          <w:highlight w:val="none"/>
        </w:rPr>
        <w:t xml:space="preserve">25. 投标截止时间结束后参加投标的供应商不足三家的处理</w:t>
      </w:r>
      <w:bookmarkEnd w:id="174"/>
      <w:r/>
      <w:bookmarkEnd w:id="175"/>
      <w:r/>
      <w:bookmarkEnd w:id="176"/>
      <w:r/>
      <w:bookmarkEnd w:id="177"/>
      <w:r/>
      <w:bookmarkEnd w:id="178"/>
      <w:r/>
      <w:bookmarkEnd w:id="17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25.1 如出现投标截止时间结束后参加投标的供应商不足三家的情况，不得开标。此采购项目应予以废标。废标后，</w:t>
      </w:r>
      <w:r>
        <w:rPr>
          <w:rFonts w:ascii="仿宋" w:hAnsi="仿宋" w:eastAsia="仿宋"/>
          <w:color w:val="auto"/>
          <w:sz w:val="24"/>
          <w:szCs w:val="24"/>
          <w:highlight w:val="none"/>
        </w:rPr>
        <w:t xml:space="preserve">除采购任务取消情形外，</w:t>
      </w:r>
      <w:r>
        <w:rPr>
          <w:rFonts w:hint="eastAsia" w:ascii="仿宋" w:hAnsi="仿宋" w:eastAsia="仿宋"/>
          <w:color w:val="auto"/>
          <w:sz w:val="24"/>
          <w:szCs w:val="24"/>
          <w:highlight w:val="none"/>
        </w:rPr>
        <w:t xml:space="preserve">应当重新组织招标；如果需要采用其他方式采购，根据需要，</w:t>
      </w:r>
      <w:r>
        <w:rPr>
          <w:rFonts w:ascii="仿宋" w:hAnsi="仿宋" w:eastAsia="仿宋"/>
          <w:color w:val="auto"/>
          <w:sz w:val="24"/>
          <w:szCs w:val="24"/>
          <w:highlight w:val="none"/>
        </w:rPr>
        <w:t xml:space="preserve">应当在采购活动开始前获得设区的市、自治州以上人民政府采购监督管理部门或者政府有关部门批准（不需要获得批准的除外）</w:t>
      </w:r>
      <w:r>
        <w:rPr>
          <w:rFonts w:hint="eastAsia" w:ascii="仿宋" w:hAnsi="仿宋" w:eastAsia="仿宋"/>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25.2 在评标期间，出现符合专业条件的供应商或者对招标文件做出实质响应的供应商不足三家情形的，此采购项目</w:t>
      </w:r>
      <w:r>
        <w:rPr>
          <w:rFonts w:ascii="仿宋" w:hAnsi="仿宋" w:eastAsia="仿宋"/>
          <w:color w:val="auto"/>
          <w:sz w:val="24"/>
          <w:szCs w:val="24"/>
          <w:highlight w:val="none"/>
        </w:rPr>
        <w:t xml:space="preserve">应予废标</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废标后，除采购任务取消情形外，应当重新组织招标；</w:t>
      </w:r>
      <w:r>
        <w:rPr>
          <w:rFonts w:hint="eastAsia" w:ascii="仿宋" w:hAnsi="仿宋" w:eastAsia="仿宋"/>
          <w:color w:val="auto"/>
          <w:sz w:val="24"/>
          <w:szCs w:val="24"/>
          <w:highlight w:val="none"/>
        </w:rPr>
        <w:t xml:space="preserve">如果</w:t>
      </w:r>
      <w:r>
        <w:rPr>
          <w:rFonts w:ascii="仿宋" w:hAnsi="仿宋" w:eastAsia="仿宋"/>
          <w:color w:val="auto"/>
          <w:sz w:val="24"/>
          <w:szCs w:val="24"/>
          <w:highlight w:val="none"/>
        </w:rPr>
        <w:t xml:space="preserve">需要采取其他方式采购的，</w:t>
      </w:r>
      <w:r>
        <w:rPr>
          <w:rFonts w:hint="eastAsia" w:ascii="仿宋" w:hAnsi="仿宋" w:eastAsia="仿宋"/>
          <w:color w:val="auto"/>
          <w:sz w:val="24"/>
          <w:szCs w:val="24"/>
          <w:highlight w:val="none"/>
        </w:rPr>
        <w:t xml:space="preserve">根据需要，</w:t>
      </w:r>
      <w:r>
        <w:rPr>
          <w:rFonts w:ascii="仿宋" w:hAnsi="仿宋" w:eastAsia="仿宋"/>
          <w:color w:val="auto"/>
          <w:sz w:val="24"/>
          <w:szCs w:val="24"/>
          <w:highlight w:val="none"/>
        </w:rPr>
        <w:t xml:space="preserve">应当在采购活动开始前获得设区的市、自治州以上人民政府采购监督管理部门或者政府有关部门批准（不需要获得批准的除外）。</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25.3 供应商若不接受采购方式的改变，应在规定的时间内书面向评标委员会说明，未在规定时间内提交书面说明的视为接受采购方式的改变。</w:t>
      </w:r>
      <w:r/>
    </w:p>
    <w:p>
      <w:pPr>
        <w:ind w:firstLine="480"/>
        <w:spacing w:line="50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6"/>
        <w:jc w:val="center"/>
        <w:spacing w:line="500" w:lineRule="exact"/>
        <w:rPr>
          <w:rFonts w:ascii="仿宋" w:hAnsi="仿宋" w:eastAsia="仿宋"/>
          <w:color w:val="auto"/>
          <w:sz w:val="24"/>
          <w:szCs w:val="24"/>
          <w:highlight w:val="none"/>
        </w:rPr>
      </w:pPr>
      <w:r/>
      <w:bookmarkStart w:id="180" w:name="_Toc493863230"/>
      <w:r/>
      <w:bookmarkStart w:id="181" w:name="_Toc524622096"/>
      <w:r/>
      <w:bookmarkStart w:id="182" w:name="_Toc420657372"/>
      <w:r/>
      <w:bookmarkStart w:id="183" w:name="_Toc420487877"/>
      <w:r/>
      <w:bookmarkStart w:id="184" w:name="_Toc17669"/>
      <w:r/>
      <w:bookmarkStart w:id="185" w:name="_Toc496721256"/>
      <w:r>
        <w:rPr>
          <w:rFonts w:hint="eastAsia" w:ascii="仿宋" w:hAnsi="仿宋" w:eastAsia="仿宋"/>
          <w:color w:val="auto"/>
          <w:sz w:val="24"/>
          <w:szCs w:val="24"/>
          <w:highlight w:val="none"/>
        </w:rPr>
        <w:t xml:space="preserve">六、授标及签约</w:t>
      </w:r>
      <w:bookmarkEnd w:id="180"/>
      <w:r/>
      <w:bookmarkEnd w:id="181"/>
      <w:r/>
      <w:bookmarkEnd w:id="182"/>
      <w:r/>
      <w:bookmarkEnd w:id="183"/>
      <w:r/>
      <w:bookmarkEnd w:id="184"/>
      <w:r/>
      <w:bookmarkEnd w:id="185"/>
      <w:r/>
      <w:r/>
    </w:p>
    <w:p>
      <w:pPr>
        <w:pStyle w:val="987"/>
        <w:spacing w:line="500" w:lineRule="exact"/>
        <w:rPr>
          <w:rFonts w:ascii="仿宋" w:hAnsi="仿宋" w:eastAsia="仿宋"/>
          <w:color w:val="auto"/>
          <w:sz w:val="24"/>
          <w:szCs w:val="24"/>
          <w:highlight w:val="none"/>
        </w:rPr>
      </w:pPr>
      <w:r/>
      <w:bookmarkStart w:id="186" w:name="_Toc15680"/>
      <w:r/>
      <w:bookmarkStart w:id="187" w:name="_Toc493863231"/>
      <w:r/>
      <w:bookmarkStart w:id="188" w:name="_Toc420657373"/>
      <w:r/>
      <w:bookmarkStart w:id="189" w:name="_Toc420487878"/>
      <w:r/>
      <w:bookmarkStart w:id="190" w:name="_Toc524622097"/>
      <w:r/>
      <w:bookmarkStart w:id="191" w:name="_Toc496721257"/>
      <w:r>
        <w:rPr>
          <w:rFonts w:hint="eastAsia" w:ascii="仿宋" w:hAnsi="仿宋" w:eastAsia="仿宋"/>
          <w:color w:val="auto"/>
          <w:sz w:val="24"/>
          <w:szCs w:val="24"/>
          <w:highlight w:val="none"/>
        </w:rPr>
        <w:t xml:space="preserve">26．定标原则</w:t>
      </w:r>
      <w:bookmarkEnd w:id="186"/>
      <w:r/>
      <w:bookmarkEnd w:id="187"/>
      <w:r/>
      <w:bookmarkEnd w:id="188"/>
      <w:r/>
      <w:bookmarkEnd w:id="189"/>
      <w:r/>
      <w:bookmarkEnd w:id="190"/>
      <w:r/>
      <w:bookmarkEnd w:id="191"/>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26.l 评标委员会将严格按照招标文件的要求和条件进行比较,根据评标办法推荐出中标候选供应商。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26.2 评标结束后，可由采购人，必要时可邀请采购代理机构对评标委员会推荐的中标候选供应商进行考察，若无其他情况按照评标报告中推荐的中标候选供应商顺序确定中标供应商。</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26.3 供应商出现下列情况之一的，将被取消中标候选供应商资格：</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（1）提供虚假材料谋取中标、成交的；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（2）采取不正当手段诋毁、排挤其他供应商的；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（3）与采购人、采购代理机构或者其他供应商恶意串通的；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（4）向采购人、采购代理机构行贿或者提供其他不正当利益的；</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（5）不符合法律、法规的规定。</w:t>
      </w:r>
      <w:r/>
    </w:p>
    <w:p>
      <w:pPr>
        <w:pStyle w:val="987"/>
        <w:spacing w:line="500" w:lineRule="exact"/>
        <w:rPr>
          <w:rFonts w:ascii="仿宋" w:hAnsi="仿宋" w:eastAsia="仿宋"/>
          <w:color w:val="auto"/>
          <w:sz w:val="24"/>
          <w:szCs w:val="24"/>
          <w:highlight w:val="none"/>
        </w:rPr>
      </w:pPr>
      <w:r/>
      <w:bookmarkStart w:id="192" w:name="_Toc420487879"/>
      <w:r/>
      <w:bookmarkStart w:id="193" w:name="_Toc524622098"/>
      <w:r/>
      <w:bookmarkStart w:id="194" w:name="_Toc496721258"/>
      <w:r/>
      <w:bookmarkStart w:id="195" w:name="_Toc493863232"/>
      <w:r/>
      <w:bookmarkStart w:id="196" w:name="_Toc420657374"/>
      <w:r/>
      <w:bookmarkStart w:id="197" w:name="_Toc31257"/>
      <w:r>
        <w:rPr>
          <w:rFonts w:hint="eastAsia" w:ascii="仿宋" w:hAnsi="仿宋" w:eastAsia="仿宋"/>
          <w:color w:val="auto"/>
          <w:sz w:val="24"/>
          <w:szCs w:val="24"/>
          <w:highlight w:val="none"/>
        </w:rPr>
        <w:t xml:space="preserve">27. 质疑处理</w:t>
      </w:r>
      <w:bookmarkEnd w:id="192"/>
      <w:r/>
      <w:bookmarkEnd w:id="193"/>
      <w:r/>
      <w:bookmarkEnd w:id="194"/>
      <w:r/>
      <w:bookmarkEnd w:id="195"/>
      <w:r/>
      <w:bookmarkEnd w:id="196"/>
      <w:r/>
      <w:bookmarkEnd w:id="197"/>
      <w:r/>
      <w:r/>
    </w:p>
    <w:p>
      <w:pPr>
        <w:ind w:firstLine="480"/>
        <w:spacing w:line="360" w:lineRule="auto"/>
        <w:rPr>
          <w:rFonts w:ascii="仿宋" w:hAnsi="仿宋" w:eastAsia="仿宋"/>
          <w:color w:val="auto"/>
          <w:sz w:val="24"/>
          <w:szCs w:val="24"/>
          <w:highlight w:val="none"/>
        </w:rPr>
      </w:pPr>
      <w:r/>
      <w:bookmarkStart w:id="198" w:name="_Toc524622099"/>
      <w:r/>
      <w:bookmarkStart w:id="199" w:name="_Toc496721259"/>
      <w:r/>
      <w:bookmarkStart w:id="200" w:name="_Toc493863233"/>
      <w:r/>
      <w:bookmarkStart w:id="201" w:name="_Toc420657375"/>
      <w:r/>
      <w:bookmarkStart w:id="202" w:name="_Toc420487880"/>
      <w:r>
        <w:rPr>
          <w:rFonts w:hint="eastAsia" w:ascii="仿宋" w:hAnsi="仿宋" w:eastAsia="仿宋"/>
          <w:color w:val="auto"/>
          <w:sz w:val="24"/>
          <w:szCs w:val="24"/>
          <w:highlight w:val="none"/>
        </w:rPr>
        <w:t xml:space="preserve">供应商认为招标文件、招标过程和中标结果使自己的权益受到损害的，可以在知道或者应知其权益受到损害之日起的规定时间内，以书面形式向采购代理机构提出质疑。供应商针对同一采购程序环节的质疑，必须在规定时间内一次性提出。非书面形式、规定时间之外以及匿名的质疑将不予受理。</w:t>
      </w:r>
      <w:r/>
    </w:p>
    <w:p>
      <w:pPr>
        <w:pStyle w:val="987"/>
        <w:spacing w:line="500" w:lineRule="exact"/>
        <w:rPr>
          <w:rFonts w:ascii="仿宋" w:hAnsi="仿宋" w:eastAsia="仿宋"/>
          <w:color w:val="auto"/>
          <w:sz w:val="24"/>
          <w:szCs w:val="24"/>
          <w:highlight w:val="none"/>
        </w:rPr>
      </w:pPr>
      <w:r/>
      <w:bookmarkStart w:id="203" w:name="_Toc24100"/>
      <w:r>
        <w:rPr>
          <w:rFonts w:hint="eastAsia" w:ascii="仿宋" w:hAnsi="仿宋" w:eastAsia="仿宋"/>
          <w:color w:val="auto"/>
          <w:sz w:val="24"/>
          <w:szCs w:val="24"/>
          <w:highlight w:val="none"/>
        </w:rPr>
        <w:t xml:space="preserve">28．中标通知</w:t>
      </w:r>
      <w:bookmarkEnd w:id="198"/>
      <w:r/>
      <w:bookmarkEnd w:id="199"/>
      <w:r/>
      <w:bookmarkEnd w:id="200"/>
      <w:r/>
      <w:bookmarkEnd w:id="201"/>
      <w:r/>
      <w:bookmarkEnd w:id="202"/>
      <w:r/>
      <w:bookmarkEnd w:id="203"/>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28.l 定标后,采购代理机构应将定标结果通知所有的供应商，并向中标供应商发出中标通知。</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28.2  中标通知书将是合同的一个组成部分。</w:t>
      </w:r>
      <w:r/>
    </w:p>
    <w:p>
      <w:pPr>
        <w:pStyle w:val="987"/>
        <w:spacing w:line="500" w:lineRule="exact"/>
        <w:rPr>
          <w:rFonts w:ascii="仿宋" w:hAnsi="仿宋" w:eastAsia="仿宋"/>
          <w:color w:val="auto"/>
          <w:sz w:val="24"/>
          <w:szCs w:val="24"/>
          <w:highlight w:val="none"/>
        </w:rPr>
      </w:pPr>
      <w:r/>
      <w:bookmarkStart w:id="204" w:name="_Toc420657376"/>
      <w:r/>
      <w:bookmarkStart w:id="205" w:name="_Toc524622100"/>
      <w:r/>
      <w:bookmarkStart w:id="206" w:name="_Toc496721260"/>
      <w:r/>
      <w:bookmarkStart w:id="207" w:name="_Toc493863234"/>
      <w:r/>
      <w:bookmarkStart w:id="208" w:name="_Toc420487881"/>
      <w:r/>
      <w:bookmarkStart w:id="209" w:name="_Toc179"/>
      <w:r>
        <w:rPr>
          <w:rFonts w:hint="eastAsia" w:ascii="仿宋" w:hAnsi="仿宋" w:eastAsia="仿宋"/>
          <w:color w:val="auto"/>
          <w:sz w:val="24"/>
          <w:szCs w:val="24"/>
          <w:highlight w:val="none"/>
        </w:rPr>
        <w:t xml:space="preserve">29．签订合同</w:t>
      </w:r>
      <w:bookmarkEnd w:id="204"/>
      <w:r/>
      <w:bookmarkEnd w:id="205"/>
      <w:r/>
      <w:bookmarkEnd w:id="206"/>
      <w:r/>
      <w:bookmarkEnd w:id="207"/>
      <w:r/>
      <w:bookmarkEnd w:id="208"/>
      <w:r/>
      <w:bookmarkEnd w:id="209"/>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29.l 中标供应商应按中标通知书规定的时间、地点与采购人签订中标合同,否则投标保证金将不予退还，给采购人和采购代理机构造成损失的，供应商还应承担赔偿责任。</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29.2 招标文件、中标供应商的投标文件及评标过程中有关澄清文件均应作为合同附件。</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29.3 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pStyle w:val="987"/>
        <w:spacing w:line="500" w:lineRule="exact"/>
        <w:rPr>
          <w:rFonts w:ascii="仿宋" w:hAnsi="仿宋" w:eastAsia="仿宋"/>
          <w:color w:val="auto"/>
          <w:sz w:val="24"/>
          <w:szCs w:val="24"/>
          <w:highlight w:val="none"/>
        </w:rPr>
      </w:pPr>
      <w:r/>
      <w:bookmarkStart w:id="210" w:name="_Toc4512"/>
      <w:r/>
      <w:bookmarkStart w:id="211" w:name="_Toc496721261"/>
      <w:r/>
      <w:bookmarkStart w:id="212" w:name="_Toc524622101"/>
      <w:r/>
      <w:bookmarkStart w:id="213" w:name="_Toc420657377"/>
      <w:r/>
      <w:bookmarkStart w:id="214" w:name="_Toc420487882"/>
      <w:r/>
      <w:bookmarkStart w:id="215" w:name="_Toc493863235"/>
      <w:r>
        <w:rPr>
          <w:rFonts w:hint="eastAsia" w:ascii="仿宋" w:hAnsi="仿宋" w:eastAsia="仿宋"/>
          <w:color w:val="auto"/>
          <w:sz w:val="24"/>
          <w:szCs w:val="24"/>
          <w:highlight w:val="none"/>
        </w:rPr>
        <w:t xml:space="preserve">30．招标代理服务费</w:t>
      </w:r>
      <w:bookmarkEnd w:id="210"/>
      <w:r/>
      <w:bookmarkEnd w:id="211"/>
      <w:r/>
      <w:bookmarkEnd w:id="212"/>
      <w:r/>
      <w:bookmarkEnd w:id="213"/>
      <w:r/>
      <w:bookmarkEnd w:id="214"/>
      <w:r/>
      <w:bookmarkEnd w:id="215"/>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中标供应商在领取中标通知书时需按《招标代理服务收费管理暂行办法》（国家发展计划委员会计价格[2002]1980号）招标收费基准费率标准（</w:t>
      </w:r>
      <w:r>
        <w:rPr>
          <w:rFonts w:hint="eastAsia" w:ascii="仿宋" w:hAnsi="仿宋" w:eastAsia="仿宋"/>
          <w:color w:val="auto"/>
          <w:sz w:val="24"/>
          <w:szCs w:val="24"/>
          <w:highlight w:val="none"/>
        </w:rPr>
        <w:t xml:space="preserve">服务</w:t>
      </w:r>
      <w:r>
        <w:rPr>
          <w:rFonts w:ascii="仿宋" w:hAnsi="仿宋" w:eastAsia="仿宋"/>
          <w:color w:val="auto"/>
          <w:sz w:val="24"/>
          <w:szCs w:val="24"/>
          <w:highlight w:val="none"/>
        </w:rPr>
        <w:t xml:space="preserve">类）向招标代理机构支付招标代理服务费，</w:t>
      </w:r>
      <w:r>
        <w:rPr>
          <w:rFonts w:hint="eastAsia" w:ascii="仿宋" w:hAnsi="仿宋" w:eastAsia="仿宋"/>
          <w:color w:val="auto"/>
          <w:sz w:val="24"/>
          <w:szCs w:val="24"/>
          <w:highlight w:val="none"/>
        </w:rPr>
        <w:t xml:space="preserve">不少于1万元，</w:t>
      </w:r>
      <w:r>
        <w:rPr>
          <w:rFonts w:ascii="仿宋" w:hAnsi="仿宋" w:eastAsia="仿宋"/>
          <w:color w:val="auto"/>
          <w:sz w:val="24"/>
          <w:szCs w:val="24"/>
          <w:highlight w:val="none"/>
        </w:rPr>
        <w:t xml:space="preserve">费用一次付清</w:t>
      </w:r>
      <w:r>
        <w:rPr>
          <w:rFonts w:hint="eastAsia" w:ascii="仿宋" w:hAnsi="仿宋" w:eastAsia="仿宋"/>
          <w:color w:val="auto"/>
          <w:sz w:val="24"/>
          <w:szCs w:val="24"/>
          <w:highlight w:val="none"/>
        </w:rPr>
        <w:t xml:space="preserve">。</w:t>
      </w:r>
      <w:r/>
    </w:p>
    <w:p>
      <w:pPr>
        <w:ind w:firstLine="480"/>
        <w:spacing w:line="50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bookmarkEnd w:id="4"/>
      <w:r/>
      <w:r/>
    </w:p>
    <w:p>
      <w:pPr>
        <w:pStyle w:val="985"/>
        <w:jc w:val="center"/>
        <w:spacing w:line="240" w:lineRule="auto"/>
        <w:rPr>
          <w:rFonts w:ascii="仿宋" w:hAnsi="仿宋" w:eastAsia="仿宋"/>
          <w:color w:val="auto"/>
          <w:sz w:val="36"/>
          <w:szCs w:val="36"/>
          <w:highlight w:val="none"/>
        </w:rPr>
      </w:pPr>
      <w:r/>
      <w:bookmarkStart w:id="216" w:name="_Toc420487883"/>
      <w:r/>
      <w:bookmarkStart w:id="217" w:name="_Toc420657378"/>
      <w:r/>
      <w:bookmarkStart w:id="218" w:name="_Toc1782"/>
      <w:r>
        <w:rPr>
          <w:rFonts w:hint="eastAsia" w:ascii="仿宋" w:hAnsi="仿宋" w:eastAsia="仿宋"/>
          <w:color w:val="auto"/>
          <w:sz w:val="36"/>
          <w:szCs w:val="36"/>
          <w:highlight w:val="none"/>
        </w:rPr>
        <w:t xml:space="preserve">第二章  合同条款</w:t>
      </w:r>
      <w:bookmarkEnd w:id="216"/>
      <w:r/>
      <w:bookmarkEnd w:id="217"/>
      <w:r>
        <w:rPr>
          <w:rFonts w:hint="eastAsia" w:ascii="仿宋" w:hAnsi="仿宋" w:eastAsia="仿宋"/>
          <w:color w:val="auto"/>
          <w:sz w:val="36"/>
          <w:szCs w:val="36"/>
          <w:highlight w:val="none"/>
        </w:rPr>
        <w:t xml:space="preserve">及格式</w:t>
      </w:r>
      <w:bookmarkEnd w:id="218"/>
      <w:r/>
      <w:r/>
    </w:p>
    <w:p>
      <w:pPr>
        <w:jc w:val="center"/>
        <w:spacing w:line="360" w:lineRule="auto"/>
        <w:rPr>
          <w:rFonts w:hint="eastAsia" w:ascii="仿宋" w:hAnsi="仿宋" w:eastAsia="仿宋"/>
          <w:b/>
          <w:sz w:val="24"/>
          <w:szCs w:val="24"/>
          <w:highlight w:val="none"/>
        </w:rPr>
      </w:pPr>
      <w:r/>
      <w:bookmarkStart w:id="219" w:name="_Toc420487909"/>
      <w:r/>
      <w:bookmarkStart w:id="220" w:name="_Toc289873204"/>
      <w:r/>
      <w:bookmarkStart w:id="221" w:name="_Toc420657404"/>
      <w:r>
        <w:rPr>
          <w:rFonts w:hint="eastAsia" w:ascii="仿宋" w:hAnsi="仿宋" w:eastAsia="仿宋"/>
          <w:b/>
          <w:sz w:val="24"/>
          <w:szCs w:val="24"/>
          <w:highlight w:val="none"/>
        </w:rPr>
        <w:t xml:space="preserve">（说明：本工作协议内容条款在正式签署前可具体补充细化，仅作参考）</w:t>
      </w:r>
      <w:r/>
    </w:p>
    <w:p>
      <w:pPr>
        <w:jc w:val="center"/>
        <w:spacing w:line="360" w:lineRule="auto"/>
        <w:rPr>
          <w:rFonts w:hint="eastAsia" w:ascii="仿宋" w:hAnsi="仿宋" w:eastAsia="仿宋"/>
          <w:b/>
          <w:szCs w:val="24"/>
          <w:highlight w:val="none"/>
        </w:rPr>
      </w:pPr>
      <w:r>
        <w:rPr>
          <w:rFonts w:hint="eastAsia" w:ascii="仿宋" w:hAnsi="仿宋" w:eastAsia="仿宋"/>
          <w:b/>
          <w:szCs w:val="24"/>
          <w:highlight w:val="none"/>
        </w:rPr>
        <w:t xml:space="preserve">数字赋能与智慧监管-2023年商业雷达、高光谱卫星影像补充及处理</w:t>
      </w:r>
      <w:r/>
    </w:p>
    <w:p>
      <w:pPr>
        <w:pStyle w:val="998"/>
        <w:jc w:val="center"/>
        <w:rPr>
          <w:rFonts w:eastAsia="仿宋"/>
          <w:highlight w:val="none"/>
        </w:rPr>
      </w:pPr>
      <w:r>
        <w:rPr>
          <w:rFonts w:hint="eastAsia" w:ascii="仿宋" w:hAnsi="仿宋" w:eastAsia="仿宋"/>
          <w:b/>
          <w:szCs w:val="24"/>
          <w:highlight w:val="none"/>
        </w:rPr>
        <w:t xml:space="preserve">服务合同</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委托方（甲方）：江苏省地质调查研究院</w:t>
      </w:r>
      <w:r/>
    </w:p>
    <w:p>
      <w:pPr>
        <w:jc w:val="both"/>
        <w:spacing w:line="360" w:lineRule="auto"/>
        <w:tabs>
          <w:tab w:val="left" w:pos="414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受托方（乙方）：</w:t>
      </w:r>
      <w:r/>
    </w:p>
    <w:p>
      <w:pPr>
        <w:pStyle w:val="1006"/>
        <w:ind w:left="0"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委托方通过</w:t>
      </w:r>
      <w:r>
        <w:rPr>
          <w:rFonts w:hint="eastAsia" w:ascii="仿宋" w:hAnsi="仿宋" w:eastAsia="仿宋"/>
          <w:sz w:val="24"/>
          <w:szCs w:val="24"/>
          <w:highlight w:val="none"/>
          <w:u w:val="single"/>
        </w:rPr>
        <w:t xml:space="preserve"> 招标 </w:t>
      </w:r>
      <w:r>
        <w:rPr>
          <w:rFonts w:hint="eastAsia" w:ascii="仿宋" w:hAnsi="仿宋" w:eastAsia="仿宋"/>
          <w:sz w:val="24"/>
          <w:szCs w:val="24"/>
          <w:highlight w:val="none"/>
        </w:rPr>
        <w:t xml:space="preserve">方式（委托/招标/竞争性谈判），确定受托方提供“数字赋能与智慧监管项目”2023年商业雷达、高光谱卫星影像补充及处理工作。双方遵循平等、自愿、公平和诚实信用的原则，就开展此项目工作及有关事项协商一致，共同达成如下协议：</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1 目标任务及要求：</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1.1 项目目标</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提供“数字赋能与智慧监管项目”2023年商业雷达、高光谱卫星影像补充及处理所需的商业卫星数据及相关数据处理工作</w:t>
      </w:r>
      <w:r>
        <w:rPr>
          <w:rFonts w:ascii="仿宋" w:hAnsi="仿宋" w:eastAsia="仿宋"/>
          <w:sz w:val="24"/>
          <w:szCs w:val="24"/>
          <w:highlight w:val="none"/>
        </w:rPr>
        <w:t xml:space="preserve">。</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1.2 项目任务</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根据甲方“数字赋能与智慧监管项目”实施方案，计划开展包括江苏国家山水工程实施相关区域的自然资源和生态状况变化监测工作。甲方在充分利用国产公益雷达、高光谱卫星影像的基础上，仍无法满足湿地、水体生态环境监测对全极化SAR、高光谱卫星数据的需求。在对公益雷达、高光谱卫星影像覆盖范围和拍摄频次、监测需求进行充分评估的基础上，确定需要补充采购商业全极化SAR和高光谱卫星数据，并开展全极化SAR和高光谱数据的处理和定量反演工作。具体工作量如下：</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1.2</w:t>
      </w:r>
      <w:r>
        <w:rPr>
          <w:rFonts w:hint="eastAsia" w:ascii="仿宋" w:hAnsi="仿宋" w:eastAsia="仿宋"/>
          <w:sz w:val="24"/>
          <w:szCs w:val="24"/>
          <w:highlight w:val="none"/>
        </w:rPr>
        <w:t xml:space="preserve">.1 卫星影像数据采集</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（1）根据“数字赋能与智慧监管项目”所涉区域湿地生态监测需求，按年度获取扬州、淮安、宿迁、徐州4市RADARSAT-2雷达卫星宽幅全极化SAR数据，共补充1期，并开展全极化SAR数据处理工作；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（2）根据”数字赋能与智慧监管项目”所涉区域水生态监测需求，按年度获取扬州、淮安、宿迁、徐州4市高光谱卫星数据，共补充1期，并开展内陆水质定量反演工作；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（3）根据”数字赋能与智慧监管项目”对海岸带重点区域水生态监测的需求，按年度获取盐城以北岸线10km缓冲区范围高光谱卫星数据，共补充1期，并开展近海水质定量反演工作。</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1.2</w:t>
      </w:r>
      <w:r>
        <w:rPr>
          <w:rFonts w:hint="eastAsia" w:ascii="仿宋" w:hAnsi="仿宋" w:eastAsia="仿宋"/>
          <w:sz w:val="24"/>
          <w:szCs w:val="24"/>
          <w:highlight w:val="none"/>
        </w:rPr>
        <w:t xml:space="preserve">.2 卫星影像数据处理</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（1）开展全极化SAR数据生态信息提取工作；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（2）开展内陆水质定量反演工作；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（3）开展近海水质定量反演工作。</w:t>
      </w:r>
      <w:r/>
    </w:p>
    <w:p>
      <w:pPr>
        <w:ind w:firstLine="480"/>
        <w:jc w:val="both"/>
        <w:spacing w:line="360" w:lineRule="auto"/>
        <w:rPr>
          <w:rFonts w:hint="eastAsia" w:ascii="仿宋" w:hAnsi="仿宋" w:eastAsia="仿宋"/>
          <w:sz w:val="24"/>
          <w:szCs w:val="24"/>
          <w:highlight w:val="none"/>
        </w:rPr>
      </w:pPr>
      <w:r/>
      <w:bookmarkStart w:id="222" w:name="_Hlk178098202"/>
      <w:r>
        <w:rPr>
          <w:rFonts w:ascii="仿宋" w:hAnsi="仿宋" w:eastAsia="仿宋"/>
          <w:sz w:val="24"/>
          <w:szCs w:val="24"/>
          <w:highlight w:val="none"/>
        </w:rPr>
        <w:t xml:space="preserve">1.3 </w:t>
      </w:r>
      <w:r>
        <w:rPr>
          <w:rFonts w:hint="eastAsia" w:ascii="仿宋" w:hAnsi="仿宋" w:eastAsia="仿宋"/>
          <w:sz w:val="24"/>
          <w:szCs w:val="24"/>
          <w:highlight w:val="none"/>
        </w:rPr>
        <w:t xml:space="preserve">卫星影像参数要求</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（1）极化SAR影像必须包含HH、HV、VV、VH四种极化方式，分辨率优于（含）8米;</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（2）高光谱影像波谱段数不少于20个。</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w:t>
      </w:r>
      <w:r>
        <w:rPr>
          <w:rFonts w:hint="eastAsia" w:ascii="仿宋" w:hAnsi="仿宋" w:eastAsia="仿宋"/>
          <w:sz w:val="24"/>
          <w:szCs w:val="24"/>
          <w:highlight w:val="none"/>
        </w:rPr>
        <w:t xml:space="preserve">4</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卫星影像质量要求</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（1）目视效果：影像清晰，色彩、反差适中，无异常噪声。不存在影响地物判读的掉线、错行、重影等质量问题。</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（2）覆盖完整性：影像范围保证覆盖工作区，相邻数据有不小于10％的重叠区，工作区边界数据须向外延伸不少于200米。</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高光谱影像每景数据云、雪覆盖面积小于10％。云、雪超标或落在重点区域，以及雾覆盖下的地物无法判别时乙方应免费更换该区域数据。应急补充阶段，单景云、雪覆盖量可适当放宽，需保证漏洞区域内无遮挡。</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（4）极化SAR影像入射角介于</w:t>
      </w:r>
      <w:r>
        <w:rPr>
          <w:rFonts w:ascii="Times New Roman" w:eastAsia="仿宋"/>
          <w:sz w:val="24"/>
          <w:szCs w:val="24"/>
          <w:highlight w:val="none"/>
        </w:rPr>
        <w:t xml:space="preserve">20°～40°</w:t>
      </w:r>
      <w:r>
        <w:rPr>
          <w:rFonts w:hint="eastAsia" w:ascii="仿宋" w:hAnsi="仿宋" w:eastAsia="仿宋"/>
          <w:sz w:val="24"/>
          <w:szCs w:val="24"/>
          <w:highlight w:val="none"/>
        </w:rPr>
        <w:t xml:space="preserve">，阴影和叠掩区处于合理范围内，不会对数据的处理效果造成影响。</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1.5 卫星影像获取时间要求</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原则上为</w:t>
      </w:r>
      <w:r>
        <w:rPr>
          <w:rFonts w:ascii="仿宋" w:hAnsi="仿宋" w:eastAsia="仿宋"/>
          <w:sz w:val="24"/>
          <w:szCs w:val="24"/>
          <w:highlight w:val="none"/>
        </w:rPr>
        <w:t xml:space="preserve">2023</w:t>
      </w:r>
      <w:r>
        <w:rPr>
          <w:rFonts w:hint="eastAsia" w:ascii="仿宋" w:hAnsi="仿宋" w:eastAsia="仿宋"/>
          <w:sz w:val="24"/>
          <w:szCs w:val="24"/>
          <w:highlight w:val="none"/>
        </w:rPr>
        <w:t xml:space="preserve">年，如部分区域有特殊情况，可放宽至202</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年一季度。</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 卫星影像技术处理要求</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（1）卫星遥感影像经预处理后，因辐射误差而引起的影像畸变现象得到明显改善，同名地物的辐射值在不同幅影像上较为相近，且地物无扭曲、变形，可以清晰判别各种地物类型。</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（2）相邻影像镶嵌拼接后应保持整体色调的过渡均匀连贯、亮度适中，同时检查影像纹理及色彩信息是否丰富，有无细节损失，小范围内同种地物应具有接近一致的色调。</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（3）极化SAR影像湿地监测合理选择极化特征，完成湿地范围识别与信息提取工作，包含但不限于水域、田埂、芦苇、光滩和建筑等地物类型。</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（4）高光谱影像水质监测应充分利用波段信息，选取最优波段组合开展信息反演工作，获取的处理成果种类不少于2种，且必须包含叶绿素浓度、悬浮物含量等参数。</w:t>
      </w:r>
      <w:bookmarkEnd w:id="222"/>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2 过程控制</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甲方实行跟踪质量管理，乙方在项目实施过程中，甲方组织人员对乙方各个工作环节进行质量检查，对于每次交付影像质量等进行中期检查，乙方完成所有项目任务之后，甲方组织专家进行项目成果验收并进行质量评价，总体要求达到优良级。</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2.1 乙方必须严格执行由甲方项目组提出的多项技术和时间要求。</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2.2 在项目实施过程中，乙方必需严格执行有关安全操作规范，不得出现任何违法、违章现象，一旦出现，所有责任均由中标单位承担。</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2.3 乙方需协助甲方做好甲方项目组跟踪检查、项目中期检查以及项目成果验收工作。</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3 成果要求及提交</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3.1 </w:t>
      </w:r>
      <w:r>
        <w:rPr>
          <w:rFonts w:hint="eastAsia" w:ascii="仿宋" w:hAnsi="仿宋" w:eastAsia="仿宋"/>
          <w:sz w:val="24"/>
          <w:szCs w:val="24"/>
          <w:highlight w:val="none"/>
        </w:rPr>
        <w:t xml:space="preserve">卫星影像数据及处理成果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（1）所涉区域获取的1期RADARSAT-2雷达卫星宽幅全极化SAR卫星影像及相关生态信息提取成果；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（2）所涉内陆区域获取的1期高光谱卫星影像及内陆水质反演成果；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（3）所涉海岸带区域获取的1期高光谱卫星影像及近海水质反演成果。</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3.2 </w:t>
      </w:r>
      <w:r>
        <w:rPr>
          <w:rFonts w:hint="eastAsia" w:ascii="仿宋" w:hAnsi="仿宋" w:eastAsia="仿宋"/>
          <w:sz w:val="24"/>
          <w:szCs w:val="24"/>
          <w:highlight w:val="none"/>
        </w:rPr>
        <w:t xml:space="preserve">卫星影像数据及处理成果格式</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TIF等通用标准格式。</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3.3 </w:t>
      </w:r>
      <w:r>
        <w:rPr>
          <w:rFonts w:hint="eastAsia" w:ascii="仿宋" w:hAnsi="仿宋" w:eastAsia="仿宋"/>
          <w:sz w:val="24"/>
          <w:szCs w:val="24"/>
          <w:highlight w:val="none"/>
        </w:rPr>
        <w:t xml:space="preserve">卫星影像数据及处理成果图件格式</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JPG等通用图件格式。</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3.4 </w:t>
      </w:r>
      <w:r>
        <w:rPr>
          <w:rFonts w:hint="eastAsia" w:ascii="仿宋" w:hAnsi="仿宋" w:eastAsia="仿宋"/>
          <w:sz w:val="24"/>
          <w:szCs w:val="24"/>
          <w:highlight w:val="none"/>
        </w:rPr>
        <w:t xml:space="preserve">提供影像数据质量检查报告、处理工作报告等文本资料。</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ascii="仿宋" w:hAnsi="仿宋" w:eastAsia="仿宋"/>
          <w:sz w:val="24"/>
          <w:szCs w:val="24"/>
          <w:highlight w:val="none"/>
        </w:rPr>
        <w:t xml:space="preserve">.5 </w:t>
      </w:r>
      <w:r>
        <w:rPr>
          <w:rFonts w:hint="eastAsia" w:ascii="仿宋" w:hAnsi="仿宋" w:eastAsia="仿宋"/>
          <w:sz w:val="24"/>
          <w:szCs w:val="24"/>
          <w:highlight w:val="none"/>
        </w:rPr>
        <w:t xml:space="preserve">成果交付时间</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原则上应在202</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年底前提交，如部分区域有特殊情况，可放宽至202</w:t>
      </w:r>
      <w:r>
        <w:rPr>
          <w:rFonts w:ascii="仿宋" w:hAnsi="仿宋" w:eastAsia="仿宋"/>
          <w:sz w:val="24"/>
          <w:szCs w:val="24"/>
          <w:highlight w:val="none"/>
        </w:rPr>
        <w:t xml:space="preserve">5</w:t>
      </w:r>
      <w:r>
        <w:rPr>
          <w:rFonts w:hint="eastAsia" w:ascii="仿宋" w:hAnsi="仿宋" w:eastAsia="仿宋"/>
          <w:sz w:val="24"/>
          <w:szCs w:val="24"/>
          <w:highlight w:val="none"/>
        </w:rPr>
        <w:t xml:space="preserve">年一季度。</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4.双方责任</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4.1乙方责任主要包括以下方面：</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（1）按照第1、2、3条要求，完成相关工作任务、确保工作质量、按时提交成果,配合完成甲方提出的合理范围内的其它相关协作工作。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（2）协助甲方做好“数字赋能与智慧监管项目”相关的跟踪检查、中期检查、成果验收及项目审计等工作，项目验收时提供第三方审计报告。</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4.2甲方责任主要包括以下方面：</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（1）及时提供乙方需要的并且是甲方掌握的与项目工作相关的资料。</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（2）组织确认、审查、验收乙方提交的成果。</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（3）按照合同要求及时向乙方支付合同款。</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5 合同价格：</w:t>
      </w:r>
      <w:r/>
    </w:p>
    <w:p>
      <w:pPr>
        <w:ind w:firstLine="480"/>
        <w:jc w:val="both"/>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工作经费</w:t>
      </w:r>
      <w:r>
        <w:rPr>
          <w:rFonts w:ascii="仿宋" w:hAnsi="仿宋" w:eastAsia="仿宋"/>
          <w:sz w:val="24"/>
          <w:szCs w:val="24"/>
          <w:highlight w:val="none"/>
        </w:rPr>
        <w:t xml:space="preserve">实行总承包，根据</w:t>
      </w:r>
      <w:r>
        <w:rPr>
          <w:rFonts w:hint="eastAsia" w:ascii="仿宋" w:hAnsi="仿宋" w:eastAsia="仿宋"/>
          <w:sz w:val="24"/>
          <w:szCs w:val="24"/>
          <w:highlight w:val="none"/>
        </w:rPr>
        <w:t xml:space="preserve">招标公司的中标通知书，各项任务总</w:t>
      </w:r>
      <w:r>
        <w:rPr>
          <w:rFonts w:ascii="仿宋" w:hAnsi="仿宋" w:eastAsia="仿宋"/>
          <w:sz w:val="24"/>
          <w:szCs w:val="24"/>
          <w:highlight w:val="none"/>
        </w:rPr>
        <w:t xml:space="preserve">费用</w:t>
      </w:r>
      <w:r>
        <w:rPr>
          <w:rFonts w:hint="eastAsia" w:ascii="仿宋" w:hAnsi="仿宋" w:eastAsia="仿宋"/>
          <w:sz w:val="24"/>
          <w:szCs w:val="24"/>
          <w:highlight w:val="none"/>
        </w:rPr>
        <w:t xml:space="preserve">为：*****元整（￥***万元）。</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6 支付条款：</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6.1 </w:t>
      </w:r>
      <w:r>
        <w:rPr>
          <w:rFonts w:hint="eastAsia" w:ascii="仿宋" w:hAnsi="仿宋" w:eastAsia="仿宋"/>
          <w:sz w:val="24"/>
          <w:szCs w:val="24"/>
          <w:highlight w:val="none"/>
        </w:rPr>
        <w:t xml:space="preserve">甲乙双方签订合同后，乙方按照工作总经费的</w:t>
      </w:r>
      <w:r>
        <w:rPr>
          <w:rFonts w:ascii="仿宋" w:hAnsi="仿宋" w:eastAsia="仿宋"/>
          <w:sz w:val="24"/>
          <w:szCs w:val="24"/>
          <w:highlight w:val="none"/>
        </w:rPr>
        <w:t xml:space="preserve">10%</w:t>
      </w:r>
      <w:r>
        <w:rPr>
          <w:rFonts w:hint="eastAsia" w:ascii="仿宋" w:hAnsi="仿宋" w:eastAsia="仿宋"/>
          <w:sz w:val="24"/>
          <w:szCs w:val="24"/>
          <w:highlight w:val="none"/>
        </w:rPr>
        <w:t xml:space="preserve">作为履约保证金支付给甲方。</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6.2 </w:t>
      </w:r>
      <w:r>
        <w:rPr>
          <w:rFonts w:hint="eastAsia" w:ascii="仿宋" w:hAnsi="仿宋" w:eastAsia="仿宋"/>
          <w:sz w:val="24"/>
          <w:szCs w:val="24"/>
          <w:highlight w:val="none"/>
        </w:rPr>
        <w:t xml:space="preserve">甲方对乙方的支付分为2次：</w:t>
      </w:r>
      <w:r/>
    </w:p>
    <w:p>
      <w:pPr>
        <w:ind w:firstLine="480"/>
        <w:jc w:val="both"/>
        <w:spacing w:line="360" w:lineRule="auto"/>
        <w:tabs>
          <w:tab w:val="left" w:pos="108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（1）第一次支付：合同签订后一周内，甲方支付合同总价的</w:t>
      </w:r>
      <w:r>
        <w:rPr>
          <w:rFonts w:ascii="仿宋" w:hAnsi="仿宋" w:eastAsia="仿宋"/>
          <w:sz w:val="24"/>
          <w:szCs w:val="24"/>
          <w:highlight w:val="none"/>
        </w:rPr>
        <w:t xml:space="preserve">60%</w:t>
      </w:r>
      <w:r>
        <w:rPr>
          <w:rFonts w:hint="eastAsia" w:ascii="仿宋" w:hAnsi="仿宋" w:eastAsia="仿宋"/>
          <w:sz w:val="24"/>
          <w:szCs w:val="24"/>
          <w:highlight w:val="none"/>
        </w:rPr>
        <w:t xml:space="preserve">；</w:t>
      </w:r>
      <w:r/>
    </w:p>
    <w:p>
      <w:pPr>
        <w:ind w:firstLine="480"/>
        <w:jc w:val="both"/>
        <w:spacing w:line="360" w:lineRule="auto"/>
        <w:tabs>
          <w:tab w:val="left" w:pos="108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ascii="仿宋" w:hAnsi="仿宋" w:eastAsia="仿宋"/>
          <w:sz w:val="24"/>
          <w:szCs w:val="24"/>
          <w:highlight w:val="none"/>
        </w:rPr>
        <w:t xml:space="preserve">2</w:t>
      </w:r>
      <w:r>
        <w:rPr>
          <w:rFonts w:hint="eastAsia" w:ascii="仿宋" w:hAnsi="仿宋" w:eastAsia="仿宋"/>
          <w:sz w:val="24"/>
          <w:szCs w:val="24"/>
          <w:highlight w:val="none"/>
        </w:rPr>
        <w:t xml:space="preserve">）第二次支付：总工作量完成，通过甲方质量验收后，结清总工作的余款及履约保证金。</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6.</w:t>
      </w:r>
      <w:r>
        <w:rPr>
          <w:rFonts w:hint="eastAsia" w:ascii="仿宋" w:hAnsi="仿宋" w:eastAsia="仿宋"/>
          <w:sz w:val="24"/>
          <w:szCs w:val="24"/>
          <w:highlight w:val="none"/>
        </w:rPr>
        <w:t xml:space="preserve">3</w:t>
      </w:r>
      <w:r>
        <w:rPr>
          <w:rFonts w:ascii="仿宋" w:hAnsi="仿宋" w:eastAsia="仿宋"/>
          <w:sz w:val="24"/>
          <w:szCs w:val="24"/>
          <w:highlight w:val="none"/>
        </w:rPr>
        <w:t xml:space="preserve"> </w:t>
      </w:r>
      <w:r>
        <w:rPr>
          <w:rFonts w:hint="eastAsia" w:ascii="仿宋" w:hAnsi="仿宋" w:eastAsia="仿宋"/>
          <w:sz w:val="24"/>
          <w:szCs w:val="24"/>
          <w:highlight w:val="none"/>
        </w:rPr>
        <w:t xml:space="preserve">在每次支付前，乙方应向甲方提交支付申请、税务发票。经甲方审核无误并办理验收证明后，在</w:t>
      </w:r>
      <w:r>
        <w:rPr>
          <w:rFonts w:ascii="仿宋" w:hAnsi="仿宋" w:eastAsia="仿宋"/>
          <w:sz w:val="24"/>
          <w:szCs w:val="24"/>
          <w:highlight w:val="none"/>
        </w:rPr>
        <w:t xml:space="preserve">15</w:t>
      </w:r>
      <w:r>
        <w:rPr>
          <w:rFonts w:hint="eastAsia" w:ascii="仿宋" w:hAnsi="仿宋" w:eastAsia="仿宋"/>
          <w:sz w:val="24"/>
          <w:szCs w:val="24"/>
          <w:highlight w:val="none"/>
        </w:rPr>
        <w:t xml:space="preserve">日内支付相应的款项。</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6.</w:t>
      </w:r>
      <w:r>
        <w:rPr>
          <w:rFonts w:hint="eastAsia" w:ascii="仿宋" w:hAnsi="仿宋" w:eastAsia="仿宋"/>
          <w:sz w:val="24"/>
          <w:szCs w:val="24"/>
          <w:highlight w:val="none"/>
        </w:rPr>
        <w:t xml:space="preserve">4</w:t>
      </w:r>
      <w:r>
        <w:rPr>
          <w:rFonts w:ascii="仿宋" w:hAnsi="仿宋" w:eastAsia="仿宋"/>
          <w:sz w:val="24"/>
          <w:szCs w:val="24"/>
          <w:highlight w:val="none"/>
        </w:rPr>
        <w:t xml:space="preserve"> </w:t>
      </w:r>
      <w:r>
        <w:rPr>
          <w:rFonts w:hint="eastAsia" w:ascii="仿宋" w:hAnsi="仿宋" w:eastAsia="仿宋"/>
          <w:sz w:val="24"/>
          <w:szCs w:val="24"/>
          <w:highlight w:val="none"/>
        </w:rPr>
        <w:t xml:space="preserve">上述合同价款将通过银行汇款按下列账号及地址支付：</w:t>
      </w:r>
      <w:r/>
    </w:p>
    <w:p>
      <w:pPr>
        <w:ind w:firstLine="480"/>
        <w:jc w:val="both"/>
        <w:spacing w:line="360" w:lineRule="auto"/>
        <w:tabs>
          <w:tab w:val="left" w:pos="108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开户名称：</w:t>
      </w:r>
      <w:r/>
    </w:p>
    <w:p>
      <w:pPr>
        <w:ind w:firstLine="480"/>
        <w:jc w:val="both"/>
        <w:spacing w:line="360" w:lineRule="auto"/>
        <w:tabs>
          <w:tab w:val="left" w:pos="108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开户银行：</w:t>
      </w:r>
      <w:r/>
    </w:p>
    <w:p>
      <w:pPr>
        <w:ind w:firstLine="480"/>
        <w:jc w:val="both"/>
        <w:spacing w:line="360" w:lineRule="auto"/>
        <w:tabs>
          <w:tab w:val="left" w:pos="108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账号：</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7 合同的变更、解除及终止</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7.1 若非项目必须，甲乙方不得改变本合同中的任何任务。</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7.2 如果因乙方原因如毁约、破产等而使本合同工作无法继续执行时，甲方在事先书面通知乙方的情况下有权终止执行本合同。在这种情况下，乙方应采取一切合理的步骤把乙方在本合同项下的权益全部转给甲方。</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7.3 如果因甲方原因如破产、无力偿还或清盘等而使本合同工作无法继续执行时，乙方有权终止执行本合同。甲方应尽最大努力补偿乙方至终止日之前已经完成的那部分工作的费用。</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8 版权与保密</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8.1 甲方向乙方提供的</w:t>
      </w:r>
      <w:r>
        <w:rPr>
          <w:rFonts w:hint="eastAsia" w:ascii="仿宋" w:hAnsi="仿宋" w:eastAsia="仿宋"/>
          <w:sz w:val="24"/>
          <w:szCs w:val="24"/>
          <w:highlight w:val="none"/>
        </w:rPr>
        <w:t xml:space="preserve">数字赋能与智慧监管-2023年商业雷达、高光谱卫星影像补充及处理项目商业卫星数据</w:t>
      </w:r>
      <w:r>
        <w:rPr>
          <w:rFonts w:ascii="仿宋" w:hAnsi="仿宋" w:eastAsia="仿宋"/>
          <w:sz w:val="24"/>
          <w:szCs w:val="24"/>
          <w:highlight w:val="none"/>
        </w:rPr>
        <w:t xml:space="preserve">所有权</w:t>
      </w:r>
      <w:r>
        <w:rPr>
          <w:rFonts w:hint="eastAsia" w:ascii="仿宋" w:hAnsi="仿宋" w:eastAsia="仿宋"/>
          <w:sz w:val="24"/>
          <w:szCs w:val="24"/>
          <w:highlight w:val="none"/>
        </w:rPr>
        <w:t xml:space="preserve">及处理成果</w:t>
      </w:r>
      <w:r>
        <w:rPr>
          <w:rFonts w:ascii="仿宋" w:hAnsi="仿宋" w:eastAsia="仿宋"/>
          <w:sz w:val="24"/>
          <w:szCs w:val="24"/>
          <w:highlight w:val="none"/>
        </w:rPr>
        <w:t xml:space="preserve">属甲方所有。</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8.2 对于乙方按合同规定提供给甲方的所有图纸、设计、研究报告、数据资料（以下统称“资料”）等，其版权属双方所有。</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8.3 未经甲方允许，乙方不得全部或部分地公开或泄露上述第8.1、8.2条规定的任何资料。</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8.4 乙方不得将甲方提供的资料提供给第三方，如因本合同工作需要须征得甲方的许可，并应从第三方获得书面的保密承诺，以便对按本条款规定提供给他的任何资料实行严格保密。</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8.5 在执行本合同过程中，乙方保证使甲方不侵犯第三方的专利、版权等知识产权。由于乙方的侵权行为而产生第三方对甲方进行侵权索赔或诉讼，乙方应负责所有谈判以及所有这类索赔或诉讼的解决。</w:t>
      </w:r>
      <w:r/>
    </w:p>
    <w:p>
      <w:pPr>
        <w:ind w:firstLine="480"/>
        <w:jc w:val="both"/>
        <w:spacing w:line="360" w:lineRule="auto"/>
        <w:tabs>
          <w:tab w:val="left" w:pos="1080" w:leader="none"/>
        </w:tabs>
        <w:rPr>
          <w:rFonts w:hint="eastAsia" w:ascii="仿宋" w:hAnsi="仿宋" w:eastAsia="仿宋"/>
          <w:sz w:val="24"/>
          <w:szCs w:val="24"/>
          <w:highlight w:val="none"/>
        </w:rPr>
      </w:pPr>
      <w:r>
        <w:rPr>
          <w:rFonts w:ascii="仿宋" w:hAnsi="仿宋" w:eastAsia="仿宋"/>
          <w:sz w:val="24"/>
          <w:szCs w:val="24"/>
          <w:highlight w:val="none"/>
        </w:rPr>
        <w:t xml:space="preserve">8.6 甲方保证向乙方提供的有关资料不侵犯第三方的专利、版权等知识产权，由于甲方的侵权行为而产生第三方对乙方进行侵权索赔或诉讼，甲方应负责所有谈判以及所有这类索赔或诉讼的解决。</w:t>
      </w:r>
      <w:r/>
    </w:p>
    <w:p>
      <w:pPr>
        <w:ind w:firstLine="480"/>
        <w:jc w:val="both"/>
        <w:spacing w:line="360" w:lineRule="auto"/>
        <w:tabs>
          <w:tab w:val="left" w:pos="1080" w:leader="none"/>
        </w:tabs>
        <w:rPr>
          <w:rFonts w:hint="eastAsia" w:ascii="仿宋" w:hAnsi="仿宋" w:eastAsia="仿宋"/>
          <w:b/>
          <w:sz w:val="24"/>
          <w:szCs w:val="24"/>
          <w:highlight w:val="none"/>
        </w:rPr>
      </w:pPr>
      <w:r>
        <w:rPr>
          <w:rFonts w:ascii="仿宋" w:hAnsi="仿宋" w:eastAsia="仿宋"/>
          <w:b/>
          <w:sz w:val="24"/>
          <w:szCs w:val="24"/>
          <w:highlight w:val="none"/>
        </w:rPr>
        <w:t xml:space="preserve">9 保证、补救、违约责任</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9.1 乙方应保证本合同下的工作按合同规定的时间完成。如果非甲方原因或不可抗拒因素，乙方没有按合同规定提供所需的服务及工作时，在不限制甲方终止合同权利的情况下，乙方应自费进行有关的补救工作，如：加班加点，增加人力等措施。</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9.2 乙方应保证所提交的技术成果的完整性及准确性并具有足够说服力，以通过甲方组织的评审。由于乙方的疏忽失误、失责等原因造成的返工、修正，乙方应自费进行处理</w:t>
      </w:r>
      <w:r>
        <w:rPr>
          <w:rFonts w:hint="eastAsia" w:ascii="仿宋" w:hAnsi="仿宋" w:eastAsia="仿宋"/>
          <w:sz w:val="24"/>
          <w:szCs w:val="24"/>
          <w:highlight w:val="none"/>
        </w:rPr>
        <w:t xml:space="preserve">。</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10 纠纷处理</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如双方因本合同发生纠纷时,双方本着平等互利、协商一致的原则协商解决，若协商不成，可依法诉讼。</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11 质量控制</w:t>
      </w:r>
      <w:r/>
    </w:p>
    <w:p>
      <w:pPr>
        <w:ind w:firstLine="480"/>
        <w:jc w:val="both"/>
        <w:spacing w:line="360" w:lineRule="auto"/>
        <w:tabs>
          <w:tab w:val="left" w:pos="540" w:leader="none"/>
        </w:tabs>
        <w:rPr>
          <w:rFonts w:hint="eastAsia" w:ascii="仿宋" w:hAnsi="仿宋" w:eastAsia="仿宋"/>
          <w:sz w:val="24"/>
          <w:szCs w:val="24"/>
          <w:highlight w:val="none"/>
        </w:rPr>
      </w:pPr>
      <w:r>
        <w:rPr>
          <w:rFonts w:ascii="仿宋" w:hAnsi="仿宋" w:eastAsia="仿宋"/>
          <w:sz w:val="24"/>
          <w:szCs w:val="24"/>
          <w:highlight w:val="none"/>
        </w:rPr>
        <w:t xml:space="preserve">11.1 乙方必须采取有效的质量监控措施，确保分析数据的准确性，保证数据分析计算平台、数据处理软件等符合分析精度要求。</w:t>
      </w:r>
      <w:r/>
    </w:p>
    <w:p>
      <w:pPr>
        <w:ind w:firstLine="480"/>
        <w:jc w:val="both"/>
        <w:spacing w:line="360" w:lineRule="auto"/>
        <w:tabs>
          <w:tab w:val="left" w:pos="540" w:leader="none"/>
        </w:tabs>
        <w:rPr>
          <w:rFonts w:hint="eastAsia" w:ascii="仿宋" w:hAnsi="仿宋" w:eastAsia="仿宋"/>
          <w:sz w:val="24"/>
          <w:szCs w:val="24"/>
          <w:highlight w:val="none"/>
        </w:rPr>
      </w:pPr>
      <w:r>
        <w:rPr>
          <w:rFonts w:ascii="仿宋" w:hAnsi="仿宋" w:eastAsia="仿宋"/>
          <w:sz w:val="24"/>
          <w:szCs w:val="24"/>
          <w:highlight w:val="none"/>
        </w:rPr>
        <w:t xml:space="preserve">11.2 乙方必须对过程进行控制，并对所提交记录的有效性负责。</w:t>
      </w:r>
      <w:r/>
    </w:p>
    <w:p>
      <w:pPr>
        <w:ind w:firstLine="480"/>
        <w:jc w:val="both"/>
        <w:spacing w:line="360" w:lineRule="auto"/>
        <w:tabs>
          <w:tab w:val="left" w:pos="540" w:leader="none"/>
        </w:tabs>
        <w:rPr>
          <w:rFonts w:hint="eastAsia" w:ascii="仿宋" w:hAnsi="仿宋" w:eastAsia="仿宋"/>
          <w:sz w:val="24"/>
          <w:szCs w:val="24"/>
          <w:highlight w:val="none"/>
        </w:rPr>
      </w:pPr>
      <w:r>
        <w:rPr>
          <w:rFonts w:ascii="仿宋" w:hAnsi="仿宋" w:eastAsia="仿宋"/>
          <w:sz w:val="24"/>
          <w:szCs w:val="24"/>
          <w:highlight w:val="none"/>
        </w:rPr>
        <w:t xml:space="preserve">11.3 甲方有权在合适的时间对乙方工作场所进行合同范围内质量监督活动，乙方应提供必要的工作条件和支持。</w:t>
      </w:r>
      <w:r/>
    </w:p>
    <w:p>
      <w:pPr>
        <w:ind w:firstLine="480"/>
        <w:jc w:val="both"/>
        <w:spacing w:line="360" w:lineRule="auto"/>
        <w:tabs>
          <w:tab w:val="left" w:pos="540" w:leader="none"/>
        </w:tabs>
        <w:rPr>
          <w:rFonts w:hint="eastAsia" w:ascii="仿宋" w:hAnsi="仿宋" w:eastAsia="仿宋"/>
          <w:sz w:val="24"/>
          <w:szCs w:val="24"/>
          <w:highlight w:val="none"/>
        </w:rPr>
      </w:pPr>
      <w:r>
        <w:rPr>
          <w:rFonts w:ascii="仿宋" w:hAnsi="仿宋" w:eastAsia="仿宋"/>
          <w:sz w:val="24"/>
          <w:szCs w:val="24"/>
          <w:highlight w:val="none"/>
        </w:rPr>
        <w:t xml:space="preserve">11.4 甲方对乙方所进行的一切质量监督活动，不减轻或免除乙方执行合同的各项义务和责任。</w:t>
      </w:r>
      <w:r/>
    </w:p>
    <w:p>
      <w:pPr>
        <w:ind w:firstLine="482"/>
        <w:jc w:val="both"/>
        <w:spacing w:line="360" w:lineRule="auto"/>
        <w:rPr>
          <w:rFonts w:hint="eastAsia" w:ascii="仿宋" w:hAnsi="仿宋" w:eastAsia="仿宋"/>
          <w:b/>
          <w:sz w:val="24"/>
          <w:szCs w:val="24"/>
          <w:highlight w:val="none"/>
        </w:rPr>
      </w:pPr>
      <w:r>
        <w:rPr>
          <w:rFonts w:ascii="仿宋" w:hAnsi="仿宋" w:eastAsia="仿宋"/>
          <w:b/>
          <w:sz w:val="24"/>
          <w:szCs w:val="24"/>
          <w:highlight w:val="none"/>
        </w:rPr>
        <w:t xml:space="preserve">12 合同生效及其他</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12.1 本合同中相同的词及词组具有相同的含义，合同标题不是合同的全部条件和要求。</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12.2 本合同将取代双方在此以前的所有书面或口头与本合同有关的谈判文件、表述，对本合同条件的任何修改、变更或修正只有通过书面形式并经双方授权代表签字后，才具有法律效力。</w:t>
      </w:r>
      <w:r/>
    </w:p>
    <w:p>
      <w:pPr>
        <w:ind w:firstLine="480"/>
        <w:jc w:val="both"/>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12.3 本合同一式</w:t>
      </w:r>
      <w:r>
        <w:rPr>
          <w:rFonts w:hint="eastAsia" w:ascii="仿宋" w:hAnsi="仿宋" w:eastAsia="仿宋"/>
          <w:sz w:val="24"/>
          <w:szCs w:val="24"/>
          <w:highlight w:val="none"/>
          <w:u w:val="single"/>
        </w:rPr>
        <w:t xml:space="preserve"> 6 </w:t>
      </w:r>
      <w:r>
        <w:rPr>
          <w:rFonts w:ascii="仿宋" w:hAnsi="仿宋" w:eastAsia="仿宋"/>
          <w:sz w:val="24"/>
          <w:szCs w:val="24"/>
          <w:highlight w:val="none"/>
        </w:rPr>
        <w:t xml:space="preserve">份，</w:t>
      </w:r>
      <w:r>
        <w:rPr>
          <w:rFonts w:hint="eastAsia" w:ascii="仿宋" w:hAnsi="仿宋" w:eastAsia="仿宋"/>
          <w:sz w:val="24"/>
          <w:szCs w:val="24"/>
          <w:highlight w:val="none"/>
        </w:rPr>
        <w:t xml:space="preserve">甲、乙双方</w:t>
      </w:r>
      <w:r>
        <w:rPr>
          <w:rFonts w:ascii="仿宋" w:hAnsi="仿宋" w:eastAsia="仿宋"/>
          <w:sz w:val="24"/>
          <w:szCs w:val="24"/>
          <w:highlight w:val="none"/>
        </w:rPr>
        <w:t xml:space="preserve">各执</w:t>
      </w:r>
      <w:r>
        <w:rPr>
          <w:rFonts w:hint="eastAsia" w:ascii="仿宋" w:hAnsi="仿宋" w:eastAsia="仿宋"/>
          <w:sz w:val="24"/>
          <w:szCs w:val="24"/>
          <w:highlight w:val="none"/>
          <w:u w:val="single"/>
        </w:rPr>
        <w:t xml:space="preserve"> 3 </w:t>
      </w:r>
      <w:r>
        <w:rPr>
          <w:rFonts w:ascii="仿宋" w:hAnsi="仿宋" w:eastAsia="仿宋"/>
          <w:sz w:val="24"/>
          <w:szCs w:val="24"/>
          <w:highlight w:val="none"/>
        </w:rPr>
        <w:t xml:space="preserve">份，具有同等法律效力，自签订之日起生效。</w:t>
      </w:r>
      <w:r/>
    </w:p>
    <w:p>
      <w:pPr>
        <w:ind w:firstLine="562"/>
        <w:jc w:val="both"/>
        <w:spacing w:line="360" w:lineRule="auto"/>
        <w:rPr>
          <w:rFonts w:ascii="黑体" w:hAnsi="Calibri" w:eastAsia="黑体"/>
          <w:b/>
          <w:sz w:val="28"/>
          <w:szCs w:val="28"/>
          <w:highlight w:val="none"/>
        </w:rPr>
      </w:pPr>
      <w:r>
        <w:rPr>
          <w:rFonts w:ascii="黑体" w:hAnsi="Calibri" w:eastAsia="黑体"/>
          <w:b/>
          <w:sz w:val="28"/>
          <w:szCs w:val="28"/>
          <w:highlight w:val="none"/>
        </w:rPr>
      </w:r>
      <w:r/>
    </w:p>
    <w:p>
      <w:pPr>
        <w:ind w:firstLine="562"/>
        <w:spacing w:line="360" w:lineRule="auto"/>
        <w:rPr>
          <w:rFonts w:ascii="黑体" w:hAnsi="Calibri" w:eastAsia="黑体"/>
          <w:b/>
          <w:sz w:val="28"/>
          <w:szCs w:val="28"/>
          <w:highlight w:val="none"/>
        </w:rPr>
      </w:pPr>
      <w:r>
        <w:rPr>
          <w:rFonts w:ascii="黑体" w:hAnsi="Calibri" w:eastAsia="黑体"/>
          <w:b/>
          <w:sz w:val="28"/>
          <w:szCs w:val="28"/>
          <w:highlight w:val="none"/>
        </w:rPr>
      </w:r>
      <w:r/>
    </w:p>
    <w:p>
      <w:pPr>
        <w:ind w:left="4963" w:hanging="4963"/>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甲方：江苏省地质调查研究院      </w:t>
      </w:r>
      <w:r>
        <w:rPr>
          <w:rFonts w:ascii="仿宋" w:hAnsi="仿宋" w:eastAsia="仿宋"/>
          <w:b/>
          <w:sz w:val="24"/>
          <w:szCs w:val="24"/>
          <w:highlight w:val="none"/>
        </w:rPr>
        <w:t xml:space="preserve">    </w:t>
      </w:r>
      <w:r>
        <w:rPr>
          <w:rFonts w:hint="eastAsia" w:ascii="仿宋" w:hAnsi="仿宋" w:eastAsia="仿宋"/>
          <w:b/>
          <w:sz w:val="24"/>
          <w:szCs w:val="24"/>
          <w:highlight w:val="none"/>
        </w:rPr>
        <w:t xml:space="preserve">   乙方：</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代表签字：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   代表签字：</w:t>
      </w:r>
      <w:r/>
    </w:p>
    <w:p>
      <w:pPr>
        <w:spacing w:line="360" w:lineRule="auto"/>
        <w:tabs>
          <w:tab w:val="left" w:pos="462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签字日期：20</w:t>
      </w:r>
      <w:r>
        <w:rPr>
          <w:rFonts w:ascii="仿宋" w:hAnsi="仿宋" w:eastAsia="仿宋"/>
          <w:sz w:val="24"/>
          <w:szCs w:val="24"/>
          <w:highlight w:val="none"/>
        </w:rPr>
        <w:t xml:space="preserve">24</w:t>
      </w:r>
      <w:r>
        <w:rPr>
          <w:rFonts w:hint="eastAsia" w:ascii="仿宋" w:hAnsi="仿宋" w:eastAsia="仿宋"/>
          <w:sz w:val="24"/>
          <w:szCs w:val="24"/>
          <w:highlight w:val="none"/>
        </w:rPr>
        <w:t xml:space="preserve">年  月  日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    签字日期：2</w:t>
      </w:r>
      <w:r>
        <w:rPr>
          <w:rFonts w:ascii="仿宋" w:hAnsi="仿宋" w:eastAsia="仿宋"/>
          <w:sz w:val="24"/>
          <w:szCs w:val="24"/>
          <w:highlight w:val="none"/>
        </w:rPr>
        <w:t xml:space="preserve">024</w:t>
      </w:r>
      <w:r>
        <w:rPr>
          <w:rFonts w:hint="eastAsia" w:ascii="仿宋" w:hAnsi="仿宋" w:eastAsia="仿宋"/>
          <w:sz w:val="24"/>
          <w:szCs w:val="24"/>
          <w:highlight w:val="none"/>
        </w:rPr>
        <w:t xml:space="preserve">年  月  日</w:t>
      </w:r>
      <w:r/>
    </w:p>
    <w:p>
      <w:pPr>
        <w:ind w:left="5400" w:hanging="540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地    址：南京市珠江路700号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   地    址：</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邮政编码：210018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   邮政编码：</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联系人员：宋珂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联系人员：</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电    话：025-</w:t>
      </w:r>
      <w:r>
        <w:rPr>
          <w:rFonts w:ascii="仿宋" w:hAnsi="仿宋" w:eastAsia="仿宋"/>
          <w:sz w:val="24"/>
          <w:szCs w:val="24"/>
          <w:highlight w:val="none"/>
        </w:rPr>
        <w:t xml:space="preserve">51816</w:t>
      </w:r>
      <w:r>
        <w:rPr>
          <w:rFonts w:hint="eastAsia" w:ascii="仿宋" w:hAnsi="仿宋" w:eastAsia="仿宋"/>
          <w:sz w:val="24"/>
          <w:szCs w:val="24"/>
          <w:highlight w:val="none"/>
        </w:rPr>
        <w:t xml:space="preserve">559       </w:t>
      </w:r>
      <w:r>
        <w:rPr>
          <w:rFonts w:ascii="仿宋" w:hAnsi="仿宋" w:eastAsia="仿宋"/>
          <w:sz w:val="24"/>
          <w:szCs w:val="24"/>
          <w:highlight w:val="none"/>
        </w:rPr>
        <w:t xml:space="preserve">          </w:t>
      </w:r>
      <w:r>
        <w:rPr>
          <w:rFonts w:hint="eastAsia" w:ascii="仿宋" w:hAnsi="仿宋" w:eastAsia="仿宋"/>
          <w:sz w:val="24"/>
          <w:szCs w:val="24"/>
          <w:highlight w:val="none"/>
        </w:rPr>
        <w:t xml:space="preserve">电    话：</w:t>
      </w:r>
      <w:r/>
    </w:p>
    <w:p>
      <w:pPr>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5"/>
        <w:jc w:val="center"/>
        <w:rPr>
          <w:rFonts w:ascii="仿宋" w:hAnsi="仿宋" w:eastAsia="仿宋"/>
          <w:color w:val="auto"/>
          <w:sz w:val="36"/>
          <w:szCs w:val="36"/>
          <w:highlight w:val="none"/>
        </w:rPr>
      </w:pPr>
      <w:r/>
      <w:bookmarkStart w:id="223" w:name="_Toc14542"/>
      <w:r>
        <w:rPr>
          <w:rFonts w:hint="eastAsia" w:ascii="仿宋" w:hAnsi="仿宋" w:eastAsia="仿宋"/>
          <w:color w:val="auto"/>
          <w:sz w:val="36"/>
          <w:szCs w:val="36"/>
          <w:highlight w:val="none"/>
        </w:rPr>
        <w:t xml:space="preserve">第三章  投标邀请</w:t>
      </w:r>
      <w:bookmarkEnd w:id="219"/>
      <w:r/>
      <w:bookmarkEnd w:id="220"/>
      <w:r/>
      <w:bookmarkEnd w:id="221"/>
      <w:r/>
      <w:bookmarkEnd w:id="223"/>
      <w:r/>
      <w:r/>
    </w:p>
    <w:p>
      <w:pPr>
        <w:pStyle w:val="1153"/>
        <w:rPr>
          <w:rFonts w:ascii="仿宋" w:hAnsi="仿宋" w:eastAsia="仿宋"/>
          <w:color w:val="auto"/>
          <w:szCs w:val="24"/>
          <w:highlight w:val="none"/>
        </w:rPr>
      </w:pPr>
      <w:r>
        <w:rPr>
          <w:rFonts w:hint="eastAsia" w:ascii="仿宋" w:hAnsi="仿宋" w:eastAsia="仿宋"/>
          <w:color w:val="auto"/>
          <w:szCs w:val="24"/>
          <w:highlight w:val="none"/>
        </w:rPr>
        <w:t xml:space="preserve">江苏省招标中心有限公司受</w:t>
      </w:r>
      <w:r>
        <w:rPr>
          <w:rFonts w:hint="eastAsia" w:ascii="仿宋" w:hAnsi="仿宋" w:eastAsia="仿宋"/>
          <w:color w:val="auto"/>
          <w:szCs w:val="24"/>
          <w:highlight w:val="none"/>
          <w:u w:val="single"/>
        </w:rPr>
        <w:t xml:space="preserve">江苏省地质调查研究院</w:t>
      </w:r>
      <w:r>
        <w:rPr>
          <w:rFonts w:hint="eastAsia" w:ascii="仿宋" w:hAnsi="仿宋" w:eastAsia="仿宋"/>
          <w:color w:val="auto"/>
          <w:szCs w:val="24"/>
          <w:highlight w:val="none"/>
        </w:rPr>
        <w:t xml:space="preserve">的委托，拟对</w:t>
      </w:r>
      <w:r>
        <w:rPr>
          <w:rFonts w:hint="eastAsia" w:ascii="仿宋" w:hAnsi="仿宋" w:eastAsia="仿宋"/>
          <w:b/>
          <w:color w:val="auto"/>
          <w:szCs w:val="24"/>
          <w:highlight w:val="none"/>
          <w:lang w:eastAsia="zh-CN"/>
        </w:rPr>
        <w:t xml:space="preserve">“数字赋能与智慧监管项目”2023年商业雷达、高光谱卫星影像补充及处理</w:t>
      </w:r>
      <w:r>
        <w:rPr>
          <w:rFonts w:hint="eastAsia" w:ascii="仿宋" w:hAnsi="仿宋" w:eastAsia="仿宋"/>
          <w:color w:val="auto"/>
          <w:szCs w:val="24"/>
          <w:highlight w:val="none"/>
        </w:rPr>
        <w:t xml:space="preserve">，进行公开招标采购，并提请</w:t>
      </w:r>
      <w:r>
        <w:rPr>
          <w:rFonts w:hint="eastAsia" w:ascii="仿宋" w:hAnsi="仿宋" w:eastAsia="仿宋"/>
          <w:bCs w:val="0"/>
          <w:color w:val="auto"/>
          <w:szCs w:val="24"/>
          <w:highlight w:val="none"/>
        </w:rPr>
        <w:t xml:space="preserve">注意</w:t>
      </w:r>
      <w:r>
        <w:rPr>
          <w:rFonts w:hint="eastAsia" w:ascii="仿宋" w:hAnsi="仿宋" w:eastAsia="仿宋"/>
          <w:color w:val="auto"/>
          <w:szCs w:val="24"/>
          <w:highlight w:val="none"/>
        </w:rPr>
        <w:t xml:space="preserve">以下事项：</w:t>
      </w:r>
      <w:r/>
    </w:p>
    <w:p>
      <w:pPr>
        <w:pStyle w:val="986"/>
        <w:rPr>
          <w:rFonts w:ascii="仿宋" w:hAnsi="仿宋" w:eastAsia="仿宋"/>
          <w:color w:val="auto"/>
          <w:sz w:val="24"/>
          <w:szCs w:val="24"/>
          <w:highlight w:val="none"/>
        </w:rPr>
      </w:pPr>
      <w:r/>
      <w:bookmarkStart w:id="224" w:name="_Toc3883"/>
      <w:r/>
      <w:bookmarkStart w:id="225" w:name="_Toc420657405"/>
      <w:r/>
      <w:bookmarkStart w:id="226" w:name="_Toc289873205"/>
      <w:r/>
      <w:bookmarkStart w:id="227" w:name="_Toc420487910"/>
      <w:r>
        <w:rPr>
          <w:rFonts w:hint="eastAsia" w:ascii="仿宋" w:hAnsi="仿宋" w:eastAsia="仿宋"/>
          <w:color w:val="auto"/>
          <w:sz w:val="24"/>
          <w:szCs w:val="24"/>
          <w:highlight w:val="none"/>
        </w:rPr>
        <w:t xml:space="preserve">一、招标主要内容</w:t>
      </w:r>
      <w:bookmarkEnd w:id="224"/>
      <w:r/>
      <w:bookmarkEnd w:id="225"/>
      <w:r/>
      <w:bookmarkEnd w:id="226"/>
      <w:r/>
      <w:bookmarkEnd w:id="227"/>
      <w:r/>
      <w:r/>
    </w:p>
    <w:tbl>
      <w:tblPr>
        <w:tblStyle w:val="99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2270"/>
        <w:gridCol w:w="6268"/>
      </w:tblGrid>
      <w:tr>
        <w:trPr>
          <w:trHeight w:val="485"/>
          <w:tblHeader/>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具 体 内  容</w:t>
            </w:r>
            <w:r/>
          </w:p>
        </w:tc>
      </w:tr>
      <w:tr>
        <w:trPr>
          <w:trHeight w:val="77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采购人</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江苏省地质调查研究院</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项目负责人：宋珂</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电话：025-51816559</w:t>
            </w:r>
            <w:r/>
          </w:p>
        </w:tc>
      </w:tr>
      <w:tr>
        <w:trPr>
          <w:trHeight w:val="77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tc>
        <w:tc>
          <w:tcPr>
            <w:tcW w:w="6268" w:type="dxa"/>
            <w:vAlign w:val="center"/>
            <w:textDirection w:val="lrTb"/>
            <w:noWrap w:val="false"/>
          </w:tcPr>
          <w:p>
            <w:pPr>
              <w:spacing w:line="360" w:lineRule="auto"/>
              <w:rPr>
                <w:rFonts w:hint="eastAsia" w:ascii="仿宋" w:hAnsi="仿宋" w:eastAsia="仿宋"/>
                <w:bCs/>
                <w:color w:val="auto"/>
                <w:sz w:val="24"/>
                <w:szCs w:val="24"/>
                <w:highlight w:val="none"/>
                <w:lang w:eastAsia="zh-CN"/>
              </w:rPr>
            </w:pPr>
            <w:r>
              <w:rPr>
                <w:rFonts w:hint="eastAsia" w:ascii="仿宋" w:hAnsi="仿宋" w:eastAsia="仿宋"/>
                <w:bCs/>
                <w:color w:val="auto"/>
                <w:sz w:val="24"/>
                <w:szCs w:val="24"/>
                <w:highlight w:val="none"/>
                <w:lang w:eastAsia="zh-CN"/>
              </w:rPr>
              <w:t xml:space="preserve">“数字赋能与智慧监管项目”2023年商业雷达、高光谱卫星影像补充及处理</w:t>
            </w:r>
            <w:r/>
          </w:p>
        </w:tc>
      </w:tr>
      <w:tr>
        <w:trPr>
          <w:trHeight w:val="77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采购方式</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公开招标</w:t>
            </w:r>
            <w:r/>
          </w:p>
        </w:tc>
      </w:tr>
      <w:tr>
        <w:trPr>
          <w:trHeight w:val="775"/>
        </w:trPr>
        <w:tc>
          <w:tcPr>
            <w:tcW w:w="1090" w:type="dxa"/>
            <w:vAlign w:val="center"/>
            <w:textDirection w:val="lrTb"/>
            <w:noWrap w:val="false"/>
          </w:tcPr>
          <w:p>
            <w:pPr>
              <w:ind w:right="102"/>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w:t>
            </w:r>
            <w:r/>
          </w:p>
        </w:tc>
        <w:tc>
          <w:tcPr>
            <w:tcW w:w="6268" w:type="dxa"/>
            <w:vAlign w:val="center"/>
            <w:textDirection w:val="lrTb"/>
            <w:noWrap w:val="false"/>
          </w:tcPr>
          <w:p>
            <w:pPr>
              <w:spacing w:line="36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 xml:space="preserve">JSTCC2400215409（JSZC-320000-JITC-G2024-0287）</w:t>
            </w:r>
            <w:r/>
          </w:p>
        </w:tc>
      </w:tr>
      <w:tr>
        <w:trPr>
          <w:trHeight w:val="1197"/>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w:t>
            </w:r>
            <w:r/>
          </w:p>
        </w:tc>
        <w:tc>
          <w:tcPr>
            <w:tcW w:w="2270" w:type="dxa"/>
            <w:vAlign w:val="center"/>
            <w:textDirection w:val="lrTb"/>
            <w:noWrap w:val="false"/>
          </w:tcPr>
          <w:p>
            <w:pPr>
              <w:ind w:right="102"/>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采购项目预算</w:t>
            </w:r>
            <w:r/>
          </w:p>
        </w:tc>
        <w:tc>
          <w:tcPr>
            <w:tcW w:w="6268" w:type="dxa"/>
            <w:vAlign w:val="center"/>
            <w:textDirection w:val="lrTb"/>
            <w:noWrap w:val="false"/>
          </w:tcPr>
          <w:p>
            <w:pPr>
              <w:spacing w:line="360" w:lineRule="auto"/>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429.55万元人民币</w:t>
            </w:r>
            <w:r/>
          </w:p>
        </w:tc>
      </w:tr>
      <w:tr>
        <w:trPr>
          <w:trHeight w:val="787"/>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6</w:t>
            </w:r>
            <w:r/>
          </w:p>
        </w:tc>
        <w:tc>
          <w:tcPr>
            <w:tcW w:w="2270" w:type="dxa"/>
            <w:vAlign w:val="center"/>
            <w:textDirection w:val="lrTb"/>
            <w:noWrap w:val="false"/>
          </w:tcPr>
          <w:p>
            <w:pPr>
              <w:ind w:right="102"/>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采购代理机构</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江苏省招标中心有限公司</w:t>
            </w:r>
            <w:r/>
          </w:p>
          <w:p>
            <w:pPr>
              <w:jc w:val="both"/>
              <w:spacing w:line="360" w:lineRule="auto"/>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项目负责人：</w:t>
            </w:r>
            <w:r>
              <w:rPr>
                <w:rFonts w:hint="eastAsia" w:ascii="仿宋" w:hAnsi="仿宋" w:eastAsia="仿宋"/>
                <w:color w:val="auto"/>
                <w:sz w:val="24"/>
                <w:szCs w:val="24"/>
                <w:highlight w:val="none"/>
                <w:lang w:val="en-US" w:eastAsia="zh-CN"/>
              </w:rPr>
              <w:t xml:space="preserve">于瀚博</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电话：025-82281974</w:t>
            </w:r>
            <w:r/>
          </w:p>
        </w:tc>
      </w:tr>
      <w:tr>
        <w:trPr>
          <w:trHeight w:val="139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7</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w:t>
            </w:r>
            <w:r/>
          </w:p>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（文件中也称投标人）</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响应招标、参加投标竞争的法人或其他组织（本项目不接受联合体投标）</w:t>
            </w:r>
            <w:r/>
          </w:p>
        </w:tc>
      </w:tr>
      <w:tr>
        <w:trPr>
          <w:trHeight w:val="7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8</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投标保证金</w:t>
            </w:r>
            <w:r/>
          </w:p>
        </w:tc>
        <w:tc>
          <w:tcPr>
            <w:tcW w:w="6268" w:type="dxa"/>
            <w:vAlign w:val="center"/>
            <w:textDirection w:val="lrTb"/>
            <w:noWrap w:val="false"/>
          </w:tcPr>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无</w:t>
            </w:r>
            <w:r/>
          </w:p>
        </w:tc>
      </w:tr>
      <w:tr>
        <w:trPr>
          <w:trHeight w:val="511"/>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9</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投标保证金递交方式</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无</w:t>
            </w:r>
            <w:r/>
          </w:p>
        </w:tc>
      </w:tr>
      <w:tr>
        <w:trPr>
          <w:trHeight w:val="511"/>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10</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招标文件发售时间、地点及售价</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时间：202</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lang w:val="en-US" w:eastAsia="zh-CN"/>
              </w:rPr>
              <w:t xml:space="preserve">10</w:t>
            </w:r>
            <w:r>
              <w:rPr>
                <w:rFonts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en-US" w:eastAsia="zh-CN"/>
              </w:rPr>
              <w:t xml:space="preserve">9</w:t>
            </w:r>
            <w:r>
              <w:rPr>
                <w:rFonts w:hint="eastAsia" w:ascii="仿宋" w:hAnsi="仿宋" w:eastAsia="仿宋"/>
                <w:color w:val="auto"/>
                <w:sz w:val="24"/>
                <w:szCs w:val="24"/>
                <w:highlight w:val="none"/>
              </w:rPr>
              <w:t xml:space="preserve">日～202</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lang w:val="en-US" w:eastAsia="zh-CN"/>
              </w:rPr>
              <w:t xml:space="preserve">11</w:t>
            </w:r>
            <w:r>
              <w:rPr>
                <w:rFonts w:ascii="仿宋" w:hAnsi="仿宋" w:eastAsia="仿宋"/>
                <w:color w:val="auto"/>
                <w:sz w:val="24"/>
                <w:szCs w:val="24"/>
                <w:highlight w:val="none"/>
              </w:rPr>
              <w:t xml:space="preserve">月</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日（节假日除外）上午8：30-11：30，下午2：00-5：00（北京时间）；</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地点；邮购，江苏省南京市鼓楼区郑和中路118号D座16楼1612室（https://www.jstcc.cn/）</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售价：500.00元人民币，售后不退。</w:t>
            </w:r>
            <w:r/>
          </w:p>
        </w:tc>
      </w:tr>
      <w:tr>
        <w:trPr>
          <w:trHeight w:val="788"/>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11</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投标文件递交</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截止时间：202</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lang w:val="en-US" w:eastAsia="zh-CN"/>
              </w:rPr>
              <w:t xml:space="preserve">11</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lang w:val="en-US" w:eastAsia="zh-CN"/>
              </w:rPr>
              <w:t xml:space="preserve">21</w:t>
            </w:r>
            <w:r>
              <w:rPr>
                <w:rFonts w:hint="eastAsia" w:ascii="仿宋" w:hAnsi="仿宋" w:eastAsia="仿宋"/>
                <w:color w:val="auto"/>
                <w:sz w:val="24"/>
                <w:szCs w:val="24"/>
                <w:highlight w:val="none"/>
              </w:rPr>
              <w:t xml:space="preserve">日</w:t>
            </w:r>
            <w:r>
              <w:rPr>
                <w:rFonts w:hint="eastAsia" w:ascii="仿宋" w:hAnsi="仿宋" w:eastAsia="仿宋"/>
                <w:color w:val="auto"/>
                <w:sz w:val="24"/>
                <w:szCs w:val="24"/>
                <w:highlight w:val="none"/>
                <w:lang w:val="en-US" w:eastAsia="zh-CN"/>
              </w:rPr>
              <w:t xml:space="preserve">14</w:t>
            </w:r>
            <w:r>
              <w:rPr>
                <w:rFonts w:hint="eastAsia" w:ascii="仿宋" w:hAnsi="仿宋" w:eastAsia="仿宋"/>
                <w:color w:val="auto"/>
                <w:sz w:val="24"/>
                <w:szCs w:val="24"/>
                <w:highlight w:val="none"/>
              </w:rPr>
              <w:t xml:space="preserve">时00分（北京时间）</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地点：江苏省南京市鼓楼区郑和中路118号D座16楼1612室</w:t>
            </w:r>
            <w:r/>
          </w:p>
          <w:p>
            <w:pPr>
              <w:spacing w:line="360" w:lineRule="auto"/>
              <w:rPr>
                <w:rFonts w:ascii="仿宋" w:hAnsi="仿宋" w:eastAsia="仿宋"/>
                <w:b/>
                <w:color w:val="auto"/>
                <w:sz w:val="24"/>
                <w:highlight w:val="none"/>
              </w:rPr>
            </w:pPr>
            <w:r>
              <w:rPr>
                <w:rFonts w:hint="eastAsia" w:ascii="仿宋" w:hAnsi="仿宋" w:eastAsia="仿宋"/>
                <w:b/>
                <w:color w:val="auto"/>
                <w:sz w:val="24"/>
                <w:highlight w:val="none"/>
              </w:rPr>
              <w:t xml:space="preserve">建议各供应商将投标文件通过顺丰或其它可靠方式，在提交响应文件截止时间前，寄送到以上地址，收件人：</w:t>
            </w:r>
            <w:r>
              <w:rPr>
                <w:rFonts w:hint="eastAsia" w:ascii="仿宋" w:hAnsi="仿宋" w:eastAsia="仿宋"/>
                <w:b/>
                <w:color w:val="auto"/>
                <w:sz w:val="24"/>
                <w:highlight w:val="none"/>
                <w:lang w:val="en-US" w:eastAsia="zh-CN"/>
              </w:rPr>
              <w:t xml:space="preserve">金海涛</w:t>
            </w:r>
            <w:r>
              <w:rPr>
                <w:rFonts w:hint="eastAsia" w:ascii="仿宋" w:hAnsi="仿宋" w:eastAsia="仿宋"/>
                <w:b/>
                <w:color w:val="auto"/>
                <w:sz w:val="24"/>
                <w:highlight w:val="none"/>
              </w:rPr>
              <w:t xml:space="preserve">，联系电话：</w:t>
            </w:r>
            <w:r>
              <w:rPr>
                <w:rFonts w:hint="eastAsia" w:ascii="仿宋" w:hAnsi="仿宋" w:eastAsia="仿宋"/>
                <w:b/>
                <w:color w:val="auto"/>
                <w:sz w:val="24"/>
                <w:highlight w:val="none"/>
                <w:lang w:val="en-US" w:eastAsia="zh-CN"/>
              </w:rPr>
              <w:t xml:space="preserve">15951380804</w:t>
            </w:r>
            <w:r>
              <w:rPr>
                <w:rFonts w:hint="eastAsia" w:ascii="仿宋" w:hAnsi="仿宋" w:eastAsia="仿宋"/>
                <w:b/>
                <w:color w:val="auto"/>
                <w:sz w:val="24"/>
                <w:highlight w:val="none"/>
              </w:rPr>
              <w:t xml:space="preserve">，文件寄出后，请发送短信到以上号码告知：供应商名称+所投标项目编号+快递公司名称+快递单号</w:t>
            </w:r>
            <w:r/>
          </w:p>
          <w:p>
            <w:pPr>
              <w:jc w:val="both"/>
              <w:spacing w:line="360" w:lineRule="auto"/>
              <w:rPr>
                <w:rFonts w:ascii="仿宋" w:hAnsi="仿宋" w:eastAsia="仿宋"/>
                <w:color w:val="auto"/>
                <w:sz w:val="24"/>
                <w:szCs w:val="24"/>
                <w:highlight w:val="none"/>
              </w:rPr>
            </w:pPr>
            <w:r>
              <w:rPr>
                <w:rFonts w:hint="eastAsia" w:ascii="仿宋" w:hAnsi="仿宋" w:eastAsia="仿宋"/>
                <w:b/>
                <w:color w:val="auto"/>
                <w:sz w:val="24"/>
                <w:highlight w:val="none"/>
              </w:rPr>
              <w:t xml:space="preserve">请考虑文件在途时间，投标文件必须在提交投标文件递交截止时间前寄送到。</w:t>
            </w:r>
            <w:r/>
          </w:p>
        </w:tc>
      </w:tr>
      <w:tr>
        <w:trPr>
          <w:trHeight w:val="90"/>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12</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投标文件数量</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正本份数：壹份</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副本份数：伍份</w:t>
            </w:r>
            <w:r/>
          </w:p>
        </w:tc>
      </w:tr>
      <w:tr>
        <w:trPr>
          <w:trHeight w:val="486"/>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13</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开标</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时间：同投标文件递交截止时间</w:t>
            </w:r>
            <w:r/>
          </w:p>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地点：江苏省南京市鼓楼区郑和中路118号D座</w:t>
            </w:r>
            <w:r>
              <w:rPr>
                <w:rFonts w:hint="eastAsia" w:ascii="仿宋" w:hAnsi="仿宋" w:eastAsia="仿宋"/>
                <w:color w:val="auto"/>
                <w:sz w:val="24"/>
                <w:szCs w:val="24"/>
                <w:highlight w:val="none"/>
                <w:lang w:val="en-US" w:eastAsia="zh-CN"/>
              </w:rPr>
              <w:t xml:space="preserve">15</w:t>
            </w:r>
            <w:r>
              <w:rPr>
                <w:rFonts w:hint="eastAsia" w:ascii="仿宋" w:hAnsi="仿宋" w:eastAsia="仿宋"/>
                <w:color w:val="auto"/>
                <w:sz w:val="24"/>
                <w:szCs w:val="24"/>
                <w:highlight w:val="none"/>
              </w:rPr>
              <w:t xml:space="preserve">楼</w:t>
            </w:r>
            <w:r>
              <w:rPr>
                <w:rFonts w:hint="eastAsia" w:ascii="仿宋" w:hAnsi="仿宋" w:eastAsia="仿宋"/>
                <w:color w:val="auto"/>
                <w:sz w:val="24"/>
                <w:szCs w:val="24"/>
                <w:highlight w:val="none"/>
                <w:lang w:val="en-US" w:eastAsia="zh-CN"/>
              </w:rPr>
              <w:t xml:space="preserve">1506</w:t>
            </w:r>
            <w:r>
              <w:rPr>
                <w:rFonts w:hint="eastAsia" w:ascii="仿宋" w:hAnsi="仿宋" w:eastAsia="仿宋"/>
                <w:color w:val="auto"/>
                <w:sz w:val="24"/>
                <w:szCs w:val="24"/>
                <w:highlight w:val="none"/>
              </w:rPr>
              <w:t xml:space="preserve">室</w:t>
            </w:r>
            <w:r/>
          </w:p>
          <w:p>
            <w:pPr>
              <w:pStyle w:val="998"/>
              <w:ind w:firstLine="0"/>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本项目采取不见面开标模式，供应商授权代表不现场参加项目开标，可在以上时间通过腾讯会议方式参加开标活动。</w:t>
            </w:r>
            <w:r/>
          </w:p>
          <w:p>
            <w:pPr>
              <w:pStyle w:val="998"/>
              <w:ind w:firstLine="0"/>
              <w:jc w:val="left"/>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（1）腾讯会议链接：https://meeting.tencent.com/dm/lAmlIdbyxwfl；</w:t>
            </w:r>
            <w:r/>
          </w:p>
          <w:p>
            <w:pPr>
              <w:pStyle w:val="998"/>
              <w:ind w:firstLine="0"/>
              <w:jc w:val="left"/>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腾讯会议号：438-945-975；</w:t>
            </w:r>
            <w:r/>
          </w:p>
          <w:p>
            <w:pPr>
              <w:pStyle w:val="998"/>
              <w:ind w:firstLine="0"/>
              <w:spacing w:line="460"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（2）供应商授权代表应当至少提前一日安装测试好腾讯会议，确保语音、视频情况清晰良好；</w:t>
            </w:r>
            <w:r/>
          </w:p>
          <w:p>
            <w:pPr>
              <w:jc w:val="both"/>
              <w:spacing w:line="360" w:lineRule="auto"/>
              <w:rPr>
                <w:rFonts w:ascii="仿宋" w:hAnsi="仿宋" w:eastAsia="仿宋"/>
                <w:color w:val="auto"/>
                <w:sz w:val="24"/>
                <w:szCs w:val="24"/>
                <w:highlight w:val="none"/>
                <w:u w:val="single"/>
              </w:rPr>
            </w:pPr>
            <w:r>
              <w:rPr>
                <w:rFonts w:hint="eastAsia" w:ascii="仿宋" w:hAnsi="仿宋" w:eastAsia="仿宋"/>
                <w:b/>
                <w:color w:val="auto"/>
                <w:sz w:val="24"/>
                <w:szCs w:val="24"/>
                <w:highlight w:val="none"/>
              </w:rPr>
              <w:t xml:space="preserve">（3）供应商授权代表进入腾讯会议后，请修改昵称为“供应商名称+授权代表名称”。</w:t>
            </w:r>
            <w:r/>
          </w:p>
        </w:tc>
      </w:tr>
      <w:tr>
        <w:trPr>
          <w:trHeight w:val="367"/>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14</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投标文件有效期</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从开标之日起计算的九十天</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15</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投标货币</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人民币</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16</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采购项目</w:t>
            </w:r>
            <w:r>
              <w:rPr>
                <w:rFonts w:hint="eastAsia" w:ascii="仿宋" w:hAnsi="仿宋" w:eastAsia="仿宋"/>
                <w:color w:val="auto"/>
                <w:sz w:val="24"/>
                <w:szCs w:val="24"/>
                <w:highlight w:val="none"/>
              </w:rPr>
              <w:t xml:space="preserve">类型</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w:t>
            </w:r>
            <w:r>
              <w:rPr>
                <w:rFonts w:ascii="仿宋" w:hAnsi="仿宋" w:eastAsia="仿宋"/>
                <w:color w:val="auto"/>
                <w:sz w:val="24"/>
                <w:szCs w:val="24"/>
                <w:highlight w:val="none"/>
              </w:rPr>
              <w:t xml:space="preserve">采购项目</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17</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采购标的对应的中小企业划分标准所属行业</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trHeight w:val="685"/>
        </w:trPr>
        <w:tc>
          <w:tcPr>
            <w:tcW w:w="1090" w:type="dxa"/>
            <w:vAlign w:val="center"/>
            <w:textDirection w:val="lrTb"/>
            <w:noWrap w:val="false"/>
          </w:tcPr>
          <w:p>
            <w:pPr>
              <w:jc w:val="cente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18</w:t>
            </w:r>
            <w:r/>
          </w:p>
        </w:tc>
        <w:tc>
          <w:tcPr>
            <w:tcW w:w="2270" w:type="dxa"/>
            <w:vAlign w:val="center"/>
            <w:textDirection w:val="lrTb"/>
            <w:noWrap w:val="false"/>
          </w:tcPr>
          <w:p>
            <w:pPr>
              <w:jc w:val="cente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其他规定</w:t>
            </w:r>
            <w:r/>
          </w:p>
        </w:tc>
        <w:tc>
          <w:tcPr>
            <w:tcW w:w="6268"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依据</w:t>
            </w:r>
            <w:r>
              <w:rPr>
                <w:rFonts w:hint="eastAsia" w:ascii="仿宋" w:hAnsi="仿宋" w:eastAsia="仿宋"/>
                <w:color w:val="auto"/>
                <w:sz w:val="24"/>
                <w:szCs w:val="24"/>
                <w:highlight w:val="none"/>
              </w:rPr>
              <w:t xml:space="preserve">《政府采购促进中小企业发展管理办法》</w:t>
            </w:r>
            <w:r>
              <w:rPr>
                <w:rFonts w:ascii="仿宋" w:hAnsi="仿宋" w:eastAsia="仿宋"/>
                <w:color w:val="auto"/>
                <w:sz w:val="24"/>
                <w:szCs w:val="24"/>
                <w:highlight w:val="none"/>
              </w:rPr>
              <w:t xml:space="preserve">规定享受扶持政策获得政府采购合同的，小微企业不得将合同分包给大中型企业，中型企业不得将合同分包给大型企业。</w:t>
            </w:r>
            <w:r/>
          </w:p>
        </w:tc>
      </w:tr>
    </w:tbl>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6"/>
        <w:rPr>
          <w:rFonts w:ascii="仿宋" w:hAnsi="仿宋" w:eastAsia="仿宋"/>
          <w:color w:val="auto"/>
          <w:sz w:val="24"/>
          <w:szCs w:val="24"/>
          <w:highlight w:val="none"/>
        </w:rPr>
      </w:pPr>
      <w:r/>
      <w:bookmarkStart w:id="228" w:name="_Toc9242"/>
      <w:r/>
      <w:bookmarkStart w:id="229" w:name="_Toc420487911"/>
      <w:r/>
      <w:bookmarkStart w:id="230" w:name="_Toc289873206"/>
      <w:r/>
      <w:bookmarkStart w:id="231" w:name="_Toc420657406"/>
      <w:r>
        <w:rPr>
          <w:rFonts w:hint="eastAsia" w:ascii="仿宋" w:hAnsi="仿宋" w:eastAsia="仿宋"/>
          <w:color w:val="auto"/>
          <w:sz w:val="24"/>
          <w:szCs w:val="24"/>
          <w:highlight w:val="none"/>
        </w:rPr>
        <w:t xml:space="preserve">二、合格供应商的基本资格要求（本项目为资格后审）</w:t>
      </w:r>
      <w:bookmarkEnd w:id="228"/>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1.满足《中华人民共和国政府采购法》第二十二条规定，具体为：</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（1）具有独立承担民事责任的能力，提供法人或其他组织的营业执照等证明文件，复印件加盖公章；</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（2）具有良好的商业信誉和健全的财务会计制度，提供开标时间前的财务报表复印件加盖公章（法人或者其他组织成立未满六个月的可以不提供）；</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（3）具有履行合同所必需的设备和专业技术能力，提供</w:t>
      </w:r>
      <w:r>
        <w:rPr>
          <w:rFonts w:ascii="仿宋" w:hAnsi="仿宋" w:eastAsia="仿宋" w:cs="宋体"/>
          <w:color w:val="auto"/>
          <w:sz w:val="24"/>
          <w:szCs w:val="24"/>
          <w:highlight w:val="none"/>
        </w:rPr>
        <w:t xml:space="preserve">证明材料或</w:t>
      </w:r>
      <w:r>
        <w:rPr>
          <w:rFonts w:hint="eastAsia" w:ascii="仿宋" w:hAnsi="仿宋" w:eastAsia="仿宋" w:cs="宋体"/>
          <w:color w:val="auto"/>
          <w:sz w:val="24"/>
          <w:szCs w:val="24"/>
          <w:highlight w:val="none"/>
        </w:rPr>
        <w:t xml:space="preserve">承诺函（自行编写）；</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2.落实政府采购政策需满足的资格要求：</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无（本项目不属于专门面向中小企业采购的项目）</w:t>
        <mc:AlternateContent>
          <mc:Choice Requires="wpg">
            <w:drawing>
              <wp:inline xmlns:wp="http://schemas.openxmlformats.org/drawingml/2006/wordprocessingDrawing" distT="0" distB="0" distL="0" distR="0">
                <wp:extent cx="190500" cy="209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180514" name=""/>
                        <pic:cNvPicPr>
                          <a:picLocks noChangeAspect="1"/>
                        </pic:cNvPicPr>
                        <pic:nvPr/>
                      </pic:nvPicPr>
                      <pic:blipFill>
                        <a:blip r:embed="rId20"/>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0pt;height:16.5pt;mso-wrap-distance-left:0.0pt;mso-wrap-distance-top:0.0pt;mso-wrap-distance-right:0.0pt;mso-wrap-distance-bottom:0.0pt;" stroked="false">
                <v:path textboxrect="0,0,0,0"/>
                <v:imagedata r:id="rId20" o:title=""/>
              </v:shape>
            </w:pict>
          </mc:Fallback>
        </mc:AlternateConten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3.本项目的特定资格要求：</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（1）供应商具有“测绘资质证书（摄影测量与遥感乙级或以上）”，提供有效期内的证书复印件加盖公章；</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2</w:t>
      </w:r>
      <w:r>
        <w:rPr>
          <w:rFonts w:hint="eastAsia" w:ascii="仿宋" w:hAnsi="仿宋" w:eastAsia="仿宋" w:cs="宋体"/>
          <w:color w:val="auto"/>
          <w:sz w:val="24"/>
          <w:szCs w:val="24"/>
          <w:highlight w:val="none"/>
        </w:rPr>
        <w:t xml:space="preserve">）本项目不接受进口产品投标（注：指产品自身，而非构成产品的零部件；本文件所称进口产品是指通过中国海关报关验放进入中国境内且产自关境外的产品）；</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3</w:t>
      </w:r>
      <w:r>
        <w:rPr>
          <w:rFonts w:hint="eastAsia" w:ascii="仿宋" w:hAnsi="仿宋" w:eastAsia="仿宋" w:cs="宋体"/>
          <w:color w:val="auto"/>
          <w:sz w:val="24"/>
          <w:szCs w:val="24"/>
          <w:highlight w:val="none"/>
        </w:rPr>
        <w:t xml:space="preserve">）采购代理机构将通过“信用中国”网站（http://www.creditchina.gov.cn）、中国政府采购网(www.ccgp.gov.cn )查询供应商在采购公告发布之日前的信用记录并保存，通过以上查询渠道，供应商不得有被列入失信被执行人、重大税收违法案件当事人名单、政府采购严重违法失信行为记录；</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4</w:t>
      </w:r>
      <w:r>
        <w:rPr>
          <w:rFonts w:hint="eastAsia" w:ascii="仿宋" w:hAnsi="仿宋" w:eastAsia="仿宋" w:cs="宋体"/>
          <w:color w:val="auto"/>
          <w:sz w:val="24"/>
          <w:szCs w:val="24"/>
          <w:highlight w:val="none"/>
        </w:rPr>
        <w:t xml:space="preserve">）单位负责人为同一人或者存在直接控股、管理关系的不同供应商，不得参加同一合同项下的政府采购活动；</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）为采购项目提供整体设计、规范编制或者项目管理、监理、检测等服务的供应商，不得再参加该采购项目的其他采购活动；</w:t>
      </w:r>
      <w:r/>
    </w:p>
    <w:p>
      <w:pPr>
        <w:ind w:firstLine="480"/>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rPr>
          <w:rFonts w:ascii="仿宋" w:hAnsi="仿宋" w:eastAsia="仿宋" w:cs="宋体"/>
          <w:color w:val="auto"/>
          <w:sz w:val="24"/>
          <w:szCs w:val="24"/>
          <w:highlight w:val="none"/>
        </w:rPr>
        <w:t xml:space="preserve">6</w:t>
      </w:r>
      <w:r>
        <w:rPr>
          <w:rFonts w:hint="eastAsia" w:ascii="仿宋" w:hAnsi="仿宋" w:eastAsia="仿宋" w:cs="宋体"/>
          <w:color w:val="auto"/>
          <w:sz w:val="24"/>
          <w:szCs w:val="24"/>
          <w:highlight w:val="none"/>
        </w:rPr>
        <w:t xml:space="preserve">）本项目不接受联合体投标。</w:t>
      </w:r>
      <w:r/>
    </w:p>
    <w:p>
      <w:pPr>
        <w:pStyle w:val="986"/>
        <w:rPr>
          <w:rFonts w:ascii="仿宋" w:hAnsi="仿宋" w:eastAsia="仿宋"/>
          <w:color w:val="auto"/>
          <w:sz w:val="24"/>
          <w:szCs w:val="24"/>
          <w:highlight w:val="none"/>
        </w:rPr>
      </w:pPr>
      <w:r/>
      <w:bookmarkStart w:id="232" w:name="_Toc18984"/>
      <w:r>
        <w:rPr>
          <w:rFonts w:hint="eastAsia" w:ascii="仿宋" w:hAnsi="仿宋" w:eastAsia="仿宋"/>
          <w:color w:val="auto"/>
          <w:sz w:val="24"/>
          <w:szCs w:val="24"/>
          <w:highlight w:val="none"/>
        </w:rPr>
        <w:t xml:space="preserve">三、评标办法</w:t>
      </w:r>
      <w:bookmarkEnd w:id="232"/>
      <w:r/>
      <w:bookmarkEnd w:id="229"/>
      <w:r/>
      <w:bookmarkEnd w:id="230"/>
      <w:r/>
      <w:bookmarkEnd w:id="231"/>
      <w:r/>
      <w:r/>
    </w:p>
    <w:p>
      <w:pPr>
        <w:spacing w:line="300" w:lineRule="auto"/>
        <w:rPr>
          <w:rFonts w:hint="eastAsia" w:ascii="仿宋" w:hAnsi="仿宋" w:eastAsia="仿宋"/>
          <w:sz w:val="24"/>
          <w:szCs w:val="24"/>
          <w:highlight w:val="none"/>
        </w:rPr>
      </w:pPr>
      <w:r/>
      <w:bookmarkStart w:id="233" w:name="_Toc420487913"/>
      <w:r/>
      <w:bookmarkStart w:id="234" w:name="_Toc420657408"/>
      <w:r/>
      <w:bookmarkStart w:id="235" w:name="_Toc289873209"/>
      <w:r>
        <w:rPr>
          <w:rFonts w:hint="eastAsia" w:ascii="仿宋" w:hAnsi="仿宋" w:eastAsia="仿宋"/>
          <w:sz w:val="24"/>
          <w:szCs w:val="24"/>
          <w:highlight w:val="none"/>
        </w:rPr>
        <w:t xml:space="preserve">（一）本项目按照综合评分法评标。</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（二）供应商的投标文件如被发现下列情况之一的，其投标文件将被做无效投标处理:</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1）不满足招标文件对合格供应商的基本资格要求的；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2）供应商未提交投标保证金或金额不足、投标保证金形式不符合招标文件要求的；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3）供应商在投标文件中提供的货物及/或服务对于招标文件“第四章 招标技术规格及要求”的标注“★”技术指标的任何负偏离的； </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4）供应商在投标文件中对于《合同条款及格式》的任何重大负偏离；</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5）资格证明文件不全、失效或不符合招标文件要求的；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6）投标文件无法定代表人签字，或签字人无法定代表人有效授权的；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7）投标文件或投标有效期不足的；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8）投标文件中提供虚假或失实资料的；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9）未按照招标文件规定的方式购买招标文件的；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10</w:t>
      </w:r>
      <w:r>
        <w:rPr>
          <w:rFonts w:ascii="仿宋" w:hAnsi="仿宋" w:eastAsia="仿宋"/>
          <w:sz w:val="24"/>
          <w:szCs w:val="24"/>
          <w:highlight w:val="none"/>
        </w:rPr>
        <w:t xml:space="preserve">）投标报价超过项目预算</w:t>
      </w:r>
      <w:r>
        <w:rPr>
          <w:rFonts w:hint="eastAsia" w:ascii="仿宋" w:hAnsi="仿宋" w:eastAsia="仿宋"/>
          <w:sz w:val="24"/>
          <w:szCs w:val="24"/>
          <w:highlight w:val="none"/>
        </w:rPr>
        <w:t xml:space="preserve">或最高限价</w:t>
      </w:r>
      <w:r>
        <w:rPr>
          <w:rFonts w:ascii="仿宋" w:hAnsi="仿宋" w:eastAsia="仿宋"/>
          <w:sz w:val="24"/>
          <w:szCs w:val="24"/>
          <w:highlight w:val="none"/>
        </w:rPr>
        <w:t xml:space="preserve">的；</w:t>
      </w:r>
      <w:r/>
    </w:p>
    <w:p>
      <w:pPr>
        <w:spacing w:line="30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11）评标委员会认为不能实质上满足招标文件其它要求的。</w:t>
      </w:r>
      <w:r/>
    </w:p>
    <w:p>
      <w:pPr>
        <w:ind w:firstLine="480"/>
        <w:rPr>
          <w:rFonts w:hint="eastAsia" w:ascii="仿宋" w:hAnsi="仿宋" w:eastAsia="仿宋"/>
          <w:sz w:val="24"/>
          <w:szCs w:val="24"/>
          <w:highlight w:val="none"/>
        </w:rPr>
      </w:pPr>
      <w:r>
        <w:rPr>
          <w:rFonts w:hint="eastAsia" w:ascii="仿宋" w:hAnsi="仿宋" w:eastAsia="仿宋"/>
          <w:sz w:val="24"/>
          <w:szCs w:val="24"/>
          <w:highlight w:val="none"/>
        </w:rPr>
      </w:r>
      <w:r/>
    </w:p>
    <w:p>
      <w:pPr>
        <w:numPr>
          <w:ilvl w:val="0"/>
          <w:numId w:val="5"/>
        </w:num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tbl>
      <w:tblPr>
        <w:tblStyle w:val="995"/>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15"/>
        <w:gridCol w:w="1184"/>
        <w:gridCol w:w="5671"/>
        <w:gridCol w:w="729"/>
      </w:tblGrid>
      <w:tr>
        <w:trPr>
          <w:jc w:val="center"/>
          <w:trHeight w:val="4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729" w:type="dxa"/>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399"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价格部分(</w:t>
            </w:r>
            <w:r>
              <w:rPr>
                <w:rFonts w:ascii="仿宋" w:hAnsi="仿宋" w:eastAsia="仿宋"/>
                <w:sz w:val="24"/>
                <w:szCs w:val="24"/>
                <w:highlight w:val="none"/>
              </w:rPr>
              <w:t xml:space="preserve">1</w:t>
            </w:r>
            <w:r>
              <w:rPr>
                <w:rFonts w:hint="eastAsia" w:ascii="仿宋" w:hAnsi="仿宋" w:eastAsia="仿宋"/>
                <w:sz w:val="24"/>
                <w:szCs w:val="24"/>
                <w:highlight w:val="none"/>
              </w:rPr>
              <w:t xml:space="preserve">0分)</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满足招标文件要求且投标价格最低的投标报价为评标基准价，其价格为满分。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投标人报价得分=（所有评标价中的最低价/ 投标人评标价）×</w:t>
            </w:r>
            <w:r>
              <w:rPr>
                <w:rFonts w:ascii="仿宋" w:hAnsi="仿宋" w:eastAsia="仿宋"/>
                <w:sz w:val="24"/>
                <w:szCs w:val="24"/>
                <w:highlight w:val="none"/>
              </w:rPr>
              <w:t xml:space="preserve">1</w:t>
            </w:r>
            <w:r>
              <w:rPr>
                <w:rFonts w:hint="eastAsia" w:ascii="仿宋" w:hAnsi="仿宋" w:eastAsia="仿宋"/>
                <w:sz w:val="24"/>
                <w:szCs w:val="24"/>
                <w:highlight w:val="none"/>
              </w:rPr>
              <w:t xml:space="preserve">0。（小数点后四舍五入保留2位）</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ascii="仿宋" w:hAnsi="仿宋" w:eastAsia="仿宋"/>
                <w:sz w:val="24"/>
                <w:szCs w:val="24"/>
                <w:highlight w:val="none"/>
              </w:rPr>
              <w:t xml:space="preserve">1</w:t>
            </w:r>
            <w:r>
              <w:rPr>
                <w:rFonts w:hint="eastAsia" w:ascii="仿宋" w:hAnsi="仿宋" w:eastAsia="仿宋"/>
                <w:sz w:val="24"/>
                <w:szCs w:val="24"/>
                <w:highlight w:val="none"/>
              </w:rPr>
              <w:t xml:space="preserve">0</w:t>
            </w:r>
            <w:r/>
          </w:p>
        </w:tc>
      </w:tr>
      <w:tr>
        <w:trPr>
          <w:jc w:val="center"/>
          <w:trHeight w:val="1125"/>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2</w:t>
            </w:r>
            <w:r/>
          </w:p>
        </w:tc>
        <w:tc>
          <w:tcPr>
            <w:tcBorders>
              <w:top w:val="single" w:color="auto" w:sz="4" w:space="0"/>
              <w:left w:val="single" w:color="auto" w:sz="4" w:space="0"/>
              <w:right w:val="single" w:color="auto" w:sz="4" w:space="0"/>
            </w:tcBorders>
            <w:tcW w:w="1215" w:type="dxa"/>
            <w:vAlign w:val="center"/>
            <w:vMerge w:val="restart"/>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商务部分</w:t>
            </w:r>
            <w:r/>
          </w:p>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（45分）</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投标人202</w:t>
            </w:r>
            <w:r>
              <w:rPr>
                <w:rFonts w:ascii="仿宋" w:hAnsi="仿宋" w:eastAsia="仿宋"/>
                <w:sz w:val="24"/>
                <w:szCs w:val="24"/>
                <w:highlight w:val="none"/>
              </w:rPr>
              <w:t xml:space="preserve">1</w:t>
            </w:r>
            <w:r>
              <w:rPr>
                <w:rFonts w:hint="eastAsia" w:ascii="仿宋" w:hAnsi="仿宋" w:eastAsia="仿宋"/>
                <w:sz w:val="24"/>
                <w:szCs w:val="24"/>
                <w:highlight w:val="none"/>
              </w:rPr>
              <w:t xml:space="preserve">年1月1日（含）以来（以相关证明有效日期为准）具有提供过卫星的影像或技术服务项目业绩(提供合同或中标通知书或最终验收报告等证明材料复印件并加盖公章)。</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每提供一个有效业绩得2分，最高得10分。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10</w:t>
            </w:r>
            <w:r/>
          </w:p>
        </w:tc>
      </w:tr>
      <w:tr>
        <w:trPr>
          <w:jc w:val="center"/>
          <w:trHeight w:val="1125"/>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资质认证</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投标人具有有效的ISO9001质量管理体系认证证书</w:t>
            </w:r>
            <w:r>
              <w:rPr>
                <w:rFonts w:ascii="仿宋" w:hAnsi="仿宋" w:eastAsia="仿宋"/>
                <w:sz w:val="24"/>
                <w:szCs w:val="24"/>
                <w:highlight w:val="none"/>
              </w:rPr>
              <w:t xml:space="preserve">得</w:t>
            </w:r>
            <w:r>
              <w:rPr>
                <w:rFonts w:hint="eastAsia" w:ascii="仿宋" w:hAnsi="仿宋" w:eastAsia="仿宋"/>
                <w:sz w:val="24"/>
                <w:szCs w:val="24"/>
                <w:highlight w:val="none"/>
              </w:rPr>
              <w:t xml:space="preserve">2</w:t>
            </w:r>
            <w:r>
              <w:rPr>
                <w:rFonts w:ascii="仿宋" w:hAnsi="仿宋" w:eastAsia="仿宋"/>
                <w:sz w:val="24"/>
                <w:szCs w:val="24"/>
                <w:highlight w:val="none"/>
              </w:rPr>
              <w:t xml:space="preserve">分</w:t>
            </w:r>
            <w:r>
              <w:rPr>
                <w:rFonts w:hint="eastAsia" w:ascii="仿宋" w:hAnsi="仿宋" w:eastAsia="仿宋"/>
                <w:sz w:val="24"/>
                <w:szCs w:val="24"/>
                <w:highlight w:val="none"/>
              </w:rPr>
              <w:t xml:space="preserve">。</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w:t>
            </w:r>
            <w:r/>
          </w:p>
        </w:tc>
      </w:tr>
      <w:tr>
        <w:trPr>
          <w:jc w:val="center"/>
          <w:trHeight w:val="1125"/>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卫星运控能力</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投标人拥有遥感卫星地面接收站运控能力得6分，不提供不得分。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提供接收站所有权或建设合同等有效证明文件，复印件加盖公章。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w:t>
            </w:r>
            <w:r/>
          </w:p>
        </w:tc>
      </w:tr>
      <w:tr>
        <w:trPr>
          <w:jc w:val="center"/>
          <w:trHeight w:val="972"/>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right w:val="single" w:color="auto" w:sz="4" w:space="0"/>
            </w:tcBorders>
            <w:tcW w:w="1184" w:type="dxa"/>
            <w:vAlign w:val="center"/>
            <w:vMerge w:val="restart"/>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卫星授权</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投标人提供合法有效的全极化SAR卫星源授权（代理）文件得7分，不提供不得分。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7</w:t>
            </w:r>
            <w:r/>
          </w:p>
        </w:tc>
      </w:tr>
      <w:tr>
        <w:trPr>
          <w:jc w:val="center"/>
          <w:trHeight w:val="972"/>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bottom w:val="single" w:color="auto" w:sz="4" w:space="0"/>
              <w:right w:val="single" w:color="auto" w:sz="4" w:space="0"/>
            </w:tcBorders>
            <w:tcW w:w="1184"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投标人提供合法有效的所投商业高光谱卫星源授权（代理）文件得7分，不提供不得分。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7</w:t>
            </w:r>
            <w:r/>
          </w:p>
        </w:tc>
      </w:tr>
      <w:tr>
        <w:trPr>
          <w:jc w:val="center"/>
          <w:trHeight w:val="1387"/>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技术</w:t>
            </w:r>
            <w:r>
              <w:rPr>
                <w:rFonts w:ascii="仿宋" w:hAnsi="仿宋" w:eastAsia="仿宋"/>
                <w:sz w:val="24"/>
                <w:szCs w:val="24"/>
                <w:highlight w:val="none"/>
              </w:rPr>
              <w:t xml:space="preserve">能力</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ascii="仿宋" w:hAnsi="仿宋" w:eastAsia="仿宋"/>
                <w:sz w:val="24"/>
                <w:szCs w:val="24"/>
                <w:highlight w:val="none"/>
              </w:rPr>
              <w:t xml:space="preserve">投标人具有自主研发的</w:t>
            </w:r>
            <w:r>
              <w:rPr>
                <w:rFonts w:hint="eastAsia" w:ascii="仿宋" w:hAnsi="仿宋" w:eastAsia="仿宋"/>
                <w:sz w:val="24"/>
                <w:szCs w:val="24"/>
                <w:highlight w:val="none"/>
              </w:rPr>
              <w:t xml:space="preserve">遥感数据处理类计算机软件著作权登记证书的，</w:t>
            </w:r>
            <w:r>
              <w:rPr>
                <w:rFonts w:ascii="仿宋" w:hAnsi="仿宋" w:eastAsia="仿宋"/>
                <w:sz w:val="24"/>
                <w:szCs w:val="24"/>
                <w:highlight w:val="none"/>
              </w:rPr>
              <w:t xml:space="preserve">每</w:t>
            </w:r>
            <w:r>
              <w:rPr>
                <w:rFonts w:hint="eastAsia" w:ascii="仿宋" w:hAnsi="仿宋" w:eastAsia="仿宋"/>
                <w:sz w:val="24"/>
                <w:szCs w:val="24"/>
                <w:highlight w:val="none"/>
              </w:rPr>
              <w:t xml:space="preserve">具有</w:t>
            </w:r>
            <w:r>
              <w:rPr>
                <w:rFonts w:ascii="仿宋" w:hAnsi="仿宋" w:eastAsia="仿宋"/>
                <w:sz w:val="24"/>
                <w:szCs w:val="24"/>
                <w:highlight w:val="none"/>
              </w:rPr>
              <w:t xml:space="preserve">一</w:t>
            </w:r>
            <w:r>
              <w:rPr>
                <w:rFonts w:hint="eastAsia" w:ascii="仿宋" w:hAnsi="仿宋" w:eastAsia="仿宋"/>
                <w:sz w:val="24"/>
                <w:szCs w:val="24"/>
                <w:highlight w:val="none"/>
              </w:rPr>
              <w:t xml:space="preserve">项</w:t>
            </w:r>
            <w:r>
              <w:rPr>
                <w:rFonts w:ascii="仿宋" w:hAnsi="仿宋" w:eastAsia="仿宋"/>
                <w:sz w:val="24"/>
                <w:szCs w:val="24"/>
                <w:highlight w:val="none"/>
              </w:rPr>
              <w:t xml:space="preserve">得1分，</w:t>
            </w:r>
            <w:r>
              <w:rPr>
                <w:rFonts w:hint="eastAsia" w:ascii="仿宋" w:hAnsi="仿宋" w:eastAsia="仿宋"/>
                <w:sz w:val="24"/>
                <w:szCs w:val="24"/>
                <w:highlight w:val="none"/>
              </w:rPr>
              <w:t xml:space="preserve">不提供不得分，</w:t>
            </w:r>
            <w:r>
              <w:rPr>
                <w:rFonts w:ascii="仿宋" w:hAnsi="仿宋" w:eastAsia="仿宋"/>
                <w:sz w:val="24"/>
                <w:szCs w:val="24"/>
                <w:highlight w:val="none"/>
              </w:rPr>
              <w:t xml:space="preserve">最高</w:t>
            </w:r>
            <w:r>
              <w:rPr>
                <w:rFonts w:hint="eastAsia" w:ascii="仿宋" w:hAnsi="仿宋" w:eastAsia="仿宋"/>
                <w:sz w:val="24"/>
                <w:szCs w:val="24"/>
                <w:highlight w:val="none"/>
              </w:rPr>
              <w:t xml:space="preserve">得6分。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提供</w:t>
            </w:r>
            <w:r>
              <w:rPr>
                <w:rFonts w:ascii="仿宋" w:hAnsi="仿宋" w:eastAsia="仿宋"/>
                <w:sz w:val="24"/>
                <w:szCs w:val="24"/>
                <w:highlight w:val="none"/>
              </w:rPr>
              <w:t xml:space="preserve">证书复印件</w:t>
            </w:r>
            <w:r>
              <w:rPr>
                <w:rFonts w:hint="eastAsia" w:ascii="仿宋" w:hAnsi="仿宋" w:eastAsia="仿宋"/>
                <w:sz w:val="24"/>
                <w:szCs w:val="24"/>
                <w:highlight w:val="none"/>
              </w:rPr>
              <w:t xml:space="preserve">并加盖公章</w:t>
            </w: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w:t>
            </w:r>
            <w:r/>
          </w:p>
        </w:tc>
      </w:tr>
      <w:tr>
        <w:trPr>
          <w:jc w:val="center"/>
          <w:trHeight w:val="1066"/>
        </w:trPr>
        <w:tc>
          <w:tcPr>
            <w:tcBorders>
              <w:left w:val="single" w:color="auto" w:sz="4" w:space="0"/>
              <w:right w:val="single" w:color="auto" w:sz="4" w:space="0"/>
            </w:tcBorders>
            <w:tcW w:w="709"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拟投入项目人员配备</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1、拟派项目负责人具有遥感相关专业硕士及以上学历，且取得注册测绘师资格的得3分；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2、拟派技术负责人（不可以与项目负责人为同一人）具有遥感相关专业硕士及以上学历，且取得注册测绘师资格的得</w:t>
            </w:r>
            <w:r>
              <w:rPr>
                <w:rFonts w:ascii="仿宋" w:hAnsi="仿宋" w:eastAsia="仿宋"/>
                <w:sz w:val="24"/>
                <w:szCs w:val="24"/>
                <w:highlight w:val="none"/>
              </w:rPr>
              <w:t xml:space="preserve">2</w:t>
            </w:r>
            <w:r>
              <w:rPr>
                <w:rFonts w:hint="eastAsia" w:ascii="仿宋" w:hAnsi="仿宋" w:eastAsia="仿宋"/>
                <w:sz w:val="24"/>
                <w:szCs w:val="24"/>
                <w:highlight w:val="none"/>
              </w:rPr>
              <w:t xml:space="preserve">分；</w:t>
            </w:r>
            <w:r/>
          </w:p>
          <w:p>
            <w:pPr>
              <w:rPr>
                <w:rFonts w:eastAsia="仿宋"/>
                <w:sz w:val="24"/>
                <w:szCs w:val="24"/>
                <w:highlight w:val="none"/>
              </w:rPr>
            </w:pPr>
            <w:r>
              <w:rPr>
                <w:rFonts w:hint="eastAsia" w:ascii="仿宋" w:hAnsi="仿宋" w:eastAsia="仿宋"/>
                <w:sz w:val="24"/>
                <w:szCs w:val="24"/>
                <w:highlight w:val="none"/>
              </w:rPr>
              <w:t xml:space="preserve">3、拟派其他技术人员（除项目负责人和技术负责人外）中，具有遥感相关专业高级（含）以上职称的，每人得1分，最高得2分。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需提供相关证明材料，不提供的不得分。</w:t>
            </w:r>
            <w:r>
              <w:rPr>
                <w:rFonts w:ascii="仿宋" w:hAnsi="仿宋" w:eastAsia="仿宋"/>
                <w:sz w:val="24"/>
                <w:szCs w:val="24"/>
                <w:highlight w:val="none"/>
              </w:rPr>
              <w:t xml:space="preserve">需提供相关</w:t>
            </w:r>
            <w:r>
              <w:rPr>
                <w:rFonts w:hint="eastAsia" w:ascii="仿宋" w:hAnsi="仿宋" w:eastAsia="仿宋"/>
                <w:sz w:val="24"/>
                <w:szCs w:val="24"/>
                <w:highlight w:val="none"/>
              </w:rPr>
              <w:t xml:space="preserve">证书复印件</w:t>
            </w:r>
            <w:r>
              <w:rPr>
                <w:rFonts w:ascii="仿宋" w:hAnsi="仿宋" w:eastAsia="仿宋"/>
                <w:sz w:val="24"/>
                <w:szCs w:val="24"/>
                <w:highlight w:val="none"/>
              </w:rPr>
              <w:t xml:space="preserve">及</w:t>
            </w:r>
            <w:r>
              <w:rPr>
                <w:rFonts w:hint="eastAsia" w:ascii="仿宋" w:hAnsi="仿宋" w:eastAsia="仿宋"/>
                <w:sz w:val="24"/>
                <w:szCs w:val="24"/>
                <w:highlight w:val="none"/>
              </w:rPr>
              <w:t xml:space="preserve">投标人为其在距离投标文件提交截止时间前6个月内任意1个月缴纳社保的证明文件</w:t>
            </w:r>
            <w:r>
              <w:rPr>
                <w:rFonts w:ascii="仿宋" w:hAnsi="仿宋" w:eastAsia="仿宋"/>
                <w:sz w:val="24"/>
                <w:szCs w:val="24"/>
                <w:highlight w:val="none"/>
              </w:rPr>
              <w:t xml:space="preserve">，不提供的不得分。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7</w:t>
            </w:r>
            <w:r/>
          </w:p>
        </w:tc>
      </w:tr>
      <w:tr>
        <w:trPr>
          <w:jc w:val="center"/>
          <w:trHeight w:val="508"/>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3</w:t>
            </w:r>
            <w:r/>
          </w:p>
        </w:tc>
        <w:tc>
          <w:tcPr>
            <w:tcBorders>
              <w:top w:val="single" w:color="auto" w:sz="4" w:space="0"/>
              <w:left w:val="single" w:color="auto" w:sz="4" w:space="0"/>
              <w:right w:val="single" w:color="auto" w:sz="4" w:space="0"/>
            </w:tcBorders>
            <w:tcW w:w="1215" w:type="dxa"/>
            <w:vAlign w:val="center"/>
            <w:vMerge w:val="restart"/>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技术部分</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（45分）</w:t>
            </w:r>
            <w:r/>
          </w:p>
        </w:tc>
        <w:tc>
          <w:tcPr>
            <w:tcBorders>
              <w:top w:val="single" w:color="auto" w:sz="4" w:space="0"/>
              <w:left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需求理解</w:t>
            </w:r>
            <w:r/>
          </w:p>
        </w:tc>
        <w:tc>
          <w:tcPr>
            <w:tcBorders>
              <w:top w:val="single" w:color="auto" w:sz="4" w:space="0"/>
              <w:left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投标人对于用户需求分析全面深入、论证充分完全满足项目需求的，得6分；需求分析较深入、论证较充分，基本满足项目需求、略有欠缺需要完善的，得</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分；需求分析不深入，不能较好满足项目需求的，得</w:t>
            </w:r>
            <w:r>
              <w:rPr>
                <w:rFonts w:ascii="仿宋" w:hAnsi="仿宋" w:eastAsia="仿宋"/>
                <w:sz w:val="24"/>
                <w:szCs w:val="24"/>
                <w:highlight w:val="none"/>
              </w:rPr>
              <w:t xml:space="preserve">2</w:t>
            </w:r>
            <w:r>
              <w:rPr>
                <w:rFonts w:hint="eastAsia" w:ascii="仿宋" w:hAnsi="仿宋" w:eastAsia="仿宋"/>
                <w:sz w:val="24"/>
                <w:szCs w:val="24"/>
                <w:highlight w:val="none"/>
              </w:rPr>
              <w:t xml:space="preserve">分；未描述或者分析不正确、不能满足项目需求的，得0分。</w:t>
            </w:r>
            <w:r/>
          </w:p>
        </w:tc>
        <w:tc>
          <w:tcPr>
            <w:tcBorders>
              <w:top w:val="single" w:color="auto" w:sz="4" w:space="0"/>
              <w:left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w:t>
            </w:r>
            <w:r/>
          </w:p>
        </w:tc>
      </w:tr>
      <w:tr>
        <w:trPr>
          <w:jc w:val="center"/>
          <w:trHeight w:val="508"/>
        </w:trPr>
        <w:tc>
          <w:tcPr>
            <w:tcBorders>
              <w:left w:val="single" w:color="auto" w:sz="4" w:space="0"/>
              <w:right w:val="single" w:color="auto" w:sz="4" w:space="0"/>
            </w:tcBorders>
            <w:tcW w:w="709"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实施方案</w:t>
            </w:r>
            <w:r/>
          </w:p>
        </w:tc>
        <w:tc>
          <w:tcPr>
            <w:tcBorders>
              <w:top w:val="single" w:color="auto" w:sz="4" w:space="0"/>
              <w:left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投标人提供的实施方案明确、思路清晰、技术路线合理，完全满足项目需求的，得10分；基本明确可行，基本满足项目需求、略有欠缺需要完善的，得</w:t>
            </w:r>
            <w:r>
              <w:rPr>
                <w:rFonts w:ascii="仿宋" w:hAnsi="仿宋" w:eastAsia="仿宋"/>
                <w:sz w:val="24"/>
                <w:szCs w:val="24"/>
                <w:highlight w:val="none"/>
              </w:rPr>
              <w:t xml:space="preserve">7</w:t>
            </w:r>
            <w:r>
              <w:rPr>
                <w:rFonts w:hint="eastAsia" w:ascii="仿宋" w:hAnsi="仿宋" w:eastAsia="仿宋"/>
                <w:sz w:val="24"/>
                <w:szCs w:val="24"/>
                <w:highlight w:val="none"/>
              </w:rPr>
              <w:t xml:space="preserve">分；不够明确、可行性一般，不能较好满足项目需求的，得</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分；简单粗略、不明确、不可行，基本不能满足项目需求的，得1分；未描述或者不能满足项目需求的，得0分。</w:t>
            </w:r>
            <w:r/>
          </w:p>
        </w:tc>
        <w:tc>
          <w:tcPr>
            <w:tcBorders>
              <w:top w:val="single" w:color="auto" w:sz="4" w:space="0"/>
              <w:left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10</w:t>
            </w:r>
            <w:r/>
          </w:p>
        </w:tc>
      </w:tr>
      <w:tr>
        <w:trPr>
          <w:jc w:val="center"/>
          <w:trHeight w:val="699"/>
        </w:trPr>
        <w:tc>
          <w:tcPr>
            <w:tcBorders>
              <w:left w:val="single" w:color="auto" w:sz="4" w:space="0"/>
              <w:right w:val="single" w:color="auto" w:sz="4" w:space="0"/>
            </w:tcBorders>
            <w:tcW w:w="709"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服务要点分析及应对方案</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根据各投标人提供服务要点及应对方案进行评价。</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方案完全明确可行，完全满足项目需求的，得8分；基本明确可行，基本满足项目需求、略有欠缺需要完善的，得</w:t>
            </w:r>
            <w:r>
              <w:rPr>
                <w:rFonts w:ascii="仿宋" w:hAnsi="仿宋" w:eastAsia="仿宋"/>
                <w:sz w:val="24"/>
                <w:szCs w:val="24"/>
                <w:highlight w:val="none"/>
              </w:rPr>
              <w:t xml:space="preserve">6</w:t>
            </w:r>
            <w:r>
              <w:rPr>
                <w:rFonts w:hint="eastAsia" w:ascii="仿宋" w:hAnsi="仿宋" w:eastAsia="仿宋"/>
                <w:sz w:val="24"/>
                <w:szCs w:val="24"/>
                <w:highlight w:val="none"/>
              </w:rPr>
              <w:t xml:space="preserve">分；不够明确、可行性一般，不能较好满足项目需求的，得</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分；</w:t>
            </w:r>
            <w:r>
              <w:rPr>
                <w:rFonts w:ascii="仿宋" w:hAnsi="仿宋" w:eastAsia="仿宋"/>
                <w:sz w:val="24"/>
                <w:szCs w:val="24"/>
                <w:highlight w:val="none"/>
              </w:rPr>
              <w:t xml:space="preserve">不明确</w:t>
            </w:r>
            <w:r>
              <w:rPr>
                <w:rFonts w:hint="eastAsia" w:ascii="仿宋" w:hAnsi="仿宋" w:eastAsia="仿宋"/>
                <w:sz w:val="24"/>
                <w:szCs w:val="24"/>
                <w:highlight w:val="none"/>
              </w:rPr>
              <w:t xml:space="preserve">,可行性较差，</w:t>
            </w:r>
            <w:r>
              <w:rPr>
                <w:rFonts w:ascii="仿宋" w:hAnsi="仿宋" w:eastAsia="仿宋"/>
                <w:sz w:val="24"/>
                <w:szCs w:val="24"/>
                <w:highlight w:val="none"/>
              </w:rPr>
              <w:t xml:space="preserve">基本不能满足项目需求的，得2分；</w:t>
            </w:r>
            <w:r>
              <w:rPr>
                <w:rFonts w:hint="eastAsia" w:ascii="仿宋" w:hAnsi="仿宋" w:eastAsia="仿宋"/>
                <w:sz w:val="24"/>
                <w:szCs w:val="24"/>
                <w:highlight w:val="none"/>
              </w:rPr>
              <w:t xml:space="preserve">未描述或者不能满足项目需求的，得0分。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8</w:t>
            </w:r>
            <w:r/>
          </w:p>
        </w:tc>
      </w:tr>
      <w:tr>
        <w:trPr>
          <w:jc w:val="center"/>
          <w:trHeight w:val="699"/>
        </w:trPr>
        <w:tc>
          <w:tcPr>
            <w:tcBorders>
              <w:left w:val="single" w:color="auto" w:sz="4" w:space="0"/>
              <w:right w:val="single" w:color="auto" w:sz="4" w:space="0"/>
            </w:tcBorders>
            <w:tcW w:w="709"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影像处理模式</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根据投标人提供的影像处理模式方案进行评价。</w:t>
            </w:r>
            <w:r/>
          </w:p>
          <w:p>
            <w:pPr>
              <w:rPr>
                <w:rFonts w:hint="eastAsia" w:ascii="仿宋" w:hAnsi="仿宋" w:eastAsia="仿宋"/>
                <w:sz w:val="24"/>
                <w:szCs w:val="24"/>
                <w:highlight w:val="none"/>
              </w:rPr>
            </w:pPr>
            <w:r>
              <w:rPr>
                <w:rFonts w:hint="eastAsia" w:ascii="仿宋" w:hAnsi="仿宋" w:eastAsia="仿宋"/>
                <w:sz w:val="24"/>
                <w:szCs w:val="24"/>
                <w:highlight w:val="none"/>
              </w:rPr>
              <w:t xml:space="preserve">投标人采用技术先进、效率高（AI、并行计算等新技术）的影像处理模式，得6分；采用计算机传统自动提取模式、效率一般，得3分；采用人工处理模式、效率低，得1分；未描述得0分。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6</w:t>
            </w:r>
            <w:r/>
          </w:p>
        </w:tc>
      </w:tr>
      <w:tr>
        <w:trPr>
          <w:jc w:val="center"/>
          <w:trHeight w:val="699"/>
        </w:trPr>
        <w:tc>
          <w:tcPr>
            <w:tcBorders>
              <w:left w:val="single" w:color="auto" w:sz="4" w:space="0"/>
              <w:right w:val="single" w:color="auto" w:sz="4" w:space="0"/>
            </w:tcBorders>
            <w:tcW w:w="709"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ascii="仿宋" w:hAnsi="仿宋" w:eastAsia="仿宋"/>
                <w:sz w:val="24"/>
                <w:szCs w:val="24"/>
                <w:highlight w:val="none"/>
              </w:rPr>
              <w:t xml:space="preserve">质量保障方案</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ascii="仿宋" w:hAnsi="仿宋" w:eastAsia="仿宋"/>
                <w:sz w:val="24"/>
                <w:szCs w:val="24"/>
                <w:highlight w:val="none"/>
              </w:rPr>
              <w:t xml:space="preserve">根据投标人提供的质量保障方案</w:t>
            </w:r>
            <w:r>
              <w:rPr>
                <w:rFonts w:hint="eastAsia" w:ascii="仿宋" w:hAnsi="仿宋" w:eastAsia="仿宋"/>
                <w:sz w:val="24"/>
                <w:szCs w:val="24"/>
                <w:highlight w:val="none"/>
              </w:rPr>
              <w:t xml:space="preserve">进行评价。</w:t>
            </w:r>
            <w:r/>
          </w:p>
          <w:p>
            <w:pPr>
              <w:rPr>
                <w:sz w:val="24"/>
                <w:szCs w:val="24"/>
                <w:highlight w:val="none"/>
              </w:rPr>
            </w:pPr>
            <w:r>
              <w:rPr>
                <w:rFonts w:hint="eastAsia" w:ascii="仿宋" w:hAnsi="仿宋" w:eastAsia="仿宋"/>
                <w:sz w:val="24"/>
                <w:szCs w:val="24"/>
                <w:highlight w:val="none"/>
              </w:rPr>
              <w:t xml:space="preserve">方案完全明确可行，完全满足项目需求的，得5分；基本明确可行，基本满足项目需求、略有欠缺需要完善的，得3分；不够明确、可行性一般，不能较好满足项目需求的，得1分；未描述或者不能满足项目需求的，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w:t>
            </w:r>
            <w:r/>
          </w:p>
        </w:tc>
      </w:tr>
      <w:tr>
        <w:trPr>
          <w:jc w:val="center"/>
          <w:trHeight w:val="434"/>
        </w:trPr>
        <w:tc>
          <w:tcPr>
            <w:tcBorders>
              <w:left w:val="single" w:color="auto" w:sz="4" w:space="0"/>
              <w:right w:val="single" w:color="auto" w:sz="4" w:space="0"/>
            </w:tcBorders>
            <w:tcW w:w="709"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进度管理</w:t>
            </w:r>
            <w:r/>
          </w:p>
        </w:tc>
        <w:tc>
          <w:tcPr>
            <w:tcBorders>
              <w:top w:val="single" w:color="auto" w:sz="4" w:space="0"/>
              <w:left w:val="single" w:color="auto" w:sz="4" w:space="0"/>
              <w:bottom w:val="single" w:color="auto" w:sz="4" w:space="0"/>
              <w:right w:val="single" w:color="auto" w:sz="4" w:space="0"/>
            </w:tcBorders>
            <w:tcW w:w="5671" w:type="dxa"/>
            <w:textDirection w:val="lrTb"/>
            <w:noWrap w:val="false"/>
          </w:tcPr>
          <w:p>
            <w:pPr>
              <w:rPr>
                <w:rFonts w:hint="eastAsia" w:ascii="仿宋" w:hAnsi="仿宋" w:eastAsia="仿宋"/>
                <w:sz w:val="24"/>
                <w:szCs w:val="24"/>
                <w:highlight w:val="none"/>
              </w:rPr>
            </w:pPr>
            <w:r>
              <w:rPr>
                <w:rFonts w:ascii="仿宋" w:hAnsi="仿宋" w:eastAsia="仿宋"/>
                <w:sz w:val="24"/>
                <w:szCs w:val="24"/>
                <w:highlight w:val="none"/>
              </w:rPr>
              <w:t xml:space="preserve">根据投标人的进度安排、保证工期的措施</w:t>
            </w:r>
            <w:r>
              <w:rPr>
                <w:rFonts w:hint="eastAsia" w:ascii="仿宋" w:hAnsi="仿宋" w:eastAsia="仿宋"/>
                <w:sz w:val="24"/>
                <w:szCs w:val="24"/>
                <w:highlight w:val="none"/>
              </w:rPr>
              <w:t xml:space="preserve">评价</w:t>
            </w:r>
            <w:r>
              <w:rPr>
                <w:rFonts w:ascii="仿宋" w:hAnsi="仿宋" w:eastAsia="仿宋"/>
                <w:sz w:val="24"/>
                <w:szCs w:val="24"/>
                <w:highlight w:val="none"/>
              </w:rPr>
              <w:t xml:space="preserve">。</w:t>
            </w:r>
            <w:r/>
          </w:p>
          <w:p>
            <w:pPr>
              <w:rPr>
                <w:rFonts w:hint="eastAsia" w:ascii="仿宋" w:hAnsi="仿宋" w:eastAsia="仿宋"/>
                <w:sz w:val="24"/>
                <w:szCs w:val="24"/>
                <w:highlight w:val="none"/>
              </w:rPr>
            </w:pPr>
            <w:r>
              <w:rPr>
                <w:rFonts w:ascii="仿宋" w:hAnsi="仿宋" w:eastAsia="仿宋"/>
                <w:sz w:val="24"/>
                <w:szCs w:val="24"/>
                <w:highlight w:val="none"/>
              </w:rPr>
              <w:t xml:space="preserve">管理方案科学合理、可行性强，各阶段进度安排及工期保证措施完善，</w:t>
            </w:r>
            <w:r>
              <w:rPr>
                <w:rFonts w:hint="eastAsia" w:ascii="仿宋" w:hAnsi="仿宋" w:eastAsia="仿宋" w:cs="Courier New"/>
                <w:sz w:val="24"/>
                <w:szCs w:val="24"/>
                <w:highlight w:val="none"/>
              </w:rPr>
              <w:t xml:space="preserve">完全满足项目需求的，</w:t>
            </w:r>
            <w:r>
              <w:rPr>
                <w:rFonts w:hint="eastAsia" w:ascii="仿宋" w:hAnsi="仿宋" w:eastAsia="仿宋"/>
                <w:sz w:val="24"/>
                <w:szCs w:val="24"/>
                <w:highlight w:val="none"/>
              </w:rPr>
              <w:t xml:space="preserve">得5分；</w:t>
            </w:r>
            <w:r/>
          </w:p>
          <w:p>
            <w:pPr>
              <w:rPr>
                <w:rFonts w:hAnsi="Courier New" w:eastAsia="仿宋_GB2312" w:cs="Courier New"/>
                <w:sz w:val="24"/>
                <w:szCs w:val="24"/>
                <w:highlight w:val="none"/>
              </w:rPr>
            </w:pPr>
            <w:r>
              <w:rPr>
                <w:rFonts w:ascii="仿宋" w:hAnsi="仿宋" w:eastAsia="仿宋"/>
                <w:sz w:val="24"/>
                <w:szCs w:val="24"/>
                <w:highlight w:val="none"/>
              </w:rPr>
              <w:t xml:space="preserve">管理方案总体合理，各阶段进度安排及工期保证措施较完善，</w:t>
            </w:r>
            <w:r>
              <w:rPr>
                <w:rFonts w:hint="eastAsia" w:ascii="仿宋" w:hAnsi="仿宋" w:eastAsia="仿宋" w:cs="Courier New"/>
                <w:sz w:val="24"/>
                <w:szCs w:val="24"/>
                <w:highlight w:val="none"/>
              </w:rPr>
              <w:t xml:space="preserve">略有欠缺需要完善的，</w:t>
            </w:r>
            <w:r>
              <w:rPr>
                <w:rFonts w:hint="eastAsia" w:ascii="仿宋" w:hAnsi="仿宋" w:eastAsia="仿宋"/>
                <w:sz w:val="24"/>
                <w:szCs w:val="24"/>
                <w:highlight w:val="none"/>
              </w:rPr>
              <w:t xml:space="preserve">得3分；</w:t>
            </w:r>
            <w:r>
              <w:rPr>
                <w:rFonts w:ascii="仿宋" w:hAnsi="仿宋" w:eastAsia="仿宋"/>
                <w:sz w:val="24"/>
                <w:szCs w:val="24"/>
                <w:highlight w:val="none"/>
              </w:rPr>
              <w:t xml:space="preserve">管理方案较差，各阶段进度安排及保证措施不完善，</w:t>
            </w:r>
            <w:r>
              <w:rPr>
                <w:rFonts w:hint="eastAsia" w:ascii="仿宋" w:hAnsi="仿宋" w:eastAsia="仿宋" w:cs="Courier New"/>
                <w:sz w:val="24"/>
                <w:szCs w:val="24"/>
                <w:highlight w:val="none"/>
              </w:rPr>
              <w:t xml:space="preserve">不能</w:t>
            </w:r>
            <w:r>
              <w:rPr>
                <w:rFonts w:hint="eastAsia" w:ascii="仿宋" w:hAnsi="仿宋" w:eastAsia="仿宋"/>
                <w:sz w:val="24"/>
                <w:szCs w:val="24"/>
                <w:highlight w:val="none"/>
              </w:rPr>
              <w:t xml:space="preserve">较好</w:t>
            </w:r>
            <w:r>
              <w:rPr>
                <w:rFonts w:hint="eastAsia" w:ascii="仿宋" w:hAnsi="仿宋" w:eastAsia="仿宋" w:cs="Courier New"/>
                <w:sz w:val="24"/>
                <w:szCs w:val="24"/>
                <w:highlight w:val="none"/>
              </w:rPr>
              <w:t xml:space="preserve">满足项目需求的，</w:t>
            </w:r>
            <w:r>
              <w:rPr>
                <w:rFonts w:hint="eastAsia" w:ascii="仿宋" w:hAnsi="仿宋" w:eastAsia="仿宋"/>
                <w:sz w:val="24"/>
                <w:szCs w:val="24"/>
                <w:highlight w:val="none"/>
              </w:rPr>
              <w:t xml:space="preserve">得1分；</w:t>
            </w:r>
            <w:r>
              <w:rPr>
                <w:rFonts w:hint="eastAsia" w:ascii="仿宋" w:hAnsi="仿宋" w:eastAsia="仿宋" w:cs="Courier New"/>
                <w:sz w:val="24"/>
                <w:szCs w:val="24"/>
                <w:highlight w:val="none"/>
              </w:rPr>
              <w:t xml:space="preserve">未描述</w:t>
            </w:r>
            <w:r>
              <w:rPr>
                <w:rFonts w:hint="eastAsia" w:ascii="仿宋" w:hAnsi="仿宋" w:eastAsia="仿宋"/>
                <w:sz w:val="24"/>
                <w:szCs w:val="24"/>
                <w:highlight w:val="none"/>
              </w:rPr>
              <w:t xml:space="preserve">或者不能满足项目需求的，</w:t>
            </w:r>
            <w:r>
              <w:rPr>
                <w:rFonts w:hint="eastAsia" w:ascii="仿宋" w:hAnsi="仿宋" w:eastAsia="仿宋" w:cs="Courier New"/>
                <w:sz w:val="24"/>
                <w:szCs w:val="24"/>
                <w:highlight w:val="none"/>
              </w:rPr>
              <w:t xml:space="preserve">得0分</w:t>
            </w:r>
            <w:r>
              <w:rPr>
                <w:rFonts w:ascii="仿宋" w:hAnsi="仿宋" w:eastAsia="仿宋"/>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w:t>
            </w:r>
            <w:r/>
          </w:p>
        </w:tc>
      </w:tr>
      <w:tr>
        <w:trPr>
          <w:jc w:val="center"/>
          <w:trHeight w:val="1487"/>
        </w:trPr>
        <w:tc>
          <w:tcPr>
            <w:tcBorders>
              <w:left w:val="single" w:color="auto" w:sz="4" w:space="0"/>
              <w:right w:val="single" w:color="auto" w:sz="4" w:space="0"/>
            </w:tcBorders>
            <w:tcW w:w="709"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left w:val="single" w:color="auto" w:sz="4" w:space="0"/>
              <w:right w:val="single" w:color="auto" w:sz="4" w:space="0"/>
            </w:tcBorders>
            <w:tcW w:w="1215" w:type="dxa"/>
            <w:vAlign w:val="center"/>
            <w:vMerge w:val="continue"/>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hint="eastAsia" w:ascii="仿宋" w:hAnsi="仿宋" w:eastAsia="仿宋"/>
                <w:sz w:val="24"/>
                <w:szCs w:val="24"/>
                <w:highlight w:val="none"/>
              </w:rPr>
            </w:pPr>
            <w:r>
              <w:rPr>
                <w:rFonts w:hint="eastAsia" w:ascii="仿宋" w:hAnsi="仿宋" w:eastAsia="仿宋"/>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5671" w:type="dxa"/>
            <w:vAlign w:val="center"/>
            <w:textDirection w:val="lrTb"/>
            <w:noWrap w:val="false"/>
          </w:tcPr>
          <w:p>
            <w:pPr>
              <w:rPr>
                <w:rFonts w:hint="eastAsia" w:ascii="仿宋" w:hAnsi="仿宋" w:eastAsia="仿宋"/>
                <w:sz w:val="24"/>
                <w:szCs w:val="24"/>
                <w:highlight w:val="none"/>
              </w:rPr>
            </w:pPr>
            <w:r>
              <w:rPr>
                <w:rFonts w:hint="eastAsia" w:ascii="仿宋" w:hAnsi="仿宋" w:eastAsia="仿宋"/>
                <w:sz w:val="24"/>
                <w:szCs w:val="24"/>
                <w:highlight w:val="none"/>
              </w:rPr>
              <w:t xml:space="preserve">根据投标人所提供的质保及售后服务承诺评分。明确、具体、可行、针对性强，完全满足项目需求的，得5分；基本明确可行，针对性欠缺需要完善的得3分；承诺较差，不能较好满足项目需求的，得1分；未描述或者不能满足项目需求的得0分。</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40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5</w:t>
            </w:r>
            <w:r/>
          </w:p>
        </w:tc>
      </w:tr>
    </w:tbl>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（四）国家政策导向</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1、促进中小企业发展政策</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w:t>
      </w:r>
      <w:r>
        <w:rPr>
          <w:rFonts w:ascii="仿宋" w:hAnsi="仿宋" w:eastAsia="仿宋"/>
          <w:color w:val="auto"/>
          <w:sz w:val="24"/>
          <w:szCs w:val="24"/>
          <w:highlight w:val="none"/>
        </w:rPr>
        <w:t xml:space="preserve">《中小企业声明函》</w:t>
      </w:r>
      <w:r>
        <w:rPr>
          <w:rFonts w:hint="eastAsia" w:ascii="仿宋" w:hAnsi="仿宋" w:eastAsia="仿宋"/>
          <w:color w:val="auto"/>
          <w:sz w:val="24"/>
          <w:szCs w:val="24"/>
          <w:highlight w:val="none"/>
        </w:rPr>
        <w:t xml:space="preserve">，格式见投标文件格式部分）。</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评标委员会根据供应商填制的《</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报价表》，计算其所投</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享受价格折扣部分的多少。</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报价表》，如未提供，将不做价格扣除。</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评标委员会根据供应商填制的《环境标志产品报价表》，计算其所投环境标志产品享受价格折扣部分的多少。</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986"/>
        <w:rPr>
          <w:rFonts w:ascii="仿宋" w:hAnsi="仿宋" w:eastAsia="仿宋"/>
          <w:b w:val="0"/>
          <w:color w:val="auto"/>
          <w:sz w:val="24"/>
          <w:szCs w:val="24"/>
          <w:highlight w:val="none"/>
        </w:rPr>
      </w:pPr>
      <w:r/>
      <w:bookmarkStart w:id="236" w:name="_Toc25241"/>
      <w:r>
        <w:rPr>
          <w:rFonts w:hint="eastAsia" w:ascii="仿宋" w:hAnsi="仿宋" w:eastAsia="仿宋"/>
          <w:color w:val="auto"/>
          <w:sz w:val="24"/>
          <w:szCs w:val="24"/>
          <w:highlight w:val="none"/>
        </w:rPr>
        <w:t xml:space="preserve">四、样品</w:t>
      </w:r>
      <w:bookmarkEnd w:id="233"/>
      <w:r/>
      <w:bookmarkEnd w:id="234"/>
      <w:r/>
      <w:bookmarkEnd w:id="235"/>
      <w:r/>
      <w:bookmarkEnd w:id="236"/>
      <w:r/>
      <w:r/>
    </w:p>
    <w:p>
      <w:pPr>
        <w:pStyle w:val="1005"/>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无。</w:t>
      </w:r>
      <w:r/>
    </w:p>
    <w:p>
      <w:pPr>
        <w:pStyle w:val="986"/>
        <w:rPr>
          <w:rFonts w:ascii="仿宋" w:hAnsi="仿宋" w:eastAsia="仿宋"/>
          <w:color w:val="auto"/>
          <w:sz w:val="24"/>
          <w:szCs w:val="24"/>
          <w:highlight w:val="none"/>
        </w:rPr>
      </w:pPr>
      <w:r/>
      <w:bookmarkStart w:id="237" w:name="_Toc289873210"/>
      <w:r/>
      <w:bookmarkStart w:id="238" w:name="_Toc3559"/>
      <w:r/>
      <w:bookmarkStart w:id="239" w:name="_Toc420657409"/>
      <w:r/>
      <w:bookmarkStart w:id="240" w:name="_Toc420487914"/>
      <w:r>
        <w:rPr>
          <w:rFonts w:hint="eastAsia" w:ascii="仿宋" w:hAnsi="仿宋" w:eastAsia="仿宋"/>
          <w:color w:val="auto"/>
          <w:sz w:val="24"/>
          <w:szCs w:val="24"/>
          <w:highlight w:val="none"/>
        </w:rPr>
        <w:t xml:space="preserve">五、有关招投标的事务和本项目的更正</w:t>
      </w:r>
      <w:bookmarkEnd w:id="237"/>
      <w:r>
        <w:rPr>
          <w:rFonts w:hint="eastAsia" w:ascii="仿宋" w:hAnsi="仿宋" w:eastAsia="仿宋"/>
          <w:color w:val="auto"/>
          <w:sz w:val="24"/>
          <w:szCs w:val="24"/>
          <w:highlight w:val="none"/>
        </w:rPr>
        <w:t xml:space="preserve">通知</w:t>
      </w:r>
      <w:bookmarkEnd w:id="238"/>
      <w:r/>
      <w:bookmarkEnd w:id="239"/>
      <w:r/>
      <w:bookmarkEnd w:id="240"/>
      <w:r/>
      <w:r/>
    </w:p>
    <w:p>
      <w:pPr>
        <w:pStyle w:val="1005"/>
        <w:ind w:firstLine="480"/>
        <w:jc w:val="left"/>
        <w:spacing w:line="360" w:lineRule="auto"/>
        <w:rPr>
          <w:rFonts w:ascii="仿宋" w:hAnsi="仿宋" w:eastAsia="仿宋"/>
          <w:color w:val="auto"/>
          <w:sz w:val="24"/>
          <w:highlight w:val="none"/>
        </w:rPr>
      </w:pPr>
      <w:r/>
      <w:bookmarkStart w:id="241" w:name="_Toc289873214"/>
      <w:r/>
      <w:bookmarkStart w:id="242" w:name="_Toc420487917"/>
      <w:r/>
      <w:bookmarkStart w:id="243" w:name="_Toc420657412"/>
      <w:r>
        <w:rPr>
          <w:rFonts w:hint="eastAsia" w:ascii="仿宋" w:hAnsi="仿宋" w:eastAsia="仿宋"/>
          <w:color w:val="auto"/>
          <w:sz w:val="24"/>
          <w:highlight w:val="none"/>
        </w:rPr>
        <w:t xml:space="preserve">有关招投标的事务可以与采购代理机构联系，联系部门：招标二处、联系电话：025-83249924，传真：025-83240902，通讯地址：江苏省南京市鼓楼区郑和中路118号D座16楼1612室。本项目的更正通知见本项目招标公告发布媒体。</w:t>
      </w:r>
      <w:bookmarkStart w:id="244" w:name="_Toc116135246"/>
      <w:r/>
      <w:bookmarkEnd w:id="244"/>
      <w:r/>
      <w:r/>
    </w:p>
    <w:p>
      <w:pPr>
        <w:widowControl/>
        <w:rPr>
          <w:rFonts w:ascii="仿宋" w:hAnsi="仿宋" w:eastAsia="仿宋"/>
          <w:b/>
          <w:bCs/>
          <w:color w:val="auto"/>
          <w:sz w:val="36"/>
          <w:szCs w:val="44"/>
          <w:highlight w:val="none"/>
        </w:rPr>
      </w:pPr>
      <w:r>
        <w:rPr>
          <w:rFonts w:ascii="仿宋" w:hAnsi="仿宋" w:eastAsia="仿宋"/>
          <w:color w:val="auto"/>
          <w:sz w:val="36"/>
          <w:highlight w:val="none"/>
        </w:rPr>
        <w:br w:type="page" w:clear="all"/>
      </w:r>
      <w:r/>
    </w:p>
    <w:p>
      <w:pPr>
        <w:pStyle w:val="985"/>
        <w:jc w:val="center"/>
        <w:rPr>
          <w:rFonts w:ascii="仿宋" w:hAnsi="仿宋" w:eastAsia="仿宋"/>
          <w:color w:val="auto"/>
          <w:sz w:val="36"/>
          <w:highlight w:val="none"/>
        </w:rPr>
      </w:pPr>
      <w:r/>
      <w:bookmarkStart w:id="245" w:name="_Toc12490"/>
      <w:r>
        <w:rPr>
          <w:rFonts w:hint="eastAsia" w:ascii="仿宋" w:hAnsi="仿宋" w:eastAsia="仿宋"/>
          <w:color w:val="auto"/>
          <w:sz w:val="36"/>
          <w:highlight w:val="none"/>
        </w:rPr>
        <w:t xml:space="preserve">第四章  招标技术规格及要求</w:t>
      </w:r>
      <w:bookmarkEnd w:id="241"/>
      <w:r/>
      <w:bookmarkEnd w:id="242"/>
      <w:r/>
      <w:bookmarkEnd w:id="243"/>
      <w:r/>
      <w:bookmarkEnd w:id="245"/>
      <w:r/>
      <w:r/>
    </w:p>
    <w:p>
      <w:pPr>
        <w:ind w:firstLine="482"/>
        <w:keepLines/>
        <w:keepNext/>
        <w:spacing w:line="360" w:lineRule="auto"/>
        <w:rPr>
          <w:rFonts w:hint="eastAsia" w:ascii="仿宋" w:hAnsi="仿宋" w:eastAsia="仿宋"/>
          <w:b/>
          <w:bCs/>
          <w:sz w:val="24"/>
          <w:szCs w:val="24"/>
          <w:highlight w:val="none"/>
        </w:rPr>
        <w:outlineLvl w:val="1"/>
      </w:pPr>
      <w:r/>
      <w:bookmarkStart w:id="246" w:name="_Toc4521"/>
      <w:r/>
      <w:bookmarkStart w:id="247" w:name="_Toc420487918"/>
      <w:r/>
      <w:bookmarkStart w:id="248" w:name="_Toc289873232"/>
      <w:r/>
      <w:bookmarkStart w:id="249" w:name="_Toc420657413"/>
      <w:r>
        <w:rPr>
          <w:rFonts w:hint="eastAsia" w:ascii="仿宋" w:hAnsi="仿宋" w:eastAsia="仿宋"/>
          <w:b/>
          <w:bCs/>
          <w:sz w:val="24"/>
          <w:szCs w:val="24"/>
          <w:highlight w:val="none"/>
        </w:rPr>
        <w:t xml:space="preserve">一、采购需求</w:t>
      </w:r>
      <w:bookmarkEnd w:id="246"/>
      <w:r/>
      <w:r/>
    </w:p>
    <w:p>
      <w:pPr>
        <w:ind w:firstLine="480"/>
        <w:spacing w:line="360" w:lineRule="auto"/>
        <w:rPr>
          <w:rFonts w:hint="eastAsia" w:ascii="仿宋" w:hAnsi="仿宋" w:eastAsia="仿宋"/>
          <w:sz w:val="24"/>
          <w:szCs w:val="24"/>
          <w:highlight w:val="none"/>
        </w:rPr>
      </w:pPr>
      <w:r/>
      <w:bookmarkStart w:id="250" w:name="_Hlk149055486"/>
      <w:r>
        <w:rPr>
          <w:rFonts w:hint="eastAsia" w:ascii="仿宋" w:hAnsi="仿宋" w:eastAsia="仿宋"/>
          <w:sz w:val="24"/>
          <w:szCs w:val="24"/>
          <w:highlight w:val="none"/>
        </w:rPr>
        <w:t xml:space="preserve">根据甲方”数字赋能与智慧监管项目”项目实施方案，计划开展包括江苏国家山水工程实施相关区域的自然资源和生态状况变化监测工作。甲方在充分利用国产公益雷达、高光谱卫星影像的基础上，仍无法满足湿地、水体生态环境监测对全极化SAR、高光谱卫星数据的需求。在对公益雷达、高光谱卫星影像覆盖范围和拍摄频次、监测需求进行充分评估的基础上，确定需要补充采购商业全极化SAR和高光谱卫星数据，并开展全极化SAR和高光谱数据的处理和定量反演工作。具体工作量如下：</w:t>
      </w:r>
      <w:r/>
    </w:p>
    <w:p>
      <w:pPr>
        <w:ind w:firstLine="480"/>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1</w:t>
      </w:r>
      <w:r>
        <w:rPr>
          <w:rFonts w:hint="eastAsia" w:ascii="仿宋" w:hAnsi="仿宋" w:eastAsia="仿宋"/>
          <w:sz w:val="24"/>
          <w:szCs w:val="24"/>
          <w:highlight w:val="none"/>
        </w:rPr>
        <w:t xml:space="preserve">、卫星影像数据采集</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（1）根据”数字赋能与智慧监管项目”所涉区域湿地生态监测需求，按年度获取扬州、淮安、宿迁、徐州4市RADARSAT-2雷达卫星宽幅全极化SAR数据，共补充1期，并开展全极化SAR数据处理工作；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（2）根据”数字赋能与智慧监管项目”所涉区域水生态监测需求，按年度获取扬州、淮安、宿迁、徐州4市高光谱卫星数据，共补充1期，并开展内陆水质定量反演工作；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（3）根据”数字赋能与智慧监管项目”对海岸带重点区域水生态监测的需求，按年度获取盐城以北岸线10km缓冲区范围高光谱卫星数据，共补充1期，并开展近海水质定量反演工作。</w:t>
      </w:r>
      <w:r/>
    </w:p>
    <w:p>
      <w:pPr>
        <w:ind w:firstLine="480"/>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2</w:t>
      </w:r>
      <w:r>
        <w:rPr>
          <w:rFonts w:hint="eastAsia" w:ascii="仿宋" w:hAnsi="仿宋" w:eastAsia="仿宋"/>
          <w:sz w:val="24"/>
          <w:szCs w:val="24"/>
          <w:highlight w:val="none"/>
        </w:rPr>
        <w:t xml:space="preserve">、卫星影像数据处理</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（1）开展全极化SAR数据生态信息提取工作；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（2）开展内陆水质定量反演工作；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（3）开展近海水质定量反演工作。</w:t>
      </w:r>
      <w:r/>
    </w:p>
    <w:p>
      <w:pPr>
        <w:ind w:firstLine="482"/>
        <w:keepLines/>
        <w:keepNext/>
        <w:spacing w:line="360" w:lineRule="auto"/>
        <w:rPr>
          <w:rFonts w:hint="eastAsia" w:ascii="仿宋" w:hAnsi="仿宋" w:eastAsia="仿宋"/>
          <w:b/>
          <w:bCs/>
          <w:sz w:val="24"/>
          <w:szCs w:val="24"/>
          <w:highlight w:val="none"/>
        </w:rPr>
        <w:outlineLvl w:val="1"/>
      </w:pPr>
      <w:r/>
      <w:bookmarkStart w:id="251" w:name="_Toc10917"/>
      <w:r>
        <w:rPr>
          <w:rFonts w:hint="eastAsia" w:ascii="仿宋" w:hAnsi="仿宋" w:eastAsia="仿宋"/>
          <w:b/>
          <w:bCs/>
          <w:sz w:val="24"/>
          <w:szCs w:val="24"/>
          <w:highlight w:val="none"/>
        </w:rPr>
        <w:t xml:space="preserve">二</w:t>
      </w:r>
      <w:r>
        <w:rPr>
          <w:rFonts w:ascii="仿宋" w:hAnsi="仿宋" w:eastAsia="仿宋"/>
          <w:b/>
          <w:bCs/>
          <w:sz w:val="24"/>
          <w:szCs w:val="24"/>
          <w:highlight w:val="none"/>
        </w:rPr>
        <w:t xml:space="preserve">、预期提交成果</w:t>
      </w:r>
      <w:bookmarkEnd w:id="251"/>
      <w:r/>
      <w:r/>
    </w:p>
    <w:p>
      <w:pPr>
        <w:ind w:firstLine="480"/>
        <w:spacing w:line="360" w:lineRule="auto"/>
        <w:rPr>
          <w:rFonts w:hint="eastAsia" w:ascii="仿宋" w:hAnsi="仿宋" w:eastAsia="仿宋"/>
          <w:sz w:val="24"/>
          <w:szCs w:val="24"/>
          <w:highlight w:val="none"/>
        </w:rPr>
      </w:pPr>
      <w:r/>
      <w:bookmarkStart w:id="252" w:name="_Toc24532281"/>
      <w:r/>
      <w:bookmarkStart w:id="253" w:name="_Toc116135256"/>
      <w:r/>
      <w:bookmarkStart w:id="254" w:name="_Toc24532775"/>
      <w:r/>
      <w:bookmarkStart w:id="255" w:name="_Toc56443038"/>
      <w:r/>
      <w:bookmarkStart w:id="256" w:name="_Toc23507634"/>
      <w:r/>
      <w:bookmarkStart w:id="257" w:name="_Toc527914096"/>
      <w:r>
        <w:rPr>
          <w:rFonts w:hint="eastAsia" w:ascii="仿宋" w:hAnsi="仿宋" w:eastAsia="仿宋"/>
          <w:sz w:val="24"/>
          <w:szCs w:val="24"/>
          <w:highlight w:val="none"/>
        </w:rPr>
        <w:t xml:space="preserve">1、卫星影像数据及处理成果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（1）所涉区域获取的1期RADARSAT-2雷达卫星宽幅全极化SAR卫星影像及相关生态信息提取成果；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（2）所涉内陆区域获取的1期高光谱卫星影像及内陆水质反演成果；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（3）所涉海岸带区域获取的1期高光谱卫星影像及近海水质反演成果。</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2、卫星影像数据及处理成果格式：TIF等通用标准格式；</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3、卫星影像数据及处理成果图件格式：JPG等通用图件格式；</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4、提供影像数据质量检查报告、处理工作报告等文本资料。</w:t>
      </w:r>
      <w:r/>
    </w:p>
    <w:p>
      <w:pPr>
        <w:ind w:firstLine="482"/>
        <w:keepLines/>
        <w:keepNext/>
        <w:spacing w:line="360" w:lineRule="auto"/>
        <w:rPr>
          <w:rFonts w:hint="eastAsia" w:ascii="仿宋" w:hAnsi="仿宋" w:eastAsia="仿宋"/>
          <w:b/>
          <w:bCs/>
          <w:sz w:val="24"/>
          <w:szCs w:val="24"/>
          <w:highlight w:val="none"/>
        </w:rPr>
        <w:outlineLvl w:val="1"/>
      </w:pPr>
      <w:r/>
      <w:bookmarkStart w:id="258" w:name="_Toc9308"/>
      <w:r>
        <w:rPr>
          <w:rFonts w:hint="eastAsia" w:ascii="仿宋" w:hAnsi="仿宋" w:eastAsia="仿宋"/>
          <w:b/>
          <w:bCs/>
          <w:sz w:val="24"/>
          <w:szCs w:val="24"/>
          <w:highlight w:val="none"/>
        </w:rPr>
        <w:t xml:space="preserve">三</w:t>
      </w:r>
      <w:r>
        <w:rPr>
          <w:rFonts w:ascii="仿宋" w:hAnsi="仿宋" w:eastAsia="仿宋"/>
          <w:b/>
          <w:bCs/>
          <w:sz w:val="24"/>
          <w:szCs w:val="24"/>
          <w:highlight w:val="none"/>
        </w:rPr>
        <w:t xml:space="preserve">、</w:t>
      </w:r>
      <w:r>
        <w:rPr>
          <w:rFonts w:hint="eastAsia" w:ascii="仿宋" w:hAnsi="仿宋" w:eastAsia="仿宋"/>
          <w:b/>
          <w:bCs/>
          <w:sz w:val="24"/>
          <w:szCs w:val="24"/>
          <w:highlight w:val="none"/>
        </w:rPr>
        <w:t xml:space="preserve">技术</w:t>
      </w:r>
      <w:r>
        <w:rPr>
          <w:rFonts w:ascii="仿宋" w:hAnsi="仿宋" w:eastAsia="仿宋"/>
          <w:b/>
          <w:bCs/>
          <w:sz w:val="24"/>
          <w:szCs w:val="24"/>
          <w:highlight w:val="none"/>
        </w:rPr>
        <w:t xml:space="preserve">要求</w:t>
      </w:r>
      <w:bookmarkEnd w:id="252"/>
      <w:r/>
      <w:bookmarkEnd w:id="253"/>
      <w:r/>
      <w:bookmarkEnd w:id="254"/>
      <w:r/>
      <w:bookmarkEnd w:id="255"/>
      <w:r/>
      <w:bookmarkEnd w:id="256"/>
      <w:r/>
      <w:bookmarkEnd w:id="257"/>
      <w:r/>
      <w:bookmarkEnd w:id="258"/>
      <w:r/>
      <w:r/>
    </w:p>
    <w:p>
      <w:pPr>
        <w:ind w:firstLine="480"/>
        <w:spacing w:line="360" w:lineRule="auto"/>
        <w:rPr>
          <w:rFonts w:hint="eastAsia" w:ascii="仿宋" w:hAnsi="仿宋" w:eastAsia="仿宋"/>
          <w:sz w:val="24"/>
          <w:szCs w:val="24"/>
          <w:highlight w:val="none"/>
        </w:rPr>
      </w:pPr>
      <w:r/>
      <w:bookmarkStart w:id="259" w:name="_Toc116135257"/>
      <w:r>
        <w:rPr>
          <w:rFonts w:ascii="仿宋" w:hAnsi="仿宋" w:eastAsia="仿宋"/>
          <w:sz w:val="24"/>
          <w:szCs w:val="24"/>
          <w:highlight w:val="none"/>
        </w:rPr>
        <w:t xml:space="preserve">1</w:t>
      </w:r>
      <w:r>
        <w:rPr>
          <w:rFonts w:hint="eastAsia" w:ascii="仿宋" w:hAnsi="仿宋" w:eastAsia="仿宋"/>
          <w:sz w:val="24"/>
          <w:szCs w:val="24"/>
          <w:highlight w:val="none"/>
        </w:rPr>
        <w:t xml:space="preserve">、卫星影像参数要求</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（1）极化SAR影像必须包含HH、HV、VV、VH四种极化方式，分辨率优于（含）8米;</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（2）高光谱影像波谱段数不少于20个。</w:t>
      </w:r>
      <w:r/>
    </w:p>
    <w:p>
      <w:pPr>
        <w:ind w:firstLine="480"/>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2</w:t>
      </w:r>
      <w:r>
        <w:rPr>
          <w:rFonts w:hint="eastAsia" w:ascii="仿宋" w:hAnsi="仿宋" w:eastAsia="仿宋"/>
          <w:sz w:val="24"/>
          <w:szCs w:val="24"/>
          <w:highlight w:val="none"/>
        </w:rPr>
        <w:t xml:space="preserve">、卫星影像质量要求</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（1）目视效果：影像清晰，色彩、反差适中，无异常噪声。不存在影响地物判读的掉线、错行、重影等质量问题。</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（2）覆盖完整性：影像范围保证覆盖工作区，相邻数据有不小于10％的重叠区，工作区边界数据须向外延伸不少于200米。</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高光谱影像每景数据云、雪覆盖面积小于10％。云、雪超标或落在重点区域，以及雾覆盖下的地物无法判别时乙方应免费更换该区域数据。应急补充阶段，单景云、雪覆盖量可适当放宽，需保证漏洞区域内无遮挡。</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（4）极化SAR影像入射角介于</w:t>
      </w:r>
      <w:r>
        <w:rPr>
          <w:rFonts w:ascii="Times New Roman" w:eastAsia="仿宋"/>
          <w:sz w:val="24"/>
          <w:szCs w:val="24"/>
          <w:highlight w:val="none"/>
        </w:rPr>
        <w:t xml:space="preserve">20°～40°</w:t>
      </w:r>
      <w:r>
        <w:rPr>
          <w:rFonts w:hint="eastAsia" w:ascii="仿宋" w:hAnsi="仿宋" w:eastAsia="仿宋"/>
          <w:sz w:val="24"/>
          <w:szCs w:val="24"/>
          <w:highlight w:val="none"/>
        </w:rPr>
        <w:t xml:space="preserve">，阴影和叠掩区处于合理范围内，不会对数据的处理效果造成影响。</w:t>
      </w:r>
      <w:r/>
    </w:p>
    <w:p>
      <w:pPr>
        <w:ind w:firstLine="480"/>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3</w:t>
      </w:r>
      <w:r>
        <w:rPr>
          <w:rFonts w:hint="eastAsia" w:ascii="仿宋" w:hAnsi="仿宋" w:eastAsia="仿宋"/>
          <w:sz w:val="24"/>
          <w:szCs w:val="24"/>
          <w:highlight w:val="none"/>
        </w:rPr>
        <w:t xml:space="preserve">、卫星影像获取时间要求</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原则上为</w:t>
      </w:r>
      <w:r>
        <w:rPr>
          <w:rFonts w:ascii="仿宋" w:hAnsi="仿宋" w:eastAsia="仿宋"/>
          <w:sz w:val="24"/>
          <w:szCs w:val="24"/>
          <w:highlight w:val="none"/>
        </w:rPr>
        <w:t xml:space="preserve">2023</w:t>
      </w:r>
      <w:r>
        <w:rPr>
          <w:rFonts w:hint="eastAsia" w:ascii="仿宋" w:hAnsi="仿宋" w:eastAsia="仿宋"/>
          <w:sz w:val="24"/>
          <w:szCs w:val="24"/>
          <w:highlight w:val="none"/>
        </w:rPr>
        <w:t xml:space="preserve">年，如部分区域有特殊情况，可放宽至202</w:t>
      </w:r>
      <w:r>
        <w:rPr>
          <w:rFonts w:ascii="仿宋" w:hAnsi="仿宋" w:eastAsia="仿宋"/>
          <w:sz w:val="24"/>
          <w:szCs w:val="24"/>
          <w:highlight w:val="none"/>
        </w:rPr>
        <w:t xml:space="preserve">4</w:t>
      </w:r>
      <w:r>
        <w:rPr>
          <w:rFonts w:hint="eastAsia" w:ascii="仿宋" w:hAnsi="仿宋" w:eastAsia="仿宋"/>
          <w:sz w:val="24"/>
          <w:szCs w:val="24"/>
          <w:highlight w:val="none"/>
        </w:rPr>
        <w:t xml:space="preserve">年一季度。</w:t>
      </w:r>
      <w:r/>
    </w:p>
    <w:p>
      <w:pPr>
        <w:ind w:firstLine="480"/>
        <w:spacing w:line="360" w:lineRule="auto"/>
        <w:rPr>
          <w:rFonts w:hint="eastAsia" w:ascii="仿宋" w:hAnsi="仿宋" w:eastAsia="仿宋"/>
          <w:sz w:val="24"/>
          <w:szCs w:val="24"/>
          <w:highlight w:val="none"/>
        </w:rPr>
      </w:pPr>
      <w:r>
        <w:rPr>
          <w:rFonts w:ascii="仿宋" w:hAnsi="仿宋" w:eastAsia="仿宋"/>
          <w:sz w:val="24"/>
          <w:szCs w:val="24"/>
          <w:highlight w:val="none"/>
        </w:rPr>
        <w:t xml:space="preserve">4</w:t>
      </w:r>
      <w:r>
        <w:rPr>
          <w:rFonts w:hint="eastAsia" w:ascii="仿宋" w:hAnsi="仿宋" w:eastAsia="仿宋"/>
          <w:sz w:val="24"/>
          <w:szCs w:val="24"/>
          <w:highlight w:val="none"/>
        </w:rPr>
        <w:t xml:space="preserve">、卫星影像技术处理要求</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（1）卫星遥感影像经预处理后，因辐射误差而引起的影像畸变现象得到明显改善，同名地物的辐射值在不同幅影像上较为相近，且地物无扭曲、变形，可以清晰判别各种地物类型。</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（2）相邻影像镶嵌拼接后应保持整体色调的过渡均匀连贯、亮度适中，同时检查影像纹理及色彩信息是否丰富，有无细节损失，小范围内同种地物应具有接近一致的色调。</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（3）极化SAR影像湿地监测合理选择极化特征，完成湿地范围识别与信息提取工作，包含但不限于水域、田埂、芦苇、光滩和建筑等地物类型。</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（4）高光谱影像水质监测应充分利用波段信息，选取最优波段组合开展信息反演工作，获取的处理成果种类不少于2种，且必须包含叶绿素浓度、悬浮物含量等参数。</w:t>
      </w:r>
      <w:r/>
    </w:p>
    <w:p>
      <w:pPr>
        <w:ind w:firstLine="482"/>
        <w:keepLines/>
        <w:keepNext/>
        <w:spacing w:line="360" w:lineRule="auto"/>
        <w:rPr>
          <w:rFonts w:hint="eastAsia" w:ascii="仿宋" w:hAnsi="仿宋" w:eastAsia="仿宋"/>
          <w:sz w:val="24"/>
          <w:szCs w:val="24"/>
          <w:highlight w:val="none"/>
        </w:rPr>
        <w:outlineLvl w:val="1"/>
      </w:pPr>
      <w:r/>
      <w:bookmarkStart w:id="260" w:name="_Toc17127"/>
      <w:r>
        <w:rPr>
          <w:rFonts w:hint="eastAsia" w:ascii="仿宋" w:hAnsi="仿宋" w:eastAsia="仿宋"/>
          <w:b/>
          <w:bCs/>
          <w:sz w:val="24"/>
          <w:szCs w:val="24"/>
          <w:highlight w:val="none"/>
        </w:rPr>
        <w:t xml:space="preserve">四、交付时间</w:t>
      </w:r>
      <w:bookmarkEnd w:id="259"/>
      <w:r/>
      <w:bookmarkEnd w:id="260"/>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原则上应在2</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4年底前提交，如部分区域有特殊情况，可放宽至2</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5年一季度。</w:t>
      </w:r>
      <w:bookmarkEnd w:id="250"/>
      <w:r/>
      <w:r/>
    </w:p>
    <w:p>
      <w:pPr>
        <w:ind w:left="400" w:firstLine="400"/>
        <w:rPr>
          <w:rFonts w:ascii="仿宋" w:hAnsi="仿宋" w:eastAsia="仿宋"/>
          <w:color w:val="auto"/>
          <w:highlight w:val="none"/>
        </w:rPr>
      </w:pPr>
      <w:r>
        <w:rPr>
          <w:rFonts w:ascii="仿宋" w:hAnsi="仿宋" w:eastAsia="仿宋"/>
          <w:color w:val="auto"/>
          <w:highlight w:val="none"/>
        </w:rPr>
      </w:r>
      <w:r/>
    </w:p>
    <w:p>
      <w:pPr>
        <w:ind w:firstLine="480"/>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998"/>
        <w:ind w:firstLine="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pStyle w:val="985"/>
        <w:jc w:val="center"/>
        <w:rPr>
          <w:rFonts w:ascii="仿宋" w:hAnsi="仿宋" w:eastAsia="仿宋"/>
          <w:color w:val="auto"/>
          <w:sz w:val="36"/>
          <w:highlight w:val="none"/>
        </w:rPr>
      </w:pPr>
      <w:r/>
      <w:bookmarkStart w:id="261" w:name="_Toc30501"/>
      <w:r>
        <w:rPr>
          <w:rFonts w:hint="eastAsia" w:ascii="仿宋" w:hAnsi="仿宋" w:eastAsia="仿宋"/>
          <w:color w:val="auto"/>
          <w:sz w:val="36"/>
          <w:highlight w:val="none"/>
        </w:rPr>
        <w:t xml:space="preserve">第五章  投标文件格式</w:t>
      </w:r>
      <w:bookmarkEnd w:id="247"/>
      <w:r/>
      <w:bookmarkEnd w:id="248"/>
      <w:r/>
      <w:bookmarkEnd w:id="249"/>
      <w:r/>
      <w:bookmarkEnd w:id="261"/>
      <w:r/>
      <w:r/>
    </w:p>
    <w:p>
      <w:pPr>
        <w:spacing w:before="19" w:line="360" w:lineRule="auto"/>
        <w:widowControl/>
        <w:rPr>
          <w:rFonts w:ascii="仿宋" w:hAnsi="仿宋" w:eastAsia="仿宋"/>
          <w:color w:val="auto"/>
          <w:sz w:val="30"/>
          <w:highlight w:val="none"/>
          <w:u w:val="single"/>
        </w:rPr>
      </w:pPr>
      <w:r>
        <w:rPr>
          <w:rFonts w:ascii="仿宋" w:hAnsi="仿宋" w:eastAsia="仿宋"/>
          <w:color w:val="auto"/>
          <w:sz w:val="30"/>
          <w:highlight w:val="none"/>
          <w:u w:val="single"/>
        </w:rPr>
      </w:r>
      <w:r/>
    </w:p>
    <w:p>
      <w:pPr>
        <w:ind w:firstLine="480"/>
        <w:spacing w:before="19" w:line="360" w:lineRule="auto"/>
        <w:widowControl/>
        <w:rPr>
          <w:rFonts w:ascii="仿宋" w:hAnsi="仿宋" w:eastAsia="仿宋"/>
          <w:color w:val="auto"/>
          <w:sz w:val="24"/>
          <w:szCs w:val="24"/>
          <w:highlight w:val="none"/>
          <w:u w:val="single"/>
        </w:rPr>
      </w:pPr>
      <w:r>
        <w:rPr>
          <w:rFonts w:hint="eastAsia" w:ascii="仿宋" w:hAnsi="仿宋" w:eastAsia="仿宋"/>
          <w:color w:val="auto"/>
          <w:sz w:val="24"/>
          <w:szCs w:val="24"/>
          <w:highlight w:val="none"/>
          <w:u w:val="single"/>
        </w:rPr>
        <w:t xml:space="preserve">注：请供应商按照以下文件的要求格式、内容，顺序制作投标文件，并请编制目录及页码，否则可能将影响对投标文件的评价。</w:t>
      </w:r>
      <w:r/>
    </w:p>
    <w:p>
      <w:pPr>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评标索引</w:t>
      </w:r>
      <w:r/>
    </w:p>
    <w:tbl>
      <w:tblPr>
        <w:tblStyle w:val="99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shd w:val="clear" w:color="auto" w:fill="auto"/>
            <w:tcW w:w="1726" w:type="dxa"/>
            <w:vAlign w:val="center"/>
            <w:textDirection w:val="lrTb"/>
            <w:noWrap w:val="false"/>
          </w:tcPr>
          <w:p>
            <w:pPr>
              <w:jc w:val="center"/>
              <w:spacing w:line="300" w:lineRule="auto"/>
              <w:widowControl/>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评标项目</w:t>
            </w:r>
            <w:r/>
          </w:p>
        </w:tc>
        <w:tc>
          <w:tcPr>
            <w:shd w:val="clear" w:color="auto" w:fill="auto"/>
            <w:tcW w:w="6604" w:type="dxa"/>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评分要求</w:t>
            </w:r>
            <w:r/>
          </w:p>
        </w:tc>
        <w:tc>
          <w:tcPr>
            <w:tcW w:w="1524" w:type="dxa"/>
            <w:textDirection w:val="lrTb"/>
            <w:noWrap w:val="false"/>
          </w:tcPr>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所在页码</w:t>
            </w:r>
            <w:r/>
          </w:p>
        </w:tc>
      </w:tr>
      <w:tr>
        <w:trPr>
          <w:jc w:val="center"/>
        </w:trPr>
        <w:tc>
          <w:tcPr>
            <w:shd w:val="clear" w:color="auto" w:fill="auto"/>
            <w:tcW w:w="422" w:type="dxa"/>
            <w:vAlign w:val="center"/>
            <w:textDirection w:val="lrTb"/>
            <w:noWrap w:val="false"/>
          </w:tcPr>
          <w:p>
            <w:pPr>
              <w:jc w:val="both"/>
              <w:spacing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ind w:left="613"/>
              <w:jc w:val="both"/>
              <w:spacing w:line="360" w:lineRule="auto"/>
              <w:widowControl/>
              <w:tabs>
                <w:tab w:val="left" w:pos="403" w:leader="none"/>
              </w:tabs>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61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65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65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jc w:val="center"/>
          <w:trHeight w:val="511"/>
        </w:trPr>
        <w:tc>
          <w:tcPr>
            <w:shd w:val="clear" w:color="auto" w:fill="auto"/>
            <w:tcW w:w="422"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13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shd w:val="clear" w:color="auto" w:fill="auto"/>
            <w:tcW w:w="6604" w:type="dxa"/>
            <w:vAlign w:val="center"/>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524" w:type="dxa"/>
            <w:textDirection w:val="lrTb"/>
            <w:noWrap w:val="false"/>
          </w:tcPr>
          <w:p>
            <w:pPr>
              <w:jc w:val="both"/>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bl>
    <w:p>
      <w:pPr>
        <w:ind w:firstLine="480"/>
        <w:spacing w:before="19" w:line="360" w:lineRule="auto"/>
        <w:widowControl/>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firstLine="480"/>
        <w:spacing w:before="19" w:line="360" w:lineRule="auto"/>
        <w:widowControl/>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ind w:firstLine="480"/>
        <w:spacing w:before="19" w:line="360" w:lineRule="auto"/>
        <w:widowControl/>
        <w:rPr>
          <w:rFonts w:ascii="仿宋" w:hAnsi="仿宋" w:eastAsia="仿宋"/>
          <w:color w:val="auto"/>
          <w:sz w:val="24"/>
          <w:szCs w:val="24"/>
          <w:highlight w:val="none"/>
          <w:u w:val="single"/>
        </w:rPr>
      </w:pPr>
      <w:r>
        <w:rPr>
          <w:rFonts w:ascii="仿宋" w:hAnsi="仿宋" w:eastAsia="仿宋"/>
          <w:color w:val="auto"/>
          <w:sz w:val="24"/>
          <w:szCs w:val="24"/>
          <w:highlight w:val="none"/>
          <w:u w:val="single"/>
        </w:rPr>
      </w:r>
      <w:r/>
    </w:p>
    <w:p>
      <w:pPr>
        <w:jc w:val="center"/>
        <w:rPr>
          <w:rFonts w:ascii="仿宋" w:hAnsi="仿宋" w:eastAsia="仿宋"/>
          <w:b/>
          <w:color w:val="auto"/>
          <w:sz w:val="24"/>
          <w:szCs w:val="24"/>
          <w:highlight w:val="none"/>
        </w:rPr>
      </w:pPr>
      <w:r>
        <w:rPr>
          <w:rFonts w:ascii="仿宋" w:hAnsi="仿宋" w:eastAsia="仿宋"/>
          <w:color w:val="auto"/>
          <w:sz w:val="24"/>
          <w:szCs w:val="24"/>
          <w:highlight w:val="none"/>
        </w:rPr>
        <w:br w:type="page" w:clear="all"/>
      </w:r>
      <w:bookmarkStart w:id="262" w:name="_Toc420487919"/>
      <w:r/>
      <w:bookmarkStart w:id="263" w:name="_Toc420657414"/>
      <w:r/>
      <w:bookmarkStart w:id="264" w:name="_Toc289873233"/>
      <w:r/>
      <w:bookmarkEnd w:id="262"/>
      <w:r/>
      <w:bookmarkEnd w:id="263"/>
      <w:r/>
      <w:bookmarkEnd w:id="264"/>
      <w:r/>
      <w:r/>
    </w:p>
    <w:p>
      <w:pPr>
        <w:pStyle w:val="986"/>
        <w:rPr>
          <w:rFonts w:ascii="仿宋" w:hAnsi="仿宋" w:eastAsia="仿宋"/>
          <w:color w:val="auto"/>
          <w:sz w:val="24"/>
          <w:szCs w:val="24"/>
          <w:highlight w:val="none"/>
          <w:u w:val="single"/>
        </w:rPr>
      </w:pPr>
      <w:r/>
      <w:bookmarkStart w:id="265" w:name="_Toc496721282"/>
      <w:r/>
      <w:bookmarkStart w:id="266" w:name="_Toc20988"/>
      <w:r>
        <w:rPr>
          <w:rFonts w:hint="eastAsia" w:ascii="仿宋" w:hAnsi="仿宋" w:eastAsia="仿宋"/>
          <w:color w:val="auto"/>
          <w:sz w:val="24"/>
          <w:szCs w:val="24"/>
          <w:highlight w:val="none"/>
        </w:rPr>
        <w:t xml:space="preserve">一、投标函、投标报价及项目相关文件</w:t>
      </w:r>
      <w:bookmarkEnd w:id="265"/>
      <w:r/>
      <w:bookmarkEnd w:id="266"/>
      <w:r/>
      <w:r/>
    </w:p>
    <w:p>
      <w:pPr>
        <w:pStyle w:val="987"/>
        <w:jc w:val="center"/>
        <w:rPr>
          <w:rFonts w:ascii="仿宋" w:hAnsi="仿宋" w:eastAsia="仿宋"/>
          <w:color w:val="auto"/>
          <w:sz w:val="24"/>
          <w:szCs w:val="24"/>
          <w:highlight w:val="none"/>
        </w:rPr>
      </w:pPr>
      <w:r/>
      <w:bookmarkStart w:id="267" w:name="_Toc420487920"/>
      <w:r/>
      <w:bookmarkStart w:id="268" w:name="_Toc9527"/>
      <w:r/>
      <w:bookmarkStart w:id="269" w:name="_Toc496721283"/>
      <w:r/>
      <w:bookmarkStart w:id="270" w:name="_Toc289873234"/>
      <w:r/>
      <w:bookmarkStart w:id="271" w:name="_Toc420657415"/>
      <w:r>
        <w:rPr>
          <w:rFonts w:hint="eastAsia" w:ascii="仿宋" w:hAnsi="仿宋" w:eastAsia="仿宋"/>
          <w:color w:val="auto"/>
          <w:sz w:val="24"/>
          <w:szCs w:val="24"/>
          <w:highlight w:val="none"/>
        </w:rPr>
        <w:t xml:space="preserve">1.投标函</w:t>
      </w:r>
      <w:bookmarkEnd w:id="267"/>
      <w:r/>
      <w:bookmarkEnd w:id="268"/>
      <w:r/>
      <w:bookmarkEnd w:id="269"/>
      <w:r/>
      <w:bookmarkEnd w:id="270"/>
      <w:r/>
      <w:bookmarkEnd w:id="271"/>
      <w:r/>
      <w:r/>
    </w:p>
    <w:p>
      <w:pPr>
        <w:spacing w:before="19" w:line="480"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江苏省招标中心有限公司：</w:t>
      </w:r>
      <w:r/>
    </w:p>
    <w:p>
      <w:pPr>
        <w:ind w:firstLine="4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你们 号招标文件（包括更正通知，如果有的话）收悉，我们经详细审阅和研究，现决定参加投标。</w:t>
      </w:r>
      <w:r/>
    </w:p>
    <w:p>
      <w:pPr>
        <w:ind w:firstLine="555"/>
        <w:spacing w:before="19" w:line="480"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1．我们郑重承诺：我们是符合《中华人民共和国政府采购法》的供应商，并严格遵守《中华人民共和国政府采购法》第二十二条的规定。</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2．我们接受招标文件的所有的条款和规定。</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3．我们同意按照招标文件第一章“供应商须知”第13条的规定，本投标文件的有效期为从投标截止日期起计算的九十天，在此期间，本投标文件将始终对我们具有约束力，并可随时被接受。如果我们中标，本投标文件在此期间之后将继续保持有效。</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4．我们同意提供采购人要求的有关本次招标的所有资料。</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5．我们理解，你们无义务必须接受投标价最低的投标，并有权拒绝所有的投标。同时也理解你们不承担我们本次投标的费用。</w:t>
      </w:r>
      <w:r/>
    </w:p>
    <w:p>
      <w:pP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6．如果我们中标，我们将按照招标文件的规定向贵公司支付招标代理服务费；为执行合同，我们将按供应商须知有关要求提供必要的履约保证。</w:t>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276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供应商名称：</w:t>
      </w:r>
      <w:r>
        <w:rPr>
          <w:rFonts w:hint="eastAsia" w:ascii="仿宋" w:hAnsi="仿宋" w:eastAsia="仿宋"/>
          <w:color w:val="auto"/>
          <w:sz w:val="24"/>
          <w:szCs w:val="24"/>
          <w:highlight w:val="none"/>
          <w:u w:val="single"/>
        </w:rPr>
        <w:t xml:space="preserve">              （公章）</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地址：      邮编：</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电话：      传真：</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授权代表签字：</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职务：</w:t>
      </w:r>
      <w:r/>
    </w:p>
    <w:p>
      <w:pPr>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日期：</w:t>
      </w:r>
      <w:r/>
    </w:p>
    <w:p>
      <w:pPr>
        <w:spacing w:before="4" w:line="360" w:lineRule="auto"/>
        <w:widowControl/>
        <w:rPr>
          <w:rFonts w:ascii="仿宋" w:hAnsi="仿宋" w:eastAsia="仿宋"/>
          <w:color w:val="auto"/>
          <w:sz w:val="24"/>
          <w:szCs w:val="24"/>
          <w:highlight w:val="none"/>
        </w:rPr>
      </w:pPr>
      <w:r>
        <w:rPr>
          <w:rFonts w:ascii="仿宋" w:hAnsi="仿宋" w:eastAsia="仿宋"/>
          <w:color w:val="auto"/>
          <w:sz w:val="24"/>
          <w:szCs w:val="24"/>
          <w:highlight w:val="none"/>
        </w:rPr>
        <w:br w:type="page" w:clear="all"/>
      </w:r>
      <w:r/>
    </w:p>
    <w:p>
      <w:pPr>
        <w:pStyle w:val="987"/>
        <w:jc w:val="center"/>
        <w:rPr>
          <w:rFonts w:ascii="仿宋" w:hAnsi="仿宋" w:eastAsia="仿宋"/>
          <w:color w:val="auto"/>
          <w:sz w:val="24"/>
          <w:szCs w:val="24"/>
          <w:highlight w:val="none"/>
        </w:rPr>
      </w:pPr>
      <w:r/>
      <w:bookmarkStart w:id="272" w:name="_Toc420487921"/>
      <w:r/>
      <w:bookmarkStart w:id="273" w:name="_Toc24821"/>
      <w:r/>
      <w:bookmarkStart w:id="274" w:name="_Toc496721284"/>
      <w:r/>
      <w:bookmarkStart w:id="275" w:name="_Toc420657416"/>
      <w:r/>
      <w:bookmarkStart w:id="276" w:name="_Toc289873235"/>
      <w:r>
        <w:rPr>
          <w:rFonts w:hint="eastAsia" w:ascii="仿宋" w:hAnsi="仿宋" w:eastAsia="仿宋"/>
          <w:color w:val="auto"/>
          <w:sz w:val="24"/>
          <w:szCs w:val="24"/>
          <w:highlight w:val="none"/>
        </w:rPr>
        <w:t xml:space="preserve">2.开标一览表</w:t>
      </w:r>
      <w:bookmarkEnd w:id="272"/>
      <w:r/>
      <w:bookmarkEnd w:id="273"/>
      <w:r/>
      <w:bookmarkEnd w:id="274"/>
      <w:r/>
      <w:bookmarkEnd w:id="275"/>
      <w:r/>
      <w:bookmarkEnd w:id="276"/>
      <w:r/>
      <w:r/>
    </w:p>
    <w:p>
      <w:pPr>
        <w:ind w:firstLine="12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tbl>
      <w:tblPr>
        <w:tblStyle w:val="1026"/>
        <w:tblW w:w="8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13"/>
        <w:gridCol w:w="4313"/>
      </w:tblGrid>
      <w:tr>
        <w:trPr>
          <w:trHeight w:val="450"/>
        </w:trPr>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项目名称</w:t>
            </w:r>
            <w:r/>
          </w:p>
        </w:tc>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w:t>
            </w:r>
            <w:r/>
          </w:p>
        </w:tc>
      </w:tr>
      <w:tr>
        <w:trPr>
          <w:trHeight w:val="461"/>
        </w:trPr>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投标报价</w:t>
            </w:r>
            <w:r/>
          </w:p>
        </w:tc>
        <w:tc>
          <w:tcPr>
            <w:tcW w:w="4313" w:type="dxa"/>
            <w:textDirection w:val="lrTb"/>
            <w:noWrap w:val="false"/>
          </w:tcPr>
          <w:p>
            <w:pPr>
              <w:jc w:val="both"/>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r>
        <w:trPr>
          <w:trHeight w:val="461"/>
        </w:trPr>
        <w:tc>
          <w:tcPr>
            <w:tcW w:w="4313" w:type="dxa"/>
            <w:textDirection w:val="lrTb"/>
            <w:noWrap w:val="false"/>
          </w:tcPr>
          <w:p>
            <w:pPr>
              <w:jc w:val="both"/>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c>
          <w:tcPr>
            <w:tcW w:w="4313" w:type="dxa"/>
            <w:textDirection w:val="lrTb"/>
            <w:noWrap w:val="false"/>
          </w:tcPr>
          <w:p>
            <w:pPr>
              <w:jc w:val="both"/>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tc>
      </w:tr>
    </w:tbl>
    <w:p>
      <w:pPr>
        <w:ind w:firstLine="12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供应商名称：</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供应商公章:</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授权代表(签字)</w:t>
      </w:r>
      <w:r>
        <w:rPr>
          <w:rFonts w:ascii="仿宋" w:hAnsi="仿宋" w:eastAsia="仿宋"/>
          <w:color w:val="auto"/>
          <w:sz w:val="24"/>
          <w:szCs w:val="24"/>
          <w:highlight w:val="none"/>
        </w:rPr>
        <w:t xml:space="preserve">:</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w:t>
      </w:r>
      <w:r/>
    </w:p>
    <w:p>
      <w:pP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注意：</w:t>
      </w:r>
      <w:r/>
    </w:p>
    <w:p>
      <w:pPr>
        <w:spacing w:line="360" w:lineRule="auto"/>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开标一览表除了装订在投标文件中以外，还需要提供单独密封的开标一览表一式两份（两份密封在一个信封中）。单独密封的开标一览表仅是为方便唱标所用，如未提交，不构成投标文件的完整性偏离。</w:t>
      </w:r>
      <w:r/>
    </w:p>
    <w:p>
      <w:pPr>
        <w:pStyle w:val="1079"/>
        <w:numPr>
          <w:ilvl w:val="0"/>
          <w:numId w:val="6"/>
        </w:numPr>
        <w:ind w:left="720"/>
        <w:spacing w:line="360" w:lineRule="auto"/>
        <w:tabs>
          <w:tab w:val="left" w:pos="360" w:leader="none"/>
          <w:tab w:val="left" w:pos="720" w:leader="none"/>
        </w:tabs>
        <w:rPr>
          <w:rFonts w:ascii="仿宋" w:hAnsi="仿宋" w:eastAsia="仿宋"/>
          <w:b/>
          <w:bCs/>
          <w:color w:val="auto"/>
          <w:sz w:val="24"/>
          <w:highlight w:val="none"/>
        </w:rPr>
        <w:sectPr>
          <w:footerReference w:type="default" r:id="rId9"/>
          <w:footerReference w:type="even" r:id="rId10"/>
          <w:footerReference w:type="first" r:id="rId11"/>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277" w:name="_Toc513821686"/>
      <w:r/>
      <w:bookmarkStart w:id="278" w:name="_Toc493863249"/>
      <w:r/>
      <w:bookmarkStart w:id="279" w:name="_Toc418606929"/>
      <w:r/>
      <w:bookmarkStart w:id="280" w:name="_Toc499213025"/>
      <w:r/>
      <w:bookmarkStart w:id="281" w:name="_Toc289873239"/>
      <w:r/>
      <w:bookmarkStart w:id="282" w:name="_Toc496721285"/>
      <w:r/>
      <w:bookmarkStart w:id="283" w:name="_Toc420657418"/>
      <w:r/>
      <w:bookmarkStart w:id="284" w:name="_Toc420487923"/>
      <w:r/>
      <w:r/>
    </w:p>
    <w:p>
      <w:pPr>
        <w:pStyle w:val="987"/>
        <w:ind w:left="284"/>
        <w:jc w:val="left"/>
        <w:spacing w:line="360" w:lineRule="auto"/>
        <w:tabs>
          <w:tab w:val="center" w:pos="7001" w:leader="none"/>
        </w:tabs>
        <w:rPr>
          <w:rFonts w:ascii="仿宋" w:hAnsi="仿宋" w:eastAsia="仿宋"/>
          <w:color w:val="auto"/>
          <w:sz w:val="24"/>
          <w:szCs w:val="24"/>
          <w:highlight w:val="none"/>
        </w:rPr>
      </w:pPr>
      <w:r/>
      <w:bookmarkStart w:id="285" w:name="_Toc420657417"/>
      <w:r/>
      <w:bookmarkStart w:id="286" w:name="_Toc11101"/>
      <w:r/>
      <w:bookmarkStart w:id="287" w:name="_Toc420487922"/>
      <w:r/>
      <w:bookmarkStart w:id="288" w:name="_Toc289873236"/>
      <w:r/>
      <w:bookmarkStart w:id="289" w:name="_Toc461008862"/>
      <w:r/>
      <w:bookmarkStart w:id="290" w:name="_Toc453856289"/>
      <w:r/>
      <w:bookmarkStart w:id="291" w:name="_Toc30150080"/>
      <w:r>
        <w:rPr>
          <w:rFonts w:hint="eastAsia" w:ascii="仿宋" w:hAnsi="仿宋" w:eastAsia="仿宋"/>
          <w:color w:val="auto"/>
          <w:sz w:val="24"/>
          <w:szCs w:val="24"/>
          <w:highlight w:val="none"/>
        </w:rPr>
        <w:t xml:space="preserve">3.报价明细表</w:t>
      </w:r>
      <w:bookmarkEnd w:id="285"/>
      <w:r/>
      <w:bookmarkEnd w:id="286"/>
      <w:r/>
      <w:bookmarkEnd w:id="287"/>
      <w:r/>
      <w:bookmarkEnd w:id="288"/>
      <w:r/>
      <w:bookmarkEnd w:id="289"/>
      <w:r/>
      <w:bookmarkEnd w:id="290"/>
      <w:r/>
      <w:bookmarkEnd w:id="291"/>
      <w:r/>
      <w:r/>
    </w:p>
    <w:p>
      <w:pPr>
        <w:spacing w:line="360" w:lineRule="auto"/>
        <w:rPr>
          <w:rFonts w:ascii="仿宋" w:hAnsi="仿宋" w:eastAsia="仿宋"/>
          <w:b/>
          <w:bCs/>
          <w:color w:val="auto"/>
          <w:sz w:val="24"/>
          <w:highlight w:val="none"/>
        </w:rPr>
      </w:pPr>
      <w:r>
        <w:rPr>
          <w:rFonts w:hint="eastAsia" w:ascii="仿宋" w:hAnsi="仿宋" w:eastAsia="仿宋"/>
          <w:b/>
          <w:bCs/>
          <w:color w:val="auto"/>
          <w:sz w:val="24"/>
          <w:highlight w:val="none"/>
        </w:rPr>
        <w:t xml:space="preserve">（参考格式）</w:t>
      </w:r>
      <w:r/>
    </w:p>
    <w:p>
      <w:pPr>
        <w:ind w:firstLine="12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tbl>
      <w:tblPr>
        <w:tblStyle w:val="9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270"/>
        <w:gridCol w:w="1945"/>
        <w:gridCol w:w="4705"/>
      </w:tblGrid>
      <w:tr>
        <w:trPr>
          <w:jc w:val="center"/>
          <w:trHeight w:val="63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报价</w:t>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最高限价</w:t>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19"/>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r>
      <w:tr>
        <w:trPr>
          <w:jc w:val="center"/>
          <w:trHeight w:val="306"/>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52"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jc w:val="center"/>
              <w:rPr>
                <w:rFonts w:ascii="仿宋" w:hAnsi="仿宋" w:eastAsia="仿宋" w:cs="Courier New"/>
                <w:color w:val="auto"/>
                <w:sz w:val="24"/>
                <w:szCs w:val="24"/>
                <w:highlight w:val="none"/>
              </w:rPr>
            </w:pPr>
            <w:r>
              <w:rPr>
                <w:rFonts w:ascii="仿宋" w:hAnsi="仿宋" w:eastAsia="仿宋" w:cs="Courier New"/>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87" w:type="pct"/>
            <w:vAlign w:val="center"/>
            <w:textDirection w:val="lrTb"/>
            <w:noWrap w:val="false"/>
          </w:tcPr>
          <w:p>
            <w:pPr>
              <w:jc w:val="center"/>
              <w:rPr>
                <w:rFonts w:ascii="仿宋" w:hAnsi="仿宋" w:eastAsia="仿宋" w:cs="MingLiU_HKSCS"/>
                <w:color w:val="auto"/>
                <w:sz w:val="24"/>
                <w:szCs w:val="24"/>
                <w:highlight w:val="none"/>
              </w:rPr>
            </w:pPr>
            <w:r>
              <w:rPr>
                <w:rFonts w:ascii="仿宋" w:hAnsi="仿宋" w:eastAsia="仿宋" w:cs="MingLiU_HKSCS"/>
                <w:color w:val="auto"/>
                <w:sz w:val="24"/>
                <w:szCs w:val="24"/>
                <w:highlight w:val="none"/>
              </w:rPr>
            </w:r>
            <w:r/>
          </w:p>
        </w:tc>
      </w:tr>
      <w:tr>
        <w:trPr>
          <w:jc w:val="center"/>
          <w:trHeight w:val="638"/>
        </w:trPr>
        <w:tc>
          <w:tcPr>
            <w:gridSpan w:val="2"/>
            <w:tcBorders>
              <w:top w:val="single" w:color="auto" w:sz="4" w:space="0"/>
              <w:left w:val="single" w:color="auto" w:sz="4" w:space="0"/>
              <w:bottom w:val="single" w:color="auto" w:sz="4" w:space="0"/>
              <w:right w:val="single" w:color="auto" w:sz="4" w:space="0"/>
            </w:tcBorders>
            <w:tcW w:w="1626" w:type="pct"/>
            <w:vAlign w:val="center"/>
            <w:textDirection w:val="lrTb"/>
            <w:noWrap w:val="false"/>
          </w:tcPr>
          <w:p>
            <w:pPr>
              <w:jc w:val="center"/>
              <w:rPr>
                <w:rFonts w:ascii="仿宋" w:hAnsi="仿宋" w:eastAsia="仿宋" w:cs="Courier New"/>
                <w:color w:val="auto"/>
                <w:sz w:val="24"/>
                <w:szCs w:val="24"/>
                <w:highlight w:val="none"/>
              </w:rPr>
            </w:pPr>
            <w:r>
              <w:rPr>
                <w:rFonts w:hint="eastAsia" w:ascii="仿宋" w:hAnsi="仿宋" w:eastAsia="仿宋"/>
                <w:b/>
                <w:bCs/>
                <w:color w:val="auto"/>
                <w:sz w:val="24"/>
                <w:szCs w:val="24"/>
                <w:highlight w:val="none"/>
              </w:rPr>
              <w:t xml:space="preserve">投标报价总计</w:t>
            </w:r>
            <w:r/>
          </w:p>
        </w:tc>
        <w:tc>
          <w:tcPr>
            <w:gridSpan w:val="2"/>
            <w:tcBorders>
              <w:top w:val="single" w:color="auto" w:sz="4" w:space="0"/>
              <w:left w:val="single" w:color="auto" w:sz="4" w:space="0"/>
              <w:bottom w:val="single" w:color="auto" w:sz="4" w:space="0"/>
              <w:right w:val="single" w:color="auto" w:sz="4" w:space="0"/>
            </w:tcBorders>
            <w:tcW w:w="3374" w:type="pct"/>
            <w:vAlign w:val="center"/>
            <w:textDirection w:val="lrTb"/>
            <w:noWrap w:val="false"/>
          </w:tcPr>
          <w:p>
            <w:pP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大写：人民币</w:t>
            </w:r>
            <w:r>
              <w:rPr>
                <w:rFonts w:ascii="仿宋" w:hAnsi="仿宋" w:eastAsia="仿宋" w:cs="Courier New"/>
                <w:color w:val="auto"/>
                <w:sz w:val="24"/>
                <w:szCs w:val="24"/>
                <w:highlight w:val="none"/>
              </w:rPr>
              <w:t xml:space="preserve">____________________</w:t>
            </w:r>
            <w:r>
              <w:rPr>
                <w:rFonts w:hint="eastAsia" w:ascii="仿宋" w:hAnsi="仿宋" w:eastAsia="仿宋" w:cs="Courier New"/>
                <w:color w:val="auto"/>
                <w:sz w:val="24"/>
                <w:szCs w:val="24"/>
                <w:highlight w:val="none"/>
              </w:rPr>
              <w:t xml:space="preserve">元</w:t>
            </w:r>
            <w:r/>
          </w:p>
          <w:p>
            <w:pPr>
              <w:rPr>
                <w:rFonts w:ascii="仿宋" w:hAnsi="仿宋" w:eastAsia="仿宋" w:cs="Courier New"/>
                <w:color w:val="auto"/>
                <w:sz w:val="24"/>
                <w:szCs w:val="24"/>
                <w:highlight w:val="none"/>
              </w:rPr>
            </w:pPr>
            <w:r>
              <w:rPr>
                <w:rFonts w:hint="eastAsia" w:ascii="仿宋" w:hAnsi="仿宋" w:eastAsia="仿宋" w:cs="Courier New"/>
                <w:color w:val="auto"/>
                <w:sz w:val="24"/>
                <w:szCs w:val="24"/>
                <w:highlight w:val="none"/>
              </w:rPr>
              <w:t xml:space="preserve">小写：￥</w:t>
            </w:r>
            <w:r>
              <w:rPr>
                <w:rFonts w:ascii="仿宋" w:hAnsi="仿宋" w:eastAsia="仿宋" w:cs="Courier New"/>
                <w:color w:val="auto"/>
                <w:sz w:val="24"/>
                <w:szCs w:val="24"/>
                <w:highlight w:val="none"/>
              </w:rPr>
              <w:t xml:space="preserve">____________________</w:t>
            </w:r>
            <w:r/>
          </w:p>
        </w:tc>
      </w:tr>
    </w:tbl>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供应商名称：</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供应商公章:</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授权代表(签字):</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日期：</w:t>
      </w:r>
      <w:r/>
    </w:p>
    <w:p>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注：(1)</w:t>
      </w:r>
      <w:r>
        <w:rPr>
          <w:rFonts w:hint="eastAsia" w:ascii="仿宋" w:hAnsi="仿宋" w:eastAsia="仿宋"/>
          <w:bCs/>
          <w:color w:val="auto"/>
          <w:sz w:val="24"/>
          <w:highlight w:val="none"/>
        </w:rPr>
        <w:t xml:space="preserve">供应商可以对相关内容进行补充完善，以保证项目的完整性，行数可自行添加。</w:t>
      </w:r>
      <w:r/>
    </w:p>
    <w:p>
      <w:pPr>
        <w:pStyle w:val="987"/>
        <w:numPr>
          <w:ilvl w:val="0"/>
          <w:numId w:val="6"/>
        </w:numPr>
        <w:ind w:left="720"/>
        <w:jc w:val="center"/>
        <w:spacing w:line="360" w:lineRule="auto"/>
        <w:tabs>
          <w:tab w:val="left" w:pos="360" w:leader="none"/>
          <w:tab w:val="left" w:pos="720" w:leader="none"/>
        </w:tabs>
        <w:rPr>
          <w:rFonts w:ascii="仿宋" w:hAnsi="仿宋" w:eastAsia="仿宋"/>
          <w:color w:val="auto"/>
          <w:sz w:val="24"/>
          <w:szCs w:val="24"/>
          <w:highlight w:val="none"/>
        </w:rPr>
        <w:sectPr>
          <w:footerReference w:type="default" r:id="rId12"/>
          <w:footerReference w:type="even" r:id="rId13"/>
          <w:footerReference w:type="first" r:id="rId14"/>
          <w:footnotePr/>
          <w:endnotePr/>
          <w:type w:val="nextPage"/>
          <w:pgSz w:w="11906" w:h="16838" w:orient="portrait"/>
          <w:pgMar w:top="1134" w:right="1134" w:bottom="1134" w:left="1134" w:header="851" w:footer="992" w:gutter="0"/>
          <w:cols w:num="1" w:sep="0" w:space="425" w:equalWidth="1"/>
          <w:docGrid w:linePitch="360"/>
          <w:titlePg/>
        </w:sectPr>
      </w:pPr>
      <w:r>
        <w:rPr>
          <w:rFonts w:ascii="仿宋" w:hAnsi="仿宋" w:eastAsia="仿宋"/>
          <w:color w:val="auto"/>
          <w:sz w:val="24"/>
          <w:szCs w:val="24"/>
          <w:highlight w:val="none"/>
        </w:rPr>
      </w:r>
      <w:bookmarkEnd w:id="277"/>
      <w:r/>
      <w:bookmarkEnd w:id="278"/>
      <w:r/>
      <w:bookmarkEnd w:id="279"/>
      <w:r/>
      <w:bookmarkEnd w:id="280"/>
      <w:r/>
      <w:r/>
    </w:p>
    <w:p>
      <w:pPr>
        <w:pStyle w:val="986"/>
        <w:rPr>
          <w:rFonts w:ascii="仿宋" w:hAnsi="仿宋" w:eastAsia="仿宋"/>
          <w:color w:val="auto"/>
          <w:sz w:val="24"/>
          <w:szCs w:val="24"/>
          <w:highlight w:val="none"/>
        </w:rPr>
      </w:pPr>
      <w:r/>
      <w:bookmarkStart w:id="292" w:name="_Toc21734"/>
      <w:r/>
      <w:bookmarkStart w:id="420" w:name="_GoBack"/>
      <w:r/>
      <w:bookmarkEnd w:id="420"/>
      <w:r>
        <w:rPr>
          <w:rFonts w:hint="eastAsia" w:ascii="仿宋" w:hAnsi="仿宋" w:eastAsia="仿宋"/>
          <w:color w:val="auto"/>
          <w:sz w:val="24"/>
          <w:szCs w:val="24"/>
          <w:highlight w:val="none"/>
        </w:rPr>
        <w:t xml:space="preserve">二、资格证明文件</w:t>
      </w:r>
      <w:bookmarkEnd w:id="281"/>
      <w:r/>
      <w:bookmarkEnd w:id="282"/>
      <w:r/>
      <w:bookmarkEnd w:id="283"/>
      <w:r/>
      <w:bookmarkEnd w:id="284"/>
      <w:r/>
      <w:bookmarkEnd w:id="292"/>
      <w:r/>
      <w:r/>
    </w:p>
    <w:p>
      <w:pPr>
        <w:jc w:val="both"/>
        <w:rPr>
          <w:rFonts w:ascii="仿宋" w:hAnsi="仿宋" w:eastAsia="仿宋"/>
          <w:color w:val="auto"/>
          <w:sz w:val="24"/>
          <w:szCs w:val="24"/>
          <w:highlight w:val="none"/>
          <w:lang w:bidi="en-US"/>
        </w:rPr>
      </w:pPr>
      <w:r/>
      <w:bookmarkStart w:id="293" w:name="_Toc445897737"/>
      <w:r/>
      <w:bookmarkStart w:id="294" w:name="_Toc289873240"/>
      <w:r/>
      <w:bookmarkStart w:id="295" w:name="_Toc420487924"/>
      <w:r/>
      <w:bookmarkStart w:id="296" w:name="_Toc496721286"/>
      <w:r/>
      <w:bookmarkStart w:id="297" w:name="_Toc420657419"/>
      <w:r>
        <w:rPr>
          <w:rFonts w:hint="eastAsia" w:ascii="仿宋" w:hAnsi="仿宋" w:eastAsia="仿宋"/>
          <w:color w:val="auto"/>
          <w:sz w:val="24"/>
          <w:szCs w:val="24"/>
          <w:highlight w:val="none"/>
          <w:lang w:bidi="en-US"/>
        </w:rPr>
        <w:t xml:space="preserve">1、法人或其他组织的营业执照等证明文件</w:t>
      </w:r>
      <w:bookmarkEnd w:id="293"/>
      <w:r/>
      <w:r/>
    </w:p>
    <w:p>
      <w:pPr>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（复印件）</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jc w:val="both"/>
        <w:rPr>
          <w:rFonts w:ascii="仿宋" w:hAnsi="仿宋" w:eastAsia="仿宋"/>
          <w:color w:val="auto"/>
          <w:sz w:val="24"/>
          <w:szCs w:val="24"/>
          <w:highlight w:val="none"/>
          <w:lang w:bidi="en-US"/>
        </w:rPr>
      </w:pPr>
      <w:r/>
      <w:bookmarkStart w:id="298" w:name="_Toc445897738"/>
      <w:r>
        <w:rPr>
          <w:rFonts w:hint="eastAsia" w:ascii="仿宋" w:hAnsi="仿宋" w:eastAsia="仿宋"/>
          <w:color w:val="auto"/>
          <w:sz w:val="24"/>
          <w:szCs w:val="24"/>
          <w:highlight w:val="none"/>
          <w:lang w:bidi="en-US"/>
        </w:rPr>
        <w:t xml:space="preserve">2、财务状况报告</w:t>
      </w:r>
      <w:bookmarkEnd w:id="298"/>
      <w:r/>
      <w:r/>
    </w:p>
    <w:p>
      <w:pPr>
        <w:jc w:val="both"/>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开标时间前</w:t>
      </w:r>
      <w:r>
        <w:rPr>
          <w:rFonts w:hint="eastAsia" w:ascii="仿宋" w:hAnsi="仿宋" w:eastAsia="仿宋" w:cs="宋体"/>
          <w:color w:val="auto"/>
          <w:sz w:val="24"/>
          <w:szCs w:val="24"/>
          <w:highlight w:val="none"/>
        </w:rPr>
        <w:t xml:space="preserve">的财务报表复印件</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jc w:val="both"/>
        <w:rPr>
          <w:rFonts w:ascii="仿宋" w:hAnsi="仿宋" w:eastAsia="仿宋"/>
          <w:color w:val="auto"/>
          <w:sz w:val="24"/>
          <w:szCs w:val="24"/>
          <w:highlight w:val="none"/>
          <w:lang w:bidi="en-US"/>
        </w:rPr>
      </w:pPr>
      <w:r/>
      <w:bookmarkStart w:id="299" w:name="_Toc445897739"/>
      <w:r>
        <w:rPr>
          <w:rFonts w:ascii="仿宋" w:hAnsi="仿宋" w:eastAsia="仿宋"/>
          <w:color w:val="auto"/>
          <w:sz w:val="24"/>
          <w:szCs w:val="24"/>
          <w:highlight w:val="none"/>
          <w:lang w:bidi="en-US"/>
        </w:rPr>
        <w:t xml:space="preserve">3、具有履行合同所必需的设备和专业技术能力</w:t>
      </w:r>
      <w:r>
        <w:rPr>
          <w:rFonts w:hint="eastAsia" w:ascii="仿宋" w:hAnsi="仿宋" w:eastAsia="仿宋"/>
          <w:color w:val="auto"/>
          <w:sz w:val="24"/>
          <w:szCs w:val="24"/>
          <w:highlight w:val="none"/>
          <w:lang w:bidi="en-US"/>
        </w:rPr>
        <w:t xml:space="preserve">的</w:t>
      </w:r>
      <w:r>
        <w:rPr>
          <w:rFonts w:ascii="仿宋" w:hAnsi="仿宋" w:eastAsia="仿宋" w:cs="宋体"/>
          <w:color w:val="auto"/>
          <w:sz w:val="24"/>
          <w:szCs w:val="24"/>
          <w:highlight w:val="none"/>
        </w:rPr>
        <w:t xml:space="preserve">证明材料或承诺函</w:t>
      </w:r>
      <w:r>
        <w:rPr>
          <w:rFonts w:hint="eastAsia" w:ascii="仿宋" w:hAnsi="仿宋" w:eastAsia="仿宋"/>
          <w:color w:val="auto"/>
          <w:sz w:val="24"/>
          <w:szCs w:val="24"/>
          <w:highlight w:val="none"/>
          <w:lang w:bidi="en-US"/>
        </w:rPr>
        <w:t xml:space="preserve">（自行编写）</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ind w:firstLine="48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我公司郑重声明：我公司</w:t>
      </w:r>
      <w:r>
        <w:rPr>
          <w:rFonts w:ascii="仿宋" w:hAnsi="仿宋" w:eastAsia="仿宋"/>
          <w:color w:val="auto"/>
          <w:sz w:val="24"/>
          <w:szCs w:val="24"/>
          <w:highlight w:val="none"/>
          <w:lang w:bidi="en-US"/>
        </w:rPr>
        <w:t xml:space="preserve">具有履行合同所必需的设备和专业技术能力</w:t>
      </w:r>
      <w:r>
        <w:rPr>
          <w:rFonts w:hint="eastAsia" w:ascii="仿宋" w:hAnsi="仿宋" w:eastAsia="仿宋"/>
          <w:color w:val="auto"/>
          <w:sz w:val="24"/>
          <w:szCs w:val="24"/>
          <w:highlight w:val="none"/>
          <w:lang w:bidi="en-US"/>
        </w:rPr>
        <w:t xml:space="preserve">。</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r/>
    </w:p>
    <w:p>
      <w:pPr>
        <w:jc w:val="both"/>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4、依法缴纳税收记录</w:t>
      </w:r>
      <w:bookmarkEnd w:id="299"/>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提供</w:t>
      </w:r>
      <w:r>
        <w:rPr>
          <w:rFonts w:hint="eastAsia" w:ascii="仿宋" w:hAnsi="仿宋" w:eastAsia="仿宋"/>
          <w:color w:val="auto"/>
          <w:sz w:val="24"/>
          <w:szCs w:val="24"/>
          <w:highlight w:val="none"/>
        </w:rPr>
        <w:t xml:space="preserve">纳税凭据</w:t>
      </w:r>
      <w:r>
        <w:rPr>
          <w:rFonts w:hint="eastAsia" w:ascii="仿宋" w:hAnsi="仿宋" w:eastAsia="仿宋"/>
          <w:color w:val="auto"/>
          <w:sz w:val="24"/>
          <w:szCs w:val="24"/>
          <w:highlight w:val="none"/>
          <w:lang w:bidi="en-US"/>
        </w:rPr>
        <w:t xml:space="preserve">复印件（依法免税的应提供相应文件说明）</w:t>
      </w:r>
      <w:r/>
    </w:p>
    <w:p>
      <w:pPr>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rPr>
          <w:rFonts w:ascii="仿宋" w:hAnsi="仿宋" w:eastAsia="仿宋"/>
          <w:color w:val="auto"/>
          <w:sz w:val="24"/>
          <w:szCs w:val="24"/>
          <w:highlight w:val="none"/>
          <w:lang w:bidi="en-US"/>
        </w:rPr>
      </w:pPr>
      <w:r/>
      <w:bookmarkStart w:id="300" w:name="_Toc445897740"/>
      <w:r>
        <w:rPr>
          <w:rFonts w:hint="eastAsia" w:ascii="仿宋" w:hAnsi="仿宋" w:eastAsia="仿宋"/>
          <w:color w:val="auto"/>
          <w:sz w:val="24"/>
          <w:szCs w:val="24"/>
          <w:highlight w:val="none"/>
          <w:lang w:bidi="en-US"/>
        </w:rPr>
        <w:t xml:space="preserve">5、社会保障资金缴纳记录</w:t>
      </w:r>
      <w:bookmarkEnd w:id="300"/>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提供依法缴纳社会保障资金的凭据复印件（凭据可以是缴费的银行单据、专用收据、社会保险缴纳清单或者所在社保机构开具的证明等，依法不需要缴纳社会保障资金的应提供相应文件说明）</w:t>
      </w:r>
      <w:r/>
    </w:p>
    <w:p>
      <w:pPr>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rPr>
          <w:rFonts w:ascii="仿宋" w:hAnsi="仿宋" w:eastAsia="仿宋"/>
          <w:color w:val="auto"/>
          <w:sz w:val="24"/>
          <w:szCs w:val="24"/>
          <w:highlight w:val="none"/>
          <w:lang w:bidi="en-US"/>
        </w:rPr>
      </w:pPr>
      <w:r/>
      <w:bookmarkStart w:id="301" w:name="_Toc445897741"/>
      <w:r>
        <w:rPr>
          <w:rFonts w:ascii="仿宋" w:hAnsi="仿宋" w:eastAsia="仿宋"/>
          <w:color w:val="auto"/>
          <w:sz w:val="24"/>
          <w:szCs w:val="24"/>
          <w:highlight w:val="none"/>
          <w:lang w:bidi="en-US"/>
        </w:rPr>
        <w:t xml:space="preserve">6</w:t>
      </w:r>
      <w:r>
        <w:rPr>
          <w:rFonts w:hint="eastAsia" w:ascii="仿宋" w:hAnsi="仿宋" w:eastAsia="仿宋"/>
          <w:color w:val="auto"/>
          <w:sz w:val="24"/>
          <w:szCs w:val="24"/>
          <w:highlight w:val="none"/>
          <w:lang w:bidi="en-US"/>
        </w:rPr>
        <w:t xml:space="preserve">、参加本政府采购项目前3年内（成立时间不足三年的、自成立时间起）在经营活动中没有重大违法记录的声明函</w:t>
      </w:r>
      <w:bookmarkEnd w:id="301"/>
      <w:r>
        <w:rPr>
          <w:rFonts w:hint="eastAsia" w:ascii="仿宋" w:hAnsi="仿宋" w:eastAsia="仿宋"/>
          <w:color w:val="auto"/>
          <w:sz w:val="24"/>
          <w:szCs w:val="24"/>
          <w:highlight w:val="none"/>
          <w:lang w:bidi="en-US"/>
        </w:rPr>
        <w:t xml:space="preserve">原件（自行编写，重大违法记录是指供应商因违法经营受到刑事处罚或责令停产停业、吊销许可证或者执照、较大数额等行政处罚。）</w:t>
      </w:r>
      <w:r/>
    </w:p>
    <w:p>
      <w:pPr>
        <w:ind w:firstLine="480"/>
        <w:rPr>
          <w:rFonts w:ascii="仿宋" w:hAnsi="仿宋" w:eastAsia="仿宋"/>
          <w:color w:val="auto"/>
          <w:sz w:val="24"/>
          <w:szCs w:val="24"/>
          <w:highlight w:val="none"/>
          <w:lang w:bidi="en-US"/>
        </w:rPr>
      </w:pPr>
      <w:r>
        <w:rPr>
          <w:rFonts w:ascii="仿宋" w:hAnsi="仿宋" w:eastAsia="仿宋"/>
          <w:color w:val="auto"/>
          <w:sz w:val="24"/>
          <w:szCs w:val="24"/>
          <w:highlight w:val="none"/>
          <w:lang w:bidi="en-US"/>
        </w:rPr>
      </w:r>
      <w:r/>
    </w:p>
    <w:p>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参加政府采购活动前 3 年内在经营活动中</w:t>
      </w:r>
      <w:r/>
    </w:p>
    <w:p>
      <w:pPr>
        <w:jc w:val="cente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没有重大违法记录的书面声明(参考格式)</w:t>
      </w:r>
      <w:r/>
    </w:p>
    <w:p>
      <w:pPr>
        <w:ind w:firstLine="480"/>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我公司郑重声明：参加本次政府采购活动前 3 年内，我公司在经营活动中没有因违法经营受到刑事处罚或者责令停产停业、吊销许可证或者执照、较大数额罚款等行政处罚。</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供应商名称（公章）：</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授权代表签字：_______________________</w:t>
      </w:r>
      <w:r/>
    </w:p>
    <w:p>
      <w:pPr>
        <w:rPr>
          <w:rFonts w:ascii="仿宋" w:hAnsi="仿宋" w:eastAsia="仿宋"/>
          <w:color w:val="auto"/>
          <w:sz w:val="24"/>
          <w:szCs w:val="24"/>
          <w:highlight w:val="none"/>
          <w:lang w:bidi="en-US"/>
        </w:rPr>
      </w:pPr>
      <w:r>
        <w:rPr>
          <w:rFonts w:hint="eastAsia" w:ascii="仿宋" w:hAnsi="仿宋" w:eastAsia="仿宋"/>
          <w:color w:val="auto"/>
          <w:sz w:val="24"/>
          <w:szCs w:val="24"/>
          <w:highlight w:val="none"/>
          <w:lang w:bidi="en-US"/>
        </w:rPr>
        <w:t xml:space="preserve">                      日期：______年    月    日</w:t>
      </w:r>
      <w:r/>
    </w:p>
    <w:p>
      <w:pPr>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7、供应商具有“测绘资质证书（摄影测量与遥感乙级或以上）”，提供有效期内的证书复印件加盖公章</w:t>
      </w:r>
      <w:r/>
    </w:p>
    <w:p>
      <w:pPr>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rPr>
          <w:rFonts w:ascii="仿宋" w:hAnsi="仿宋" w:eastAsia="仿宋"/>
          <w:color w:val="auto"/>
          <w:sz w:val="24"/>
          <w:szCs w:val="24"/>
          <w:highlight w:val="none"/>
          <w:lang w:bidi="en-US"/>
        </w:rPr>
      </w:pPr>
      <w:r>
        <w:rPr>
          <w:rFonts w:ascii="仿宋" w:hAnsi="仿宋" w:eastAsia="仿宋" w:cs="宋体"/>
          <w:color w:val="auto"/>
          <w:sz w:val="24"/>
          <w:szCs w:val="24"/>
          <w:highlight w:val="none"/>
        </w:rPr>
        <w:t xml:space="preserve">8</w:t>
      </w:r>
      <w:r>
        <w:rPr>
          <w:rFonts w:hint="eastAsia" w:ascii="仿宋" w:hAnsi="仿宋" w:eastAsia="仿宋" w:cs="宋体"/>
          <w:color w:val="auto"/>
          <w:sz w:val="24"/>
          <w:szCs w:val="24"/>
          <w:highlight w:val="none"/>
        </w:rPr>
        <w:t xml:space="preserve">、其它必要资格证明文件</w:t>
      </w:r>
      <w:r/>
    </w:p>
    <w:p>
      <w:pPr>
        <w:pStyle w:val="986"/>
        <w:rPr>
          <w:rFonts w:ascii="仿宋" w:hAnsi="仿宋" w:eastAsia="仿宋"/>
          <w:color w:val="auto"/>
          <w:sz w:val="24"/>
          <w:szCs w:val="24"/>
          <w:highlight w:val="none"/>
        </w:rPr>
      </w:pPr>
      <w:r>
        <w:rPr>
          <w:rFonts w:ascii="仿宋" w:hAnsi="仿宋" w:eastAsia="仿宋"/>
          <w:color w:val="auto"/>
          <w:sz w:val="24"/>
          <w:szCs w:val="24"/>
          <w:highlight w:val="none"/>
        </w:rPr>
        <w:br w:type="page" w:clear="all"/>
      </w:r>
      <w:bookmarkStart w:id="302" w:name="_Toc18748"/>
      <w:r>
        <w:rPr>
          <w:rFonts w:hint="eastAsia" w:ascii="仿宋" w:hAnsi="仿宋" w:eastAsia="仿宋"/>
          <w:color w:val="auto"/>
          <w:sz w:val="24"/>
          <w:szCs w:val="24"/>
          <w:highlight w:val="none"/>
        </w:rPr>
        <w:t xml:space="preserve">三、</w:t>
      </w:r>
      <w:bookmarkEnd w:id="294"/>
      <w:r/>
      <w:bookmarkEnd w:id="295"/>
      <w:r/>
      <w:bookmarkEnd w:id="296"/>
      <w:r/>
      <w:bookmarkEnd w:id="297"/>
      <w:r/>
      <w:bookmarkStart w:id="303" w:name="_Toc496721287"/>
      <w:r/>
      <w:bookmarkStart w:id="304" w:name="_Toc420657420"/>
      <w:r/>
      <w:bookmarkStart w:id="305" w:name="_Toc289873241"/>
      <w:r/>
      <w:bookmarkStart w:id="306" w:name="_Toc420487925"/>
      <w:r>
        <w:rPr>
          <w:rFonts w:hint="eastAsia" w:ascii="仿宋" w:hAnsi="仿宋" w:eastAsia="仿宋"/>
          <w:color w:val="auto"/>
          <w:sz w:val="24"/>
          <w:szCs w:val="24"/>
          <w:highlight w:val="none"/>
        </w:rPr>
        <w:t xml:space="preserve">法人授权委托书</w:t>
      </w:r>
      <w:bookmarkEnd w:id="302"/>
      <w:r/>
      <w:bookmarkEnd w:id="303"/>
      <w:r/>
      <w:bookmarkEnd w:id="304"/>
      <w:r/>
      <w:bookmarkEnd w:id="305"/>
      <w:r/>
      <w:bookmarkEnd w:id="306"/>
      <w:r/>
      <w:r/>
    </w:p>
    <w:p>
      <w:pPr>
        <w:jc w:val="center"/>
        <w:spacing w:line="360"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法人授权委托书</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致江苏省招标中心有限公司：</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本授权书宣告：</w:t>
      </w:r>
      <w:r/>
    </w:p>
    <w:p>
      <w:pPr>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委托人：</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地    址：</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法定代表人：</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受托人：姓名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性别：</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出生日期：</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所在单位：</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份</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证：</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联系方式:</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兹委托受托人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合法地代表我单位参加江苏省招标中心有限公司组织的（项目编号为：</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w:t>
      </w:r>
      <w:r>
        <w:rPr>
          <w:rFonts w:hint="eastAsia" w:ascii="仿宋" w:hAnsi="仿宋" w:eastAsia="仿宋"/>
          <w:b/>
          <w:color w:val="auto"/>
          <w:sz w:val="24"/>
          <w:szCs w:val="24"/>
          <w:highlight w:val="none"/>
          <w:u w:val="single"/>
        </w:rPr>
        <w:t xml:space="preserve">                 </w:t>
      </w:r>
      <w:r>
        <w:rPr>
          <w:rFonts w:hint="eastAsia" w:ascii="仿宋" w:hAnsi="仿宋" w:eastAsia="仿宋"/>
          <w:b/>
          <w:color w:val="auto"/>
          <w:sz w:val="24"/>
          <w:szCs w:val="24"/>
          <w:highlight w:val="none"/>
        </w:rPr>
        <w:t xml:space="preserve">项目</w:t>
      </w:r>
      <w:r>
        <w:rPr>
          <w:rFonts w:hint="eastAsia" w:ascii="仿宋" w:hAnsi="仿宋" w:eastAsia="仿宋"/>
          <w:color w:val="auto"/>
          <w:sz w:val="24"/>
          <w:szCs w:val="24"/>
          <w:highlight w:val="none"/>
        </w:rPr>
        <w:t xml:space="preserve">的招标活动，受托人有权在该投标活动中，以我单位的名义签署投标书和投标文件，与采购人协商、澄清、解释，签订合同书并执行一切与此有关的事项。</w:t>
      </w:r>
      <w:r/>
    </w:p>
    <w:p>
      <w:pPr>
        <w:spacing w:line="360" w:lineRule="auto"/>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    受托人在办理上述事宜过程中以其自己的名义所签署的所有文件我均予以承认。受托人无转委托权。</w:t>
      </w:r>
      <w:r/>
    </w:p>
    <w:p>
      <w:pPr>
        <w:ind w:firstLine="4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委托期限：至上述事宜处理完毕止。</w:t>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2240"/>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委托单位   </w:t>
      </w:r>
      <w:r>
        <w:rPr>
          <w:rFonts w:hint="eastAsia" w:ascii="仿宋" w:hAnsi="仿宋" w:eastAsia="仿宋"/>
          <w:color w:val="auto"/>
          <w:sz w:val="24"/>
          <w:szCs w:val="24"/>
          <w:highlight w:val="none"/>
          <w:u w:val="single"/>
        </w:rPr>
        <w:t xml:space="preserve"> （公章）          </w:t>
      </w:r>
      <w:r/>
    </w:p>
    <w:p>
      <w:pPr>
        <w:spacing w:line="360" w:lineRule="auto"/>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法定代表人 </w:t>
      </w:r>
      <w:r>
        <w:rPr>
          <w:rFonts w:hint="eastAsia" w:ascii="仿宋" w:hAnsi="仿宋" w:eastAsia="仿宋"/>
          <w:color w:val="auto"/>
          <w:sz w:val="24"/>
          <w:szCs w:val="24"/>
          <w:highlight w:val="none"/>
          <w:u w:val="single"/>
        </w:rPr>
        <w:t xml:space="preserve"> （签名）          </w:t>
      </w:r>
      <w:r/>
    </w:p>
    <w:p>
      <w:pPr>
        <w:ind w:firstLine="228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u w:val="single"/>
        </w:rPr>
        <w:t xml:space="preserve">二О二三</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ind w:firstLine="22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22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br w:type="page" w:clear="all"/>
      </w:r>
      <w:r/>
    </w:p>
    <w:p>
      <w:pPr>
        <w:jc w:val="center"/>
        <w:rPr>
          <w:rFonts w:ascii="仿宋" w:hAnsi="仿宋" w:eastAsia="仿宋"/>
          <w:color w:val="auto"/>
          <w:sz w:val="24"/>
          <w:szCs w:val="24"/>
          <w:highlight w:val="none"/>
          <w:lang w:bidi="en-US"/>
        </w:rPr>
      </w:pPr>
      <w:r/>
      <w:bookmarkStart w:id="307" w:name="_Toc289873244"/>
      <w:r/>
      <w:r/>
    </w:p>
    <w:p>
      <w:pPr>
        <w:pStyle w:val="986"/>
        <w:rPr>
          <w:rFonts w:ascii="仿宋" w:hAnsi="仿宋" w:eastAsia="仿宋"/>
          <w:color w:val="auto"/>
          <w:sz w:val="24"/>
          <w:szCs w:val="24"/>
          <w:highlight w:val="none"/>
        </w:rPr>
      </w:pPr>
      <w:r/>
      <w:bookmarkStart w:id="308" w:name="_Toc496721290"/>
      <w:r/>
      <w:bookmarkStart w:id="309" w:name="_Toc417458120"/>
      <w:r/>
      <w:bookmarkStart w:id="310" w:name="_Toc420657425"/>
      <w:r/>
      <w:bookmarkStart w:id="311" w:name="_Toc420487930"/>
      <w:r/>
      <w:bookmarkStart w:id="312" w:name="_Toc411429891"/>
      <w:r/>
      <w:bookmarkStart w:id="313" w:name="_Toc4301"/>
      <w:r>
        <w:rPr>
          <w:rFonts w:hint="eastAsia" w:ascii="仿宋" w:hAnsi="仿宋" w:eastAsia="仿宋"/>
          <w:color w:val="auto"/>
          <w:sz w:val="24"/>
          <w:szCs w:val="24"/>
          <w:highlight w:val="none"/>
        </w:rPr>
        <w:t xml:space="preserve">四、证明服务的合格性和符合招标文件规定的文件的实施方案</w:t>
      </w:r>
      <w:bookmarkEnd w:id="308"/>
      <w:r/>
      <w:bookmarkEnd w:id="309"/>
      <w:r/>
      <w:bookmarkEnd w:id="310"/>
      <w:r/>
      <w:bookmarkEnd w:id="311"/>
      <w:r/>
      <w:bookmarkEnd w:id="312"/>
      <w:r/>
      <w:bookmarkEnd w:id="313"/>
      <w:r/>
      <w:bookmarkEnd w:id="307"/>
      <w:r/>
      <w:r/>
    </w:p>
    <w:p>
      <w:pPr>
        <w:pStyle w:val="987"/>
        <w:ind w:firstLine="482"/>
        <w:jc w:val="center"/>
        <w:rPr>
          <w:rFonts w:eastAsia="仿宋"/>
          <w:color w:val="auto"/>
          <w:sz w:val="24"/>
          <w:szCs w:val="24"/>
          <w:highlight w:val="none"/>
        </w:rPr>
      </w:pPr>
      <w:r/>
      <w:bookmarkStart w:id="314" w:name="_Toc168282804"/>
      <w:r/>
      <w:bookmarkStart w:id="315" w:name="_Toc420487931"/>
      <w:r/>
      <w:bookmarkStart w:id="316" w:name="_Toc417458121"/>
      <w:r/>
      <w:bookmarkStart w:id="317" w:name="_Toc530158023"/>
      <w:r/>
      <w:bookmarkStart w:id="318" w:name="_Toc496721291"/>
      <w:r/>
      <w:bookmarkStart w:id="319" w:name="_Toc414881145"/>
      <w:r/>
      <w:bookmarkStart w:id="320" w:name="_Toc414880864"/>
      <w:r/>
      <w:bookmarkStart w:id="321" w:name="_Toc420657426"/>
      <w:r/>
      <w:bookmarkStart w:id="322" w:name="_Toc8591"/>
      <w:r/>
      <w:bookmarkStart w:id="323" w:name="_Toc289873237"/>
      <w:r/>
      <w:bookmarkStart w:id="324" w:name="_Toc496721301"/>
      <w:r/>
      <w:bookmarkStart w:id="325" w:name="_Toc417458128"/>
      <w:r/>
      <w:bookmarkStart w:id="326" w:name="_Toc420657434"/>
      <w:r/>
      <w:bookmarkStart w:id="327" w:name="_Toc416183814"/>
      <w:r/>
      <w:bookmarkStart w:id="328" w:name="_Toc358016974"/>
      <w:r/>
      <w:bookmarkStart w:id="329" w:name="_Toc325559920"/>
      <w:r/>
      <w:bookmarkStart w:id="330" w:name="_Toc495327956"/>
      <w:r/>
      <w:bookmarkStart w:id="331" w:name="_Toc324166927"/>
      <w:r/>
      <w:bookmarkStart w:id="332" w:name="_Toc420487939"/>
      <w:r>
        <w:rPr>
          <w:rFonts w:eastAsia="仿宋"/>
          <w:color w:val="auto"/>
          <w:sz w:val="24"/>
          <w:szCs w:val="24"/>
          <w:highlight w:val="none"/>
        </w:rPr>
        <w:t xml:space="preserve">1</w:t>
      </w:r>
      <w:bookmarkEnd w:id="314"/>
      <w:r>
        <w:rPr>
          <w:rFonts w:hint="eastAsia" w:eastAsia="仿宋"/>
          <w:color w:val="auto"/>
          <w:sz w:val="24"/>
          <w:szCs w:val="24"/>
          <w:highlight w:val="none"/>
        </w:rPr>
        <w:t xml:space="preserve">.</w:t>
      </w:r>
      <w:r>
        <w:rPr>
          <w:rFonts w:eastAsia="仿宋"/>
          <w:color w:val="auto"/>
          <w:sz w:val="24"/>
          <w:szCs w:val="24"/>
          <w:highlight w:val="none"/>
        </w:rPr>
        <w:t xml:space="preserve">商务条款偏离表</w:t>
      </w:r>
      <w:bookmarkEnd w:id="315"/>
      <w:r/>
      <w:bookmarkEnd w:id="316"/>
      <w:r/>
      <w:bookmarkEnd w:id="317"/>
      <w:r/>
      <w:bookmarkEnd w:id="318"/>
      <w:r/>
      <w:bookmarkEnd w:id="319"/>
      <w:r/>
      <w:bookmarkEnd w:id="320"/>
      <w:r/>
      <w:bookmarkEnd w:id="321"/>
      <w:r/>
      <w:bookmarkEnd w:id="322"/>
      <w:r/>
      <w:bookmarkEnd w:id="323"/>
      <w:r/>
      <w:r/>
    </w:p>
    <w:p>
      <w:pPr>
        <w:ind w:firstLine="480"/>
        <w:spacing w:after="240" w:line="36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r/>
    </w:p>
    <w:tbl>
      <w:tblPr>
        <w:tblStyle w:val="9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c>
          <w:tcPr>
            <w:tcW w:w="708"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序号</w:t>
            </w:r>
            <w:r/>
          </w:p>
        </w:tc>
        <w:tc>
          <w:tcPr>
            <w:tcW w:w="1920"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招标文件条目号</w:t>
            </w:r>
            <w:r/>
          </w:p>
        </w:tc>
        <w:tc>
          <w:tcPr>
            <w:tcW w:w="2400"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招标文件的商务条款</w:t>
            </w:r>
            <w:r/>
          </w:p>
        </w:tc>
        <w:tc>
          <w:tcPr>
            <w:tcW w:w="2400" w:type="dxa"/>
            <w:textDirection w:val="lrTb"/>
            <w:noWrap w:val="false"/>
          </w:tcPr>
          <w:p>
            <w:pPr>
              <w:jc w:val="cente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投标文件的商务条款</w:t>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t xml:space="preserve">  偏离情况</w:t>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r>
        <w:trPr/>
        <w:tc>
          <w:tcPr>
            <w:tcW w:w="708"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92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2400"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c>
          <w:tcPr>
            <w:tcW w:w="1611" w:type="dxa"/>
            <w:textDirection w:val="lrTb"/>
            <w:noWrap w:val="false"/>
          </w:tcPr>
          <w:p>
            <w:pPr>
              <w:spacing w:before="240" w:after="240"/>
              <w:rPr>
                <w:rFonts w:ascii="Times New Roman" w:eastAsia="仿宋"/>
                <w:color w:val="auto"/>
                <w:sz w:val="24"/>
                <w:szCs w:val="24"/>
                <w:highlight w:val="none"/>
              </w:rPr>
            </w:pPr>
            <w:r>
              <w:rPr>
                <w:rFonts w:ascii="Times New Roman" w:eastAsia="仿宋"/>
                <w:color w:val="auto"/>
                <w:sz w:val="24"/>
                <w:szCs w:val="24"/>
                <w:highlight w:val="none"/>
              </w:rPr>
            </w:r>
            <w:r/>
          </w:p>
        </w:tc>
      </w:tr>
    </w:tbl>
    <w:p>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供应商名称（公章）：</w:t>
      </w:r>
      <w:r>
        <w:rPr>
          <w:rFonts w:ascii="Times New Roman" w:eastAsia="仿宋"/>
          <w:color w:val="auto"/>
          <w:sz w:val="24"/>
          <w:szCs w:val="24"/>
          <w:highlight w:val="none"/>
          <w:u w:val="single"/>
        </w:rPr>
        <w:t xml:space="preserve">                     </w:t>
      </w:r>
      <w:r/>
    </w:p>
    <w:p>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供应商代表签字：</w:t>
      </w:r>
      <w:r>
        <w:rPr>
          <w:rFonts w:ascii="Times New Roman" w:eastAsia="仿宋"/>
          <w:color w:val="auto"/>
          <w:sz w:val="24"/>
          <w:szCs w:val="24"/>
          <w:highlight w:val="none"/>
          <w:u w:val="single"/>
        </w:rPr>
        <w:t xml:space="preserve">                        </w:t>
      </w:r>
      <w:r/>
    </w:p>
    <w:p>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注：1. 如供应商无任何偏离，也需在响应表中注明并在投标文件中递交此表。</w:t>
      </w:r>
      <w:r/>
    </w:p>
    <w:p>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2. 偏离包括正、负偏离，正偏离指供应商的响应高于招标文件要求，负偏离指供应商的响应低于招标文件要求。</w:t>
      </w:r>
      <w:r/>
    </w:p>
    <w:p>
      <w:pPr>
        <w:pStyle w:val="987"/>
        <w:ind w:firstLine="482"/>
        <w:jc w:val="center"/>
        <w:rPr>
          <w:rFonts w:eastAsia="仿宋"/>
          <w:color w:val="auto"/>
          <w:sz w:val="24"/>
          <w:szCs w:val="24"/>
          <w:highlight w:val="none"/>
        </w:rPr>
      </w:pPr>
      <w:r/>
      <w:bookmarkStart w:id="333" w:name="_Toc420657427"/>
      <w:r/>
      <w:bookmarkStart w:id="334" w:name="_Toc161767432"/>
      <w:r/>
      <w:bookmarkStart w:id="335" w:name="_Toc420487932"/>
      <w:r/>
      <w:bookmarkStart w:id="336" w:name="_Toc414881146"/>
      <w:r/>
      <w:bookmarkStart w:id="337" w:name="_Toc417458122"/>
      <w:r/>
      <w:bookmarkStart w:id="338" w:name="_Toc414880865"/>
      <w:r/>
      <w:bookmarkStart w:id="339" w:name="_Toc289873238"/>
      <w:r/>
      <w:bookmarkStart w:id="340" w:name="_Toc135999011"/>
      <w:r>
        <w:rPr>
          <w:rFonts w:eastAsia="仿宋"/>
          <w:color w:val="auto"/>
          <w:sz w:val="24"/>
          <w:szCs w:val="24"/>
          <w:highlight w:val="none"/>
        </w:rPr>
        <w:br w:type="page" w:clear="all"/>
      </w:r>
      <w:bookmarkStart w:id="341" w:name="_Toc530158024"/>
      <w:r/>
      <w:bookmarkStart w:id="342" w:name="_Toc496721292"/>
      <w:r/>
      <w:bookmarkStart w:id="343" w:name="_Toc31066"/>
      <w:r>
        <w:rPr>
          <w:rFonts w:eastAsia="仿宋"/>
          <w:color w:val="auto"/>
          <w:sz w:val="24"/>
          <w:szCs w:val="24"/>
          <w:highlight w:val="none"/>
        </w:rPr>
        <w:t xml:space="preserve">2</w:t>
      </w:r>
      <w:bookmarkEnd w:id="333"/>
      <w:r/>
      <w:bookmarkEnd w:id="334"/>
      <w:r/>
      <w:bookmarkEnd w:id="335"/>
      <w:r/>
      <w:bookmarkEnd w:id="336"/>
      <w:r/>
      <w:bookmarkEnd w:id="337"/>
      <w:r/>
      <w:bookmarkEnd w:id="338"/>
      <w:r/>
      <w:bookmarkEnd w:id="339"/>
      <w:r/>
      <w:bookmarkEnd w:id="340"/>
      <w:r>
        <w:rPr>
          <w:rFonts w:hint="eastAsia" w:eastAsia="仿宋"/>
          <w:color w:val="auto"/>
          <w:sz w:val="24"/>
          <w:szCs w:val="24"/>
          <w:highlight w:val="none"/>
        </w:rPr>
        <w:t xml:space="preserve">.</w:t>
      </w:r>
      <w:r>
        <w:rPr>
          <w:rFonts w:eastAsia="仿宋"/>
          <w:color w:val="auto"/>
          <w:sz w:val="24"/>
          <w:szCs w:val="24"/>
          <w:highlight w:val="none"/>
        </w:rPr>
        <w:t xml:space="preserve">技术要求响应/偏离表</w:t>
      </w:r>
      <w:bookmarkEnd w:id="341"/>
      <w:r/>
      <w:bookmarkEnd w:id="342"/>
      <w:r/>
      <w:bookmarkEnd w:id="343"/>
      <w:r/>
      <w:r/>
    </w:p>
    <w:p>
      <w:pPr>
        <w:spacing w:after="240" w:line="36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项目编号：</w:t>
      </w:r>
      <w:r>
        <w:rPr>
          <w:rFonts w:ascii="Times New Roman" w:eastAsia="仿宋"/>
          <w:color w:val="auto"/>
          <w:sz w:val="24"/>
          <w:szCs w:val="24"/>
          <w:highlight w:val="none"/>
          <w:u w:val="single"/>
        </w:rPr>
        <w:t xml:space="preserve">           </w:t>
      </w:r>
      <w:r>
        <w:rPr>
          <w:rFonts w:ascii="Times New Roman" w:eastAsia="仿宋"/>
          <w:color w:val="auto"/>
          <w:sz w:val="24"/>
          <w:szCs w:val="24"/>
          <w:highlight w:val="none"/>
        </w:rPr>
        <w:t xml:space="preserve"> </w:t>
      </w:r>
      <w:r/>
    </w:p>
    <w:tbl>
      <w:tblPr>
        <w:tblStyle w:val="995"/>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9"/>
        <w:gridCol w:w="2622"/>
        <w:gridCol w:w="2205"/>
      </w:tblGrid>
      <w:tr>
        <w:trPr>
          <w:trHeight w:val="655"/>
        </w:trPr>
        <w:tc>
          <w:tcPr>
            <w:tcW w:w="1365"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序号</w:t>
            </w:r>
            <w:r/>
          </w:p>
        </w:tc>
        <w:tc>
          <w:tcPr>
            <w:tcW w:w="2709"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招标文件技术要求</w:t>
            </w:r>
            <w:r/>
          </w:p>
        </w:tc>
        <w:tc>
          <w:tcPr>
            <w:tcW w:w="2622"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投标文件技术指标情况</w:t>
            </w:r>
            <w:r/>
          </w:p>
        </w:tc>
        <w:tc>
          <w:tcPr>
            <w:tcW w:w="2205" w:type="dxa"/>
            <w:vAlign w:val="center"/>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t xml:space="preserve">  响应/偏离情况</w:t>
            </w:r>
            <w:r/>
          </w:p>
        </w:tc>
      </w:tr>
      <w:tr>
        <w:trPr>
          <w:trHeight w:val="611"/>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r>
        <w:trPr>
          <w:trHeight w:val="616"/>
        </w:trPr>
        <w:tc>
          <w:tcPr>
            <w:tcW w:w="1365"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709" w:type="dxa"/>
            <w:textDirection w:val="lrTb"/>
            <w:noWrap w:val="false"/>
          </w:tcPr>
          <w:p>
            <w:pPr>
              <w:jc w:val="center"/>
              <w:rPr>
                <w:rFonts w:ascii="Times New Roman" w:eastAsia="仿宋"/>
                <w:color w:val="auto"/>
                <w:sz w:val="24"/>
                <w:szCs w:val="24"/>
                <w:highlight w:val="none"/>
              </w:rPr>
            </w:pPr>
            <w:r>
              <w:rPr>
                <w:rFonts w:ascii="Times New Roman" w:eastAsia="仿宋"/>
                <w:color w:val="auto"/>
                <w:sz w:val="24"/>
                <w:szCs w:val="24"/>
                <w:highlight w:val="none"/>
              </w:rPr>
            </w:r>
            <w:r/>
          </w:p>
        </w:tc>
        <w:tc>
          <w:tcPr>
            <w:tcW w:w="2622"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c>
          <w:tcPr>
            <w:tcW w:w="2205" w:type="dxa"/>
            <w:textDirection w:val="lrTb"/>
            <w:noWrap w:val="false"/>
          </w:tcPr>
          <w:p>
            <w:pPr>
              <w:rPr>
                <w:rFonts w:ascii="Times New Roman" w:eastAsia="仿宋"/>
                <w:color w:val="auto"/>
                <w:sz w:val="24"/>
                <w:szCs w:val="24"/>
                <w:highlight w:val="none"/>
              </w:rPr>
            </w:pPr>
            <w:r>
              <w:rPr>
                <w:rFonts w:ascii="Times New Roman" w:eastAsia="仿宋"/>
                <w:color w:val="auto"/>
                <w:sz w:val="24"/>
                <w:szCs w:val="24"/>
                <w:highlight w:val="none"/>
              </w:rPr>
            </w:r>
            <w:r/>
          </w:p>
        </w:tc>
      </w:tr>
    </w:tbl>
    <w:p>
      <w:pPr>
        <w:spacing w:line="480" w:lineRule="auto"/>
        <w:rPr>
          <w:rFonts w:ascii="Times New Roman" w:eastAsia="仿宋"/>
          <w:color w:val="auto"/>
          <w:sz w:val="24"/>
          <w:szCs w:val="24"/>
          <w:highlight w:val="none"/>
          <w:u w:val="single"/>
        </w:rPr>
      </w:pPr>
      <w:r>
        <w:rPr>
          <w:rFonts w:ascii="Times New Roman" w:eastAsia="仿宋"/>
          <w:color w:val="auto"/>
          <w:sz w:val="24"/>
          <w:szCs w:val="24"/>
          <w:highlight w:val="none"/>
        </w:rPr>
        <w:t xml:space="preserve">供应商名称（公章）：</w:t>
      </w:r>
      <w:r>
        <w:rPr>
          <w:rFonts w:ascii="Times New Roman" w:eastAsia="仿宋"/>
          <w:color w:val="auto"/>
          <w:sz w:val="24"/>
          <w:szCs w:val="24"/>
          <w:highlight w:val="none"/>
          <w:u w:val="single"/>
        </w:rPr>
        <w:t xml:space="preserve">                     </w:t>
      </w:r>
      <w:r/>
    </w:p>
    <w:p>
      <w:pPr>
        <w:spacing w:line="480" w:lineRule="auto"/>
        <w:rPr>
          <w:rFonts w:ascii="Times New Roman" w:eastAsia="仿宋"/>
          <w:i/>
          <w:color w:val="auto"/>
          <w:sz w:val="24"/>
          <w:szCs w:val="24"/>
          <w:highlight w:val="none"/>
        </w:rPr>
      </w:pPr>
      <w:r>
        <w:rPr>
          <w:rFonts w:ascii="Times New Roman" w:eastAsia="仿宋"/>
          <w:color w:val="auto"/>
          <w:sz w:val="24"/>
          <w:szCs w:val="24"/>
          <w:highlight w:val="none"/>
        </w:rPr>
        <w:t xml:space="preserve">供应商代表签字：</w:t>
      </w:r>
      <w:r>
        <w:rPr>
          <w:rFonts w:ascii="Times New Roman" w:eastAsia="仿宋"/>
          <w:color w:val="auto"/>
          <w:sz w:val="24"/>
          <w:szCs w:val="24"/>
          <w:highlight w:val="none"/>
          <w:u w:val="single"/>
        </w:rPr>
        <w:t xml:space="preserve">                        </w:t>
      </w:r>
      <w:r/>
    </w:p>
    <w:p>
      <w:pPr>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注：1.对于某项指标的数据存在证明文件内容不一致的情况，取指标较低的为准，对于可以用量化形式表示的条款，供应商必须明确回答，或以功能描述回答。</w:t>
      </w:r>
      <w:r/>
    </w:p>
    <w:p>
      <w:pPr>
        <w:ind w:firstLine="480"/>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2.作为投标文件重要的组成部分，不应通过简单拷贝招标文件技术要求或简单标注“符合”“满足”。</w:t>
      </w:r>
      <w:r/>
    </w:p>
    <w:p>
      <w:pPr>
        <w:ind w:firstLine="480"/>
        <w:spacing w:line="360" w:lineRule="auto"/>
        <w:rPr>
          <w:rFonts w:ascii="Times New Roman" w:eastAsia="仿宋"/>
          <w:color w:val="auto"/>
          <w:sz w:val="24"/>
          <w:szCs w:val="24"/>
          <w:highlight w:val="none"/>
        </w:rPr>
      </w:pPr>
      <w:r>
        <w:rPr>
          <w:rFonts w:ascii="Times New Roman" w:eastAsia="仿宋"/>
          <w:color w:val="auto"/>
          <w:sz w:val="24"/>
          <w:szCs w:val="24"/>
          <w:highlight w:val="none"/>
        </w:rPr>
        <w:t xml:space="preserve">3.偏离包括正、负偏离，正偏离指供应商的响应高于招标文件要求，负偏离指供应商的响应低于招标文件要求。</w:t>
      </w:r>
      <w:r/>
    </w:p>
    <w:p>
      <w:pPr>
        <w:pStyle w:val="987"/>
        <w:ind w:firstLine="482"/>
        <w:jc w:val="center"/>
        <w:rPr>
          <w:rFonts w:eastAsia="仿宋"/>
          <w:color w:val="auto"/>
          <w:sz w:val="24"/>
          <w:szCs w:val="24"/>
          <w:highlight w:val="none"/>
        </w:rPr>
      </w:pPr>
      <w:r>
        <w:rPr>
          <w:rFonts w:eastAsia="仿宋"/>
          <w:color w:val="auto"/>
          <w:sz w:val="24"/>
          <w:szCs w:val="24"/>
          <w:highlight w:val="none"/>
          <w:u w:val="single"/>
        </w:rPr>
        <w:br w:type="page" w:clear="all"/>
      </w:r>
      <w:bookmarkEnd w:id="324"/>
      <w:r/>
      <w:bookmarkEnd w:id="325"/>
      <w:r/>
      <w:bookmarkEnd w:id="326"/>
      <w:r/>
      <w:bookmarkEnd w:id="327"/>
      <w:r/>
      <w:bookmarkEnd w:id="328"/>
      <w:r/>
      <w:bookmarkEnd w:id="329"/>
      <w:r/>
      <w:bookmarkEnd w:id="330"/>
      <w:r/>
      <w:bookmarkEnd w:id="331"/>
      <w:r/>
      <w:bookmarkEnd w:id="332"/>
      <w:r/>
      <w:bookmarkStart w:id="344" w:name="_Toc530158025"/>
      <w:r/>
      <w:bookmarkStart w:id="345" w:name="_Toc496721294"/>
      <w:r/>
      <w:bookmarkStart w:id="346" w:name="_Toc21112"/>
      <w:r/>
      <w:bookmarkStart w:id="347" w:name="_Toc420657430"/>
      <w:r/>
      <w:bookmarkStart w:id="348" w:name="_Toc420487935"/>
      <w:r/>
      <w:bookmarkStart w:id="349" w:name="_Toc525660080"/>
      <w:r/>
      <w:bookmarkStart w:id="350" w:name="_Toc525720234"/>
      <w:r/>
      <w:bookmarkStart w:id="351" w:name="_Toc13233096"/>
      <w:r/>
      <w:bookmarkStart w:id="352" w:name="_Toc17097044"/>
      <w:r/>
      <w:bookmarkStart w:id="353" w:name="_Toc529973119"/>
      <w:r>
        <w:rPr>
          <w:rFonts w:eastAsia="仿宋"/>
          <w:color w:val="auto"/>
          <w:sz w:val="24"/>
          <w:szCs w:val="24"/>
          <w:highlight w:val="none"/>
        </w:rPr>
        <w:t xml:space="preserve">3</w:t>
      </w:r>
      <w:bookmarkEnd w:id="344"/>
      <w:r/>
      <w:bookmarkEnd w:id="345"/>
      <w:r>
        <w:rPr>
          <w:rFonts w:hint="eastAsia" w:eastAsia="仿宋"/>
          <w:color w:val="auto"/>
          <w:sz w:val="24"/>
          <w:szCs w:val="24"/>
          <w:highlight w:val="none"/>
        </w:rPr>
        <w:t xml:space="preserve">.</w:t>
      </w:r>
      <w:r>
        <w:rPr>
          <w:rFonts w:hint="eastAsia"/>
          <w:color w:val="auto"/>
          <w:highlight w:val="none"/>
        </w:rPr>
        <w:t xml:space="preserve"> </w:t>
      </w:r>
      <w:r>
        <w:rPr>
          <w:rFonts w:hint="eastAsia" w:eastAsia="仿宋"/>
          <w:color w:val="auto"/>
          <w:sz w:val="24"/>
          <w:szCs w:val="24"/>
          <w:highlight w:val="none"/>
        </w:rPr>
        <w:t xml:space="preserve">商务部分</w:t>
      </w:r>
      <w:bookmarkEnd w:id="346"/>
      <w:r/>
      <w:r/>
    </w:p>
    <w:p>
      <w:pPr>
        <w:ind w:firstLine="482"/>
        <w:jc w:val="center"/>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(结合评标办法要求提供相应证明材料)</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.1 </w:t>
      </w:r>
      <w:r>
        <w:rPr>
          <w:rFonts w:hint="eastAsia" w:ascii="Times New Roman" w:eastAsia="仿宋_GB2312"/>
          <w:b/>
          <w:color w:val="auto"/>
          <w:sz w:val="24"/>
          <w:szCs w:val="24"/>
          <w:highlight w:val="none"/>
        </w:rPr>
        <w:t xml:space="preserve">类似业绩</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.2 </w:t>
      </w:r>
      <w:r>
        <w:rPr>
          <w:rFonts w:hint="eastAsia" w:ascii="Times New Roman" w:eastAsia="仿宋_GB2312"/>
          <w:b/>
          <w:color w:val="auto"/>
          <w:sz w:val="24"/>
          <w:szCs w:val="24"/>
          <w:highlight w:val="none"/>
        </w:rPr>
        <w:t xml:space="preserve">资质认证</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.3 </w:t>
      </w:r>
      <w:r>
        <w:rPr>
          <w:rFonts w:hint="eastAsia" w:ascii="Times New Roman" w:eastAsia="仿宋_GB2312"/>
          <w:b/>
          <w:color w:val="auto"/>
          <w:sz w:val="24"/>
          <w:szCs w:val="24"/>
          <w:highlight w:val="none"/>
        </w:rPr>
        <w:t xml:space="preserve">卫星运控能力</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.4 </w:t>
      </w:r>
      <w:r>
        <w:rPr>
          <w:rFonts w:hint="eastAsia" w:ascii="Times New Roman" w:eastAsia="仿宋_GB2312"/>
          <w:b/>
          <w:color w:val="auto"/>
          <w:sz w:val="24"/>
          <w:szCs w:val="24"/>
          <w:highlight w:val="none"/>
        </w:rPr>
        <w:t xml:space="preserve">卫星授权</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.5 </w:t>
      </w:r>
      <w:r>
        <w:rPr>
          <w:rFonts w:hint="eastAsia" w:ascii="Times New Roman" w:eastAsia="仿宋_GB2312"/>
          <w:b/>
          <w:color w:val="auto"/>
          <w:sz w:val="24"/>
          <w:szCs w:val="24"/>
          <w:highlight w:val="none"/>
        </w:rPr>
        <w:t xml:space="preserve">技术能力</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3</w:t>
      </w:r>
      <w:r>
        <w:rPr>
          <w:rFonts w:ascii="Times New Roman" w:eastAsia="仿宋_GB2312"/>
          <w:b/>
          <w:color w:val="auto"/>
          <w:sz w:val="24"/>
          <w:szCs w:val="24"/>
          <w:highlight w:val="none"/>
        </w:rPr>
        <w:t xml:space="preserve">.6 </w:t>
      </w:r>
      <w:r>
        <w:rPr>
          <w:rFonts w:hint="eastAsia" w:ascii="Times New Roman" w:eastAsia="仿宋_GB2312"/>
          <w:b/>
          <w:color w:val="auto"/>
          <w:sz w:val="24"/>
          <w:szCs w:val="24"/>
          <w:highlight w:val="none"/>
        </w:rPr>
        <w:t xml:space="preserve">拟投入项目人员配备</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r>
      <w:r/>
    </w:p>
    <w:p>
      <w:pPr>
        <w:pStyle w:val="987"/>
        <w:ind w:firstLine="482"/>
        <w:jc w:val="center"/>
        <w:rPr>
          <w:rFonts w:eastAsia="仿宋"/>
          <w:color w:val="auto"/>
          <w:sz w:val="24"/>
          <w:szCs w:val="24"/>
          <w:highlight w:val="none"/>
        </w:rPr>
      </w:pPr>
      <w:r/>
      <w:bookmarkStart w:id="354" w:name="_Toc496721293"/>
      <w:r/>
      <w:bookmarkStart w:id="355" w:name="_Toc530158026"/>
      <w:r/>
      <w:bookmarkStart w:id="356" w:name="_Toc27020"/>
      <w:r>
        <w:rPr>
          <w:rFonts w:eastAsia="仿宋"/>
          <w:color w:val="auto"/>
          <w:sz w:val="24"/>
          <w:szCs w:val="24"/>
          <w:highlight w:val="none"/>
        </w:rPr>
        <w:t xml:space="preserve">4</w:t>
      </w:r>
      <w:bookmarkEnd w:id="354"/>
      <w:r>
        <w:rPr>
          <w:rFonts w:hint="eastAsia" w:eastAsia="仿宋"/>
          <w:color w:val="auto"/>
          <w:sz w:val="24"/>
          <w:szCs w:val="24"/>
          <w:highlight w:val="none"/>
        </w:rPr>
        <w:t xml:space="preserve">.</w:t>
      </w:r>
      <w:bookmarkEnd w:id="355"/>
      <w:r>
        <w:rPr>
          <w:rFonts w:hint="eastAsia"/>
          <w:color w:val="auto"/>
          <w:highlight w:val="none"/>
        </w:rPr>
        <w:t xml:space="preserve"> </w:t>
      </w:r>
      <w:r>
        <w:rPr>
          <w:rFonts w:hint="eastAsia" w:eastAsia="仿宋"/>
          <w:color w:val="auto"/>
          <w:sz w:val="24"/>
          <w:szCs w:val="24"/>
          <w:highlight w:val="none"/>
        </w:rPr>
        <w:t xml:space="preserve">技术部分</w:t>
      </w:r>
      <w:bookmarkEnd w:id="356"/>
      <w:r/>
      <w:r/>
    </w:p>
    <w:p>
      <w:pPr>
        <w:ind w:firstLine="482"/>
        <w:jc w:val="center"/>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(结合评标办法要求提供相应证明材料)</w:t>
      </w:r>
      <w:r/>
    </w:p>
    <w:p>
      <w:pPr>
        <w:ind w:firstLine="482"/>
        <w:jc w:val="center"/>
        <w:rPr>
          <w:rFonts w:ascii="Times New Roman" w:eastAsia="仿宋_GB2312"/>
          <w:b/>
          <w:color w:val="auto"/>
          <w:sz w:val="24"/>
          <w:szCs w:val="24"/>
          <w:highlight w:val="none"/>
        </w:rPr>
      </w:pPr>
      <w:r>
        <w:rPr>
          <w:rFonts w:ascii="Times New Roman" w:eastAsia="仿宋_GB2312"/>
          <w:b/>
          <w:color w:val="auto"/>
          <w:sz w:val="24"/>
          <w:szCs w:val="24"/>
          <w:highlight w:val="none"/>
        </w:rPr>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.1 </w:t>
      </w:r>
      <w:r>
        <w:rPr>
          <w:rFonts w:hint="eastAsia" w:ascii="Times New Roman" w:eastAsia="仿宋_GB2312"/>
          <w:b/>
          <w:color w:val="auto"/>
          <w:sz w:val="24"/>
          <w:szCs w:val="24"/>
          <w:highlight w:val="none"/>
        </w:rPr>
        <w:t xml:space="preserve">需求理解</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4.2 </w:t>
      </w:r>
      <w:r>
        <w:rPr>
          <w:rFonts w:hint="eastAsia" w:ascii="Times New Roman" w:eastAsia="仿宋_GB2312"/>
          <w:b/>
          <w:color w:val="auto"/>
          <w:sz w:val="24"/>
          <w:szCs w:val="24"/>
          <w:highlight w:val="none"/>
        </w:rPr>
        <w:t xml:space="preserve">实施方案</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t xml:space="preserve">4.3 </w:t>
      </w:r>
      <w:r>
        <w:rPr>
          <w:rFonts w:hint="eastAsia" w:ascii="Times New Roman" w:eastAsia="仿宋_GB2312"/>
          <w:b/>
          <w:color w:val="auto"/>
          <w:sz w:val="24"/>
          <w:szCs w:val="24"/>
          <w:highlight w:val="none"/>
        </w:rPr>
        <w:t xml:space="preserve">服务要点分析及应对方案</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.4 </w:t>
      </w:r>
      <w:r>
        <w:rPr>
          <w:rFonts w:hint="eastAsia" w:ascii="Times New Roman" w:eastAsia="仿宋_GB2312"/>
          <w:b/>
          <w:color w:val="auto"/>
          <w:sz w:val="24"/>
          <w:szCs w:val="24"/>
          <w:highlight w:val="none"/>
        </w:rPr>
        <w:t xml:space="preserve">影像处理模式</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.5 </w:t>
      </w:r>
      <w:r>
        <w:rPr>
          <w:rFonts w:hint="eastAsia" w:ascii="Times New Roman" w:eastAsia="仿宋_GB2312"/>
          <w:b/>
          <w:color w:val="auto"/>
          <w:sz w:val="24"/>
          <w:szCs w:val="24"/>
          <w:highlight w:val="none"/>
        </w:rPr>
        <w:t xml:space="preserve">质量保障方案</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.6 </w:t>
      </w:r>
      <w:r>
        <w:rPr>
          <w:rFonts w:hint="eastAsia" w:ascii="Times New Roman" w:eastAsia="仿宋_GB2312"/>
          <w:b/>
          <w:color w:val="auto"/>
          <w:sz w:val="24"/>
          <w:szCs w:val="24"/>
          <w:highlight w:val="none"/>
        </w:rPr>
        <w:t xml:space="preserve">进度管理</w:t>
      </w:r>
      <w:r/>
    </w:p>
    <w:p>
      <w:pPr>
        <w:ind w:firstLine="482"/>
        <w:rPr>
          <w:rFonts w:ascii="Times New Roman" w:eastAsia="仿宋_GB2312"/>
          <w:b/>
          <w:color w:val="auto"/>
          <w:sz w:val="24"/>
          <w:szCs w:val="24"/>
          <w:highlight w:val="none"/>
        </w:rPr>
      </w:pPr>
      <w:r>
        <w:rPr>
          <w:rFonts w:hint="eastAsia" w:ascii="Times New Roman" w:eastAsia="仿宋_GB2312"/>
          <w:b/>
          <w:color w:val="auto"/>
          <w:sz w:val="24"/>
          <w:szCs w:val="24"/>
          <w:highlight w:val="none"/>
        </w:rPr>
        <w:t xml:space="preserve">4</w:t>
      </w:r>
      <w:r>
        <w:rPr>
          <w:rFonts w:ascii="Times New Roman" w:eastAsia="仿宋_GB2312"/>
          <w:b/>
          <w:color w:val="auto"/>
          <w:sz w:val="24"/>
          <w:szCs w:val="24"/>
          <w:highlight w:val="none"/>
        </w:rPr>
        <w:t xml:space="preserve">.</w:t>
      </w:r>
      <w:r>
        <w:rPr>
          <w:rFonts w:hint="eastAsia" w:ascii="Times New Roman" w:eastAsia="仿宋_GB2312"/>
          <w:b/>
          <w:color w:val="auto"/>
          <w:sz w:val="24"/>
          <w:szCs w:val="24"/>
          <w:highlight w:val="none"/>
        </w:rPr>
        <w:t xml:space="preserve">7</w:t>
      </w:r>
      <w:r>
        <w:rPr>
          <w:rFonts w:ascii="Times New Roman" w:eastAsia="仿宋_GB2312"/>
          <w:b/>
          <w:color w:val="auto"/>
          <w:sz w:val="24"/>
          <w:szCs w:val="24"/>
          <w:highlight w:val="none"/>
        </w:rPr>
        <w:t xml:space="preserve"> </w:t>
      </w:r>
      <w:r>
        <w:rPr>
          <w:rFonts w:hint="eastAsia" w:ascii="Times New Roman" w:eastAsia="仿宋_GB2312"/>
          <w:b/>
          <w:color w:val="auto"/>
          <w:sz w:val="24"/>
          <w:szCs w:val="24"/>
          <w:highlight w:val="none"/>
        </w:rPr>
        <w:t xml:space="preserve">售后服务</w:t>
      </w:r>
      <w:r/>
    </w:p>
    <w:p>
      <w:pPr>
        <w:ind w:firstLine="482"/>
        <w:rPr>
          <w:rFonts w:ascii="Times New Roman" w:eastAsia="仿宋_GB2312"/>
          <w:b/>
          <w:color w:val="auto"/>
          <w:sz w:val="24"/>
          <w:szCs w:val="24"/>
          <w:highlight w:val="none"/>
        </w:rPr>
      </w:pPr>
      <w:r>
        <w:rPr>
          <w:rFonts w:ascii="Times New Roman" w:eastAsia="仿宋_GB2312"/>
          <w:b/>
          <w:color w:val="auto"/>
          <w:sz w:val="24"/>
          <w:szCs w:val="24"/>
          <w:highlight w:val="none"/>
        </w:rPr>
      </w:r>
      <w:bookmarkEnd w:id="347"/>
      <w:r/>
      <w:bookmarkEnd w:id="348"/>
      <w:r/>
      <w:r/>
    </w:p>
    <w:p>
      <w:pPr>
        <w:pStyle w:val="986"/>
        <w:rPr>
          <w:rFonts w:ascii="仿宋" w:hAnsi="仿宋" w:eastAsia="仿宋"/>
          <w:color w:val="auto"/>
          <w:sz w:val="24"/>
          <w:szCs w:val="24"/>
          <w:highlight w:val="none"/>
        </w:rPr>
      </w:pPr>
      <w:r/>
      <w:bookmarkStart w:id="357" w:name="_Toc12594"/>
      <w:r>
        <w:rPr>
          <w:rFonts w:ascii="仿宋" w:hAnsi="仿宋" w:eastAsia="仿宋"/>
          <w:color w:val="auto"/>
          <w:sz w:val="24"/>
          <w:szCs w:val="24"/>
          <w:highlight w:val="none"/>
        </w:rPr>
        <w:t xml:space="preserve">五</w:t>
      </w:r>
      <w:r>
        <w:rPr>
          <w:rFonts w:hint="eastAsia" w:ascii="仿宋" w:hAnsi="仿宋" w:eastAsia="仿宋"/>
          <w:color w:val="auto"/>
          <w:sz w:val="24"/>
          <w:szCs w:val="24"/>
          <w:highlight w:val="none"/>
        </w:rPr>
        <w:t xml:space="preserve">、其他针对“第三章  投标邀请”中“评标办法”的相关内容</w:t>
      </w:r>
      <w:bookmarkEnd w:id="357"/>
      <w:r/>
      <w:r/>
    </w:p>
    <w:p>
      <w:pPr>
        <w:jc w:val="cente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（所有“评标办法”中涉及，但是在投标文件格式中未提供具体目录和格式的内容。）</w:t>
      </w:r>
      <w:r/>
    </w:p>
    <w:p>
      <w:pPr>
        <w:widowControl/>
        <w:rPr>
          <w:rFonts w:ascii="仿宋" w:hAnsi="仿宋" w:eastAsia="仿宋"/>
          <w:b/>
          <w:bCs/>
          <w:color w:val="auto"/>
          <w:sz w:val="24"/>
          <w:szCs w:val="24"/>
          <w:highlight w:val="none"/>
        </w:rPr>
      </w:pPr>
      <w:r>
        <w:rPr>
          <w:rFonts w:ascii="仿宋" w:hAnsi="仿宋" w:eastAsia="仿宋"/>
          <w:color w:val="auto"/>
          <w:sz w:val="24"/>
          <w:szCs w:val="24"/>
          <w:highlight w:val="none"/>
        </w:rPr>
        <w:br w:type="page" w:clear="all"/>
      </w:r>
      <w:r/>
    </w:p>
    <w:p>
      <w:pPr>
        <w:pStyle w:val="986"/>
        <w:rPr>
          <w:rFonts w:ascii="仿宋" w:hAnsi="仿宋" w:eastAsia="仿宋"/>
          <w:color w:val="auto"/>
          <w:sz w:val="24"/>
          <w:szCs w:val="24"/>
          <w:highlight w:val="none"/>
        </w:rPr>
      </w:pPr>
      <w:r/>
      <w:bookmarkStart w:id="358" w:name="_Toc5899"/>
      <w:r>
        <w:rPr>
          <w:rFonts w:hint="eastAsia" w:ascii="仿宋" w:hAnsi="仿宋" w:eastAsia="仿宋"/>
          <w:color w:val="auto"/>
          <w:sz w:val="24"/>
          <w:szCs w:val="24"/>
          <w:highlight w:val="none"/>
        </w:rPr>
        <w:t xml:space="preserve">六、政府采购政策</w:t>
      </w:r>
      <w:bookmarkEnd w:id="349"/>
      <w:r/>
      <w:bookmarkEnd w:id="350"/>
      <w:r/>
      <w:bookmarkEnd w:id="351"/>
      <w:r/>
      <w:bookmarkEnd w:id="352"/>
      <w:r/>
      <w:bookmarkEnd w:id="353"/>
      <w:r/>
      <w:bookmarkEnd w:id="358"/>
      <w:r/>
      <w:r/>
    </w:p>
    <w:p>
      <w:pPr>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（不适用的可以不用提交）</w:t>
      </w:r>
      <w:r/>
    </w:p>
    <w:p>
      <w:pPr>
        <w:keepLines/>
        <w:keepNext/>
        <w:spacing w:line="360" w:lineRule="auto"/>
        <w:rPr>
          <w:rFonts w:ascii="仿宋" w:hAnsi="仿宋" w:eastAsia="仿宋"/>
          <w:bCs/>
          <w:color w:val="auto"/>
          <w:sz w:val="24"/>
          <w:szCs w:val="24"/>
          <w:highlight w:val="none"/>
        </w:rPr>
        <w:outlineLvl w:val="2"/>
      </w:pPr>
      <w:r/>
      <w:bookmarkStart w:id="359" w:name="_Toc10472937"/>
      <w:r/>
      <w:bookmarkStart w:id="360" w:name="_Toc8742835"/>
      <w:r/>
      <w:bookmarkStart w:id="361" w:name="_Toc520719710"/>
      <w:r/>
      <w:bookmarkStart w:id="362" w:name="_Toc525720150"/>
      <w:r/>
      <w:bookmarkStart w:id="363" w:name="_Toc505004892"/>
      <w:r/>
      <w:bookmarkStart w:id="364" w:name="_Toc17097045"/>
      <w:r/>
      <w:bookmarkStart w:id="365" w:name="_Toc11678072"/>
      <w:r/>
      <w:bookmarkStart w:id="366" w:name="_Toc522290168"/>
      <w:r/>
      <w:bookmarkStart w:id="367" w:name="_Toc13233097"/>
      <w:r/>
      <w:bookmarkStart w:id="368" w:name="_Toc17618"/>
      <w:r/>
      <w:bookmarkStart w:id="369" w:name="_Toc9515971"/>
      <w:r/>
      <w:bookmarkStart w:id="370" w:name="_Toc447021131"/>
      <w:r>
        <w:rPr>
          <w:rFonts w:ascii="仿宋" w:hAnsi="仿宋" w:eastAsia="仿宋"/>
          <w:bCs/>
          <w:color w:val="auto"/>
          <w:sz w:val="24"/>
          <w:szCs w:val="24"/>
          <w:highlight w:val="none"/>
        </w:rPr>
        <w:t xml:space="preserve">（一）政府采购促进中小企业发展政策</w:t>
      </w:r>
      <w:bookmarkEnd w:id="359"/>
      <w:r/>
      <w:bookmarkEnd w:id="360"/>
      <w:r/>
      <w:bookmarkEnd w:id="361"/>
      <w:r/>
      <w:bookmarkEnd w:id="362"/>
      <w:r/>
      <w:bookmarkEnd w:id="363"/>
      <w:r/>
      <w:bookmarkEnd w:id="364"/>
      <w:r/>
      <w:bookmarkEnd w:id="365"/>
      <w:r/>
      <w:bookmarkEnd w:id="366"/>
      <w:r/>
      <w:bookmarkEnd w:id="367"/>
      <w:r/>
      <w:bookmarkEnd w:id="368"/>
      <w:r/>
      <w:bookmarkEnd w:id="369"/>
      <w:r/>
      <w:r/>
    </w:p>
    <w:p>
      <w:pPr>
        <w:jc w:val="both"/>
        <w:spacing w:line="360" w:lineRule="auto"/>
        <w:rPr>
          <w:rFonts w:ascii="仿宋" w:hAnsi="仿宋" w:eastAsia="仿宋"/>
          <w:b/>
          <w:color w:val="auto"/>
          <w:sz w:val="24"/>
          <w:szCs w:val="24"/>
          <w:highlight w:val="none"/>
        </w:rPr>
      </w:pPr>
      <w:r>
        <w:rPr>
          <w:rFonts w:hint="eastAsia" w:ascii="仿宋" w:hAnsi="仿宋" w:eastAsia="仿宋"/>
          <w:b/>
          <w:color w:val="auto"/>
          <w:sz w:val="24"/>
          <w:highlight w:val="none"/>
        </w:rPr>
        <w:t xml:space="preserve">（请根据本项目“</w:t>
      </w:r>
      <w:r>
        <w:rPr>
          <w:rFonts w:ascii="仿宋" w:hAnsi="仿宋" w:eastAsia="仿宋"/>
          <w:b/>
          <w:color w:val="auto"/>
          <w:sz w:val="24"/>
          <w:szCs w:val="24"/>
          <w:highlight w:val="none"/>
        </w:rPr>
        <w:t xml:space="preserve">采购项目</w:t>
      </w:r>
      <w:r>
        <w:rPr>
          <w:rFonts w:hint="eastAsia" w:ascii="仿宋" w:hAnsi="仿宋" w:eastAsia="仿宋"/>
          <w:b/>
          <w:color w:val="auto"/>
          <w:sz w:val="24"/>
          <w:szCs w:val="24"/>
          <w:highlight w:val="none"/>
        </w:rPr>
        <w:t xml:space="preserve">类型”选择合适的中小企业声明函</w:t>
      </w:r>
      <w:r>
        <w:rPr>
          <w:rFonts w:hint="eastAsia" w:ascii="仿宋" w:hAnsi="仿宋" w:eastAsia="仿宋"/>
          <w:b/>
          <w:color w:val="auto"/>
          <w:sz w:val="24"/>
          <w:highlight w:val="none"/>
        </w:rPr>
        <w:t xml:space="preserve">）</w:t>
      </w:r>
      <w:r/>
    </w:p>
    <w:p>
      <w:pPr>
        <w:ind w:right="-20"/>
        <w:jc w:val="center"/>
        <w:spacing w:line="360" w:lineRule="auto"/>
        <w:rPr>
          <w:rFonts w:ascii="仿宋" w:hAnsi="仿宋" w:eastAsia="仿宋" w:cs="宋体"/>
          <w:color w:val="auto"/>
          <w:spacing w:val="2"/>
          <w:position w:val="-3"/>
          <w:sz w:val="24"/>
          <w:highlight w:val="none"/>
        </w:rPr>
      </w:pPr>
      <w:r>
        <w:rPr>
          <w:rFonts w:ascii="仿宋" w:hAnsi="仿宋" w:eastAsia="仿宋" w:cs="宋体"/>
          <w:color w:val="auto"/>
          <w:spacing w:val="2"/>
          <w:position w:val="-3"/>
          <w:sz w:val="24"/>
          <w:highlight w:val="none"/>
        </w:rPr>
        <w:t xml:space="preserve">1、中小企业声明函（货物）</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本公司（联合体）郑重声明，根据《政府采购促进中小企业发展管理办法》（财库﹝2020﹞46 号）的规定，本公司（联合体）参加</w:t>
      </w:r>
      <w:r>
        <w:rPr>
          <w:rFonts w:ascii="仿宋" w:hAnsi="仿宋" w:eastAsia="仿宋" w:cs="仿宋"/>
          <w:i/>
          <w:color w:val="auto"/>
          <w:position w:val="-2"/>
          <w:sz w:val="24"/>
          <w:highlight w:val="none"/>
          <w:u w:val="single"/>
        </w:rPr>
        <w:t xml:space="preserve">（单位名称）</w:t>
      </w:r>
      <w:r>
        <w:rPr>
          <w:rFonts w:ascii="仿宋" w:hAnsi="仿宋" w:eastAsia="仿宋" w:cs="仿宋"/>
          <w:color w:val="auto"/>
          <w:position w:val="-2"/>
          <w:sz w:val="24"/>
          <w:highlight w:val="none"/>
        </w:rPr>
        <w:t xml:space="preserve">的</w:t>
      </w:r>
      <w:r>
        <w:rPr>
          <w:rFonts w:ascii="仿宋" w:hAnsi="仿宋" w:eastAsia="仿宋" w:cs="仿宋"/>
          <w:i/>
          <w:color w:val="auto"/>
          <w:position w:val="-2"/>
          <w:sz w:val="24"/>
          <w:highlight w:val="none"/>
          <w:u w:val="single"/>
        </w:rPr>
        <w:t xml:space="preserve">（项目名称）</w:t>
      </w:r>
      <w:r>
        <w:rPr>
          <w:rFonts w:ascii="仿宋" w:hAnsi="仿宋" w:eastAsia="仿宋" w:cs="仿宋"/>
          <w:color w:val="auto"/>
          <w:position w:val="-2"/>
          <w:sz w:val="24"/>
          <w:highlight w:val="none"/>
        </w:rPr>
        <w:t xml:space="preserve">采购活动，提供的货物全部由符合政策要求的中小企业制造。相关企业（含联合体中的中小企业、签订分包意向协议的中小企业） 的具体情况如下：</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1. </w:t>
      </w:r>
      <w:r>
        <w:rPr>
          <w:rFonts w:ascii="仿宋" w:hAnsi="仿宋" w:eastAsia="仿宋" w:cs="仿宋"/>
          <w:i/>
          <w:color w:val="auto"/>
          <w:position w:val="-2"/>
          <w:sz w:val="24"/>
          <w:highlight w:val="none"/>
          <w:u w:val="single"/>
        </w:rPr>
        <w:t xml:space="preserve">（标的名称）</w:t>
      </w:r>
      <w:r>
        <w:rPr>
          <w:rFonts w:ascii="仿宋" w:hAnsi="仿宋" w:eastAsia="仿宋" w:cs="仿宋"/>
          <w:color w:val="auto"/>
          <w:position w:val="-2"/>
          <w:sz w:val="24"/>
          <w:highlight w:val="none"/>
        </w:rPr>
        <w:t xml:space="preserve">，属于</w:t>
      </w:r>
      <w:r>
        <w:rPr>
          <w:rFonts w:ascii="仿宋" w:hAnsi="仿宋" w:eastAsia="仿宋" w:cs="仿宋"/>
          <w:i/>
          <w:color w:val="auto"/>
          <w:position w:val="-2"/>
          <w:sz w:val="24"/>
          <w:highlight w:val="none"/>
          <w:u w:val="single"/>
        </w:rPr>
        <w:t xml:space="preserve">（采购文件中明确的所属行业）</w:t>
      </w:r>
      <w:r>
        <w:rPr>
          <w:rFonts w:ascii="仿宋" w:hAnsi="仿宋" w:eastAsia="仿宋" w:cs="仿宋"/>
          <w:color w:val="auto"/>
          <w:position w:val="-2"/>
          <w:sz w:val="24"/>
          <w:highlight w:val="none"/>
        </w:rPr>
        <w:t xml:space="preserve">行业；制造商为</w:t>
      </w:r>
      <w:r>
        <w:rPr>
          <w:rFonts w:ascii="仿宋" w:hAnsi="仿宋" w:eastAsia="仿宋" w:cs="仿宋"/>
          <w:i/>
          <w:color w:val="auto"/>
          <w:position w:val="-2"/>
          <w:sz w:val="24"/>
          <w:highlight w:val="none"/>
          <w:u w:val="single"/>
        </w:rPr>
        <w:t xml:space="preserve">（企业名称）</w:t>
      </w:r>
      <w:r>
        <w:rPr>
          <w:rFonts w:ascii="仿宋" w:hAnsi="仿宋" w:eastAsia="仿宋" w:cs="仿宋"/>
          <w:color w:val="auto"/>
          <w:position w:val="-2"/>
          <w:sz w:val="24"/>
          <w:highlight w:val="none"/>
        </w:rPr>
        <w:t xml:space="preserve">，从业人员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人，营业收 入为</w:t>
      </w:r>
      <w:r>
        <w:rPr>
          <w:rFonts w:ascii="仿宋" w:hAnsi="仿宋" w:eastAsia="仿宋" w:cs="仿宋"/>
          <w:color w:val="auto"/>
          <w:position w:val="-2"/>
          <w:sz w:val="24"/>
          <w:highlight w:val="none"/>
          <w:u w:val="single"/>
        </w:rPr>
        <w:t xml:space="preserve"> </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 xml:space="preserve">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万元</w:t>
      </w:r>
      <w:r>
        <w:rPr>
          <w:rFonts w:ascii="仿宋" w:hAnsi="仿宋" w:eastAsia="仿宋" w:cs="仿宋"/>
          <w:color w:val="auto"/>
          <w:position w:val="-2"/>
          <w:sz w:val="24"/>
          <w:highlight w:val="none"/>
          <w:vertAlign w:val="superscript"/>
        </w:rPr>
        <w:t xml:space="preserve">1</w:t>
      </w:r>
      <w:r>
        <w:rPr>
          <w:rFonts w:ascii="仿宋" w:hAnsi="仿宋" w:eastAsia="仿宋" w:cs="仿宋"/>
          <w:color w:val="auto"/>
          <w:position w:val="-2"/>
          <w:sz w:val="24"/>
          <w:highlight w:val="none"/>
        </w:rPr>
        <w:t xml:space="preserve">，属于</w:t>
      </w:r>
      <w:r>
        <w:rPr>
          <w:rFonts w:ascii="仿宋" w:hAnsi="仿宋" w:eastAsia="仿宋" w:cs="仿宋"/>
          <w:i/>
          <w:color w:val="auto"/>
          <w:position w:val="-2"/>
          <w:sz w:val="24"/>
          <w:highlight w:val="none"/>
          <w:u w:val="single"/>
        </w:rPr>
        <w:t xml:space="preserve">（中型企业、小 型企业、微型企业）</w:t>
      </w:r>
      <w:r>
        <w:rPr>
          <w:rFonts w:ascii="仿宋" w:hAnsi="仿宋" w:eastAsia="仿宋" w:cs="仿宋"/>
          <w:color w:val="auto"/>
          <w:position w:val="-2"/>
          <w:sz w:val="24"/>
          <w:highlight w:val="none"/>
        </w:rPr>
        <w:t xml:space="preserve">；</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2. </w:t>
      </w:r>
      <w:r>
        <w:rPr>
          <w:rFonts w:ascii="仿宋" w:hAnsi="仿宋" w:eastAsia="仿宋" w:cs="仿宋"/>
          <w:i/>
          <w:color w:val="auto"/>
          <w:position w:val="-2"/>
          <w:sz w:val="24"/>
          <w:highlight w:val="none"/>
          <w:u w:val="single"/>
        </w:rPr>
        <w:t xml:space="preserve">（标的名称）</w:t>
      </w:r>
      <w:r>
        <w:rPr>
          <w:rFonts w:ascii="仿宋" w:hAnsi="仿宋" w:eastAsia="仿宋" w:cs="仿宋"/>
          <w:color w:val="auto"/>
          <w:position w:val="-2"/>
          <w:sz w:val="24"/>
          <w:highlight w:val="none"/>
        </w:rPr>
        <w:t xml:space="preserve">，属于</w:t>
      </w:r>
      <w:r>
        <w:rPr>
          <w:rFonts w:ascii="仿宋" w:hAnsi="仿宋" w:eastAsia="仿宋" w:cs="仿宋"/>
          <w:i/>
          <w:color w:val="auto"/>
          <w:position w:val="-2"/>
          <w:sz w:val="24"/>
          <w:highlight w:val="none"/>
          <w:u w:val="single"/>
        </w:rPr>
        <w:t xml:space="preserve">（采购文件中明确的所属行业） </w:t>
      </w:r>
      <w:r>
        <w:rPr>
          <w:rFonts w:ascii="仿宋" w:hAnsi="仿宋" w:eastAsia="仿宋" w:cs="仿宋"/>
          <w:color w:val="auto"/>
          <w:position w:val="-2"/>
          <w:sz w:val="24"/>
          <w:highlight w:val="none"/>
        </w:rPr>
        <w:t xml:space="preserve">行业；制造商为</w:t>
      </w:r>
      <w:r>
        <w:rPr>
          <w:rFonts w:ascii="仿宋" w:hAnsi="仿宋" w:eastAsia="仿宋" w:cs="仿宋"/>
          <w:i/>
          <w:color w:val="auto"/>
          <w:position w:val="-2"/>
          <w:sz w:val="24"/>
          <w:highlight w:val="none"/>
          <w:u w:val="single"/>
        </w:rPr>
        <w:t xml:space="preserve">（企业名称）</w:t>
      </w:r>
      <w:r>
        <w:rPr>
          <w:rFonts w:ascii="仿宋" w:hAnsi="仿宋" w:eastAsia="仿宋" w:cs="仿宋"/>
          <w:color w:val="auto"/>
          <w:position w:val="-2"/>
          <w:sz w:val="24"/>
          <w:highlight w:val="none"/>
        </w:rPr>
        <w:t xml:space="preserve">，从业人员</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人，营业收入为</w:t>
      </w:r>
      <w:r>
        <w:rPr>
          <w:rFonts w:hint="eastAsia"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rPr>
        <w:t xml:space="preserve">万元，资产总额为</w:t>
      </w:r>
      <w:r>
        <w:rPr>
          <w:rFonts w:ascii="仿宋" w:hAnsi="仿宋" w:eastAsia="仿宋" w:cs="仿宋"/>
          <w:color w:val="auto"/>
          <w:position w:val="-2"/>
          <w:sz w:val="24"/>
          <w:highlight w:val="none"/>
          <w:u w:val="single"/>
        </w:rPr>
        <w:t xml:space="preserve"> </w:t>
      </w:r>
      <w:r>
        <w:rPr>
          <w:rFonts w:ascii="仿宋" w:hAnsi="仿宋" w:eastAsia="仿宋" w:cs="仿宋"/>
          <w:color w:val="auto"/>
          <w:position w:val="-2"/>
          <w:sz w:val="24"/>
          <w:highlight w:val="none"/>
          <w:u w:val="single"/>
        </w:rPr>
        <w:tab/>
      </w:r>
      <w:r>
        <w:rPr>
          <w:rFonts w:ascii="仿宋" w:hAnsi="仿宋" w:eastAsia="仿宋" w:cs="仿宋"/>
          <w:color w:val="auto"/>
          <w:position w:val="-2"/>
          <w:sz w:val="24"/>
          <w:highlight w:val="none"/>
        </w:rPr>
        <w:t xml:space="preserve">万元，属于</w:t>
      </w:r>
      <w:r>
        <w:rPr>
          <w:rFonts w:ascii="仿宋" w:hAnsi="仿宋" w:eastAsia="仿宋" w:cs="仿宋"/>
          <w:i/>
          <w:color w:val="auto"/>
          <w:position w:val="-2"/>
          <w:sz w:val="24"/>
          <w:highlight w:val="none"/>
          <w:u w:val="single"/>
        </w:rPr>
        <w:t xml:space="preserve">（中型企业、小型 企业、微型企业）</w:t>
      </w:r>
      <w:r>
        <w:rPr>
          <w:rFonts w:ascii="仿宋" w:hAnsi="仿宋" w:eastAsia="仿宋" w:cs="仿宋"/>
          <w:color w:val="auto"/>
          <w:position w:val="-2"/>
          <w:sz w:val="24"/>
          <w:highlight w:val="none"/>
        </w:rPr>
        <w:t xml:space="preserve">；</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 </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以上企业，不属于大企业的分支机构，不存在控股股东为大企业的情形，也不存在与大企业的负责人为同一人的情 形。</w:t>
      </w:r>
      <w:r/>
    </w:p>
    <w:p>
      <w:pPr>
        <w:ind w:right="-20" w:firstLine="480"/>
        <w:spacing w:line="360" w:lineRule="auto"/>
        <w:rPr>
          <w:rFonts w:ascii="仿宋" w:hAnsi="仿宋" w:eastAsia="仿宋" w:cs="仿宋"/>
          <w:color w:val="auto"/>
          <w:position w:val="-2"/>
          <w:sz w:val="24"/>
          <w:highlight w:val="none"/>
        </w:rPr>
      </w:pPr>
      <w:r>
        <w:rPr>
          <w:rFonts w:ascii="仿宋" w:hAnsi="仿宋" w:eastAsia="仿宋" w:cs="仿宋"/>
          <w:color w:val="auto"/>
          <w:position w:val="-2"/>
          <w:sz w:val="24"/>
          <w:highlight w:val="none"/>
        </w:rPr>
        <w:t xml:space="preserve">本企业对上述声明内容的真实性负责。如有虚假，将依法承担相应责任。</w:t>
      </w:r>
      <w:r/>
    </w:p>
    <w:p>
      <w:pPr>
        <w:ind w:left="3960" w:right="2016"/>
        <w:spacing w:before="21"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企业名称（盖章）： </w:t>
      </w:r>
      <w:r/>
    </w:p>
    <w:p>
      <w:pPr>
        <w:ind w:left="3960" w:right="2016"/>
        <w:spacing w:before="21"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日</w:t>
      </w:r>
      <w:r>
        <w:rPr>
          <w:rFonts w:ascii="仿宋" w:hAnsi="仿宋" w:eastAsia="仿宋" w:cs="仿宋"/>
          <w:color w:val="auto"/>
          <w:spacing w:val="-88"/>
          <w:sz w:val="24"/>
          <w:highlight w:val="none"/>
        </w:rPr>
        <w:t xml:space="preserve"> </w:t>
      </w:r>
      <w:r>
        <w:rPr>
          <w:rFonts w:ascii="仿宋" w:hAnsi="仿宋" w:eastAsia="仿宋" w:cs="仿宋"/>
          <w:color w:val="auto"/>
          <w:sz w:val="24"/>
          <w:highlight w:val="none"/>
        </w:rPr>
        <w:t xml:space="preserve">期：</w:t>
      </w:r>
      <w:r/>
    </w:p>
    <w:p>
      <w:pPr>
        <w:ind w:right="-2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2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20"/>
        <w:spacing w:line="360" w:lineRule="auto"/>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 xml:space="preserve">1</w:t>
      </w:r>
      <w:r>
        <w:rPr>
          <w:rFonts w:hint="eastAsia" w:ascii="仿宋" w:hAnsi="仿宋" w:eastAsia="仿宋" w:cs="仿宋"/>
          <w:color w:val="auto"/>
          <w:position w:val="-2"/>
          <w:sz w:val="22"/>
          <w:highlight w:val="none"/>
        </w:rPr>
        <w:t xml:space="preserve">从业人员、营业收入、资产总额填报上一年度数据，无上一年度数据的新成立企业可不填报。</w:t>
      </w:r>
      <w:r/>
    </w:p>
    <w:p>
      <w:pPr>
        <w:ind w:right="-20" w:firstLine="440"/>
        <w:spacing w:line="360" w:lineRule="auto"/>
        <w:rPr>
          <w:rFonts w:ascii="仿宋" w:hAnsi="仿宋" w:eastAsia="仿宋" w:cs="仿宋"/>
          <w:color w:val="auto"/>
          <w:position w:val="-2"/>
          <w:sz w:val="22"/>
          <w:highlight w:val="none"/>
        </w:rPr>
        <w:sectPr>
          <w:footerReference w:type="default" r:id="rId15"/>
          <w:footnotePr/>
          <w:endnotePr/>
          <w:type w:val="nextPage"/>
          <w:pgSz w:w="11920" w:h="16840" w:orient="portrait"/>
          <w:pgMar w:top="1480" w:right="1440" w:bottom="1780" w:left="1680" w:header="0" w:footer="1595" w:gutter="0"/>
          <w:cols w:num="1" w:sep="0" w:space="720" w:equalWidth="1"/>
          <w:docGrid w:linePitch="360"/>
        </w:sectPr>
      </w:pPr>
      <w:r>
        <w:rPr>
          <w:rFonts w:ascii="仿宋" w:hAnsi="仿宋" w:eastAsia="仿宋" w:cs="仿宋"/>
          <w:color w:val="auto"/>
          <w:position w:val="-2"/>
          <w:sz w:val="22"/>
          <w:highlight w:val="none"/>
        </w:rPr>
      </w:r>
      <w:r/>
    </w:p>
    <w:p>
      <w:pPr>
        <w:ind w:right="-20"/>
        <w:jc w:val="center"/>
        <w:spacing w:line="360" w:lineRule="auto"/>
        <w:rPr>
          <w:rFonts w:ascii="仿宋" w:hAnsi="仿宋" w:eastAsia="仿宋" w:cs="宋体"/>
          <w:color w:val="auto"/>
          <w:sz w:val="24"/>
          <w:highlight w:val="none"/>
        </w:rPr>
      </w:pPr>
      <w:r>
        <w:rPr>
          <w:rFonts w:ascii="仿宋" w:hAnsi="仿宋" w:eastAsia="仿宋" w:cs="宋体"/>
          <w:color w:val="auto"/>
          <w:spacing w:val="2"/>
          <w:position w:val="-3"/>
          <w:sz w:val="24"/>
          <w:highlight w:val="none"/>
        </w:rPr>
        <w:t xml:space="preserve">中</w:t>
      </w:r>
      <w:r>
        <w:rPr>
          <w:rFonts w:ascii="仿宋" w:hAnsi="仿宋" w:eastAsia="仿宋" w:cs="宋体"/>
          <w:color w:val="auto"/>
          <w:position w:val="-3"/>
          <w:sz w:val="24"/>
          <w:highlight w:val="none"/>
        </w:rPr>
        <w:t xml:space="preserve">小</w:t>
      </w:r>
      <w:r>
        <w:rPr>
          <w:rFonts w:ascii="仿宋" w:hAnsi="仿宋" w:eastAsia="仿宋" w:cs="宋体"/>
          <w:color w:val="auto"/>
          <w:spacing w:val="2"/>
          <w:position w:val="-3"/>
          <w:sz w:val="24"/>
          <w:highlight w:val="none"/>
        </w:rPr>
        <w:t xml:space="preserve">企</w:t>
      </w:r>
      <w:r>
        <w:rPr>
          <w:rFonts w:ascii="仿宋" w:hAnsi="仿宋" w:eastAsia="仿宋" w:cs="宋体"/>
          <w:color w:val="auto"/>
          <w:position w:val="-3"/>
          <w:sz w:val="24"/>
          <w:highlight w:val="none"/>
        </w:rPr>
        <w:t xml:space="preserve">业</w:t>
      </w:r>
      <w:r>
        <w:rPr>
          <w:rFonts w:ascii="仿宋" w:hAnsi="仿宋" w:eastAsia="仿宋" w:cs="宋体"/>
          <w:color w:val="auto"/>
          <w:spacing w:val="2"/>
          <w:position w:val="-3"/>
          <w:sz w:val="24"/>
          <w:highlight w:val="none"/>
        </w:rPr>
        <w:t xml:space="preserve">声明</w:t>
      </w:r>
      <w:r>
        <w:rPr>
          <w:rFonts w:ascii="仿宋" w:hAnsi="仿宋" w:eastAsia="仿宋" w:cs="宋体"/>
          <w:color w:val="auto"/>
          <w:position w:val="-3"/>
          <w:sz w:val="24"/>
          <w:highlight w:val="none"/>
        </w:rPr>
        <w:t xml:space="preserve">函</w:t>
      </w:r>
      <w:r>
        <w:rPr>
          <w:rFonts w:ascii="仿宋" w:hAnsi="仿宋" w:eastAsia="仿宋" w:cs="宋体"/>
          <w:color w:val="auto"/>
          <w:spacing w:val="2"/>
          <w:position w:val="-3"/>
          <w:sz w:val="24"/>
          <w:highlight w:val="none"/>
        </w:rPr>
        <w:t xml:space="preserve">（</w:t>
      </w:r>
      <w:r>
        <w:rPr>
          <w:rFonts w:ascii="仿宋" w:hAnsi="仿宋" w:eastAsia="仿宋" w:cs="宋体"/>
          <w:color w:val="auto"/>
          <w:position w:val="-3"/>
          <w:sz w:val="24"/>
          <w:highlight w:val="none"/>
        </w:rPr>
        <w:t xml:space="preserve">工</w:t>
      </w:r>
      <w:r>
        <w:rPr>
          <w:rFonts w:ascii="仿宋" w:hAnsi="仿宋" w:eastAsia="仿宋" w:cs="宋体"/>
          <w:color w:val="auto"/>
          <w:spacing w:val="2"/>
          <w:position w:val="-3"/>
          <w:sz w:val="24"/>
          <w:highlight w:val="none"/>
        </w:rPr>
        <w:t xml:space="preserve">程</w:t>
      </w:r>
      <w:r>
        <w:rPr>
          <w:rFonts w:ascii="仿宋" w:hAnsi="仿宋" w:eastAsia="仿宋" w:cs="宋体"/>
          <w:color w:val="auto"/>
          <w:position w:val="-3"/>
          <w:sz w:val="24"/>
          <w:highlight w:val="none"/>
        </w:rPr>
        <w:t xml:space="preserve">、</w:t>
      </w:r>
      <w:r>
        <w:rPr>
          <w:rFonts w:ascii="仿宋" w:hAnsi="仿宋" w:eastAsia="仿宋" w:cs="宋体"/>
          <w:color w:val="auto"/>
          <w:spacing w:val="2"/>
          <w:position w:val="-3"/>
          <w:sz w:val="24"/>
          <w:highlight w:val="none"/>
        </w:rPr>
        <w:t xml:space="preserve">服务</w:t>
      </w:r>
      <w:r>
        <w:rPr>
          <w:rFonts w:ascii="仿宋" w:hAnsi="仿宋" w:eastAsia="仿宋" w:cs="宋体"/>
          <w:color w:val="auto"/>
          <w:position w:val="-3"/>
          <w:sz w:val="24"/>
          <w:highlight w:val="none"/>
        </w:rPr>
        <w:t xml:space="preserve">）</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本公司（联合体）郑重声明，根据《政府采购促进中小 企业发展管理办法》（财库﹝2020﹞46 号）的规定，本公司（联合体）参加</w:t>
      </w:r>
      <w:r>
        <w:rPr>
          <w:rFonts w:ascii="仿宋" w:hAnsi="仿宋" w:eastAsia="仿宋" w:cs="仿宋"/>
          <w:i/>
          <w:color w:val="auto"/>
          <w:spacing w:val="3"/>
          <w:sz w:val="24"/>
          <w:highlight w:val="none"/>
          <w:u w:val="single"/>
        </w:rPr>
        <w:t xml:space="preserve">（单位名称）</w:t>
      </w:r>
      <w:r>
        <w:rPr>
          <w:rFonts w:ascii="仿宋" w:hAnsi="仿宋" w:eastAsia="仿宋" w:cs="仿宋"/>
          <w:color w:val="auto"/>
          <w:spacing w:val="3"/>
          <w:sz w:val="24"/>
          <w:highlight w:val="none"/>
        </w:rPr>
        <w:t xml:space="preserve">的</w:t>
      </w:r>
      <w:r>
        <w:rPr>
          <w:rFonts w:ascii="仿宋" w:hAnsi="仿宋" w:eastAsia="仿宋" w:cs="仿宋"/>
          <w:i/>
          <w:color w:val="auto"/>
          <w:spacing w:val="3"/>
          <w:sz w:val="24"/>
          <w:highlight w:val="none"/>
          <w:u w:val="single"/>
        </w:rPr>
        <w:t xml:space="preserve">（项目名称）</w:t>
      </w:r>
      <w:r>
        <w:rPr>
          <w:rFonts w:ascii="仿宋" w:hAnsi="仿宋" w:eastAsia="仿宋" w:cs="仿宋"/>
          <w:color w:val="auto"/>
          <w:spacing w:val="3"/>
          <w:sz w:val="24"/>
          <w:highlight w:val="none"/>
        </w:rPr>
        <w:t xml:space="preserve">采购活动，工程的施工单位全部为符合政策要求的中小企业（或者：服务全部由符合政策要求的中小企业承接）。相关企业（含联合 体中的中小企业、签订分包意向协议的中小企业）的具体情 况如下：</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1. </w:t>
      </w:r>
      <w:r>
        <w:rPr>
          <w:rFonts w:ascii="仿宋" w:hAnsi="仿宋" w:eastAsia="仿宋" w:cs="仿宋"/>
          <w:i/>
          <w:color w:val="auto"/>
          <w:spacing w:val="3"/>
          <w:sz w:val="24"/>
          <w:highlight w:val="none"/>
          <w:u w:val="single"/>
        </w:rPr>
        <w:t xml:space="preserve">（标的名称）</w:t>
      </w:r>
      <w:r>
        <w:rPr>
          <w:rFonts w:ascii="仿宋" w:hAnsi="仿宋" w:eastAsia="仿宋" w:cs="仿宋"/>
          <w:color w:val="auto"/>
          <w:spacing w:val="3"/>
          <w:sz w:val="24"/>
          <w:highlight w:val="none"/>
        </w:rPr>
        <w:t xml:space="preserve">，属于</w:t>
      </w:r>
      <w:r>
        <w:rPr>
          <w:rFonts w:ascii="仿宋" w:hAnsi="仿宋" w:eastAsia="仿宋" w:cs="仿宋"/>
          <w:i/>
          <w:color w:val="auto"/>
          <w:spacing w:val="3"/>
          <w:sz w:val="24"/>
          <w:highlight w:val="none"/>
          <w:u w:val="single"/>
        </w:rPr>
        <w:t xml:space="preserve">（采购文件中明确的所属行业）</w:t>
      </w:r>
      <w:r>
        <w:rPr>
          <w:rFonts w:ascii="仿宋" w:hAnsi="仿宋" w:eastAsia="仿宋" w:cs="仿宋"/>
          <w:color w:val="auto"/>
          <w:spacing w:val="3"/>
          <w:sz w:val="24"/>
          <w:highlight w:val="none"/>
        </w:rPr>
        <w:t xml:space="preserve">； 承建（承接）企业为</w:t>
      </w:r>
      <w:r>
        <w:rPr>
          <w:rFonts w:ascii="仿宋" w:hAnsi="仿宋" w:eastAsia="仿宋" w:cs="仿宋"/>
          <w:i/>
          <w:color w:val="auto"/>
          <w:spacing w:val="3"/>
          <w:sz w:val="24"/>
          <w:highlight w:val="none"/>
          <w:u w:val="single"/>
        </w:rPr>
        <w:t xml:space="preserve">（企业名称）</w:t>
      </w:r>
      <w:r>
        <w:rPr>
          <w:rFonts w:ascii="仿宋" w:hAnsi="仿宋" w:eastAsia="仿宋" w:cs="仿宋"/>
          <w:color w:val="auto"/>
          <w:spacing w:val="3"/>
          <w:sz w:val="24"/>
          <w:highlight w:val="none"/>
        </w:rPr>
        <w:t xml:space="preserve">，从业人员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w:t>
      </w:r>
      <w:r>
        <w:rPr>
          <w:rFonts w:ascii="仿宋" w:hAnsi="仿宋" w:eastAsia="仿宋" w:cs="仿宋"/>
          <w:color w:val="auto"/>
          <w:spacing w:val="3"/>
          <w:sz w:val="24"/>
          <w:highlight w:val="none"/>
          <w:vertAlign w:val="superscript"/>
        </w:rPr>
        <w:t xml:space="preserve">1</w:t>
      </w:r>
      <w:r>
        <w:rPr>
          <w:rFonts w:ascii="仿宋" w:hAnsi="仿宋" w:eastAsia="仿宋" w:cs="仿宋"/>
          <w:color w:val="auto"/>
          <w:spacing w:val="3"/>
          <w:sz w:val="24"/>
          <w:highlight w:val="none"/>
        </w:rPr>
        <w:t xml:space="preserve">，属于</w:t>
      </w:r>
      <w:r>
        <w:rPr>
          <w:rFonts w:ascii="仿宋" w:hAnsi="仿宋" w:eastAsia="仿宋" w:cs="仿宋"/>
          <w:i/>
          <w:color w:val="auto"/>
          <w:spacing w:val="3"/>
          <w:sz w:val="24"/>
          <w:highlight w:val="none"/>
          <w:u w:val="single"/>
        </w:rPr>
        <w:t xml:space="preserve">（中型企业、 小型企业、微型企业）</w:t>
      </w:r>
      <w:r>
        <w:rPr>
          <w:rFonts w:ascii="仿宋" w:hAnsi="仿宋" w:eastAsia="仿宋" w:cs="仿宋"/>
          <w:color w:val="auto"/>
          <w:spacing w:val="3"/>
          <w:sz w:val="24"/>
          <w:highlight w:val="none"/>
        </w:rPr>
        <w:t xml:space="preserve">；</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2. </w:t>
      </w:r>
      <w:r>
        <w:rPr>
          <w:rFonts w:ascii="仿宋" w:hAnsi="仿宋" w:eastAsia="仿宋" w:cs="仿宋"/>
          <w:i/>
          <w:color w:val="auto"/>
          <w:spacing w:val="3"/>
          <w:sz w:val="24"/>
          <w:highlight w:val="none"/>
          <w:u w:val="single"/>
        </w:rPr>
        <w:t xml:space="preserve">（标的名称）</w:t>
      </w:r>
      <w:r>
        <w:rPr>
          <w:rFonts w:ascii="仿宋" w:hAnsi="仿宋" w:eastAsia="仿宋" w:cs="仿宋"/>
          <w:color w:val="auto"/>
          <w:spacing w:val="3"/>
          <w:sz w:val="24"/>
          <w:highlight w:val="none"/>
        </w:rPr>
        <w:t xml:space="preserve">，属于</w:t>
      </w:r>
      <w:r>
        <w:rPr>
          <w:rFonts w:ascii="仿宋" w:hAnsi="仿宋" w:eastAsia="仿宋" w:cs="仿宋"/>
          <w:i/>
          <w:color w:val="auto"/>
          <w:spacing w:val="3"/>
          <w:sz w:val="24"/>
          <w:highlight w:val="none"/>
          <w:u w:val="single"/>
        </w:rPr>
        <w:t xml:space="preserve">（采购文件中明确的所属行业）</w:t>
      </w:r>
      <w:r>
        <w:rPr>
          <w:rFonts w:ascii="仿宋" w:hAnsi="仿宋" w:eastAsia="仿宋" w:cs="仿宋"/>
          <w:color w:val="auto"/>
          <w:spacing w:val="3"/>
          <w:sz w:val="24"/>
          <w:highlight w:val="none"/>
        </w:rPr>
        <w:t xml:space="preserve">； 承建（承接）企业为</w:t>
      </w:r>
      <w:r>
        <w:rPr>
          <w:rFonts w:ascii="仿宋" w:hAnsi="仿宋" w:eastAsia="仿宋" w:cs="仿宋"/>
          <w:i/>
          <w:color w:val="auto"/>
          <w:spacing w:val="3"/>
          <w:sz w:val="24"/>
          <w:highlight w:val="none"/>
          <w:u w:val="single"/>
        </w:rPr>
        <w:t xml:space="preserve">（企业名称）</w:t>
      </w:r>
      <w:r>
        <w:rPr>
          <w:rFonts w:ascii="仿宋" w:hAnsi="仿宋" w:eastAsia="仿宋" w:cs="仿宋"/>
          <w:color w:val="auto"/>
          <w:spacing w:val="3"/>
          <w:sz w:val="24"/>
          <w:highlight w:val="none"/>
        </w:rPr>
        <w:t xml:space="preserve">，从业人员</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人，营业 收入为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万元，资产总额为</w:t>
      </w:r>
      <w:r>
        <w:rPr>
          <w:rFonts w:ascii="仿宋" w:hAnsi="仿宋" w:eastAsia="仿宋" w:cs="仿宋"/>
          <w:color w:val="auto"/>
          <w:spacing w:val="3"/>
          <w:sz w:val="24"/>
          <w:highlight w:val="none"/>
          <w:u w:val="single"/>
        </w:rPr>
        <w:t xml:space="preserve"> </w:t>
      </w:r>
      <w:r>
        <w:rPr>
          <w:rFonts w:ascii="仿宋" w:hAnsi="仿宋" w:eastAsia="仿宋" w:cs="仿宋"/>
          <w:color w:val="auto"/>
          <w:spacing w:val="3"/>
          <w:sz w:val="24"/>
          <w:highlight w:val="none"/>
          <w:u w:val="single"/>
        </w:rPr>
        <w:tab/>
      </w:r>
      <w:r>
        <w:rPr>
          <w:rFonts w:ascii="仿宋" w:hAnsi="仿宋" w:eastAsia="仿宋" w:cs="仿宋"/>
          <w:color w:val="auto"/>
          <w:spacing w:val="3"/>
          <w:sz w:val="24"/>
          <w:highlight w:val="none"/>
        </w:rPr>
        <w:t xml:space="preserve">万元，属于</w:t>
      </w:r>
      <w:r>
        <w:rPr>
          <w:rFonts w:ascii="仿宋" w:hAnsi="仿宋" w:eastAsia="仿宋" w:cs="仿宋"/>
          <w:i/>
          <w:color w:val="auto"/>
          <w:spacing w:val="3"/>
          <w:sz w:val="24"/>
          <w:highlight w:val="none"/>
          <w:u w:val="single"/>
        </w:rPr>
        <w:t xml:space="preserve">（中型企业、 小型企业、微型企业）</w:t>
      </w:r>
      <w:r>
        <w:rPr>
          <w:rFonts w:ascii="仿宋" w:hAnsi="仿宋" w:eastAsia="仿宋" w:cs="仿宋"/>
          <w:color w:val="auto"/>
          <w:spacing w:val="3"/>
          <w:sz w:val="24"/>
          <w:highlight w:val="none"/>
        </w:rPr>
        <w:t xml:space="preserve">；</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 </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以上企业，不属于大企业的分支机构，不存在控股股东为大企业的情形，也不存在与大企业的负责人为同一人的情 形。</w:t>
      </w:r>
      <w:r/>
    </w:p>
    <w:p>
      <w:pPr>
        <w:ind w:left="120" w:right="207" w:firstLine="641"/>
        <w:spacing w:line="360" w:lineRule="auto"/>
        <w:rPr>
          <w:rFonts w:ascii="仿宋" w:hAnsi="仿宋" w:eastAsia="仿宋" w:cs="仿宋"/>
          <w:color w:val="auto"/>
          <w:spacing w:val="3"/>
          <w:sz w:val="24"/>
          <w:highlight w:val="none"/>
        </w:rPr>
      </w:pPr>
      <w:r>
        <w:rPr>
          <w:rFonts w:ascii="仿宋" w:hAnsi="仿宋" w:eastAsia="仿宋" w:cs="仿宋"/>
          <w:color w:val="auto"/>
          <w:spacing w:val="3"/>
          <w:sz w:val="24"/>
          <w:highlight w:val="none"/>
        </w:rPr>
        <w:t xml:space="preserve">本企业对上述声明内容的真实性负责。如有虚假，将依法承担相应责任。</w:t>
      </w:r>
      <w:r/>
    </w:p>
    <w:p>
      <w:pPr>
        <w:spacing w:before="3" w:line="360" w:lineRule="auto"/>
        <w:rPr>
          <w:rFonts w:ascii="仿宋" w:hAnsi="仿宋" w:eastAsia="仿宋"/>
          <w:color w:val="auto"/>
          <w:sz w:val="24"/>
          <w:highlight w:val="none"/>
        </w:rPr>
      </w:pPr>
      <w:r>
        <w:rPr>
          <w:rFonts w:ascii="仿宋" w:hAnsi="仿宋" w:eastAsia="仿宋"/>
          <w:color w:val="auto"/>
          <w:sz w:val="24"/>
          <w:highlight w:val="none"/>
        </w:rPr>
      </w:r>
      <w:r/>
    </w:p>
    <w:p>
      <w:pPr>
        <w:ind w:left="3960" w:right="-20"/>
        <w:spacing w:line="360" w:lineRule="auto"/>
        <w:rPr>
          <w:rFonts w:ascii="仿宋" w:hAnsi="仿宋" w:eastAsia="仿宋" w:cs="仿宋"/>
          <w:color w:val="auto"/>
          <w:sz w:val="24"/>
          <w:highlight w:val="none"/>
        </w:rPr>
      </w:pPr>
      <w:r>
        <w:rPr>
          <w:rFonts w:ascii="仿宋" w:hAnsi="仿宋" w:eastAsia="仿宋" w:cs="仿宋"/>
          <w:color w:val="auto"/>
          <w:position w:val="-2"/>
          <w:sz w:val="24"/>
          <w:highlight w:val="none"/>
        </w:rPr>
        <w:t xml:space="preserve">企</w:t>
      </w:r>
      <w:r>
        <w:rPr>
          <w:rFonts w:ascii="仿宋" w:hAnsi="仿宋" w:eastAsia="仿宋" w:cs="仿宋"/>
          <w:color w:val="auto"/>
          <w:spacing w:val="3"/>
          <w:position w:val="-2"/>
          <w:sz w:val="24"/>
          <w:highlight w:val="none"/>
        </w:rPr>
        <w:t xml:space="preserve">业</w:t>
      </w:r>
      <w:r>
        <w:rPr>
          <w:rFonts w:ascii="仿宋" w:hAnsi="仿宋" w:eastAsia="仿宋" w:cs="仿宋"/>
          <w:color w:val="auto"/>
          <w:position w:val="-2"/>
          <w:sz w:val="24"/>
          <w:highlight w:val="none"/>
        </w:rPr>
        <w:t xml:space="preserve">名称</w:t>
      </w:r>
      <w:r>
        <w:rPr>
          <w:rFonts w:ascii="仿宋" w:hAnsi="仿宋" w:eastAsia="仿宋" w:cs="仿宋"/>
          <w:color w:val="auto"/>
          <w:spacing w:val="3"/>
          <w:position w:val="-2"/>
          <w:sz w:val="24"/>
          <w:highlight w:val="none"/>
        </w:rPr>
        <w:t xml:space="preserve">（</w:t>
      </w:r>
      <w:r>
        <w:rPr>
          <w:rFonts w:ascii="仿宋" w:hAnsi="仿宋" w:eastAsia="仿宋" w:cs="仿宋"/>
          <w:color w:val="auto"/>
          <w:position w:val="-2"/>
          <w:sz w:val="24"/>
          <w:highlight w:val="none"/>
        </w:rPr>
        <w:t xml:space="preserve">盖章</w:t>
      </w:r>
      <w:r>
        <w:rPr>
          <w:rFonts w:ascii="仿宋" w:hAnsi="仿宋" w:eastAsia="仿宋" w:cs="仿宋"/>
          <w:color w:val="auto"/>
          <w:spacing w:val="-158"/>
          <w:position w:val="-2"/>
          <w:sz w:val="24"/>
          <w:highlight w:val="none"/>
        </w:rPr>
        <w:t xml:space="preserve">）</w:t>
      </w:r>
      <w:r>
        <w:rPr>
          <w:rFonts w:ascii="仿宋" w:hAnsi="仿宋" w:eastAsia="仿宋" w:cs="仿宋"/>
          <w:color w:val="auto"/>
          <w:position w:val="-2"/>
          <w:sz w:val="24"/>
          <w:highlight w:val="none"/>
        </w:rPr>
        <w:t xml:space="preserve">：</w:t>
      </w:r>
      <w:r/>
    </w:p>
    <w:p>
      <w:pPr>
        <w:ind w:left="3916" w:right="3673"/>
        <w:spacing w:before="68" w:line="360" w:lineRule="auto"/>
        <w:rPr>
          <w:rFonts w:ascii="仿宋" w:hAnsi="仿宋" w:eastAsia="仿宋" w:cs="仿宋"/>
          <w:color w:val="auto"/>
          <w:sz w:val="24"/>
          <w:highlight w:val="none"/>
        </w:rPr>
      </w:pPr>
      <w:r>
        <w:rPr>
          <w:rFonts w:ascii="仿宋" w:hAnsi="仿宋" w:eastAsia="仿宋" w:cs="仿宋"/>
          <w:color w:val="auto"/>
          <w:sz w:val="24"/>
          <w:highlight w:val="none"/>
        </w:rPr>
        <w:t xml:space="preserve">日</w:t>
      </w:r>
      <w:r>
        <w:rPr>
          <w:rFonts w:ascii="仿宋" w:hAnsi="仿宋" w:eastAsia="仿宋" w:cs="仿宋"/>
          <w:color w:val="auto"/>
          <w:spacing w:val="-88"/>
          <w:sz w:val="24"/>
          <w:highlight w:val="none"/>
        </w:rPr>
        <w:t xml:space="preserve"> </w:t>
      </w:r>
      <w:r>
        <w:rPr>
          <w:rFonts w:ascii="仿宋" w:hAnsi="仿宋" w:eastAsia="仿宋" w:cs="仿宋"/>
          <w:color w:val="auto"/>
          <w:sz w:val="24"/>
          <w:highlight w:val="none"/>
        </w:rPr>
        <w:t xml:space="preserve">期：</w:t>
      </w:r>
      <w:r/>
    </w:p>
    <w:p>
      <w:pPr>
        <w:jc w:val="cente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right="-20"/>
        <w:spacing w:line="360" w:lineRule="auto"/>
        <w:rPr>
          <w:rFonts w:ascii="仿宋" w:hAnsi="仿宋" w:eastAsia="仿宋" w:cs="仿宋"/>
          <w:color w:val="auto"/>
          <w:position w:val="-2"/>
          <w:sz w:val="22"/>
          <w:highlight w:val="none"/>
        </w:rPr>
      </w:pPr>
      <w:r>
        <w:rPr>
          <w:rFonts w:hint="eastAsia" w:ascii="仿宋" w:hAnsi="仿宋" w:eastAsia="仿宋" w:cs="仿宋"/>
          <w:color w:val="auto"/>
          <w:position w:val="-2"/>
          <w:sz w:val="22"/>
          <w:highlight w:val="none"/>
          <w:vertAlign w:val="superscript"/>
        </w:rPr>
        <w:t xml:space="preserve">1</w:t>
      </w:r>
      <w:r>
        <w:rPr>
          <w:rFonts w:hint="eastAsia" w:ascii="仿宋" w:hAnsi="仿宋" w:eastAsia="仿宋" w:cs="仿宋"/>
          <w:color w:val="auto"/>
          <w:position w:val="-2"/>
          <w:sz w:val="22"/>
          <w:highlight w:val="none"/>
        </w:rPr>
        <w:t xml:space="preserve">从业人员、营业收入、资产总额填报上一年度数据，无上一年度数据的新成立企业可不填报。</w:t>
      </w:r>
      <w:r/>
    </w:p>
    <w:p>
      <w:pPr>
        <w:ind w:right="-20"/>
        <w:spacing w:line="360" w:lineRule="auto"/>
        <w:rPr>
          <w:rFonts w:ascii="仿宋" w:hAnsi="仿宋" w:eastAsia="仿宋" w:cs="仿宋"/>
          <w:color w:val="auto"/>
          <w:position w:val="-2"/>
          <w:sz w:val="22"/>
          <w:highlight w:val="none"/>
          <w:vertAlign w:val="superscript"/>
        </w:rPr>
      </w:pPr>
      <w:r>
        <w:rPr>
          <w:rFonts w:ascii="仿宋" w:hAnsi="仿宋" w:eastAsia="仿宋" w:cs="仿宋"/>
          <w:color w:val="auto"/>
          <w:position w:val="-2"/>
          <w:sz w:val="22"/>
          <w:highlight w:val="none"/>
          <w:vertAlign w:val="superscript"/>
        </w:rPr>
      </w:r>
      <w:r/>
    </w:p>
    <w:p>
      <w:pPr>
        <w:ind w:right="-20"/>
        <w:jc w:val="center"/>
        <w:spacing w:line="360" w:lineRule="auto"/>
        <w:rPr>
          <w:rFonts w:ascii="仿宋" w:hAnsi="仿宋" w:eastAsia="仿宋" w:cs="宋体"/>
          <w:color w:val="auto"/>
          <w:spacing w:val="2"/>
          <w:position w:val="-3"/>
          <w:sz w:val="24"/>
          <w:highlight w:val="none"/>
        </w:rPr>
      </w:pPr>
      <w:r>
        <w:rPr>
          <w:rFonts w:hint="eastAsia" w:ascii="仿宋" w:hAnsi="仿宋" w:eastAsia="仿宋" w:cs="仿宋"/>
          <w:color w:val="auto"/>
          <w:position w:val="-2"/>
          <w:sz w:val="22"/>
          <w:highlight w:val="none"/>
        </w:rPr>
        <w:t xml:space="preserve">备注：</w:t>
      </w:r>
      <w:r>
        <w:rPr>
          <w:rFonts w:ascii="仿宋" w:hAnsi="仿宋" w:eastAsia="仿宋" w:cs="仿宋"/>
          <w:color w:val="auto"/>
          <w:position w:val="-2"/>
          <w:sz w:val="22"/>
          <w:highlight w:val="none"/>
        </w:rPr>
        <w:t xml:space="preserve">1.</w:t>
      </w:r>
      <w:r>
        <w:rPr>
          <w:rFonts w:hint="eastAsia" w:ascii="仿宋" w:hAnsi="仿宋" w:eastAsia="仿宋" w:cs="仿宋"/>
          <w:color w:val="auto"/>
          <w:position w:val="-2"/>
          <w:sz w:val="22"/>
          <w:highlight w:val="none"/>
        </w:rPr>
        <w:t xml:space="preserve">填写前请认真阅读《工业和信息化部　国家统计局　国家发展和改革委员会　财政部关于印发中小企业划型标准规定的通知》</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工信部联企业〔</w:t>
      </w:r>
      <w:r>
        <w:rPr>
          <w:rFonts w:ascii="仿宋" w:hAnsi="仿宋" w:eastAsia="仿宋" w:cs="仿宋"/>
          <w:color w:val="auto"/>
          <w:position w:val="-2"/>
          <w:sz w:val="22"/>
          <w:highlight w:val="none"/>
        </w:rPr>
        <w:t xml:space="preserve">2011</w:t>
      </w:r>
      <w:r>
        <w:rPr>
          <w:rFonts w:hint="eastAsia" w:ascii="仿宋" w:hAnsi="仿宋" w:eastAsia="仿宋" w:cs="仿宋"/>
          <w:color w:val="auto"/>
          <w:position w:val="-2"/>
          <w:sz w:val="22"/>
          <w:highlight w:val="none"/>
        </w:rPr>
        <w:t xml:space="preserve">〕</w:t>
      </w:r>
      <w:r>
        <w:rPr>
          <w:rFonts w:ascii="仿宋" w:hAnsi="仿宋" w:eastAsia="仿宋" w:cs="仿宋"/>
          <w:color w:val="auto"/>
          <w:position w:val="-2"/>
          <w:sz w:val="22"/>
          <w:highlight w:val="none"/>
        </w:rPr>
        <w:t xml:space="preserve">300</w:t>
      </w:r>
      <w:r>
        <w:rPr>
          <w:rFonts w:hint="eastAsia" w:ascii="仿宋" w:hAnsi="仿宋" w:eastAsia="仿宋" w:cs="仿宋"/>
          <w:color w:val="auto"/>
          <w:position w:val="-2"/>
          <w:sz w:val="22"/>
          <w:highlight w:val="none"/>
        </w:rPr>
        <w:t xml:space="preserve">号</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和《财政部、工业和信息化部关于印发《政府采购促进中小企业发展管理办法》的通知》</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财库〔2020〕46号</w:t>
      </w:r>
      <w:r>
        <w:rPr>
          <w:rFonts w:ascii="仿宋" w:hAnsi="仿宋" w:eastAsia="仿宋" w:cs="仿宋"/>
          <w:color w:val="auto"/>
          <w:position w:val="-2"/>
          <w:sz w:val="22"/>
          <w:highlight w:val="none"/>
        </w:rPr>
        <w:t xml:space="preserve">)</w:t>
      </w:r>
      <w:r>
        <w:rPr>
          <w:rFonts w:hint="eastAsia" w:ascii="仿宋" w:hAnsi="仿宋" w:eastAsia="仿宋" w:cs="仿宋"/>
          <w:color w:val="auto"/>
          <w:position w:val="-2"/>
          <w:sz w:val="22"/>
          <w:highlight w:val="none"/>
        </w:rPr>
        <w:t xml:space="preserve">相关规定。</w:t>
      </w:r>
      <w:r>
        <w:rPr>
          <w:rFonts w:hint="eastAsia" w:ascii="仿宋" w:hAnsi="仿宋" w:eastAsia="仿宋" w:cs="仿宋"/>
          <w:color w:val="auto"/>
          <w:position w:val="-2"/>
          <w:sz w:val="22"/>
          <w:highlight w:val="none"/>
        </w:rPr>
        <w:br w:type="page" w:clear="all"/>
      </w:r>
      <w:bookmarkStart w:id="371" w:name="_Toc8742837"/>
      <w:r/>
      <w:bookmarkStart w:id="372" w:name="_Toc11678074"/>
      <w:r/>
      <w:bookmarkStart w:id="373" w:name="_Toc522290170"/>
      <w:r/>
      <w:bookmarkStart w:id="374" w:name="_Toc520719712"/>
      <w:r/>
      <w:bookmarkStart w:id="375" w:name="_Toc10472939"/>
      <w:r/>
      <w:bookmarkStart w:id="376" w:name="_Toc17097047"/>
      <w:r/>
      <w:bookmarkStart w:id="377" w:name="_Toc9515973"/>
      <w:r/>
      <w:bookmarkStart w:id="378" w:name="_Toc525720152"/>
      <w:r/>
      <w:bookmarkStart w:id="379" w:name="_Toc13233099"/>
      <w:r>
        <w:rPr>
          <w:rFonts w:hint="eastAsia" w:ascii="仿宋" w:hAnsi="仿宋" w:eastAsia="仿宋" w:cs="宋体"/>
          <w:color w:val="auto"/>
          <w:spacing w:val="2"/>
          <w:position w:val="-3"/>
          <w:sz w:val="24"/>
          <w:highlight w:val="none"/>
        </w:rPr>
        <w:t xml:space="preserve">2.</w:t>
      </w:r>
      <w:bookmarkEnd w:id="371"/>
      <w:r/>
      <w:bookmarkEnd w:id="372"/>
      <w:r/>
      <w:bookmarkEnd w:id="373"/>
      <w:r/>
      <w:bookmarkEnd w:id="374"/>
      <w:r/>
      <w:bookmarkEnd w:id="375"/>
      <w:r/>
      <w:bookmarkEnd w:id="376"/>
      <w:r/>
      <w:bookmarkEnd w:id="377"/>
      <w:r/>
      <w:bookmarkEnd w:id="378"/>
      <w:r/>
      <w:bookmarkEnd w:id="379"/>
      <w:r/>
      <w:bookmarkStart w:id="380" w:name="_Toc11678075"/>
      <w:r/>
      <w:bookmarkStart w:id="381" w:name="_Toc17097048"/>
      <w:r/>
      <w:bookmarkStart w:id="382" w:name="_Toc8742838"/>
      <w:r/>
      <w:bookmarkStart w:id="383" w:name="_Toc10472940"/>
      <w:r/>
      <w:bookmarkStart w:id="384" w:name="_Toc525720153"/>
      <w:r/>
      <w:bookmarkStart w:id="385" w:name="_Toc13233100"/>
      <w:r/>
      <w:bookmarkStart w:id="386" w:name="_Toc9515974"/>
      <w:r/>
      <w:bookmarkStart w:id="387" w:name="_Toc522290171"/>
      <w:r/>
      <w:bookmarkStart w:id="388" w:name="_Toc520719713"/>
      <w:r>
        <w:rPr>
          <w:rFonts w:ascii="仿宋" w:hAnsi="仿宋" w:eastAsia="仿宋" w:cs="宋体"/>
          <w:color w:val="auto"/>
          <w:spacing w:val="2"/>
          <w:position w:val="-3"/>
          <w:sz w:val="24"/>
          <w:highlight w:val="none"/>
        </w:rPr>
        <w:t xml:space="preserve">残疾人福利性单位声明函</w:t>
      </w:r>
      <w:bookmarkEnd w:id="380"/>
      <w:r/>
      <w:bookmarkEnd w:id="381"/>
      <w:r/>
      <w:bookmarkEnd w:id="382"/>
      <w:r/>
      <w:bookmarkEnd w:id="383"/>
      <w:r/>
      <w:bookmarkEnd w:id="384"/>
      <w:r/>
      <w:bookmarkEnd w:id="385"/>
      <w:r/>
      <w:bookmarkEnd w:id="386"/>
      <w:r/>
      <w:bookmarkEnd w:id="387"/>
      <w:r/>
      <w:bookmarkEnd w:id="388"/>
      <w:r/>
      <w:bookmarkStart w:id="389" w:name="OLE_LINK14"/>
      <w:r/>
      <w:bookmarkStart w:id="390" w:name="OLE_LINK13"/>
      <w:r/>
      <w:bookmarkEnd w:id="389"/>
      <w:r/>
      <w:bookmarkEnd w:id="390"/>
      <w:r/>
      <w:r/>
    </w:p>
    <w:p>
      <w:pPr>
        <w:ind w:firstLine="504"/>
        <w:spacing w:line="360" w:lineRule="auto"/>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 xml:space="preserve">本单位郑重声明，根据《财政部 民政部 中国残疾人联合会关于促进残疾人就业政府采购政策的通知》（财库</w:t>
      </w:r>
      <w:r>
        <w:rPr>
          <w:rFonts w:ascii="仿宋" w:hAnsi="仿宋" w:eastAsia="仿宋"/>
          <w:color w:val="auto"/>
          <w:sz w:val="24"/>
          <w:szCs w:val="24"/>
          <w:highlight w:val="none"/>
        </w:rPr>
        <w:t xml:space="preserve">〔2018〕 141</w:t>
      </w:r>
      <w:r>
        <w:rPr>
          <w:rFonts w:ascii="仿宋" w:hAnsi="仿宋" w:eastAsia="仿宋"/>
          <w:color w:val="auto"/>
          <w:spacing w:val="6"/>
          <w:sz w:val="24"/>
          <w:szCs w:val="24"/>
          <w:highlight w:val="none"/>
        </w:rPr>
        <w:t xml:space="preserve">号）的规定，本单位为符合条件的残疾人福利性单位</w:t>
      </w:r>
      <w:r>
        <w:rPr>
          <w:rFonts w:hint="eastAsia" w:ascii="仿宋" w:hAnsi="仿宋" w:eastAsia="仿宋"/>
          <w:color w:val="auto"/>
          <w:spacing w:val="6"/>
          <w:sz w:val="24"/>
          <w:szCs w:val="24"/>
          <w:highlight w:val="none"/>
        </w:rPr>
        <w:t xml:space="preserve">。</w:t>
      </w:r>
      <w:r>
        <w:rPr>
          <w:rFonts w:ascii="仿宋" w:hAnsi="仿宋" w:eastAsia="仿宋"/>
          <w:color w:val="auto"/>
          <w:spacing w:val="6"/>
          <w:sz w:val="24"/>
          <w:szCs w:val="24"/>
          <w:highlight w:val="none"/>
        </w:rPr>
        <w:t xml:space="preserve">本单位参加</w:t>
      </w:r>
      <w:r>
        <w:rPr>
          <w:rFonts w:ascii="仿宋" w:hAnsi="仿宋" w:eastAsia="仿宋"/>
          <w:color w:val="auto"/>
          <w:sz w:val="24"/>
          <w:szCs w:val="24"/>
          <w:highlight w:val="none"/>
        </w:rPr>
        <w:t xml:space="preserve">项目编号为</w:t>
      </w:r>
      <w:r>
        <w:rPr>
          <w:rFonts w:ascii="仿宋" w:hAnsi="仿宋" w:eastAsia="仿宋"/>
          <w:color w:val="auto"/>
          <w:sz w:val="24"/>
          <w:szCs w:val="24"/>
          <w:highlight w:val="none"/>
          <w:u w:val="single"/>
        </w:rPr>
        <w:t xml:space="preserve">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____ </w:t>
      </w:r>
      <w:r>
        <w:rPr>
          <w:rFonts w:ascii="仿宋" w:hAnsi="仿宋" w:eastAsia="仿宋"/>
          <w:color w:val="auto"/>
          <w:sz w:val="24"/>
          <w:szCs w:val="24"/>
          <w:highlight w:val="none"/>
        </w:rPr>
        <w:t xml:space="preserve">的_</w:t>
      </w:r>
      <w:r>
        <w:rPr>
          <w:rFonts w:ascii="仿宋" w:hAnsi="仿宋" w:eastAsia="仿宋"/>
          <w:color w:val="auto"/>
          <w:sz w:val="24"/>
          <w:szCs w:val="24"/>
          <w:highlight w:val="none"/>
          <w:u w:val="single"/>
        </w:rPr>
        <w:t xml:space="preserve">___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w:t>
      </w:r>
      <w:r>
        <w:rPr>
          <w:rFonts w:ascii="仿宋" w:hAnsi="仿宋" w:eastAsia="仿宋"/>
          <w:color w:val="auto"/>
          <w:sz w:val="24"/>
          <w:szCs w:val="24"/>
          <w:highlight w:val="none"/>
        </w:rPr>
        <w:t xml:space="preserve">单位的</w:t>
      </w:r>
      <w:r>
        <w:rPr>
          <w:rFonts w:ascii="仿宋" w:hAnsi="仿宋" w:eastAsia="仿宋"/>
          <w:color w:val="auto"/>
          <w:sz w:val="24"/>
          <w:szCs w:val="24"/>
          <w:highlight w:val="none"/>
          <w:u w:val="single"/>
        </w:rPr>
        <w:t xml:space="preserve">__</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___</w:t>
      </w:r>
      <w:r>
        <w:rPr>
          <w:rFonts w:ascii="仿宋" w:hAnsi="仿宋" w:eastAsia="仿宋"/>
          <w:color w:val="auto"/>
          <w:sz w:val="24"/>
          <w:szCs w:val="24"/>
          <w:highlight w:val="none"/>
        </w:rPr>
        <w:t xml:space="preserve">_项目采购活动</w:t>
      </w:r>
      <w:r>
        <w:rPr>
          <w:rFonts w:ascii="仿宋" w:hAnsi="仿宋" w:eastAsia="仿宋"/>
          <w:color w:val="auto"/>
          <w:spacing w:val="6"/>
          <w:sz w:val="24"/>
          <w:szCs w:val="24"/>
          <w:highlight w:val="none"/>
        </w:rPr>
        <w:t xml:space="preserve">提供本单位制造的货物（由本单位承担工程</w:t>
      </w:r>
      <w:r>
        <w:rPr>
          <w:rFonts w:hint="eastAsia" w:ascii="仿宋" w:hAnsi="仿宋" w:eastAsia="仿宋"/>
          <w:color w:val="auto"/>
          <w:spacing w:val="6"/>
          <w:sz w:val="24"/>
          <w:szCs w:val="24"/>
          <w:highlight w:val="none"/>
        </w:rPr>
        <w:t xml:space="preserve">、</w:t>
      </w:r>
      <w:r>
        <w:rPr>
          <w:rFonts w:ascii="仿宋" w:hAnsi="仿宋" w:eastAsia="仿宋"/>
          <w:color w:val="auto"/>
          <w:spacing w:val="6"/>
          <w:sz w:val="24"/>
          <w:szCs w:val="24"/>
          <w:highlight w:val="none"/>
        </w:rPr>
        <w:t xml:space="preserve">提供服务），或提供其他残疾人福利性单位制造的货物。</w:t>
      </w:r>
      <w:r/>
    </w:p>
    <w:p>
      <w:pPr>
        <w:ind w:firstLine="504"/>
        <w:spacing w:line="360" w:lineRule="auto"/>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t xml:space="preserve">本单位对上述声明的真实性负责。如有虚假，将依法承担相应责任。</w:t>
      </w:r>
      <w:r/>
    </w:p>
    <w:p>
      <w:pPr>
        <w:ind w:firstLine="504"/>
        <w:spacing w:line="360" w:lineRule="auto"/>
        <w:rPr>
          <w:rFonts w:ascii="仿宋" w:hAnsi="仿宋" w:eastAsia="仿宋"/>
          <w:color w:val="auto"/>
          <w:spacing w:val="6"/>
          <w:sz w:val="24"/>
          <w:szCs w:val="24"/>
          <w:highlight w:val="none"/>
        </w:rPr>
      </w:pPr>
      <w:r>
        <w:rPr>
          <w:rFonts w:ascii="仿宋" w:hAnsi="仿宋" w:eastAsia="仿宋"/>
          <w:color w:val="auto"/>
          <w:spacing w:val="6"/>
          <w:sz w:val="24"/>
          <w:szCs w:val="24"/>
          <w:highlight w:val="none"/>
        </w:rPr>
      </w:r>
      <w:r/>
    </w:p>
    <w:p>
      <w:pPr>
        <w:ind w:firstLine="4800"/>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单位</w:t>
      </w:r>
      <w:r>
        <w:rPr>
          <w:rFonts w:ascii="仿宋" w:hAnsi="仿宋" w:eastAsia="仿宋"/>
          <w:color w:val="auto"/>
          <w:sz w:val="24"/>
          <w:szCs w:val="24"/>
          <w:highlight w:val="none"/>
        </w:rPr>
        <w:t xml:space="preserve">（公章）：</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p>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日</w:t>
      </w:r>
      <w:r/>
    </w:p>
    <w:p>
      <w:pPr>
        <w:ind w:right="-20"/>
        <w:jc w:val="center"/>
        <w:spacing w:line="360" w:lineRule="auto"/>
        <w:rPr>
          <w:rFonts w:ascii="仿宋" w:hAnsi="仿宋" w:eastAsia="仿宋" w:cs="宋体"/>
          <w:color w:val="auto"/>
          <w:spacing w:val="2"/>
          <w:position w:val="-3"/>
          <w:sz w:val="24"/>
          <w:highlight w:val="none"/>
        </w:rPr>
      </w:pPr>
      <w:r>
        <w:rPr>
          <w:rFonts w:ascii="仿宋" w:hAnsi="仿宋" w:eastAsia="仿宋"/>
          <w:color w:val="auto"/>
          <w:sz w:val="24"/>
          <w:szCs w:val="24"/>
          <w:highlight w:val="none"/>
        </w:rPr>
        <w:br w:type="page" w:clear="all"/>
      </w:r>
      <w:bookmarkStart w:id="391" w:name="_Toc8742839"/>
      <w:r/>
      <w:bookmarkStart w:id="392" w:name="_Toc13233101"/>
      <w:r/>
      <w:bookmarkStart w:id="393" w:name="_Toc10472941"/>
      <w:r/>
      <w:bookmarkStart w:id="394" w:name="_Toc11678076"/>
      <w:r/>
      <w:bookmarkStart w:id="395" w:name="_Toc522290172"/>
      <w:r/>
      <w:bookmarkStart w:id="396" w:name="_Toc9515975"/>
      <w:r/>
      <w:bookmarkStart w:id="397" w:name="_Toc525720154"/>
      <w:r/>
      <w:bookmarkStart w:id="398" w:name="_Toc17097049"/>
      <w:r/>
      <w:bookmarkStart w:id="399" w:name="_Toc520719714"/>
      <w:r>
        <w:rPr>
          <w:rFonts w:ascii="仿宋" w:hAnsi="仿宋" w:eastAsia="仿宋" w:cs="宋体"/>
          <w:color w:val="auto"/>
          <w:spacing w:val="2"/>
          <w:position w:val="-3"/>
          <w:sz w:val="24"/>
          <w:highlight w:val="none"/>
        </w:rPr>
        <w:t xml:space="preserve">3.</w:t>
      </w:r>
      <w:r>
        <w:rPr>
          <w:rFonts w:hint="eastAsia" w:ascii="仿宋" w:hAnsi="仿宋" w:eastAsia="仿宋" w:cs="宋体"/>
          <w:color w:val="auto"/>
          <w:spacing w:val="2"/>
          <w:position w:val="-3"/>
          <w:sz w:val="24"/>
          <w:highlight w:val="none"/>
        </w:rPr>
        <w:t xml:space="preserve">监狱企业证明</w:t>
      </w:r>
      <w:bookmarkEnd w:id="391"/>
      <w:r/>
      <w:bookmarkEnd w:id="392"/>
      <w:r/>
      <w:bookmarkEnd w:id="393"/>
      <w:r/>
      <w:bookmarkEnd w:id="394"/>
      <w:r/>
      <w:bookmarkEnd w:id="395"/>
      <w:r/>
      <w:bookmarkEnd w:id="396"/>
      <w:r/>
      <w:bookmarkEnd w:id="397"/>
      <w:r/>
      <w:bookmarkEnd w:id="398"/>
      <w:r/>
      <w:bookmarkEnd w:id="399"/>
      <w:r/>
      <w:r/>
    </w:p>
    <w:p>
      <w:pPr>
        <w:ind w:firstLine="48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仿宋" w:hAnsi="仿宋" w:eastAsia="仿宋"/>
          <w:color w:val="auto"/>
          <w:sz w:val="24"/>
          <w:szCs w:val="24"/>
          <w:highlight w:val="none"/>
        </w:rPr>
        <w:t xml:space="preserve">。</w:t>
      </w:r>
      <w:r/>
    </w:p>
    <w:p>
      <w:pPr>
        <w:spacing w:line="360" w:lineRule="auto"/>
        <w:rPr>
          <w:rFonts w:ascii="仿宋" w:hAnsi="仿宋" w:eastAsia="仿宋"/>
          <w:color w:val="auto"/>
          <w:highlight w:val="none"/>
        </w:rPr>
      </w:pPr>
      <w:r>
        <w:rPr>
          <w:rFonts w:ascii="仿宋" w:hAnsi="仿宋" w:eastAsia="仿宋"/>
          <w:color w:val="auto"/>
          <w:highlight w:val="none"/>
        </w:rPr>
      </w:r>
      <w:r/>
    </w:p>
    <w:p>
      <w:pPr>
        <w:spacing w:line="360" w:lineRule="auto"/>
        <w:rPr>
          <w:rFonts w:ascii="仿宋" w:hAnsi="仿宋" w:eastAsia="仿宋"/>
          <w:b/>
          <w:color w:val="auto"/>
          <w:highlight w:val="none"/>
        </w:rPr>
      </w:pPr>
      <w:r>
        <w:rPr>
          <w:rFonts w:ascii="仿宋" w:hAnsi="仿宋" w:eastAsia="仿宋"/>
          <w:b/>
          <w:color w:val="auto"/>
          <w:highlight w:val="none"/>
        </w:rPr>
      </w:r>
      <w:bookmarkEnd w:id="370"/>
      <w:r/>
      <w:r/>
    </w:p>
    <w:p>
      <w:pPr>
        <w:rPr>
          <w:color w:val="auto"/>
          <w:highlight w:val="none"/>
        </w:rPr>
      </w:pPr>
      <w:r>
        <w:rPr>
          <w:color w:val="auto"/>
          <w:highlight w:val="none"/>
        </w:rPr>
        <w:br w:type="page" w:clear="all"/>
      </w:r>
      <w:bookmarkStart w:id="400" w:name="_Toc447021132"/>
      <w:r/>
      <w:bookmarkEnd w:id="400"/>
      <w:r/>
      <w:r/>
    </w:p>
    <w:p>
      <w:pPr>
        <w:keepLines/>
        <w:keepNext/>
        <w:spacing w:line="360" w:lineRule="auto"/>
        <w:rPr>
          <w:rFonts w:ascii="仿宋" w:hAnsi="仿宋" w:eastAsia="仿宋"/>
          <w:bCs/>
          <w:color w:val="auto"/>
          <w:sz w:val="24"/>
          <w:szCs w:val="24"/>
          <w:highlight w:val="none"/>
        </w:rPr>
        <w:outlineLvl w:val="2"/>
      </w:pPr>
      <w:r/>
      <w:bookmarkStart w:id="401" w:name="_Toc70522609"/>
      <w:r/>
      <w:bookmarkStart w:id="402" w:name="_Toc7285"/>
      <w:r/>
      <w:bookmarkStart w:id="403" w:name="_Toc105567927"/>
      <w:r/>
      <w:bookmarkStart w:id="404" w:name="_Toc73976019"/>
      <w:r/>
      <w:bookmarkStart w:id="405" w:name="_Toc71641815"/>
      <w:r/>
      <w:bookmarkStart w:id="406" w:name="_Toc17097051"/>
      <w:r/>
      <w:bookmarkStart w:id="407" w:name="_Toc525720156"/>
      <w:r/>
      <w:bookmarkStart w:id="408" w:name="_Toc8742841"/>
      <w:r/>
      <w:bookmarkStart w:id="409" w:name="_Toc9515977"/>
      <w:r/>
      <w:bookmarkStart w:id="410" w:name="_Toc10472943"/>
      <w:r/>
      <w:bookmarkStart w:id="411" w:name="_Toc520719716"/>
      <w:r/>
      <w:bookmarkStart w:id="412" w:name="_Toc13233103"/>
      <w:r/>
      <w:bookmarkStart w:id="413" w:name="_Toc522290174"/>
      <w:r/>
      <w:bookmarkStart w:id="414" w:name="_Toc11678078"/>
      <w:r>
        <w:rPr>
          <w:rFonts w:ascii="仿宋" w:hAnsi="仿宋" w:eastAsia="仿宋"/>
          <w:bCs/>
          <w:color w:val="auto"/>
          <w:sz w:val="24"/>
          <w:szCs w:val="24"/>
          <w:highlight w:val="none"/>
        </w:rPr>
        <w:t xml:space="preserve">（二）政府采购节能产品政策</w:t>
      </w:r>
      <w:bookmarkEnd w:id="401"/>
      <w:r/>
      <w:bookmarkEnd w:id="402"/>
      <w:r/>
      <w:bookmarkEnd w:id="403"/>
      <w:r/>
      <w:bookmarkEnd w:id="404"/>
      <w:r/>
      <w:bookmarkEnd w:id="405"/>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1、根据</w:t>
      </w:r>
      <w:r>
        <w:rPr>
          <w:rFonts w:hint="eastAsia" w:ascii="仿宋" w:hAnsi="仿宋" w:eastAsia="仿宋"/>
          <w:color w:val="auto"/>
          <w:sz w:val="24"/>
          <w:szCs w:val="24"/>
          <w:highlight w:val="none"/>
        </w:rPr>
        <w:t xml:space="preserve">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2、评标委员会根据供应商填制的《</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报价表》，计算其所投</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享受价格折扣部分的多少。</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3、投标标的属于《节能产品政府采购品目清单》（最新一期）内的产品，供应商需提供国家确定的认证机构出具的、处于有效期之内的节能产品认证证书，并提供在投标文件中提供《</w:t>
      </w:r>
      <w:r>
        <w:rPr>
          <w:rFonts w:ascii="仿宋" w:hAnsi="仿宋" w:eastAsia="仿宋"/>
          <w:color w:val="auto"/>
          <w:sz w:val="24"/>
          <w:szCs w:val="24"/>
          <w:highlight w:val="none"/>
        </w:rPr>
        <w:t xml:space="preserve">节能产品</w:t>
      </w:r>
      <w:r>
        <w:rPr>
          <w:rFonts w:hint="eastAsia" w:ascii="仿宋" w:hAnsi="仿宋" w:eastAsia="仿宋"/>
          <w:color w:val="auto"/>
          <w:sz w:val="24"/>
          <w:szCs w:val="24"/>
          <w:highlight w:val="none"/>
        </w:rPr>
        <w:t xml:space="preserve">报价表》，如未提供，将不做价格扣除。</w:t>
      </w:r>
      <w:r/>
    </w:p>
    <w:p>
      <w:pPr>
        <w:spacing w:line="360" w:lineRule="auto"/>
        <w:rPr>
          <w:rFonts w:ascii="仿宋" w:hAnsi="仿宋" w:eastAsia="仿宋"/>
          <w:bCs/>
          <w:color w:val="auto"/>
          <w:sz w:val="24"/>
          <w:szCs w:val="24"/>
          <w:highlight w:val="none"/>
        </w:rPr>
      </w:pPr>
      <w:r>
        <w:rPr>
          <w:rFonts w:ascii="仿宋" w:hAnsi="仿宋" w:eastAsia="仿宋"/>
          <w:bCs/>
          <w:color w:val="auto"/>
          <w:sz w:val="24"/>
          <w:szCs w:val="24"/>
          <w:highlight w:val="none"/>
        </w:rPr>
        <w:t xml:space="preserve">4、投标商必须保证使用</w:t>
      </w:r>
      <w:r>
        <w:rPr>
          <w:rFonts w:ascii="仿宋" w:hAnsi="仿宋" w:eastAsia="仿宋"/>
          <w:color w:val="auto"/>
          <w:sz w:val="24"/>
          <w:szCs w:val="24"/>
          <w:highlight w:val="none"/>
        </w:rPr>
        <w:t xml:space="preserve">节能</w:t>
      </w:r>
      <w:r>
        <w:rPr>
          <w:rFonts w:ascii="仿宋" w:hAnsi="仿宋" w:eastAsia="仿宋"/>
          <w:bCs/>
          <w:color w:val="auto"/>
          <w:sz w:val="24"/>
          <w:szCs w:val="24"/>
          <w:highlight w:val="none"/>
        </w:rPr>
        <w:t xml:space="preserve">产品参加投标的真实性，如出现虚假响应，一经查实，将按照采购文件具体规定进行处理。</w:t>
      </w:r>
      <w:r/>
    </w:p>
    <w:p>
      <w:pPr>
        <w:jc w:val="center"/>
        <w:spacing w:line="360" w:lineRule="auto"/>
        <w:rPr>
          <w:rFonts w:ascii="仿宋" w:hAnsi="仿宋" w:eastAsia="仿宋"/>
          <w:b/>
          <w:color w:val="auto"/>
          <w:sz w:val="24"/>
          <w:szCs w:val="24"/>
          <w:highlight w:val="none"/>
        </w:rPr>
      </w:pPr>
      <w:r>
        <w:rPr>
          <w:rFonts w:ascii="仿宋" w:hAnsi="仿宋" w:eastAsia="仿宋"/>
          <w:b/>
          <w:color w:val="auto"/>
          <w:sz w:val="24"/>
          <w:szCs w:val="24"/>
          <w:highlight w:val="none"/>
        </w:rPr>
        <w:t xml:space="preserve">节能产品报价表</w:t>
      </w:r>
      <w:r/>
    </w:p>
    <w:p>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投标商（</w:t>
      </w:r>
      <w:r>
        <w:rPr>
          <w:rFonts w:hint="eastAsia" w:ascii="仿宋" w:hAnsi="仿宋" w:eastAsia="仿宋"/>
          <w:color w:val="auto"/>
          <w:sz w:val="24"/>
          <w:szCs w:val="24"/>
          <w:highlight w:val="none"/>
        </w:rPr>
        <w:t xml:space="preserve">公章</w:t>
      </w:r>
      <w:r>
        <w:rPr>
          <w:rFonts w:ascii="仿宋" w:hAnsi="仿宋" w:eastAsia="仿宋"/>
          <w:color w:val="auto"/>
          <w:sz w:val="24"/>
          <w:szCs w:val="24"/>
          <w:highlight w:val="none"/>
        </w:rPr>
        <w:t xml:space="preserve">）：</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项目编号：</w:t>
      </w:r>
      <w:r>
        <w:rPr>
          <w:rFonts w:ascii="仿宋" w:hAnsi="仿宋" w:eastAsia="仿宋"/>
          <w:color w:val="auto"/>
          <w:sz w:val="24"/>
          <w:szCs w:val="24"/>
          <w:highlight w:val="none"/>
          <w:u w:val="single"/>
        </w:rPr>
        <w:t xml:space="preserve">               </w:t>
      </w:r>
      <w:r/>
    </w:p>
    <w:tbl>
      <w:tblPr>
        <w:tblStyle w:val="9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410"/>
        <w:gridCol w:w="429"/>
        <w:gridCol w:w="1225"/>
        <w:gridCol w:w="766"/>
        <w:gridCol w:w="1837"/>
        <w:gridCol w:w="1550"/>
        <w:gridCol w:w="920"/>
        <w:gridCol w:w="994"/>
      </w:tblGrid>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序号</w:t>
            </w:r>
            <w:r/>
          </w:p>
        </w:tc>
        <w:tc>
          <w:tcPr>
            <w:tcW w:w="732" w:type="pct"/>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在《节能产品政府采购品目清单》（最新一期）中归属的编码及名称</w:t>
            </w:r>
            <w:r/>
          </w:p>
        </w:tc>
        <w:tc>
          <w:tcPr>
            <w:tcW w:w="223"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产品</w:t>
            </w:r>
            <w:r>
              <w:rPr>
                <w:rFonts w:ascii="仿宋" w:hAnsi="仿宋" w:eastAsia="仿宋"/>
                <w:color w:val="auto"/>
                <w:szCs w:val="21"/>
                <w:highlight w:val="none"/>
              </w:rPr>
              <w:t xml:space="preserve">名称</w:t>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型号和规格</w:t>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数量</w:t>
            </w:r>
            <w:r/>
          </w:p>
        </w:tc>
        <w:tc>
          <w:tcPr>
            <w:tcW w:w="954" w:type="pct"/>
            <w:vAlign w:val="center"/>
            <w:textDirection w:val="lrTb"/>
            <w:noWrap w:val="false"/>
          </w:tcPr>
          <w:p>
            <w:pPr>
              <w:jc w:val="center"/>
              <w:spacing w:before="120" w:line="360" w:lineRule="auto"/>
              <w:rPr>
                <w:rFonts w:ascii="仿宋" w:hAnsi="仿宋" w:eastAsia="仿宋"/>
                <w:color w:val="auto"/>
                <w:szCs w:val="21"/>
                <w:highlight w:val="none"/>
              </w:rPr>
            </w:pPr>
            <w:r>
              <w:rPr>
                <w:rFonts w:ascii="仿宋" w:hAnsi="仿宋" w:eastAsia="仿宋"/>
                <w:color w:val="auto"/>
                <w:szCs w:val="21"/>
                <w:highlight w:val="none"/>
              </w:rPr>
              <w:t xml:space="preserve">原产地和</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制造商名称</w:t>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节能产品认证证书</w:t>
            </w:r>
            <w:r>
              <w:rPr>
                <w:rFonts w:ascii="仿宋" w:hAnsi="仿宋" w:eastAsia="仿宋"/>
                <w:color w:val="auto"/>
                <w:szCs w:val="21"/>
                <w:highlight w:val="none"/>
              </w:rPr>
              <w:t xml:space="preserve">证书编号</w:t>
            </w:r>
            <w:r/>
          </w:p>
        </w:tc>
        <w:tc>
          <w:tcPr>
            <w:tcW w:w="478"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单价</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总价</w:t>
            </w:r>
            <w:r/>
          </w:p>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732"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23"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732"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23"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gridSpan w:val="8"/>
            <w:tcW w:w="4483" w:type="pct"/>
            <w:textDirection w:val="lrTb"/>
            <w:noWrap w:val="false"/>
          </w:tcPr>
          <w:p>
            <w:pPr>
              <w:jc w:val="right"/>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其中，节能产品总计：</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bl>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授权代表</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rPr>
        <w:t xml:space="preserve">               </w:t>
      </w:r>
      <w:r/>
    </w:p>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日</w:t>
      </w:r>
      <w:r/>
    </w:p>
    <w:p>
      <w:pPr>
        <w:keepLines/>
        <w:keepNext/>
        <w:spacing w:line="360" w:lineRule="auto"/>
        <w:rPr>
          <w:rFonts w:ascii="仿宋" w:hAnsi="仿宋" w:eastAsia="仿宋"/>
          <w:bCs/>
          <w:color w:val="auto"/>
          <w:sz w:val="24"/>
          <w:szCs w:val="24"/>
          <w:highlight w:val="none"/>
        </w:rPr>
        <w:outlineLvl w:val="2"/>
      </w:pPr>
      <w:r>
        <w:rPr>
          <w:rFonts w:ascii="仿宋" w:hAnsi="仿宋" w:eastAsia="仿宋"/>
          <w:bCs/>
          <w:color w:val="auto"/>
          <w:sz w:val="24"/>
          <w:szCs w:val="24"/>
          <w:highlight w:val="none"/>
        </w:rPr>
        <w:br w:type="page" w:clear="all"/>
      </w:r>
      <w:bookmarkStart w:id="415" w:name="_Toc13784"/>
      <w:r/>
      <w:bookmarkStart w:id="416" w:name="_Toc73976020"/>
      <w:r/>
      <w:bookmarkStart w:id="417" w:name="_Toc71641816"/>
      <w:r/>
      <w:bookmarkStart w:id="418" w:name="_Toc70522610"/>
      <w:r/>
      <w:bookmarkStart w:id="419" w:name="_Toc105567928"/>
      <w:r>
        <w:rPr>
          <w:rFonts w:ascii="仿宋" w:hAnsi="仿宋" w:eastAsia="仿宋"/>
          <w:bCs/>
          <w:color w:val="auto"/>
          <w:sz w:val="24"/>
          <w:szCs w:val="24"/>
          <w:highlight w:val="none"/>
        </w:rPr>
        <w:t xml:space="preserve">（三）政府采购环境标志产品政策</w:t>
      </w:r>
      <w:bookmarkEnd w:id="415"/>
      <w:r/>
      <w:bookmarkEnd w:id="416"/>
      <w:r/>
      <w:bookmarkEnd w:id="417"/>
      <w:r/>
      <w:bookmarkEnd w:id="418"/>
      <w:r/>
      <w:bookmarkEnd w:id="419"/>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2、评标委员会根据供应商填制的《环境标志产品报价表》，计算其所投环境标志产品享受价格折扣部分的多少。</w:t>
      </w:r>
      <w:r/>
    </w:p>
    <w:p>
      <w:pPr>
        <w:spacing w:line="36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4、投标商必须保证使用环境标志产品参加投标的真实性，如出现虚假响应，一经查实，将按照采购文件具体规定进行处理。</w:t>
      </w:r>
      <w:r/>
    </w:p>
    <w:p>
      <w:pPr>
        <w:jc w:val="center"/>
        <w:spacing w:line="360" w:lineRule="auto"/>
        <w:rPr>
          <w:rFonts w:ascii="仿宋" w:hAnsi="仿宋" w:eastAsia="仿宋"/>
          <w:b/>
          <w:bCs/>
          <w:color w:val="auto"/>
          <w:sz w:val="24"/>
          <w:szCs w:val="24"/>
          <w:highlight w:val="none"/>
        </w:rPr>
      </w:pPr>
      <w:r>
        <w:rPr>
          <w:rFonts w:ascii="仿宋" w:hAnsi="仿宋" w:eastAsia="仿宋"/>
          <w:b/>
          <w:bCs/>
          <w:color w:val="auto"/>
          <w:sz w:val="24"/>
          <w:szCs w:val="24"/>
          <w:highlight w:val="none"/>
        </w:rPr>
        <w:t xml:space="preserve">环境标志产品报价表</w:t>
      </w:r>
      <w:r/>
    </w:p>
    <w:p>
      <w:pPr>
        <w:spacing w:line="360" w:lineRule="auto"/>
        <w:rPr>
          <w:rFonts w:ascii="仿宋" w:hAnsi="仿宋" w:eastAsia="仿宋"/>
          <w:color w:val="auto"/>
          <w:sz w:val="24"/>
          <w:szCs w:val="24"/>
          <w:highlight w:val="none"/>
          <w:u w:val="single"/>
        </w:rPr>
      </w:pPr>
      <w:r>
        <w:rPr>
          <w:rFonts w:ascii="仿宋" w:hAnsi="仿宋" w:eastAsia="仿宋"/>
          <w:color w:val="auto"/>
          <w:sz w:val="24"/>
          <w:szCs w:val="24"/>
          <w:highlight w:val="none"/>
        </w:rPr>
        <w:t xml:space="preserve">投标商（</w:t>
      </w:r>
      <w:r>
        <w:rPr>
          <w:rFonts w:hint="eastAsia" w:ascii="仿宋" w:hAnsi="仿宋" w:eastAsia="仿宋"/>
          <w:color w:val="auto"/>
          <w:sz w:val="24"/>
          <w:szCs w:val="24"/>
          <w:highlight w:val="none"/>
        </w:rPr>
        <w:t xml:space="preserve">公章</w:t>
      </w:r>
      <w:r>
        <w:rPr>
          <w:rFonts w:ascii="仿宋" w:hAnsi="仿宋" w:eastAsia="仿宋"/>
          <w:color w:val="auto"/>
          <w:sz w:val="24"/>
          <w:szCs w:val="24"/>
          <w:highlight w:val="none"/>
        </w:rPr>
        <w:t xml:space="preserve">）：</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  </w:t>
      </w:r>
      <w:r>
        <w:rPr>
          <w:rFonts w:ascii="仿宋" w:hAnsi="仿宋" w:eastAsia="仿宋"/>
          <w:color w:val="auto"/>
          <w:sz w:val="24"/>
          <w:szCs w:val="24"/>
          <w:highlight w:val="none"/>
        </w:rPr>
        <w:t xml:space="preserve">项目编号：</w:t>
      </w:r>
      <w:r>
        <w:rPr>
          <w:rFonts w:ascii="仿宋" w:hAnsi="仿宋" w:eastAsia="仿宋"/>
          <w:color w:val="auto"/>
          <w:sz w:val="24"/>
          <w:szCs w:val="24"/>
          <w:highlight w:val="none"/>
          <w:u w:val="single"/>
        </w:rPr>
        <w:t xml:space="preserve">               </w:t>
      </w:r>
      <w:r/>
    </w:p>
    <w:tbl>
      <w:tblPr>
        <w:tblStyle w:val="99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271"/>
        <w:gridCol w:w="568"/>
        <w:gridCol w:w="1225"/>
        <w:gridCol w:w="766"/>
        <w:gridCol w:w="1837"/>
        <w:gridCol w:w="1550"/>
        <w:gridCol w:w="920"/>
        <w:gridCol w:w="994"/>
      </w:tblGrid>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序号</w:t>
            </w:r>
            <w:r/>
          </w:p>
        </w:tc>
        <w:tc>
          <w:tcPr>
            <w:tcW w:w="660" w:type="pct"/>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在《环境标志产品政府采购品目清单》（最新一期）中归属的编码及名称</w:t>
            </w:r>
            <w:r/>
          </w:p>
        </w:tc>
        <w:tc>
          <w:tcPr>
            <w:tcW w:w="29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产品</w:t>
            </w:r>
            <w:r>
              <w:rPr>
                <w:rFonts w:ascii="仿宋" w:hAnsi="仿宋" w:eastAsia="仿宋"/>
                <w:color w:val="auto"/>
                <w:szCs w:val="21"/>
                <w:highlight w:val="none"/>
              </w:rPr>
              <w:t xml:space="preserve">名称</w:t>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型号和规格</w:t>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数量</w:t>
            </w:r>
            <w:r/>
          </w:p>
        </w:tc>
        <w:tc>
          <w:tcPr>
            <w:tcW w:w="954" w:type="pct"/>
            <w:vAlign w:val="center"/>
            <w:textDirection w:val="lrTb"/>
            <w:noWrap w:val="false"/>
          </w:tcPr>
          <w:p>
            <w:pPr>
              <w:jc w:val="center"/>
              <w:spacing w:before="120" w:line="360" w:lineRule="auto"/>
              <w:rPr>
                <w:rFonts w:ascii="仿宋" w:hAnsi="仿宋" w:eastAsia="仿宋"/>
                <w:color w:val="auto"/>
                <w:szCs w:val="21"/>
                <w:highlight w:val="none"/>
              </w:rPr>
            </w:pPr>
            <w:r>
              <w:rPr>
                <w:rFonts w:ascii="仿宋" w:hAnsi="仿宋" w:eastAsia="仿宋"/>
                <w:color w:val="auto"/>
                <w:szCs w:val="21"/>
                <w:highlight w:val="none"/>
              </w:rPr>
              <w:t xml:space="preserve">原产地和</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制造商名称</w:t>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hint="eastAsia" w:ascii="仿宋" w:hAnsi="仿宋" w:eastAsia="仿宋"/>
                <w:color w:val="auto"/>
                <w:szCs w:val="21"/>
                <w:highlight w:val="none"/>
              </w:rPr>
              <w:t xml:space="preserve">环境标志产品认证证书</w:t>
            </w:r>
            <w:r>
              <w:rPr>
                <w:rFonts w:ascii="仿宋" w:hAnsi="仿宋" w:eastAsia="仿宋"/>
                <w:color w:val="auto"/>
                <w:szCs w:val="21"/>
                <w:highlight w:val="none"/>
              </w:rPr>
              <w:t xml:space="preserve">证书编号</w:t>
            </w:r>
            <w:r/>
          </w:p>
        </w:tc>
        <w:tc>
          <w:tcPr>
            <w:tcW w:w="478"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单价</w:t>
            </w:r>
            <w:r/>
          </w:p>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总价</w:t>
            </w:r>
            <w:r/>
          </w:p>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t xml:space="preserve">（元人民币）</w:t>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60"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9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tcW w:w="25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60" w:type="pct"/>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29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636"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39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954"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805"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478" w:type="pct"/>
            <w:vAlign w:val="center"/>
            <w:textDirection w:val="lrTb"/>
            <w:noWrap w:val="false"/>
          </w:tcPr>
          <w:p>
            <w:pPr>
              <w:jc w:val="center"/>
              <w:spacing w:before="60" w:after="60" w:line="360" w:lineRule="auto"/>
              <w:rPr>
                <w:rFonts w:ascii="仿宋" w:hAnsi="仿宋" w:eastAsia="仿宋"/>
                <w:color w:val="auto"/>
                <w:szCs w:val="21"/>
                <w:highlight w:val="none"/>
              </w:rPr>
            </w:pPr>
            <w:r>
              <w:rPr>
                <w:rFonts w:ascii="仿宋" w:hAnsi="仿宋" w:eastAsia="仿宋"/>
                <w:color w:val="auto"/>
                <w:szCs w:val="21"/>
                <w:highlight w:val="none"/>
              </w:rPr>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r>
        <w:trPr>
          <w:jc w:val="center"/>
          <w:trHeight w:val="705"/>
        </w:trPr>
        <w:tc>
          <w:tcPr>
            <w:gridSpan w:val="8"/>
            <w:tcW w:w="4483" w:type="pct"/>
            <w:textDirection w:val="lrTb"/>
            <w:noWrap w:val="false"/>
          </w:tcPr>
          <w:p>
            <w:pPr>
              <w:jc w:val="right"/>
              <w:spacing w:before="60" w:after="60" w:line="360" w:lineRule="auto"/>
              <w:rPr>
                <w:rFonts w:ascii="仿宋" w:hAnsi="仿宋" w:eastAsia="仿宋"/>
                <w:color w:val="auto"/>
                <w:szCs w:val="21"/>
                <w:highlight w:val="none"/>
              </w:rPr>
            </w:pPr>
            <w:r>
              <w:rPr>
                <w:rFonts w:ascii="仿宋" w:hAnsi="仿宋" w:eastAsia="仿宋"/>
                <w:color w:val="auto"/>
                <w:szCs w:val="21"/>
                <w:highlight w:val="none"/>
              </w:rPr>
              <w:t xml:space="preserve">其中，</w:t>
            </w:r>
            <w:r>
              <w:rPr>
                <w:rFonts w:ascii="仿宋" w:hAnsi="仿宋" w:eastAsia="仿宋"/>
                <w:bCs/>
                <w:color w:val="auto"/>
                <w:szCs w:val="21"/>
                <w:highlight w:val="none"/>
              </w:rPr>
              <w:t xml:space="preserve">环境标志</w:t>
            </w:r>
            <w:r>
              <w:rPr>
                <w:rFonts w:ascii="仿宋" w:hAnsi="仿宋" w:eastAsia="仿宋"/>
                <w:color w:val="auto"/>
                <w:szCs w:val="21"/>
                <w:highlight w:val="none"/>
              </w:rPr>
              <w:t xml:space="preserve">产品总计：</w:t>
            </w:r>
            <w:r/>
          </w:p>
        </w:tc>
        <w:tc>
          <w:tcPr>
            <w:tcW w:w="517" w:type="pct"/>
            <w:vAlign w:val="center"/>
            <w:textDirection w:val="lrTb"/>
            <w:noWrap w:val="false"/>
          </w:tcPr>
          <w:p>
            <w:pPr>
              <w:jc w:val="center"/>
              <w:spacing w:line="360" w:lineRule="auto"/>
              <w:rPr>
                <w:rFonts w:ascii="仿宋" w:hAnsi="仿宋" w:eastAsia="仿宋"/>
                <w:color w:val="auto"/>
                <w:szCs w:val="21"/>
                <w:highlight w:val="none"/>
              </w:rPr>
            </w:pPr>
            <w:r>
              <w:rPr>
                <w:rFonts w:ascii="仿宋" w:hAnsi="仿宋" w:eastAsia="仿宋"/>
                <w:color w:val="auto"/>
                <w:szCs w:val="21"/>
                <w:highlight w:val="none"/>
              </w:rPr>
            </w:r>
            <w:r/>
          </w:p>
        </w:tc>
      </w:tr>
    </w:tbl>
    <w:p>
      <w:pPr>
        <w:ind w:firstLine="4800"/>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授权代表</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w:t>
      </w:r>
      <w:r>
        <w:rPr>
          <w:rFonts w:hint="eastAsia" w:ascii="仿宋" w:hAnsi="仿宋" w:eastAsia="仿宋"/>
          <w:color w:val="auto"/>
          <w:sz w:val="24"/>
          <w:szCs w:val="24"/>
          <w:highlight w:val="none"/>
          <w:u w:val="single"/>
        </w:rPr>
        <w:t xml:space="preserve">               </w:t>
      </w:r>
      <w:r/>
    </w:p>
    <w:p>
      <w:pPr>
        <w:ind w:firstLine="4800"/>
        <w:spacing w:line="360" w:lineRule="auto"/>
        <w:rPr>
          <w:rFonts w:ascii="仿宋" w:hAnsi="仿宋" w:eastAsia="仿宋"/>
          <w:b/>
          <w:color w:val="auto"/>
          <w:sz w:val="24"/>
          <w:szCs w:val="24"/>
          <w:highlight w:val="none"/>
        </w:rPr>
      </w:pPr>
      <w:r>
        <w:rPr>
          <w:rFonts w:ascii="仿宋" w:hAnsi="仿宋" w:eastAsia="仿宋"/>
          <w:color w:val="auto"/>
          <w:sz w:val="24"/>
          <w:szCs w:val="24"/>
          <w:highlight w:val="none"/>
        </w:rPr>
        <w:t xml:space="preserve">日期：</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u w:val="single"/>
        </w:rPr>
        <w:t xml:space="preserve">  </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年</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月</w:t>
      </w:r>
      <w:r>
        <w:rPr>
          <w:rFonts w:ascii="仿宋" w:hAnsi="仿宋" w:eastAsia="仿宋"/>
          <w:color w:val="auto"/>
          <w:sz w:val="24"/>
          <w:szCs w:val="24"/>
          <w:highlight w:val="none"/>
          <w:u w:val="single"/>
        </w:rPr>
        <w:t xml:space="preserve">  </w:t>
      </w:r>
      <w:r>
        <w:rPr>
          <w:rFonts w:ascii="仿宋" w:hAnsi="仿宋" w:eastAsia="仿宋"/>
          <w:color w:val="auto"/>
          <w:sz w:val="24"/>
          <w:szCs w:val="24"/>
          <w:highlight w:val="none"/>
        </w:rPr>
        <w:t xml:space="preserve">日</w:t>
      </w:r>
      <w:bookmarkEnd w:id="406"/>
      <w:r/>
      <w:bookmarkEnd w:id="407"/>
      <w:r/>
      <w:bookmarkEnd w:id="408"/>
      <w:r/>
      <w:bookmarkEnd w:id="409"/>
      <w:r/>
      <w:bookmarkEnd w:id="410"/>
      <w:r/>
      <w:bookmarkEnd w:id="411"/>
      <w:r/>
      <w:bookmarkEnd w:id="412"/>
      <w:r/>
      <w:bookmarkEnd w:id="413"/>
      <w:r/>
      <w:bookmarkEnd w:id="414"/>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360" w:lineRule="auto"/>
        <w:rPr>
          <w:rFonts w:ascii="仿宋" w:hAnsi="仿宋" w:eastAsia="仿宋"/>
          <w:color w:val="auto"/>
          <w:sz w:val="24"/>
          <w:szCs w:val="24"/>
          <w:highlight w:val="none"/>
        </w:rPr>
      </w:pPr>
      <w:r>
        <w:rPr>
          <w:rFonts w:ascii="仿宋" w:hAnsi="仿宋" w:eastAsia="仿宋"/>
          <w:color w:val="auto"/>
          <w:sz w:val="24"/>
          <w:szCs w:val="24"/>
          <w:highlight w:val="none"/>
        </w:rPr>
      </w:r>
      <w:r/>
    </w:p>
    <w:sectPr>
      <w:footerReference w:type="default" r:id="rId16"/>
      <w:footerReference w:type="even" r:id="rId17"/>
      <w:footerReference w:type="first" r:id="rId18"/>
      <w:footnotePr/>
      <w:endnotePr/>
      <w:type w:val="nextPage"/>
      <w:pgSz w:w="11906" w:h="16838" w:orient="portrait"/>
      <w:pgMar w:top="1247" w:right="1247" w:bottom="1247" w:left="124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MingLiU">
    <w:panose1 w:val="02020500000000000000"/>
  </w:font>
  <w:font w:name="Cambria">
    <w:panose1 w:val="02040503050406030204"/>
  </w:font>
  <w:font w:name="Gulim">
    <w:panose1 w:val="020B0600000101010101"/>
  </w:font>
  <w:font w:name="Courier New">
    <w:panose1 w:val="02070309020205020404"/>
  </w:font>
  <w:font w:name="Calibri">
    <w:panose1 w:val="020F0502020204030204"/>
  </w:font>
  <w:font w:name="MingLiU_HKSCS">
    <w:panose1 w:val="02020500000000000000"/>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fldChar w:fldCharType="begin"/>
    </w:r>
    <w:r>
      <w:instrText xml:space="preserve">PAGE   \* MERGEFORMAT</w:instrText>
    </w:r>
    <w:r>
      <w:fldChar w:fldCharType="separate"/>
    </w:r>
    <w:r>
      <w:rPr>
        <w:lang w:val="zh-CN"/>
      </w:rPr>
      <w:t xml:space="preserve">14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28"/>
      </w:rPr>
      <w:framePr w:wrap="around" w:vAnchor="text" w:hAnchor="margin" w:xAlign="outside" w:y="1"/>
    </w:pPr>
    <w:r>
      <w:fldChar w:fldCharType="begin"/>
    </w:r>
    <w:r>
      <w:rPr>
        <w:rStyle w:val="1028"/>
      </w:rPr>
      <w:instrText xml:space="preserve">PAGE  </w:instrText>
    </w:r>
    <w:r>
      <w:fldChar w:fldCharType="separate"/>
    </w:r>
    <w:r>
      <w:rPr>
        <w:rStyle w:val="1028"/>
      </w:rPr>
      <w:t xml:space="preserve">1</w:t>
    </w:r>
    <w:r>
      <w:fldChar w:fldCharType="end"/>
    </w:r>
    <w:r/>
  </w:p>
  <w:p>
    <w:pPr>
      <w:pStyle w:val="1014"/>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p>
    <w:pPr>
      <w:pStyle w:val="10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p>
    <w:pPr>
      <w:pStyle w:val="1014"/>
      <w:jc w:val="center"/>
    </w:pPr>
    <w:r/>
    <w:r/>
  </w:p>
  <w:p>
    <w:pPr>
      <w:pStyle w:val="1014"/>
      <w:jc w:val="center"/>
    </w:pPr>
    <w:r>
      <w:fldChar w:fldCharType="begin"/>
    </w:r>
    <w:r>
      <w:instrText xml:space="preserve">PAGE   \* MERGEFORMAT</w:instrText>
    </w:r>
    <w:r>
      <w:fldChar w:fldCharType="separate"/>
    </w:r>
    <w:r>
      <w:rPr>
        <w:lang w:val="zh-CN"/>
      </w:rPr>
      <w:t xml:space="preserve">41</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28"/>
      </w:rPr>
      <w:framePr w:wrap="around" w:vAnchor="text" w:hAnchor="margin" w:xAlign="outside" w:y="1"/>
    </w:pPr>
    <w:r>
      <w:fldChar w:fldCharType="begin"/>
    </w:r>
    <w:r>
      <w:rPr>
        <w:rStyle w:val="1028"/>
      </w:rPr>
      <w:instrText xml:space="preserve">PAGE  </w:instrText>
    </w:r>
    <w:r>
      <w:fldChar w:fldCharType="end"/>
    </w:r>
    <w:r/>
  </w:p>
  <w:p>
    <w:pPr>
      <w:pStyle w:val="1014"/>
      <w:ind w:right="360" w:firstLine="360"/>
    </w:pPr>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fldChar w:fldCharType="begin"/>
    </w:r>
    <w:r>
      <w:instrText xml:space="preserve">PAGE   \* MERGEFORMAT</w:instrText>
    </w:r>
    <w:r>
      <w:fldChar w:fldCharType="separate"/>
    </w:r>
    <w:r>
      <w:rPr>
        <w:lang w:val="zh-CN"/>
      </w:rPr>
      <w:t xml:space="preserve">32</w:t>
    </w:r>
    <w:r>
      <w:fldChar w:fldCharType="end"/>
    </w:r>
    <w:r/>
  </w:p>
  <w:p>
    <w:pPr>
      <w:pStyle w:val="101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fldChar w:fldCharType="begin"/>
    </w:r>
    <w:r>
      <w:instrText xml:space="preserve">PAGE   \* MERGEFORMAT</w:instrText>
    </w:r>
    <w:r>
      <w:fldChar w:fldCharType="separate"/>
    </w:r>
    <w:r>
      <w:rPr>
        <w:lang w:val="zh-CN"/>
      </w:rPr>
      <w:t xml:space="preserve">37</w:t>
    </w:r>
    <w: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fldChar w:fldCharType="begin"/>
    </w:r>
    <w:r>
      <w:instrText xml:space="preserve">PAGE   \* MERGEFORMAT</w:instrText>
    </w:r>
    <w:r>
      <w:fldChar w:fldCharType="separate"/>
    </w:r>
    <w:r>
      <w:rPr>
        <w:lang w:val="zh-CN"/>
      </w:rPr>
      <w:t xml:space="preserve">40</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Style w:val="1028"/>
      </w:rPr>
      <w:framePr w:wrap="around" w:vAnchor="text" w:hAnchor="margin" w:xAlign="outside" w:y="1"/>
    </w:pPr>
    <w:r>
      <w:fldChar w:fldCharType="begin"/>
    </w:r>
    <w:r>
      <w:rPr>
        <w:rStyle w:val="1028"/>
      </w:rPr>
      <w:instrText xml:space="preserve">PAGE  </w:instrText>
    </w:r>
    <w:r>
      <w:fldChar w:fldCharType="end"/>
    </w:r>
    <w:r/>
  </w:p>
  <w:p>
    <w:pPr>
      <w:pStyle w:val="1014"/>
      <w:ind w:right="360" w:firstLine="360"/>
    </w:pPr>
    <w:r/>
    <w:r/>
  </w:p>
  <w:p>
    <w:r/>
    <w:r/>
  </w:p>
  <w:p>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8"/>
      <w:isLgl w:val="false"/>
      <w:suff w:val="tab"/>
      <w:lvlText w:val="%1."/>
      <w:lvlJc w:val="left"/>
      <w:pPr>
        <w:ind w:left="510" w:hanging="510"/>
        <w:tabs>
          <w:tab w:val="left" w:pos="482" w:leader="none"/>
        </w:tabs>
      </w:pPr>
      <w:rPr>
        <w:rFonts w:hint="default" w:ascii="Arial" w:hAnsi="Aria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
      <w:lvlJc w:val="left"/>
      <w:pPr>
        <w:ind w:left="0" w:firstLine="0"/>
      </w:pPr>
      <w:rPr>
        <w:rFonts w:hint="eastAsia" w:ascii="宋体" w:hAnsi="宋体" w:eastAsia="宋体"/>
        <w:b w:val="0"/>
        <w:i w:val="0"/>
        <w:sz w:val="24"/>
        <w:szCs w:val="21"/>
      </w:rPr>
    </w:lvl>
    <w:lvl w:ilvl="1">
      <w:start w:val="1"/>
      <w:numFmt w:val="decimal"/>
      <w:isLgl w:val="false"/>
      <w:suff w:val="nothing"/>
      <w:lvlText w:val="%1.%2　"/>
      <w:lvlJc w:val="left"/>
      <w:pPr>
        <w:ind w:left="284" w:firstLine="0"/>
      </w:pPr>
      <w:rPr>
        <w:rFonts w:hint="eastAsia" w:ascii="黑体" w:hAnsi="Times New Roman" w:eastAsia="黑体" w:cs="Times New Roman"/>
        <w:b w:val="0"/>
        <w:bCs w:val="0"/>
        <w:i w:val="0"/>
        <w:iCs w:val="0"/>
        <w:caps w:val="0"/>
        <w:vanish w:val="0"/>
        <w:color w:val="000000"/>
        <w:spacing w:val="0"/>
        <w:position w:val="0"/>
        <w:sz w:val="21"/>
        <w:szCs w:val="21"/>
        <w:u w:val="none"/>
        <w:vertAlign w:val="baseline"/>
      </w:rPr>
    </w:lvl>
    <w:lvl w:ilvl="2">
      <w:start w:val="1"/>
      <w:numFmt w:val="decimal"/>
      <w:pStyle w:val="1159"/>
      <w:isLgl w:val="false"/>
      <w:suff w:val="nothing"/>
      <w:lvlText w:val="%1.%2.%3　"/>
      <w:lvlJc w:val="left"/>
      <w:pPr>
        <w:ind w:left="709" w:firstLine="0"/>
      </w:pPr>
      <w:rPr>
        <w:rFonts w:hint="eastAsia" w:ascii="黑体" w:hAnsi="Times New Roman" w:eastAsia="黑体"/>
        <w:b w:val="0"/>
        <w:i w:val="0"/>
        <w:sz w:val="21"/>
      </w:rPr>
    </w:lvl>
    <w:lvl w:ilvl="3">
      <w:start w:val="1"/>
      <w:numFmt w:val="decimal"/>
      <w:isLgl w:val="false"/>
      <w:suff w:val="nothing"/>
      <w:lvlText w:val="%1.%2.%3.%4　"/>
      <w:lvlJc w:val="left"/>
      <w:pPr>
        <w:ind w:left="71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pStyle w:val="115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1004" w:hanging="720"/>
      </w:pPr>
      <w:rPr>
        <w:rFonts w:hint="default"/>
      </w:r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5">
    <w:multiLevelType w:val="hybridMultilevel"/>
    <w:lvl w:ilvl="0">
      <w:start w:val="1"/>
      <w:numFmt w:val="decimal"/>
      <w:pStyle w:val="1000"/>
      <w:isLgl w:val="false"/>
      <w:suff w:val="tab"/>
      <w:lvlText w:val="第%1章"/>
      <w:lvlJc w:val="center"/>
      <w:pPr>
        <w:ind w:left="0" w:firstLine="288"/>
        <w:tabs>
          <w:tab w:val="left" w:pos="0" w:leader="none"/>
        </w:tabs>
      </w:pPr>
      <w:rPr>
        <w:rFonts w:hint="default" w:ascii="Arial" w:hAnsi="Arial" w:eastAsia="仿宋_GB2312"/>
        <w:b w:val="0"/>
        <w:i w:val="0"/>
        <w:sz w:val="30"/>
        <w:szCs w:val="30"/>
      </w:rPr>
    </w:lvl>
    <w:lvl w:ilvl="1">
      <w:start w:val="1"/>
      <w:numFmt w:val="decimal"/>
      <w:isLgl/>
      <w:suff w:val="tab"/>
      <w:lvlText w:val="%1.%2."/>
      <w:lvlJc w:val="left"/>
      <w:pPr>
        <w:ind w:left="0" w:firstLine="0"/>
        <w:tabs>
          <w:tab w:val="left" w:pos="0" w:leader="none"/>
        </w:tabs>
      </w:pPr>
      <w:rPr>
        <w:rFonts w:hint="default"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hint="default"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hint="default"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hint="default"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hint="default"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hint="default"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hint="default" w:ascii="Arial" w:hAnsi="Arial" w:eastAsia="黑体"/>
        <w:b w:val="0"/>
        <w:i w:val="0"/>
        <w:sz w:val="24"/>
        <w:szCs w:val="24"/>
      </w:rPr>
    </w:lvl>
    <w:lvl w:ilvl="8">
      <w:start w:val="1"/>
      <w:numFmt w:val="decimal"/>
      <w:pStyle w:val="1012"/>
      <w:isLgl w:val="false"/>
      <w:suff w:val="tab"/>
      <w:lvlText w:val="%1.%2.%3.%4.%5.%6.%7.%8.%9."/>
      <w:lvlJc w:val="left"/>
      <w:pPr>
        <w:ind w:left="0" w:firstLine="0"/>
        <w:tabs>
          <w:tab w:val="left" w:pos="0" w:leader="none"/>
        </w:tabs>
      </w:pPr>
      <w:rPr>
        <w:rFonts w:hint="default" w:ascii="Arial" w:hAnsi="Arial" w:eastAsia="黑体"/>
        <w:b w:val="0"/>
        <w:i w:val="0"/>
        <w:sz w:val="24"/>
        <w:szCs w:val="24"/>
      </w:rPr>
    </w:lvl>
  </w:abstractNum>
  <w:num w:numId="1">
    <w:abstractNumId w:val="5"/>
  </w:num>
  <w:num w:numId="2">
    <w:abstractNumId w:val="1"/>
  </w:num>
  <w:num w:numId="3">
    <w:abstractNumId w:val="3"/>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994"/>
    <w:link w:val="985"/>
    <w:uiPriority w:val="9"/>
    <w:rPr>
      <w:rFonts w:ascii="Arial" w:hAnsi="Arial" w:eastAsia="Arial" w:cs="Arial"/>
      <w:sz w:val="40"/>
      <w:szCs w:val="40"/>
    </w:rPr>
  </w:style>
  <w:style w:type="character" w:styleId="835">
    <w:name w:val="Heading 2 Char"/>
    <w:basedOn w:val="994"/>
    <w:link w:val="986"/>
    <w:uiPriority w:val="9"/>
    <w:rPr>
      <w:rFonts w:ascii="Arial" w:hAnsi="Arial" w:eastAsia="Arial" w:cs="Arial"/>
      <w:sz w:val="34"/>
    </w:rPr>
  </w:style>
  <w:style w:type="character" w:styleId="836">
    <w:name w:val="Heading 3 Char"/>
    <w:basedOn w:val="994"/>
    <w:link w:val="987"/>
    <w:uiPriority w:val="9"/>
    <w:rPr>
      <w:rFonts w:ascii="Arial" w:hAnsi="Arial" w:eastAsia="Arial" w:cs="Arial"/>
      <w:sz w:val="30"/>
      <w:szCs w:val="30"/>
    </w:rPr>
  </w:style>
  <w:style w:type="character" w:styleId="837">
    <w:name w:val="Heading 4 Char"/>
    <w:basedOn w:val="994"/>
    <w:link w:val="988"/>
    <w:uiPriority w:val="9"/>
    <w:rPr>
      <w:rFonts w:ascii="Arial" w:hAnsi="Arial" w:eastAsia="Arial" w:cs="Arial"/>
      <w:b/>
      <w:bCs/>
      <w:sz w:val="26"/>
      <w:szCs w:val="26"/>
    </w:rPr>
  </w:style>
  <w:style w:type="character" w:styleId="838">
    <w:name w:val="Heading 5 Char"/>
    <w:basedOn w:val="994"/>
    <w:link w:val="989"/>
    <w:uiPriority w:val="9"/>
    <w:rPr>
      <w:rFonts w:ascii="Arial" w:hAnsi="Arial" w:eastAsia="Arial" w:cs="Arial"/>
      <w:b/>
      <w:bCs/>
      <w:sz w:val="24"/>
      <w:szCs w:val="24"/>
    </w:rPr>
  </w:style>
  <w:style w:type="character" w:styleId="839">
    <w:name w:val="Heading 6 Char"/>
    <w:basedOn w:val="994"/>
    <w:link w:val="990"/>
    <w:uiPriority w:val="9"/>
    <w:rPr>
      <w:rFonts w:ascii="Arial" w:hAnsi="Arial" w:eastAsia="Arial" w:cs="Arial"/>
      <w:b/>
      <w:bCs/>
      <w:sz w:val="22"/>
      <w:szCs w:val="22"/>
    </w:rPr>
  </w:style>
  <w:style w:type="character" w:styleId="840">
    <w:name w:val="Heading 7 Char"/>
    <w:basedOn w:val="994"/>
    <w:link w:val="991"/>
    <w:uiPriority w:val="9"/>
    <w:rPr>
      <w:rFonts w:ascii="Arial" w:hAnsi="Arial" w:eastAsia="Arial" w:cs="Arial"/>
      <w:b/>
      <w:bCs/>
      <w:i/>
      <w:iCs/>
      <w:sz w:val="22"/>
      <w:szCs w:val="22"/>
    </w:rPr>
  </w:style>
  <w:style w:type="character" w:styleId="841">
    <w:name w:val="Heading 8 Char"/>
    <w:basedOn w:val="994"/>
    <w:link w:val="992"/>
    <w:uiPriority w:val="9"/>
    <w:rPr>
      <w:rFonts w:ascii="Arial" w:hAnsi="Arial" w:eastAsia="Arial" w:cs="Arial"/>
      <w:i/>
      <w:iCs/>
      <w:sz w:val="22"/>
      <w:szCs w:val="22"/>
    </w:rPr>
  </w:style>
  <w:style w:type="character" w:styleId="842">
    <w:name w:val="Heading 9 Char"/>
    <w:basedOn w:val="994"/>
    <w:link w:val="993"/>
    <w:uiPriority w:val="9"/>
    <w:rPr>
      <w:rFonts w:ascii="Arial" w:hAnsi="Arial" w:eastAsia="Arial" w:cs="Arial"/>
      <w:i/>
      <w:iCs/>
      <w:sz w:val="21"/>
      <w:szCs w:val="21"/>
    </w:rPr>
  </w:style>
  <w:style w:type="character" w:styleId="843">
    <w:name w:val="Title Char"/>
    <w:basedOn w:val="994"/>
    <w:link w:val="1024"/>
    <w:uiPriority w:val="10"/>
    <w:rPr>
      <w:sz w:val="48"/>
      <w:szCs w:val="48"/>
    </w:rPr>
  </w:style>
  <w:style w:type="character" w:styleId="844">
    <w:name w:val="Subtitle Char"/>
    <w:basedOn w:val="994"/>
    <w:link w:val="1018"/>
    <w:uiPriority w:val="11"/>
    <w:rPr>
      <w:sz w:val="24"/>
      <w:szCs w:val="24"/>
    </w:rPr>
  </w:style>
  <w:style w:type="paragraph" w:styleId="845">
    <w:name w:val="Quote"/>
    <w:basedOn w:val="984"/>
    <w:next w:val="984"/>
    <w:link w:val="846"/>
    <w:uiPriority w:val="29"/>
    <w:qFormat/>
    <w:pPr>
      <w:ind w:left="720" w:right="720"/>
    </w:pPr>
    <w:rPr>
      <w:i/>
    </w:rPr>
  </w:style>
  <w:style w:type="character" w:styleId="846">
    <w:name w:val="Quote Char"/>
    <w:link w:val="845"/>
    <w:uiPriority w:val="29"/>
    <w:rPr>
      <w:i/>
    </w:rPr>
  </w:style>
  <w:style w:type="paragraph" w:styleId="847">
    <w:name w:val="Intense Quote"/>
    <w:basedOn w:val="984"/>
    <w:next w:val="984"/>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name w:val="Intense Quote Char"/>
    <w:link w:val="847"/>
    <w:uiPriority w:val="30"/>
    <w:rPr>
      <w:i/>
    </w:rPr>
  </w:style>
  <w:style w:type="character" w:styleId="849">
    <w:name w:val="Header Char"/>
    <w:basedOn w:val="994"/>
    <w:link w:val="1015"/>
    <w:uiPriority w:val="99"/>
  </w:style>
  <w:style w:type="character" w:styleId="850">
    <w:name w:val="Footer Char"/>
    <w:basedOn w:val="994"/>
    <w:link w:val="1014"/>
    <w:uiPriority w:val="99"/>
  </w:style>
  <w:style w:type="character" w:styleId="851">
    <w:name w:val="Caption Char"/>
    <w:basedOn w:val="999"/>
    <w:link w:val="1014"/>
    <w:uiPriority w:val="99"/>
  </w:style>
  <w:style w:type="table" w:styleId="852">
    <w:name w:val="Table Grid Light"/>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7">
    <w:name w:val="footnote text"/>
    <w:basedOn w:val="98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basedOn w:val="994"/>
    <w:uiPriority w:val="99"/>
    <w:unhideWhenUsed/>
    <w:rPr>
      <w:vertAlign w:val="superscript"/>
    </w:rPr>
  </w:style>
  <w:style w:type="paragraph" w:styleId="980">
    <w:name w:val="endnote text"/>
    <w:basedOn w:val="98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basedOn w:val="994"/>
    <w:uiPriority w:val="99"/>
    <w:semiHidden/>
    <w:unhideWhenUsed/>
    <w:rPr>
      <w:vertAlign w:val="superscript"/>
    </w:rPr>
  </w:style>
  <w:style w:type="paragraph" w:styleId="983">
    <w:name w:val="TOC Heading"/>
    <w:uiPriority w:val="39"/>
    <w:unhideWhenUsed/>
  </w:style>
  <w:style w:type="paragraph" w:styleId="984" w:default="1">
    <w:name w:val="Normal"/>
    <w:next w:val="989"/>
    <w:uiPriority w:val="0"/>
    <w:qFormat/>
    <w:pPr>
      <w:widowControl w:val="off"/>
    </w:pPr>
    <w:rPr>
      <w:rFonts w:ascii="宋体" w:hAnsi="Times New Roman" w:eastAsia="宋体" w:cs="Times New Roman"/>
      <w:lang w:val="en-US" w:eastAsia="zh-CN" w:bidi="ar-SA"/>
    </w:rPr>
  </w:style>
  <w:style w:type="paragraph" w:styleId="985">
    <w:name w:val="Heading 1"/>
    <w:basedOn w:val="984"/>
    <w:next w:val="984"/>
    <w:link w:val="1033"/>
    <w:uiPriority w:val="9"/>
    <w:qFormat/>
    <w:pPr>
      <w:jc w:val="both"/>
      <w:keepLines/>
      <w:keepNext/>
      <w:spacing w:before="340" w:after="330" w:line="578" w:lineRule="auto"/>
      <w:outlineLvl w:val="0"/>
    </w:pPr>
    <w:rPr>
      <w:rFonts w:ascii="Times New Roman"/>
      <w:b/>
      <w:bCs/>
      <w:sz w:val="44"/>
      <w:szCs w:val="44"/>
    </w:rPr>
  </w:style>
  <w:style w:type="paragraph" w:styleId="986">
    <w:name w:val="Heading 2"/>
    <w:basedOn w:val="984"/>
    <w:next w:val="984"/>
    <w:link w:val="1034"/>
    <w:uiPriority w:val="9"/>
    <w:qFormat/>
    <w:pPr>
      <w:jc w:val="both"/>
      <w:keepLines/>
      <w:keepNext/>
      <w:spacing w:before="260" w:after="260" w:line="416" w:lineRule="auto"/>
      <w:outlineLvl w:val="1"/>
    </w:pPr>
    <w:rPr>
      <w:rFonts w:ascii="Arial" w:hAnsi="Arial" w:eastAsia="黑体"/>
      <w:b/>
      <w:bCs/>
      <w:sz w:val="32"/>
      <w:szCs w:val="32"/>
    </w:rPr>
  </w:style>
  <w:style w:type="paragraph" w:styleId="987">
    <w:name w:val="Heading 3"/>
    <w:basedOn w:val="984"/>
    <w:next w:val="984"/>
    <w:link w:val="1035"/>
    <w:uiPriority w:val="9"/>
    <w:qFormat/>
    <w:pPr>
      <w:jc w:val="both"/>
      <w:keepLines/>
      <w:keepNext/>
      <w:spacing w:before="260" w:after="260" w:line="416" w:lineRule="auto"/>
      <w:outlineLvl w:val="2"/>
    </w:pPr>
    <w:rPr>
      <w:rFonts w:ascii="Times New Roman"/>
      <w:b/>
      <w:bCs/>
      <w:sz w:val="32"/>
      <w:szCs w:val="32"/>
    </w:rPr>
  </w:style>
  <w:style w:type="paragraph" w:styleId="988">
    <w:name w:val="Heading 4"/>
    <w:basedOn w:val="984"/>
    <w:next w:val="984"/>
    <w:link w:val="1036"/>
    <w:uiPriority w:val="9"/>
    <w:qFormat/>
    <w:pPr>
      <w:jc w:val="both"/>
      <w:keepLines/>
      <w:keepNext/>
      <w:spacing w:before="280" w:after="290" w:line="376" w:lineRule="auto"/>
      <w:outlineLvl w:val="3"/>
    </w:pPr>
    <w:rPr>
      <w:rFonts w:ascii="Arial" w:hAnsi="Arial" w:eastAsia="黑体"/>
      <w:b/>
      <w:bCs/>
      <w:sz w:val="28"/>
      <w:szCs w:val="28"/>
    </w:rPr>
  </w:style>
  <w:style w:type="paragraph" w:styleId="989">
    <w:name w:val="Heading 5"/>
    <w:basedOn w:val="984"/>
    <w:next w:val="996"/>
    <w:link w:val="1230"/>
    <w:uiPriority w:val="9"/>
    <w:qFormat/>
    <w:pPr>
      <w:keepLines/>
      <w:keepNext/>
      <w:spacing w:before="280" w:after="290" w:line="376" w:lineRule="auto"/>
      <w:outlineLvl w:val="4"/>
    </w:pPr>
    <w:rPr>
      <w:b/>
      <w:bCs/>
      <w:sz w:val="28"/>
      <w:szCs w:val="28"/>
    </w:rPr>
  </w:style>
  <w:style w:type="paragraph" w:styleId="990">
    <w:name w:val="Heading 6"/>
    <w:basedOn w:val="984"/>
    <w:next w:val="984"/>
    <w:link w:val="1247"/>
    <w:uiPriority w:val="0"/>
    <w:qFormat/>
    <w:pPr>
      <w:keepLines/>
      <w:keepNext/>
      <w:spacing w:before="240" w:after="64" w:line="320" w:lineRule="auto"/>
      <w:outlineLvl w:val="5"/>
    </w:pPr>
    <w:rPr>
      <w:rFonts w:ascii="Arial" w:hAnsi="Arial" w:eastAsia="黑体"/>
      <w:b/>
      <w:bCs/>
      <w:sz w:val="24"/>
      <w:szCs w:val="24"/>
    </w:rPr>
  </w:style>
  <w:style w:type="paragraph" w:styleId="991">
    <w:name w:val="Heading 7"/>
    <w:basedOn w:val="984"/>
    <w:next w:val="984"/>
    <w:link w:val="1182"/>
    <w:uiPriority w:val="0"/>
    <w:unhideWhenUsed/>
    <w:qFormat/>
    <w:pPr>
      <w:ind w:left="1296" w:hanging="1296"/>
      <w:jc w:val="both"/>
      <w:keepLines/>
      <w:keepNext/>
      <w:spacing w:before="240" w:after="64" w:line="320" w:lineRule="auto"/>
      <w:outlineLvl w:val="6"/>
    </w:pPr>
    <w:rPr>
      <w:rFonts w:asciiTheme="minorHAnsi" w:hAnsiTheme="minorHAnsi" w:eastAsiaTheme="minorEastAsia" w:cstheme="minorBidi"/>
      <w:b/>
      <w:bCs/>
      <w:sz w:val="24"/>
      <w:szCs w:val="24"/>
    </w:rPr>
  </w:style>
  <w:style w:type="paragraph" w:styleId="992">
    <w:name w:val="Heading 8"/>
    <w:basedOn w:val="984"/>
    <w:next w:val="984"/>
    <w:link w:val="1252"/>
    <w:uiPriority w:val="0"/>
    <w:qFormat/>
    <w:pPr>
      <w:keepLines/>
      <w:keepNext/>
      <w:spacing w:before="240" w:after="64" w:line="320" w:lineRule="auto"/>
      <w:outlineLvl w:val="7"/>
    </w:pPr>
    <w:rPr>
      <w:rFonts w:ascii="Arial" w:hAnsi="Arial" w:eastAsia="黑体"/>
      <w:sz w:val="24"/>
      <w:szCs w:val="24"/>
    </w:rPr>
  </w:style>
  <w:style w:type="paragraph" w:styleId="993">
    <w:name w:val="Heading 9"/>
    <w:basedOn w:val="984"/>
    <w:next w:val="984"/>
    <w:link w:val="1253"/>
    <w:uiPriority w:val="0"/>
    <w:qFormat/>
    <w:pPr>
      <w:keepLines/>
      <w:keepNext/>
      <w:spacing w:before="240" w:after="64" w:line="320" w:lineRule="auto"/>
      <w:outlineLvl w:val="8"/>
    </w:pPr>
    <w:rPr>
      <w:rFonts w:ascii="Arial" w:hAnsi="Arial" w:eastAsia="黑体"/>
      <w:sz w:val="21"/>
      <w:szCs w:val="21"/>
    </w:rPr>
  </w:style>
  <w:style w:type="character" w:styleId="994" w:default="1">
    <w:name w:val="Default Paragraph Font"/>
    <w:uiPriority w:val="1"/>
    <w:semiHidden/>
    <w:unhideWhenUsed/>
    <w:qFormat/>
  </w:style>
  <w:style w:type="table" w:styleId="995" w:default="1">
    <w:name w:val="Normal Table"/>
    <w:uiPriority w:val="99"/>
    <w:semiHidden/>
    <w:unhideWhenUsed/>
    <w:qFormat/>
    <w:tblPr>
      <w:tblCellMar>
        <w:left w:w="108" w:type="dxa"/>
        <w:top w:w="0" w:type="dxa"/>
        <w:right w:w="108" w:type="dxa"/>
        <w:bottom w:w="0" w:type="dxa"/>
      </w:tblCellMar>
    </w:tblPr>
  </w:style>
  <w:style w:type="paragraph" w:styleId="996">
    <w:name w:val="Normal (Web)"/>
    <w:basedOn w:val="984"/>
    <w:uiPriority w:val="99"/>
    <w:qFormat/>
    <w:pPr>
      <w:spacing w:before="100" w:beforeAutospacing="1" w:after="100" w:afterAutospacing="1"/>
      <w:widowControl/>
    </w:pPr>
    <w:rPr>
      <w:rFonts w:ascii="Times New Roman"/>
      <w:sz w:val="24"/>
      <w:szCs w:val="24"/>
    </w:rPr>
  </w:style>
  <w:style w:type="paragraph" w:styleId="997">
    <w:name w:val="toc 7"/>
    <w:basedOn w:val="984"/>
    <w:next w:val="984"/>
    <w:uiPriority w:val="39"/>
    <w:qFormat/>
    <w:pPr>
      <w:ind w:left="1200"/>
    </w:pPr>
    <w:rPr>
      <w:rFonts w:ascii="Calibri" w:hAnsi="Calibri"/>
      <w:sz w:val="18"/>
      <w:szCs w:val="18"/>
    </w:rPr>
  </w:style>
  <w:style w:type="paragraph" w:styleId="998">
    <w:name w:val="Normal Indent"/>
    <w:basedOn w:val="984"/>
    <w:link w:val="1044"/>
    <w:uiPriority w:val="0"/>
    <w:qFormat/>
    <w:pPr>
      <w:ind w:firstLine="420"/>
      <w:jc w:val="both"/>
    </w:pPr>
    <w:rPr>
      <w:rFonts w:ascii="Times New Roman"/>
      <w:sz w:val="21"/>
      <w:szCs w:val="21"/>
    </w:rPr>
  </w:style>
  <w:style w:type="paragraph" w:styleId="999">
    <w:name w:val="Caption"/>
    <w:basedOn w:val="984"/>
    <w:next w:val="984"/>
    <w:link w:val="1226"/>
    <w:uiPriority w:val="35"/>
    <w:qFormat/>
    <w:pPr>
      <w:jc w:val="both"/>
      <w:spacing w:line="360" w:lineRule="auto"/>
    </w:pPr>
    <w:rPr>
      <w:rFonts w:ascii="Arial" w:hAnsi="Arial" w:eastAsia="黑体"/>
      <w:lang w:val="zh-CN"/>
    </w:rPr>
  </w:style>
  <w:style w:type="paragraph" w:styleId="1000">
    <w:name w:val="List Bullet"/>
    <w:basedOn w:val="984"/>
    <w:uiPriority w:val="0"/>
    <w:qFormat/>
    <w:pPr>
      <w:numPr>
        <w:ilvl w:val="0"/>
        <w:numId w:val="1"/>
      </w:numPr>
      <w:jc w:val="both"/>
      <w:spacing w:line="360" w:lineRule="atLeast"/>
      <w:tabs>
        <w:tab w:val="left" w:pos="360" w:leader="none"/>
      </w:tabs>
    </w:pPr>
    <w:rPr>
      <w:rFonts w:ascii="Arial" w:hAnsi="Arial"/>
      <w:sz w:val="21"/>
      <w:szCs w:val="21"/>
    </w:rPr>
  </w:style>
  <w:style w:type="paragraph" w:styleId="1001">
    <w:name w:val="Document Map"/>
    <w:basedOn w:val="984"/>
    <w:link w:val="1052"/>
    <w:uiPriority w:val="99"/>
    <w:qFormat/>
    <w:rPr>
      <w:rFonts w:eastAsia="仿宋_GB2312"/>
      <w:sz w:val="18"/>
      <w:szCs w:val="18"/>
    </w:rPr>
  </w:style>
  <w:style w:type="paragraph" w:styleId="1002">
    <w:name w:val="toa heading"/>
    <w:basedOn w:val="984"/>
    <w:next w:val="984"/>
    <w:uiPriority w:val="0"/>
    <w:qFormat/>
    <w:pPr>
      <w:jc w:val="both"/>
      <w:spacing w:before="120"/>
    </w:pPr>
    <w:rPr>
      <w:rFonts w:ascii="Arial" w:hAnsi="Arial" w:cs="Arial"/>
      <w:sz w:val="24"/>
      <w:szCs w:val="24"/>
    </w:rPr>
  </w:style>
  <w:style w:type="paragraph" w:styleId="1003">
    <w:name w:val="annotation text"/>
    <w:basedOn w:val="984"/>
    <w:link w:val="1041"/>
    <w:uiPriority w:val="0"/>
    <w:qFormat/>
  </w:style>
  <w:style w:type="paragraph" w:styleId="1004">
    <w:name w:val="Body Text 3"/>
    <w:basedOn w:val="984"/>
    <w:link w:val="1240"/>
    <w:uiPriority w:val="99"/>
    <w:unhideWhenUsed/>
    <w:qFormat/>
    <w:pPr>
      <w:ind w:firstLine="200"/>
      <w:jc w:val="both"/>
      <w:spacing w:after="120" w:line="360" w:lineRule="auto"/>
    </w:pPr>
    <w:rPr>
      <w:rFonts w:ascii="Times New Roman" w:eastAsiaTheme="minorEastAsia" w:cstheme="minorBidi"/>
      <w:sz w:val="16"/>
      <w:szCs w:val="16"/>
    </w:rPr>
  </w:style>
  <w:style w:type="paragraph" w:styleId="1005">
    <w:name w:val="Body Text"/>
    <w:basedOn w:val="984"/>
    <w:link w:val="1184"/>
    <w:uiPriority w:val="0"/>
    <w:qFormat/>
    <w:pPr>
      <w:jc w:val="center"/>
    </w:pPr>
    <w:rPr>
      <w:rFonts w:ascii="Times New Roman"/>
      <w:sz w:val="44"/>
      <w:szCs w:val="24"/>
    </w:rPr>
  </w:style>
  <w:style w:type="paragraph" w:styleId="1006">
    <w:name w:val="Body Text Indent"/>
    <w:basedOn w:val="984"/>
    <w:link w:val="1068"/>
    <w:uiPriority w:val="0"/>
    <w:qFormat/>
    <w:pPr>
      <w:ind w:left="420"/>
      <w:spacing w:after="120"/>
    </w:pPr>
  </w:style>
  <w:style w:type="paragraph" w:styleId="1007">
    <w:name w:val="toc 5"/>
    <w:basedOn w:val="984"/>
    <w:next w:val="984"/>
    <w:uiPriority w:val="39"/>
    <w:qFormat/>
    <w:pPr>
      <w:ind w:left="800"/>
    </w:pPr>
    <w:rPr>
      <w:rFonts w:ascii="Calibri" w:hAnsi="Calibri"/>
      <w:sz w:val="18"/>
      <w:szCs w:val="18"/>
    </w:rPr>
  </w:style>
  <w:style w:type="paragraph" w:styleId="1008">
    <w:name w:val="toc 3"/>
    <w:basedOn w:val="984"/>
    <w:next w:val="984"/>
    <w:uiPriority w:val="39"/>
    <w:qFormat/>
    <w:pPr>
      <w:ind w:left="400"/>
    </w:pPr>
    <w:rPr>
      <w:rFonts w:ascii="Calibri" w:hAnsi="Calibri"/>
      <w:iCs/>
    </w:rPr>
  </w:style>
  <w:style w:type="paragraph" w:styleId="1009">
    <w:name w:val="Plain Text"/>
    <w:basedOn w:val="984"/>
    <w:link w:val="1053"/>
    <w:uiPriority w:val="0"/>
    <w:qFormat/>
    <w:pPr>
      <w:jc w:val="both"/>
    </w:pPr>
    <w:rPr>
      <w:rFonts w:hAnsi="Courier New" w:eastAsia="仿宋_GB2312" w:cs="Courier New"/>
      <w:sz w:val="21"/>
      <w:szCs w:val="21"/>
    </w:rPr>
  </w:style>
  <w:style w:type="paragraph" w:styleId="1010">
    <w:name w:val="toc 8"/>
    <w:basedOn w:val="984"/>
    <w:next w:val="984"/>
    <w:uiPriority w:val="39"/>
    <w:qFormat/>
    <w:pPr>
      <w:ind w:left="1400"/>
    </w:pPr>
    <w:rPr>
      <w:rFonts w:ascii="Calibri" w:hAnsi="Calibri"/>
      <w:sz w:val="18"/>
      <w:szCs w:val="18"/>
    </w:rPr>
  </w:style>
  <w:style w:type="paragraph" w:styleId="1011">
    <w:name w:val="Date"/>
    <w:basedOn w:val="984"/>
    <w:next w:val="984"/>
    <w:link w:val="1037"/>
    <w:uiPriority w:val="0"/>
    <w:qFormat/>
    <w:pPr>
      <w:jc w:val="both"/>
    </w:pPr>
    <w:rPr>
      <w:rFonts w:ascii="仿宋_GB2312" w:eastAsia="仿宋_GB2312"/>
      <w:sz w:val="21"/>
      <w:szCs w:val="24"/>
    </w:rPr>
  </w:style>
  <w:style w:type="paragraph" w:styleId="1012">
    <w:name w:val="Body Text Indent 2"/>
    <w:basedOn w:val="984"/>
    <w:uiPriority w:val="0"/>
    <w:qFormat/>
    <w:pPr>
      <w:numPr>
        <w:ilvl w:val="8"/>
        <w:numId w:val="1"/>
      </w:numPr>
      <w:ind w:firstLine="540"/>
      <w:jc w:val="both"/>
      <w:tabs>
        <w:tab w:val="clear" w:pos="0" w:leader="none"/>
      </w:tabs>
    </w:pPr>
    <w:rPr>
      <w:sz w:val="32"/>
      <w:szCs w:val="24"/>
    </w:rPr>
  </w:style>
  <w:style w:type="paragraph" w:styleId="1013">
    <w:name w:val="Balloon Text"/>
    <w:basedOn w:val="984"/>
    <w:link w:val="1183"/>
    <w:uiPriority w:val="99"/>
    <w:qFormat/>
    <w:rPr>
      <w:sz w:val="18"/>
      <w:szCs w:val="18"/>
    </w:rPr>
  </w:style>
  <w:style w:type="paragraph" w:styleId="1014">
    <w:name w:val="Footer"/>
    <w:basedOn w:val="984"/>
    <w:link w:val="1050"/>
    <w:uiPriority w:val="99"/>
    <w:qFormat/>
    <w:pPr>
      <w:tabs>
        <w:tab w:val="center" w:pos="4153" w:leader="none"/>
        <w:tab w:val="right" w:pos="8306" w:leader="none"/>
      </w:tabs>
    </w:pPr>
    <w:rPr>
      <w:sz w:val="18"/>
      <w:szCs w:val="18"/>
    </w:rPr>
  </w:style>
  <w:style w:type="paragraph" w:styleId="1015">
    <w:name w:val="Header"/>
    <w:basedOn w:val="984"/>
    <w:link w:val="1177"/>
    <w:uiPriority w:val="99"/>
    <w:qFormat/>
    <w:pPr>
      <w:jc w:val="center"/>
      <w:tabs>
        <w:tab w:val="center" w:pos="4153" w:leader="none"/>
        <w:tab w:val="right" w:pos="8306" w:leader="none"/>
      </w:tabs>
      <w:pBdr>
        <w:bottom w:val="single" w:color="auto" w:sz="6" w:space="1"/>
      </w:pBdr>
    </w:pPr>
    <w:rPr>
      <w:sz w:val="18"/>
      <w:szCs w:val="18"/>
    </w:rPr>
  </w:style>
  <w:style w:type="paragraph" w:styleId="1016">
    <w:name w:val="toc 1"/>
    <w:basedOn w:val="984"/>
    <w:next w:val="984"/>
    <w:uiPriority w:val="39"/>
    <w:qFormat/>
    <w:pPr>
      <w:spacing w:before="120" w:after="120"/>
    </w:pPr>
    <w:rPr>
      <w:rFonts w:ascii="Calibri" w:hAnsi="Calibri"/>
      <w:b/>
      <w:bCs/>
      <w:caps/>
    </w:rPr>
  </w:style>
  <w:style w:type="paragraph" w:styleId="1017">
    <w:name w:val="toc 4"/>
    <w:basedOn w:val="984"/>
    <w:next w:val="984"/>
    <w:uiPriority w:val="39"/>
    <w:qFormat/>
    <w:pPr>
      <w:ind w:left="600"/>
    </w:pPr>
    <w:rPr>
      <w:rFonts w:ascii="Calibri" w:hAnsi="Calibri"/>
      <w:sz w:val="18"/>
      <w:szCs w:val="18"/>
    </w:rPr>
  </w:style>
  <w:style w:type="paragraph" w:styleId="1018">
    <w:name w:val="Subtitle"/>
    <w:basedOn w:val="984"/>
    <w:next w:val="984"/>
    <w:link w:val="1227"/>
    <w:uiPriority w:val="11"/>
    <w:qFormat/>
    <w:pPr>
      <w:jc w:val="center"/>
      <w:spacing w:after="120" w:line="360" w:lineRule="auto"/>
    </w:pPr>
    <w:rPr>
      <w:rFonts w:ascii="Times New Roman" w:cstheme="majorBidi"/>
      <w:bCs/>
      <w:sz w:val="24"/>
      <w:szCs w:val="32"/>
    </w:rPr>
  </w:style>
  <w:style w:type="paragraph" w:styleId="1019">
    <w:name w:val="toc 6"/>
    <w:basedOn w:val="984"/>
    <w:next w:val="984"/>
    <w:uiPriority w:val="39"/>
    <w:qFormat/>
    <w:pPr>
      <w:ind w:left="1000"/>
    </w:pPr>
    <w:rPr>
      <w:rFonts w:ascii="Calibri" w:hAnsi="Calibri"/>
      <w:sz w:val="18"/>
      <w:szCs w:val="18"/>
    </w:rPr>
  </w:style>
  <w:style w:type="paragraph" w:styleId="1020">
    <w:name w:val="Body Text Indent 3"/>
    <w:basedOn w:val="984"/>
    <w:link w:val="1239"/>
    <w:uiPriority w:val="99"/>
    <w:qFormat/>
    <w:pPr>
      <w:ind w:left="420"/>
      <w:jc w:val="both"/>
      <w:spacing w:after="120" w:line="360" w:lineRule="auto"/>
    </w:pPr>
    <w:rPr>
      <w:rFonts w:ascii="Times New Roman"/>
      <w:sz w:val="16"/>
      <w:szCs w:val="16"/>
    </w:rPr>
  </w:style>
  <w:style w:type="paragraph" w:styleId="1021">
    <w:name w:val="table of figures"/>
    <w:basedOn w:val="984"/>
    <w:next w:val="984"/>
    <w:uiPriority w:val="99"/>
    <w:semiHidden/>
    <w:unhideWhenUsed/>
    <w:qFormat/>
    <w:pPr>
      <w:ind w:left="200" w:hanging="200"/>
      <w:jc w:val="both"/>
      <w:spacing w:line="360" w:lineRule="auto"/>
    </w:pPr>
    <w:rPr>
      <w:rFonts w:ascii="Times New Roman" w:eastAsiaTheme="minorEastAsia" w:cstheme="minorBidi"/>
      <w:sz w:val="24"/>
      <w:szCs w:val="21"/>
    </w:rPr>
  </w:style>
  <w:style w:type="paragraph" w:styleId="1022">
    <w:name w:val="toc 2"/>
    <w:basedOn w:val="984"/>
    <w:next w:val="984"/>
    <w:uiPriority w:val="39"/>
    <w:qFormat/>
    <w:pPr>
      <w:ind w:left="200"/>
    </w:pPr>
    <w:rPr>
      <w:rFonts w:ascii="Calibri" w:hAnsi="Calibri"/>
      <w:smallCaps/>
    </w:rPr>
  </w:style>
  <w:style w:type="paragraph" w:styleId="1023">
    <w:name w:val="toc 9"/>
    <w:basedOn w:val="984"/>
    <w:next w:val="984"/>
    <w:uiPriority w:val="39"/>
    <w:qFormat/>
    <w:pPr>
      <w:ind w:left="1600"/>
    </w:pPr>
    <w:rPr>
      <w:rFonts w:ascii="Calibri" w:hAnsi="Calibri"/>
      <w:sz w:val="18"/>
      <w:szCs w:val="18"/>
    </w:rPr>
  </w:style>
  <w:style w:type="paragraph" w:styleId="1024">
    <w:name w:val="Title"/>
    <w:basedOn w:val="984"/>
    <w:next w:val="984"/>
    <w:link w:val="1040"/>
    <w:uiPriority w:val="10"/>
    <w:qFormat/>
    <w:pPr>
      <w:jc w:val="center"/>
      <w:spacing w:before="240" w:after="60"/>
      <w:outlineLvl w:val="0"/>
    </w:pPr>
    <w:rPr>
      <w:rFonts w:ascii="Cambria" w:hAnsi="Cambria"/>
      <w:b/>
      <w:bCs/>
      <w:sz w:val="32"/>
      <w:szCs w:val="32"/>
    </w:rPr>
  </w:style>
  <w:style w:type="paragraph" w:styleId="1025">
    <w:name w:val="annotation subject"/>
    <w:basedOn w:val="1003"/>
    <w:next w:val="1003"/>
    <w:link w:val="1242"/>
    <w:uiPriority w:val="99"/>
    <w:qFormat/>
    <w:rPr>
      <w:b/>
      <w:bCs/>
    </w:rPr>
  </w:style>
  <w:style w:type="table" w:styleId="1026">
    <w:name w:val="Table Grid"/>
    <w:basedOn w:val="9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7">
    <w:name w:val="Strong"/>
    <w:uiPriority w:val="22"/>
    <w:qFormat/>
    <w:rPr>
      <w:rFonts w:ascii="仿宋_GB2312" w:eastAsia="仿宋_GB2312"/>
      <w:bCs/>
      <w:sz w:val="24"/>
      <w:szCs w:val="24"/>
      <w:lang w:val="en-US" w:eastAsia="zh-CN" w:bidi="ar-SA"/>
    </w:rPr>
  </w:style>
  <w:style w:type="character" w:styleId="1028">
    <w:name w:val="page number"/>
    <w:basedOn w:val="994"/>
    <w:uiPriority w:val="0"/>
    <w:qFormat/>
  </w:style>
  <w:style w:type="character" w:styleId="1029">
    <w:name w:val="FollowedHyperlink"/>
    <w:uiPriority w:val="99"/>
    <w:qFormat/>
    <w:rPr>
      <w:rFonts w:ascii="仿宋_GB2312" w:eastAsia="仿宋_GB2312"/>
      <w:b/>
      <w:color w:val="800080"/>
      <w:sz w:val="24"/>
      <w:szCs w:val="24"/>
      <w:u w:val="single"/>
      <w:lang w:val="en-US" w:eastAsia="zh-CN" w:bidi="ar-SA"/>
    </w:rPr>
  </w:style>
  <w:style w:type="character" w:styleId="1030">
    <w:name w:val="Emphasis"/>
    <w:basedOn w:val="994"/>
    <w:uiPriority w:val="20"/>
    <w:qFormat/>
    <w:rPr>
      <w:i/>
    </w:rPr>
  </w:style>
  <w:style w:type="character" w:styleId="1031">
    <w:name w:val="Hyperlink"/>
    <w:uiPriority w:val="99"/>
    <w:qFormat/>
    <w:rPr>
      <w:rFonts w:ascii="仿宋_GB2312" w:eastAsia="仿宋_GB2312"/>
      <w:b/>
      <w:color w:val="0000ff"/>
      <w:sz w:val="24"/>
      <w:szCs w:val="24"/>
      <w:u w:val="single"/>
      <w:lang w:val="en-US" w:eastAsia="zh-CN" w:bidi="ar-SA"/>
    </w:rPr>
  </w:style>
  <w:style w:type="character" w:styleId="1032">
    <w:name w:val="annotation reference"/>
    <w:uiPriority w:val="99"/>
    <w:qFormat/>
    <w:rPr>
      <w:rFonts w:ascii="仿宋_GB2312" w:eastAsia="仿宋_GB2312"/>
      <w:b/>
      <w:sz w:val="21"/>
      <w:szCs w:val="21"/>
      <w:lang w:val="en-US" w:eastAsia="zh-CN" w:bidi="ar-SA"/>
    </w:rPr>
  </w:style>
  <w:style w:type="character" w:styleId="1033" w:customStyle="1">
    <w:name w:val="标题 1 字符"/>
    <w:link w:val="985"/>
    <w:uiPriority w:val="9"/>
    <w:qFormat/>
    <w:rPr>
      <w:b/>
      <w:bCs/>
      <w:sz w:val="44"/>
      <w:szCs w:val="44"/>
    </w:rPr>
  </w:style>
  <w:style w:type="character" w:styleId="1034" w:customStyle="1">
    <w:name w:val="标题 2 字符"/>
    <w:link w:val="986"/>
    <w:uiPriority w:val="9"/>
    <w:qFormat/>
    <w:rPr>
      <w:rFonts w:ascii="Arial" w:hAnsi="Arial" w:eastAsia="黑体"/>
      <w:b/>
      <w:bCs/>
      <w:sz w:val="32"/>
      <w:szCs w:val="32"/>
      <w:lang w:val="en-US" w:eastAsia="zh-CN" w:bidi="ar-SA"/>
    </w:rPr>
  </w:style>
  <w:style w:type="character" w:styleId="1035" w:customStyle="1">
    <w:name w:val="标题 3 字符"/>
    <w:link w:val="987"/>
    <w:uiPriority w:val="9"/>
    <w:qFormat/>
    <w:rPr>
      <w:b/>
      <w:bCs/>
      <w:sz w:val="32"/>
      <w:szCs w:val="32"/>
    </w:rPr>
  </w:style>
  <w:style w:type="character" w:styleId="1036" w:customStyle="1">
    <w:name w:val="标题 4 字符"/>
    <w:link w:val="988"/>
    <w:uiPriority w:val="9"/>
    <w:qFormat/>
    <w:rPr>
      <w:rFonts w:ascii="Arial" w:hAnsi="Arial" w:eastAsia="黑体"/>
      <w:b/>
      <w:bCs/>
      <w:sz w:val="28"/>
      <w:szCs w:val="28"/>
    </w:rPr>
  </w:style>
  <w:style w:type="character" w:styleId="1037" w:customStyle="1">
    <w:name w:val="日期 字符"/>
    <w:link w:val="1011"/>
    <w:uiPriority w:val="0"/>
    <w:qFormat/>
    <w:rPr>
      <w:rFonts w:ascii="仿宋_GB2312" w:eastAsia="仿宋_GB2312"/>
      <w:sz w:val="21"/>
      <w:szCs w:val="24"/>
      <w:lang w:val="en-US" w:eastAsia="zh-CN" w:bidi="ar-SA"/>
    </w:rPr>
  </w:style>
  <w:style w:type="character" w:styleId="1038" w:customStyle="1">
    <w:name w:val="表格标题_"/>
    <w:link w:val="1039"/>
    <w:uiPriority w:val="0"/>
    <w:qFormat/>
    <w:rPr>
      <w:rFonts w:ascii="Gulim" w:hAnsi="Gulim" w:eastAsia="Gulim" w:cs="Gulim"/>
      <w:b/>
      <w:sz w:val="15"/>
      <w:szCs w:val="15"/>
      <w:shd w:val="clear" w:color="auto" w:fill="ffffff"/>
      <w:lang w:val="en-US" w:eastAsia="en-US" w:bidi="en-US"/>
    </w:rPr>
  </w:style>
  <w:style w:type="paragraph" w:styleId="1039" w:customStyle="1">
    <w:name w:val="表格标题"/>
    <w:basedOn w:val="984"/>
    <w:link w:val="1038"/>
    <w:uiPriority w:val="0"/>
    <w:qFormat/>
    <w:pPr>
      <w:spacing w:line="0" w:lineRule="atLeast"/>
      <w:shd w:val="clear" w:color="auto" w:fill="ffffff"/>
    </w:pPr>
    <w:rPr>
      <w:rFonts w:ascii="Gulim" w:hAnsi="Gulim" w:eastAsia="Gulim" w:cs="Gulim"/>
      <w:b/>
      <w:sz w:val="15"/>
      <w:szCs w:val="15"/>
      <w:lang w:eastAsia="en-US" w:bidi="en-US"/>
    </w:rPr>
  </w:style>
  <w:style w:type="character" w:styleId="1040" w:customStyle="1">
    <w:name w:val="标题 字符"/>
    <w:link w:val="1024"/>
    <w:uiPriority w:val="10"/>
    <w:qFormat/>
    <w:rPr>
      <w:rFonts w:ascii="Cambria" w:hAnsi="Cambria"/>
      <w:b/>
      <w:bCs/>
      <w:sz w:val="32"/>
      <w:szCs w:val="32"/>
    </w:rPr>
  </w:style>
  <w:style w:type="character" w:styleId="1041" w:customStyle="1">
    <w:name w:val="批注文字 字符"/>
    <w:link w:val="1003"/>
    <w:uiPriority w:val="0"/>
    <w:qFormat/>
    <w:rPr>
      <w:rFonts w:ascii="宋体"/>
    </w:rPr>
  </w:style>
  <w:style w:type="character" w:styleId="1042"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043" w:customStyle="1">
    <w:name w:val="apple-style-span"/>
    <w:uiPriority w:val="0"/>
    <w:qFormat/>
  </w:style>
  <w:style w:type="character" w:styleId="1044" w:customStyle="1">
    <w:name w:val="正文缩进 字符"/>
    <w:link w:val="998"/>
    <w:uiPriority w:val="0"/>
    <w:qFormat/>
    <w:rPr>
      <w:sz w:val="21"/>
      <w:szCs w:val="21"/>
    </w:rPr>
  </w:style>
  <w:style w:type="character" w:styleId="1045"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046" w:customStyle="1">
    <w:name w:val="标题 2 Char Char Char"/>
    <w:uiPriority w:val="0"/>
    <w:qFormat/>
    <w:rPr>
      <w:rFonts w:ascii="Arial" w:hAnsi="Arial" w:eastAsia="黑体"/>
      <w:b/>
      <w:bCs/>
      <w:sz w:val="32"/>
      <w:szCs w:val="32"/>
      <w:lang w:val="en-US" w:eastAsia="zh-CN" w:bidi="ar-SA"/>
    </w:rPr>
  </w:style>
  <w:style w:type="character" w:styleId="1047" w:customStyle="1">
    <w:name w:val="标题 3 Char"/>
    <w:uiPriority w:val="0"/>
    <w:qFormat/>
    <w:rPr>
      <w:rFonts w:ascii="仿宋_GB2312" w:eastAsia="宋体"/>
      <w:b/>
      <w:bCs/>
      <w:sz w:val="32"/>
      <w:szCs w:val="32"/>
      <w:lang w:val="en-US" w:eastAsia="zh-CN" w:bidi="ar-SA"/>
    </w:rPr>
  </w:style>
  <w:style w:type="character" w:styleId="1048"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049"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050" w:customStyle="1">
    <w:name w:val="页脚 字符"/>
    <w:link w:val="1014"/>
    <w:uiPriority w:val="99"/>
    <w:qFormat/>
    <w:rPr>
      <w:rFonts w:ascii="宋体"/>
      <w:sz w:val="18"/>
      <w:szCs w:val="18"/>
    </w:rPr>
  </w:style>
  <w:style w:type="character" w:styleId="1051" w:customStyle="1">
    <w:name w:val="news"/>
    <w:uiPriority w:val="0"/>
    <w:qFormat/>
    <w:rPr>
      <w:rFonts w:ascii="仿宋_GB2312" w:eastAsia="仿宋_GB2312"/>
      <w:sz w:val="24"/>
      <w:szCs w:val="24"/>
      <w:lang w:val="en-US" w:eastAsia="zh-CN" w:bidi="ar-SA"/>
    </w:rPr>
  </w:style>
  <w:style w:type="character" w:styleId="1052" w:customStyle="1">
    <w:name w:val="文档结构图 字符"/>
    <w:link w:val="1001"/>
    <w:uiPriority w:val="99"/>
    <w:qFormat/>
    <w:rPr>
      <w:rFonts w:ascii="宋体" w:eastAsia="仿宋_GB2312"/>
      <w:sz w:val="18"/>
      <w:szCs w:val="18"/>
      <w:lang w:val="en-US" w:eastAsia="zh-CN" w:bidi="ar-SA"/>
    </w:rPr>
  </w:style>
  <w:style w:type="character" w:styleId="1053" w:customStyle="1">
    <w:name w:val="纯文本 字符"/>
    <w:link w:val="1009"/>
    <w:uiPriority w:val="99"/>
    <w:qFormat/>
    <w:rPr>
      <w:rFonts w:ascii="宋体" w:hAnsi="Courier New" w:eastAsia="仿宋_GB2312" w:cs="Courier New"/>
      <w:sz w:val="21"/>
      <w:szCs w:val="21"/>
      <w:lang w:val="en-US" w:eastAsia="zh-CN" w:bidi="ar-SA"/>
    </w:rPr>
  </w:style>
  <w:style w:type="character" w:styleId="1054" w:customStyle="1">
    <w:name w:val="apple-converted-space"/>
    <w:uiPriority w:val="0"/>
    <w:qFormat/>
  </w:style>
  <w:style w:type="character" w:styleId="1055"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056" w:customStyle="1">
    <w:name w:val="标题 Char1"/>
    <w:uiPriority w:val="0"/>
    <w:qFormat/>
    <w:rPr>
      <w:rFonts w:ascii="Cambria" w:hAnsi="Cambria" w:eastAsia="仿宋_GB2312" w:cs="Times New Roman"/>
      <w:b/>
      <w:bCs/>
      <w:sz w:val="32"/>
      <w:szCs w:val="32"/>
      <w:lang w:val="en-US" w:eastAsia="zh-CN" w:bidi="ar-SA"/>
    </w:rPr>
  </w:style>
  <w:style w:type="character" w:styleId="1057" w:customStyle="1">
    <w:name w:val="正文文本 (2)_"/>
    <w:uiPriority w:val="0"/>
    <w:qFormat/>
    <w:rPr>
      <w:rFonts w:ascii="宋体" w:hAnsi="宋体" w:eastAsia="宋体" w:cs="宋体"/>
      <w:b/>
      <w:sz w:val="17"/>
      <w:szCs w:val="17"/>
      <w:u w:val="none"/>
      <w:lang w:val="en-US" w:eastAsia="zh-CN" w:bidi="ar-SA"/>
    </w:rPr>
  </w:style>
  <w:style w:type="character" w:styleId="1058" w:customStyle="1">
    <w:name w:val="正文文本 (8)_"/>
    <w:link w:val="1059"/>
    <w:uiPriority w:val="0"/>
    <w:qFormat/>
    <w:rPr>
      <w:rFonts w:ascii="Gulim" w:hAnsi="Gulim" w:eastAsia="Gulim" w:cs="Gulim"/>
      <w:b/>
      <w:sz w:val="15"/>
      <w:szCs w:val="15"/>
      <w:shd w:val="clear" w:color="auto" w:fill="ffffff"/>
      <w:lang w:val="en-US" w:eastAsia="en-US" w:bidi="en-US"/>
    </w:rPr>
  </w:style>
  <w:style w:type="paragraph" w:styleId="1059" w:customStyle="1">
    <w:name w:val="正文文本 (8)"/>
    <w:basedOn w:val="984"/>
    <w:link w:val="1058"/>
    <w:uiPriority w:val="0"/>
    <w:qFormat/>
    <w:pPr>
      <w:spacing w:line="0" w:lineRule="atLeast"/>
      <w:shd w:val="clear" w:color="auto" w:fill="ffffff"/>
    </w:pPr>
    <w:rPr>
      <w:rFonts w:ascii="Gulim" w:hAnsi="Gulim" w:eastAsia="Gulim" w:cs="Gulim"/>
      <w:b/>
      <w:sz w:val="15"/>
      <w:szCs w:val="15"/>
      <w:lang w:eastAsia="en-US" w:bidi="en-US"/>
    </w:rPr>
  </w:style>
  <w:style w:type="character" w:styleId="1060"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paragraph" w:styleId="1061" w:customStyle="1">
    <w:name w:val="xl75"/>
    <w:basedOn w:val="9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1"/>
      <w:szCs w:val="21"/>
    </w:rPr>
  </w:style>
  <w:style w:type="paragraph" w:styleId="1062" w:customStyle="1">
    <w:name w:val="xl105"/>
    <w:basedOn w:val="984"/>
    <w:uiPriority w:val="0"/>
    <w:qFormat/>
    <w:pPr>
      <w:spacing w:before="100" w:beforeAutospacing="1" w:after="100" w:afterAutospacing="1"/>
      <w:widowControl/>
    </w:pPr>
    <w:rPr>
      <w:rFonts w:hAnsi="宋体" w:cs="宋体"/>
    </w:rPr>
  </w:style>
  <w:style w:type="paragraph" w:styleId="1063" w:customStyle="1">
    <w:name w:val="xl102"/>
    <w:basedOn w:val="984"/>
    <w:uiPriority w:val="0"/>
    <w:qFormat/>
    <w:pPr>
      <w:spacing w:before="100" w:beforeAutospacing="1" w:after="100" w:afterAutospacing="1"/>
      <w:widowControl/>
      <w:pBdr>
        <w:top w:val="single" w:color="auto" w:sz="4" w:space="0"/>
        <w:left w:val="single" w:color="auto" w:sz="4" w:space="0"/>
        <w:right w:val="single" w:color="auto" w:sz="4" w:space="0"/>
      </w:pBdr>
    </w:pPr>
    <w:rPr>
      <w:rFonts w:hAnsi="宋体" w:cs="宋体"/>
      <w:sz w:val="21"/>
      <w:szCs w:val="21"/>
    </w:rPr>
  </w:style>
  <w:style w:type="paragraph" w:styleId="1064" w:customStyle="1">
    <w:name w:val="Char Char"/>
    <w:basedOn w:val="984"/>
    <w:uiPriority w:val="0"/>
    <w:qFormat/>
    <w:pPr>
      <w:jc w:val="both"/>
      <w:tabs>
        <w:tab w:val="left" w:pos="360" w:leader="none"/>
      </w:tabs>
    </w:pPr>
    <w:rPr>
      <w:rFonts w:ascii="Times New Roman"/>
      <w:sz w:val="24"/>
      <w:szCs w:val="24"/>
    </w:rPr>
  </w:style>
  <w:style w:type="paragraph" w:styleId="1065" w:customStyle="1">
    <w:name w:val="xl72"/>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4"/>
      <w:szCs w:val="24"/>
    </w:rPr>
  </w:style>
  <w:style w:type="paragraph" w:styleId="1066" w:customStyle="1">
    <w:name w:val="xl103"/>
    <w:basedOn w:val="9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sz w:val="21"/>
      <w:szCs w:val="21"/>
    </w:rPr>
  </w:style>
  <w:style w:type="paragraph" w:styleId="1067" w:customStyle="1">
    <w:name w:val="xl88"/>
    <w:basedOn w:val="984"/>
    <w:uiPriority w:val="0"/>
    <w:qFormat/>
    <w:pPr>
      <w:spacing w:before="100" w:beforeAutospacing="1" w:after="100" w:afterAutospacing="1"/>
      <w:widowControl/>
      <w:pBdr>
        <w:top w:val="single" w:color="auto" w:sz="4" w:space="0"/>
        <w:bottom w:val="single" w:color="auto" w:sz="4" w:space="0"/>
      </w:pBdr>
    </w:pPr>
    <w:rPr>
      <w:rFonts w:ascii="Times New Roman"/>
      <w:b/>
      <w:bCs/>
      <w:sz w:val="21"/>
      <w:szCs w:val="21"/>
    </w:rPr>
  </w:style>
  <w:style w:type="character" w:styleId="1068" w:customStyle="1">
    <w:name w:val="正文文本缩进 字符"/>
    <w:link w:val="1006"/>
    <w:uiPriority w:val="0"/>
    <w:qFormat/>
    <w:rPr>
      <w:rFonts w:ascii="宋体"/>
    </w:rPr>
  </w:style>
  <w:style w:type="paragraph" w:styleId="1069" w:customStyle="1">
    <w:name w:val="font10"/>
    <w:basedOn w:val="984"/>
    <w:uiPriority w:val="0"/>
    <w:qFormat/>
    <w:pPr>
      <w:spacing w:before="100" w:beforeAutospacing="1" w:after="100" w:afterAutospacing="1"/>
      <w:widowControl/>
    </w:pPr>
    <w:rPr>
      <w:rFonts w:hAnsi="宋体" w:cs="宋体"/>
      <w:color w:val="000000"/>
      <w:sz w:val="22"/>
      <w:szCs w:val="22"/>
    </w:rPr>
  </w:style>
  <w:style w:type="paragraph" w:styleId="1070" w:customStyle="1">
    <w:name w:val="font6"/>
    <w:basedOn w:val="984"/>
    <w:uiPriority w:val="0"/>
    <w:qFormat/>
    <w:pPr>
      <w:spacing w:before="100" w:beforeAutospacing="1" w:after="100" w:afterAutospacing="1"/>
      <w:widowControl/>
    </w:pPr>
    <w:rPr>
      <w:rFonts w:ascii="Times New Roman"/>
      <w:color w:val="000000"/>
      <w:sz w:val="21"/>
      <w:szCs w:val="21"/>
    </w:rPr>
  </w:style>
  <w:style w:type="paragraph" w:styleId="1071" w:customStyle="1">
    <w:name w:val="xl79"/>
    <w:basedOn w:val="984"/>
    <w:uiPriority w:val="0"/>
    <w:qFormat/>
    <w:pPr>
      <w:spacing w:before="100" w:beforeAutospacing="1" w:after="100" w:afterAutospacing="1"/>
      <w:widowControl/>
      <w:pBdr>
        <w:left w:val="single" w:color="auto" w:sz="4" w:space="0"/>
        <w:bottom w:val="single" w:color="auto" w:sz="4" w:space="0"/>
        <w:right w:val="single" w:color="auto" w:sz="4" w:space="0"/>
      </w:pBdr>
    </w:pPr>
    <w:rPr>
      <w:rFonts w:ascii="Times New Roman"/>
    </w:rPr>
  </w:style>
  <w:style w:type="paragraph" w:styleId="1072" w:customStyle="1">
    <w:name w:val="xl99"/>
    <w:basedOn w:val="98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hAnsi="宋体" w:cs="宋体"/>
      <w:sz w:val="21"/>
      <w:szCs w:val="21"/>
    </w:rPr>
  </w:style>
  <w:style w:type="paragraph" w:styleId="1073" w:customStyle="1">
    <w:name w:val="xl80"/>
    <w:basedOn w:val="984"/>
    <w:uiPriority w:val="0"/>
    <w:qFormat/>
    <w:pPr>
      <w:spacing w:before="100" w:beforeAutospacing="1" w:after="100" w:afterAutospacing="1"/>
      <w:widowControl/>
      <w:pBdr>
        <w:top w:val="single" w:color="auto" w:sz="4" w:space="0"/>
        <w:left w:val="single" w:color="auto" w:sz="4" w:space="0"/>
        <w:right w:val="single" w:color="auto" w:sz="4" w:space="0"/>
      </w:pBdr>
    </w:pPr>
    <w:rPr>
      <w:rFonts w:ascii="Times New Roman"/>
    </w:rPr>
  </w:style>
  <w:style w:type="paragraph" w:styleId="1074" w:customStyle="1">
    <w:name w:val="xl92"/>
    <w:basedOn w:val="984"/>
    <w:uiPriority w:val="0"/>
    <w:qFormat/>
    <w:pPr>
      <w:spacing w:before="100" w:beforeAutospacing="1" w:after="100" w:afterAutospacing="1"/>
      <w:widowControl/>
      <w:pBdr>
        <w:top w:val="single" w:color="auto" w:sz="4" w:space="0"/>
        <w:bottom w:val="single" w:color="auto" w:sz="4" w:space="0"/>
        <w:right w:val="single" w:color="auto" w:sz="4" w:space="0"/>
      </w:pBdr>
    </w:pPr>
    <w:rPr>
      <w:rFonts w:hAnsi="宋体" w:cs="宋体"/>
      <w:b/>
      <w:bCs/>
    </w:rPr>
  </w:style>
  <w:style w:type="paragraph" w:styleId="1075" w:customStyle="1">
    <w:name w:val="默认段落字体 Para Char Char Char Char"/>
    <w:basedOn w:val="984"/>
    <w:uiPriority w:val="0"/>
    <w:qFormat/>
    <w:pPr>
      <w:jc w:val="both"/>
    </w:pPr>
    <w:rPr>
      <w:rFonts w:ascii="Arial" w:hAnsi="Arial"/>
      <w:sz w:val="21"/>
      <w:szCs w:val="21"/>
    </w:rPr>
  </w:style>
  <w:style w:type="paragraph" w:styleId="1076" w:customStyle="1">
    <w:name w:val="标题8"/>
    <w:basedOn w:val="992"/>
    <w:uiPriority w:val="0"/>
    <w:qFormat/>
    <w:pPr>
      <w:jc w:val="both"/>
      <w:keepLines w:val="0"/>
      <w:keepNext w:val="0"/>
      <w:spacing w:before="0" w:after="0" w:line="360" w:lineRule="auto"/>
      <w:tabs>
        <w:tab w:val="left" w:pos="0" w:leader="none"/>
      </w:tabs>
    </w:pPr>
    <w:rPr>
      <w:rFonts w:eastAsia="仿宋_GB2312"/>
      <w:sz w:val="30"/>
    </w:rPr>
  </w:style>
  <w:style w:type="paragraph" w:styleId="1077" w:customStyle="1">
    <w:name w:val="标题3"/>
    <w:basedOn w:val="987"/>
    <w:uiPriority w:val="0"/>
    <w:qFormat/>
    <w:pPr>
      <w:keepLines w:val="0"/>
      <w:keepNext w:val="0"/>
      <w:spacing w:before="0" w:after="0" w:line="360" w:lineRule="auto"/>
      <w:tabs>
        <w:tab w:val="left" w:pos="0" w:leader="none"/>
      </w:tabs>
    </w:pPr>
    <w:rPr>
      <w:rFonts w:eastAsia="仿宋_GB2312"/>
      <w:b w:val="0"/>
      <w:sz w:val="30"/>
    </w:rPr>
  </w:style>
  <w:style w:type="paragraph" w:styleId="1078" w:customStyle="1">
    <w:name w:val="Char"/>
    <w:basedOn w:val="984"/>
    <w:uiPriority w:val="0"/>
    <w:qFormat/>
    <w:pPr>
      <w:jc w:val="both"/>
      <w:tabs>
        <w:tab w:val="left" w:pos="360" w:leader="none"/>
      </w:tabs>
    </w:pPr>
    <w:rPr>
      <w:rFonts w:ascii="仿宋_GB2312" w:eastAsia="仿宋_GB2312"/>
      <w:b/>
      <w:sz w:val="24"/>
      <w:szCs w:val="24"/>
    </w:rPr>
  </w:style>
  <w:style w:type="paragraph" w:styleId="1079">
    <w:name w:val="List Paragraph"/>
    <w:basedOn w:val="984"/>
    <w:link w:val="1169"/>
    <w:uiPriority w:val="34"/>
    <w:qFormat/>
    <w:pPr>
      <w:ind w:firstLine="420"/>
      <w:jc w:val="both"/>
    </w:pPr>
    <w:rPr>
      <w:rFonts w:ascii="Times New Roman"/>
      <w:sz w:val="21"/>
      <w:szCs w:val="24"/>
    </w:rPr>
  </w:style>
  <w:style w:type="paragraph" w:styleId="1080" w:customStyle="1">
    <w:name w:val="样式 样式 标题1 + 行距: 单倍行距 + 段前: 7.8 磅 段后: 7.8 磅"/>
    <w:basedOn w:val="984"/>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081" w:customStyle="1">
    <w:name w:val="标题5"/>
    <w:basedOn w:val="989"/>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082" w:customStyle="1">
    <w:name w:val="Char1"/>
    <w:basedOn w:val="984"/>
    <w:uiPriority w:val="0"/>
    <w:qFormat/>
    <w:pPr>
      <w:ind w:left="840" w:hanging="420"/>
      <w:jc w:val="both"/>
      <w:tabs>
        <w:tab w:val="left" w:pos="840" w:leader="none"/>
      </w:tabs>
    </w:pPr>
    <w:rPr>
      <w:rFonts w:ascii="Times New Roman"/>
      <w:sz w:val="24"/>
      <w:szCs w:val="24"/>
    </w:rPr>
  </w:style>
  <w:style w:type="paragraph" w:styleId="1083" w:customStyle="1">
    <w:name w:val="正文2"/>
    <w:basedOn w:val="984"/>
    <w:uiPriority w:val="0"/>
    <w:qFormat/>
    <w:pPr>
      <w:ind w:firstLine="200"/>
      <w:spacing w:after="160" w:line="360" w:lineRule="auto"/>
      <w:widowControl/>
    </w:pPr>
    <w:rPr>
      <w:rFonts w:ascii="Verdana" w:hAnsi="Verdana" w:eastAsia="黑体"/>
      <w:sz w:val="21"/>
      <w:lang w:eastAsia="en-US"/>
    </w:rPr>
  </w:style>
  <w:style w:type="paragraph" w:styleId="1084" w:customStyle="1">
    <w:name w:val="标题6"/>
    <w:basedOn w:val="990"/>
    <w:uiPriority w:val="0"/>
    <w:qFormat/>
    <w:pPr>
      <w:jc w:val="both"/>
      <w:keepLines w:val="0"/>
      <w:keepNext w:val="0"/>
      <w:spacing w:before="0" w:after="0" w:line="360" w:lineRule="auto"/>
      <w:tabs>
        <w:tab w:val="left" w:pos="0" w:leader="none"/>
      </w:tabs>
    </w:pPr>
    <w:rPr>
      <w:rFonts w:eastAsia="仿宋_GB2312"/>
      <w:b w:val="0"/>
      <w:sz w:val="30"/>
    </w:rPr>
  </w:style>
  <w:style w:type="paragraph" w:styleId="1085" w:customStyle="1">
    <w:name w:val="标题2"/>
    <w:basedOn w:val="986"/>
    <w:uiPriority w:val="0"/>
    <w:qFormat/>
    <w:pPr>
      <w:keepLines w:val="0"/>
      <w:keepNext w:val="0"/>
      <w:spacing w:before="0" w:after="0" w:line="360" w:lineRule="auto"/>
      <w:tabs>
        <w:tab w:val="left" w:pos="0" w:leader="none"/>
      </w:tabs>
    </w:pPr>
    <w:rPr>
      <w:rFonts w:eastAsia="仿宋_GB2312"/>
      <w:b w:val="0"/>
      <w:sz w:val="30"/>
    </w:rPr>
  </w:style>
  <w:style w:type="paragraph" w:styleId="1086" w:customStyle="1">
    <w:name w:val="Char Char Char Char"/>
    <w:basedOn w:val="1001"/>
    <w:uiPriority w:val="0"/>
    <w:qFormat/>
    <w:pPr>
      <w:jc w:val="both"/>
      <w:spacing w:line="360" w:lineRule="auto"/>
      <w:shd w:val="clear" w:color="auto" w:fill="000080"/>
    </w:pPr>
    <w:rPr>
      <w:rFonts w:ascii="Tahoma" w:hAnsi="Tahoma"/>
      <w:sz w:val="24"/>
      <w:szCs w:val="24"/>
    </w:rPr>
  </w:style>
  <w:style w:type="paragraph" w:styleId="1087" w:customStyle="1">
    <w:name w:val="标题9"/>
    <w:basedOn w:val="993"/>
    <w:uiPriority w:val="0"/>
    <w:qFormat/>
    <w:pPr>
      <w:jc w:val="both"/>
      <w:keepLines w:val="0"/>
      <w:keepNext w:val="0"/>
      <w:spacing w:before="0" w:after="0" w:line="360" w:lineRule="auto"/>
      <w:tabs>
        <w:tab w:val="left" w:pos="0" w:leader="none"/>
      </w:tabs>
    </w:pPr>
    <w:rPr>
      <w:rFonts w:eastAsia="仿宋_GB2312"/>
      <w:sz w:val="30"/>
    </w:rPr>
  </w:style>
  <w:style w:type="paragraph" w:styleId="1088" w:customStyle="1">
    <w:name w:val="标题4"/>
    <w:basedOn w:val="988"/>
    <w:uiPriority w:val="0"/>
    <w:qFormat/>
    <w:pPr>
      <w:keepLines w:val="0"/>
      <w:keepNext w:val="0"/>
      <w:spacing w:before="0" w:after="0" w:line="360" w:lineRule="auto"/>
      <w:tabs>
        <w:tab w:val="left" w:pos="0" w:leader="none"/>
      </w:tabs>
    </w:pPr>
    <w:rPr>
      <w:rFonts w:eastAsia="仿宋_GB2312"/>
      <w:b w:val="0"/>
      <w:sz w:val="30"/>
      <w:szCs w:val="30"/>
    </w:rPr>
  </w:style>
  <w:style w:type="paragraph" w:styleId="1089" w:customStyle="1">
    <w:name w:val="font7"/>
    <w:basedOn w:val="984"/>
    <w:uiPriority w:val="0"/>
    <w:qFormat/>
    <w:pPr>
      <w:spacing w:before="100" w:beforeAutospacing="1" w:after="100" w:afterAutospacing="1"/>
      <w:widowControl/>
    </w:pPr>
    <w:rPr>
      <w:rFonts w:ascii="Times New Roman"/>
      <w:b/>
      <w:bCs/>
      <w:color w:val="000000"/>
      <w:sz w:val="21"/>
      <w:szCs w:val="21"/>
    </w:rPr>
  </w:style>
  <w:style w:type="paragraph" w:styleId="1090" w:customStyle="1">
    <w:name w:val="xl109"/>
    <w:basedOn w:val="984"/>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hAnsi="宋体" w:cs="宋体"/>
    </w:rPr>
  </w:style>
  <w:style w:type="paragraph" w:styleId="1091" w:customStyle="1">
    <w:name w:val="xl71"/>
    <w:basedOn w:val="9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4"/>
      <w:szCs w:val="24"/>
    </w:rPr>
  </w:style>
  <w:style w:type="paragraph" w:styleId="109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93" w:customStyle="1">
    <w:name w:val="Char Char Char"/>
    <w:basedOn w:val="984"/>
    <w:uiPriority w:val="0"/>
    <w:qFormat/>
    <w:pPr>
      <w:jc w:val="both"/>
    </w:pPr>
    <w:rPr>
      <w:rFonts w:ascii="Times New Roman"/>
      <w:sz w:val="21"/>
      <w:szCs w:val="24"/>
    </w:rPr>
  </w:style>
  <w:style w:type="paragraph" w:styleId="1094" w:customStyle="1">
    <w:name w:val="xl85"/>
    <w:basedOn w:val="984"/>
    <w:uiPriority w:val="0"/>
    <w:qFormat/>
    <w:pPr>
      <w:spacing w:before="100" w:beforeAutospacing="1" w:after="100" w:afterAutospacing="1"/>
      <w:widowControl/>
      <w:pBdr>
        <w:top w:val="single" w:color="auto" w:sz="4" w:space="0"/>
        <w:bottom w:val="single" w:color="auto" w:sz="4" w:space="0"/>
      </w:pBdr>
    </w:pPr>
    <w:rPr>
      <w:rFonts w:hAnsi="宋体" w:cs="宋体"/>
      <w:b/>
      <w:bCs/>
      <w:sz w:val="21"/>
      <w:szCs w:val="21"/>
    </w:rPr>
  </w:style>
  <w:style w:type="paragraph" w:styleId="1095" w:customStyle="1">
    <w:name w:val="正文缩进1"/>
    <w:basedOn w:val="984"/>
    <w:uiPriority w:val="0"/>
    <w:qFormat/>
    <w:pPr>
      <w:ind w:firstLine="482"/>
      <w:jc w:val="both"/>
      <w:spacing w:line="360" w:lineRule="atLeast"/>
    </w:pPr>
    <w:rPr>
      <w:rFonts w:ascii="Times New Roman"/>
      <w:sz w:val="24"/>
      <w:szCs w:val="24"/>
    </w:rPr>
  </w:style>
  <w:style w:type="paragraph" w:styleId="1096" w:customStyle="1">
    <w:name w:val="font9"/>
    <w:basedOn w:val="984"/>
    <w:uiPriority w:val="0"/>
    <w:qFormat/>
    <w:pPr>
      <w:spacing w:before="100" w:beforeAutospacing="1" w:after="100" w:afterAutospacing="1"/>
      <w:widowControl/>
    </w:pPr>
    <w:rPr>
      <w:rFonts w:hAnsi="宋体" w:cs="宋体"/>
      <w:color w:val="000000"/>
      <w:sz w:val="21"/>
      <w:szCs w:val="21"/>
    </w:rPr>
  </w:style>
  <w:style w:type="paragraph" w:styleId="1097" w:customStyle="1">
    <w:name w:val="xl111"/>
    <w:basedOn w:val="984"/>
    <w:uiPriority w:val="0"/>
    <w:qFormat/>
    <w:pPr>
      <w:spacing w:before="100" w:beforeAutospacing="1" w:after="100" w:afterAutospacing="1"/>
      <w:widowControl/>
      <w:pBdr>
        <w:top w:val="single" w:color="auto" w:sz="4" w:space="0"/>
        <w:right w:val="single" w:color="auto" w:sz="4" w:space="0"/>
      </w:pBdr>
    </w:pPr>
    <w:rPr>
      <w:rFonts w:hAnsi="宋体" w:cs="宋体"/>
      <w:b/>
      <w:bCs/>
      <w:sz w:val="21"/>
      <w:szCs w:val="21"/>
    </w:rPr>
  </w:style>
  <w:style w:type="paragraph" w:styleId="1098" w:customStyle="1">
    <w:name w:val="列出段落1"/>
    <w:basedOn w:val="984"/>
    <w:uiPriority w:val="34"/>
    <w:qFormat/>
    <w:pPr>
      <w:ind w:firstLine="420"/>
      <w:jc w:val="both"/>
    </w:pPr>
    <w:rPr>
      <w:rFonts w:ascii="Calibri" w:hAnsi="Calibri"/>
      <w:sz w:val="21"/>
      <w:szCs w:val="22"/>
    </w:rPr>
  </w:style>
  <w:style w:type="paragraph" w:styleId="1099" w:customStyle="1">
    <w:name w:val="_Style 53"/>
    <w:next w:val="984"/>
    <w:uiPriority w:val="99"/>
    <w:qFormat/>
    <w:pPr>
      <w:widowControl w:val="off"/>
    </w:pPr>
    <w:rPr>
      <w:rFonts w:ascii="宋体" w:hAnsi="Times New Roman" w:eastAsia="宋体" w:cs="Times New Roman"/>
      <w:lang w:val="en-US" w:eastAsia="zh-CN" w:bidi="ar-SA"/>
    </w:rPr>
  </w:style>
  <w:style w:type="paragraph" w:styleId="1100" w:customStyle="1">
    <w:name w:val="xl73"/>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rPr>
  </w:style>
  <w:style w:type="paragraph" w:styleId="1101" w:customStyle="1">
    <w:name w:val="TOC 标题1"/>
    <w:basedOn w:val="985"/>
    <w:next w:val="984"/>
    <w:uiPriority w:val="39"/>
    <w:qFormat/>
    <w:pPr>
      <w:jc w:val="left"/>
      <w:spacing w:before="480" w:after="0" w:line="276" w:lineRule="auto"/>
      <w:widowControl/>
      <w:outlineLvl w:val="9"/>
    </w:pPr>
    <w:rPr>
      <w:rFonts w:ascii="Cambria" w:hAnsi="Cambria"/>
      <w:color w:val="365f91"/>
      <w:sz w:val="28"/>
      <w:szCs w:val="28"/>
    </w:rPr>
  </w:style>
  <w:style w:type="paragraph" w:styleId="1102" w:customStyle="1">
    <w:name w:val="font11"/>
    <w:basedOn w:val="984"/>
    <w:uiPriority w:val="0"/>
    <w:qFormat/>
    <w:pPr>
      <w:spacing w:before="100" w:beforeAutospacing="1" w:after="100" w:afterAutospacing="1"/>
      <w:widowControl/>
    </w:pPr>
    <w:rPr>
      <w:rFonts w:hAnsi="宋体" w:cs="宋体"/>
      <w:color w:val="000000"/>
      <w:sz w:val="18"/>
      <w:szCs w:val="18"/>
    </w:rPr>
  </w:style>
  <w:style w:type="paragraph" w:styleId="1103" w:customStyle="1">
    <w:name w:val="font12"/>
    <w:basedOn w:val="984"/>
    <w:uiPriority w:val="0"/>
    <w:qFormat/>
    <w:pPr>
      <w:spacing w:before="100" w:beforeAutospacing="1" w:after="100" w:afterAutospacing="1"/>
      <w:widowControl/>
    </w:pPr>
    <w:rPr>
      <w:rFonts w:hAnsi="宋体" w:cs="宋体"/>
      <w:color w:val="000000"/>
    </w:rPr>
  </w:style>
  <w:style w:type="paragraph" w:styleId="1104" w:customStyle="1">
    <w:name w:val="xl91"/>
    <w:basedOn w:val="984"/>
    <w:uiPriority w:val="0"/>
    <w:qFormat/>
    <w:pPr>
      <w:spacing w:before="100" w:beforeAutospacing="1" w:after="100" w:afterAutospacing="1"/>
      <w:widowControl/>
      <w:pBdr>
        <w:top w:val="single" w:color="auto" w:sz="4" w:space="0"/>
        <w:bottom w:val="single" w:color="auto" w:sz="4" w:space="0"/>
      </w:pBdr>
    </w:pPr>
    <w:rPr>
      <w:rFonts w:hAnsi="宋体" w:cs="宋体"/>
      <w:b/>
      <w:bCs/>
    </w:rPr>
  </w:style>
  <w:style w:type="paragraph" w:styleId="1105" w:customStyle="1">
    <w:name w:val="xl106"/>
    <w:basedOn w:val="984"/>
    <w:uiPriority w:val="0"/>
    <w:qFormat/>
    <w:pPr>
      <w:spacing w:before="100" w:beforeAutospacing="1" w:after="100" w:afterAutospacing="1"/>
      <w:widowControl/>
      <w:pBdr>
        <w:top w:val="single" w:color="auto" w:sz="4" w:space="0"/>
      </w:pBdr>
    </w:pPr>
    <w:rPr>
      <w:rFonts w:hAnsi="宋体" w:cs="宋体"/>
      <w:b/>
      <w:bCs/>
      <w:sz w:val="21"/>
      <w:szCs w:val="21"/>
    </w:rPr>
  </w:style>
  <w:style w:type="paragraph" w:styleId="1106" w:customStyle="1">
    <w:name w:val="xl107"/>
    <w:basedOn w:val="984"/>
    <w:uiPriority w:val="0"/>
    <w:qFormat/>
    <w:pPr>
      <w:spacing w:before="100" w:beforeAutospacing="1" w:after="100" w:afterAutospacing="1"/>
      <w:widowControl/>
      <w:pBdr>
        <w:bottom w:val="single" w:color="auto" w:sz="4" w:space="0"/>
      </w:pBdr>
    </w:pPr>
    <w:rPr>
      <w:rFonts w:hAnsi="宋体" w:cs="宋体"/>
      <w:b/>
      <w:bCs/>
      <w:sz w:val="21"/>
      <w:szCs w:val="21"/>
    </w:rPr>
  </w:style>
  <w:style w:type="paragraph" w:styleId="1107" w:customStyle="1">
    <w:name w:val="xl87"/>
    <w:basedOn w:val="984"/>
    <w:uiPriority w:val="0"/>
    <w:qFormat/>
    <w:pPr>
      <w:spacing w:before="100" w:beforeAutospacing="1" w:after="100" w:afterAutospacing="1"/>
      <w:widowControl/>
      <w:pBdr>
        <w:top w:val="single" w:color="auto" w:sz="4" w:space="0"/>
        <w:left w:val="single" w:color="auto" w:sz="4" w:space="0"/>
        <w:bottom w:val="single" w:color="auto" w:sz="4" w:space="0"/>
      </w:pBdr>
    </w:pPr>
    <w:rPr>
      <w:rFonts w:ascii="Times New Roman"/>
      <w:b/>
      <w:bCs/>
      <w:sz w:val="21"/>
      <w:szCs w:val="21"/>
    </w:rPr>
  </w:style>
  <w:style w:type="paragraph" w:styleId="1108" w:customStyle="1">
    <w:name w:val="xl66"/>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1"/>
      <w:szCs w:val="21"/>
    </w:rPr>
  </w:style>
  <w:style w:type="paragraph" w:styleId="1109" w:customStyle="1">
    <w:name w:val="font13"/>
    <w:basedOn w:val="984"/>
    <w:uiPriority w:val="0"/>
    <w:qFormat/>
    <w:pPr>
      <w:spacing w:before="100" w:beforeAutospacing="1" w:after="100" w:afterAutospacing="1"/>
      <w:widowControl/>
    </w:pPr>
    <w:rPr>
      <w:rFonts w:hAnsi="宋体" w:cs="宋体"/>
      <w:sz w:val="18"/>
      <w:szCs w:val="18"/>
    </w:rPr>
  </w:style>
  <w:style w:type="paragraph" w:styleId="1110" w:customStyle="1">
    <w:name w:val="xl68"/>
    <w:basedOn w:val="984"/>
    <w:uiPriority w:val="0"/>
    <w:qFormat/>
    <w:pPr>
      <w:jc w:val="both"/>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1"/>
      <w:szCs w:val="21"/>
    </w:rPr>
  </w:style>
  <w:style w:type="paragraph" w:styleId="1111" w:customStyle="1">
    <w:name w:val="xl86"/>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bCs/>
      <w:sz w:val="21"/>
      <w:szCs w:val="21"/>
    </w:rPr>
  </w:style>
  <w:style w:type="paragraph" w:styleId="1112" w:customStyle="1">
    <w:name w:val="xl65"/>
    <w:basedOn w:val="9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b/>
      <w:bCs/>
      <w:sz w:val="21"/>
      <w:szCs w:val="21"/>
    </w:rPr>
  </w:style>
  <w:style w:type="paragraph" w:styleId="1113" w:customStyle="1">
    <w:name w:val="font14"/>
    <w:basedOn w:val="984"/>
    <w:uiPriority w:val="0"/>
    <w:qFormat/>
    <w:pPr>
      <w:spacing w:before="100" w:beforeAutospacing="1" w:after="100" w:afterAutospacing="1"/>
      <w:widowControl/>
    </w:pPr>
    <w:rPr>
      <w:rFonts w:hAnsi="宋体" w:cs="宋体"/>
      <w:color w:val="000000"/>
      <w:sz w:val="21"/>
      <w:szCs w:val="21"/>
    </w:rPr>
  </w:style>
  <w:style w:type="paragraph" w:styleId="1114" w:customStyle="1">
    <w:name w:val="font8"/>
    <w:basedOn w:val="984"/>
    <w:uiPriority w:val="0"/>
    <w:qFormat/>
    <w:pPr>
      <w:spacing w:before="100" w:beforeAutospacing="1" w:after="100" w:afterAutospacing="1"/>
      <w:widowControl/>
    </w:pPr>
    <w:rPr>
      <w:rFonts w:hAnsi="宋体" w:cs="宋体"/>
      <w:b/>
      <w:bCs/>
      <w:color w:val="000000"/>
      <w:sz w:val="21"/>
      <w:szCs w:val="21"/>
    </w:rPr>
  </w:style>
  <w:style w:type="paragraph" w:styleId="1115" w:customStyle="1">
    <w:name w:val="xl77"/>
    <w:basedOn w:val="9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rPr>
  </w:style>
  <w:style w:type="paragraph" w:styleId="1116" w:customStyle="1">
    <w:name w:val="xl108"/>
    <w:basedOn w:val="984"/>
    <w:uiPriority w:val="0"/>
    <w:qFormat/>
    <w:pPr>
      <w:jc w:val="both"/>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rPr>
  </w:style>
  <w:style w:type="paragraph" w:styleId="1117" w:customStyle="1">
    <w:name w:val="xl89"/>
    <w:basedOn w:val="984"/>
    <w:uiPriority w:val="0"/>
    <w:qFormat/>
    <w:pPr>
      <w:spacing w:before="100" w:beforeAutospacing="1" w:after="100" w:afterAutospacing="1"/>
      <w:widowControl/>
      <w:pBdr>
        <w:top w:val="single" w:color="auto" w:sz="4" w:space="0"/>
        <w:bottom w:val="single" w:color="auto" w:sz="4" w:space="0"/>
        <w:right w:val="single" w:color="auto" w:sz="4" w:space="0"/>
      </w:pBdr>
    </w:pPr>
    <w:rPr>
      <w:rFonts w:ascii="Times New Roman"/>
      <w:b/>
      <w:bCs/>
      <w:sz w:val="21"/>
      <w:szCs w:val="21"/>
    </w:rPr>
  </w:style>
  <w:style w:type="paragraph" w:styleId="1118" w:customStyle="1">
    <w:name w:val="xl93"/>
    <w:basedOn w:val="9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sz w:val="21"/>
      <w:szCs w:val="21"/>
    </w:rPr>
  </w:style>
  <w:style w:type="paragraph" w:styleId="1119" w:customStyle="1">
    <w:name w:val="正文宋体4"/>
    <w:basedOn w:val="984"/>
    <w:uiPriority w:val="0"/>
    <w:qFormat/>
    <w:pPr>
      <w:ind w:firstLine="359"/>
      <w:jc w:val="both"/>
      <w:tabs>
        <w:tab w:val="left" w:pos="0" w:leader="none"/>
      </w:tabs>
    </w:pPr>
    <w:rPr>
      <w:rFonts w:ascii="仿宋_GB2312" w:eastAsia="仿宋_GB2312"/>
      <w:b/>
      <w:color w:val="000000"/>
      <w:sz w:val="24"/>
      <w:szCs w:val="24"/>
    </w:rPr>
  </w:style>
  <w:style w:type="paragraph" w:styleId="1120" w:customStyle="1">
    <w:name w:val="xl95"/>
    <w:basedOn w:val="9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sz w:val="21"/>
      <w:szCs w:val="21"/>
    </w:rPr>
  </w:style>
  <w:style w:type="paragraph" w:styleId="1121" w:customStyle="1">
    <w:name w:val="xl67"/>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1"/>
      <w:szCs w:val="21"/>
    </w:rPr>
  </w:style>
  <w:style w:type="paragraph" w:styleId="1122" w:customStyle="1">
    <w:name w:val="xl81"/>
    <w:basedOn w:val="984"/>
    <w:uiPriority w:val="0"/>
    <w:qFormat/>
    <w:pPr>
      <w:spacing w:before="100" w:beforeAutospacing="1" w:after="100" w:afterAutospacing="1"/>
      <w:widowControl/>
      <w:pBdr>
        <w:left w:val="single" w:color="auto" w:sz="4" w:space="0"/>
        <w:right w:val="single" w:color="auto" w:sz="4" w:space="0"/>
      </w:pBdr>
    </w:pPr>
    <w:rPr>
      <w:rFonts w:ascii="Times New Roman"/>
    </w:rPr>
  </w:style>
  <w:style w:type="paragraph" w:styleId="1123" w:customStyle="1">
    <w:name w:val="xl83"/>
    <w:basedOn w:val="984"/>
    <w:uiPriority w:val="0"/>
    <w:qFormat/>
    <w:pPr>
      <w:jc w:val="center"/>
      <w:spacing w:before="100" w:beforeAutospacing="1" w:after="100" w:afterAutospacing="1"/>
      <w:widowControl/>
      <w:pBdr>
        <w:top w:val="single" w:color="auto" w:sz="4" w:space="0"/>
        <w:bottom w:val="single" w:color="auto" w:sz="4" w:space="0"/>
      </w:pBdr>
    </w:pPr>
    <w:rPr>
      <w:rFonts w:hAnsi="宋体" w:cs="宋体"/>
      <w:sz w:val="36"/>
      <w:szCs w:val="36"/>
    </w:rPr>
  </w:style>
  <w:style w:type="paragraph" w:styleId="1124" w:customStyle="1">
    <w:name w:val="xl112"/>
    <w:basedOn w:val="984"/>
    <w:uiPriority w:val="0"/>
    <w:qFormat/>
    <w:pPr>
      <w:spacing w:before="100" w:beforeAutospacing="1" w:after="100" w:afterAutospacing="1"/>
      <w:widowControl/>
      <w:pBdr>
        <w:bottom w:val="single" w:color="auto" w:sz="4" w:space="0"/>
        <w:right w:val="single" w:color="auto" w:sz="4" w:space="0"/>
      </w:pBdr>
    </w:pPr>
    <w:rPr>
      <w:rFonts w:hAnsi="宋体" w:cs="宋体"/>
      <w:b/>
      <w:bCs/>
      <w:sz w:val="21"/>
      <w:szCs w:val="21"/>
    </w:rPr>
  </w:style>
  <w:style w:type="paragraph" w:styleId="1125" w:customStyle="1">
    <w:name w:val="xl104"/>
    <w:basedOn w:val="984"/>
    <w:uiPriority w:val="0"/>
    <w:qFormat/>
    <w:pPr>
      <w:spacing w:before="100" w:beforeAutospacing="1" w:after="100" w:afterAutospacing="1"/>
      <w:widowControl/>
      <w:pBdr>
        <w:left w:val="single" w:color="auto" w:sz="4" w:space="0"/>
        <w:bottom w:val="single" w:color="auto" w:sz="4" w:space="0"/>
        <w:right w:val="single" w:color="auto" w:sz="4" w:space="0"/>
      </w:pBdr>
    </w:pPr>
    <w:rPr>
      <w:rFonts w:ascii="Times New Roman"/>
      <w:sz w:val="21"/>
      <w:szCs w:val="21"/>
    </w:rPr>
  </w:style>
  <w:style w:type="paragraph" w:styleId="1126" w:customStyle="1">
    <w:name w:val="xl76"/>
    <w:basedOn w:val="9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sz w:val="21"/>
      <w:szCs w:val="21"/>
    </w:rPr>
  </w:style>
  <w:style w:type="paragraph" w:styleId="1127" w:customStyle="1">
    <w:name w:val="xl97"/>
    <w:basedOn w:val="984"/>
    <w:uiPriority w:val="0"/>
    <w:qFormat/>
    <w:pPr>
      <w:spacing w:before="100" w:beforeAutospacing="1" w:after="100" w:afterAutospacing="1"/>
      <w:widowControl/>
    </w:pPr>
    <w:rPr>
      <w:rFonts w:hAnsi="宋体" w:cs="宋体"/>
      <w:sz w:val="21"/>
      <w:szCs w:val="21"/>
    </w:rPr>
  </w:style>
  <w:style w:type="paragraph" w:styleId="1128" w:customStyle="1">
    <w:name w:val="xl70"/>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24"/>
      <w:szCs w:val="24"/>
    </w:rPr>
  </w:style>
  <w:style w:type="paragraph" w:styleId="1129" w:customStyle="1">
    <w:name w:val="xl96"/>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b/>
      <w:bCs/>
      <w:sz w:val="21"/>
      <w:szCs w:val="21"/>
    </w:rPr>
  </w:style>
  <w:style w:type="paragraph" w:styleId="1130" w:customStyle="1">
    <w:name w:val="xl98"/>
    <w:basedOn w:val="9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sz w:val="21"/>
      <w:szCs w:val="21"/>
    </w:rPr>
  </w:style>
  <w:style w:type="paragraph" w:styleId="1131" w:customStyle="1">
    <w:name w:val="xl69"/>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cs="宋体"/>
    </w:rPr>
  </w:style>
  <w:style w:type="paragraph" w:styleId="1132" w:customStyle="1">
    <w:name w:val="font5"/>
    <w:basedOn w:val="984"/>
    <w:uiPriority w:val="0"/>
    <w:qFormat/>
    <w:pPr>
      <w:spacing w:before="100" w:beforeAutospacing="1" w:after="100" w:afterAutospacing="1"/>
      <w:widowControl/>
    </w:pPr>
    <w:rPr>
      <w:rFonts w:ascii="Times New Roman"/>
      <w:color w:val="000000"/>
    </w:rPr>
  </w:style>
  <w:style w:type="paragraph" w:styleId="1133" w:customStyle="1">
    <w:name w:val="xl90"/>
    <w:basedOn w:val="984"/>
    <w:uiPriority w:val="0"/>
    <w:qFormat/>
    <w:pPr>
      <w:spacing w:before="100" w:beforeAutospacing="1" w:after="100" w:afterAutospacing="1"/>
      <w:widowControl/>
      <w:pBdr>
        <w:top w:val="single" w:color="auto" w:sz="4" w:space="0"/>
        <w:left w:val="single" w:color="auto" w:sz="4" w:space="0"/>
        <w:bottom w:val="single" w:color="auto" w:sz="4" w:space="0"/>
      </w:pBdr>
    </w:pPr>
    <w:rPr>
      <w:rFonts w:hAnsi="宋体" w:cs="宋体"/>
      <w:b/>
      <w:bCs/>
    </w:rPr>
  </w:style>
  <w:style w:type="paragraph" w:styleId="1134" w:customStyle="1">
    <w:name w:val="xl78"/>
    <w:basedOn w:val="9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rPr>
  </w:style>
  <w:style w:type="paragraph" w:styleId="1135" w:customStyle="1">
    <w:name w:val="xl74"/>
    <w:basedOn w:val="98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sz w:val="18"/>
      <w:szCs w:val="18"/>
    </w:rPr>
  </w:style>
  <w:style w:type="paragraph" w:styleId="1136" w:customStyle="1">
    <w:name w:val="xl82"/>
    <w:basedOn w:val="98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hAnsi="宋体" w:cs="宋体"/>
      <w:sz w:val="36"/>
      <w:szCs w:val="36"/>
    </w:rPr>
  </w:style>
  <w:style w:type="paragraph" w:styleId="1137" w:customStyle="1">
    <w:name w:val="xl84"/>
    <w:basedOn w:val="984"/>
    <w:uiPriority w:val="0"/>
    <w:qFormat/>
    <w:pPr>
      <w:spacing w:before="100" w:beforeAutospacing="1" w:after="100" w:afterAutospacing="1"/>
      <w:widowControl/>
      <w:pBdr>
        <w:top w:val="single" w:color="auto" w:sz="4" w:space="0"/>
        <w:left w:val="single" w:color="auto" w:sz="4" w:space="0"/>
        <w:bottom w:val="single" w:color="auto" w:sz="4" w:space="0"/>
      </w:pBdr>
    </w:pPr>
    <w:rPr>
      <w:rFonts w:hAnsi="宋体" w:cs="宋体"/>
      <w:b/>
      <w:bCs/>
      <w:sz w:val="21"/>
      <w:szCs w:val="21"/>
    </w:rPr>
  </w:style>
  <w:style w:type="paragraph" w:styleId="1138" w:customStyle="1">
    <w:name w:val="xl94"/>
    <w:basedOn w:val="984"/>
    <w:uiPriority w:val="0"/>
    <w:qFormat/>
    <w:pPr>
      <w:jc w:val="center"/>
      <w:spacing w:before="100" w:beforeAutospacing="1" w:after="100" w:afterAutospacing="1"/>
      <w:widowControl/>
      <w:pBdr>
        <w:left w:val="single" w:color="auto" w:sz="4" w:space="0"/>
        <w:right w:val="single" w:color="auto" w:sz="4" w:space="0"/>
      </w:pBdr>
    </w:pPr>
    <w:rPr>
      <w:rFonts w:ascii="Times New Roman"/>
      <w:sz w:val="21"/>
      <w:szCs w:val="21"/>
    </w:rPr>
  </w:style>
  <w:style w:type="paragraph" w:styleId="1139" w:customStyle="1">
    <w:name w:val="xl100"/>
    <w:basedOn w:val="98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cs="宋体"/>
      <w:sz w:val="21"/>
      <w:szCs w:val="21"/>
    </w:rPr>
  </w:style>
  <w:style w:type="paragraph" w:styleId="1140" w:customStyle="1">
    <w:name w:val="xl101"/>
    <w:basedOn w:val="98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cs="宋体"/>
    </w:rPr>
  </w:style>
  <w:style w:type="paragraph" w:styleId="1141" w:customStyle="1">
    <w:name w:val="xl110"/>
    <w:basedOn w:val="984"/>
    <w:uiPriority w:val="0"/>
    <w:qFormat/>
    <w:pPr>
      <w:spacing w:before="100" w:beforeAutospacing="1" w:after="100" w:afterAutospacing="1"/>
      <w:shd w:val="clear" w:color="000000" w:fill="ffffff"/>
      <w:widowControl/>
      <w:pBdr>
        <w:top w:val="single" w:color="auto" w:sz="4" w:space="0"/>
        <w:bottom w:val="single" w:color="auto" w:sz="4" w:space="0"/>
      </w:pBdr>
    </w:pPr>
    <w:rPr>
      <w:rFonts w:hAnsi="宋体" w:cs="宋体"/>
    </w:rPr>
  </w:style>
  <w:style w:type="paragraph" w:styleId="1142" w:customStyle="1">
    <w:name w:val="Char Char2 Char"/>
    <w:basedOn w:val="984"/>
    <w:uiPriority w:val="0"/>
    <w:qFormat/>
    <w:pPr>
      <w:ind w:left="390" w:hanging="390"/>
      <w:jc w:val="both"/>
      <w:keepLines/>
      <w:keepNext/>
      <w:pageBreakBefore/>
      <w:tabs>
        <w:tab w:val="left" w:pos="390" w:leader="none"/>
      </w:tabs>
    </w:pPr>
    <w:rPr>
      <w:rFonts w:ascii="Times New Roman"/>
      <w:sz w:val="21"/>
      <w:szCs w:val="24"/>
    </w:rPr>
  </w:style>
  <w:style w:type="character" w:styleId="1143" w:customStyle="1">
    <w:name w:val="纯文本 Char1"/>
    <w:uiPriority w:val="0"/>
    <w:qFormat/>
    <w:rPr>
      <w:rFonts w:ascii="宋体" w:hAnsi="Courier New" w:eastAsia="宋体" w:cs="Times New Roman"/>
      <w:sz w:val="21"/>
      <w:szCs w:val="20"/>
    </w:rPr>
  </w:style>
  <w:style w:type="character" w:styleId="1144" w:customStyle="1">
    <w:name w:val="ask-title2"/>
    <w:uiPriority w:val="0"/>
    <w:qFormat/>
  </w:style>
  <w:style w:type="paragraph" w:styleId="1145" w:customStyle="1">
    <w:name w:val="列出段落11"/>
    <w:basedOn w:val="984"/>
    <w:uiPriority w:val="0"/>
    <w:qFormat/>
    <w:pPr>
      <w:ind w:firstLine="420"/>
      <w:jc w:val="both"/>
    </w:pPr>
    <w:rPr>
      <w:rFonts w:ascii="Times New Roman"/>
      <w:sz w:val="21"/>
    </w:rPr>
  </w:style>
  <w:style w:type="character" w:styleId="1146" w:customStyle="1">
    <w:name w:val="页脚 Char1"/>
    <w:uiPriority w:val="99"/>
    <w:qFormat/>
    <w:rPr>
      <w:rFonts w:ascii="仿宋_GB2312" w:eastAsia="仿宋_GB2312"/>
      <w:sz w:val="18"/>
      <w:szCs w:val="18"/>
      <w:lang w:val="en-US" w:eastAsia="zh-CN" w:bidi="ar-SA"/>
    </w:rPr>
  </w:style>
  <w:style w:type="paragraph" w:styleId="1147" w:customStyle="1">
    <w:name w:val="纯文本1"/>
    <w:basedOn w:val="984"/>
    <w:uiPriority w:val="0"/>
    <w:qFormat/>
    <w:pPr>
      <w:jc w:val="both"/>
    </w:pPr>
    <w:rPr>
      <w:rFonts w:hAnsi="Courier New"/>
      <w:sz w:val="21"/>
    </w:rPr>
  </w:style>
  <w:style w:type="paragraph" w:styleId="1148" w:customStyle="1">
    <w:name w:val="黑列表"/>
    <w:basedOn w:val="984"/>
    <w:uiPriority w:val="0"/>
    <w:qFormat/>
    <w:pPr>
      <w:numPr>
        <w:ilvl w:val="0"/>
        <w:numId w:val="2"/>
      </w:numPr>
      <w:ind w:left="840" w:hanging="240"/>
      <w:spacing w:line="300" w:lineRule="auto"/>
      <w:widowControl/>
      <w:tabs>
        <w:tab w:val="clear" w:pos="482" w:leader="none"/>
      </w:tabs>
    </w:pPr>
    <w:rPr>
      <w:rFonts w:ascii="Times New Roman"/>
      <w:sz w:val="24"/>
    </w:rPr>
  </w:style>
  <w:style w:type="paragraph" w:styleId="1149" w:customStyle="1">
    <w:name w:val="样式2"/>
    <w:basedOn w:val="984"/>
    <w:uiPriority w:val="0"/>
    <w:qFormat/>
    <w:pPr>
      <w:jc w:val="center"/>
      <w:spacing w:line="300" w:lineRule="auto"/>
      <w:outlineLvl w:val="0"/>
    </w:pPr>
    <w:rPr>
      <w:rFonts w:ascii="Times New Roman"/>
      <w:b/>
      <w:sz w:val="24"/>
    </w:rPr>
  </w:style>
  <w:style w:type="paragraph" w:styleId="1150" w:customStyle="1">
    <w:name w:val="图文"/>
    <w:basedOn w:val="984"/>
    <w:uiPriority w:val="0"/>
    <w:qFormat/>
    <w:pPr>
      <w:jc w:val="both"/>
      <w:spacing w:after="50" w:line="360" w:lineRule="auto"/>
    </w:pPr>
    <w:rPr>
      <w:rFonts w:ascii="Times New Roman"/>
      <w:sz w:val="24"/>
    </w:rPr>
  </w:style>
  <w:style w:type="paragraph" w:styleId="1151" w:customStyle="1">
    <w:name w:val="Char Char Char Char Char Char Char"/>
    <w:basedOn w:val="984"/>
    <w:uiPriority w:val="0"/>
    <w:qFormat/>
    <w:pPr>
      <w:jc w:val="both"/>
    </w:pPr>
    <w:rPr>
      <w:rFonts w:ascii="Times New Roman"/>
      <w:sz w:val="21"/>
      <w:szCs w:val="24"/>
    </w:rPr>
  </w:style>
  <w:style w:type="paragraph" w:styleId="1152" w:customStyle="1">
    <w:name w:val="waq"/>
    <w:basedOn w:val="984"/>
    <w:uiPriority w:val="0"/>
    <w:qFormat/>
    <w:pPr>
      <w:ind w:firstLine="567"/>
      <w:jc w:val="both"/>
    </w:pPr>
    <w:rPr>
      <w:rFonts w:ascii="Times New Roman"/>
      <w:sz w:val="28"/>
    </w:rPr>
  </w:style>
  <w:style w:type="paragraph" w:styleId="1153" w:customStyle="1">
    <w:name w:val="文字部分"/>
    <w:basedOn w:val="984"/>
    <w:link w:val="1154"/>
    <w:uiPriority w:val="0"/>
    <w:qFormat/>
    <w:pPr>
      <w:ind w:firstLine="480"/>
      <w:jc w:val="both"/>
      <w:spacing w:line="360" w:lineRule="auto"/>
    </w:pPr>
    <w:rPr>
      <w:bCs/>
      <w:sz w:val="24"/>
      <w:szCs w:val="28"/>
    </w:rPr>
  </w:style>
  <w:style w:type="character" w:styleId="1154" w:customStyle="1">
    <w:name w:val="文字部分 Char"/>
    <w:link w:val="1153"/>
    <w:uiPriority w:val="0"/>
    <w:qFormat/>
    <w:rPr>
      <w:rFonts w:ascii="宋体"/>
      <w:bCs/>
      <w:sz w:val="24"/>
      <w:szCs w:val="28"/>
    </w:rPr>
  </w:style>
  <w:style w:type="paragraph" w:styleId="1155" w:customStyle="1">
    <w:name w:val="B正文"/>
    <w:basedOn w:val="984"/>
    <w:link w:val="1156"/>
    <w:uiPriority w:val="0"/>
    <w:qFormat/>
    <w:pPr>
      <w:ind w:firstLine="560"/>
      <w:jc w:val="both"/>
      <w:spacing w:line="500" w:lineRule="exact"/>
    </w:pPr>
    <w:rPr>
      <w:rFonts w:ascii="Times New Roman"/>
      <w:sz w:val="28"/>
      <w:szCs w:val="24"/>
    </w:rPr>
  </w:style>
  <w:style w:type="character" w:styleId="1156" w:customStyle="1">
    <w:name w:val="B正文 Char"/>
    <w:link w:val="1155"/>
    <w:uiPriority w:val="0"/>
    <w:qFormat/>
    <w:rPr>
      <w:sz w:val="28"/>
      <w:szCs w:val="24"/>
    </w:rPr>
  </w:style>
  <w:style w:type="paragraph" w:styleId="1157" w:customStyle="1">
    <w:name w:val="一级无"/>
    <w:basedOn w:val="984"/>
    <w:uiPriority w:val="0"/>
    <w:qFormat/>
    <w:pPr>
      <w:numPr>
        <w:ilvl w:val="1"/>
        <w:numId w:val="3"/>
      </w:numPr>
      <w:widowControl/>
      <w:outlineLvl w:val="2"/>
    </w:pPr>
    <w:rPr>
      <w:sz w:val="21"/>
      <w:szCs w:val="21"/>
    </w:rPr>
  </w:style>
  <w:style w:type="paragraph" w:styleId="1158" w:customStyle="1">
    <w:name w:val="字母编号列项（一级）"/>
    <w:uiPriority w:val="0"/>
    <w:qFormat/>
    <w:pPr>
      <w:jc w:val="both"/>
    </w:pPr>
    <w:rPr>
      <w:rFonts w:ascii="宋体" w:hAnsi="Times New Roman" w:eastAsia="宋体" w:cs="Times New Roman"/>
      <w:sz w:val="21"/>
      <w:lang w:val="en-US" w:eastAsia="zh-CN" w:bidi="ar-SA"/>
    </w:rPr>
  </w:style>
  <w:style w:type="paragraph" w:styleId="1159" w:customStyle="1">
    <w:name w:val="附录一级无"/>
    <w:basedOn w:val="984"/>
    <w:uiPriority w:val="0"/>
    <w:qFormat/>
    <w:pPr>
      <w:numPr>
        <w:ilvl w:val="2"/>
        <w:numId w:val="4"/>
      </w:numPr>
      <w:jc w:val="both"/>
      <w:widowControl/>
      <w:outlineLvl w:val="2"/>
    </w:pPr>
    <w:rPr>
      <w:sz w:val="21"/>
      <w:szCs w:val="21"/>
    </w:rPr>
  </w:style>
  <w:style w:type="paragraph" w:styleId="1160" w:customStyle="1">
    <w:name w:val="附录章标题"/>
    <w:next w:val="984"/>
    <w:uiPriority w:val="0"/>
    <w:qFormat/>
    <w:pPr>
      <w:jc w:val="both"/>
      <w:tabs>
        <w:tab w:val="left" w:pos="360" w:leader="none"/>
      </w:tabs>
      <w:outlineLvl w:val="1"/>
    </w:pPr>
    <w:rPr>
      <w:rFonts w:ascii="黑体" w:hAnsi="Times New Roman" w:eastAsia="黑体" w:cs="Times New Roman"/>
      <w:sz w:val="21"/>
      <w:lang w:val="en-US" w:eastAsia="zh-CN" w:bidi="ar-SA"/>
    </w:rPr>
  </w:style>
  <w:style w:type="character" w:styleId="1161" w:customStyle="1">
    <w:name w:val="未处理的提及1"/>
    <w:basedOn w:val="994"/>
    <w:uiPriority w:val="99"/>
    <w:qFormat/>
    <w:rPr>
      <w:color w:val="605e5c"/>
      <w:shd w:val="clear" w:color="auto" w:fill="e1dfdd"/>
    </w:rPr>
  </w:style>
  <w:style w:type="character" w:styleId="1162" w:customStyle="1">
    <w:name w:val="未处理的提及2"/>
    <w:basedOn w:val="994"/>
    <w:uiPriority w:val="99"/>
    <w:qFormat/>
    <w:rPr>
      <w:color w:val="605e5c"/>
      <w:shd w:val="clear" w:color="auto" w:fill="e1dfdd"/>
    </w:rPr>
  </w:style>
  <w:style w:type="paragraph" w:styleId="1163" w:customStyle="1">
    <w:name w:val="无间隔1"/>
    <w:basedOn w:val="984"/>
    <w:uiPriority w:val="0"/>
    <w:qFormat/>
    <w:pPr>
      <w:jc w:val="both"/>
    </w:pPr>
    <w:rPr>
      <w:rFonts w:ascii="Times New Roman"/>
      <w:sz w:val="21"/>
      <w:szCs w:val="21"/>
    </w:rPr>
  </w:style>
  <w:style w:type="character" w:styleId="1164" w:customStyle="1">
    <w:name w:val="achart-text 字符"/>
    <w:link w:val="1165"/>
    <w:uiPriority w:val="0"/>
    <w:qFormat/>
  </w:style>
  <w:style w:type="paragraph" w:styleId="1165" w:customStyle="1">
    <w:name w:val="achart-text"/>
    <w:basedOn w:val="984"/>
    <w:link w:val="1164"/>
    <w:uiPriority w:val="0"/>
    <w:qFormat/>
    <w:pPr>
      <w:jc w:val="center"/>
      <w:spacing w:line="360" w:lineRule="auto"/>
    </w:pPr>
    <w:rPr>
      <w:rFonts w:ascii="Times New Roman"/>
    </w:rPr>
  </w:style>
  <w:style w:type="character" w:styleId="1166" w:customStyle="1">
    <w:name w:val="正文文本缩进 2 Char_0"/>
    <w:link w:val="1167"/>
    <w:uiPriority w:val="0"/>
    <w:qFormat/>
    <w:rPr>
      <w:rFonts w:ascii="宋体" w:hAnsi="宋体"/>
      <w:sz w:val="28"/>
    </w:rPr>
  </w:style>
  <w:style w:type="paragraph" w:styleId="1167" w:customStyle="1">
    <w:name w:val="正文文本缩进 2_0"/>
    <w:basedOn w:val="1168"/>
    <w:link w:val="1166"/>
    <w:uiPriority w:val="0"/>
    <w:qFormat/>
    <w:pPr>
      <w:ind w:firstLine="560"/>
    </w:pPr>
    <w:rPr>
      <w:rFonts w:ascii="宋体" w:hAnsi="宋体"/>
      <w:sz w:val="28"/>
      <w:szCs w:val="20"/>
    </w:rPr>
  </w:style>
  <w:style w:type="paragraph" w:styleId="1168"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169" w:customStyle="1">
    <w:name w:val="列出段落 字符"/>
    <w:link w:val="1079"/>
    <w:uiPriority w:val="34"/>
    <w:qFormat/>
    <w:rPr>
      <w:sz w:val="21"/>
      <w:szCs w:val="24"/>
    </w:rPr>
  </w:style>
  <w:style w:type="character" w:styleId="1170" w:customStyle="1">
    <w:name w:val="标准正文 Char"/>
    <w:link w:val="1171"/>
    <w:uiPriority w:val="0"/>
    <w:qFormat/>
    <w:rPr>
      <w:rFonts w:ascii="宋体" w:hAnsi="宋体" w:eastAsia="Times New Roman"/>
      <w:sz w:val="24"/>
      <w:szCs w:val="24"/>
    </w:rPr>
  </w:style>
  <w:style w:type="paragraph" w:styleId="1171" w:customStyle="1">
    <w:name w:val="标准正文"/>
    <w:basedOn w:val="984"/>
    <w:next w:val="984"/>
    <w:link w:val="1170"/>
    <w:uiPriority w:val="0"/>
    <w:qFormat/>
    <w:pPr>
      <w:ind w:firstLine="200"/>
      <w:jc w:val="both"/>
      <w:widowControl/>
    </w:pPr>
    <w:rPr>
      <w:rFonts w:hAnsi="宋体" w:eastAsia="Times New Roman"/>
      <w:sz w:val="24"/>
      <w:szCs w:val="24"/>
    </w:rPr>
  </w:style>
  <w:style w:type="paragraph" w:styleId="1172" w:customStyle="1">
    <w:name w:val="技术需求标题2"/>
    <w:basedOn w:val="986"/>
    <w:uiPriority w:val="0"/>
    <w:qFormat/>
    <w:pPr>
      <w:spacing w:before="0" w:after="0" w:line="240" w:lineRule="auto"/>
      <w:widowControl/>
    </w:pPr>
    <w:rPr>
      <w:rFonts w:ascii="Times New Roman" w:hAnsi="Times New Roman" w:eastAsia="Times New Roman"/>
      <w:bCs w:val="0"/>
      <w:sz w:val="20"/>
      <w:szCs w:val="20"/>
    </w:rPr>
  </w:style>
  <w:style w:type="paragraph" w:styleId="1173" w:customStyle="1">
    <w:name w:val="正文缩进2"/>
    <w:basedOn w:val="984"/>
    <w:uiPriority w:val="0"/>
    <w:qFormat/>
    <w:pPr>
      <w:ind w:firstLine="200"/>
    </w:pPr>
    <w:rPr>
      <w:rFonts w:ascii="Times New Roman"/>
    </w:rPr>
  </w:style>
  <w:style w:type="paragraph" w:styleId="1174" w:customStyle="1">
    <w:name w:val="普通正文"/>
    <w:basedOn w:val="984"/>
    <w:uiPriority w:val="0"/>
    <w:qFormat/>
    <w:pPr>
      <w:ind w:firstLine="480"/>
      <w:spacing w:before="120" w:after="120" w:line="360" w:lineRule="auto"/>
    </w:pPr>
    <w:rPr>
      <w:rFonts w:ascii="Arial" w:hAnsi="Arial" w:eastAsia="仿宋"/>
      <w:sz w:val="24"/>
      <w:szCs w:val="24"/>
    </w:rPr>
  </w:style>
  <w:style w:type="paragraph" w:styleId="1175" w:customStyle="1">
    <w:name w:val="修订1"/>
    <w:uiPriority w:val="99"/>
    <w:qFormat/>
    <w:rPr>
      <w:rFonts w:ascii="宋体" w:hAnsi="Times New Roman" w:eastAsia="宋体" w:cs="Times New Roman"/>
      <w:lang w:val="en-US" w:eastAsia="zh-CN" w:bidi="ar-SA"/>
    </w:rPr>
  </w:style>
  <w:style w:type="character" w:styleId="1176" w:customStyle="1">
    <w:name w:val="未处理的提及3"/>
    <w:basedOn w:val="994"/>
    <w:uiPriority w:val="99"/>
    <w:semiHidden/>
    <w:unhideWhenUsed/>
    <w:qFormat/>
    <w:rPr>
      <w:color w:val="605e5c"/>
      <w:shd w:val="clear" w:color="auto" w:fill="e1dfdd"/>
    </w:rPr>
  </w:style>
  <w:style w:type="character" w:styleId="1177" w:customStyle="1">
    <w:name w:val="页眉 字符"/>
    <w:basedOn w:val="994"/>
    <w:link w:val="1015"/>
    <w:uiPriority w:val="99"/>
    <w:qFormat/>
    <w:rPr>
      <w:rFonts w:ascii="宋体" w:hAnsi="Times New Roman" w:cs="Times New Roman"/>
      <w:sz w:val="18"/>
      <w:szCs w:val="18"/>
    </w:rPr>
  </w:style>
  <w:style w:type="paragraph" w:styleId="1178" w:customStyle="1">
    <w:name w:val="修订2"/>
    <w:hidden/>
    <w:uiPriority w:val="99"/>
    <w:semiHidden/>
    <w:qFormat/>
    <w:rPr>
      <w:rFonts w:ascii="宋体" w:hAnsi="Times New Roman" w:eastAsia="宋体" w:cs="Times New Roman"/>
      <w:lang w:val="en-US" w:eastAsia="zh-CN" w:bidi="ar-SA"/>
    </w:rPr>
  </w:style>
  <w:style w:type="paragraph" w:styleId="1179" w:customStyle="1">
    <w:name w:val="TableOfAuthoring"/>
    <w:basedOn w:val="984"/>
    <w:next w:val="984"/>
    <w:uiPriority w:val="0"/>
    <w:qFormat/>
    <w:pPr>
      <w:ind w:left="420" w:firstLine="200"/>
      <w:jc w:val="both"/>
    </w:pPr>
    <w:rPr>
      <w:rFonts w:ascii="Calibri" w:hAnsi="Calibri"/>
    </w:rPr>
  </w:style>
  <w:style w:type="paragraph" w:styleId="1180" w:customStyle="1">
    <w:name w:val="修订3"/>
    <w:hidden/>
    <w:uiPriority w:val="99"/>
    <w:unhideWhenUsed/>
    <w:qFormat/>
    <w:rPr>
      <w:rFonts w:ascii="宋体" w:hAnsi="Times New Roman" w:eastAsia="宋体" w:cs="Times New Roman"/>
      <w:lang w:val="en-US" w:eastAsia="zh-CN" w:bidi="ar-SA"/>
    </w:rPr>
  </w:style>
  <w:style w:type="paragraph" w:styleId="1181" w:customStyle="1">
    <w:name w:val="TOC 标题2"/>
    <w:basedOn w:val="985"/>
    <w:next w:val="984"/>
    <w:uiPriority w:val="39"/>
    <w:semiHidden/>
    <w:unhideWhenUsed/>
    <w:qFormat/>
    <w:pPr>
      <w:jc w:val="left"/>
      <w:outlineLvl w:val="9"/>
    </w:pPr>
    <w:rPr>
      <w:rFonts w:ascii="宋体"/>
    </w:rPr>
  </w:style>
  <w:style w:type="character" w:styleId="1182" w:customStyle="1">
    <w:name w:val="标题 7 字符"/>
    <w:basedOn w:val="994"/>
    <w:link w:val="991"/>
    <w:uiPriority w:val="0"/>
    <w:qFormat/>
    <w:rPr>
      <w:rFonts w:asciiTheme="minorHAnsi" w:hAnsiTheme="minorHAnsi" w:eastAsiaTheme="minorEastAsia" w:cstheme="minorBidi"/>
      <w:b/>
      <w:bCs/>
      <w:sz w:val="24"/>
      <w:szCs w:val="24"/>
    </w:rPr>
  </w:style>
  <w:style w:type="character" w:styleId="1183" w:customStyle="1">
    <w:name w:val="批注框文本 字符"/>
    <w:link w:val="1013"/>
    <w:uiPriority w:val="99"/>
    <w:qFormat/>
    <w:rPr>
      <w:rFonts w:ascii="宋体"/>
      <w:sz w:val="18"/>
      <w:szCs w:val="18"/>
    </w:rPr>
  </w:style>
  <w:style w:type="character" w:styleId="1184" w:customStyle="1">
    <w:name w:val="正文文本 字符"/>
    <w:link w:val="1005"/>
    <w:uiPriority w:val="0"/>
    <w:qFormat/>
    <w:rPr>
      <w:sz w:val="44"/>
      <w:szCs w:val="24"/>
    </w:rPr>
  </w:style>
  <w:style w:type="paragraph" w:styleId="1185" w:customStyle="1">
    <w:name w:val="目录 11"/>
    <w:basedOn w:val="984"/>
    <w:next w:val="984"/>
    <w:uiPriority w:val="39"/>
    <w:unhideWhenUsed/>
    <w:qFormat/>
    <w:pPr>
      <w:jc w:val="both"/>
      <w:spacing w:line="360" w:lineRule="auto"/>
    </w:pPr>
    <w:rPr>
      <w:rFonts w:ascii="Times New Roman"/>
      <w:sz w:val="24"/>
      <w:szCs w:val="22"/>
    </w:rPr>
  </w:style>
  <w:style w:type="paragraph" w:styleId="1186" w:customStyle="1">
    <w:name w:val="目录 21"/>
    <w:basedOn w:val="984"/>
    <w:next w:val="984"/>
    <w:uiPriority w:val="39"/>
    <w:unhideWhenUsed/>
    <w:qFormat/>
    <w:pPr>
      <w:ind w:left="420"/>
      <w:jc w:val="both"/>
      <w:spacing w:line="360" w:lineRule="auto"/>
      <w:tabs>
        <w:tab w:val="right" w:pos="8607" w:leader="dot"/>
      </w:tabs>
    </w:pPr>
    <w:rPr>
      <w:rFonts w:ascii="Times New Roman"/>
      <w:sz w:val="24"/>
      <w:szCs w:val="22"/>
    </w:rPr>
  </w:style>
  <w:style w:type="paragraph" w:styleId="1187" w:customStyle="1">
    <w:name w:val="目录 31"/>
    <w:basedOn w:val="984"/>
    <w:next w:val="984"/>
    <w:uiPriority w:val="39"/>
    <w:unhideWhenUsed/>
    <w:qFormat/>
    <w:pPr>
      <w:ind w:left="840"/>
      <w:jc w:val="both"/>
      <w:spacing w:line="360" w:lineRule="auto"/>
    </w:pPr>
    <w:rPr>
      <w:rFonts w:ascii="Times New Roman"/>
      <w:sz w:val="24"/>
      <w:szCs w:val="22"/>
    </w:rPr>
  </w:style>
  <w:style w:type="paragraph" w:styleId="1188" w:customStyle="1">
    <w:name w:val="1"/>
    <w:basedOn w:val="984"/>
    <w:next w:val="998"/>
    <w:uiPriority w:val="0"/>
    <w:qFormat/>
    <w:pPr>
      <w:ind w:firstLine="420"/>
      <w:jc w:val="both"/>
      <w:spacing w:line="360" w:lineRule="auto"/>
    </w:pPr>
    <w:rPr>
      <w:rFonts w:ascii="Times New Roman"/>
      <w:sz w:val="24"/>
    </w:rPr>
  </w:style>
  <w:style w:type="paragraph" w:styleId="1189" w:customStyle="1">
    <w:name w:val="pic-info"/>
    <w:basedOn w:val="984"/>
    <w:uiPriority w:val="0"/>
    <w:qFormat/>
    <w:pPr>
      <w:spacing w:before="100" w:beforeAutospacing="1" w:after="100" w:afterAutospacing="1" w:line="360" w:lineRule="auto"/>
      <w:widowControl/>
    </w:pPr>
    <w:rPr>
      <w:rFonts w:hAnsi="宋体" w:cs="宋体"/>
      <w:sz w:val="24"/>
      <w:szCs w:val="24"/>
    </w:rPr>
  </w:style>
  <w:style w:type="character" w:styleId="1190" w:customStyle="1">
    <w:name w:val="headline-content"/>
    <w:basedOn w:val="994"/>
    <w:uiPriority w:val="0"/>
    <w:qFormat/>
  </w:style>
  <w:style w:type="paragraph" w:styleId="1191" w:customStyle="1">
    <w:name w:val="Char Char Char Char1"/>
    <w:basedOn w:val="984"/>
    <w:uiPriority w:val="0"/>
    <w:qFormat/>
    <w:pPr>
      <w:spacing w:after="160" w:line="240" w:lineRule="exact"/>
      <w:widowControl/>
    </w:pPr>
    <w:rPr>
      <w:rFonts w:ascii="Verdana" w:hAnsi="Verdana" w:eastAsia="仿宋_GB2312"/>
      <w:sz w:val="24"/>
      <w:lang w:eastAsia="en-US"/>
    </w:rPr>
  </w:style>
  <w:style w:type="paragraph" w:styleId="1192" w:customStyle="1">
    <w:name w:val="Char Char Char Char1 Char Char"/>
    <w:basedOn w:val="984"/>
    <w:uiPriority w:val="0"/>
    <w:semiHidden/>
    <w:qFormat/>
    <w:pPr>
      <w:jc w:val="both"/>
      <w:spacing w:line="360" w:lineRule="auto"/>
    </w:pPr>
    <w:rPr>
      <w:rFonts w:ascii="Times New Roman"/>
      <w:sz w:val="24"/>
      <w:szCs w:val="24"/>
    </w:rPr>
  </w:style>
  <w:style w:type="paragraph" w:styleId="1193" w:customStyle="1">
    <w:name w:val="xl113"/>
    <w:basedOn w:val="984"/>
    <w:uiPriority w:val="0"/>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hAnsi="宋体" w:cs="宋体"/>
      <w:color w:val="0d0d0d"/>
      <w:sz w:val="18"/>
      <w:szCs w:val="18"/>
    </w:rPr>
  </w:style>
  <w:style w:type="paragraph" w:styleId="1194" w:customStyle="1">
    <w:name w:val="xl114"/>
    <w:basedOn w:val="984"/>
    <w:uiPriority w:val="0"/>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hAnsi="宋体" w:cs="宋体"/>
      <w:color w:val="0d0d0d"/>
      <w:sz w:val="18"/>
      <w:szCs w:val="18"/>
    </w:rPr>
  </w:style>
  <w:style w:type="paragraph" w:styleId="1195" w:customStyle="1">
    <w:name w:val="xl115"/>
    <w:basedOn w:val="984"/>
    <w:uiPriority w:val="0"/>
    <w:qFormat/>
    <w:pPr>
      <w:ind w:firstLine="200"/>
      <w:spacing w:before="100" w:beforeAutospacing="1" w:after="100" w:afterAutospacing="1" w:line="360" w:lineRule="auto"/>
      <w:widowControl/>
      <w:pBdr>
        <w:left w:val="single" w:color="auto" w:sz="8" w:space="31"/>
        <w:bottom w:val="single" w:color="auto" w:sz="8" w:space="0"/>
        <w:right w:val="single" w:color="auto" w:sz="8" w:space="0"/>
      </w:pBdr>
    </w:pPr>
    <w:rPr>
      <w:rFonts w:hAnsi="宋体" w:cs="宋体"/>
      <w:color w:val="0d0d0d"/>
    </w:rPr>
  </w:style>
  <w:style w:type="paragraph" w:styleId="1196" w:customStyle="1">
    <w:name w:val="xl116"/>
    <w:basedOn w:val="984"/>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hAnsi="宋体" w:cs="宋体"/>
      <w:color w:val="0d0d0d"/>
    </w:rPr>
  </w:style>
  <w:style w:type="paragraph" w:styleId="1197" w:customStyle="1">
    <w:name w:val="xl117"/>
    <w:basedOn w:val="984"/>
    <w:uiPriority w:val="0"/>
    <w:qFormat/>
    <w:pPr>
      <w:jc w:val="center"/>
      <w:spacing w:before="100" w:beforeAutospacing="1" w:after="100" w:afterAutospacing="1" w:line="360" w:lineRule="auto"/>
      <w:widowControl/>
      <w:pBdr>
        <w:left w:val="single" w:color="auto" w:sz="8" w:space="0"/>
        <w:right w:val="single" w:color="auto" w:sz="8" w:space="0"/>
      </w:pBdr>
    </w:pPr>
    <w:rPr>
      <w:rFonts w:hAnsi="宋体" w:cs="宋体"/>
      <w:color w:val="0d0d0d"/>
    </w:rPr>
  </w:style>
  <w:style w:type="paragraph" w:styleId="1198" w:customStyle="1">
    <w:name w:val="xl118"/>
    <w:basedOn w:val="984"/>
    <w:uiPriority w:val="0"/>
    <w:qFormat/>
    <w:pPr>
      <w:jc w:val="center"/>
      <w:spacing w:before="100" w:beforeAutospacing="1" w:after="100" w:afterAutospacing="1" w:line="360" w:lineRule="auto"/>
      <w:widowControl/>
      <w:pBdr>
        <w:top w:val="single" w:color="auto" w:sz="8" w:space="0"/>
        <w:left w:val="single" w:color="auto" w:sz="8" w:space="0"/>
      </w:pBdr>
    </w:pPr>
    <w:rPr>
      <w:rFonts w:hAnsi="宋体" w:cs="宋体"/>
      <w:color w:val="0d0d0d"/>
      <w:sz w:val="18"/>
      <w:szCs w:val="18"/>
    </w:rPr>
  </w:style>
  <w:style w:type="paragraph" w:styleId="1199" w:customStyle="1">
    <w:name w:val="xl119"/>
    <w:basedOn w:val="984"/>
    <w:uiPriority w:val="0"/>
    <w:qFormat/>
    <w:pPr>
      <w:jc w:val="center"/>
      <w:spacing w:before="100" w:beforeAutospacing="1" w:after="100" w:afterAutospacing="1" w:line="360" w:lineRule="auto"/>
      <w:widowControl/>
      <w:pBdr>
        <w:top w:val="single" w:color="auto" w:sz="8" w:space="0"/>
      </w:pBdr>
    </w:pPr>
    <w:rPr>
      <w:rFonts w:hAnsi="宋体" w:cs="宋体"/>
      <w:color w:val="0d0d0d"/>
      <w:sz w:val="18"/>
      <w:szCs w:val="18"/>
    </w:rPr>
  </w:style>
  <w:style w:type="paragraph" w:styleId="1200" w:customStyle="1">
    <w:name w:val="xl120"/>
    <w:basedOn w:val="984"/>
    <w:uiPriority w:val="0"/>
    <w:qFormat/>
    <w:pPr>
      <w:jc w:val="center"/>
      <w:spacing w:before="100" w:beforeAutospacing="1" w:after="100" w:afterAutospacing="1" w:line="360" w:lineRule="auto"/>
      <w:widowControl/>
      <w:pBdr>
        <w:left w:val="single" w:color="auto" w:sz="8" w:space="0"/>
        <w:bottom w:val="single" w:color="auto" w:sz="8" w:space="0"/>
      </w:pBdr>
    </w:pPr>
    <w:rPr>
      <w:rFonts w:hAnsi="宋体" w:cs="宋体"/>
      <w:color w:val="0d0d0d"/>
      <w:sz w:val="18"/>
      <w:szCs w:val="18"/>
    </w:rPr>
  </w:style>
  <w:style w:type="paragraph" w:styleId="1201" w:customStyle="1">
    <w:name w:val="xl121"/>
    <w:basedOn w:val="984"/>
    <w:uiPriority w:val="0"/>
    <w:qFormat/>
    <w:pPr>
      <w:jc w:val="center"/>
      <w:spacing w:before="100" w:beforeAutospacing="1" w:after="100" w:afterAutospacing="1" w:line="360" w:lineRule="auto"/>
      <w:widowControl/>
      <w:pBdr>
        <w:top w:val="single" w:color="auto" w:sz="8" w:space="0"/>
        <w:left w:val="single" w:color="auto" w:sz="8" w:space="0"/>
      </w:pBdr>
    </w:pPr>
    <w:rPr>
      <w:rFonts w:hAnsi="宋体" w:cs="宋体"/>
      <w:color w:val="0d0d0d"/>
      <w:sz w:val="18"/>
      <w:szCs w:val="18"/>
    </w:rPr>
  </w:style>
  <w:style w:type="paragraph" w:styleId="1202" w:customStyle="1">
    <w:name w:val="xl122"/>
    <w:basedOn w:val="984"/>
    <w:uiPriority w:val="0"/>
    <w:qFormat/>
    <w:pPr>
      <w:jc w:val="center"/>
      <w:spacing w:before="100" w:beforeAutospacing="1" w:after="100" w:afterAutospacing="1" w:line="360" w:lineRule="auto"/>
      <w:widowControl/>
      <w:pBdr>
        <w:top w:val="single" w:color="auto" w:sz="8" w:space="0"/>
      </w:pBdr>
    </w:pPr>
    <w:rPr>
      <w:rFonts w:hAnsi="宋体" w:cs="宋体"/>
      <w:color w:val="0d0d0d"/>
      <w:sz w:val="18"/>
      <w:szCs w:val="18"/>
    </w:rPr>
  </w:style>
  <w:style w:type="paragraph" w:styleId="1203" w:customStyle="1">
    <w:name w:val="xl123"/>
    <w:basedOn w:val="984"/>
    <w:uiPriority w:val="0"/>
    <w:qFormat/>
    <w:pPr>
      <w:jc w:val="center"/>
      <w:spacing w:before="100" w:beforeAutospacing="1" w:after="100" w:afterAutospacing="1" w:line="360" w:lineRule="auto"/>
      <w:widowControl/>
      <w:pBdr>
        <w:top w:val="single" w:color="auto" w:sz="8" w:space="0"/>
        <w:right w:val="single" w:color="auto" w:sz="8" w:space="0"/>
      </w:pBdr>
    </w:pPr>
    <w:rPr>
      <w:rFonts w:hAnsi="宋体" w:cs="宋体"/>
      <w:color w:val="0d0d0d"/>
      <w:sz w:val="18"/>
      <w:szCs w:val="18"/>
    </w:rPr>
  </w:style>
  <w:style w:type="paragraph" w:styleId="1204" w:customStyle="1">
    <w:name w:val="xl124"/>
    <w:basedOn w:val="984"/>
    <w:uiPriority w:val="0"/>
    <w:qFormat/>
    <w:pPr>
      <w:jc w:val="center"/>
      <w:spacing w:before="100" w:beforeAutospacing="1" w:after="100" w:afterAutospacing="1" w:line="360" w:lineRule="auto"/>
      <w:widowControl/>
      <w:pBdr>
        <w:left w:val="single" w:color="auto" w:sz="8" w:space="0"/>
        <w:bottom w:val="single" w:color="auto" w:sz="8" w:space="0"/>
      </w:pBdr>
    </w:pPr>
    <w:rPr>
      <w:rFonts w:hAnsi="宋体" w:cs="宋体"/>
      <w:color w:val="0d0d0d"/>
      <w:sz w:val="18"/>
      <w:szCs w:val="18"/>
    </w:rPr>
  </w:style>
  <w:style w:type="paragraph" w:styleId="1205" w:customStyle="1">
    <w:name w:val="xl125"/>
    <w:basedOn w:val="984"/>
    <w:uiPriority w:val="0"/>
    <w:qFormat/>
    <w:pPr>
      <w:jc w:val="center"/>
      <w:spacing w:before="100" w:beforeAutospacing="1" w:after="100" w:afterAutospacing="1" w:line="360" w:lineRule="auto"/>
      <w:widowControl/>
      <w:pBdr>
        <w:bottom w:val="single" w:color="auto" w:sz="8" w:space="0"/>
      </w:pBdr>
    </w:pPr>
    <w:rPr>
      <w:rFonts w:hAnsi="宋体" w:cs="宋体"/>
      <w:color w:val="0d0d0d"/>
      <w:sz w:val="18"/>
      <w:szCs w:val="18"/>
    </w:rPr>
  </w:style>
  <w:style w:type="paragraph" w:styleId="1206" w:customStyle="1">
    <w:name w:val="xl126"/>
    <w:basedOn w:val="984"/>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hAnsi="宋体" w:cs="宋体"/>
      <w:color w:val="0d0d0d"/>
      <w:sz w:val="18"/>
      <w:szCs w:val="18"/>
    </w:rPr>
  </w:style>
  <w:style w:type="paragraph" w:styleId="1207" w:customStyle="1">
    <w:name w:val="xl127"/>
    <w:basedOn w:val="984"/>
    <w:uiPriority w:val="0"/>
    <w:qFormat/>
    <w:pPr>
      <w:jc w:val="center"/>
      <w:spacing w:before="100" w:beforeAutospacing="1" w:after="100" w:afterAutospacing="1" w:line="360" w:lineRule="auto"/>
      <w:widowControl/>
      <w:pBdr>
        <w:left w:val="single" w:color="auto" w:sz="8" w:space="0"/>
        <w:right w:val="single" w:color="auto" w:sz="8" w:space="0"/>
      </w:pBdr>
    </w:pPr>
    <w:rPr>
      <w:rFonts w:hAnsi="宋体" w:cs="宋体"/>
      <w:color w:val="0d0d0d"/>
      <w:sz w:val="18"/>
      <w:szCs w:val="18"/>
    </w:rPr>
  </w:style>
  <w:style w:type="paragraph" w:styleId="1208" w:customStyle="1">
    <w:name w:val="xl128"/>
    <w:basedOn w:val="984"/>
    <w:uiPriority w:val="0"/>
    <w:qFormat/>
    <w:pPr>
      <w:jc w:val="center"/>
      <w:spacing w:before="100" w:beforeAutospacing="1" w:after="100" w:afterAutospacing="1" w:line="360" w:lineRule="auto"/>
      <w:widowControl/>
      <w:pBdr>
        <w:left w:val="single" w:color="auto" w:sz="8" w:space="0"/>
        <w:bottom w:val="single" w:color="auto" w:sz="8" w:space="0"/>
        <w:right w:val="single" w:color="auto" w:sz="8" w:space="0"/>
      </w:pBdr>
    </w:pPr>
    <w:rPr>
      <w:rFonts w:hAnsi="宋体" w:cs="宋体"/>
      <w:color w:val="0d0d0d"/>
      <w:sz w:val="18"/>
      <w:szCs w:val="18"/>
    </w:rPr>
  </w:style>
  <w:style w:type="paragraph" w:styleId="1209" w:customStyle="1">
    <w:name w:val="xl129"/>
    <w:basedOn w:val="984"/>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ascii="Times New Roman"/>
      <w:color w:val="0d0d0d"/>
      <w:sz w:val="18"/>
      <w:szCs w:val="18"/>
    </w:rPr>
  </w:style>
  <w:style w:type="paragraph" w:styleId="1210" w:customStyle="1">
    <w:name w:val="xl130"/>
    <w:basedOn w:val="984"/>
    <w:uiPriority w:val="0"/>
    <w:qFormat/>
    <w:pPr>
      <w:jc w:val="center"/>
      <w:spacing w:before="100" w:beforeAutospacing="1" w:after="100" w:afterAutospacing="1" w:line="360" w:lineRule="auto"/>
      <w:widowControl/>
      <w:pBdr>
        <w:left w:val="single" w:color="auto" w:sz="8" w:space="0"/>
        <w:bottom w:val="single" w:color="auto" w:sz="8" w:space="0"/>
        <w:right w:val="single" w:color="auto" w:sz="8" w:space="0"/>
      </w:pBdr>
    </w:pPr>
    <w:rPr>
      <w:rFonts w:ascii="Times New Roman"/>
      <w:color w:val="0d0d0d"/>
      <w:sz w:val="18"/>
      <w:szCs w:val="18"/>
    </w:rPr>
  </w:style>
  <w:style w:type="paragraph" w:styleId="1211" w:customStyle="1">
    <w:name w:val="xl131"/>
    <w:basedOn w:val="984"/>
    <w:uiPriority w:val="0"/>
    <w:qFormat/>
    <w:pPr>
      <w:spacing w:before="100" w:beforeAutospacing="1" w:after="100" w:afterAutospacing="1" w:line="360" w:lineRule="auto"/>
      <w:widowControl/>
      <w:pBdr>
        <w:top w:val="single" w:color="auto" w:sz="8" w:space="0"/>
        <w:left w:val="single" w:color="auto" w:sz="8" w:space="0"/>
        <w:right w:val="single" w:color="auto" w:sz="8" w:space="0"/>
      </w:pBdr>
    </w:pPr>
    <w:rPr>
      <w:rFonts w:ascii="Times New Roman"/>
      <w:color w:val="0d0d0d"/>
      <w:sz w:val="18"/>
      <w:szCs w:val="18"/>
    </w:rPr>
  </w:style>
  <w:style w:type="paragraph" w:styleId="1212" w:customStyle="1">
    <w:name w:val="xl132"/>
    <w:basedOn w:val="984"/>
    <w:uiPriority w:val="0"/>
    <w:qFormat/>
    <w:pPr>
      <w:spacing w:before="100" w:beforeAutospacing="1" w:after="100" w:afterAutospacing="1" w:line="360" w:lineRule="auto"/>
      <w:widowControl/>
      <w:pBdr>
        <w:left w:val="single" w:color="auto" w:sz="8" w:space="0"/>
        <w:bottom w:val="single" w:color="auto" w:sz="8" w:space="0"/>
        <w:right w:val="single" w:color="auto" w:sz="8" w:space="0"/>
      </w:pBdr>
    </w:pPr>
    <w:rPr>
      <w:rFonts w:ascii="Times New Roman"/>
      <w:color w:val="0d0d0d"/>
      <w:sz w:val="18"/>
      <w:szCs w:val="18"/>
    </w:rPr>
  </w:style>
  <w:style w:type="paragraph" w:styleId="1213" w:customStyle="1">
    <w:name w:val="xl133"/>
    <w:basedOn w:val="984"/>
    <w:uiPriority w:val="0"/>
    <w:qFormat/>
    <w:pPr>
      <w:jc w:val="center"/>
      <w:spacing w:before="100" w:beforeAutospacing="1" w:after="100" w:afterAutospacing="1" w:line="360" w:lineRule="auto"/>
      <w:widowControl/>
      <w:pBdr>
        <w:top w:val="single" w:color="auto" w:sz="8" w:space="0"/>
        <w:left w:val="single" w:color="auto" w:sz="8" w:space="0"/>
        <w:right w:val="single" w:color="auto" w:sz="8" w:space="0"/>
      </w:pBdr>
    </w:pPr>
    <w:rPr>
      <w:rFonts w:hAnsi="宋体" w:cs="宋体"/>
      <w:color w:val="0d0d0d"/>
      <w:sz w:val="18"/>
      <w:szCs w:val="18"/>
    </w:rPr>
  </w:style>
  <w:style w:type="paragraph" w:styleId="1214" w:customStyle="1">
    <w:name w:val="xl134"/>
    <w:basedOn w:val="984"/>
    <w:uiPriority w:val="0"/>
    <w:qFormat/>
    <w:pPr>
      <w:jc w:val="center"/>
      <w:spacing w:before="100" w:beforeAutospacing="1" w:after="100" w:afterAutospacing="1" w:line="360" w:lineRule="auto"/>
      <w:widowControl/>
      <w:pBdr>
        <w:left w:val="single" w:color="auto" w:sz="8" w:space="0"/>
        <w:bottom w:val="single" w:color="auto" w:sz="8" w:space="0"/>
        <w:right w:val="single" w:color="auto" w:sz="8" w:space="0"/>
      </w:pBdr>
    </w:pPr>
    <w:rPr>
      <w:rFonts w:hAnsi="宋体" w:cs="宋体"/>
      <w:color w:val="0d0d0d"/>
      <w:sz w:val="18"/>
      <w:szCs w:val="18"/>
    </w:rPr>
  </w:style>
  <w:style w:type="paragraph" w:styleId="1215" w:customStyle="1">
    <w:name w:val="正文aa"/>
    <w:basedOn w:val="984"/>
    <w:link w:val="1216"/>
    <w:uiPriority w:val="0"/>
    <w:qFormat/>
    <w:pPr>
      <w:jc w:val="both"/>
      <w:spacing w:line="360" w:lineRule="auto"/>
    </w:pPr>
    <w:rPr>
      <w:rFonts w:ascii="Times New Roman"/>
      <w:sz w:val="24"/>
      <w:szCs w:val="24"/>
      <w:lang w:val="zh-CN"/>
    </w:rPr>
  </w:style>
  <w:style w:type="character" w:styleId="1216" w:customStyle="1">
    <w:name w:val="正文aa Char"/>
    <w:link w:val="1215"/>
    <w:uiPriority w:val="0"/>
    <w:qFormat/>
    <w:rPr>
      <w:sz w:val="24"/>
      <w:szCs w:val="24"/>
      <w:lang w:val="zh-CN" w:eastAsia="zh-CN"/>
    </w:rPr>
  </w:style>
  <w:style w:type="paragraph" w:styleId="1217" w:customStyle="1">
    <w:name w:val="4 Char"/>
    <w:basedOn w:val="984"/>
    <w:uiPriority w:val="0"/>
    <w:qFormat/>
    <w:pPr>
      <w:ind w:left="432" w:hanging="432"/>
      <w:jc w:val="center"/>
      <w:spacing w:line="360" w:lineRule="auto"/>
      <w:tabs>
        <w:tab w:val="left" w:pos="432" w:leader="none"/>
      </w:tabs>
    </w:pPr>
    <w:rPr>
      <w:rFonts w:ascii="Times New Roman"/>
      <w:b/>
      <w:spacing w:val="20"/>
      <w:sz w:val="24"/>
      <w:szCs w:val="24"/>
    </w:rPr>
  </w:style>
  <w:style w:type="paragraph" w:styleId="1218" w:customStyle="1">
    <w:name w:val="font15"/>
    <w:basedOn w:val="984"/>
    <w:uiPriority w:val="0"/>
    <w:qFormat/>
    <w:pPr>
      <w:spacing w:before="100" w:beforeAutospacing="1" w:after="100" w:afterAutospacing="1" w:line="360" w:lineRule="auto"/>
      <w:widowControl/>
    </w:pPr>
    <w:rPr>
      <w:rFonts w:hAnsi="宋体" w:cs="宋体"/>
      <w:color w:val="000000"/>
      <w:sz w:val="18"/>
      <w:szCs w:val="18"/>
    </w:rPr>
  </w:style>
  <w:style w:type="paragraph" w:styleId="1219" w:customStyle="1">
    <w:name w:val="font16"/>
    <w:basedOn w:val="984"/>
    <w:uiPriority w:val="0"/>
    <w:qFormat/>
    <w:pPr>
      <w:spacing w:before="100" w:beforeAutospacing="1" w:after="100" w:afterAutospacing="1" w:line="360" w:lineRule="auto"/>
      <w:widowControl/>
    </w:pPr>
    <w:rPr>
      <w:rFonts w:ascii="Times New Roman"/>
      <w:color w:val="000000"/>
    </w:rPr>
  </w:style>
  <w:style w:type="paragraph" w:styleId="1220" w:customStyle="1">
    <w:name w:val="font17"/>
    <w:basedOn w:val="984"/>
    <w:uiPriority w:val="0"/>
    <w:qFormat/>
    <w:pPr>
      <w:spacing w:before="100" w:beforeAutospacing="1" w:after="100" w:afterAutospacing="1" w:line="360" w:lineRule="auto"/>
      <w:widowControl/>
    </w:pPr>
    <w:rPr>
      <w:rFonts w:hAnsi="宋体" w:cs="宋体"/>
      <w:color w:val="000000"/>
    </w:rPr>
  </w:style>
  <w:style w:type="paragraph" w:styleId="1221" w:customStyle="1">
    <w:name w:val="font18"/>
    <w:basedOn w:val="984"/>
    <w:uiPriority w:val="0"/>
    <w:qFormat/>
    <w:pPr>
      <w:spacing w:before="100" w:beforeAutospacing="1" w:after="100" w:afterAutospacing="1" w:line="360" w:lineRule="auto"/>
      <w:widowControl/>
    </w:pPr>
    <w:rPr>
      <w:rFonts w:hAnsi="宋体" w:cs="宋体"/>
      <w:color w:val="000000"/>
      <w:sz w:val="18"/>
      <w:szCs w:val="18"/>
    </w:rPr>
  </w:style>
  <w:style w:type="paragraph" w:styleId="1222" w:customStyle="1">
    <w:name w:val="font19"/>
    <w:basedOn w:val="984"/>
    <w:uiPriority w:val="0"/>
    <w:qFormat/>
    <w:pPr>
      <w:spacing w:before="100" w:beforeAutospacing="1" w:after="100" w:afterAutospacing="1" w:line="360" w:lineRule="auto"/>
      <w:widowControl/>
    </w:pPr>
    <w:rPr>
      <w:rFonts w:hAnsi="宋体" w:cs="宋体"/>
      <w:color w:val="0d0d0d"/>
    </w:rPr>
  </w:style>
  <w:style w:type="paragraph" w:styleId="1223" w:customStyle="1">
    <w:name w:val="font20"/>
    <w:basedOn w:val="984"/>
    <w:uiPriority w:val="0"/>
    <w:qFormat/>
    <w:pPr>
      <w:spacing w:before="100" w:beforeAutospacing="1" w:after="100" w:afterAutospacing="1" w:line="360" w:lineRule="auto"/>
      <w:widowControl/>
    </w:pPr>
    <w:rPr>
      <w:rFonts w:hAnsi="宋体" w:cs="宋体"/>
      <w:color w:val="000000"/>
      <w:sz w:val="18"/>
      <w:szCs w:val="18"/>
    </w:rPr>
  </w:style>
  <w:style w:type="paragraph" w:styleId="1224" w:customStyle="1">
    <w:name w:val="111newzhengwen"/>
    <w:basedOn w:val="984"/>
    <w:link w:val="1225"/>
    <w:uiPriority w:val="0"/>
    <w:qFormat/>
    <w:pPr>
      <w:ind w:firstLine="200"/>
      <w:jc w:val="both"/>
      <w:spacing w:line="360" w:lineRule="auto"/>
    </w:pPr>
    <w:rPr>
      <w:rFonts w:hAnsi="宋体"/>
      <w:sz w:val="28"/>
      <w:szCs w:val="28"/>
    </w:rPr>
  </w:style>
  <w:style w:type="character" w:styleId="1225" w:customStyle="1">
    <w:name w:val="111newzhengwen 字符"/>
    <w:basedOn w:val="994"/>
    <w:link w:val="1224"/>
    <w:uiPriority w:val="0"/>
    <w:qFormat/>
    <w:rPr>
      <w:rFonts w:ascii="宋体" w:hAnsi="宋体"/>
      <w:sz w:val="28"/>
      <w:szCs w:val="28"/>
    </w:rPr>
  </w:style>
  <w:style w:type="character" w:styleId="1226" w:customStyle="1">
    <w:name w:val="题注 字符"/>
    <w:link w:val="999"/>
    <w:uiPriority w:val="0"/>
    <w:qFormat/>
    <w:rPr>
      <w:rFonts w:ascii="Arial" w:hAnsi="Arial" w:eastAsia="黑体"/>
      <w:lang w:val="zh-CN" w:eastAsia="zh-CN"/>
    </w:rPr>
  </w:style>
  <w:style w:type="character" w:styleId="1227" w:customStyle="1">
    <w:name w:val="副标题 字符"/>
    <w:basedOn w:val="994"/>
    <w:link w:val="1018"/>
    <w:uiPriority w:val="11"/>
    <w:qFormat/>
    <w:rPr>
      <w:rFonts w:cstheme="majorBidi"/>
      <w:bCs/>
      <w:sz w:val="24"/>
      <w:szCs w:val="32"/>
    </w:rPr>
  </w:style>
  <w:style w:type="paragraph" w:styleId="1228" w:customStyle="1">
    <w:name w:val="表格字体"/>
    <w:basedOn w:val="984"/>
    <w:link w:val="1229"/>
    <w:uiPriority w:val="0"/>
    <w:qFormat/>
    <w:pPr>
      <w:jc w:val="center"/>
      <w:spacing w:line="360" w:lineRule="auto"/>
    </w:pPr>
    <w:rPr>
      <w:rFonts w:ascii="Times New Roman"/>
      <w:sz w:val="18"/>
      <w:szCs w:val="24"/>
    </w:rPr>
  </w:style>
  <w:style w:type="character" w:styleId="1229" w:customStyle="1">
    <w:name w:val="表格字体 Char"/>
    <w:basedOn w:val="994"/>
    <w:link w:val="1228"/>
    <w:uiPriority w:val="0"/>
    <w:qFormat/>
    <w:rPr>
      <w:sz w:val="18"/>
      <w:szCs w:val="24"/>
    </w:rPr>
  </w:style>
  <w:style w:type="character" w:styleId="1230" w:customStyle="1">
    <w:name w:val="标题 5 字符"/>
    <w:basedOn w:val="994"/>
    <w:link w:val="989"/>
    <w:uiPriority w:val="9"/>
    <w:qFormat/>
    <w:rPr>
      <w:rFonts w:ascii="宋体"/>
      <w:b/>
      <w:bCs/>
      <w:sz w:val="28"/>
      <w:szCs w:val="28"/>
    </w:rPr>
  </w:style>
  <w:style w:type="paragraph" w:styleId="1231">
    <w:name w:val="No Spacing"/>
    <w:basedOn w:val="984"/>
    <w:next w:val="984"/>
    <w:link w:val="1232"/>
    <w:uiPriority w:val="1"/>
    <w:qFormat/>
    <w:pPr>
      <w:jc w:val="center"/>
      <w:spacing w:before="156" w:line="360" w:lineRule="auto"/>
    </w:pPr>
    <w:rPr>
      <w:rFonts w:ascii="Times New Roman" w:cstheme="minorBidi"/>
      <w:sz w:val="24"/>
      <w:szCs w:val="22"/>
    </w:rPr>
  </w:style>
  <w:style w:type="character" w:styleId="1232" w:customStyle="1">
    <w:name w:val="无间隔 字符"/>
    <w:basedOn w:val="994"/>
    <w:link w:val="1231"/>
    <w:uiPriority w:val="1"/>
    <w:qFormat/>
    <w:rPr>
      <w:rFonts w:cstheme="minorBidi"/>
      <w:sz w:val="24"/>
      <w:szCs w:val="22"/>
    </w:rPr>
  </w:style>
  <w:style w:type="table" w:styleId="1233" w:customStyle="1">
    <w:name w:val="网格型3"/>
    <w:basedOn w:val="9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4" w:customStyle="1">
    <w:name w:val="表格"/>
    <w:basedOn w:val="984"/>
    <w:link w:val="1235"/>
    <w:uiPriority w:val="0"/>
    <w:qFormat/>
    <w:pPr>
      <w:jc w:val="center"/>
      <w:spacing w:line="360" w:lineRule="auto"/>
    </w:pPr>
    <w:rPr>
      <w:rFonts w:ascii="Times New Roman"/>
      <w:sz w:val="24"/>
      <w:szCs w:val="21"/>
    </w:rPr>
  </w:style>
  <w:style w:type="character" w:styleId="1235" w:customStyle="1">
    <w:name w:val="表格 字符"/>
    <w:basedOn w:val="994"/>
    <w:link w:val="1234"/>
    <w:uiPriority w:val="0"/>
    <w:qFormat/>
    <w:rPr>
      <w:sz w:val="24"/>
      <w:szCs w:val="21"/>
    </w:rPr>
  </w:style>
  <w:style w:type="character" w:styleId="1236" w:customStyle="1">
    <w:name w:val="表格标题 字符"/>
    <w:basedOn w:val="994"/>
    <w:uiPriority w:val="0"/>
    <w:qFormat/>
    <w:rPr>
      <w:rFonts w:ascii="Times New Roman" w:hAnsi="Times New Roman" w:eastAsia="黑体"/>
      <w:b/>
      <w:sz w:val="21"/>
      <w:szCs w:val="21"/>
    </w:rPr>
  </w:style>
  <w:style w:type="paragraph" w:styleId="1237" w:customStyle="1">
    <w:name w:val="样式1"/>
    <w:basedOn w:val="984"/>
    <w:uiPriority w:val="0"/>
    <w:qFormat/>
    <w:pPr>
      <w:jc w:val="center"/>
      <w:spacing w:line="15" w:lineRule="auto"/>
    </w:pPr>
    <w:rPr>
      <w:rFonts w:asciiTheme="minorHAnsi" w:hAnsiTheme="minorHAnsi" w:eastAsiaTheme="minorEastAsia" w:cstheme="minorBidi"/>
      <w:sz w:val="24"/>
      <w:szCs w:val="24"/>
    </w:rPr>
  </w:style>
  <w:style w:type="character" w:styleId="1238" w:customStyle="1">
    <w:name w:val="font3 Char"/>
    <w:basedOn w:val="994"/>
    <w:uiPriority w:val="0"/>
    <w:qFormat/>
    <w:rPr>
      <w:rFonts w:hint="eastAsia" w:ascii="宋体" w:hAnsi="宋体" w:eastAsia="宋体"/>
      <w:color w:val="000000"/>
      <w:spacing w:val="0"/>
      <w:position w:val="0"/>
      <w:sz w:val="21"/>
      <w:szCs w:val="21"/>
      <w:u w:val="none"/>
      <w:vertAlign w:val="baseline"/>
    </w:rPr>
  </w:style>
  <w:style w:type="character" w:styleId="1239" w:customStyle="1">
    <w:name w:val="正文文本缩进 3 字符"/>
    <w:basedOn w:val="994"/>
    <w:link w:val="1020"/>
    <w:uiPriority w:val="99"/>
    <w:qFormat/>
    <w:rPr>
      <w:sz w:val="16"/>
      <w:szCs w:val="16"/>
    </w:rPr>
  </w:style>
  <w:style w:type="character" w:styleId="1240" w:customStyle="1">
    <w:name w:val="正文文本 3 字符"/>
    <w:basedOn w:val="994"/>
    <w:link w:val="1004"/>
    <w:uiPriority w:val="99"/>
    <w:qFormat/>
    <w:rPr>
      <w:rFonts w:eastAsiaTheme="minorEastAsia" w:cstheme="minorBidi"/>
      <w:sz w:val="16"/>
      <w:szCs w:val="16"/>
    </w:rPr>
  </w:style>
  <w:style w:type="table" w:styleId="1241" w:customStyle="1">
    <w:name w:val="网格型1"/>
    <w:basedOn w:val="995"/>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批注主题 字符"/>
    <w:basedOn w:val="1041"/>
    <w:link w:val="1025"/>
    <w:uiPriority w:val="99"/>
    <w:qFormat/>
    <w:rPr>
      <w:rFonts w:ascii="宋体"/>
      <w:b/>
      <w:bCs/>
    </w:rPr>
  </w:style>
  <w:style w:type="paragraph" w:styleId="1243" w:customStyle="1">
    <w:name w:val="xl63"/>
    <w:basedOn w:val="984"/>
    <w:uiPriority w:val="0"/>
    <w:qFormat/>
    <w:pPr>
      <w:jc w:val="center"/>
      <w:spacing w:before="100" w:beforeAutospacing="1" w:after="100" w:afterAutospacing="1" w:line="360" w:lineRule="auto"/>
      <w:widowControl/>
    </w:pPr>
    <w:rPr>
      <w:rFonts w:hAnsi="宋体" w:cs="宋体"/>
      <w:b/>
      <w:bCs/>
    </w:rPr>
  </w:style>
  <w:style w:type="paragraph" w:styleId="1244" w:customStyle="1">
    <w:name w:val="xl64"/>
    <w:basedOn w:val="984"/>
    <w:uiPriority w:val="0"/>
    <w:qFormat/>
    <w:pPr>
      <w:spacing w:before="100" w:beforeAutospacing="1" w:after="100" w:afterAutospacing="1" w:line="360" w:lineRule="auto"/>
      <w:widowControl/>
    </w:pPr>
    <w:rPr>
      <w:rFonts w:hAnsi="宋体" w:cs="宋体"/>
    </w:rPr>
  </w:style>
  <w:style w:type="paragraph" w:styleId="1245" w:customStyle="1">
    <w:name w:val="msonormal"/>
    <w:basedOn w:val="984"/>
    <w:uiPriority w:val="0"/>
    <w:qFormat/>
    <w:pPr>
      <w:spacing w:before="100" w:beforeAutospacing="1" w:after="100" w:afterAutospacing="1" w:line="360" w:lineRule="auto"/>
      <w:widowControl/>
    </w:pPr>
    <w:rPr>
      <w:rFonts w:hAnsi="宋体" w:cs="宋体"/>
      <w:sz w:val="24"/>
      <w:szCs w:val="24"/>
    </w:rPr>
  </w:style>
  <w:style w:type="character" w:styleId="1246" w:customStyle="1">
    <w:name w:val="东北北部-三级标题"/>
    <w:uiPriority w:val="0"/>
    <w:qFormat/>
    <w:rPr>
      <w:rFonts w:ascii="华文中宋" w:hAnsi="华文中宋" w:eastAsia="华文中宋"/>
      <w:sz w:val="30"/>
      <w:szCs w:val="30"/>
    </w:rPr>
  </w:style>
  <w:style w:type="character" w:styleId="1247" w:customStyle="1">
    <w:name w:val="标题 6 字符"/>
    <w:basedOn w:val="994"/>
    <w:link w:val="990"/>
    <w:uiPriority w:val="0"/>
    <w:qFormat/>
    <w:rPr>
      <w:rFonts w:ascii="Arial" w:hAnsi="Arial" w:eastAsia="黑体"/>
      <w:b/>
      <w:bCs/>
      <w:sz w:val="24"/>
      <w:szCs w:val="24"/>
    </w:rPr>
  </w:style>
  <w:style w:type="paragraph" w:styleId="1248" w:customStyle="1">
    <w:name w:val="表内"/>
    <w:basedOn w:val="984"/>
    <w:link w:val="1249"/>
    <w:uiPriority w:val="0"/>
    <w:qFormat/>
    <w:pPr>
      <w:jc w:val="center"/>
      <w:spacing w:line="240" w:lineRule="exact"/>
    </w:pPr>
    <w:rPr>
      <w:rFonts w:ascii="Times New Roman"/>
      <w:sz w:val="18"/>
      <w:szCs w:val="24"/>
    </w:rPr>
  </w:style>
  <w:style w:type="character" w:styleId="1249" w:customStyle="1">
    <w:name w:val="表内 Char"/>
    <w:basedOn w:val="994"/>
    <w:link w:val="1248"/>
    <w:uiPriority w:val="0"/>
    <w:qFormat/>
    <w:rPr>
      <w:sz w:val="18"/>
      <w:szCs w:val="24"/>
    </w:rPr>
  </w:style>
  <w:style w:type="character" w:styleId="1250" w:customStyle="1">
    <w:name w:val="副标题 字符2"/>
    <w:uiPriority w:val="11"/>
    <w:qFormat/>
    <w:rPr>
      <w:rFonts w:ascii="Times New Roman" w:hAnsi="Times New Roman" w:eastAsia="黑体" w:cs="Times New Roman"/>
      <w:bCs/>
      <w:szCs w:val="32"/>
    </w:rPr>
  </w:style>
  <w:style w:type="table" w:styleId="1251" w:customStyle="1">
    <w:name w:val="网格型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52" w:customStyle="1">
    <w:name w:val="标题 8 字符"/>
    <w:basedOn w:val="994"/>
    <w:link w:val="992"/>
    <w:uiPriority w:val="0"/>
    <w:qFormat/>
    <w:rPr>
      <w:rFonts w:ascii="Arial" w:hAnsi="Arial" w:eastAsia="黑体"/>
      <w:sz w:val="24"/>
      <w:szCs w:val="24"/>
    </w:rPr>
  </w:style>
  <w:style w:type="character" w:styleId="1253" w:customStyle="1">
    <w:name w:val="标题 9 字符"/>
    <w:basedOn w:val="994"/>
    <w:link w:val="993"/>
    <w:uiPriority w:val="0"/>
    <w:qFormat/>
    <w:rPr>
      <w:rFonts w:ascii="Arial" w:hAnsi="Arial" w:eastAsia="黑体"/>
      <w:sz w:val="21"/>
      <w:szCs w:val="21"/>
    </w:rPr>
  </w:style>
  <w:style w:type="character" w:styleId="1254" w:customStyle="1">
    <w:name w:val="正文1 Char"/>
    <w:uiPriority w:val="99"/>
    <w:qFormat/>
    <w:rPr>
      <w:rFonts w:ascii="仿宋_GB2312" w:eastAsia="仿宋_GB2312"/>
      <w:sz w:val="28"/>
    </w:rPr>
  </w:style>
  <w:style w:type="character" w:styleId="1255" w:customStyle="1">
    <w:name w:val="font01"/>
    <w:basedOn w:val="994"/>
    <w:uiPriority w:val="0"/>
    <w:qFormat/>
    <w:rPr>
      <w:rFonts w:hint="eastAsia" w:ascii="宋体" w:hAnsi="宋体" w:eastAsia="宋体" w:cs="宋体"/>
      <w:color w:val="000000"/>
      <w:sz w:val="24"/>
      <w:szCs w:val="24"/>
      <w:u w:val="none"/>
    </w:rPr>
  </w:style>
  <w:style w:type="character" w:styleId="1256" w:customStyle="1">
    <w:name w:val="font61"/>
    <w:basedOn w:val="994"/>
    <w:uiPriority w:val="0"/>
    <w:qFormat/>
    <w:rPr>
      <w:rFonts w:hint="eastAsia" w:ascii="宋体" w:hAnsi="宋体" w:eastAsia="宋体" w:cs="宋体"/>
      <w:color w:val="000000"/>
      <w:sz w:val="24"/>
      <w:szCs w:val="24"/>
      <w:u w:val="none"/>
    </w:rPr>
  </w:style>
  <w:style w:type="paragraph" w:styleId="1257" w:customStyle="1">
    <w:name w:val="修订4"/>
    <w:hidden/>
    <w:uiPriority w:val="99"/>
    <w:unhideWhenUsed/>
    <w:qFormat/>
    <w:rPr>
      <w:rFonts w:ascii="宋体" w:hAnsi="Times New Roman" w:eastAsia="宋体" w:cs="Times New Roman"/>
      <w:lang w:val="en-US" w:eastAsia="zh-CN" w:bidi="ar-SA"/>
    </w:rPr>
  </w:style>
  <w:style w:type="paragraph" w:styleId="1258" w:customStyle="1">
    <w:name w:val="Revision"/>
    <w:hidden/>
    <w:uiPriority w:val="99"/>
    <w:unhideWhenUsed/>
    <w:qFormat/>
    <w:rPr>
      <w:rFonts w:ascii="宋体" w:hAnsi="Times New Roman" w:eastAsia="宋体" w:cs="Times New Roman"/>
      <w:lang w:val="en-US" w:eastAsia="zh-CN" w:bidi="ar-SA"/>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A7CC7-71D2-4524-980F-A58AF2B4DA5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省财政专项质检样分析测试招标书（2018-01-04）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顾建钧</cp:lastModifiedBy>
  <cp:revision>5</cp:revision>
  <dcterms:created xsi:type="dcterms:W3CDTF">2023-10-27T03:20:00Z</dcterms:created>
  <dcterms:modified xsi:type="dcterms:W3CDTF">2024-10-29T06:44:50Z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695756AB22E748499EF29EFB737882E2_13</vt:lpwstr>
  </property>
</Properties>
</file>