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spacing w:before="120" w:beforeAutospacing="0" w:after="120" w:afterAutospacing="0" w:line="360" w:lineRule="auto"/>
        <w:rPr>
          <w:color w:val="auto"/>
          <w:highlight w:val="none"/>
        </w:rPr>
      </w:pPr>
      <w:r>
        <w:rPr>
          <w:color w:val="auto"/>
          <w:highlight w:val="none"/>
        </w:rPr>
        <w:t xml:space="preserve"> </w:t>
      </w:r>
      <w:r/>
    </w:p>
    <w:p>
      <w:pPr>
        <w:pStyle w:val="662"/>
        <w:jc w:val="left"/>
        <w:spacing w:before="120" w:beforeAutospacing="0" w:after="120" w:afterAutospacing="0" w:line="360" w:lineRule="auto"/>
        <w:tabs>
          <w:tab w:val="left" w:pos="5468" w:leader="none"/>
        </w:tabs>
        <w:rPr>
          <w:rFonts w:hint="eastAsia" w:ascii="Arial" w:hAnsi="Arial" w:cs="Arial" w:eastAsiaTheme="minorEastAsia"/>
          <w:b/>
          <w:color w:val="auto"/>
          <w:sz w:val="84"/>
          <w:szCs w:val="84"/>
          <w:highlight w:val="none"/>
          <w:lang w:eastAsia="zh-CN"/>
        </w:rPr>
      </w:pPr>
      <w:r>
        <w:rPr>
          <w:rFonts w:hint="eastAsia" w:ascii="Arial" w:hAnsi="Arial" w:cs="Arial"/>
          <w:b/>
          <w:color w:val="auto"/>
          <w:sz w:val="84"/>
          <w:szCs w:val="84"/>
          <w:highlight w:val="none"/>
          <w:lang w:eastAsia="zh-CN"/>
        </w:rPr>
        <w:tab/>
      </w:r>
      <w:r/>
    </w:p>
    <w:p>
      <w:pPr>
        <w:pStyle w:val="66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2"/>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2"/>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2"/>
        <w:spacing w:before="120" w:beforeAutospacing="0" w:after="120" w:afterAutospacing="0" w:line="360" w:lineRule="auto"/>
        <w:rPr>
          <w:rFonts w:hint="default" w:eastAsiaTheme="minorEastAsia"/>
          <w:color w:val="auto"/>
          <w:highlight w:val="none"/>
          <w:u w:val="singl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JSZC-320981-DTJM-G2025-0009</w:t>
      </w:r>
      <w:r/>
    </w:p>
    <w:p>
      <w:pPr>
        <w:pStyle w:val="662"/>
        <w:jc w:val="both"/>
        <w:spacing w:before="120" w:beforeAutospacing="0" w:after="120" w:afterAutospacing="0" w:line="360" w:lineRule="auto"/>
        <w:rPr>
          <w:rFonts w:hint="eastAsia" w:eastAsia="宋体"/>
          <w:color w:val="auto"/>
          <w:highlight w:val="none"/>
          <w:lang w:eastAsia="zh-CN"/>
        </w:rPr>
      </w:pPr>
      <w:r>
        <w:rPr>
          <w:rFonts w:ascii="Arial" w:hAnsi="Arial" w:cs="Arial"/>
          <w:b/>
          <w:color w:val="auto"/>
          <w:sz w:val="32"/>
          <w:szCs w:val="32"/>
          <w:highlight w:val="none"/>
        </w:rPr>
        <w:t xml:space="preserve">项目编号：</w:t>
      </w:r>
      <w:r>
        <w:rPr>
          <w:rFonts w:hint="eastAsia" w:ascii="Arial" w:hAnsi="Arial" w:eastAsia="宋体" w:cs="Arial"/>
          <w:b/>
          <w:color w:val="auto"/>
          <w:sz w:val="32"/>
          <w:szCs w:val="32"/>
          <w:highlight w:val="none"/>
          <w:lang w:eastAsia="zh-CN"/>
        </w:rPr>
        <w:t xml:space="preserve">2025年东台市市场监督管理局采购食用农产品快检试剂项目</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spacing w:beforeAutospacing="0" w:afterAutospacing="0" w:line="360" w:lineRule="auto"/>
        <w:rPr>
          <w:color w:val="auto"/>
          <w:highlight w:val="none"/>
        </w:rPr>
      </w:pPr>
      <w:r>
        <w:rPr>
          <w:color w:val="auto"/>
          <w:highlight w:val="none"/>
        </w:rPr>
        <w:t xml:space="preserve"> </w:t>
      </w:r>
      <w:r/>
    </w:p>
    <w:p>
      <w:pPr>
        <w:pStyle w:val="662"/>
        <w:jc w:val="center"/>
        <w:spacing w:before="120" w:beforeAutospacing="0" w:after="120" w:afterAutospacing="0" w:line="360" w:lineRule="auto"/>
        <w:rPr>
          <w:rFonts w:hint="eastAsia" w:ascii="Arial" w:hAnsi="Arial" w:eastAsia="宋体" w:cs="Arial"/>
          <w:b/>
          <w:color w:val="auto"/>
          <w:sz w:val="32"/>
          <w:szCs w:val="32"/>
          <w:highlight w:val="none"/>
          <w:lang w:val="en-US" w:eastAsia="zh-CN"/>
        </w:rPr>
      </w:pPr>
      <w:r>
        <w:rPr>
          <w:rFonts w:hint="eastAsia" w:ascii="Arial" w:hAnsi="Arial" w:cs="Arial"/>
          <w:b/>
          <w:color w:val="auto"/>
          <w:sz w:val="32"/>
          <w:szCs w:val="32"/>
          <w:highlight w:val="none"/>
        </w:rPr>
        <w:t xml:space="preserve">采购单位：东台市市场监督管理局</w:t>
      </w:r>
      <w:r/>
    </w:p>
    <w:p>
      <w:pPr>
        <w:pStyle w:val="662"/>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采购代理机构：江苏炬铭工程项目管理咨询有限公司</w:t>
      </w:r>
      <w:r/>
    </w:p>
    <w:p>
      <w:pPr>
        <w:pStyle w:val="662"/>
        <w:jc w:val="center"/>
        <w:spacing w:before="120" w:beforeAutospacing="0" w:after="120" w:afterAutospacing="0" w:line="360" w:lineRule="auto"/>
        <w:rPr>
          <w:rFonts w:hint="default" w:eastAsiaTheme="minorEastAsia"/>
          <w:color w:val="auto"/>
          <w:highlight w:val="none"/>
          <w:lang w:val="en-US" w:eastAsia="zh-CN"/>
        </w:rPr>
      </w:pPr>
      <w:r>
        <w:rPr>
          <w:rFonts w:hint="eastAsia" w:ascii="Arial" w:hAnsi="Arial" w:cs="Arial"/>
          <w:b/>
          <w:color w:val="auto"/>
          <w:sz w:val="32"/>
          <w:szCs w:val="32"/>
          <w:highlight w:val="none"/>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30日</w:t>
      </w:r>
      <w:r/>
    </w:p>
    <w:p>
      <w:pPr>
        <w:pStyle w:val="662"/>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2"/>
        <w:jc w:val="center"/>
        <w:spacing w:before="120" w:beforeAutospacing="0" w:after="120" w:afterAutospacing="0" w:line="360" w:lineRule="auto"/>
        <w:rPr>
          <w:color w:val="auto"/>
          <w:highlight w:val="none"/>
        </w:rPr>
      </w:pPr>
      <w:r>
        <w:rPr>
          <w:color w:val="auto"/>
          <w:highlight w:val="none"/>
        </w:rPr>
        <w:t xml:space="preserve"> </w:t>
      </w:r>
      <w:r/>
    </w:p>
    <w:p>
      <w:pPr>
        <w:pStyle w:val="662"/>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16938516"/>
      <w:r/>
      <w:bookmarkStart w:id="2" w:name="_Toc20823272"/>
      <w:r/>
      <w:bookmarkStart w:id="3" w:name="_Toc513029200"/>
      <w:r/>
      <w:bookmarkStart w:id="4" w:name="_Toc523127445"/>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2"/>
        <w:jc w:val="both"/>
        <w:spacing w:beforeAutospacing="0" w:afterAutospacing="0" w:line="480" w:lineRule="auto"/>
        <w:rPr>
          <w:color w:val="auto"/>
          <w:highlight w:val="none"/>
        </w:rPr>
      </w:pPr>
      <w:r>
        <w:rPr>
          <w:color w:val="auto"/>
          <w:highlight w:val="none"/>
        </w:rPr>
        <w:t xml:space="preserve"> </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合同条款……………………………………</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6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t xml:space="preserve"> </w:t>
      </w:r>
      <w:r/>
    </w:p>
    <w:p>
      <w:pPr>
        <w:pStyle w:val="662"/>
        <w:jc w:val="center"/>
        <w:keepNext w:val="0"/>
        <w:spacing w:beforeAutospacing="0" w:afterAutospacing="0"/>
        <w:rPr>
          <w:rFonts w:eastAsia="黑体"/>
          <w:color w:val="auto"/>
          <w:highlight w:val="none"/>
        </w:rPr>
      </w:pPr>
      <w:r>
        <w:rPr>
          <w:color w:val="auto"/>
          <w:highlight w:val="none"/>
        </w:rPr>
        <w:t xml:space="preserve"> </w:t>
      </w:r>
      <w:bookmarkStart w:id="6" w:name="_Toc28359086"/>
      <w:r>
        <w:rPr>
          <w:rFonts w:hint="eastAsia" w:ascii="黑体" w:hAnsi="宋体" w:eastAsia="黑体" w:cs="黑体"/>
          <w:color w:val="auto"/>
          <w:sz w:val="44"/>
          <w:szCs w:val="44"/>
          <w:highlight w:val="none"/>
        </w:rPr>
        <w:t xml:space="preserve">第一章 招标公告</w:t>
      </w:r>
      <w:r/>
    </w:p>
    <w:p>
      <w:pPr>
        <w:pStyle w:val="662"/>
        <w:ind w:firstLine="480"/>
        <w:jc w:val="both"/>
        <w:spacing w:beforeAutospacing="0" w:afterAutospacing="0"/>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662"/>
        <w:ind w:firstLine="480"/>
        <w:jc w:val="both"/>
        <w:spacing w:beforeAutospacing="0" w:afterAutospacing="0"/>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2025年东台市市场监督管理局采购食用农产品快检试剂项目</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2025年</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24</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分</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北京时间）前递交投标文件。</w:t>
      </w:r>
      <w:r/>
    </w:p>
    <w:p>
      <w:pPr>
        <w:pStyle w:val="662"/>
        <w:ind w:firstLine="482"/>
        <w:jc w:val="both"/>
        <w:keepLines/>
        <w:keepNext/>
        <w:spacing w:beforeAutospacing="0" w:afterAutospacing="0" w:line="360" w:lineRule="auto"/>
        <w:rPr>
          <w:rFonts w:ascii="宋体" w:hAnsi="宋体" w:eastAsia="宋体" w:cs="宋体"/>
          <w:color w:val="auto"/>
          <w:highlight w:val="none"/>
        </w:rPr>
      </w:pPr>
      <w:r/>
      <w:bookmarkStart w:id="7" w:name="_Toc28359079"/>
      <w:r/>
      <w:bookmarkStart w:id="8" w:name="_Toc38985263"/>
      <w:r/>
      <w:bookmarkStart w:id="9" w:name="_Toc28359002"/>
      <w:r/>
      <w:bookmarkStart w:id="10" w:name="_Toc35393790"/>
      <w:r/>
      <w:bookmarkStart w:id="11" w:name="_Hlk24379207"/>
      <w:r/>
      <w:bookmarkStart w:id="12" w:name="_Toc35393621"/>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662"/>
        <w:ind w:firstLine="480"/>
        <w:jc w:val="both"/>
        <w:spacing w:beforeAutospacing="0" w:afterAutospacing="0" w:line="360" w:lineRule="auto"/>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1.项目编号：JSZC-320981-DTJM-G2025-0009</w:t>
      </w:r>
      <w:r/>
    </w:p>
    <w:p>
      <w:pPr>
        <w:pStyle w:val="662"/>
        <w:ind w:firstLine="480"/>
        <w:jc w:val="both"/>
        <w:spacing w:beforeAutospacing="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2025年东台市市场监督管理局采购食用农产品快检试剂项目</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100.00</w:t>
      </w:r>
      <w:r>
        <w:rPr>
          <w:rFonts w:hint="eastAsia" w:ascii="宋体" w:hAnsi="宋体" w:eastAsia="宋体" w:cs="宋体"/>
          <w:color w:val="auto"/>
          <w:highlight w:val="none"/>
        </w:rPr>
        <w:t xml:space="preserve">万元</w:t>
      </w:r>
      <w:r/>
    </w:p>
    <w:p>
      <w:pPr>
        <w:pStyle w:val="662"/>
        <w:ind w:firstLine="480"/>
        <w:jc w:val="both"/>
        <w:spacing w:beforeAutospacing="0" w:afterAutospacing="0" w:line="360" w:lineRule="auto"/>
        <w:rPr>
          <w:rFonts w:hint="eastAsia" w:ascii="宋体" w:hAnsi="宋体" w:eastAsia="宋体" w:cs="宋体"/>
          <w:color w:val="auto"/>
          <w:highlight w:val="none"/>
          <w:shd w:val="clear" w:color="ffffff" w:fill="d9d9d9"/>
          <w:lang w:eastAsia="zh-CN"/>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shd w:val="clear" w:color="auto" w:fill="ffffff"/>
          <w:lang w:val="en-US" w:eastAsia="zh-CN"/>
        </w:rPr>
        <w:t xml:space="preserve">包一：60.00</w:t>
      </w:r>
      <w:r>
        <w:rPr>
          <w:rFonts w:hint="eastAsia" w:ascii="宋体" w:hAnsi="宋体" w:eastAsia="宋体" w:cs="宋体"/>
          <w:color w:val="auto"/>
          <w:highlight w:val="none"/>
          <w:shd w:val="clear" w:color="auto" w:fill="ffffff"/>
        </w:rPr>
        <w:t xml:space="preserve">万元</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包二：40.00</w:t>
      </w:r>
      <w:r>
        <w:rPr>
          <w:rFonts w:hint="eastAsia" w:ascii="宋体" w:hAnsi="宋体" w:eastAsia="宋体" w:cs="宋体"/>
          <w:color w:val="auto"/>
          <w:highlight w:val="none"/>
          <w:shd w:val="clear" w:color="auto" w:fill="ffffff"/>
        </w:rPr>
        <w:t xml:space="preserve">万元</w:t>
      </w:r>
      <w:r/>
    </w:p>
    <w:p>
      <w:pPr>
        <w:pStyle w:val="66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6.采购需求（简介）：</w:t>
      </w:r>
      <w:r>
        <w:rPr>
          <w:rFonts w:hint="eastAsia" w:ascii="宋体" w:hAnsi="宋体" w:eastAsia="宋体" w:cs="宋体"/>
          <w:color w:val="auto"/>
          <w:highlight w:val="none"/>
          <w:lang w:eastAsia="zh-CN"/>
        </w:rPr>
        <w:t xml:space="preserve">2025年东台市市场监督管理局采购食用农产品快检试剂</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。（详细内容见本招标文件第四章）</w:t>
      </w:r>
      <w:r/>
    </w:p>
    <w:p>
      <w:pPr>
        <w:pStyle w:val="66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采用兼投不兼中原则，同一</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同时参与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个采购包投标，</w:t>
      </w:r>
      <w:r>
        <w:rPr>
          <w:rFonts w:hint="eastAsia" w:ascii="宋体" w:hAnsi="宋体" w:eastAsia="宋体" w:cs="宋体"/>
          <w:color w:val="auto"/>
          <w:sz w:val="24"/>
          <w:szCs w:val="24"/>
          <w:highlight w:val="none"/>
          <w:lang w:val="en-US" w:eastAsia="zh-CN"/>
        </w:rPr>
        <w:t xml:space="preserve">2个采购包评审顺序为包一、包二，在前面采购包中标的供应商，在后续采购包中不再参与评审</w:t>
      </w:r>
      <w:r>
        <w:rPr>
          <w:rFonts w:hint="eastAsia" w:ascii="宋体" w:hAnsi="宋体" w:eastAsia="宋体" w:cs="宋体"/>
          <w:color w:val="auto"/>
          <w:sz w:val="24"/>
          <w:szCs w:val="24"/>
          <w:highlight w:val="none"/>
        </w:rPr>
        <w:t xml:space="preserve">。不因前面开标、评标确认的第一中标候选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因质疑、投诉、复议被取消第一中标候选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（或中标人）资格，而改变后面开标、评标确定的</w:t>
      </w:r>
      <w:r>
        <w:rPr>
          <w:rFonts w:hint="eastAsia" w:ascii="宋体" w:hAnsi="宋体" w:eastAsia="宋体" w:cs="宋体"/>
          <w:color w:val="auto"/>
          <w:sz w:val="24"/>
          <w:szCs w:val="24"/>
          <w:highlight w:val="none"/>
          <w:lang w:eastAsia="zh-CN"/>
        </w:rPr>
        <w:t xml:space="preserve">中标候选投标人</w:t>
      </w:r>
      <w:r>
        <w:rPr>
          <w:rFonts w:hint="eastAsia" w:ascii="宋体" w:hAnsi="宋体" w:eastAsia="宋体" w:cs="宋体"/>
          <w:color w:val="auto"/>
          <w:sz w:val="24"/>
          <w:szCs w:val="24"/>
          <w:highlight w:val="none"/>
        </w:rPr>
        <w:t xml:space="preserve">结果。</w:t>
      </w:r>
      <w:r>
        <w:rPr>
          <w:rFonts w:hint="eastAsia" w:ascii="宋体" w:hAnsi="宋体" w:eastAsia="宋体" w:cs="宋体"/>
          <w:color w:val="auto"/>
          <w:sz w:val="24"/>
          <w:szCs w:val="24"/>
          <w:highlight w:val="none"/>
          <w:lang w:eastAsia="zh-CN"/>
        </w:rPr>
        <w:t xml:space="preserve">(如果一个</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同时投</w:t>
      </w:r>
      <w:r>
        <w:rPr>
          <w:rFonts w:hint="eastAsia" w:ascii="宋体" w:hAnsi="宋体" w:eastAsia="宋体" w:cs="宋体"/>
          <w:color w:val="auto"/>
          <w:sz w:val="24"/>
          <w:szCs w:val="24"/>
          <w:highlight w:val="none"/>
          <w:lang w:val="en-US" w:eastAsia="zh-CN"/>
        </w:rPr>
        <w:t xml:space="preserve">多</w:t>
      </w:r>
      <w:r>
        <w:rPr>
          <w:rFonts w:hint="eastAsia" w:ascii="宋体" w:hAnsi="宋体" w:eastAsia="宋体" w:cs="宋体"/>
          <w:color w:val="auto"/>
          <w:sz w:val="24"/>
          <w:szCs w:val="24"/>
          <w:highlight w:val="none"/>
          <w:lang w:eastAsia="zh-CN"/>
        </w:rPr>
        <w:t xml:space="preserve">个包，投标文件需要分包单独编制）。</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7.合同履行期限：根据采购人要求分批次提供。接到采购人供货需求后</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rPr>
        <w:t xml:space="preserve">内将试剂送达至采购人指定地点。</w:t>
      </w:r>
      <w:r/>
    </w:p>
    <w:p>
      <w:pPr>
        <w:pStyle w:val="662"/>
        <w:ind w:firstLine="480"/>
        <w:jc w:val="both"/>
        <w:spacing w:beforeAutospacing="0" w:afterAutospacing="0" w:line="360" w:lineRule="auto"/>
        <w:rPr>
          <w:rFonts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 xml:space="preserve">8.本项目（</w:t>
      </w:r>
      <w:r>
        <w:rPr>
          <w:rFonts w:hint="eastAsia" w:ascii="宋体" w:hAnsi="宋体" w:eastAsia="宋体" w:cs="宋体"/>
          <w:i/>
          <w:iCs/>
          <w:color w:val="auto"/>
          <w:highlight w:val="none"/>
          <w:shd w:val="clear" w:color="auto" w:fill="ffffff"/>
        </w:rPr>
        <w:t xml:space="preserve">是/否</w:t>
      </w:r>
      <w:r>
        <w:rPr>
          <w:rFonts w:hint="eastAsia" w:ascii="宋体" w:hAnsi="宋体" w:eastAsia="宋体" w:cs="宋体"/>
          <w:color w:val="auto"/>
          <w:highlight w:val="none"/>
          <w:shd w:val="clear" w:color="auto" w:fill="ffffff"/>
        </w:rPr>
        <w:t xml:space="preserve">）接受联合体</w:t>
      </w:r>
      <w:r>
        <w:rPr>
          <w:rFonts w:hint="eastAsia" w:ascii="宋体" w:hAnsi="宋体" w:eastAsia="宋体" w:cs="宋体"/>
          <w:color w:val="auto"/>
          <w:highlight w:val="none"/>
        </w:rPr>
        <w:t xml:space="preserve">参与招标:否</w:t>
      </w:r>
      <w:r/>
    </w:p>
    <w:p>
      <w:pPr>
        <w:pStyle w:val="662"/>
        <w:ind w:firstLine="482"/>
        <w:jc w:val="both"/>
        <w:keepLines/>
        <w:keepNext/>
        <w:spacing w:beforeAutospacing="0" w:afterAutospacing="0" w:line="360" w:lineRule="auto"/>
        <w:rPr>
          <w:rFonts w:ascii="宋体" w:hAnsi="宋体" w:eastAsia="宋体" w:cs="宋体"/>
          <w:color w:val="auto"/>
          <w:highlight w:val="none"/>
        </w:rPr>
      </w:pPr>
      <w:r/>
      <w:bookmarkStart w:id="13" w:name="_Toc35393791"/>
      <w:r/>
      <w:bookmarkStart w:id="14" w:name="_Toc38985264"/>
      <w:r/>
      <w:bookmarkStart w:id="15" w:name="_Toc28359080"/>
      <w:r/>
      <w:bookmarkStart w:id="16" w:name="_Toc35393622"/>
      <w:r/>
      <w:bookmarkStart w:id="17" w:name="_Toc28359003"/>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1.2上一年度的财务状况报告（成立不满一年无需提供）；</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b/>
          <w:bCs/>
          <w:color w:val="auto"/>
          <w:highlight w:val="none"/>
        </w:rPr>
        <w:t xml:space="preserve">本项目为专门面向中小微企业采购的项目,供应商必须为中小微企业，不接受非中小微型企业参与本项目投标。</w:t>
      </w:r>
      <w:r>
        <w:rPr>
          <w:rFonts w:hint="eastAsia" w:ascii="宋体" w:hAnsi="宋体" w:eastAsia="宋体" w:cs="宋体"/>
          <w:color w:val="auto"/>
          <w:highlight w:val="none"/>
        </w:rPr>
        <w:t xml:space="preserve">因本项目专门面向中小微企业采购，故不再执行价格评审优惠的扶持政策。供应商须提供中小微企业声明函或监狱企业声明函或残疾人福利性单位声明函。</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w:t>
      </w:r>
      <w:r>
        <w:rPr>
          <w:rFonts w:hint="eastAsia" w:ascii="宋体" w:hAnsi="宋体" w:eastAsia="宋体" w:cs="宋体"/>
          <w:color w:val="auto"/>
          <w:highlight w:val="none"/>
          <w:u w:val="single"/>
        </w:rPr>
        <w:t xml:space="preserve">投标人如委托被授权人参与，则被授权人须为本单位正式职工并提供投标人为被授权人缴纳的社会养老保险证明。</w:t>
      </w:r>
      <w:r/>
    </w:p>
    <w:p>
      <w:pPr>
        <w:pStyle w:val="662"/>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color w:val="auto"/>
          <w:highlight w:val="none"/>
        </w:rPr>
        <w:t xml:space="preserve">1.时间：</w:t>
      </w:r>
      <w:bookmarkEnd w:id="18"/>
      <w:r/>
      <w:bookmarkEnd w:id="19"/>
      <w:r/>
      <w:bookmarkEnd w:id="20"/>
      <w:r/>
      <w:bookmarkEnd w:id="21"/>
      <w:r/>
      <w:bookmarkEnd w:id="22"/>
      <w:r>
        <w:rPr>
          <w:rFonts w:hint="eastAsia" w:ascii="宋体" w:hAnsi="宋体" w:eastAsia="宋体" w:cs="宋体"/>
          <w:color w:val="auto"/>
          <w:highlight w:val="none"/>
        </w:rPr>
        <w:t xml:space="preserve">自招标文件公告发布之日起5个工作日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662"/>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none"/>
        </w:rPr>
        <w:t xml:space="preserve">2025年</w:t>
      </w:r>
      <w:r>
        <w:rPr>
          <w:rFonts w:hint="eastAsia" w:ascii="宋体" w:hAnsi="宋体" w:eastAsia="宋体" w:cs="宋体"/>
          <w:color w:val="auto"/>
          <w:highlight w:val="none"/>
          <w:u w:val="none"/>
          <w:lang w:val="en-US" w:eastAsia="zh-CN"/>
        </w:rPr>
        <w:t xml:space="preserve">11</w:t>
      </w:r>
      <w:r>
        <w:rPr>
          <w:rFonts w:hint="eastAsia" w:ascii="宋体" w:hAnsi="宋体" w:eastAsia="宋体" w:cs="宋体"/>
          <w:color w:val="auto"/>
          <w:highlight w:val="none"/>
          <w:u w:val="none"/>
        </w:rPr>
        <w:t xml:space="preserve">月</w:t>
      </w:r>
      <w:r>
        <w:rPr>
          <w:rFonts w:hint="eastAsia" w:ascii="宋体" w:hAnsi="宋体" w:eastAsia="宋体" w:cs="宋体"/>
          <w:color w:val="auto"/>
          <w:highlight w:val="none"/>
          <w:u w:val="none"/>
          <w:lang w:val="en-US" w:eastAsia="zh-CN"/>
        </w:rPr>
        <w:t xml:space="preserve">24</w:t>
      </w:r>
      <w:r>
        <w:rPr>
          <w:rFonts w:hint="eastAsia" w:ascii="宋体" w:hAnsi="宋体" w:eastAsia="宋体" w:cs="宋体"/>
          <w:color w:val="auto"/>
          <w:highlight w:val="none"/>
          <w:u w:val="none"/>
        </w:rPr>
        <w:t xml:space="preserve">日</w:t>
      </w:r>
      <w:r>
        <w:rPr>
          <w:rFonts w:hint="eastAsia" w:ascii="宋体" w:hAnsi="宋体" w:eastAsia="宋体" w:cs="宋体"/>
          <w:color w:val="auto"/>
          <w:highlight w:val="none"/>
          <w:u w:val="none"/>
          <w:lang w:val="en-US" w:eastAsia="zh-CN"/>
        </w:rPr>
        <w:t xml:space="preserve">9时00分</w:t>
      </w:r>
      <w:r>
        <w:rPr>
          <w:rFonts w:hint="eastAsia" w:ascii="宋体" w:hAnsi="宋体" w:eastAsia="宋体" w:cs="宋体"/>
          <w:color w:val="auto"/>
          <w:highlight w:val="none"/>
        </w:rPr>
        <w:t xml:space="preserve">（北京时间）。</w:t>
      </w:r>
      <w:r/>
    </w:p>
    <w:p>
      <w:pPr>
        <w:pStyle w:val="662"/>
        <w:ind w:firstLine="48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2.地点：苏采云“不见面”开标大厅 。</w:t>
      </w:r>
      <w:r/>
    </w:p>
    <w:p>
      <w:pPr>
        <w:pStyle w:val="662"/>
        <w:ind w:firstLine="482"/>
        <w:jc w:val="both"/>
        <w:keepLines/>
        <w:keepNext/>
        <w:spacing w:beforeAutospacing="0" w:afterAutospacing="0" w:line="360" w:lineRule="auto"/>
        <w:rPr>
          <w:rFonts w:ascii="宋体" w:hAnsi="宋体" w:eastAsia="宋体" w:cs="宋体"/>
          <w:color w:val="auto"/>
          <w:highlight w:val="none"/>
        </w:rPr>
      </w:pPr>
      <w:r/>
      <w:bookmarkStart w:id="23" w:name="_Toc28359007"/>
      <w:r/>
      <w:bookmarkStart w:id="24" w:name="_Toc38985267"/>
      <w:r/>
      <w:bookmarkStart w:id="25" w:name="_Toc28359084"/>
      <w:r/>
      <w:bookmarkStart w:id="26" w:name="_Toc35393625"/>
      <w:r/>
      <w:bookmarkStart w:id="27" w:name="_Toc35393794"/>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bookmarkStart w:id="28" w:name="_Toc35393626"/>
      <w:r/>
      <w:bookmarkStart w:id="29" w:name="_Toc38985268"/>
      <w:r/>
      <w:bookmarkStart w:id="30" w:name="_Toc35393795"/>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662"/>
        <w:ind w:firstLine="482"/>
        <w:jc w:val="both"/>
        <w:keepLines/>
        <w:keepNext/>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bookmarkStart w:id="31"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3.有关本次招标的事项若存在变动或修改，敬请及时关注盐城市政府采购中心在“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七、对本次招标提出询问，请按以下方式联系。</w:t>
      </w:r>
      <w:bookmarkEnd w:id="31"/>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1.采购人信息</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称：东台市市场监督管理局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地址：东台市金海中路9号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联系人：</w:t>
      </w:r>
      <w:r>
        <w:rPr>
          <w:rFonts w:hint="eastAsia" w:ascii="宋体" w:hAnsi="宋体" w:eastAsia="宋体" w:cs="宋体"/>
          <w:color w:val="auto"/>
          <w:highlight w:val="none"/>
          <w:shd w:val="clear" w:color="auto" w:fill="ffffff"/>
          <w:lang w:val="en-US" w:eastAsia="zh-CN"/>
        </w:rPr>
        <w:t xml:space="preserve">姜先生</w:t>
      </w:r>
      <w:r>
        <w:rPr>
          <w:rFonts w:hint="eastAsia" w:ascii="宋体" w:hAnsi="宋体" w:eastAsia="宋体" w:cs="宋体"/>
          <w:color w:val="auto"/>
          <w:highlight w:val="none"/>
          <w:shd w:val="clear" w:color="auto" w:fill="ffffff"/>
        </w:rPr>
        <w:t xml:space="preserve">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联系方式：18861960252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称：江苏炬铭工程项目管理咨询有限公司</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址：东台市汇银广场6号楼203室</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联系人：殷先生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w:t>
      </w:r>
      <w:bookmarkStart w:id="32" w:name="_Toc28359010"/>
      <w:r/>
      <w:bookmarkStart w:id="33" w:name="_Toc28359087"/>
      <w:r>
        <w:rPr>
          <w:rFonts w:hint="eastAsia" w:ascii="宋体" w:hAnsi="宋体" w:eastAsia="宋体" w:cs="宋体"/>
          <w:color w:val="auto"/>
          <w:highlight w:val="none"/>
          <w:shd w:val="clear" w:color="auto" w:fill="ffffff"/>
          <w:lang w:val="en-US" w:eastAsia="zh-CN"/>
        </w:rPr>
        <w:t xml:space="preserve">15962099618</w:t>
      </w:r>
      <w:r>
        <w:rPr>
          <w:rFonts w:hint="eastAsia" w:ascii="宋体" w:hAnsi="宋体" w:eastAsia="宋体" w:cs="宋体"/>
          <w:color w:val="auto"/>
          <w:highlight w:val="none"/>
          <w:shd w:val="clear" w:color="auto" w:fill="ffffff"/>
        </w:rPr>
        <w:t xml:space="preserve">       </w:t>
      </w:r>
      <w:bookmarkEnd w:id="32"/>
      <w:r/>
      <w:bookmarkEnd w:id="33"/>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bookmarkStart w:id="34" w:name="_Toc28359021"/>
      <w:r>
        <w:rPr>
          <w:rFonts w:hint="eastAsia" w:ascii="宋体" w:hAnsi="宋体" w:eastAsia="宋体" w:cs="宋体"/>
          <w:color w:val="auto"/>
          <w:highlight w:val="none"/>
          <w:shd w:val="clear" w:color="auto" w:fill="ffffff"/>
        </w:rPr>
        <w:t xml:space="preserve">3.</w:t>
      </w:r>
      <w:bookmarkEnd w:id="34"/>
      <w:r>
        <w:rPr>
          <w:rFonts w:hint="eastAsia" w:ascii="宋体" w:hAnsi="宋体" w:eastAsia="宋体" w:cs="宋体"/>
          <w:color w:val="auto"/>
          <w:highlight w:val="none"/>
          <w:shd w:val="clear" w:color="auto" w:fill="ffffff"/>
        </w:rPr>
        <w:t xml:space="preserve">项目联系方式</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项目联系人：</w:t>
      </w:r>
      <w:r>
        <w:rPr>
          <w:rFonts w:hint="eastAsia" w:ascii="宋体" w:hAnsi="宋体" w:eastAsia="宋体" w:cs="宋体"/>
          <w:color w:val="auto"/>
          <w:highlight w:val="none"/>
          <w:shd w:val="clear" w:color="auto" w:fill="ffffff"/>
          <w:lang w:val="en-US" w:eastAsia="zh-CN"/>
        </w:rPr>
        <w:t xml:space="preserve">姜先生</w:t>
      </w:r>
      <w:r>
        <w:rPr>
          <w:rFonts w:hint="eastAsia" w:ascii="宋体" w:hAnsi="宋体" w:eastAsia="宋体" w:cs="宋体"/>
          <w:color w:val="auto"/>
          <w:highlight w:val="none"/>
          <w:shd w:val="clear" w:color="auto" w:fill="ffffff"/>
        </w:rPr>
        <w:t xml:space="preserve">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联系方式：18861960252 </w:t>
      </w:r>
      <w:r/>
    </w:p>
    <w:p>
      <w:pPr>
        <w:pStyle w:val="662"/>
        <w:ind w:firstLine="480"/>
        <w:jc w:val="both"/>
        <w:spacing w:beforeAutospacing="0" w:afterAutospacing="0" w:line="360" w:lineRule="auto"/>
        <w:shd w:val="clear" w:color="auto" w:fill="ffffff"/>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5" w:name="_Toc120614211"/>
      <w:r/>
      <w:r/>
    </w:p>
    <w:p>
      <w:pPr>
        <w:pStyle w:val="662"/>
        <w:ind w:firstLine="2426"/>
        <w:jc w:val="both"/>
        <w:keepLines/>
        <w:keepNext/>
        <w:spacing w:before="200" w:beforeAutospacing="0" w:after="200" w:afterAutospacing="0" w:line="240"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40" w:name="_Toc513029203"/>
      <w:r/>
      <w:bookmarkStart w:id="41" w:name="_Toc120614214"/>
      <w:r/>
      <w:bookmarkStart w:id="42" w:name="_Toc20823275"/>
      <w:r/>
      <w:bookmarkStart w:id="43" w:name="_Toc16938519"/>
      <w:r>
        <w:rPr>
          <w:rFonts w:hint="eastAsia" w:ascii="宋体" w:hAnsi="宋体" w:eastAsia="宋体" w:cs="宋体"/>
          <w:b/>
          <w:color w:val="auto"/>
          <w:highlight w:val="none"/>
        </w:rPr>
        <w:t xml:space="preserve">一、总则</w:t>
      </w:r>
      <w:bookmarkEnd w:id="40"/>
      <w:r/>
      <w:bookmarkEnd w:id="41"/>
      <w:r/>
      <w:bookmarkEnd w:id="42"/>
      <w:r/>
      <w:bookmarkEnd w:id="43"/>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auto"/>
          <w:highlight w:val="none"/>
        </w:rPr>
        <w:t xml:space="preserve">1</w:t>
      </w:r>
      <w:bookmarkEnd w:id="44"/>
      <w:r>
        <w:rPr>
          <w:rFonts w:hint="eastAsia" w:ascii="宋体" w:hAnsi="宋体" w:eastAsia="宋体" w:cs="宋体"/>
          <w:color w:val="auto"/>
          <w:highlight w:val="none"/>
        </w:rPr>
        <w:t xml:space="preserve">、招标方式</w:t>
      </w:r>
      <w:bookmarkEnd w:id="45"/>
      <w:r/>
      <w:bookmarkEnd w:id="46"/>
      <w:r/>
      <w:bookmarkEnd w:id="47"/>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49" w:name="_Toc16938521"/>
      <w:r/>
      <w:bookmarkStart w:id="50" w:name="_Toc20823277"/>
      <w:r/>
      <w:bookmarkStart w:id="51" w:name="_Toc513029205"/>
      <w:r>
        <w:rPr>
          <w:rFonts w:hint="eastAsia" w:ascii="宋体" w:hAnsi="宋体" w:eastAsia="宋体" w:cs="宋体"/>
          <w:color w:val="auto"/>
          <w:highlight w:val="none"/>
        </w:rPr>
        <w:t xml:space="preserve">2、合格的投标人</w:t>
      </w:r>
      <w:bookmarkEnd w:id="49"/>
      <w:r/>
      <w:bookmarkEnd w:id="50"/>
      <w:r/>
      <w:bookmarkEnd w:id="51"/>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2.2 满足本文件实质性要求和条件的规定。</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52" w:name="_Toc513029206"/>
      <w:r/>
      <w:bookmarkStart w:id="53" w:name="_Toc20823278"/>
      <w:r/>
      <w:bookmarkStart w:id="54" w:name="_Toc16938522"/>
      <w:r>
        <w:rPr>
          <w:rFonts w:hint="eastAsia" w:ascii="宋体" w:hAnsi="宋体" w:eastAsia="宋体" w:cs="宋体"/>
          <w:color w:val="auto"/>
          <w:highlight w:val="none"/>
        </w:rPr>
        <w:t xml:space="preserve">3、适用法律</w:t>
      </w:r>
      <w:bookmarkEnd w:id="52"/>
      <w:r/>
      <w:bookmarkEnd w:id="53"/>
      <w:r/>
      <w:bookmarkEnd w:id="54"/>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55" w:name="_Toc462564067"/>
      <w:r/>
      <w:bookmarkStart w:id="56" w:name="_Toc20823279"/>
      <w:r/>
      <w:bookmarkStart w:id="57" w:name="_Toc513029207"/>
      <w:r/>
      <w:bookmarkStart w:id="58" w:name="_Toc16938523"/>
      <w:r>
        <w:rPr>
          <w:rFonts w:hint="eastAsia" w:ascii="宋体" w:hAnsi="宋体" w:eastAsia="宋体" w:cs="宋体"/>
          <w:color w:val="auto"/>
          <w:highlight w:val="none"/>
        </w:rPr>
        <w:t xml:space="preserve">4、投标费用</w:t>
      </w:r>
      <w:bookmarkEnd w:id="55"/>
      <w:r/>
      <w:bookmarkEnd w:id="56"/>
      <w:r/>
      <w:bookmarkEnd w:id="57"/>
      <w:r/>
      <w:bookmarkEnd w:id="58"/>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投标人应自行承担所有与参加投标有关的费用，无论投标过程中的做法和结果如何，采购人在任何情况下均无义务和责任承担这些费用。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4.2本次招标采购人不收取标书工本费与中标服务费。</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59" w:name="_Toc120614215"/>
      <w:r/>
      <w:bookmarkStart w:id="60" w:name="_Toc513029209"/>
      <w:r/>
      <w:bookmarkStart w:id="61" w:name="_Toc20823281"/>
      <w:r/>
      <w:bookmarkStart w:id="62" w:name="_Toc16938525"/>
      <w:r>
        <w:rPr>
          <w:rFonts w:hint="eastAsia" w:ascii="宋体" w:hAnsi="宋体" w:eastAsia="宋体" w:cs="宋体"/>
          <w:b/>
          <w:color w:val="auto"/>
          <w:highlight w:val="none"/>
        </w:rPr>
        <w:t xml:space="preserve">二、招标文件</w:t>
      </w:r>
      <w:bookmarkEnd w:id="59"/>
      <w:r/>
      <w:bookmarkEnd w:id="60"/>
      <w:r/>
      <w:bookmarkEnd w:id="61"/>
      <w:r/>
      <w:bookmarkEnd w:id="62"/>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63" w:name="_Toc16938526"/>
      <w:r/>
      <w:bookmarkStart w:id="64" w:name="_Toc513029210"/>
      <w:r/>
      <w:bookmarkStart w:id="65" w:name="_Toc20823282"/>
      <w:r>
        <w:rPr>
          <w:rFonts w:hint="eastAsia" w:ascii="宋体" w:hAnsi="宋体" w:eastAsia="宋体" w:cs="宋体"/>
          <w:color w:val="auto"/>
          <w:highlight w:val="none"/>
        </w:rPr>
        <w:t xml:space="preserve">6、招标文件构成</w:t>
      </w:r>
      <w:bookmarkEnd w:id="63"/>
      <w:r/>
      <w:bookmarkEnd w:id="64"/>
      <w:r/>
      <w:bookmarkEnd w:id="65"/>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请仔细检查招标文件是否齐全，如有缺漏请立即与采购人联系解决。</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66" w:name="_Toc20823283"/>
      <w:r/>
      <w:bookmarkStart w:id="67" w:name="_Toc16938527"/>
      <w:r/>
      <w:bookmarkStart w:id="68" w:name="_Toc462564070"/>
      <w:r/>
      <w:bookmarkStart w:id="69" w:name="_Toc513029211"/>
      <w:r>
        <w:rPr>
          <w:rFonts w:hint="eastAsia" w:ascii="宋体" w:hAnsi="宋体" w:eastAsia="宋体" w:cs="宋体"/>
          <w:color w:val="auto"/>
          <w:highlight w:val="none"/>
        </w:rPr>
        <w:t xml:space="preserve">7、招标文件的澄清</w:t>
      </w:r>
      <w:bookmarkEnd w:id="66"/>
      <w:r/>
      <w:bookmarkEnd w:id="67"/>
      <w:r/>
      <w:bookmarkEnd w:id="68"/>
      <w:r/>
      <w:bookmarkEnd w:id="69"/>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7.1 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70" w:name="_Toc462564071"/>
      <w:r/>
      <w:bookmarkStart w:id="71" w:name="_Toc20823284"/>
      <w:r/>
      <w:bookmarkStart w:id="72" w:name="_Toc16938528"/>
      <w:r/>
      <w:bookmarkStart w:id="73" w:name="_Toc513029212"/>
      <w:r>
        <w:rPr>
          <w:rFonts w:hint="eastAsia" w:ascii="宋体" w:hAnsi="宋体" w:eastAsia="宋体" w:cs="宋体"/>
          <w:color w:val="auto"/>
          <w:highlight w:val="none"/>
        </w:rPr>
        <w:t xml:space="preserve">8、招标文件的修改</w:t>
      </w:r>
      <w:bookmarkEnd w:id="70"/>
      <w:r/>
      <w:bookmarkEnd w:id="71"/>
      <w:r/>
      <w:bookmarkEnd w:id="72"/>
      <w:r/>
      <w:bookmarkEnd w:id="73"/>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8.1 在投标截止时间前，采购人可以对招标文件进行修改。</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8.2 采购人有权按照法定的要求推迟投标截止日期和开标日期。</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8.3 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74" w:name="_Toc513029213"/>
      <w:r/>
      <w:bookmarkStart w:id="75" w:name="_Toc120614216"/>
      <w:r/>
      <w:bookmarkStart w:id="76" w:name="_Toc20823285"/>
      <w:r/>
      <w:bookmarkStart w:id="77" w:name="_Toc462564072"/>
      <w:r/>
      <w:bookmarkStart w:id="78" w:name="_Toc16938529"/>
      <w:r>
        <w:rPr>
          <w:rFonts w:hint="eastAsia" w:ascii="宋体" w:hAnsi="宋体" w:eastAsia="宋体" w:cs="宋体"/>
          <w:b/>
          <w:color w:val="auto"/>
          <w:highlight w:val="none"/>
        </w:rPr>
        <w:t xml:space="preserve">三、投标文件的编制</w:t>
      </w:r>
      <w:bookmarkEnd w:id="74"/>
      <w:r/>
      <w:bookmarkEnd w:id="75"/>
      <w:r/>
      <w:bookmarkEnd w:id="76"/>
      <w:r/>
      <w:bookmarkEnd w:id="77"/>
      <w:r/>
      <w:bookmarkEnd w:id="78"/>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highlight w:val="none"/>
        </w:rPr>
        <w:t xml:space="preserve">9、投标文件的语言及度量衡单位</w:t>
      </w:r>
      <w:bookmarkEnd w:id="79"/>
      <w:r/>
      <w:bookmarkEnd w:id="80"/>
      <w:r/>
      <w:bookmarkEnd w:id="81"/>
      <w:r/>
      <w:bookmarkEnd w:id="82"/>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9.1 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83" w:name="_Toc513029215"/>
      <w:r/>
      <w:bookmarkStart w:id="84" w:name="_Toc462564074"/>
      <w:r/>
      <w:bookmarkStart w:id="85" w:name="_Toc20823287"/>
      <w:r/>
      <w:bookmarkStart w:id="86" w:name="_Toc16938531"/>
      <w:r>
        <w:rPr>
          <w:rFonts w:hint="eastAsia" w:ascii="宋体" w:hAnsi="宋体" w:eastAsia="宋体" w:cs="宋体"/>
          <w:color w:val="auto"/>
          <w:highlight w:val="none"/>
        </w:rPr>
        <w:t xml:space="preserve">10、投标文件构成</w:t>
      </w:r>
      <w:bookmarkEnd w:id="83"/>
      <w:r/>
      <w:bookmarkEnd w:id="84"/>
      <w:r/>
      <w:bookmarkEnd w:id="85"/>
      <w:r/>
      <w:bookmarkEnd w:id="86"/>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87" w:name="_Toc49090507"/>
      <w:r/>
      <w:bookmarkStart w:id="88" w:name="_Toc14577355"/>
      <w:r/>
      <w:bookmarkStart w:id="89" w:name="_Toc14577354"/>
      <w:r/>
      <w:bookmarkStart w:id="90" w:name="_Toc513029219"/>
      <w:r/>
      <w:bookmarkStart w:id="91" w:name="_Toc14577357"/>
      <w:r/>
      <w:bookmarkStart w:id="92" w:name="_Toc49090508"/>
      <w:r/>
      <w:bookmarkStart w:id="93" w:name="_Toc49090509"/>
      <w:r/>
      <w:bookmarkStart w:id="94" w:name="_Toc513029216"/>
      <w:r/>
      <w:bookmarkStart w:id="95" w:name="_Hlt26668975"/>
      <w:r/>
      <w:bookmarkStart w:id="96" w:name="_Hlt26670360"/>
      <w:r/>
      <w:bookmarkStart w:id="97" w:name="_Hlt26954838"/>
      <w:r>
        <w:rPr>
          <w:rFonts w:hint="eastAsia" w:ascii="宋体" w:hAnsi="宋体" w:eastAsia="宋体" w:cs="宋体"/>
          <w:color w:val="auto"/>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11.1 投标人应按照招标文件要求提交证明文件，证明其及投标标的符合招标文件规定。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98" w:name="_Hlt26954846"/>
      <w:r/>
      <w:bookmarkStart w:id="99" w:name="_Hlt26954731"/>
      <w:r/>
      <w:bookmarkStart w:id="100" w:name="_Hlt26670486"/>
      <w:r/>
      <w:bookmarkStart w:id="101" w:name="_Hlt26670482"/>
      <w:r/>
      <w:bookmarkStart w:id="102" w:name="_Hlt26954848"/>
      <w:r>
        <w:rPr>
          <w:rFonts w:hint="eastAsia" w:ascii="宋体" w:hAnsi="宋体" w:eastAsia="宋体" w:cs="宋体"/>
          <w:color w:val="auto"/>
          <w:highlight w:val="none"/>
        </w:rPr>
        <w:t xml:space="preserve">13、技术要求响应及偏离表、商务要求响应及偏离表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14.2 投标人需根据招标文件要求提供培训计划。</w:t>
      </w:r>
      <w:r/>
    </w:p>
    <w:p>
      <w:pPr>
        <w:pStyle w:val="662"/>
        <w:ind w:firstLine="480"/>
        <w:jc w:val="both"/>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14.3 投标人需根据招标文件要求提供所投标的的主要组成部分、功能设计、实现思路及关键技术等。</w:t>
      </w:r>
      <w:bookmarkStart w:id="103" w:name="_Toc14577359"/>
      <w:r/>
      <w:bookmarkStart w:id="104" w:name="_Toc49090510"/>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15、投标函和开标一览表</w:t>
      </w:r>
      <w:bookmarkEnd w:id="103"/>
      <w:r/>
      <w:bookmarkEnd w:id="104"/>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15.1 投标人应按照招标文件中提供的格式完整、正确填写投标函、开标一览表。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05" w:name="_Toc14577360"/>
      <w:r/>
      <w:bookmarkStart w:id="106" w:name="_Toc49090511"/>
      <w:r>
        <w:rPr>
          <w:rFonts w:hint="eastAsia" w:ascii="宋体" w:hAnsi="宋体" w:eastAsia="宋体" w:cs="宋体"/>
          <w:color w:val="auto"/>
          <w:highlight w:val="none"/>
        </w:rPr>
        <w:t xml:space="preserve">16、投标有效期</w:t>
      </w:r>
      <w:bookmarkEnd w:id="105"/>
      <w:r/>
      <w:bookmarkEnd w:id="106"/>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16.1投标有效期为采购人规定的开标之日后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107" w:name="_Toc120614217"/>
      <w:r/>
      <w:bookmarkStart w:id="108" w:name="_Toc513029224"/>
      <w:r/>
      <w:bookmarkStart w:id="109" w:name="_Toc16938540"/>
      <w:r/>
      <w:bookmarkStart w:id="110" w:name="_Toc20823296"/>
      <w:r/>
      <w:bookmarkStart w:id="111" w:name="_Hlt26954852"/>
      <w:r/>
      <w:bookmarkStart w:id="112" w:name="_Hlt26954739"/>
      <w:r>
        <w:rPr>
          <w:rFonts w:hint="eastAsia" w:ascii="宋体" w:hAnsi="宋体" w:eastAsia="宋体" w:cs="宋体"/>
          <w:b/>
          <w:color w:val="auto"/>
          <w:highlight w:val="none"/>
        </w:rPr>
        <w:t xml:space="preserve">四、投标文件的递交</w:t>
      </w:r>
      <w:bookmarkEnd w:id="107"/>
      <w:r/>
      <w:bookmarkEnd w:id="108"/>
      <w:r/>
      <w:bookmarkEnd w:id="109"/>
      <w:r/>
      <w:bookmarkEnd w:id="110"/>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13" w:name="_Toc513029225"/>
      <w:r/>
      <w:bookmarkStart w:id="114" w:name="_Toc20823297"/>
      <w:r/>
      <w:bookmarkStart w:id="115" w:name="_Toc16938541"/>
      <w:r/>
      <w:bookmarkStart w:id="116" w:name="_Toc462564084"/>
      <w:r>
        <w:rPr>
          <w:rFonts w:hint="eastAsia" w:ascii="宋体" w:hAnsi="宋体" w:eastAsia="宋体" w:cs="宋体"/>
          <w:color w:val="auto"/>
          <w:highlight w:val="none"/>
        </w:rPr>
        <w:t xml:space="preserve">18、电子投标文件</w:t>
      </w:r>
      <w:bookmarkEnd w:id="113"/>
      <w:r/>
      <w:bookmarkEnd w:id="114"/>
      <w:r/>
      <w:bookmarkEnd w:id="115"/>
      <w:r/>
      <w:bookmarkEnd w:id="116"/>
      <w:r>
        <w:rPr>
          <w:rFonts w:hint="eastAsia" w:ascii="宋体" w:hAnsi="宋体" w:eastAsia="宋体" w:cs="宋体"/>
          <w:color w:val="auto"/>
          <w:highlight w:val="none"/>
        </w:rPr>
        <w:t xml:space="preserve">的递交</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19、投标截止日期</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i/>
          <w:color w:val="auto"/>
          <w:highlight w:val="none"/>
          <w:u w:val="single"/>
        </w:rPr>
        <w:t xml:space="preserve">19.1 投标人上传电子投标文件的时间不得迟于招标公告中规定的投标截止时间。</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20" w:name="_Toc20823299"/>
      <w:r/>
      <w:bookmarkStart w:id="121" w:name="_Toc513029227"/>
      <w:r/>
      <w:bookmarkStart w:id="122" w:name="_Toc16938543"/>
      <w:r>
        <w:rPr>
          <w:rFonts w:hint="eastAsia" w:ascii="宋体" w:hAnsi="宋体" w:eastAsia="宋体" w:cs="宋体"/>
          <w:color w:val="auto"/>
          <w:highlight w:val="none"/>
        </w:rPr>
        <w:t xml:space="preserve">20、投标文件</w:t>
      </w:r>
      <w:bookmarkEnd w:id="120"/>
      <w:r/>
      <w:bookmarkEnd w:id="121"/>
      <w:r/>
      <w:bookmarkEnd w:id="122"/>
      <w:r>
        <w:rPr>
          <w:rFonts w:hint="eastAsia" w:ascii="宋体" w:hAnsi="宋体" w:eastAsia="宋体" w:cs="宋体"/>
          <w:color w:val="auto"/>
          <w:highlight w:val="none"/>
        </w:rPr>
        <w:t xml:space="preserve">的拒收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采购人拒绝接收在其规定的投标截止时间后上传的任何投标文件。</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23" w:name="_Toc16938544"/>
      <w:r/>
      <w:bookmarkStart w:id="124" w:name="_Toc513029228"/>
      <w:r/>
      <w:bookmarkStart w:id="125" w:name="_Toc20823300"/>
      <w:r>
        <w:rPr>
          <w:rFonts w:hint="eastAsia" w:ascii="宋体" w:hAnsi="宋体" w:eastAsia="宋体" w:cs="宋体"/>
          <w:color w:val="auto"/>
          <w:highlight w:val="none"/>
        </w:rPr>
        <w:t xml:space="preserve">21、投标文件的撤回和修改</w:t>
      </w:r>
      <w:bookmarkEnd w:id="123"/>
      <w:r/>
      <w:bookmarkEnd w:id="124"/>
      <w:r/>
      <w:bookmarkEnd w:id="125"/>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21.1 投标文件的撤回</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21.1.1 电子投标文件的撤回</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21.1.2 投标人撤回电子投标文件，则认为其不再参与本项目投标活动。</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21.2 投标文件的修改</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21.2.2 在投标截止时间之后，投标人不得对其电子投标文件作任何修改。</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21.3 在投标截止时间至招标文件中规定的投标有效期满之间的这段时间内，投标人不得撤回其投标。</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126" w:name="_Toc513029229"/>
      <w:r/>
      <w:bookmarkStart w:id="127" w:name="_Toc16938545"/>
      <w:r/>
      <w:bookmarkStart w:id="128" w:name="_Toc20823301"/>
      <w:r/>
      <w:bookmarkStart w:id="129" w:name="_Toc120614218"/>
      <w:r>
        <w:rPr>
          <w:rFonts w:hint="eastAsia" w:ascii="宋体" w:hAnsi="宋体" w:eastAsia="宋体" w:cs="宋体"/>
          <w:b/>
          <w:color w:val="auto"/>
          <w:highlight w:val="none"/>
        </w:rPr>
        <w:t xml:space="preserve">五、开标与评标</w:t>
      </w:r>
      <w:bookmarkEnd w:id="126"/>
      <w:r/>
      <w:bookmarkEnd w:id="127"/>
      <w:r/>
      <w:bookmarkEnd w:id="128"/>
      <w:r/>
      <w:bookmarkEnd w:id="129"/>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30" w:name="_Toc513029230"/>
      <w:r/>
      <w:bookmarkStart w:id="131" w:name="_Toc20823302"/>
      <w:r/>
      <w:bookmarkStart w:id="132" w:name="_Toc16938546"/>
      <w:r>
        <w:rPr>
          <w:rFonts w:hint="eastAsia" w:ascii="宋体" w:hAnsi="宋体" w:eastAsia="宋体" w:cs="宋体"/>
          <w:color w:val="auto"/>
          <w:highlight w:val="none"/>
        </w:rPr>
        <w:t xml:space="preserve">22、开标</w:t>
      </w:r>
      <w:bookmarkEnd w:id="130"/>
      <w:r/>
      <w:bookmarkEnd w:id="131"/>
      <w:r/>
      <w:bookmarkEnd w:id="132"/>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22.1 采购人将在招标公告中规定的时间和地点组织公开开标。投标人应当按照《操作手册》规定，参加开标活动和在苏采云系统规定的时间内对投标文件进行解密。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22.2开标仪式由采购人组织。苏采云系统将自动对项目进行开标，并宣布各投标人名称和投标价格。</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22.3投标人在开标过程中涉及到的投标文件解密、开标结果确认等工作，应按照《操作手册》规定执行。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33" w:name="_Toc16938547"/>
      <w:r/>
      <w:bookmarkStart w:id="134" w:name="_Toc513029231"/>
      <w:r/>
      <w:bookmarkStart w:id="135" w:name="_Toc20823303"/>
      <w:r>
        <w:rPr>
          <w:rFonts w:hint="eastAsia" w:ascii="宋体" w:hAnsi="宋体" w:eastAsia="宋体" w:cs="宋体"/>
          <w:color w:val="auto"/>
          <w:highlight w:val="none"/>
        </w:rPr>
        <w:t xml:space="preserve">23、评标委员会</w:t>
      </w:r>
      <w:bookmarkEnd w:id="133"/>
      <w:r/>
      <w:bookmarkEnd w:id="134"/>
      <w:r/>
      <w:bookmarkEnd w:id="135"/>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23.1 开标后，采购人将立即组织评标委员会（以下简称评委会）进行评标。</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23.2 评委会由采购人代表和有关技术、经济等方面的专家组成，且人员构成符合政府采购有关规定。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23.3评委会独立工作，负责评审所有投标文件并确定中标候选人。</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24.1凡是与审查、澄清、评价和比较投标的有关资料以及授标建议等，采购人、评委均不得向投标人或与评标无关的其他人员透露。</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24.3 采购人和评标委员会不向未中标的投标人解释未中标原因，也不公布评标过程中的相关细节。</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24.4 采用综合评分法的项目，未中标的投标人可于中标结果公告期限届满之日起通过苏采云系统查看自己的评审得分及排序情况。</w:t>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36" w:name="_Toc20823304"/>
      <w:r/>
      <w:bookmarkStart w:id="137" w:name="_Toc513029232"/>
      <w:r/>
      <w:bookmarkStart w:id="138" w:name="_Toc16938548"/>
      <w:r>
        <w:rPr>
          <w:rFonts w:hint="eastAsia" w:ascii="宋体" w:hAnsi="宋体" w:eastAsia="宋体" w:cs="宋体"/>
          <w:color w:val="auto"/>
          <w:highlight w:val="none"/>
        </w:rPr>
        <w:t xml:space="preserve">25、投标文件的澄清</w:t>
      </w:r>
      <w:bookmarkEnd w:id="136"/>
      <w:r/>
      <w:bookmarkEnd w:id="137"/>
      <w:r/>
      <w:bookmarkEnd w:id="138"/>
      <w:r/>
      <w:r/>
    </w:p>
    <w:p>
      <w:pPr>
        <w:pStyle w:val="662"/>
        <w:ind w:firstLine="480"/>
        <w:jc w:val="both"/>
        <w:spacing w:beforeAutospacing="0" w:afterAutospacing="0" w:line="288" w:lineRule="auto"/>
        <w:rPr>
          <w:rFonts w:ascii="宋体" w:hAnsi="宋体" w:eastAsia="宋体" w:cs="宋体"/>
          <w:color w:val="auto"/>
          <w:highlight w:val="none"/>
        </w:rPr>
      </w:pPr>
      <w:r/>
      <w:bookmarkStart w:id="139" w:name="_Toc20823305"/>
      <w:r/>
      <w:bookmarkStart w:id="140" w:name="_Toc513029233"/>
      <w:r/>
      <w:bookmarkStart w:id="141" w:name="_Toc16938549"/>
      <w:r>
        <w:rPr>
          <w:rFonts w:hint="eastAsia" w:ascii="宋体" w:hAnsi="宋体" w:eastAsia="宋体" w:cs="宋体"/>
          <w:color w:val="auto"/>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25.3 接到评委会澄清、说明和补正要求的投标人如未按规定作出澄清、说明和补正，其风险由投标人自行承担。</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26、对投标文件的初审</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26.3如果投标文件实质上没有响应招标文件的要求，评委会将予以拒绝，投标人不得通过修改或撤销不符合要求的偏离或保留而使其投标成为实质性响应的投标。</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2"/>
        <w:ind w:firstLine="480"/>
        <w:jc w:val="both"/>
        <w:spacing w:beforeAutospacing="0" w:afterAutospacing="0" w:line="288" w:lineRule="auto"/>
        <w:rPr>
          <w:rFonts w:ascii="宋体" w:hAnsi="宋体" w:eastAsia="宋体" w:cs="宋体"/>
          <w:color w:val="auto"/>
          <w:highlight w:val="none"/>
        </w:rPr>
      </w:pPr>
      <w:r/>
      <w:bookmarkStart w:id="142" w:name="_Toc16938550"/>
      <w:r/>
      <w:bookmarkStart w:id="143" w:name="_Toc20823306"/>
      <w:r/>
      <w:bookmarkStart w:id="144" w:name="_Toc513029234"/>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26.7投标人在开、评标全过程中应保持通信畅通，及时登录苏采云系统查阅、答复相关信息，并安排专人与采购人及评标委员会联系。</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27、无效投标条款和废标条款</w:t>
      </w:r>
      <w:r/>
    </w:p>
    <w:p>
      <w:pPr>
        <w:pStyle w:val="662"/>
        <w:ind w:firstLine="480"/>
        <w:jc w:val="both"/>
        <w:spacing w:beforeAutospacing="0" w:afterAutospacing="0" w:line="288" w:lineRule="auto"/>
        <w:rPr>
          <w:rFonts w:ascii="宋体" w:hAnsi="宋体" w:eastAsia="宋体" w:cs="宋体"/>
          <w:color w:val="auto"/>
          <w:highlight w:val="none"/>
        </w:rPr>
      </w:pPr>
      <w:r/>
      <w:bookmarkStart w:id="145" w:name="_Toc16938551"/>
      <w:r/>
      <w:bookmarkStart w:id="146" w:name="_Toc20823307"/>
      <w:r/>
      <w:bookmarkStart w:id="147" w:name="_Toc513029235"/>
      <w:r>
        <w:rPr>
          <w:rFonts w:hint="eastAsia" w:ascii="宋体" w:hAnsi="宋体" w:eastAsia="宋体" w:cs="宋体"/>
          <w:color w:val="auto"/>
          <w:highlight w:val="none"/>
        </w:rPr>
        <w:t xml:space="preserve">27.1无效投标条款</w:t>
      </w:r>
      <w:bookmarkEnd w:id="145"/>
      <w:r/>
      <w:bookmarkEnd w:id="146"/>
      <w:r/>
      <w:bookmarkEnd w:id="147"/>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27.1.1 投标人在苏采云系统规定的时间内未成功解密电子投标文件的。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27.1.2 投标人未按照招标文件要求上传电子投标文件的。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27.1.4投标人不具备招标文件中规定资格要求的。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27.1.6未通过符合性审查的。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27.1.9投标文件含有采购人不能接受的附加条件的。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27.1.10投标人不能证明其报价合理性的，评标委员会应当将其作为无效投标处理。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1.投标报价低于采购项目预算50%的，即投标报价&lt;采购项目预算×50%；</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2.投标报价低于采购项目最高限价45%的，即投标报价&lt;采购项目最高限价×45%；</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3.评标委员会认定的供应商报价过低、有可能影响产品质量或者不能诚信履约的其他情形。</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27.1.12 投标文件未按照招标文件要求加盖CA电子公章的。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27.1.13其他法律、法规及本招标文件规定的属无效投标的情形。</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27.2废标条款</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27.2.1符合专业条件的供应商或者对招标文件作实质响应的供应商不足三家的。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27.2.2出现影响采购公正的违法、违规行为的。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27.2.3因重大变故，采购任务取消的。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27.2.5 因苏采云系统故障原因造成开标不成功的。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148" w:name="_Toc120614219"/>
      <w:r>
        <w:rPr>
          <w:rFonts w:hint="eastAsia" w:ascii="宋体" w:hAnsi="宋体" w:eastAsia="宋体" w:cs="宋体"/>
          <w:b/>
          <w:color w:val="auto"/>
          <w:highlight w:val="none"/>
        </w:rPr>
        <w:t xml:space="preserve">六、定标</w:t>
      </w:r>
      <w:bookmarkEnd w:id="148"/>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49" w:name="_Toc20823310"/>
      <w:r/>
      <w:bookmarkStart w:id="150" w:name="_Toc16938554"/>
      <w:r/>
      <w:bookmarkStart w:id="151" w:name="_Toc513029238"/>
      <w:r>
        <w:rPr>
          <w:rFonts w:hint="eastAsia" w:ascii="宋体" w:hAnsi="宋体" w:eastAsia="宋体" w:cs="宋体"/>
          <w:color w:val="auto"/>
          <w:highlight w:val="none"/>
        </w:rPr>
        <w:t xml:space="preserve">28、</w:t>
      </w:r>
      <w:bookmarkEnd w:id="149"/>
      <w:r>
        <w:rPr>
          <w:rFonts w:hint="eastAsia" w:ascii="宋体" w:hAnsi="宋体" w:eastAsia="宋体" w:cs="宋体"/>
          <w:color w:val="auto"/>
          <w:highlight w:val="none"/>
        </w:rPr>
        <w:t xml:space="preserve">确定</w:t>
      </w:r>
      <w:bookmarkEnd w:id="150"/>
      <w:r/>
      <w:bookmarkEnd w:id="151"/>
      <w:r>
        <w:rPr>
          <w:rFonts w:hint="eastAsia" w:ascii="宋体" w:hAnsi="宋体" w:eastAsia="宋体" w:cs="宋体"/>
          <w:color w:val="auto"/>
          <w:highlight w:val="none"/>
        </w:rPr>
        <w:t xml:space="preserve">中标单位</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28.2 采购人应根据评委会推荐的中标候选人确定中标人。</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28.3 采购人将在中国政府采购网”“江苏政府采购网”“盐城市政府采购网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 若有充分证据证明，中标人出现下列情况之一的，一经查实，将被取消中标资格：</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28.4.1提供虚假材料谋取中标的。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28.4.2向采购人行贿或者提供其他不正当利益的。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28.4.4与采购人或者其他供应商恶意串通的。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28.4.5采取不正当手段诋毁、排挤其他供应商的。</w:t>
      </w:r>
      <w:r/>
    </w:p>
    <w:p>
      <w:pPr>
        <w:pStyle w:val="662"/>
        <w:ind w:firstLine="480"/>
        <w:jc w:val="both"/>
        <w:spacing w:beforeAutospacing="0" w:afterAutospacing="0" w:line="288" w:lineRule="auto"/>
        <w:rPr>
          <w:rFonts w:ascii="宋体" w:hAnsi="宋体" w:eastAsia="宋体" w:cs="宋体"/>
          <w:color w:val="auto"/>
          <w:highlight w:val="none"/>
        </w:rPr>
      </w:pPr>
      <w:r/>
      <w:bookmarkStart w:id="152" w:name="_Toc200451960"/>
      <w:r>
        <w:rPr>
          <w:rFonts w:hint="eastAsia" w:ascii="宋体" w:hAnsi="宋体" w:eastAsia="宋体" w:cs="宋体"/>
          <w:color w:val="auto"/>
          <w:highlight w:val="none"/>
        </w:rPr>
        <w:t xml:space="preserve">28.5. 有下列情形之一的，视为投标人串通投标，投标无效：</w:t>
      </w:r>
      <w:bookmarkEnd w:id="152"/>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28.5.3 不同投标人的投标文件载明的项目管理成员或者联系人员为同一人；</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29、质疑处理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662"/>
        <w:ind w:firstLine="480"/>
        <w:jc w:val="both"/>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662"/>
        <w:ind w:firstLine="480"/>
        <w:jc w:val="both"/>
        <w:spacing w:beforeAutospacing="0" w:afterAutospacing="0" w:line="288"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29.2.3对中标或者成交结果提出质疑的，为中标或者成交结果公告期限届满之日。</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采购人只接收以纸质原件形式送达的质疑,采购人不接受未填写快递运单的快件。质疑接收部门为东台市市场监督管理局，联系地址及联系电话详见采购公告。</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29.5.4 未参加投标活动的供应商或在投标活动中自身权益未受到损害的供应商所提出的质疑。</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30、中标通知书</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2"/>
        <w:ind w:firstLine="482"/>
        <w:jc w:val="both"/>
        <w:keepLines/>
        <w:keepNext/>
        <w:spacing w:beforeAutospacing="0" w:afterAutospacing="0" w:line="288" w:lineRule="auto"/>
        <w:rPr>
          <w:rFonts w:ascii="宋体" w:hAnsi="宋体" w:eastAsia="宋体" w:cs="宋体"/>
          <w:color w:val="auto"/>
          <w:highlight w:val="none"/>
        </w:rPr>
      </w:pPr>
      <w:r/>
      <w:bookmarkStart w:id="153" w:name="_Toc20823308"/>
      <w:r/>
      <w:bookmarkStart w:id="154" w:name="_Toc16938552"/>
      <w:r/>
      <w:bookmarkStart w:id="155" w:name="_Toc120614220"/>
      <w:r/>
      <w:bookmarkStart w:id="156" w:name="_Toc513029236"/>
      <w:r>
        <w:rPr>
          <w:rFonts w:hint="eastAsia" w:ascii="宋体" w:hAnsi="宋体" w:eastAsia="宋体" w:cs="宋体"/>
          <w:b/>
          <w:color w:val="auto"/>
          <w:highlight w:val="none"/>
        </w:rPr>
        <w:t xml:space="preserve">七、授予合同</w:t>
      </w:r>
      <w:bookmarkEnd w:id="153"/>
      <w:r/>
      <w:bookmarkEnd w:id="154"/>
      <w:r/>
      <w:bookmarkEnd w:id="155"/>
      <w:r/>
      <w:bookmarkEnd w:id="156"/>
      <w:r/>
      <w:r/>
    </w:p>
    <w:p>
      <w:pPr>
        <w:pStyle w:val="662"/>
        <w:ind w:firstLine="480"/>
        <w:jc w:val="both"/>
        <w:keepLines/>
        <w:keepNext/>
        <w:spacing w:beforeAutospacing="0" w:afterAutospacing="0" w:line="288" w:lineRule="auto"/>
        <w:rPr>
          <w:rFonts w:ascii="宋体" w:hAnsi="宋体" w:eastAsia="宋体" w:cs="宋体"/>
          <w:color w:val="auto"/>
          <w:highlight w:val="none"/>
        </w:rPr>
      </w:pPr>
      <w:r/>
      <w:bookmarkStart w:id="157" w:name="_Toc20823309"/>
      <w:r/>
      <w:bookmarkStart w:id="158" w:name="_Toc513029237"/>
      <w:r/>
      <w:bookmarkStart w:id="159" w:name="_Toc16938553"/>
      <w:r>
        <w:rPr>
          <w:rFonts w:hint="eastAsia" w:ascii="宋体" w:hAnsi="宋体" w:eastAsia="宋体" w:cs="宋体"/>
          <w:color w:val="auto"/>
          <w:highlight w:val="none"/>
        </w:rPr>
        <w:t xml:space="preserve">31、签订合同</w:t>
      </w:r>
      <w:bookmarkEnd w:id="157"/>
      <w:r/>
      <w:bookmarkEnd w:id="158"/>
      <w:r/>
      <w:bookmarkEnd w:id="159"/>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31.2招标文件、中标人的投标文件及招标过程中有关澄清、承诺文件均应作为合同附件。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32、货物（包含与货物相关的服务）的追加</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662"/>
        <w:ind w:firstLine="480"/>
        <w:jc w:val="both"/>
        <w:keepLines/>
        <w:keepNext/>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中小企业</w:t>
      </w:r>
      <w:r>
        <w:rPr>
          <w:rFonts w:hint="eastAsia" w:ascii="宋体" w:hAnsi="宋体" w:eastAsia="宋体" w:cs="宋体"/>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33.3.7本项目是否专门面向中小企业预留采购份额见第一章《招标公告》。</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662"/>
        <w:ind w:firstLine="480"/>
        <w:jc w:val="both"/>
        <w:spacing w:beforeAutospacing="0" w:afterAutospacing="0" w:line="288" w:lineRule="auto"/>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spacing w:line="288"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spacing w:line="288" w:lineRule="auto"/>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276" w:lineRule="auto"/>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33.8履约保证金政策</w:t>
      </w:r>
      <w:r/>
    </w:p>
    <w:p>
      <w:pPr>
        <w:pStyle w:val="821"/>
        <w:ind w:left="0" w:firstLine="482"/>
        <w:keepLines w:val="0"/>
        <w:keepNext w:val="0"/>
        <w:pageBreakBefore w:val="0"/>
        <w:spacing w:after="0"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keepLines w:val="0"/>
        <w:keepNext w:val="0"/>
        <w:pageBreakBefore w:val="0"/>
        <w:spacing w:line="276" w:lineRule="auto"/>
        <w:widowControl w:val="off"/>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35、代理服务费</w:t>
      </w:r>
      <w:r/>
    </w:p>
    <w:p>
      <w:pPr>
        <w:ind w:firstLine="482"/>
        <w:keepLines w:val="0"/>
        <w:keepNext w:val="0"/>
        <w:pageBreakBefore w:val="0"/>
        <w:spacing w:line="276"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依据采购人与招标代理人合同约定本项目代理服务费</w:t>
      </w:r>
      <w:r>
        <w:rPr>
          <w:rFonts w:hint="eastAsia" w:ascii="宋体" w:hAnsi="宋体" w:eastAsia="宋体" w:cs="宋体"/>
          <w:color w:val="auto"/>
          <w:sz w:val="24"/>
          <w:highlight w:val="none"/>
          <w:u w:val="single"/>
        </w:rPr>
        <w:t xml:space="preserve"> 4</w:t>
      </w:r>
      <w:r>
        <w:rPr>
          <w:rFonts w:hint="eastAsia" w:ascii="宋体" w:hAnsi="宋体" w:eastAsia="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rPr>
        <w:t xml:space="preserve">00 </w:t>
      </w:r>
      <w:r>
        <w:rPr>
          <w:rFonts w:hint="eastAsia" w:ascii="宋体" w:hAnsi="宋体" w:eastAsia="宋体" w:cs="宋体"/>
          <w:color w:val="auto"/>
          <w:sz w:val="24"/>
          <w:highlight w:val="none"/>
        </w:rPr>
        <w:t xml:space="preserve">元由采购人支付。</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662"/>
        <w:jc w:val="both"/>
        <w:spacing w:beforeAutospacing="0" w:afterAutospacing="0" w:line="0" w:lineRule="atLeast"/>
        <w:rPr>
          <w:color w:val="auto"/>
          <w:highlight w:val="none"/>
        </w:rPr>
      </w:pPr>
      <w:r>
        <w:rPr>
          <w:color w:val="auto"/>
          <w:highlight w:val="none"/>
        </w:rPr>
        <w:t xml:space="preserve"> </w:t>
      </w:r>
      <w:r/>
    </w:p>
    <w:p>
      <w:pPr>
        <w:pStyle w:val="662"/>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r>
      <w:r/>
    </w:p>
    <w:p>
      <w:pPr>
        <w:jc w:val="center"/>
        <w:spacing w:line="360" w:lineRule="auto"/>
        <w:widowControl/>
        <w:rPr>
          <w:rFonts w:ascii="宋体" w:hAnsi="宋体" w:cs="宋体"/>
          <w:b/>
          <w:color w:val="auto"/>
          <w:sz w:val="48"/>
          <w:szCs w:val="44"/>
          <w:highlight w:val="none"/>
        </w:rPr>
      </w:pPr>
      <w:r>
        <w:rPr>
          <w:color w:val="auto"/>
          <w:sz w:val="36"/>
          <w:szCs w:val="44"/>
          <w:highlight w:val="none"/>
        </w:rPr>
        <w:t xml:space="preserve"> </w:t>
      </w:r>
      <w:bookmarkStart w:id="160" w:name="_Toc479757211"/>
      <w:r/>
      <w:bookmarkStart w:id="161" w:name="_Hlt16619350"/>
      <w:r/>
      <w:bookmarkStart w:id="162" w:name="_Toc120614244"/>
      <w:r/>
      <w:bookmarkStart w:id="163" w:name="_Toc462564139"/>
      <w:r/>
      <w:bookmarkStart w:id="164" w:name="_Toc20823346"/>
      <w:r/>
      <w:bookmarkStart w:id="165" w:name="_Toc16938590"/>
      <w:r/>
      <w:bookmarkStart w:id="166" w:name="_Hlt16619369"/>
      <w:r>
        <w:rPr>
          <w:rFonts w:hint="eastAsia" w:ascii="宋体" w:hAnsi="宋体" w:cs="宋体"/>
          <w:b/>
          <w:color w:val="auto"/>
          <w:sz w:val="48"/>
          <w:szCs w:val="44"/>
          <w:highlight w:val="none"/>
        </w:rPr>
        <w:t xml:space="preserve">第三章  合同条款</w:t>
      </w:r>
      <w:r/>
    </w:p>
    <w:p>
      <w:pPr>
        <w:rPr>
          <w:rFonts w:ascii="宋体" w:hAnsi="宋体" w:cs="宋体"/>
          <w:color w:val="auto"/>
          <w:highlight w:val="none"/>
        </w:rPr>
      </w:pPr>
      <w:r/>
      <w:bookmarkStart w:id="167" w:name="EB6d2006462e294de090c16e672cecc3bd"/>
      <w:r/>
      <w:bookmarkEnd w:id="167"/>
      <w:r/>
      <w:r/>
    </w:p>
    <w:p>
      <w:pPr>
        <w:jc w:val="center"/>
        <w:rPr>
          <w:rFonts w:ascii="宋体" w:hAnsi="宋体" w:cs="宋体"/>
          <w:b/>
          <w:bCs/>
          <w:color w:val="auto"/>
          <w:spacing w:val="-20"/>
          <w:sz w:val="48"/>
          <w:szCs w:val="48"/>
          <w:highlight w:val="none"/>
        </w:rPr>
      </w:pPr>
      <w:r/>
      <w:bookmarkStart w:id="168"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bookmarkEnd w:id="168"/>
      <w:r/>
      <w:r/>
    </w:p>
    <w:p>
      <w:pPr>
        <w:jc w:val="center"/>
        <w:keepLines/>
        <w:keepNext/>
        <w:spacing w:line="400" w:lineRule="exact"/>
        <w:rPr>
          <w:rFonts w:ascii="黑体" w:hAnsi="华文中宋" w:eastAsia="黑体"/>
          <w:color w:val="auto"/>
          <w:sz w:val="28"/>
          <w:szCs w:val="28"/>
          <w:highlight w:val="none"/>
        </w:rPr>
        <w:outlineLvl w:val="1"/>
      </w:pPr>
      <w:r/>
      <w:bookmarkStart w:id="169"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9"/>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甲方（全称）：</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乙方（全称）： </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r/>
    </w:p>
    <w:p>
      <w:pPr>
        <w:ind w:firstLine="48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1.项目信息</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1.采购项目名称：</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采购项目编号：</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（2）采购计划编号：</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（3）项目内容：</w:t>
      </w:r>
      <w:r/>
    </w:p>
    <w:tbl>
      <w:tblPr>
        <w:tblStyle w:val="639"/>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3275"/>
        <w:gridCol w:w="1037"/>
        <w:gridCol w:w="1400"/>
        <w:gridCol w:w="1293"/>
      </w:tblGrid>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货物名称</w:t>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型　　　　　　号</w:t>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数  量</w:t>
            </w:r>
            <w:r/>
          </w:p>
        </w:tc>
        <w:tc>
          <w:tcPr>
            <w:tcW w:w="140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单  价</w:t>
            </w:r>
            <w:r/>
          </w:p>
        </w:tc>
        <w:tc>
          <w:tcPr>
            <w:tcW w:w="1293"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  价</w:t>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pStyle w:val="653"/>
              <w:keepLines w:val="0"/>
              <w:keepNext w:val="0"/>
              <w:pageBreakBefore w:val="0"/>
              <w:spacing w:line="480" w:lineRule="exact"/>
              <w:widowControl w:val="off"/>
              <w:tabs>
                <w:tab w:val="clear" w:pos="4153" w:leader="none"/>
                <w:tab w:val="clear" w:pos="8306" w:leader="none"/>
              </w:tabs>
              <w:rPr>
                <w:rFonts w:hint="eastAsia" w:ascii="宋体" w:hAnsi="宋体" w:eastAsia="宋体" w:cs="宋体"/>
                <w:color w:val="auto"/>
                <w:sz w:val="21"/>
                <w:highlight w:val="none"/>
              </w:rPr>
              <w:pBdr>
                <w:bottom w:val="none" w:color="auto" w:sz="0" w:space="0"/>
              </w:pBdr>
            </w:pPr>
            <w:r>
              <w:rPr>
                <w:rFonts w:hint="eastAsia" w:ascii="宋体" w:hAnsi="宋体" w:eastAsia="宋体" w:cs="宋体"/>
                <w:color w:val="auto"/>
                <w:sz w:val="21"/>
                <w:highlight w:val="none"/>
              </w:rPr>
            </w:r>
            <w:r/>
          </w:p>
        </w:tc>
        <w:tc>
          <w:tcPr>
            <w:tcW w:w="3275" w:type="dxa"/>
            <w:vAlign w:val="center"/>
            <w:textDirection w:val="lrTb"/>
            <w:noWrap w:val="false"/>
          </w:tcPr>
          <w:p>
            <w:pPr>
              <w:pStyle w:val="653"/>
              <w:keepLines w:val="0"/>
              <w:keepNext w:val="0"/>
              <w:pageBreakBefore w:val="0"/>
              <w:spacing w:line="480" w:lineRule="exact"/>
              <w:widowControl w:val="off"/>
              <w:tabs>
                <w:tab w:val="clear" w:pos="4153" w:leader="none"/>
                <w:tab w:val="clear" w:pos="8306" w:leader="none"/>
              </w:tabs>
              <w:rPr>
                <w:rFonts w:hint="eastAsia" w:ascii="宋体" w:hAnsi="宋体" w:eastAsia="宋体" w:cs="宋体"/>
                <w:color w:val="auto"/>
                <w:sz w:val="21"/>
                <w:highlight w:val="none"/>
              </w:rPr>
              <w:pBdr>
                <w:bottom w:val="none" w:color="auto" w:sz="0" w:space="0"/>
              </w:pBdr>
            </w:pPr>
            <w:r>
              <w:rPr>
                <w:rFonts w:hint="eastAsia" w:ascii="宋体" w:hAnsi="宋体" w:eastAsia="宋体" w:cs="宋体"/>
                <w:color w:val="auto"/>
                <w:sz w:val="21"/>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4"/>
        </w:trPr>
        <w:tc>
          <w:tcPr>
            <w:tcW w:w="170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75"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00"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93"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484"/>
        </w:trPr>
        <w:tc>
          <w:tcPr>
            <w:gridSpan w:val="5"/>
            <w:tcW w:w="8709" w:type="dxa"/>
            <w:vAlign w:val="center"/>
            <w:textDirection w:val="lrTb"/>
            <w:noWrap w:val="false"/>
          </w:tcPr>
          <w:p>
            <w:pPr>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总价（大写）：</w:t>
            </w:r>
            <w:r/>
          </w:p>
        </w:tc>
      </w:tr>
    </w:tbl>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其他要求：</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以上采购快检试剂的品种及数量为采购人的预估品种及数量，根据实际工作需要，采购人有权在预计采购清单内产品进行量的调整，有权要求供应商提供预计采购清单品种外的快检试剂，且价格与预计产品清单内同类快检试剂价格一致。</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快检试剂到货后，采购方会在30日内安排东台市综合检验检测中心组织随机抽取胶体金卡质量验收，如结果不符合要求，供货方需按原发货数量等量调换。质量验收费用由供货方承担（原则上检测项目为禁用物，检测0,1*mrl，检测项目为限用物，检测0,0.5,1*mrl）。在质保期内发现因试剂质量问题导致检测结果有误，供货方应负责免费调换剩余试剂。</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农药残留类快检试剂适用包括不限于芹菜、豇豆、辣椒等蔬菜:兽药残留类快检适用包括不限于鳊鱼、鲫鱼、乌鳢、黄鳝、牛蛙、泥鳅等水产品、鹌鹑蛋。如有注意事项请在投标文件注明，并在发货前再次提醒采购方确认。</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胶体金快检试剂盒配套齐全的前处理试剂，无需额外再购买试剂。每次发出的试剂为生产的最新批次的产品（供货日期距离生产日期不得超出2个月），如使用过程中采购方遇到试剂临期（有效期至少还有3个月），供货方需协助采购方免费替换等价试剂。</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5、为保障检测结果的准确性及后续服务的稳定性，本项目中采购的所有胶体金快检试剂盒需为同一厂家。</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6、所有分包的核心产品为恩诺与环丙沙星胶体金检测卡。</w:t>
      </w:r>
      <w:r/>
    </w:p>
    <w:p>
      <w:pPr>
        <w:numPr>
          <w:ilvl w:val="255"/>
          <w:numId w:val="0"/>
        </w:numPr>
        <w:ind w:firstLine="48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（4）政府采购组织形式：政府集中采购部门集中采购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分散采购</w:t>
      </w:r>
      <w:r/>
    </w:p>
    <w:p>
      <w:pPr>
        <w:numPr>
          <w:ilvl w:val="255"/>
          <w:numId w:val="0"/>
        </w:numPr>
        <w:ind w:firstLine="48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（5）政府采购方式：</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公开招标邀请招标竞争性谈判竞争性磋商</w:t>
      </w:r>
      <w:r/>
    </w:p>
    <w:p>
      <w:pPr>
        <w:numPr>
          <w:ilvl w:val="255"/>
          <w:numId w:val="0"/>
        </w:numPr>
        <w:ind w:firstLine="420"/>
        <w:jc w:val="left"/>
        <w:spacing w:line="480" w:lineRule="exact"/>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询价单一来源框架协议其他：</w:t>
      </w:r>
      <w:r/>
    </w:p>
    <w:p>
      <w:pPr>
        <w:numPr>
          <w:ilvl w:val="255"/>
          <w:numId w:val="0"/>
        </w:numPr>
        <w:ind w:firstLine="48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（6）中标采购标的制造商是否为中小企业：</w:t>
      </w:r>
      <w:r>
        <w:rPr>
          <w:rFonts w:ascii="Wingdings" w:hAnsi="Wingdings" w:eastAsia="Wingdings" w:cs="Wingdings"/>
          <w:iC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color w:val="auto"/>
          <w:sz w:val="24"/>
          <w:highlight w:val="none"/>
        </w:rPr>
        <w:t xml:space="preserve">否</w:t>
      </w:r>
      <w:r/>
    </w:p>
    <w:p>
      <w:pPr>
        <w:numPr>
          <w:ilvl w:val="255"/>
          <w:numId w:val="0"/>
        </w:numPr>
        <w:spacing w:line="48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   本合同是否为专门面向中小企业的采购合同：</w:t>
      </w:r>
      <w:r>
        <w:rPr>
          <w:rFonts w:ascii="Wingdings" w:hAnsi="Wingdings" w:eastAsia="Wingdings" w:cs="Wingdings"/>
          <w:iCs/>
          <w:color w:val="auto"/>
          <w:sz w:val="24"/>
          <w:highlight w:val="none"/>
        </w:rPr>
        <w:t xml:space="preserve">þ</w:t>
      </w:r>
      <w:r>
        <w:rPr>
          <w:rFonts w:hint="eastAsia" w:ascii="宋体" w:hAnsi="宋体" w:eastAsia="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是否</w:t>
      </w:r>
      <w:r/>
    </w:p>
    <w:p>
      <w:pPr>
        <w:numPr>
          <w:ilvl w:val="255"/>
          <w:numId w:val="0"/>
        </w:numPr>
        <w:ind w:firstLine="480"/>
        <w:spacing w:line="48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中标采购标的制造商是否为残疾人福利性单位：</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中标采购标的制造商是否为监狱企业：</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（7）合同是否分包：</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（8）中标供应商是否为外商投资企业：</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jc w:val="left"/>
        <w:spacing w:line="480" w:lineRule="exact"/>
        <w:widowControl/>
        <w:tabs>
          <w:tab w:val="left" w:pos="134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外商投资企业类型：</w:t>
      </w:r>
      <w:r>
        <w:rPr>
          <w:rFonts w:ascii="Wingdings" w:hAnsi="Wingdings" w:eastAsia="Wingdings" w:cs="Wingdings"/>
          <w:iCs/>
          <w:color w:val="auto"/>
          <w:sz w:val="24"/>
          <w:highlight w:val="none"/>
        </w:rPr>
        <w:t xml:space="preserve"></w:t>
      </w:r>
      <w:r>
        <w:rPr>
          <w:rFonts w:hint="eastAsia" w:ascii="宋体" w:hAnsi="宋体" w:eastAsia="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eastAsia="宋体" w:cs="宋体"/>
          <w:iCs/>
          <w:color w:val="auto"/>
          <w:sz w:val="24"/>
          <w:highlight w:val="none"/>
        </w:rPr>
        <w:t xml:space="preserve">部分由外国投资者投资</w:t>
      </w:r>
      <w:r/>
    </w:p>
    <w:p>
      <w:pPr>
        <w:numPr>
          <w:ilvl w:val="255"/>
          <w:numId w:val="0"/>
        </w:num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（9）是否涉及进口产品：</w:t>
      </w:r>
      <w:r/>
    </w:p>
    <w:p>
      <w:pPr>
        <w:numPr>
          <w:ilvl w:val="255"/>
          <w:numId w:val="0"/>
        </w:numPr>
        <w:ind w:firstLine="960"/>
        <w:spacing w:line="480" w:lineRule="exact"/>
        <w:rPr>
          <w:rFonts w:ascii="宋体" w:hAnsi="宋体" w:eastAsia="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是，《政府采购品目分类目录》底级品目名称：金额：</w:t>
      </w:r>
      <w:r/>
    </w:p>
    <w:p>
      <w:pPr>
        <w:numPr>
          <w:ilvl w:val="255"/>
          <w:numId w:val="0"/>
        </w:numPr>
        <w:ind w:firstLine="96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国别：品牌： 规格型号：</w:t>
      </w:r>
      <w:r/>
    </w:p>
    <w:p>
      <w:pPr>
        <w:ind w:firstLine="960"/>
        <w:spacing w:line="480" w:lineRule="exact"/>
        <w:rPr>
          <w:rFonts w:ascii="宋体" w:hAnsi="宋体" w:eastAsia="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numPr>
          <w:ilvl w:val="255"/>
          <w:numId w:val="0"/>
        </w:numPr>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（10）是否涉及节能产品：</w:t>
      </w:r>
      <w:r/>
    </w:p>
    <w:p>
      <w:pPr>
        <w:numPr>
          <w:ilvl w:val="255"/>
          <w:numId w:val="0"/>
        </w:numPr>
        <w:ind w:firstLine="960"/>
        <w:spacing w:line="480" w:lineRule="exact"/>
        <w:tabs>
          <w:tab w:val="left" w:pos="740" w:leader="none"/>
        </w:tabs>
        <w:rPr>
          <w:rFonts w:ascii="宋体" w:hAnsi="宋体" w:eastAsia="宋体" w:cs="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是，《节能产品政府采购品目清单》的底级品目名称：</w:t>
      </w:r>
      <w:r/>
    </w:p>
    <w:p>
      <w:pPr>
        <w:numPr>
          <w:ilvl w:val="255"/>
          <w:numId w:val="0"/>
        </w:numPr>
        <w:ind w:firstLine="96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numPr>
          <w:ilvl w:val="255"/>
          <w:numId w:val="0"/>
        </w:numPr>
        <w:ind w:firstLine="960"/>
        <w:spacing w:line="480" w:lineRule="exact"/>
        <w:tabs>
          <w:tab w:val="left" w:pos="740" w:leader="none"/>
        </w:tabs>
        <w:rPr>
          <w:rFonts w:ascii="宋体" w:hAnsi="宋体" w:eastAsia="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numPr>
          <w:ilvl w:val="255"/>
          <w:numId w:val="0"/>
        </w:numPr>
        <w:ind w:firstLine="96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是否涉及环境标志产品：</w:t>
      </w:r>
      <w:r/>
    </w:p>
    <w:p>
      <w:pPr>
        <w:numPr>
          <w:ilvl w:val="255"/>
          <w:numId w:val="0"/>
        </w:numPr>
        <w:ind w:firstLine="72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是，《环境标志产品政府采购品目清单》的底级品目名称：</w:t>
      </w:r>
      <w:r/>
    </w:p>
    <w:p>
      <w:pPr>
        <w:numPr>
          <w:ilvl w:val="255"/>
          <w:numId w:val="0"/>
        </w:numPr>
        <w:ind w:firstLine="84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numPr>
          <w:ilvl w:val="255"/>
          <w:numId w:val="0"/>
        </w:numPr>
        <w:ind w:firstLine="72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numPr>
          <w:ilvl w:val="255"/>
          <w:numId w:val="0"/>
        </w:numPr>
        <w:ind w:firstLine="84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是否涉及绿色产品：</w:t>
      </w:r>
      <w:r/>
    </w:p>
    <w:p>
      <w:pPr>
        <w:ind w:firstLine="72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是，绿色产品政府采购相关政策确定的底级品目名称：</w:t>
      </w:r>
      <w:r/>
    </w:p>
    <w:p>
      <w:pPr>
        <w:numPr>
          <w:ilvl w:val="255"/>
          <w:numId w:val="0"/>
        </w:numPr>
        <w:ind w:firstLine="840"/>
        <w:spacing w:line="48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强制采购优先采购</w:t>
      </w:r>
      <w:r/>
    </w:p>
    <w:p>
      <w:pPr>
        <w:ind w:firstLine="720"/>
        <w:jc w:val="left"/>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numPr>
          <w:ilvl w:val="255"/>
          <w:numId w:val="0"/>
        </w:num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 否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不涉及</w:t>
      </w:r>
      <w:r/>
    </w:p>
    <w:p>
      <w:pPr>
        <w:ind w:firstLine="48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2.合同金额</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（1）合同金额小写：</w:t>
      </w:r>
      <w:r/>
    </w:p>
    <w:p>
      <w:pPr>
        <w:ind w:firstLine="60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分包金额（如有）小写：</w:t>
      </w:r>
      <w:r/>
    </w:p>
    <w:p>
      <w:pPr>
        <w:ind w:firstLine="48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（2）付款方式（按项目实际勾选填写，具体详见专用条款第二节第12.2款）：</w:t>
      </w:r>
      <w:r/>
    </w:p>
    <w:p>
      <w:pPr>
        <w:ind w:firstLine="720"/>
        <w:spacing w:line="480" w:lineRule="exact"/>
        <w:rPr>
          <w:rFonts w:ascii="宋体" w:hAnsi="宋体" w:eastAsia="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全额付款：</w:t>
      </w:r>
      <w:r>
        <w:rPr>
          <w:rFonts w:hint="eastAsia" w:ascii="宋体" w:hAnsi="宋体" w:eastAsia="宋体" w:cs="宋体"/>
          <w:color w:val="auto"/>
          <w:sz w:val="24"/>
          <w:highlight w:val="none"/>
          <w:u w:val="single"/>
        </w:rPr>
        <w:t xml:space="preserve">     （应明确一次性支付合同款项的条件）                </w:t>
      </w:r>
      <w:r/>
    </w:p>
    <w:p>
      <w:pPr>
        <w:ind w:firstLine="720"/>
        <w:spacing w:line="480" w:lineRule="exact"/>
        <w:rPr>
          <w:rFonts w:ascii="宋体" w:hAnsi="宋体" w:eastAsia="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分期付款：</w:t>
      </w:r>
      <w:r/>
    </w:p>
    <w:p>
      <w:pPr>
        <w:ind w:firstLine="72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①合同签订后支付30%的预付款（预付款项在每季度结算时优先扣除）。</w:t>
      </w:r>
      <w:r/>
    </w:p>
    <w:p>
      <w:pPr>
        <w:ind w:firstLine="72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②每季度结算一次质量验收合格的试剂及耗材，支付至合同价款的80%。</w:t>
      </w:r>
      <w:r/>
    </w:p>
    <w:p>
      <w:pPr>
        <w:ind w:firstLine="72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③余款自货物使用结束后且无产品质量问题一次性付清。</w:t>
      </w:r>
      <w:r/>
    </w:p>
    <w:p>
      <w:pPr>
        <w:ind w:firstLine="72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④在签订合同时，乙方明确表示无需预付款或者主动要求降低预付款比例的，甲方可不适用上述关于预付款的规定。</w:t>
      </w:r>
      <w:r/>
    </w:p>
    <w:p>
      <w:pPr>
        <w:ind w:firstLine="72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⑤结算款项时乙方须出具相应金额的有效票据。</w:t>
      </w:r>
      <w:r/>
    </w:p>
    <w:p>
      <w:pPr>
        <w:ind w:firstLine="7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⑥甲方原则上自收到发票后10个工作日内将资金支付到乙方账户。</w:t>
      </w:r>
      <w:r/>
    </w:p>
    <w:p>
      <w:pPr>
        <w:ind w:firstLine="720"/>
        <w:spacing w:line="480" w:lineRule="exact"/>
        <w:rPr>
          <w:rFonts w:ascii="宋体" w:hAnsi="宋体" w:eastAsia="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成本补偿：</w:t>
      </w:r>
      <w:r>
        <w:rPr>
          <w:rFonts w:hint="eastAsia" w:ascii="宋体" w:hAnsi="宋体" w:eastAsia="宋体" w:cs="宋体"/>
          <w:color w:val="auto"/>
          <w:sz w:val="24"/>
          <w:highlight w:val="none"/>
          <w:u w:val="single"/>
        </w:rPr>
        <w:t xml:space="preserve">      （应明确按照成本补偿方式的支付方式和支付条件）   </w:t>
      </w:r>
      <w:r/>
    </w:p>
    <w:p>
      <w:pPr>
        <w:ind w:firstLine="720"/>
        <w:spacing w:line="480" w:lineRule="exact"/>
        <w:rPr>
          <w:rFonts w:ascii="宋体" w:hAnsi="宋体" w:eastAsia="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绩效激励：</w:t>
      </w:r>
      <w:r>
        <w:rPr>
          <w:rFonts w:hint="eastAsia" w:ascii="宋体" w:hAnsi="宋体" w:eastAsia="宋体" w:cs="宋体"/>
          <w:color w:val="auto"/>
          <w:sz w:val="24"/>
          <w:highlight w:val="none"/>
          <w:u w:val="single"/>
        </w:rPr>
        <w:t xml:space="preserve">      （应明确按照绩效激励方式的支付方式和支付条件）   </w:t>
      </w:r>
      <w:r/>
    </w:p>
    <w:p>
      <w:pPr>
        <w:ind w:firstLine="482"/>
        <w:spacing w:line="480" w:lineRule="exact"/>
        <w:rPr>
          <w:rFonts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3.合同履行</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（1）起始日期：年月日，完成日期：年月日。</w:t>
      </w:r>
      <w:r/>
    </w:p>
    <w:p>
      <w:pPr>
        <w:ind w:firstLine="48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（2）履约地点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甲方指定地点 </w:t>
      </w:r>
      <w:r/>
    </w:p>
    <w:p>
      <w:pPr>
        <w:ind w:firstLine="480"/>
        <w:spacing w:line="48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履约担保：是否收取履约保证金：</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收取履约保证金形式：</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收取履约保证金金额：</w:t>
      </w:r>
      <w:r/>
    </w:p>
    <w:p>
      <w:pPr>
        <w:ind w:firstLine="480"/>
        <w:spacing w:line="480" w:lineRule="exact"/>
        <w:rPr>
          <w:rFonts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     履约担保期限：</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（4）确需收取履约保证金的，履约保证金的缴纳形式：</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如以履约保函（保险）形式缴纳履约保证金，供应商可通过政府采购电子履约保函（保险）平台（www.jsdzbh.com）在线申请履约保函（保险）。</w:t>
      </w:r>
      <w:r/>
    </w:p>
    <w:p>
      <w:pPr>
        <w:pStyle w:val="662"/>
        <w:ind w:left="210" w:firstLine="240"/>
        <w:jc w:val="both"/>
        <w:spacing w:before="120" w:beforeAutospacing="0" w:after="12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（备注：履约保证金金额不得超过合同金额的10%，采购人应当对AA评级及以上政府采购供应商（</w:t>
      </w:r>
      <w:r>
        <w:rPr>
          <w:rFonts w:hint="eastAsia" w:ascii="宋体" w:hAnsi="宋体" w:eastAsia="宋体" w:cs="宋体"/>
          <w:color w:val="auto"/>
          <w:highlight w:val="none"/>
          <w:lang w:eastAsia="zh-CN"/>
        </w:rPr>
        <w:t xml:space="preserve">需在签订采购合同前提供信用管理部门备案的第三方信用报告，且信用报告通过“信用盐城网”可查实</w:t>
      </w:r>
      <w:r>
        <w:rPr>
          <w:rFonts w:hint="eastAsia" w:ascii="宋体" w:hAnsi="宋体" w:eastAsia="宋体" w:cs="宋体"/>
          <w:color w:val="auto"/>
          <w:highlight w:val="none"/>
        </w:rPr>
        <w:t xml:space="preserve">）免收履约保证金或降低履约保证金缴纳比例。）</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（5）分期履行要求：</w:t>
      </w:r>
      <w:r/>
    </w:p>
    <w:p>
      <w:pPr>
        <w:ind w:firstLine="480"/>
        <w:spacing w:line="480" w:lineRule="exact"/>
        <w:rPr>
          <w:rFonts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（6）风险处置措施和替代方案：</w:t>
      </w:r>
      <w:r/>
    </w:p>
    <w:p>
      <w:pPr>
        <w:ind w:firstLine="48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4.合同验收</w:t>
      </w:r>
      <w:r/>
    </w:p>
    <w:p>
      <w:pPr>
        <w:numPr>
          <w:ilvl w:val="0"/>
          <w:numId w:val="1"/>
        </w:num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委托第三方组织</w:t>
      </w:r>
      <w:r/>
    </w:p>
    <w:p>
      <w:pPr>
        <w:ind w:firstLine="960"/>
        <w:spacing w:line="48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验收主体：</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bookmarkStart w:id="170" w:name="OLE_LINK171"/>
      <w:r/>
      <w:bookmarkStart w:id="171" w:name="OLE_LINK170"/>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bookmarkEnd w:id="170"/>
      <w:r/>
      <w:bookmarkEnd w:id="171"/>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是否进行抽查检测：</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抽查比例：</w:t>
      </w:r>
      <w:r/>
    </w:p>
    <w:p>
      <w:pPr>
        <w:ind w:firstLine="9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960"/>
        <w:spacing w:line="48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验收组织的其他事项：</w:t>
      </w:r>
      <w:r/>
    </w:p>
    <w:p>
      <w:pPr>
        <w:ind w:firstLine="480"/>
        <w:spacing w:line="48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（2）履约验收时间：</w:t>
      </w:r>
      <w:r>
        <w:rPr>
          <w:rFonts w:hint="eastAsia" w:ascii="宋体" w:hAnsi="宋体" w:eastAsia="宋体" w:cs="宋体"/>
          <w:bCs/>
          <w:color w:val="auto"/>
          <w:sz w:val="24"/>
          <w:highlight w:val="none"/>
          <w:u w:val="single"/>
        </w:rPr>
        <w:t xml:space="preserve">供应商提出验收申请之日起10日内组织验收 </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（3）履约验收方式：一次性验收         </w:t>
      </w:r>
      <w:r/>
    </w:p>
    <w:p>
      <w:pPr>
        <w:spacing w:line="480" w:lineRule="exac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分期/分项验收：</w:t>
      </w:r>
      <w:r>
        <w:rPr>
          <w:rFonts w:hint="eastAsia" w:ascii="宋体" w:hAnsi="宋体" w:eastAsia="宋体" w:cs="宋体"/>
          <w:bCs/>
          <w:color w:val="auto"/>
          <w:sz w:val="24"/>
          <w:highlight w:val="none"/>
          <w:u w:val="single"/>
        </w:rPr>
        <w:t xml:space="preserve">（应明确分期/分项验收的工作安排）</w:t>
      </w:r>
      <w:r/>
    </w:p>
    <w:p>
      <w:pPr>
        <w:ind w:firstLine="48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（4）履约验收程序：</w:t>
      </w:r>
      <w:r/>
    </w:p>
    <w:p>
      <w:pPr>
        <w:ind w:firstLine="480"/>
        <w:spacing w:line="48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（5）履约验收的内容：</w:t>
      </w:r>
      <w:r>
        <w:rPr>
          <w:rFonts w:hint="eastAsia" w:ascii="宋体" w:hAnsi="宋体" w:eastAsia="宋体" w:cs="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48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（6）履约验收标准：</w:t>
      </w:r>
      <w:r/>
    </w:p>
    <w:p>
      <w:pPr>
        <w:ind w:firstLine="480"/>
        <w:jc w:val="left"/>
        <w:spacing w:line="480" w:lineRule="exact"/>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480"/>
        <w:spacing w:line="480" w:lineRule="exact"/>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highlight w:val="none"/>
          <w:u w:val="single"/>
        </w:rPr>
        <w:t xml:space="preserve">（产权过户登记等）</w:t>
      </w:r>
      <w:r/>
    </w:p>
    <w:p>
      <w:pPr>
        <w:ind w:firstLine="48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5.组成合同的文件</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本协议书与下列文件一起构成合同文件，如下述文件之间有任何抵触、矛盾或歧义，应按以下顺序解释：</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（1）政府采购合同协议书及其变更、补充协议</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（2）政府采购合同专用条款</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（3）政府采购合同通用条款</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（4）中标通知书</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（5）投标文件</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（6）采购文件</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（7）有关技术文件，图纸</w:t>
      </w:r>
      <w:r/>
    </w:p>
    <w:p>
      <w:pPr>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（8）国家法律、行政法规和规章制度规定或合同约定的作为合同组成部分的其他文件</w:t>
      </w:r>
      <w:r/>
    </w:p>
    <w:p>
      <w:pPr>
        <w:ind w:left="42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6.合同生效</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本合同自</w:t>
      </w:r>
      <w:r>
        <w:rPr>
          <w:rFonts w:hint="eastAsia" w:ascii="宋体" w:hAnsi="宋体" w:eastAsia="宋体" w:cs="宋体"/>
          <w:color w:val="auto"/>
          <w:sz w:val="24"/>
          <w:highlight w:val="none"/>
          <w:u w:val="single"/>
        </w:rPr>
        <w:t xml:space="preserve"> 2025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日生效。</w:t>
      </w:r>
      <w:r/>
    </w:p>
    <w:p>
      <w:pPr>
        <w:ind w:left="482"/>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7.合同份数</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6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份，均具有同等法律效力。</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合同订立时间：</w:t>
      </w:r>
      <w:r>
        <w:rPr>
          <w:rFonts w:hint="eastAsia" w:ascii="宋体" w:hAnsi="宋体" w:eastAsia="宋体" w:cs="宋体"/>
          <w:color w:val="auto"/>
          <w:sz w:val="24"/>
          <w:highlight w:val="none"/>
          <w:u w:val="single"/>
        </w:rPr>
        <w:t xml:space="preserve"> 2025 </w:t>
      </w:r>
      <w:r>
        <w:rPr>
          <w:rFonts w:hint="eastAsia" w:ascii="宋体" w:hAnsi="宋体" w:eastAsia="宋体" w:cs="宋体"/>
          <w:color w:val="auto"/>
          <w:sz w:val="24"/>
          <w:highlight w:val="none"/>
        </w:rPr>
        <w:t xml:space="preserve">年月日</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合同订立地点：</w:t>
      </w:r>
      <w:r/>
    </w:p>
    <w:p>
      <w:pPr>
        <w:ind w:firstLine="480"/>
        <w:spacing w:line="480" w:lineRule="exact"/>
        <w:rPr>
          <w:color w:val="auto"/>
          <w:highlight w:val="none"/>
        </w:rPr>
      </w:pPr>
      <w:r>
        <w:rPr>
          <w:rFonts w:hint="eastAsia" w:ascii="宋体" w:hAnsi="宋体" w:eastAsia="宋体" w:cs="宋体"/>
          <w:color w:val="auto"/>
          <w:sz w:val="24"/>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63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2160"/>
        <w:gridCol w:w="2189"/>
        <w:gridCol w:w="1911"/>
      </w:tblGrid>
      <w:tr>
        <w:trPr>
          <w:jc w:val="cente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cantSplit/>
          <w:jc w:val="center"/>
          <w:trHeight w:val="1171"/>
        </w:trPr>
        <w:tc>
          <w:tcPr>
            <w:tcBorders>
              <w:top w:val="single" w:color="000000" w:sz="2" w:space="0"/>
              <w:right w:val="single" w:color="000000" w:sz="2" w:space="0"/>
            </w:tcBorders>
            <w:tcW w:w="2138" w:type="dxa"/>
            <w:vAlign w:val="center"/>
            <w:vMerge w:val="restart"/>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115"/>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right w:val="single" w:color="000000" w:sz="2" w:space="0"/>
            </w:tcBorders>
            <w:tcW w:w="2160" w:type="dxa"/>
            <w:vAlign w:val="center"/>
            <w:vMerge w:val="restart"/>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483"/>
        </w:trPr>
        <w:tc>
          <w:tcPr>
            <w:tcBorders>
              <w:bottom w:val="single" w:color="000000" w:sz="2" w:space="0"/>
              <w:right w:val="single" w:color="000000" w:sz="2" w:space="0"/>
            </w:tcBorders>
            <w:tcW w:w="2138" w:type="dxa"/>
            <w:vAlign w:val="center"/>
            <w:vMerge w:val="continue"/>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000000" w:sz="2" w:space="0"/>
              <w:bottom w:val="single" w:color="000000" w:sz="2" w:space="0"/>
              <w:right w:val="single" w:color="000000" w:sz="2" w:space="0"/>
            </w:tcBorders>
            <w:tcW w:w="2160" w:type="dxa"/>
            <w:vAlign w:val="center"/>
            <w:vMerge w:val="continue"/>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拥有者性别</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开户名称</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jc w:val="center"/>
          <w:trHeight w:val="586"/>
        </w:trPr>
        <w:tc>
          <w:tcPr>
            <w:gridSpan w:val="4"/>
            <w:tcBorders>
              <w:top w:val="single" w:color="000000" w:sz="2" w:space="0"/>
            </w:tcBorders>
            <w:tcW w:w="8398" w:type="dxa"/>
            <w:vAlign w:val="center"/>
            <w:textDirection w:val="lrTb"/>
            <w:noWrap w:val="false"/>
          </w:tcPr>
          <w:p>
            <w:pPr>
              <w:jc w:val="left"/>
              <w:spacing w:line="360" w:lineRule="auto"/>
              <w:rPr>
                <w:rFonts w:ascii="宋体" w:hAnsi="宋体" w:eastAsia="宋体" w:cs="宋体"/>
                <w:color w:val="auto"/>
                <w:spacing w:val="20"/>
                <w:sz w:val="24"/>
                <w:highlight w:val="none"/>
              </w:rPr>
            </w:pPr>
            <w:r>
              <w:rPr>
                <w:rFonts w:hint="eastAsia" w:ascii="宋体" w:hAnsi="宋体" w:eastAsia="宋体" w:cs="宋体"/>
                <w:color w:val="auto"/>
                <w:sz w:val="24"/>
                <w:highlight w:val="none"/>
              </w:rPr>
              <w:t xml:space="preserve">注：涉及联合体或其他合同主体的信息应按上表格式加列。</w:t>
            </w:r>
            <w:r/>
          </w:p>
        </w:tc>
      </w:tr>
    </w:tbl>
    <w:p>
      <w:pPr>
        <w:pStyle w:val="630"/>
        <w:jc w:val="center"/>
        <w:spacing w:before="156"/>
        <w:rPr>
          <w:rFonts w:hint="default" w:ascii="黑体" w:hAnsi="黑体" w:eastAsia="黑体"/>
          <w:color w:val="auto"/>
          <w:sz w:val="28"/>
          <w:szCs w:val="28"/>
          <w:highlight w:val="none"/>
        </w:rPr>
      </w:pPr>
      <w:r>
        <w:rPr>
          <w:color w:val="auto"/>
          <w:highlight w:val="none"/>
          <w:u w:val="single"/>
        </w:rPr>
        <w:br w:type="page" w:clear="all"/>
      </w:r>
      <w:bookmarkStart w:id="172" w:name="_Toc27624"/>
      <w:r/>
      <w:bookmarkStart w:id="173" w:name="_Toc20313"/>
      <w:r>
        <w:rPr>
          <w:rFonts w:ascii="黑体" w:hAnsi="黑体" w:eastAsia="黑体"/>
          <w:b w:val="0"/>
          <w:bCs w:val="0"/>
          <w:color w:val="auto"/>
          <w:sz w:val="28"/>
          <w:szCs w:val="28"/>
          <w:highlight w:val="none"/>
        </w:rPr>
        <w:t xml:space="preserve">第二节 政府采购合同通用条款</w:t>
      </w:r>
      <w:bookmarkEnd w:id="172"/>
      <w:r/>
      <w:r/>
    </w:p>
    <w:p>
      <w:pPr>
        <w:ind w:firstLine="482"/>
        <w:jc w:val="left"/>
        <w:spacing w:line="480" w:lineRule="exact"/>
        <w:tabs>
          <w:tab w:val="left" w:pos="8820" w:leader="none"/>
          <w:tab w:val="left" w:pos="9345" w:leader="none"/>
          <w:tab w:val="left" w:pos="9765" w:leader="none"/>
        </w:tabs>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highlight w:val="none"/>
        </w:rPr>
        <w:t xml:space="preserve">定义</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1.1合同当事人</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（1）采购人（以下称甲方）是指使用财政性资金，通过政府采购方式向供应商购买货物及其相关服务的国家机关、事业单位、团体组织。</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（3）其他合同主体是指除采购人和供应商以外，</w:t>
      </w:r>
      <w:r>
        <w:rPr>
          <w:rFonts w:hint="eastAsia" w:ascii="宋体" w:hAnsi="宋体" w:eastAsia="宋体" w:cs="宋体"/>
          <w:bCs/>
          <w:color w:val="auto"/>
          <w:sz w:val="24"/>
          <w:highlight w:val="none"/>
        </w:rPr>
        <w:t xml:space="preserve">依法参与合同缔结或履行，享有权利、承担义务的合同当事人</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1.2本合同下列术语应解释为：</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（1）“合同”系指</w:t>
      </w:r>
      <w:r>
        <w:rPr>
          <w:rFonts w:hint="eastAsia" w:ascii="宋体" w:hAnsi="宋体" w:eastAsia="宋体" w:cs="宋体"/>
          <w:bCs/>
          <w:color w:val="auto"/>
          <w:sz w:val="24"/>
          <w:highlight w:val="none"/>
        </w:rPr>
        <w:t xml:space="preserve">合同当事人意思表示达成一致的任何协议，包括签署的</w:t>
      </w:r>
      <w:r>
        <w:rPr>
          <w:rFonts w:hint="eastAsia" w:ascii="宋体" w:hAnsi="宋体" w:eastAsia="宋体" w:cs="宋体"/>
          <w:color w:val="auto"/>
          <w:sz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8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（2）“合同价款”系指根据本合同规定乙方在全面履行合同义务后甲方应支付给乙方的价款。</w:t>
      </w:r>
      <w:r/>
    </w:p>
    <w:p>
      <w:pPr>
        <w:ind w:firstLine="480"/>
        <w:jc w:val="left"/>
        <w:spacing w:line="48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8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（7）其他术语解释，见【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color w:val="auto"/>
          <w:sz w:val="24"/>
          <w:highlight w:val="none"/>
        </w:rPr>
        <w:t xml:space="preserve">合同标的及金额</w:t>
      </w:r>
      <w:r/>
    </w:p>
    <w:p>
      <w:pPr>
        <w:ind w:firstLine="480"/>
        <w:jc w:val="left"/>
        <w:spacing w:line="480" w:lineRule="exact"/>
        <w:rPr>
          <w:rFonts w:ascii="宋体" w:hAnsi="宋体" w:eastAsia="宋体" w:cs="宋体"/>
          <w:b/>
          <w:bCs/>
          <w:i/>
          <w:iCs/>
          <w:color w:val="auto"/>
          <w:sz w:val="24"/>
          <w:highlight w:val="none"/>
        </w:rPr>
      </w:pPr>
      <w:r>
        <w:rPr>
          <w:rFonts w:hint="eastAsia" w:ascii="宋体" w:hAnsi="宋体" w:eastAsia="宋体" w:cs="宋体"/>
          <w:color w:val="auto"/>
          <w:sz w:val="24"/>
          <w:highlight w:val="none"/>
        </w:rPr>
        <w:t xml:space="preserve">2.1 合同标的及金额应与中标（成交）结果一致。乙方为履行本合同而发生的所有费用均应包含在合同价款中，甲方不再另行支付其他任何费用。</w:t>
      </w:r>
      <w:r/>
    </w:p>
    <w:p>
      <w:pPr>
        <w:ind w:firstLine="482"/>
        <w:jc w:val="left"/>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 乙方应当在约定的时间、地点，按照约定方式履行合同。</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4.3 甲方有权要求乙方对缺陷部分予以修复，并按合同约定享有货物保修及其他合同约定的权利。</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4.4 甲方应当按照合同约定及时对交付的货物进行验收，未在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约定的期限内对乙方履约提出任何异议或者向乙方作出任何说明的，视为验收通过。</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4.5 甲方应当根据合同约定及时向乙方支付合同价款，不得以内部人员变更、履行内部付款流程等为由，拒绝或迟延支付。</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4.6 国家法律法规规定及</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约定应由甲方承担的其他义务和责任。</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5.1 签署合同后，乙方应确定项目负责人（或项目联系人），负责与本合同有关的事务。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40"/>
        <w:ind w:firstLine="480"/>
        <w:spacing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640"/>
        <w:ind w:firstLine="480"/>
        <w:spacing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6.合同履行</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6.1 甲乙双方应当按照</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约定顺序履行合同义务；如果没有先后顺序的，应当同时履行。</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7.1 本合同</w:t>
      </w:r>
      <w:r>
        <w:rPr>
          <w:rFonts w:hint="eastAsia" w:ascii="宋体" w:hAnsi="宋体" w:eastAsia="宋体" w:cs="宋体"/>
          <w:bCs/>
          <w:color w:val="auto"/>
          <w:sz w:val="24"/>
          <w:highlight w:val="none"/>
        </w:rPr>
        <w:t xml:space="preserve">涉及商品包装、快递包装的，</w:t>
      </w:r>
      <w:r>
        <w:rPr>
          <w:rFonts w:hint="eastAsia" w:ascii="宋体" w:hAnsi="宋体" w:eastAsia="宋体" w:cs="宋体"/>
          <w:color w:val="auto"/>
          <w:sz w:val="24"/>
          <w:highlight w:val="none"/>
        </w:rPr>
        <w:t xml:space="preserve">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包装应适应远距离运输、防潮、防震、防锈和防野蛮装卸等要求，确保货物安全无损地运抵</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约定的</w:t>
      </w:r>
      <w:r>
        <w:rPr>
          <w:rFonts w:hint="eastAsia" w:ascii="宋体" w:hAnsi="宋体" w:eastAsia="宋体" w:cs="宋体"/>
          <w:color w:val="auto"/>
          <w:sz w:val="24"/>
          <w:highlight w:val="none"/>
        </w:rPr>
        <w:t xml:space="preserve">指定现场。</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7.2 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乙方负责办理将货物运抵本合同规定的交货地点，并装卸、交付至甲方的一切运输事项，相关费用应包含在合同价款中。</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7.3 货物保险要求按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规定执行</w:t>
      </w:r>
      <w:r>
        <w:rPr>
          <w:rFonts w:hint="eastAsia" w:ascii="宋体" w:hAnsi="宋体" w:eastAsia="宋体" w:cs="宋体"/>
          <w:color w:val="auto"/>
          <w:sz w:val="24"/>
          <w:highlight w:val="none"/>
        </w:rPr>
        <w:t xml:space="preserve">。</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7.5 乙方在运输到达之前应提前通知甲方，并提示货物运输装卸的注意事项，甲方配合乙方做好货物的接收工作。</w:t>
      </w:r>
      <w:r/>
    </w:p>
    <w:p>
      <w:pPr>
        <w:pStyle w:val="818"/>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648"/>
        <w:ind w:firstLine="480"/>
        <w:jc w:val="left"/>
        <w:spacing w:line="480" w:lineRule="exact"/>
        <w:rPr>
          <w:rFonts w:hAnsi="宋体" w:eastAsia="宋体" w:cs="宋体"/>
          <w:b/>
          <w:color w:val="auto"/>
          <w:sz w:val="24"/>
          <w:szCs w:val="24"/>
          <w:highlight w:val="none"/>
        </w:rPr>
      </w:pPr>
      <w:r>
        <w:rPr>
          <w:rFonts w:hint="eastAsia" w:hAnsi="宋体" w:eastAsia="宋体" w:cs="宋体"/>
          <w:color w:val="auto"/>
          <w:sz w:val="24"/>
          <w:szCs w:val="24"/>
          <w:highlight w:val="none"/>
        </w:rPr>
        <w:t xml:space="preserve">8.1 质量标准</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48"/>
        <w:ind w:firstLine="480"/>
        <w:jc w:val="left"/>
        <w:spacing w:line="48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（2）采用中华人民共和国法定计量单位。</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（3）乙方所提供的货物应符合国家有关安全、环保、卫生的规定。</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8.2 保证</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规定或乙方书面承诺（两者以较长的为准）的质量保证期内，本保证保持有效。</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（2）在质量保证期内所发现的缺陷，甲方应尽快以书面形式通知乙方。</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（3）乙方收到通知后，应在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规定的响应时间内以合理的速度免费维修或更换有缺陷的货物或部件。</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权利瑕疵担保</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9.1 乙方保证对其出售的货物享有合法的权利。</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9.2 乙方保证在交付的货物上不存在抵押权等担保物权。</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9.3 如甲方使用上述货物构成对第三人侵权的，则由乙方承担全部责任。</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10.1 乙方对其所销售的货物应当享有知识产权或经权利人合法授权，保证没有侵犯任何第三人的知识产权等权利。</w:t>
      </w:r>
      <w:bookmarkStart w:id="174" w:name="_Hlk163047038"/>
      <w:r>
        <w:rPr>
          <w:rFonts w:hint="eastAsia" w:ascii="宋体" w:hAnsi="宋体" w:eastAsia="宋体" w:cs="宋体"/>
          <w:color w:val="auto"/>
          <w:sz w:val="24"/>
          <w:highlight w:val="none"/>
        </w:rPr>
        <w:t xml:space="preserve">因违反前述约定对第三人构成侵权的，应当由乙方向第三人承担法律责任；甲方依法向第三人赔偿后，有权向乙方追偿。甲方有其他损失的，乙方应当赔偿</w:t>
      </w:r>
      <w:bookmarkEnd w:id="174"/>
      <w:r>
        <w:rPr>
          <w:rFonts w:hint="eastAsia" w:ascii="宋体" w:hAnsi="宋体" w:eastAsia="宋体" w:cs="宋体"/>
          <w:color w:val="auto"/>
          <w:sz w:val="24"/>
          <w:highlight w:val="none"/>
        </w:rPr>
        <w:t xml:space="preserve">。</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中约定。</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12.1 合同价款支付按照国库集中支付制度及财政管理相关规定执行。</w:t>
      </w:r>
      <w:r/>
    </w:p>
    <w:p>
      <w:pPr>
        <w:pStyle w:val="630"/>
        <w:ind w:firstLine="480"/>
        <w:spacing w:beforeAutospacing="0" w:afterAutospacing="0" w:line="480" w:lineRule="exact"/>
        <w:rPr>
          <w:rFonts w:hint="default" w:cs="宋体"/>
          <w:color w:val="auto"/>
          <w:sz w:val="24"/>
          <w:szCs w:val="24"/>
          <w:highlight w:val="none"/>
        </w:rPr>
      </w:pPr>
      <w:r>
        <w:rPr>
          <w:rFonts w:cs="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cs="宋体"/>
          <w:color w:val="auto"/>
          <w:sz w:val="24"/>
          <w:szCs w:val="24"/>
          <w:highlight w:val="none"/>
        </w:rPr>
        <w:t xml:space="preserve">政府采购合同专用条款</w:t>
      </w:r>
      <w:r>
        <w:rPr>
          <w:rFonts w:cs="宋体"/>
          <w:b w:val="0"/>
          <w:bCs w:val="0"/>
          <w:color w:val="auto"/>
          <w:sz w:val="24"/>
          <w:szCs w:val="24"/>
          <w:highlight w:val="none"/>
        </w:rPr>
        <w:t xml:space="preserve">】中约定。</w:t>
      </w:r>
      <w:r/>
    </w:p>
    <w:p>
      <w:pPr>
        <w:pStyle w:val="640"/>
        <w:ind w:firstLine="482"/>
        <w:spacing w:after="0"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13.1 乙方应当以支票、汇票、本票或者金融机构、担保机构出具的保函等非现金形式提交。</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13.2 如果乙方出现</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13.3 甲方在项目通过验收后按照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规定支付。</w:t>
      </w:r>
      <w:r/>
    </w:p>
    <w:p>
      <w:pPr>
        <w:ind w:firstLine="482"/>
        <w:jc w:val="left"/>
        <w:spacing w:line="480" w:lineRule="exact"/>
        <w:rPr>
          <w:rFonts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售后服务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14.1 除项目不涉及或采购活动中明确约定无须承担外，乙方还应提供下列服务：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（1）货物的现场移动、安装、调试、启动监督及技术支持；</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（2）提供货物组装和维修所需的专用工具和辅助材料；</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约定的期限内对所有的货物实施运行监督、维修，但前提条件是该服务并不能免除乙方在质量保证期内所承担的义务；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（4）在制造商所在地或指定现场就货物的安装、启动、运营、维护、废弃处置等对甲方操作人员进行培训；</w:t>
      </w:r>
      <w:r/>
    </w:p>
    <w:p>
      <w:pPr>
        <w:pStyle w:val="818"/>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规定由乙方提供的其他服务。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14.2 乙方提供的售后服务的费用已包含在合同价款中，甲方不再另行支付。</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80"/>
        <w:jc w:val="left"/>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15.1质量瑕疵的违约责任</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要求</w:t>
      </w:r>
      <w:r>
        <w:rPr>
          <w:rFonts w:hint="eastAsia" w:ascii="宋体" w:hAnsi="宋体" w:eastAsia="宋体" w:cs="宋体"/>
          <w:color w:val="auto"/>
          <w:sz w:val="24"/>
          <w:highlight w:val="none"/>
        </w:rPr>
        <w:t xml:space="preserve">及时修理、重作、更换，并承担由此给甲方造成的损失。</w:t>
      </w:r>
      <w:r/>
    </w:p>
    <w:p>
      <w:pPr>
        <w:ind w:firstLine="480"/>
        <w:jc w:val="left"/>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15.2 迟延交货的违约责任</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规定执行。如果涉及公共利益，且赔偿金额无法弥补公共利益损失，甲方可要求继续履行或者采取其他补救措施。</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15.3 迟延支付的违约责任</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甲方存在迟延支付乙方合同款项的，应当承担</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规定的逾期付款利息。</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15.4其他违约责任根据项目实际需要按</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规定执行。</w:t>
      </w:r>
      <w:r/>
    </w:p>
    <w:p>
      <w:pPr>
        <w:numPr>
          <w:ilvl w:val="0"/>
          <w:numId w:val="2"/>
        </w:numPr>
        <w:ind w:firstLine="482"/>
        <w:jc w:val="left"/>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合同变更、中止与终止</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16.1合同的变更</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16.2合同的中止</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（1）合同履行过程中因供应商就采购文件、采购过程或结果提起投诉的，甲方认为有必要的，可以中止合同的履行。</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（4）甲方不得以行政区划调整、政府换届、机构或者职能调整以及相关责任人更替为由中止合同。</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16.3合同的终止</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（1）合同因有效期限届满而终止；</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（2）乙方未按合同约定履行，构成根本性违约的，甲方有权终止合同，并追究乙方的违约责任。</w:t>
      </w:r>
      <w:r/>
    </w:p>
    <w:p>
      <w:pPr>
        <w:pStyle w:val="818"/>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乙方不得将合同转包给其他供应商。涉及合同分包的，乙方应根据采购文件和投标（响应）文件规定进行合同分包。</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18.1 不可抗力是指合同双方不能预见、不能避免且不能克服的客观情况。</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18.2 任何一方对由于不可抗力造成的部分或全部不能履行合同不承担违约责任。但迟延履行后发生不可抗力的，不能免除责任。</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jc w:val="left"/>
        <w:spacing w:line="480" w:lineRule="exact"/>
        <w:rPr>
          <w:rFonts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20.1 </w:t>
      </w:r>
      <w:r>
        <w:rPr>
          <w:rFonts w:hint="eastAsia" w:ascii="宋体" w:hAnsi="宋体" w:eastAsia="宋体" w:cs="宋体"/>
          <w:color w:val="auto"/>
          <w:sz w:val="24"/>
          <w:highlight w:val="none"/>
          <w:lang w:val="en-GB"/>
        </w:rPr>
        <w:t xml:space="preserve">本合同应当按照规定执行政府采购政策。</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20.2 本合同依法执行政府采购政策的方式和内容，属于合同履约验收的范围。甲乙双方</w:t>
      </w:r>
      <w:r>
        <w:rPr>
          <w:rFonts w:hint="eastAsia" w:ascii="宋体" w:hAnsi="宋体" w:eastAsia="宋体" w:cs="宋体"/>
          <w:color w:val="auto"/>
          <w:sz w:val="24"/>
          <w:highlight w:val="none"/>
          <w:lang w:val="en-GB"/>
        </w:rPr>
        <w:t xml:space="preserve">未按规定要求执行政府采购政策造成损失的</w:t>
      </w:r>
      <w:r>
        <w:rPr>
          <w:rFonts w:hint="eastAsia" w:ascii="宋体" w:hAnsi="宋体" w:eastAsia="宋体" w:cs="宋体"/>
          <w:color w:val="auto"/>
          <w:sz w:val="24"/>
          <w:highlight w:val="none"/>
        </w:rPr>
        <w:t xml:space="preserve">，有过错的一方应当承担赔偿责任，双方都有过错的，各自承担相应的责任。</w:t>
      </w:r>
      <w:r/>
    </w:p>
    <w:p>
      <w:pPr>
        <w:pStyle w:val="640"/>
        <w:ind w:firstLine="480"/>
        <w:spacing w:after="0"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jc w:val="left"/>
        <w:spacing w:line="48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18"/>
        <w:ind w:firstLine="480"/>
        <w:jc w:val="both"/>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22.3本合同一方给另一方的通知均应采用书面形式，传真或快递送到本合同中规定的对方的地址和办理签收手续。</w:t>
      </w:r>
      <w:r/>
    </w:p>
    <w:p>
      <w:pPr>
        <w:ind w:firstLine="480"/>
        <w:jc w:val="left"/>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22.4通知以送达之日或通知书中规定的生效之日起生效，两者中以较迟之日为准。</w:t>
      </w:r>
      <w:r/>
    </w:p>
    <w:p>
      <w:pPr>
        <w:numPr>
          <w:ilvl w:val="0"/>
          <w:numId w:val="3"/>
        </w:numPr>
        <w:ind w:firstLine="482"/>
        <w:jc w:val="left"/>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80"/>
        <w:jc w:val="left"/>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23.1合同未尽事项见</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w:t>
      </w:r>
      <w:r/>
    </w:p>
    <w:p>
      <w:pPr>
        <w:ind w:firstLine="480"/>
        <w:jc w:val="left"/>
        <w:spacing w:line="480" w:lineRule="exact"/>
        <w:rPr>
          <w:rFonts w:ascii="黑体" w:hAnsi="华文中宋" w:eastAsia="黑体"/>
          <w:color w:val="auto"/>
          <w:sz w:val="28"/>
          <w:szCs w:val="28"/>
          <w:highlight w:val="none"/>
        </w:rPr>
      </w:pPr>
      <w:r>
        <w:rPr>
          <w:rFonts w:hint="eastAsia" w:ascii="宋体" w:hAnsi="宋体" w:eastAsia="宋体" w:cs="宋体"/>
          <w:bCs/>
          <w:color w:val="auto"/>
          <w:sz w:val="24"/>
          <w:highlight w:val="none"/>
        </w:rPr>
        <w:t xml:space="preserve">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宋体" w:hAnsi="宋体" w:eastAsia="宋体" w:cs="宋体"/>
          <w:color w:val="auto"/>
          <w:sz w:val="24"/>
          <w:highlight w:val="none"/>
        </w:rPr>
        <w:outlineLvl w:val="1"/>
      </w:pPr>
      <w:r>
        <w:rPr>
          <w:rFonts w:hint="eastAsia" w:ascii="宋体" w:hAnsi="宋体" w:eastAsia="宋体" w:cs="宋体"/>
          <w:b/>
          <w:bCs/>
          <w:color w:val="auto"/>
          <w:sz w:val="28"/>
          <w:szCs w:val="28"/>
          <w:highlight w:val="none"/>
        </w:rPr>
        <w:t xml:space="preserve">第三节 政府采购合同专用条款</w:t>
      </w:r>
      <w:bookmarkEnd w:id="173"/>
      <w:r/>
      <w:r/>
    </w:p>
    <w:tbl>
      <w:tblPr>
        <w:tblStyle w:val="639"/>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91"/>
        <w:gridCol w:w="2665"/>
        <w:gridCol w:w="3963"/>
      </w:tblGrid>
      <w:tr>
        <w:trPr>
          <w:jc w:val="center"/>
          <w:trHeight w:val="196"/>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第1.2（6）项</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联合体具体要求</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68"/>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第1.2（7）项</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其他术语解释</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第4.4款</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履约验收中甲方提出异议或作出说明的期限</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第4.6款</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约定甲方承担的其他义务和责任</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第5.4款</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约定乙方承担的其他义务和责任</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第6.1款</w:t>
            </w:r>
            <w:r/>
          </w:p>
        </w:tc>
        <w:tc>
          <w:tcPr>
            <w:tcW w:w="2665"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履行合同义务的顺序</w:t>
            </w:r>
            <w:r/>
          </w:p>
        </w:tc>
        <w:tc>
          <w:tcPr>
            <w:tcW w:w="3963"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90"/>
        </w:trPr>
        <w:tc>
          <w:tcPr>
            <w:tcW w:w="1891"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3963"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2.商品包装尽可能使用单一材质的包装材料，如因功能需求必须使用不同材质，不同材质间应便于分离；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jc w:val="center"/>
          <w:trHeight w:val="179"/>
        </w:trPr>
        <w:tc>
          <w:tcPr>
            <w:tcW w:w="1891"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3963" w:type="dxa"/>
            <w:vAlign w:val="center"/>
            <w:textDirection w:val="lrTb"/>
            <w:noWrap w:val="false"/>
          </w:tcPr>
          <w:p>
            <w:pPr>
              <w:jc w:val="left"/>
              <w:rPr>
                <w:color w:val="auto"/>
                <w:sz w:val="24"/>
                <w:highlight w:val="none"/>
              </w:rPr>
            </w:pPr>
            <w:r>
              <w:rPr>
                <w:color w:val="auto"/>
                <w:sz w:val="24"/>
                <w:highlight w:val="none"/>
              </w:rPr>
            </w:r>
            <w:r/>
          </w:p>
        </w:tc>
      </w:tr>
      <w:tr>
        <w:trPr>
          <w:jc w:val="center"/>
          <w:trHeight w:val="332"/>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3963"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18"/>
              <w:ind w:firstLine="0"/>
              <w:spacing w:line="24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18"/>
              <w:ind w:firstLine="0"/>
              <w:spacing w:line="240" w:lineRule="auto"/>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jc w:val="center"/>
          <w:trHeight w:val="179"/>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3963"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jc w:val="center"/>
          <w:trHeight w:val="414"/>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3963" w:type="dxa"/>
            <w:vAlign w:val="center"/>
            <w:textDirection w:val="lrTb"/>
            <w:noWrap w:val="false"/>
          </w:tcPr>
          <w:p>
            <w:pPr>
              <w:rPr>
                <w:rFonts w:ascii="宋体" w:hAnsi="宋体"/>
                <w:color w:val="auto"/>
                <w:highlight w:val="none"/>
              </w:rPr>
            </w:pPr>
            <w:r>
              <w:rPr>
                <w:rFonts w:hint="eastAsia"/>
                <w:color w:val="auto"/>
                <w:sz w:val="24"/>
                <w:highlight w:val="none"/>
              </w:rPr>
              <w:t xml:space="preserve">货物免费质保期</w:t>
            </w:r>
            <w:r>
              <w:rPr>
                <w:rFonts w:hint="eastAsia" w:eastAsia="宋体"/>
                <w:color w:val="auto"/>
                <w:sz w:val="24"/>
                <w:highlight w:val="none"/>
                <w:lang w:eastAsia="zh-CN"/>
              </w:rPr>
              <w:t xml:space="preserve">（</w:t>
            </w:r>
            <w:r>
              <w:rPr>
                <w:rFonts w:hint="eastAsia" w:eastAsia="宋体"/>
                <w:color w:val="auto"/>
                <w:sz w:val="24"/>
                <w:highlight w:val="none"/>
                <w:lang w:val="en-US" w:eastAsia="zh-CN"/>
              </w:rPr>
              <w:t xml:space="preserve">产品使用有效期</w:t>
            </w:r>
            <w:r>
              <w:rPr>
                <w:rFonts w:hint="eastAsia" w:eastAsia="宋体"/>
                <w:color w:val="auto"/>
                <w:sz w:val="24"/>
                <w:highlight w:val="none"/>
                <w:lang w:eastAsia="zh-CN"/>
              </w:rPr>
              <w:t xml:space="preserve">）</w:t>
            </w:r>
            <w:r>
              <w:rPr>
                <w:rFonts w:hint="eastAsia"/>
                <w:color w:val="auto"/>
                <w:sz w:val="24"/>
                <w:highlight w:val="none"/>
              </w:rPr>
              <w:t xml:space="preserve">：</w:t>
            </w:r>
            <w:r>
              <w:rPr>
                <w:rFonts w:hint="eastAsia" w:eastAsia="宋体"/>
                <w:color w:val="auto"/>
                <w:sz w:val="24"/>
                <w:highlight w:val="none"/>
                <w:u w:val="single"/>
                <w:lang w:val="en-US" w:eastAsia="zh-CN"/>
              </w:rPr>
              <w:t xml:space="preserve"> 6 </w:t>
            </w:r>
            <w:r>
              <w:rPr>
                <w:rFonts w:hint="eastAsia" w:eastAsia="宋体"/>
                <w:color w:val="auto"/>
                <w:sz w:val="24"/>
                <w:highlight w:val="none"/>
                <w:u w:val="none"/>
                <w:lang w:val="en-US" w:eastAsia="zh-CN"/>
              </w:rPr>
              <w:t xml:space="preserve">个月</w:t>
            </w:r>
            <w:r>
              <w:rPr>
                <w:rFonts w:hint="eastAsia"/>
                <w:color w:val="auto"/>
                <w:sz w:val="24"/>
                <w:highlight w:val="none"/>
              </w:rPr>
              <w:t xml:space="preserve">。（自交货验收合格之日起计），因人为因素出现的故障不在免费保修范围内。超过保修期的机器设备，终身维修，维修时只收部件成本费。</w:t>
            </w:r>
            <w:r/>
          </w:p>
        </w:tc>
      </w:tr>
      <w:tr>
        <w:trPr>
          <w:jc w:val="center"/>
          <w:trHeight w:val="250"/>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如在使用过程中发生质量问题，乙方在接到甲方通知后在</w:t>
            </w:r>
            <w:r>
              <w:rPr>
                <w:rFonts w:hint="eastAsia" w:ascii="宋体" w:hAnsi="宋体"/>
                <w:color w:val="auto"/>
                <w:sz w:val="24"/>
                <w:highlight w:val="none"/>
                <w:u w:val="single"/>
              </w:rPr>
              <w:t xml:space="preserve">48</w:t>
            </w:r>
            <w:r>
              <w:rPr>
                <w:rFonts w:hint="eastAsia" w:ascii="宋体" w:hAnsi="宋体"/>
                <w:color w:val="auto"/>
                <w:sz w:val="24"/>
                <w:highlight w:val="none"/>
              </w:rPr>
              <w:t xml:space="preserve">小时内到达甲方现场。</w:t>
            </w:r>
            <w:r/>
          </w:p>
        </w:tc>
      </w:tr>
      <w:tr>
        <w:trPr>
          <w:jc w:val="center"/>
          <w:trHeight w:val="2215"/>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第8款补充</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质量保证要求</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62"/>
              <w:spacing w:beforeAutospacing="0" w:afterAutospacing="0"/>
              <w:rPr>
                <w:rFonts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198"/>
        </w:trPr>
        <w:tc>
          <w:tcPr>
            <w:tcW w:w="189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665"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396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jc w:val="center"/>
          <w:trHeight w:val="1642"/>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①自合同签订生效之日起，原则上在收到乙方发票10个工作日内，甲方向乙方支付合同总价的30%款项作为预付款；</w:t>
            </w:r>
            <w:r/>
          </w:p>
          <w:p>
            <w:pPr>
              <w:jc w:val="left"/>
              <w:rPr>
                <w:rFonts w:ascii="宋体" w:hAnsi="宋体"/>
                <w:color w:val="auto"/>
                <w:sz w:val="24"/>
                <w:highlight w:val="none"/>
              </w:rPr>
            </w:pPr>
            <w:r>
              <w:rPr>
                <w:rFonts w:hint="eastAsia" w:ascii="宋体" w:hAnsi="宋体"/>
                <w:color w:val="auto"/>
                <w:sz w:val="24"/>
                <w:highlight w:val="none"/>
              </w:rPr>
              <w:t xml:space="preserve">②所有货物安装完毕，甲方组织验收，验收合格后原则上在收到乙方发票10个工作日内甲方向乙方支付至合同总价的</w:t>
            </w:r>
            <w:r>
              <w:rPr>
                <w:rFonts w:hint="eastAsia" w:ascii="宋体" w:hAnsi="宋体" w:eastAsia="宋体"/>
                <w:color w:val="auto"/>
                <w:sz w:val="24"/>
                <w:highlight w:val="none"/>
                <w:lang w:val="en-US" w:eastAsia="zh-CN"/>
              </w:rPr>
              <w:t xml:space="preserve">8</w:t>
            </w:r>
            <w:bookmarkStart w:id="202" w:name="_GoBack"/>
            <w:r/>
            <w:bookmarkEnd w:id="202"/>
            <w:r>
              <w:rPr>
                <w:rFonts w:hint="eastAsia" w:ascii="宋体" w:hAnsi="宋体"/>
                <w:color w:val="auto"/>
                <w:sz w:val="24"/>
                <w:highlight w:val="none"/>
              </w:rPr>
              <w:t xml:space="preserve">0%款项；</w:t>
            </w:r>
            <w:r/>
          </w:p>
          <w:p>
            <w:pPr>
              <w:jc w:val="left"/>
              <w:rPr>
                <w:rFonts w:ascii="宋体" w:hAnsi="宋体"/>
                <w:color w:val="auto"/>
                <w:sz w:val="24"/>
                <w:highlight w:val="none"/>
              </w:rPr>
            </w:pPr>
            <w:r>
              <w:rPr>
                <w:rFonts w:hint="eastAsia" w:ascii="宋体" w:hAnsi="宋体"/>
                <w:color w:val="auto"/>
                <w:sz w:val="24"/>
                <w:highlight w:val="none"/>
              </w:rPr>
              <w:t xml:space="preserve">③验收合格且项目运行满2年后，甲方原则上在收到乙方发票10个工作日内甲方付清货款。</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jc w:val="center"/>
          <w:trHeight w:val="997"/>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3963"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jc w:val="center"/>
          <w:trHeight w:val="1314"/>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266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3963"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210"/>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396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jc w:val="center"/>
          <w:trHeight w:val="210"/>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396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jc w:val="center"/>
          <w:trHeight w:val="198"/>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396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jc w:val="center"/>
          <w:trHeight w:val="823"/>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修理、重做、更换相关具体规定</w:t>
            </w:r>
            <w:r/>
          </w:p>
        </w:tc>
        <w:tc>
          <w:tcPr>
            <w:tcW w:w="3963"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详见合同通用条款8.2条款、合同专用条款第二节第8款补充条款及合同专用条款中索赔条款。</w:t>
            </w:r>
            <w:r/>
          </w:p>
          <w:p>
            <w:pPr>
              <w:jc w:val="lef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千分之五</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的滞纳金。</w:t>
            </w:r>
            <w:r/>
          </w:p>
        </w:tc>
      </w:tr>
      <w:tr>
        <w:trPr>
          <w:jc w:val="center"/>
          <w:trHeight w:val="496"/>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3963" w:type="dxa"/>
            <w:vAlign w:val="center"/>
            <w:textDirection w:val="lrTb"/>
            <w:noWrap w:val="false"/>
          </w:tcPr>
          <w:p>
            <w:pPr>
              <w:pStyle w:val="662"/>
              <w:jc w:val="both"/>
              <w:spacing w:beforeAutospacing="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的违约金。</w:t>
            </w:r>
            <w:r/>
          </w:p>
          <w:p>
            <w:pPr>
              <w:pStyle w:val="662"/>
              <w:jc w:val="both"/>
              <w:spacing w:beforeAutospacing="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按银行同期利息</w:t>
            </w:r>
            <w:r>
              <w:rPr>
                <w:rFonts w:hint="eastAsia" w:ascii="宋体" w:hAnsi="宋体" w:cs="宋体"/>
                <w:color w:val="auto"/>
                <w:highlight w:val="none"/>
              </w:rPr>
              <w:t xml:space="preserve">向乙方支付违约金。</w:t>
            </w:r>
            <w:r/>
          </w:p>
        </w:tc>
      </w:tr>
      <w:tr>
        <w:trPr>
          <w:jc w:val="center"/>
          <w:trHeight w:val="234"/>
        </w:trPr>
        <w:tc>
          <w:tcPr>
            <w:tcBorders>
              <w:bottom w:val="single" w:color="000000" w:sz="2" w:space="0"/>
              <w:right w:val="single" w:color="000000" w:sz="2" w:space="0"/>
            </w:tcBorders>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3963"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jc w:val="center"/>
          <w:trHeight w:val="1066"/>
        </w:trPr>
        <w:tc>
          <w:tcPr>
            <w:tcBorders>
              <w:top w:val="single" w:color="000000" w:sz="2" w:space="0"/>
              <w:right w:val="single" w:color="000000" w:sz="2" w:space="0"/>
            </w:tcBorders>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盐城市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2297"/>
        </w:trPr>
        <w:tc>
          <w:tcPr>
            <w:tcW w:w="18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3.验收不合格的货物，乙方应在履约期限内予以更换，逾期按交货延误予以处罚。乙方所交付的货物品种、型号、规格不符合合同规定的，甲方有权拒收。甲方拒收的，乙方向甲方支付货款总额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交货时间：根据采购人要求分批次提供。接到采购人供货需求后</w:t>
            </w:r>
            <w:r>
              <w:rPr>
                <w:rFonts w:hint="eastAsia" w:ascii="宋体" w:hAnsi="宋体"/>
                <w:color w:val="auto"/>
                <w:sz w:val="24"/>
                <w:highlight w:val="none"/>
                <w:u w:val="single"/>
              </w:rPr>
              <w:t xml:space="preserve">3</w:t>
            </w:r>
            <w:r>
              <w:rPr>
                <w:rFonts w:hint="eastAsia" w:ascii="宋体" w:hAnsi="宋体" w:eastAsia="宋体"/>
                <w:color w:val="auto"/>
                <w:sz w:val="24"/>
                <w:highlight w:val="none"/>
                <w:lang w:val="en-US" w:eastAsia="zh-CN"/>
              </w:rPr>
              <w:t xml:space="preserve">日</w:t>
            </w:r>
            <w:r>
              <w:rPr>
                <w:rFonts w:hint="eastAsia" w:ascii="宋体" w:hAnsi="宋体"/>
                <w:color w:val="auto"/>
                <w:sz w:val="24"/>
                <w:highlight w:val="none"/>
              </w:rPr>
              <w:t xml:space="preserve">内将试剂送达至采购人指定地点。</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甲方指定地点</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（5）甲方应在全部货物到货安装完毕，乙方提出验收申请之日起</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12</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78"/>
        </w:trPr>
        <w:tc>
          <w:tcPr>
            <w:tcW w:w="18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5"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jc w:val="center"/>
          <w:trHeight w:val="206"/>
        </w:trPr>
        <w:tc>
          <w:tcPr>
            <w:tcW w:w="18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5"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jc w:val="center"/>
          <w:trHeight w:val="90"/>
        </w:trPr>
        <w:tc>
          <w:tcPr>
            <w:tcW w:w="18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3963"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1153"/>
        </w:trPr>
        <w:tc>
          <w:tcPr>
            <w:tcW w:w="18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66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合同生效及其它</w:t>
            </w:r>
            <w:r/>
          </w:p>
          <w:p>
            <w:pPr>
              <w:jc w:val="left"/>
              <w:rPr>
                <w:rFonts w:ascii="宋体" w:hAnsi="宋体"/>
                <w:bCs/>
                <w:color w:val="auto"/>
                <w:sz w:val="24"/>
                <w:highlight w:val="none"/>
              </w:rPr>
            </w:pPr>
            <w:r>
              <w:rPr>
                <w:rFonts w:ascii="宋体" w:hAnsi="宋体"/>
                <w:bCs/>
                <w:color w:val="auto"/>
                <w:sz w:val="24"/>
                <w:highlight w:val="none"/>
              </w:rPr>
            </w:r>
            <w:r/>
          </w:p>
        </w:tc>
        <w:tc>
          <w:tcPr>
            <w:tcW w:w="3963" w:type="dxa"/>
            <w:vAlign w:val="center"/>
            <w:textDirection w:val="lrTb"/>
            <w:noWrap w:val="false"/>
          </w:tcPr>
          <w:p>
            <w:pPr>
              <w:jc w:val="left"/>
              <w:keepLines w:val="0"/>
              <w:keepNext w:val="0"/>
              <w:pageBreakBefore w:val="0"/>
              <w:spacing w:line="216" w:lineRule="auto"/>
              <w:widowControl w:val="off"/>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keepLines w:val="0"/>
              <w:keepNext w:val="0"/>
              <w:pageBreakBefore w:val="0"/>
              <w:spacing w:line="216" w:lineRule="auto"/>
              <w:widowControl w:val="off"/>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keepLines w:val="0"/>
              <w:keepNext w:val="0"/>
              <w:pageBreakBefore w:val="0"/>
              <w:spacing w:line="216" w:lineRule="auto"/>
              <w:widowControl w:val="off"/>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spacing w:line="216" w:lineRule="auto"/>
              <w:widowControl w:val="off"/>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4.本合同应按照中华人民共和国的现行法律进行解释。本合同未尽事宜，遵照《中华人民共和国民法典》《中华人民共和国政府采购法》等有关条文执行。</w:t>
            </w:r>
            <w:r/>
          </w:p>
        </w:tc>
      </w:tr>
    </w:tbl>
    <w:p>
      <w:pPr>
        <w:jc w:val="center"/>
        <w:spacing w:before="120" w:beforeAutospacing="0" w:after="12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2"/>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jc w:val="left"/>
        <w:spacing w:line="480" w:lineRule="exact"/>
        <w:rPr>
          <w:rFonts w:hint="eastAsia" w:ascii="宋体" w:hAnsi="宋体" w:eastAsia="宋体" w:cs="宋体"/>
          <w:color w:val="auto"/>
          <w:sz w:val="24"/>
          <w:highlight w:val="none"/>
        </w:rPr>
      </w:pPr>
      <w:r/>
      <w:bookmarkStart w:id="175" w:name="_Toc49090575"/>
      <w:r/>
      <w:bookmarkStart w:id="176" w:name="_Toc26554093"/>
      <w:r>
        <w:rPr>
          <w:rFonts w:hint="eastAsia" w:ascii="宋体" w:hAnsi="宋体" w:eastAsia="宋体" w:cs="宋体"/>
          <w:color w:val="auto"/>
          <w:sz w:val="24"/>
          <w:highlight w:val="none"/>
        </w:rPr>
        <w:t xml:space="preserve">项目属性:货物类项目。</w:t>
      </w:r>
      <w:bookmarkEnd w:id="175"/>
      <w:r/>
      <w:bookmarkEnd w:id="176"/>
      <w:r/>
      <w:r/>
    </w:p>
    <w:p>
      <w:pPr>
        <w:pStyle w:val="662"/>
        <w:jc w:val="both"/>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包一、包二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highlight w:val="none"/>
        </w:rPr>
        <w:t xml:space="preserve">恩诺沙星和环丙沙星胶体金试剂卡</w:t>
      </w:r>
      <w:r/>
    </w:p>
    <w:p>
      <w:pPr>
        <w:pStyle w:val="662"/>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一、采购内容</w:t>
      </w:r>
      <w:r/>
    </w:p>
    <w:p>
      <w:pPr>
        <w:pStyle w:val="662"/>
        <w:jc w:val="both"/>
        <w:spacing w:beforeAutospacing="0" w:afterAutospacing="0" w:line="0" w:lineRule="atLeas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采购包一：</w:t>
      </w:r>
      <w:r/>
    </w:p>
    <w:tbl>
      <w:tblPr>
        <w:tblStyle w:val="664"/>
        <w:tblW w:w="8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370"/>
        <w:gridCol w:w="1401"/>
        <w:gridCol w:w="2041"/>
        <w:gridCol w:w="1828"/>
      </w:tblGrid>
      <w:tr>
        <w:trPr/>
        <w:tc>
          <w:tcPr>
            <w:tcW w:w="1015"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bookmarkStart w:id="177" w:name="_Toc14372"/>
            <w:r>
              <w:rPr>
                <w:rFonts w:hint="eastAsia" w:ascii="宋体" w:hAnsi="宋体" w:eastAsia="宋体" w:cs="宋体"/>
                <w:b/>
                <w:bCs/>
                <w:i w:val="0"/>
                <w:iCs w:val="0"/>
                <w:color w:val="000000"/>
                <w:sz w:val="20"/>
                <w:szCs w:val="20"/>
                <w:u w:val="none"/>
                <w:lang w:val="en-US" w:eastAsia="zh-CN" w:bidi="ar"/>
              </w:rPr>
              <w:t xml:space="preserve">序号</w:t>
            </w:r>
            <w:r/>
          </w:p>
        </w:tc>
        <w:tc>
          <w:tcPr>
            <w:tcW w:w="2370"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采购产品名称</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采购数量（条、片）</w:t>
            </w:r>
            <w:r/>
          </w:p>
        </w:tc>
        <w:tc>
          <w:tcPr>
            <w:tcW w:w="204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主要技术参数、指标配置等</w:t>
            </w:r>
            <w:r/>
          </w:p>
        </w:tc>
        <w:tc>
          <w:tcPr>
            <w:tcW w:w="1828"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毒死蜱胶体金试剂卡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tcW w:w="2041" w:type="dxa"/>
            <w:vAlign w:val="center"/>
            <w:vMerge w:val="restart"/>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1.快检试剂每条密封包装，外包装上应印有产品名称、品牌、生产厂名、生</w:t>
            </w:r>
            <w:r>
              <w:rPr>
                <w:rFonts w:hint="eastAsia" w:ascii="宋体" w:hAnsi="宋体" w:eastAsia="宋体" w:cs="宋体"/>
                <w:i w:val="0"/>
                <w:iCs w:val="0"/>
                <w:color w:val="auto"/>
                <w:sz w:val="18"/>
                <w:szCs w:val="18"/>
                <w:u w:val="none"/>
                <w:lang w:val="en-US" w:eastAsia="zh-CN" w:bidi="ar"/>
              </w:rPr>
              <w:t xml:space="preserve">产日期、有效期等相关标识；快检试剂采用胶体金免疫层析技术；需带塑料模板，不能为裸条，快速试剂使用期间，供货方要确保快检结果可配套中德ZH-3009型号快检设备读卡功能，并通过设备配套软件上传到盐城快检平台。</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2.快检试剂检测限量需满足&lt;&lt;食品安全国家标准 食品</w:t>
            </w:r>
            <w:r>
              <w:rPr>
                <w:rFonts w:hint="eastAsia" w:ascii="宋体" w:hAnsi="宋体" w:eastAsia="宋体" w:cs="宋体"/>
                <w:i w:val="0"/>
                <w:iCs w:val="0"/>
                <w:color w:val="000000"/>
                <w:sz w:val="18"/>
                <w:szCs w:val="18"/>
                <w:u w:val="none"/>
                <w:lang w:val="en-US" w:eastAsia="zh-CN" w:bidi="ar"/>
              </w:rPr>
              <w:t xml:space="preserve">中农药最大残留限量&gt;&gt;（GB2763-2021）和（GB2763.1-2022） 标准；农业农村部公告第250号；&lt;&lt;食品安全国家标准 食品中兽药最大残留限量&gt;&gt;GB31650;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3.快检试剂保质期至少12个月；试剂质量符合要求，验收依据：市场监管总局《关于规范食品快速检测使用的意见》（国市监食检规〔2023〕1号） 附件4：食品快速检测产品符合性评价程序。验收时不同浓度盲样数量可适当调整。</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ff0000"/>
                <w:sz w:val="18"/>
                <w:szCs w:val="18"/>
                <w:u w:val="none"/>
                <w:lang w:val="en-US" w:eastAsia="zh-CN" w:bidi="ar"/>
              </w:rPr>
              <w:t xml:space="preserve">4. </w:t>
            </w:r>
            <w:r>
              <w:rPr>
                <w:rFonts w:hint="eastAsia" w:ascii="宋体" w:hAnsi="宋体" w:eastAsia="宋体" w:cs="宋体"/>
                <w:i w:val="0"/>
                <w:iCs w:val="0"/>
                <w:color w:val="auto"/>
                <w:sz w:val="18"/>
                <w:szCs w:val="18"/>
                <w:u w:val="none"/>
                <w:lang w:val="en-US" w:eastAsia="zh-CN" w:bidi="ar"/>
              </w:rPr>
              <w:t xml:space="preserve">快检试剂必须有一半以上（含）通过省级以上（含）政府部门组织的产品验证评价，结论为通过或合格，提供评价报告或产品合格目录。</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5.农兽药残留胶体金速测卡报价单价不得高于生产商对江苏省农业农村厅《关于 遴选“农药残留胶体金免疫速测卡价格和售后服务的函”》的遴选复函报价。</w:t>
            </w:r>
            <w:r/>
          </w:p>
          <w:p>
            <w:pPr>
              <w:numPr>
                <w:ilvl w:val="0"/>
                <w:numId w:val="0"/>
              </w:numPr>
              <w:jc w:val="both"/>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6.投标人需承诺签订合同前提供本项目投标快检试剂的生产厂家的授权书、售后服务承诺书和质量保证承诺函。</w:t>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氟虫腈胶体金试剂卡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噻虫胺胶体金试剂卡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啶虫脒胶体金试剂卡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三唑磷胶体金试剂卡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甲拌磷胶体金试剂卡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氧乐果胶体金试剂卡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水胺硫磷胶体金试剂卡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甲基异柳磷胶体金试剂卡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杀螟硫磷胶体金试剂卡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克百威胶体金试剂卡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灭多威胶体金试剂卡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灭蝇胺胶体金试剂卡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噻虫嗪胶体金试剂卡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倍硫磷胶体金试剂卡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甲氨基阿维菌素苯甲酸盐胶体金试剂卡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氯氟氰菊酯和高效氯氟氰菊酯胶体金试剂卡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阿维菌素胶体金试剂卡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氯虫苯甲酰胺胶体金试剂卡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百菌清胶体金试剂卡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甲萘威胶体金试剂卡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苯醚甲环唑胶体金试剂卡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恩诺沙星和环丙沙星胶体金试剂卡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15000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磺胺类胶体金试剂卡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9000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氟苯尼考和氟苯尼考胺胶体金试剂卡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5100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甲硝唑胶体金试剂卡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孔雀石绿胶体金试剂卡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呋喃唑酮代谢物胶体金试剂卡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氧氟沙星胶体金试剂卡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氯霉素胶体金试剂卡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诺氟沙星和培氟沙星胶体金试剂卡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洛美沙星胶体金试剂卡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呋喃西林代谢物胶体金试剂卡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呋喃它酮代谢物胶体金试剂卡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呋喃妥因代谢物胶体金试剂卡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四环素胶体金试剂卡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克伦特罗胶体金试剂卡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莱克多巴胺胶体金试剂卡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沙丁胺醇胶体金试剂卡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金刚烷胺胶体金试剂卡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用于禽（肉蛋）检测</w:t>
            </w:r>
            <w:bookmarkEnd w:id="177"/>
            <w:r/>
          </w:p>
        </w:tc>
      </w:tr>
    </w:tbl>
    <w:p>
      <w:pPr>
        <w:pStyle w:val="662"/>
        <w:jc w:val="both"/>
        <w:spacing w:beforeAutospacing="0" w:afterAutospacing="0" w:line="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662"/>
        <w:jc w:val="both"/>
        <w:spacing w:beforeAutospacing="0" w:afterAutospacing="0" w:line="0" w:lineRule="atLeas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采购包二：</w:t>
      </w:r>
      <w:r/>
    </w:p>
    <w:tbl>
      <w:tblPr>
        <w:tblStyle w:val="664"/>
        <w:tblW w:w="8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370"/>
        <w:gridCol w:w="1401"/>
        <w:gridCol w:w="2041"/>
        <w:gridCol w:w="1828"/>
      </w:tblGrid>
      <w:tr>
        <w:trPr/>
        <w:tc>
          <w:tcPr>
            <w:tcW w:w="1015"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W w:w="2370"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采购产品名称</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采购数量（条、片）</w:t>
            </w:r>
            <w:r/>
          </w:p>
        </w:tc>
        <w:tc>
          <w:tcPr>
            <w:tcW w:w="204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主要技术参数、指标配置等</w:t>
            </w:r>
            <w:r/>
          </w:p>
        </w:tc>
        <w:tc>
          <w:tcPr>
            <w:tcW w:w="1828"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毒死蜱胶体金试剂卡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tcW w:w="2041" w:type="dxa"/>
            <w:vAlign w:val="center"/>
            <w:vMerge w:val="restart"/>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1.快检试剂每条密封包装，外包装上应印有产品名称、品牌、生产厂名、生</w:t>
            </w:r>
            <w:r>
              <w:rPr>
                <w:rFonts w:hint="eastAsia" w:ascii="宋体" w:hAnsi="宋体" w:eastAsia="宋体" w:cs="宋体"/>
                <w:i w:val="0"/>
                <w:iCs w:val="0"/>
                <w:color w:val="auto"/>
                <w:sz w:val="18"/>
                <w:szCs w:val="18"/>
                <w:u w:val="none"/>
                <w:lang w:val="en-US" w:eastAsia="zh-CN" w:bidi="ar"/>
              </w:rPr>
              <w:t xml:space="preserve">产日期、有效期等相关标识；快检试剂采用胶体金免疫层析技术；需带塑料模板，不能为裸条，快速试剂使用期间，供货方要确保快检结果可配套中德ZH-3009型号快检设备读卡功能，并通过设备配套软件上传到盐城快检平台。</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2.快检试剂检测限量需满足&lt;&lt;食品安全国家标准 食品</w:t>
            </w:r>
            <w:r>
              <w:rPr>
                <w:rFonts w:hint="eastAsia" w:ascii="宋体" w:hAnsi="宋体" w:eastAsia="宋体" w:cs="宋体"/>
                <w:i w:val="0"/>
                <w:iCs w:val="0"/>
                <w:color w:val="000000"/>
                <w:sz w:val="18"/>
                <w:szCs w:val="18"/>
                <w:u w:val="none"/>
                <w:lang w:val="en-US" w:eastAsia="zh-CN" w:bidi="ar"/>
              </w:rPr>
              <w:t xml:space="preserve">中农药最大残留限量&gt;&gt;（GB2763-2021）和（GB2763.1-2022） 标准；农业农村部公告第250号；&lt;&lt;食品安全国家标准 食品中兽药最大残留限量&gt;&gt;GB31650;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3.快检试剂保质期至少12个月；试剂质量符合要求，验收依据：市场监管总局《关于规范食品快速检测使用的意见》（国市监食检规〔2023〕1号） 附件4：食品快速检测产品符合性评价程序。验收时不同浓度盲样数量可适当调整。</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ff0000"/>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 快检试剂必须有一半以上（含）通过省级以上（含）政府部门组织的产品验证评价，结论为通过或合格，提供评价报告或产品合格目录。</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5.农兽药残留胶体金速测卡报价单价不得高于生产商对江苏省农业农村厅《关于 遴选“农药残留胶体金免疫速测卡价格和售后服务的函”》的遴选复函报价。</w:t>
            </w:r>
            <w:r/>
          </w:p>
          <w:p>
            <w:pPr>
              <w:numPr>
                <w:ilvl w:val="0"/>
                <w:numId w:val="0"/>
              </w:numPr>
              <w:jc w:val="both"/>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val="0"/>
                <w:bCs w:val="0"/>
                <w:color w:val="ff0000"/>
                <w:sz w:val="21"/>
                <w:szCs w:val="21"/>
                <w:vertAlign w:val="baseline"/>
                <w:lang w:val="en-US" w:eastAsia="zh-CN" w:bidi="ar-SA"/>
              </w:rPr>
              <w:t xml:space="preserve">★</w:t>
            </w:r>
            <w:r>
              <w:rPr>
                <w:rFonts w:hint="eastAsia" w:ascii="宋体" w:hAnsi="宋体" w:eastAsia="宋体" w:cs="宋体"/>
                <w:i w:val="0"/>
                <w:iCs w:val="0"/>
                <w:color w:val="000000"/>
                <w:sz w:val="18"/>
                <w:szCs w:val="18"/>
                <w:u w:val="none"/>
                <w:lang w:val="en-US" w:eastAsia="zh-CN" w:bidi="ar"/>
              </w:rPr>
              <w:t xml:space="preserve">6.投标人需承诺签订合同前提供本项目投标快检试剂的生产厂家的授权书、售后服务承诺书和质量保证承诺函。</w:t>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氟虫腈胶体金试剂卡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噻虫胺胶体金试剂卡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啶虫脒胶体金试剂卡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三唑磷胶体金试剂卡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甲拌磷胶体金试剂卡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氧乐果胶体金试剂卡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水胺硫磷胶体金试剂卡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甲基异柳磷胶体金试剂卡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杀螟硫磷胶体金试剂卡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克百威胶体金试剂卡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灭多威胶体金试剂卡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灭蝇胺胶体金试剂卡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噻虫嗪胶体金试剂卡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倍硫磷胶体金试剂卡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甲氨基阿维菌素苯甲酸盐胶体金试剂卡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氯氟氰菊酯和高效氯氟氰菊酯胶体金试剂卡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阿维菌素胶体金试剂卡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氯虫苯甲酰胺胶体金试剂卡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百菌清胶体金试剂卡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甲萘威胶体金试剂卡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苯醚甲环唑胶体金试剂卡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用于瓜果蔬菜检测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恩诺沙星和环丙沙星胶体金试剂卡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10000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磺胺类胶体金试剂卡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6000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氟苯尼考和氟苯尼考胺胶体金试剂卡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甲硝唑胶体金试剂卡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孔雀石绿胶体金试剂卡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呋喃唑酮代谢物胶体金试剂卡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氧氟沙星胶体金试剂卡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氯霉素胶体金试剂卡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2300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诺氟沙星和培氟沙星胶体金试剂卡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洛美沙星胶体金试剂卡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呋喃西林代谢物胶体金试剂卡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呋喃它酮代谢物胶体金试剂卡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呋喃妥因代谢物胶体金试剂卡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四环素胶体金试剂卡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用于畜肉、水产品检测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克伦特罗胶体金试剂卡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莱克多巴胺胶体金试剂卡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沙丁胺醇胶体金试剂卡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用于畜肉检测</w:t>
            </w:r>
            <w:r/>
          </w:p>
        </w:tc>
      </w:tr>
      <w:tr>
        <w:trPr>
          <w:trHeight w:val="700"/>
        </w:trPr>
        <w:tc>
          <w:tcPr>
            <w:tcW w:w="10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W w:w="23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金刚烷胺胶体金试剂卡</w:t>
            </w:r>
            <w:r/>
          </w:p>
        </w:tc>
        <w:tc>
          <w:tcPr>
            <w:tcW w:w="1401" w:type="dxa"/>
            <w:vAlign w:val="center"/>
            <w:textDirection w:val="lrTb"/>
            <w:noWrap w:val="false"/>
          </w:tcPr>
          <w:p>
            <w:pPr>
              <w:jc w:val="center"/>
              <w:keepLines w:val="0"/>
              <w:keepNext w:val="0"/>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W w:w="2041"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pPr>
            <w:r>
              <w:rPr>
                <w:rFonts w:hint="eastAsia" w:ascii="宋体" w:hAnsi="宋体" w:eastAsia="宋体" w:cs="宋体"/>
                <w:color w:val="auto"/>
                <w:sz w:val="24"/>
                <w:szCs w:val="24"/>
                <w:vertAlign w:val="baseline"/>
                <w:lang w:eastAsia="zh-CN" w:bidi="ar-SA"/>
              </w:rPr>
            </w:r>
            <w:r/>
          </w:p>
        </w:tc>
        <w:tc>
          <w:tcPr>
            <w:tcW w:w="18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vertAlign w:val="baseline"/>
                <w:lang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用于禽（肉蛋）检测</w:t>
            </w:r>
            <w:r/>
          </w:p>
        </w:tc>
      </w:tr>
    </w:tbl>
    <w:p>
      <w:pPr>
        <w:pStyle w:val="668"/>
        <w:rPr>
          <w:rFonts w:hint="eastAsia"/>
          <w:b w:val="0"/>
          <w:bCs w:val="0"/>
          <w:color w:val="auto"/>
          <w:szCs w:val="22"/>
          <w:highlight w:val="none"/>
          <w:lang w:val="en-US" w:eastAsia="zh-CN"/>
        </w:rPr>
        <w:outlineLvl w:val="1"/>
      </w:pPr>
      <w:r>
        <w:rPr>
          <w:rFonts w:hint="eastAsia"/>
          <w:b w:val="0"/>
          <w:bCs w:val="0"/>
          <w:color w:val="auto"/>
          <w:szCs w:val="22"/>
          <w:highlight w:val="none"/>
          <w:lang w:val="en-US" w:eastAsia="zh-CN"/>
        </w:rPr>
        <w:t xml:space="preserve">其他要求：</w:t>
      </w:r>
      <w:r/>
    </w:p>
    <w:p>
      <w:pPr>
        <w:pStyle w:val="668"/>
        <w:ind w:right="-92" w:firstLine="420"/>
        <w:rPr>
          <w:rFonts w:hint="eastAsia"/>
          <w:b w:val="0"/>
          <w:bCs w:val="0"/>
          <w:color w:val="auto"/>
          <w:szCs w:val="22"/>
          <w:highlight w:val="none"/>
          <w:lang w:val="en-US" w:eastAsia="zh-CN"/>
        </w:rPr>
        <w:outlineLvl w:val="1"/>
      </w:pPr>
      <w:r>
        <w:rPr>
          <w:rFonts w:hint="eastAsia" w:ascii="仿宋_GB2312" w:hAnsi="仿宋_GB2312" w:eastAsia="仿宋_GB2312" w:cs="仿宋_GB2312"/>
          <w:b w:val="0"/>
          <w:bCs w:val="0"/>
          <w:color w:val="auto"/>
          <w:sz w:val="21"/>
          <w:szCs w:val="21"/>
          <w:highlight w:val="none"/>
          <w:vertAlign w:val="baseline"/>
          <w:lang w:val="en-US" w:eastAsia="zh-CN" w:bidi="ar-SA"/>
        </w:rPr>
        <w:t xml:space="preserve">★</w:t>
      </w:r>
      <w:r>
        <w:rPr>
          <w:rFonts w:hint="eastAsia"/>
          <w:b w:val="0"/>
          <w:bCs w:val="0"/>
          <w:color w:val="auto"/>
          <w:szCs w:val="22"/>
          <w:highlight w:val="none"/>
          <w:lang w:val="en-US" w:eastAsia="zh-CN"/>
        </w:rPr>
        <w:t xml:space="preserve">1、以上采购快检试剂的品种及数量为采购人的预估品种及数量，根据实际工作需要，采购人有权在预计采购清单内产品进行量的调整，有权要求供应商提供预计采购清单品种外的快检试剂，且价格与预计产品清单内同类快检试剂价格一致。</w:t>
      </w:r>
      <w:r/>
    </w:p>
    <w:p>
      <w:pPr>
        <w:pStyle w:val="668"/>
        <w:ind w:right="-92" w:firstLine="420"/>
        <w:rPr>
          <w:rFonts w:hint="eastAsia"/>
          <w:b w:val="0"/>
          <w:bCs w:val="0"/>
          <w:color w:val="auto"/>
          <w:szCs w:val="22"/>
          <w:highlight w:val="none"/>
          <w:lang w:val="en-US" w:eastAsia="zh-CN"/>
        </w:rPr>
        <w:outlineLvl w:val="1"/>
      </w:pPr>
      <w:r>
        <w:rPr>
          <w:rFonts w:hint="eastAsia" w:ascii="仿宋_GB2312" w:hAnsi="仿宋_GB2312" w:eastAsia="仿宋_GB2312" w:cs="仿宋_GB2312"/>
          <w:b w:val="0"/>
          <w:bCs w:val="0"/>
          <w:color w:val="auto"/>
          <w:sz w:val="21"/>
          <w:szCs w:val="21"/>
          <w:highlight w:val="none"/>
          <w:vertAlign w:val="baseline"/>
          <w:lang w:val="en-US" w:eastAsia="zh-CN" w:bidi="ar-SA"/>
        </w:rPr>
        <w:t xml:space="preserve">★</w:t>
      </w:r>
      <w:r>
        <w:rPr>
          <w:rFonts w:hint="eastAsia"/>
          <w:b w:val="0"/>
          <w:bCs w:val="0"/>
          <w:color w:val="auto"/>
          <w:szCs w:val="22"/>
          <w:highlight w:val="none"/>
          <w:lang w:val="en-US" w:eastAsia="zh-CN"/>
        </w:rPr>
        <w:t xml:space="preserve">2、快检试剂到货后，采购方会在30日内安排东台市综合检验检测中心组织随机抽取胶体金卡质量验收，如结果不符合要求，供货方需按原发货数量等量调换。质量验收费用由供货方承担（原则上检测项目为禁用物，检测0,1*mrl，检测项目为限用物，检测0,0.5,1*mrl）。在质保期内发现因试剂质量问题导致检测结果有误，供货方应负责免费调换剩余试剂。</w:t>
      </w:r>
      <w:r/>
    </w:p>
    <w:p>
      <w:pPr>
        <w:pStyle w:val="668"/>
        <w:ind w:right="-92" w:firstLine="420"/>
        <w:rPr>
          <w:rFonts w:hint="eastAsia"/>
          <w:b w:val="0"/>
          <w:bCs w:val="0"/>
          <w:color w:val="auto"/>
          <w:szCs w:val="22"/>
          <w:highlight w:val="none"/>
          <w:lang w:val="en-US" w:eastAsia="zh-CN"/>
        </w:rPr>
        <w:outlineLvl w:val="1"/>
      </w:pPr>
      <w:r>
        <w:rPr>
          <w:rFonts w:hint="eastAsia" w:ascii="仿宋_GB2312" w:hAnsi="仿宋_GB2312" w:eastAsia="仿宋_GB2312" w:cs="仿宋_GB2312"/>
          <w:b w:val="0"/>
          <w:bCs w:val="0"/>
          <w:color w:val="auto"/>
          <w:sz w:val="21"/>
          <w:szCs w:val="21"/>
          <w:highlight w:val="none"/>
          <w:vertAlign w:val="baseline"/>
          <w:lang w:val="en-US" w:eastAsia="zh-CN" w:bidi="ar-SA"/>
        </w:rPr>
        <w:t xml:space="preserve">★</w:t>
      </w:r>
      <w:r>
        <w:rPr>
          <w:rFonts w:hint="eastAsia"/>
          <w:b w:val="0"/>
          <w:bCs w:val="0"/>
          <w:color w:val="auto"/>
          <w:szCs w:val="22"/>
          <w:highlight w:val="none"/>
          <w:lang w:val="en-US" w:eastAsia="zh-CN"/>
        </w:rPr>
        <w:t xml:space="preserve">3、农药残留类快检试剂适用包括不限于芹菜、豇豆、辣椒等蔬菜:兽药残留类快检适用包括不限于鳊鱼、鲫鱼、乌鳢、黄鳝、牛蛙、泥鳅等水产品、鹌鹑蛋。如有注意事项请在投标文件注明，并在发货前再次提醒采购方确认。</w:t>
      </w:r>
      <w:r/>
    </w:p>
    <w:p>
      <w:pPr>
        <w:ind w:right="-92"/>
        <w:rPr>
          <w:rFonts w:hint="eastAsia" w:ascii="宋体" w:hAnsi="Calibri" w:cs="宋体"/>
          <w:b w:val="0"/>
          <w:bCs w:val="0"/>
          <w:color w:val="auto"/>
          <w:sz w:val="24"/>
          <w:szCs w:val="22"/>
          <w:highlight w:val="none"/>
          <w:lang w:val="en-US" w:eastAsia="zh-CN"/>
        </w:rPr>
        <w:outlineLvl w:val="1"/>
      </w:pPr>
      <w:r>
        <w:rPr>
          <w:rFonts w:hint="eastAsia" w:ascii="宋体" w:hAnsi="Calibri" w:cs="宋体" w:eastAsiaTheme="minorEastAsia"/>
          <w:b w:val="0"/>
          <w:bCs w:val="0"/>
          <w:color w:val="auto"/>
          <w:sz w:val="24"/>
          <w:szCs w:val="22"/>
          <w:highlight w:val="none"/>
          <w:vertAlign w:val="baseline"/>
          <w:lang w:val="en-US" w:eastAsia="zh-CN" w:bidi="ar-SA"/>
        </w:rPr>
        <w:t xml:space="preserve">★</w:t>
      </w:r>
      <w:r>
        <w:rPr>
          <w:rFonts w:hint="eastAsia" w:ascii="宋体" w:hAnsi="Calibri" w:cs="宋体"/>
          <w:b w:val="0"/>
          <w:bCs w:val="0"/>
          <w:color w:val="auto"/>
          <w:sz w:val="24"/>
          <w:szCs w:val="22"/>
          <w:highlight w:val="none"/>
          <w:lang w:val="en-US" w:eastAsia="zh-CN"/>
        </w:rPr>
        <w:t xml:space="preserve">4、胶体金快检试剂盒配套齐全的前处理试剂，无需额外再购买试剂。每次发出的试剂为生产的最新批次的产品（供货日期距离生产日期不得超出2个月），如使用过程中采购方遇到试剂临期（有效期至少还有3个月），供货方需协助采购方免费替换等价试剂。</w:t>
      </w:r>
      <w:r/>
    </w:p>
    <w:p>
      <w:pPr>
        <w:pStyle w:val="668"/>
        <w:ind w:right="-92" w:firstLine="420"/>
        <w:rPr>
          <w:rFonts w:hint="eastAsia"/>
          <w:b w:val="0"/>
          <w:bCs w:val="0"/>
          <w:color w:val="auto"/>
          <w:szCs w:val="22"/>
          <w:highlight w:val="none"/>
          <w:lang w:val="en-US" w:eastAsia="zh-CN"/>
        </w:rPr>
        <w:outlineLvl w:val="1"/>
      </w:pPr>
      <w:r>
        <w:rPr>
          <w:rFonts w:hint="eastAsia" w:ascii="仿宋_GB2312" w:hAnsi="仿宋_GB2312" w:eastAsia="仿宋_GB2312" w:cs="仿宋_GB2312"/>
          <w:b w:val="0"/>
          <w:bCs w:val="0"/>
          <w:color w:val="auto"/>
          <w:sz w:val="21"/>
          <w:szCs w:val="21"/>
          <w:highlight w:val="none"/>
          <w:vertAlign w:val="baseline"/>
          <w:lang w:val="en-US" w:eastAsia="zh-CN" w:bidi="ar-SA"/>
        </w:rPr>
        <w:t xml:space="preserve">★</w:t>
      </w:r>
      <w:r>
        <w:rPr>
          <w:rFonts w:hint="eastAsia"/>
          <w:b w:val="0"/>
          <w:bCs w:val="0"/>
          <w:color w:val="auto"/>
          <w:szCs w:val="22"/>
          <w:highlight w:val="none"/>
          <w:lang w:val="en-US" w:eastAsia="zh-CN"/>
        </w:rPr>
        <w:t xml:space="preserve">5、为保障检测结果的准确性及后续服务的稳定性，本项目中采购的所有胶体金快检试剂盒需为同一厂家。</w:t>
      </w:r>
      <w:r/>
    </w:p>
    <w:p>
      <w:pPr>
        <w:pStyle w:val="668"/>
        <w:ind w:right="-92" w:firstLine="422"/>
        <w:rPr>
          <w:rFonts w:hint="default"/>
          <w:b/>
          <w:bCs/>
          <w:color w:val="auto"/>
          <w:szCs w:val="22"/>
          <w:highlight w:val="none"/>
          <w:lang w:val="en-US" w:eastAsia="zh-CN"/>
        </w:rPr>
        <w:outlineLvl w:val="1"/>
      </w:pPr>
      <w:r>
        <w:rPr>
          <w:rFonts w:hint="eastAsia" w:ascii="仿宋_GB2312" w:hAnsi="仿宋_GB2312" w:eastAsia="仿宋_GB2312" w:cs="仿宋_GB2312"/>
          <w:b/>
          <w:bCs/>
          <w:color w:val="auto"/>
          <w:sz w:val="21"/>
          <w:szCs w:val="21"/>
          <w:highlight w:val="none"/>
          <w:vertAlign w:val="baseline"/>
          <w:lang w:val="en-US" w:eastAsia="zh-CN" w:bidi="ar-SA"/>
        </w:rPr>
        <w:t xml:space="preserve">★</w:t>
      </w:r>
      <w:r>
        <w:rPr>
          <w:rFonts w:hint="eastAsia"/>
          <w:b/>
          <w:bCs/>
          <w:color w:val="auto"/>
          <w:szCs w:val="22"/>
          <w:highlight w:val="none"/>
          <w:lang w:val="en-US" w:eastAsia="zh-CN"/>
        </w:rPr>
        <w:t xml:space="preserve">6、所有分包的核心产品为恩诺沙星和环丙沙星胶体金试剂卡。</w:t>
      </w:r>
      <w:r/>
    </w:p>
    <w:p>
      <w:pPr>
        <w:pStyle w:val="668"/>
        <w:ind w:right="-92" w:firstLine="480"/>
        <w:rPr>
          <w:rFonts w:hint="eastAsia"/>
          <w:b w:val="0"/>
          <w:bCs w:val="0"/>
          <w:color w:val="auto"/>
          <w:szCs w:val="22"/>
          <w:highlight w:val="none"/>
          <w:lang w:val="en-US" w:eastAsia="zh-CN"/>
        </w:rPr>
        <w:outlineLvl w:val="1"/>
      </w:pPr>
      <w:r>
        <w:rPr>
          <w:rFonts w:hint="eastAsia"/>
          <w:b w:val="0"/>
          <w:bCs w:val="0"/>
          <w:color w:val="auto"/>
          <w:szCs w:val="22"/>
          <w:highlight w:val="none"/>
          <w:lang w:val="en-US" w:eastAsia="zh-CN"/>
        </w:rPr>
        <w:t xml:space="preserve">标注“</w:t>
      </w:r>
      <w:r>
        <w:rPr>
          <w:rFonts w:hint="eastAsia" w:ascii="仿宋_GB2312" w:hAnsi="仿宋_GB2312" w:eastAsia="仿宋_GB2312" w:cs="仿宋_GB2312"/>
          <w:b w:val="0"/>
          <w:bCs w:val="0"/>
          <w:color w:val="auto"/>
          <w:sz w:val="21"/>
          <w:szCs w:val="21"/>
          <w:highlight w:val="none"/>
          <w:vertAlign w:val="baseline"/>
          <w:lang w:val="en-US" w:eastAsia="zh-CN" w:bidi="ar-SA"/>
        </w:rPr>
        <w:t xml:space="preserve">★</w:t>
      </w:r>
      <w:r>
        <w:rPr>
          <w:rFonts w:hint="eastAsia"/>
          <w:b w:val="0"/>
          <w:bCs w:val="0"/>
          <w:color w:val="auto"/>
          <w:szCs w:val="22"/>
          <w:highlight w:val="none"/>
          <w:lang w:val="en-US" w:eastAsia="zh-CN"/>
        </w:rPr>
        <w:t xml:space="preserve">”的条款为本项目实质性要求，必须满足要求，如有负偏离将作为无效投标处理。</w:t>
      </w:r>
      <w:r/>
    </w:p>
    <w:p>
      <w:pPr>
        <w:pStyle w:val="662"/>
        <w:jc w:val="both"/>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二、技术参数要求</w:t>
      </w:r>
      <w:r/>
    </w:p>
    <w:p>
      <w:pPr>
        <w:pStyle w:val="662"/>
        <w:jc w:val="both"/>
        <w:spacing w:beforeAutospacing="0" w:afterAutospacing="0" w:line="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w:t>
      </w:r>
      <w:r/>
    </w:p>
    <w:p>
      <w:pPr>
        <w:pStyle w:val="662"/>
        <w:ind w:firstLine="480"/>
        <w:jc w:val="both"/>
        <w:spacing w:beforeAutospacing="0" w:afterAutospacing="0"/>
        <w:rPr>
          <w:rFonts w:ascii="宋体" w:hAnsi="宋体" w:eastAsia="宋体" w:cs="宋体"/>
          <w:color w:val="auto"/>
          <w:highlight w:val="none"/>
        </w:rPr>
      </w:pPr>
      <w:r>
        <w:rPr>
          <w:rFonts w:hint="eastAsia" w:ascii="宋体" w:hAnsi="宋体" w:eastAsia="宋体" w:cs="宋体"/>
          <w:i/>
          <w:color w:val="auto"/>
          <w:highlight w:val="none"/>
          <w:u w:val="single"/>
        </w:rPr>
        <w:t xml:space="preserve">本项目不接受进口产品投标（接受/不接受）</w:t>
      </w:r>
      <w:r/>
    </w:p>
    <w:p>
      <w:pPr>
        <w:pStyle w:val="662"/>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采购标的对应的中小企业划分标准所属行业一览表</w:t>
      </w:r>
      <w:r/>
    </w:p>
    <w:tbl>
      <w:tblPr>
        <w:tblStyle w:val="639"/>
        <w:tblW w:w="8220"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4100"/>
        <w:gridCol w:w="3173"/>
      </w:tblGrid>
      <w:tr>
        <w:trPr>
          <w:jc w:val="center"/>
          <w:tblCellSpacing w:w="0" w:type="dxa"/>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bookmarkStart w:id="178" w:name="_Toc120614281"/>
            <w:r>
              <w:rPr>
                <w:rFonts w:hint="eastAsia" w:ascii="宋体" w:hAnsi="宋体" w:eastAsia="宋体" w:cs="宋体"/>
                <w:color w:val="auto"/>
                <w:sz w:val="20"/>
                <w:szCs w:val="20"/>
                <w:highlight w:val="none"/>
                <w:lang w:val="en-US" w:eastAsia="zh-CN" w:bidi="ar-SA"/>
              </w:rPr>
              <w:t xml:space="preserve">序号</w:t>
            </w:r>
            <w:r/>
          </w:p>
        </w:tc>
        <w:tc>
          <w:tcPr>
            <w:tcW w:w="4100"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采购标的</w:t>
            </w:r>
            <w:r/>
          </w:p>
        </w:tc>
        <w:tc>
          <w:tcPr>
            <w:tcW w:w="3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对应中小企业划分标准所属行业</w:t>
            </w:r>
            <w:r/>
          </w:p>
        </w:tc>
      </w:tr>
      <w:tr>
        <w:trPr>
          <w:jc w:val="center"/>
          <w:tblCellSpacing w:w="0" w:type="dxa"/>
          <w:trHeight w:val="291"/>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毒死蜱胶体金试剂卡</w:t>
            </w:r>
            <w:r/>
          </w:p>
        </w:tc>
        <w:tc>
          <w:tcPr>
            <w:tcW w:w="3173"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氟虫腈胶体金试剂卡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噻虫胺胶体金试剂卡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4</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啶虫脒胶体金试剂卡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5</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三唑磷胶体金试剂卡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6</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甲拌磷胶体金试剂卡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7</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氧乐果胶体金试剂卡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8</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水胺硫磷胶体金试剂卡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9</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甲基异柳磷胶体金试剂卡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10</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杀螟硫磷胶体金试剂卡</w:t>
            </w:r>
            <w:r/>
          </w:p>
        </w:tc>
        <w:tc>
          <w:tcPr>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11</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克百威胶体金试剂卡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12</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灭多威胶体金试剂卡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13</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灭蝇胺胶体金试剂卡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14</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噻虫嗪胶体金试剂卡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15</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倍硫磷胶体金试剂卡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16</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甲氨基阿维菌素苯甲酸盐胶体金试剂卡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17</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氯氟氰菊酯和高效氯氟氰菊酯胶体金试剂卡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18</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阿维菌素胶体金试剂卡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19</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氯虫苯甲酰胺胶体金试剂卡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20</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百菌清胶体金试剂卡</w:t>
            </w:r>
            <w:r/>
          </w:p>
        </w:tc>
        <w:tc>
          <w:tcPr>
            <w:tcW w:w="3173" w:type="dxa"/>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21</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甲萘威胶体金试剂卡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22</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苯醚甲环唑胶体金试剂卡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23</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恩诺沙星和环丙沙星胶体金试剂卡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24</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磺胺类胶体金试剂卡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25</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氟苯尼考和氟苯尼考胺胶体金试剂卡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26</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甲硝唑胶体金试剂卡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27</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孔雀石绿胶体金试剂卡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28</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呋喃唑酮代谢物胶体金试剂卡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29</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氧氟沙星胶体金试剂卡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30</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氯霉素胶体金试剂卡</w:t>
            </w:r>
            <w:r/>
          </w:p>
        </w:tc>
        <w:tc>
          <w:tcPr>
            <w:shd w:val="clear" w:color="auto" w:fill="auto"/>
            <w:tcW w:w="3173"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31</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诺氟沙星和培氟沙星胶体金试剂卡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32</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洛美沙星胶体金试剂卡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33</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呋喃西林代谢物胶体金试剂卡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34</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呋喃它酮代谢物胶体金试剂卡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35</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呋喃妥因代谢物胶体金试剂卡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36</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四环素胶体金试剂卡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37</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克伦特罗胶体金试剂卡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38</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莱克多巴胺胶体金试剂卡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39</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沙丁胺醇胶体金试剂卡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r>
        <w:trPr>
          <w:jc w:val="center"/>
          <w:tblCellSpacing w:w="0" w:type="dxa"/>
          <w:trHeight w:val="235"/>
        </w:trPr>
        <w:tc>
          <w:tcPr>
            <w:tcW w:w="947" w:type="dxa"/>
            <w:textDirection w:val="lrTb"/>
            <w:noWrap w:val="false"/>
          </w:tcPr>
          <w:p>
            <w:pPr>
              <w:jc w:val="center"/>
              <w:spacing w:beforeAutospacing="0" w:afterAutospacing="0" w:line="0" w:lineRule="atLeast"/>
              <w:widowControl w:val="off"/>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40</w:t>
            </w:r>
            <w:r/>
          </w:p>
        </w:tc>
        <w:tc>
          <w:tcPr>
            <w:shd w:val="clear" w:color="auto" w:fill="auto"/>
            <w:tcW w:w="4100"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金刚烷胺胶体金试剂卡</w:t>
            </w:r>
            <w:r/>
          </w:p>
        </w:tc>
        <w:tc>
          <w:tcPr>
            <w:shd w:val="clear" w:color="auto" w:fill="auto"/>
            <w:tcW w:w="3173" w:type="dxa"/>
            <w:vAlign w:val="top"/>
            <w:textDirection w:val="lrTb"/>
            <w:noWrap w:val="false"/>
          </w:tcPr>
          <w:p>
            <w:pPr>
              <w:jc w:val="center"/>
              <w:spacing w:beforeAutospacing="0" w:afterAutospacing="0" w:line="0" w:lineRule="atLeas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工业</w:t>
            </w:r>
            <w:r/>
          </w:p>
        </w:tc>
      </w:tr>
    </w:tbl>
    <w:p>
      <w:pPr>
        <w:jc w:val="both"/>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jc w:val="center"/>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pStyle w:val="668"/>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62"/>
        <w:jc w:val="both"/>
        <w:spacing w:beforeAutospacing="0" w:afterAutospacing="0"/>
        <w:rPr>
          <w:color w:val="auto"/>
          <w:highlight w:val="none"/>
        </w:rPr>
      </w:pPr>
      <w:r>
        <w:rPr>
          <w:color w:val="auto"/>
          <w:highlight w:val="none"/>
        </w:rPr>
        <w:t xml:space="preserve"> </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  </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62"/>
        <w:ind w:firstLine="441"/>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二、政府采购政策功能落实</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20"/>
        <w:ind w:firstLine="360"/>
        <w:rPr>
          <w:rFonts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62"/>
        <w:ind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662"/>
        <w:ind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662"/>
        <w:ind w:left="120" w:firstLine="36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662"/>
        <w:ind w:left="120"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62"/>
        <w:ind w:left="120" w:firstLine="36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662"/>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62"/>
        <w:ind w:firstLine="480"/>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62"/>
        <w:ind w:firstLine="480"/>
        <w:spacing w:before="120" w:beforeAutospacing="0" w:after="120" w:afterAutospacing="0" w:line="0" w:lineRule="atLeast"/>
        <w:rPr>
          <w:rFonts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62"/>
        <w:ind w:firstLine="482"/>
        <w:spacing w:before="120" w:beforeAutospacing="0" w:after="12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三、评标方法与评标标准</w:t>
      </w:r>
      <w:r/>
    </w:p>
    <w:tbl>
      <w:tblPr>
        <w:tblStyle w:val="63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28"/>
        <w:gridCol w:w="6516"/>
        <w:gridCol w:w="696"/>
      </w:tblGrid>
      <w:tr>
        <w:trPr>
          <w:jc w:val="center"/>
          <w:trHeight w:val="450"/>
          <w:tblHeader/>
        </w:trPr>
        <w:tc>
          <w:tcPr>
            <w:tcW w:w="696" w:type="dxa"/>
            <w:vAlign w:val="center"/>
            <w:textDirection w:val="lrTb"/>
            <w:noWrap w:val="false"/>
          </w:tcPr>
          <w:p>
            <w:pPr>
              <w:ind w:right="-12"/>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128" w:type="dxa"/>
            <w:vAlign w:val="center"/>
            <w:textDirection w:val="lrTb"/>
            <w:noWrap w:val="false"/>
          </w:tcPr>
          <w:p>
            <w:pPr>
              <w:ind w:right="-12"/>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评分因素</w:t>
            </w:r>
            <w:r/>
          </w:p>
        </w:tc>
        <w:tc>
          <w:tcPr>
            <w:tcW w:w="6516" w:type="dxa"/>
            <w:vAlign w:val="center"/>
            <w:textDirection w:val="lrTb"/>
            <w:noWrap w:val="false"/>
          </w:tcPr>
          <w:p>
            <w:pPr>
              <w:ind w:right="-12"/>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评审细则</w:t>
            </w:r>
            <w:r/>
          </w:p>
        </w:tc>
        <w:tc>
          <w:tcPr>
            <w:tcW w:w="696" w:type="dxa"/>
            <w:vAlign w:val="center"/>
            <w:textDirection w:val="lrTb"/>
            <w:noWrap w:val="false"/>
          </w:tcPr>
          <w:p>
            <w:pPr>
              <w:ind w:right="-12"/>
              <w:jc w:val="cente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421"/>
        </w:trPr>
        <w:tc>
          <w:tcPr>
            <w:tcW w:w="696" w:type="dxa"/>
            <w:vAlign w:val="center"/>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28" w:type="dxa"/>
            <w:vAlign w:val="center"/>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6516" w:type="dxa"/>
            <w:vAlign w:val="center"/>
            <w:textDirection w:val="lrTb"/>
            <w:noWrap w:val="false"/>
          </w:tcPr>
          <w:p>
            <w:pPr>
              <w:ind w:right="-12" w:firstLine="420"/>
              <w:spacing w:line="400" w:lineRule="exact"/>
              <w:rPr>
                <w:rFonts w:hint="eastAsia" w:ascii="宋体" w:hAnsi="宋体" w:cs="宋体"/>
                <w:color w:val="auto"/>
                <w:highlight w:val="none"/>
              </w:rPr>
            </w:pPr>
            <w:r>
              <w:rPr>
                <w:rFonts w:hint="eastAsia" w:ascii="宋体" w:hAnsi="宋体" w:eastAsia="宋体" w:cs="宋体"/>
                <w:b w:val="0"/>
                <w:bCs w:val="0"/>
                <w:color w:val="auto"/>
                <w:sz w:val="21"/>
                <w:szCs w:val="21"/>
                <w:highlight w:val="none"/>
                <w:vertAlign w:val="baseline"/>
                <w:lang w:bidi="ar-SA"/>
              </w:rPr>
              <w:t xml:space="preserve">满足招标文件要求且投标价格最低的投标报价为基准价，其价格分为满分。报价得分=(评标基准价/投标报价)×</w:t>
            </w:r>
            <w:r>
              <w:rPr>
                <w:rFonts w:hint="eastAsia" w:ascii="宋体" w:hAnsi="宋体" w:eastAsia="宋体" w:cs="宋体"/>
                <w:b w:val="0"/>
                <w:bCs w:val="0"/>
                <w:color w:val="auto"/>
                <w:sz w:val="21"/>
                <w:szCs w:val="21"/>
                <w:highlight w:val="none"/>
                <w:vertAlign w:val="baseline"/>
                <w:lang w:val="en-US" w:eastAsia="zh-CN" w:bidi="ar-SA"/>
              </w:rPr>
              <w:t xml:space="preserve">3</w:t>
            </w:r>
            <w:r>
              <w:rPr>
                <w:rFonts w:hint="eastAsia" w:ascii="宋体" w:hAnsi="宋体" w:eastAsia="宋体" w:cs="宋体"/>
                <w:b w:val="0"/>
                <w:bCs w:val="0"/>
                <w:color w:val="auto"/>
                <w:sz w:val="21"/>
                <w:szCs w:val="21"/>
                <w:highlight w:val="none"/>
                <w:vertAlign w:val="baseline"/>
                <w:lang w:bidi="ar-SA"/>
              </w:rPr>
              <w:t xml:space="preserve">0</w:t>
            </w:r>
            <w:r>
              <w:rPr>
                <w:rFonts w:hint="eastAsia" w:ascii="宋体" w:hAnsi="宋体" w:eastAsia="宋体" w:cs="宋体"/>
                <w:b w:val="0"/>
                <w:bCs w:val="0"/>
                <w:color w:val="auto"/>
                <w:sz w:val="21"/>
                <w:szCs w:val="21"/>
                <w:highlight w:val="none"/>
                <w:vertAlign w:val="baseline"/>
                <w:lang w:val="en-US" w:eastAsia="zh-CN" w:bidi="ar-SA"/>
              </w:rPr>
              <w:t xml:space="preserve">。</w:t>
            </w:r>
            <w:r/>
          </w:p>
        </w:tc>
        <w:tc>
          <w:tcPr>
            <w:tcW w:w="696" w:type="dxa"/>
            <w:vAlign w:val="center"/>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p>
        </w:tc>
      </w:tr>
      <w:tr>
        <w:trPr>
          <w:jc w:val="center"/>
          <w:trHeight w:val="421"/>
        </w:trPr>
        <w:tc>
          <w:tcPr>
            <w:tcW w:w="696" w:type="dxa"/>
            <w:vAlign w:val="center"/>
            <w:vMerge w:val="restart"/>
            <w:textDirection w:val="lrTb"/>
            <w:noWrap w:val="false"/>
          </w:tcPr>
          <w:p>
            <w:pPr>
              <w:ind w:right="-12"/>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128" w:type="dxa"/>
            <w:vAlign w:val="center"/>
            <w:vMerge w:val="restart"/>
            <w:textDirection w:val="lrTb"/>
            <w:noWrap w:val="false"/>
          </w:tcPr>
          <w:p>
            <w:pPr>
              <w:ind w:right="-12"/>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w:t>
            </w:r>
            <w:r/>
          </w:p>
        </w:tc>
        <w:tc>
          <w:tcPr>
            <w:tcW w:w="6516" w:type="dxa"/>
            <w:vAlign w:val="center"/>
            <w:textDirection w:val="lrTb"/>
            <w:noWrap w:val="false"/>
          </w:tcPr>
          <w:p>
            <w:pPr>
              <w:ind w:right="-12" w:firstLine="422"/>
              <w:spacing w:line="240" w:lineRule="auto"/>
              <w:rPr>
                <w:rFonts w:hint="eastAsia" w:ascii="宋体" w:hAnsi="宋体" w:cs="宋体"/>
                <w:color w:val="auto"/>
                <w:highlight w:val="none"/>
              </w:rPr>
            </w:pPr>
            <w:r>
              <w:rPr>
                <w:rFonts w:hint="eastAsia" w:ascii="宋体" w:hAnsi="宋体" w:eastAsia="宋体" w:cs="宋体"/>
                <w:b/>
                <w:bCs/>
                <w:color w:val="auto"/>
                <w:highlight w:val="none"/>
                <w:lang w:val="en-US" w:eastAsia="zh-CN"/>
              </w:rPr>
              <w:t xml:space="preserve">2.1项目实施方案：</w:t>
            </w:r>
            <w:r>
              <w:rPr>
                <w:rFonts w:hint="eastAsia" w:ascii="宋体" w:hAnsi="宋体" w:eastAsia="宋体" w:cs="宋体"/>
                <w:color w:val="auto"/>
                <w:highlight w:val="none"/>
                <w:lang w:val="en-US" w:eastAsia="zh-CN"/>
              </w:rPr>
              <w:t xml:space="preserve">根据投标人</w:t>
            </w:r>
            <w:r>
              <w:rPr>
                <w:rFonts w:hint="eastAsia" w:ascii="宋体" w:hAnsi="宋体" w:cs="宋体"/>
                <w:color w:val="auto"/>
                <w:highlight w:val="none"/>
              </w:rPr>
              <w:t xml:space="preserve">提供的项目实施方案，包括</w:t>
            </w:r>
            <w:r>
              <w:rPr>
                <w:rFonts w:hint="eastAsia" w:ascii="宋体" w:hAnsi="宋体" w:cs="宋体"/>
                <w:color w:val="auto"/>
                <w:highlight w:val="none"/>
                <w:lang w:val="en-US" w:eastAsia="zh-CN"/>
              </w:rPr>
              <w:t xml:space="preserve">快检试剂质量的把控、配送过程的控制、</w:t>
            </w:r>
            <w:r>
              <w:rPr>
                <w:rFonts w:hint="eastAsia" w:ascii="宋体" w:hAnsi="宋体" w:cs="宋体"/>
                <w:color w:val="auto"/>
                <w:highlight w:val="none"/>
              </w:rPr>
              <w:t xml:space="preserve">伴随服务(包括售后服务)</w:t>
            </w:r>
            <w:r>
              <w:rPr>
                <w:rFonts w:hint="eastAsia" w:ascii="宋体" w:hAnsi="宋体" w:cs="宋体"/>
                <w:color w:val="auto"/>
                <w:highlight w:val="none"/>
                <w:lang w:val="en-US" w:eastAsia="zh-CN"/>
              </w:rPr>
              <w:t xml:space="preserve">的提供</w:t>
            </w:r>
            <w:r>
              <w:rPr>
                <w:rFonts w:hint="eastAsia" w:ascii="宋体" w:hAnsi="宋体" w:cs="宋体"/>
                <w:color w:val="auto"/>
                <w:highlight w:val="none"/>
              </w:rPr>
              <w:t xml:space="preserve">等。</w:t>
            </w:r>
            <w:r/>
          </w:p>
          <w:p>
            <w:pPr>
              <w:ind w:right="-12" w:firstLine="420"/>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zh-CN" w:eastAsia="zh-CN"/>
              </w:rPr>
              <w:t xml:space="preserve">①方案完整详尽，可行性强，考虑周全，</w:t>
            </w:r>
            <w:r>
              <w:rPr>
                <w:rFonts w:hint="eastAsia" w:ascii="宋体" w:hAnsi="宋体" w:cs="宋体"/>
                <w:color w:val="auto"/>
                <w:highlight w:val="none"/>
                <w:lang w:val="en-US" w:eastAsia="zh-CN"/>
              </w:rPr>
              <w:t xml:space="preserve">方案</w:t>
            </w:r>
            <w:r>
              <w:rPr>
                <w:rFonts w:hint="eastAsia" w:ascii="宋体" w:hAnsi="宋体" w:cs="宋体"/>
                <w:color w:val="auto"/>
                <w:highlight w:val="none"/>
                <w:lang w:val="zh-CN" w:eastAsia="zh-CN"/>
              </w:rPr>
              <w:t xml:space="preserve">思路特别清晰，符合项目需求该项得</w:t>
            </w:r>
            <w:r>
              <w:rPr>
                <w:rFonts w:hint="eastAsia" w:ascii="宋体" w:hAnsi="宋体" w:cs="宋体"/>
                <w:color w:val="auto"/>
                <w:highlight w:val="none"/>
                <w:lang w:val="en-US" w:eastAsia="zh-CN"/>
              </w:rPr>
              <w:t xml:space="preserve">15</w:t>
            </w:r>
            <w:r>
              <w:rPr>
                <w:rFonts w:hint="eastAsia" w:ascii="宋体" w:hAnsi="宋体" w:cs="宋体"/>
                <w:color w:val="auto"/>
                <w:highlight w:val="none"/>
                <w:lang w:val="zh-CN" w:eastAsia="zh-CN"/>
              </w:rPr>
              <w:t xml:space="preserve">分；</w:t>
            </w:r>
            <w:r/>
          </w:p>
          <w:p>
            <w:pPr>
              <w:ind w:right="-12" w:firstLine="420"/>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②</w:t>
            </w:r>
            <w:r>
              <w:rPr>
                <w:rFonts w:hint="eastAsia" w:ascii="宋体" w:hAnsi="宋体" w:cs="宋体"/>
                <w:color w:val="auto"/>
                <w:highlight w:val="none"/>
                <w:lang w:val="zh-CN" w:eastAsia="zh-CN"/>
              </w:rPr>
              <w:t xml:space="preserve">对项目有一定的认识，方案较为完整，</w:t>
            </w:r>
            <w:r>
              <w:rPr>
                <w:rFonts w:hint="eastAsia" w:ascii="宋体" w:hAnsi="宋体" w:cs="宋体"/>
                <w:color w:val="auto"/>
                <w:highlight w:val="none"/>
                <w:lang w:val="en-US" w:eastAsia="zh-CN"/>
              </w:rPr>
              <w:t xml:space="preserve">方案</w:t>
            </w:r>
            <w:r>
              <w:rPr>
                <w:rFonts w:hint="eastAsia" w:ascii="宋体" w:hAnsi="宋体" w:cs="宋体"/>
                <w:color w:val="auto"/>
                <w:highlight w:val="none"/>
                <w:lang w:val="zh-CN" w:eastAsia="zh-CN"/>
              </w:rPr>
              <w:t xml:space="preserve">思路基本清晰，基本符合项目需求该项得</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zh-CN" w:eastAsia="zh-CN"/>
              </w:rPr>
              <w:t xml:space="preserve">分；</w:t>
            </w:r>
            <w:r/>
          </w:p>
          <w:p>
            <w:pPr>
              <w:ind w:right="-12" w:firstLine="420"/>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③</w:t>
            </w:r>
            <w:r>
              <w:rPr>
                <w:rFonts w:hint="eastAsia" w:ascii="宋体" w:hAnsi="宋体" w:cs="宋体"/>
                <w:color w:val="auto"/>
                <w:highlight w:val="none"/>
                <w:lang w:val="zh-CN" w:eastAsia="zh-CN"/>
              </w:rPr>
              <w:t xml:space="preserve">方案</w:t>
            </w:r>
            <w:r>
              <w:rPr>
                <w:rFonts w:hint="eastAsia" w:ascii="宋体" w:hAnsi="宋体" w:cs="宋体"/>
                <w:color w:val="auto"/>
                <w:highlight w:val="none"/>
                <w:lang w:val="en-US" w:eastAsia="zh-CN"/>
              </w:rPr>
              <w:t xml:space="preserve">内容</w:t>
            </w:r>
            <w:r>
              <w:rPr>
                <w:rFonts w:hint="eastAsia" w:ascii="宋体" w:hAnsi="宋体" w:cs="宋体"/>
                <w:color w:val="auto"/>
                <w:highlight w:val="none"/>
                <w:lang w:val="zh-CN" w:eastAsia="zh-CN"/>
              </w:rPr>
              <w:t xml:space="preserve">欠</w:t>
            </w:r>
            <w:r>
              <w:rPr>
                <w:rFonts w:hint="eastAsia" w:ascii="宋体" w:hAnsi="宋体" w:cs="宋体"/>
                <w:color w:val="auto"/>
                <w:highlight w:val="none"/>
                <w:lang w:val="en-US" w:eastAsia="zh-CN"/>
              </w:rPr>
              <w:t xml:space="preserve">缺</w:t>
            </w:r>
            <w:r>
              <w:rPr>
                <w:rFonts w:hint="eastAsia" w:ascii="宋体" w:hAnsi="宋体" w:cs="宋体"/>
                <w:color w:val="auto"/>
                <w:highlight w:val="none"/>
                <w:lang w:val="zh-CN" w:eastAsia="zh-CN"/>
              </w:rPr>
              <w:t xml:space="preserve">，与项目需求响应度低，项目理解思路</w:t>
            </w:r>
            <w:r>
              <w:rPr>
                <w:rFonts w:hint="eastAsia" w:ascii="宋体" w:hAnsi="宋体" w:cs="宋体"/>
                <w:color w:val="auto"/>
                <w:highlight w:val="none"/>
                <w:lang w:val="en-US" w:eastAsia="zh-CN"/>
              </w:rPr>
              <w:t xml:space="preserve">不够清晰</w:t>
            </w:r>
            <w:r>
              <w:rPr>
                <w:rFonts w:hint="eastAsia" w:ascii="宋体" w:hAnsi="宋体" w:cs="宋体"/>
                <w:color w:val="auto"/>
                <w:highlight w:val="none"/>
                <w:lang w:val="zh-CN" w:eastAsia="zh-CN"/>
              </w:rPr>
              <w:t xml:space="preserve">该项得</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eastAsia="zh-CN"/>
              </w:rPr>
              <w:t xml:space="preserve">分。</w:t>
            </w:r>
            <w:r/>
          </w:p>
          <w:p>
            <w:pPr>
              <w:ind w:right="-12" w:firstLine="420"/>
              <w:spacing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④未提供方案或提供的方案不符合项目要求的得0分。</w:t>
            </w:r>
            <w:r/>
          </w:p>
        </w:tc>
        <w:tc>
          <w:tcPr>
            <w:tcW w:w="696" w:type="dxa"/>
            <w:vAlign w:val="center"/>
            <w:textDirection w:val="lrTb"/>
            <w:noWrap w:val="false"/>
          </w:tcPr>
          <w:p>
            <w:pPr>
              <w:ind w:right="-12"/>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Height w:val="421"/>
        </w:trPr>
        <w:tc>
          <w:tcPr>
            <w:tcW w:w="696"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128"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16"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eastAsia="宋体" w:cs="宋体"/>
                <w:b w:val="0"/>
                <w:bCs w:val="0"/>
                <w:color w:val="auto"/>
                <w:szCs w:val="20"/>
                <w:highlight w:val="none"/>
                <w:lang w:val="en-US" w:eastAsia="zh-CN"/>
              </w:rPr>
            </w:pPr>
            <w:r>
              <w:rPr>
                <w:rFonts w:hint="eastAsia" w:ascii="宋体" w:hAnsi="宋体" w:cs="宋体"/>
                <w:b/>
                <w:bCs/>
                <w:color w:val="auto"/>
                <w:highlight w:val="none"/>
                <w:lang w:val="en-US" w:eastAsia="zh-CN"/>
              </w:rPr>
              <w:t xml:space="preserve">2.2 </w:t>
            </w:r>
            <w:r>
              <w:rPr>
                <w:rFonts w:hint="eastAsia" w:ascii="宋体" w:hAnsi="宋体" w:eastAsia="宋体" w:cs="宋体"/>
                <w:b/>
                <w:bCs/>
                <w:color w:val="auto"/>
                <w:sz w:val="21"/>
                <w:szCs w:val="21"/>
                <w:highlight w:val="none"/>
                <w:vertAlign w:val="baseline"/>
                <w:lang w:bidi="ar-SA"/>
              </w:rPr>
              <w:t xml:space="preserve">售后服务保证措施方案</w:t>
            </w:r>
            <w:r>
              <w:rPr>
                <w:rFonts w:hint="eastAsia" w:ascii="宋体" w:hAnsi="宋体" w:cs="宋体"/>
                <w:b/>
                <w:bCs/>
                <w:color w:val="auto"/>
                <w:highlight w:val="none"/>
                <w:lang w:eastAsia="zh-CN"/>
              </w:rPr>
              <w:t xml:space="preserve">：</w:t>
            </w:r>
            <w:r>
              <w:rPr>
                <w:rFonts w:hint="eastAsia" w:ascii="宋体" w:hAnsi="宋体" w:eastAsia="宋体" w:cs="宋体"/>
                <w:b w:val="0"/>
                <w:bCs w:val="0"/>
                <w:color w:val="auto"/>
                <w:szCs w:val="20"/>
                <w:highlight w:val="none"/>
                <w:lang w:val="en-US" w:eastAsia="zh-CN"/>
              </w:rPr>
              <w:t xml:space="preserve">对投标人提供的售后服务方案进行综合评审：</w:t>
            </w:r>
            <w:r/>
          </w:p>
          <w:p>
            <w:pPr>
              <w:ind w:firstLine="420"/>
              <w:jc w:val="both"/>
              <w:keepLines w:val="0"/>
              <w:keepNext w:val="0"/>
              <w:pageBreakBefore w:val="0"/>
              <w:spacing w:line="240" w:lineRule="auto"/>
              <w:widowControl w:val="off"/>
              <w:rPr>
                <w:rFonts w:hint="eastAsia" w:ascii="宋体" w:hAnsi="宋体" w:eastAsia="宋体" w:cs="宋体"/>
                <w:b w:val="0"/>
                <w:bCs w:val="0"/>
                <w:color w:val="auto"/>
                <w:szCs w:val="20"/>
                <w:highlight w:val="none"/>
                <w:lang w:val="en-US" w:eastAsia="zh-CN"/>
              </w:rPr>
            </w:pPr>
            <w:r>
              <w:rPr>
                <w:rFonts w:hint="eastAsia" w:ascii="宋体" w:hAnsi="宋体" w:cs="宋体"/>
                <w:color w:val="auto"/>
                <w:highlight w:val="none"/>
                <w:lang w:val="zh-CN" w:eastAsia="zh-CN"/>
              </w:rPr>
              <w:t xml:space="preserve">①</w:t>
            </w:r>
            <w:r>
              <w:rPr>
                <w:rFonts w:hint="eastAsia" w:ascii="宋体" w:hAnsi="宋体" w:eastAsia="宋体" w:cs="宋体"/>
                <w:b w:val="0"/>
                <w:bCs w:val="0"/>
                <w:color w:val="auto"/>
                <w:szCs w:val="20"/>
                <w:highlight w:val="none"/>
                <w:lang w:val="en-US" w:eastAsia="zh-CN"/>
              </w:rPr>
              <w:t xml:space="preserve">售后服务方案全面、售后服务保障体系完善、售后服务响应及时，合同履行期计划安排现场快检培训5次及以上得12分。</w:t>
            </w:r>
            <w:r/>
          </w:p>
          <w:p>
            <w:pPr>
              <w:ind w:firstLine="420"/>
              <w:jc w:val="both"/>
              <w:keepLines w:val="0"/>
              <w:keepNext w:val="0"/>
              <w:pageBreakBefore w:val="0"/>
              <w:spacing w:line="240" w:lineRule="auto"/>
              <w:widowControl w:val="off"/>
              <w:rPr>
                <w:rFonts w:hint="eastAsia" w:ascii="宋体" w:hAnsi="宋体" w:eastAsia="宋体" w:cs="宋体"/>
                <w:b w:val="0"/>
                <w:bCs w:val="0"/>
                <w:color w:val="auto"/>
                <w:szCs w:val="20"/>
                <w:highlight w:val="none"/>
                <w:lang w:val="en-US" w:eastAsia="zh-CN"/>
              </w:rPr>
            </w:pPr>
            <w:r>
              <w:rPr>
                <w:rFonts w:hint="eastAsia" w:ascii="宋体" w:hAnsi="宋体" w:cs="宋体"/>
                <w:color w:val="auto"/>
                <w:highlight w:val="none"/>
                <w:lang w:val="en-US" w:eastAsia="zh-CN"/>
              </w:rPr>
              <w:t xml:space="preserve">②</w:t>
            </w:r>
            <w:r>
              <w:rPr>
                <w:rFonts w:hint="eastAsia" w:ascii="宋体" w:hAnsi="宋体" w:eastAsia="宋体" w:cs="宋体"/>
                <w:b w:val="0"/>
                <w:bCs w:val="0"/>
                <w:color w:val="auto"/>
                <w:szCs w:val="20"/>
                <w:highlight w:val="none"/>
                <w:lang w:val="en-US" w:eastAsia="zh-CN"/>
              </w:rPr>
              <w:t xml:space="preserve">售后服务方案较全面、售后服务保障体系较完善、售后服务响应较及时，合同履行期计划安排现场快检培训4次得8分。</w:t>
            </w:r>
            <w:r/>
          </w:p>
          <w:p>
            <w:pPr>
              <w:ind w:firstLine="420"/>
              <w:jc w:val="both"/>
              <w:keepLines w:val="0"/>
              <w:keepNext w:val="0"/>
              <w:pageBreakBefore w:val="0"/>
              <w:spacing w:line="240" w:lineRule="auto"/>
              <w:widowControl w:val="off"/>
              <w:rPr>
                <w:rFonts w:hint="eastAsia" w:ascii="宋体" w:hAnsi="宋体" w:eastAsia="宋体" w:cs="宋体"/>
                <w:b w:val="0"/>
                <w:bCs w:val="0"/>
                <w:color w:val="auto"/>
                <w:szCs w:val="20"/>
                <w:highlight w:val="none"/>
                <w:lang w:val="en-US" w:eastAsia="zh-CN"/>
              </w:rPr>
            </w:pPr>
            <w:r>
              <w:rPr>
                <w:rFonts w:hint="eastAsia" w:ascii="宋体" w:hAnsi="宋体" w:cs="宋体"/>
                <w:color w:val="auto"/>
                <w:highlight w:val="none"/>
                <w:lang w:val="en-US" w:eastAsia="zh-CN"/>
              </w:rPr>
              <w:t xml:space="preserve">③</w:t>
            </w:r>
            <w:r>
              <w:rPr>
                <w:rFonts w:hint="eastAsia" w:ascii="宋体" w:hAnsi="宋体" w:eastAsia="宋体" w:cs="宋体"/>
                <w:b w:val="0"/>
                <w:bCs w:val="0"/>
                <w:color w:val="auto"/>
                <w:szCs w:val="20"/>
                <w:highlight w:val="none"/>
                <w:lang w:val="en-US" w:eastAsia="zh-CN"/>
              </w:rPr>
              <w:t xml:space="preserve">售后服务方案一般、售后服务保障体系一般、售后服务响应一般，合同履行期计划安排现场快检培训3次得4分。</w:t>
            </w:r>
            <w:r/>
          </w:p>
          <w:p>
            <w:pPr>
              <w:ind w:firstLine="420"/>
              <w:jc w:val="both"/>
              <w:keepLines w:val="0"/>
              <w:keepNext w:val="0"/>
              <w:pageBreakBefore w:val="0"/>
              <w:spacing w:line="240" w:lineRule="auto"/>
              <w:widowControl w:val="off"/>
              <w:rPr>
                <w:rFonts w:hint="eastAsia" w:ascii="宋体" w:hAnsi="宋体" w:cs="宋体"/>
                <w:b/>
                <w:bCs/>
                <w:color w:val="auto"/>
                <w:highlight w:val="none"/>
                <w:lang w:val="en-US" w:eastAsia="zh-CN"/>
              </w:rPr>
            </w:pPr>
            <w:r>
              <w:rPr>
                <w:rFonts w:hint="eastAsia" w:ascii="宋体" w:hAnsi="宋体" w:cs="宋体"/>
                <w:color w:val="auto"/>
                <w:highlight w:val="none"/>
                <w:lang w:val="en-US" w:eastAsia="zh-CN"/>
              </w:rPr>
              <w:t xml:space="preserve">④</w:t>
            </w:r>
            <w:r>
              <w:rPr>
                <w:rFonts w:hint="eastAsia" w:ascii="宋体" w:hAnsi="宋体" w:eastAsia="宋体" w:cs="宋体"/>
                <w:b w:val="0"/>
                <w:bCs w:val="0"/>
                <w:color w:val="auto"/>
                <w:szCs w:val="20"/>
                <w:highlight w:val="none"/>
                <w:lang w:val="en-US" w:eastAsia="zh-CN"/>
              </w:rPr>
              <w:t xml:space="preserve">没有提供售后服务方案的，合同履行期间未计划安排现场快检培训不得分。</w:t>
            </w:r>
            <w:r/>
          </w:p>
        </w:tc>
        <w:tc>
          <w:tcPr>
            <w:tcW w:w="696" w:type="dxa"/>
            <w:vAlign w:val="center"/>
            <w:textDirection w:val="lrTb"/>
            <w:noWrap w:val="false"/>
          </w:tcPr>
          <w:p>
            <w:pPr>
              <w:ind w:right="-12"/>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421"/>
        </w:trPr>
        <w:tc>
          <w:tcPr>
            <w:tcW w:w="696"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8"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6516"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eastAsia="宋体" w:cs="宋体"/>
                <w:b w:val="0"/>
                <w:bCs w:val="0"/>
                <w:color w:val="auto"/>
                <w:szCs w:val="20"/>
                <w:highlight w:val="none"/>
                <w:lang w:val="en-US" w:eastAsia="zh-CN"/>
              </w:rPr>
            </w:pPr>
            <w:r>
              <w:rPr>
                <w:rFonts w:hint="eastAsia" w:ascii="宋体" w:hAnsi="宋体" w:cs="宋体"/>
                <w:b/>
                <w:bCs/>
                <w:color w:val="auto"/>
                <w:highlight w:val="none"/>
                <w:lang w:val="en-US" w:eastAsia="zh-CN"/>
              </w:rPr>
              <w:t xml:space="preserve">2.3</w:t>
            </w:r>
            <w:r>
              <w:rPr>
                <w:rFonts w:hint="eastAsia" w:ascii="宋体" w:hAnsi="宋体" w:eastAsia="宋体" w:cs="宋体"/>
                <w:b/>
                <w:bCs/>
                <w:color w:val="auto"/>
                <w:sz w:val="21"/>
                <w:szCs w:val="21"/>
                <w:highlight w:val="none"/>
                <w:vertAlign w:val="baseline"/>
                <w:lang w:bidi="ar-SA"/>
              </w:rPr>
              <w:t xml:space="preserve">售后服务团队</w:t>
            </w:r>
            <w:r>
              <w:rPr>
                <w:rFonts w:hint="eastAsia" w:ascii="宋体" w:hAnsi="宋体" w:cs="宋体"/>
                <w:b/>
                <w:bCs/>
                <w:color w:val="auto"/>
                <w:highlight w:val="none"/>
                <w:lang w:eastAsia="zh-CN"/>
              </w:rPr>
              <w:t xml:space="preserve">：</w:t>
            </w:r>
            <w:r>
              <w:rPr>
                <w:rFonts w:hint="eastAsia" w:ascii="宋体" w:hAnsi="宋体" w:eastAsia="宋体" w:cs="宋体"/>
                <w:b w:val="0"/>
                <w:bCs w:val="0"/>
                <w:color w:val="auto"/>
                <w:szCs w:val="20"/>
                <w:highlight w:val="none"/>
                <w:lang w:val="en-US" w:eastAsia="zh-CN"/>
              </w:rPr>
              <w:t xml:space="preserve">投标人为本项目配备专业的售后服务团队提供现场/线上培训或技术咨询。明确售后服务人员至少2名，在农贸市场快检工作时间提供服务，配合快检人员及时解决问题，确保每日快检数据八点半前上传盐城快检监管平台。售后服务人员必须具有3年及以上食品快速检测技术相关工作，且具有大专或以上学历。</w:t>
            </w:r>
            <w:r/>
          </w:p>
          <w:p>
            <w:pPr>
              <w:ind w:firstLine="420"/>
              <w:jc w:val="both"/>
              <w:keepLines w:val="0"/>
              <w:keepNext w:val="0"/>
              <w:pageBreakBefore w:val="0"/>
              <w:spacing w:line="240" w:lineRule="auto"/>
              <w:widowControl w:val="off"/>
              <w:rPr>
                <w:rFonts w:hint="eastAsia" w:ascii="宋体" w:hAnsi="宋体" w:cs="宋体"/>
                <w:color w:val="auto"/>
                <w:highlight w:val="none"/>
              </w:rPr>
            </w:pPr>
            <w:r>
              <w:rPr>
                <w:rFonts w:hint="eastAsia" w:ascii="宋体" w:hAnsi="宋体" w:eastAsia="宋体" w:cs="宋体"/>
                <w:b w:val="0"/>
                <w:bCs w:val="0"/>
                <w:color w:val="auto"/>
                <w:szCs w:val="20"/>
                <w:highlight w:val="none"/>
                <w:lang w:val="en-US" w:eastAsia="zh-CN"/>
              </w:rPr>
              <w:t xml:space="preserve">（投标文件中须提供2名售后服务人员学历证书扫描件，和任命书扫描件（明确工作时间要求、工作内容等），及投标人或生产厂家为售后人员缴纳社保的证明文件），未提供或不符合要求的不得分。</w:t>
            </w:r>
            <w:r/>
          </w:p>
        </w:tc>
        <w:tc>
          <w:tcPr>
            <w:tcW w:w="696" w:type="dxa"/>
            <w:vAlign w:val="center"/>
            <w:textDirection w:val="lrTb"/>
            <w:noWrap w:val="false"/>
          </w:tcPr>
          <w:p>
            <w:pPr>
              <w:ind w:right="-12"/>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421"/>
        </w:trPr>
        <w:tc>
          <w:tcPr>
            <w:tcW w:w="696" w:type="dxa"/>
            <w:vAlign w:val="center"/>
            <w:vMerge w:val="restart"/>
            <w:textDirection w:val="lrTb"/>
            <w:noWrap w:val="false"/>
          </w:tcPr>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right="-12"/>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128" w:type="dxa"/>
            <w:vAlign w:val="center"/>
            <w:vMerge w:val="restart"/>
            <w:textDirection w:val="lrTb"/>
            <w:noWrap w:val="false"/>
          </w:tcPr>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产品质量</w:t>
            </w:r>
            <w:r/>
          </w:p>
        </w:tc>
        <w:tc>
          <w:tcPr>
            <w:tcW w:w="6516" w:type="dxa"/>
            <w:vAlign w:val="center"/>
            <w:textDirection w:val="lrTb"/>
            <w:noWrap w:val="false"/>
          </w:tcPr>
          <w:p>
            <w:pPr>
              <w:ind w:right="-12" w:firstLine="420"/>
              <w:spacing w:line="400" w:lineRule="exact"/>
              <w:rPr>
                <w:rFonts w:hint="eastAsia"/>
                <w:b w:val="0"/>
                <w:bCs w:val="0"/>
                <w:color w:val="auto"/>
                <w:highlight w:val="none"/>
                <w:lang w:val="en-US" w:eastAsia="zh-Hans"/>
              </w:rPr>
            </w:pPr>
            <w:r>
              <w:rPr>
                <w:rFonts w:hint="eastAsia" w:ascii="宋体" w:hAnsi="宋体" w:eastAsia="宋体" w:cs="宋体"/>
                <w:b w:val="0"/>
                <w:bCs w:val="0"/>
                <w:color w:val="auto"/>
                <w:highlight w:val="none"/>
                <w:lang w:val="en-US" w:eastAsia="zh-CN"/>
              </w:rPr>
              <w:t xml:space="preserve">3.1</w:t>
            </w:r>
            <w:r>
              <w:rPr>
                <w:rFonts w:hint="eastAsia"/>
                <w:b w:val="0"/>
                <w:bCs w:val="0"/>
                <w:color w:val="auto"/>
                <w:highlight w:val="none"/>
                <w:lang w:val="en-US" w:eastAsia="zh-Hans"/>
              </w:rPr>
              <w:t xml:space="preserve">投标人</w:t>
            </w:r>
            <w:r>
              <w:rPr>
                <w:rFonts w:hint="eastAsia" w:eastAsia="宋体"/>
                <w:b w:val="0"/>
                <w:bCs w:val="0"/>
                <w:color w:val="auto"/>
                <w:highlight w:val="none"/>
                <w:lang w:val="en-US" w:eastAsia="zh-CN"/>
              </w:rPr>
              <w:t xml:space="preserve">所投</w:t>
            </w:r>
            <w:r>
              <w:rPr>
                <w:rFonts w:hint="eastAsia"/>
                <w:b/>
                <w:bCs/>
                <w:color w:val="auto"/>
                <w:highlight w:val="none"/>
                <w:lang w:val="en-US" w:eastAsia="zh-Hans"/>
              </w:rPr>
              <w:t xml:space="preserve">胶体金试剂</w:t>
            </w:r>
            <w:r>
              <w:rPr>
                <w:rFonts w:hint="eastAsia"/>
                <w:b w:val="0"/>
                <w:bCs w:val="0"/>
                <w:color w:val="auto"/>
                <w:highlight w:val="none"/>
                <w:lang w:val="en-US" w:eastAsia="zh-Hans"/>
              </w:rPr>
              <w:t xml:space="preserve">通过</w:t>
            </w:r>
            <w:r>
              <w:rPr>
                <w:rFonts w:hint="eastAsia"/>
                <w:color w:val="auto"/>
                <w:highlight w:val="none"/>
              </w:rPr>
              <w:t xml:space="preserve">副省级及以上</w:t>
            </w:r>
            <w:r>
              <w:rPr>
                <w:rFonts w:hint="eastAsia"/>
                <w:b w:val="0"/>
                <w:bCs w:val="0"/>
                <w:color w:val="auto"/>
                <w:highlight w:val="none"/>
                <w:lang w:val="en-US" w:eastAsia="zh-Hans"/>
              </w:rPr>
              <w:t xml:space="preserve">市场监督</w:t>
            </w:r>
            <w:r>
              <w:rPr>
                <w:rFonts w:hint="eastAsia"/>
                <w:b w:val="0"/>
                <w:bCs w:val="0"/>
                <w:color w:val="auto"/>
                <w:highlight w:val="none"/>
                <w:lang w:val="en-US" w:eastAsia="zh-CN"/>
              </w:rPr>
              <w:t xml:space="preserve">管理部门</w:t>
            </w:r>
            <w:r>
              <w:rPr>
                <w:rFonts w:hint="eastAsia"/>
                <w:b w:val="0"/>
                <w:bCs w:val="0"/>
                <w:color w:val="auto"/>
                <w:highlight w:val="none"/>
                <w:lang w:val="en-US" w:eastAsia="zh-Hans"/>
              </w:rPr>
              <w:t xml:space="preserve">出具的产品评价报告，且评价通过（或评价为合格）的，每提供一个产品得</w:t>
            </w:r>
            <w:r>
              <w:rPr>
                <w:rFonts w:hint="eastAsia"/>
                <w:b w:val="0"/>
                <w:bCs w:val="0"/>
                <w:color w:val="auto"/>
                <w:highlight w:val="none"/>
                <w:lang w:val="en-US" w:eastAsia="zh-CN"/>
              </w:rPr>
              <w:t xml:space="preserve">1</w:t>
            </w:r>
            <w:r>
              <w:rPr>
                <w:rFonts w:hint="eastAsia"/>
                <w:b w:val="0"/>
                <w:bCs w:val="0"/>
                <w:color w:val="auto"/>
                <w:highlight w:val="none"/>
                <w:lang w:val="en-US" w:eastAsia="zh-Hans"/>
              </w:rPr>
              <w:t xml:space="preserve">分，最高得</w:t>
            </w:r>
            <w:r>
              <w:rPr>
                <w:rFonts w:hint="eastAsia"/>
                <w:b w:val="0"/>
                <w:bCs w:val="0"/>
                <w:color w:val="auto"/>
                <w:highlight w:val="none"/>
                <w:lang w:val="en-US" w:eastAsia="zh-CN"/>
              </w:rPr>
              <w:t xml:space="preserve">10</w:t>
            </w:r>
            <w:r>
              <w:rPr>
                <w:rFonts w:hint="eastAsia"/>
                <w:b w:val="0"/>
                <w:bCs w:val="0"/>
                <w:color w:val="auto"/>
                <w:highlight w:val="none"/>
                <w:lang w:val="en-US" w:eastAsia="zh-Hans"/>
              </w:rPr>
              <w:t xml:space="preserve">分。</w:t>
            </w:r>
            <w:r/>
          </w:p>
          <w:p>
            <w:pPr>
              <w:ind w:right="-12"/>
              <w:spacing w:line="400" w:lineRule="exact"/>
              <w:rPr>
                <w:rFonts w:hint="eastAsia" w:ascii="宋体" w:hAnsi="宋体" w:cs="宋体"/>
                <w:b w:val="0"/>
                <w:bCs w:val="0"/>
                <w:color w:val="auto"/>
                <w:highlight w:val="none"/>
              </w:rPr>
            </w:pPr>
            <w:r>
              <w:rPr>
                <w:rFonts w:hint="eastAsia"/>
                <w:b/>
                <w:bCs/>
                <w:color w:val="auto"/>
                <w:highlight w:val="none"/>
                <w:lang w:val="en-US" w:eastAsia="zh-CN"/>
              </w:rPr>
              <w:t xml:space="preserve">（</w:t>
            </w:r>
            <w:r>
              <w:rPr>
                <w:rFonts w:hint="eastAsia"/>
                <w:b/>
                <w:bCs/>
                <w:color w:val="auto"/>
                <w:highlight w:val="none"/>
                <w:lang w:val="en-US" w:eastAsia="zh-Hans"/>
              </w:rPr>
              <w:t xml:space="preserve">提供</w:t>
            </w:r>
            <w:r>
              <w:rPr>
                <w:rFonts w:hint="eastAsia"/>
                <w:b/>
                <w:bCs/>
                <w:color w:val="auto"/>
                <w:highlight w:val="none"/>
                <w:lang w:val="en-US" w:eastAsia="zh-CN"/>
              </w:rPr>
              <w:t xml:space="preserve">副省级</w:t>
            </w:r>
            <w:r>
              <w:rPr>
                <w:rFonts w:hint="eastAsia"/>
                <w:b/>
                <w:bCs/>
                <w:color w:val="auto"/>
                <w:highlight w:val="none"/>
                <w:lang w:val="en-US" w:eastAsia="zh-Hans"/>
              </w:rPr>
              <w:t xml:space="preserve">及以上市场监督管</w:t>
            </w:r>
            <w:r>
              <w:rPr>
                <w:rFonts w:hint="eastAsia"/>
                <w:b/>
                <w:bCs/>
                <w:color w:val="auto"/>
                <w:highlight w:val="none"/>
                <w:lang w:val="en-US" w:eastAsia="zh-CN"/>
              </w:rPr>
              <w:t xml:space="preserve">部门</w:t>
            </w:r>
            <w:r>
              <w:rPr>
                <w:rFonts w:hint="eastAsia"/>
                <w:b/>
                <w:bCs/>
                <w:color w:val="auto"/>
                <w:highlight w:val="none"/>
                <w:lang w:val="en-US" w:eastAsia="zh-Hans"/>
              </w:rPr>
              <w:t xml:space="preserve">发布的评价通知或合格产品目录</w:t>
            </w:r>
            <w:r>
              <w:rPr>
                <w:rFonts w:hint="eastAsia" w:eastAsia="宋体"/>
                <w:b/>
                <w:bCs/>
                <w:color w:val="auto"/>
                <w:highlight w:val="none"/>
                <w:lang w:val="en-US" w:eastAsia="zh-CN"/>
              </w:rPr>
              <w:t xml:space="preserve">原件扫描件</w:t>
            </w:r>
            <w:r>
              <w:rPr>
                <w:rFonts w:hint="eastAsia"/>
                <w:b/>
                <w:bCs/>
                <w:color w:val="auto"/>
                <w:highlight w:val="none"/>
                <w:lang w:val="en-US" w:eastAsia="zh-CN"/>
              </w:rPr>
              <w:t xml:space="preserve">，未按要求提供或资料不清晰导致专家无法判断的不得分。</w:t>
            </w:r>
            <w:r>
              <w:rPr>
                <w:rFonts w:hint="eastAsia" w:ascii="宋体" w:hAnsi="宋体" w:eastAsia="宋体" w:cs="宋体"/>
                <w:b/>
                <w:bCs/>
                <w:color w:val="auto"/>
                <w:sz w:val="21"/>
                <w:szCs w:val="21"/>
                <w:highlight w:val="none"/>
                <w:vertAlign w:val="baseline"/>
                <w:lang w:val="en-US" w:eastAsia="zh-Hans" w:bidi="ar-SA"/>
              </w:rPr>
              <w:t xml:space="preserve">所投产品需为同一厂家试剂品牌</w:t>
            </w:r>
            <w:r>
              <w:rPr>
                <w:rFonts w:hint="eastAsia" w:ascii="宋体" w:hAnsi="宋体" w:eastAsia="宋体" w:cs="宋体"/>
                <w:b/>
                <w:bCs/>
                <w:color w:val="auto"/>
                <w:sz w:val="21"/>
                <w:szCs w:val="21"/>
                <w:highlight w:val="none"/>
                <w:vertAlign w:val="baseline"/>
                <w:lang w:val="en-US" w:eastAsia="zh-CN" w:bidi="ar-SA"/>
              </w:rPr>
              <w:t xml:space="preserve">，同类试剂只按</w:t>
            </w:r>
            <w:r>
              <w:rPr>
                <w:rFonts w:hint="eastAsia" w:ascii="宋体" w:hAnsi="宋体" w:eastAsia="宋体" w:cs="宋体"/>
                <w:b/>
                <w:bCs/>
                <w:color w:val="auto"/>
                <w:sz w:val="21"/>
                <w:szCs w:val="21"/>
                <w:highlight w:val="none"/>
                <w:vertAlign w:val="baseline"/>
                <w:lang w:val="en-US" w:eastAsia="zh-Hans" w:bidi="ar-SA"/>
              </w:rPr>
              <w:t xml:space="preserve">一个产品</w:t>
            </w:r>
            <w:r>
              <w:rPr>
                <w:rFonts w:hint="eastAsia" w:ascii="宋体" w:hAnsi="宋体" w:eastAsia="宋体" w:cs="宋体"/>
                <w:b/>
                <w:bCs/>
                <w:color w:val="auto"/>
                <w:sz w:val="21"/>
                <w:szCs w:val="21"/>
                <w:highlight w:val="none"/>
                <w:vertAlign w:val="baseline"/>
                <w:lang w:val="en-US" w:eastAsia="zh-CN" w:bidi="ar-SA"/>
              </w:rPr>
              <w:t xml:space="preserve">计分</w:t>
            </w:r>
            <w:r>
              <w:rPr>
                <w:rFonts w:hint="eastAsia" w:ascii="宋体" w:hAnsi="宋体" w:eastAsia="宋体" w:cs="宋体"/>
                <w:b/>
                <w:bCs/>
                <w:color w:val="auto"/>
                <w:sz w:val="21"/>
                <w:szCs w:val="21"/>
                <w:highlight w:val="none"/>
                <w:vertAlign w:val="baseline"/>
                <w:lang w:val="en-US" w:eastAsia="zh-Hans" w:bidi="ar-SA"/>
              </w:rPr>
              <w:t xml:space="preserve">，重复无效。</w:t>
            </w:r>
            <w:r>
              <w:rPr>
                <w:rFonts w:hint="eastAsia"/>
                <w:b/>
                <w:bCs/>
                <w:color w:val="auto"/>
                <w:highlight w:val="none"/>
                <w:lang w:val="en-US" w:eastAsia="zh-CN"/>
              </w:rPr>
              <w:t xml:space="preserve">）</w:t>
            </w:r>
            <w:r/>
          </w:p>
        </w:tc>
        <w:tc>
          <w:tcPr>
            <w:tcW w:w="696" w:type="dxa"/>
            <w:vAlign w:val="center"/>
            <w:textDirection w:val="lrTb"/>
            <w:noWrap w:val="false"/>
          </w:tcPr>
          <w:p>
            <w:pPr>
              <w:ind w:right="-12"/>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421"/>
        </w:trPr>
        <w:tc>
          <w:tcPr>
            <w:tcW w:w="696"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128"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6516" w:type="dxa"/>
            <w:vAlign w:val="center"/>
            <w:textDirection w:val="lrTb"/>
            <w:noWrap w:val="false"/>
          </w:tcPr>
          <w:p>
            <w:pPr>
              <w:ind w:right="-12" w:firstLine="420"/>
              <w:spacing w:line="400" w:lineRule="exact"/>
              <w:rPr>
                <w:rFonts w:hint="eastAsia"/>
                <w:color w:val="auto"/>
                <w:highlight w:val="none"/>
                <w:lang w:val="en-US" w:eastAsia="zh-Hans"/>
              </w:rPr>
            </w:pPr>
            <w:r>
              <w:rPr>
                <w:rFonts w:hint="eastAsia" w:ascii="宋体" w:hAnsi="宋体" w:eastAsia="宋体" w:cs="宋体"/>
                <w:b w:val="0"/>
                <w:bCs w:val="0"/>
                <w:color w:val="auto"/>
                <w:highlight w:val="none"/>
                <w:lang w:val="en-US" w:eastAsia="zh-CN"/>
              </w:rPr>
              <w:t xml:space="preserve">3.2</w:t>
            </w:r>
            <w:r>
              <w:rPr>
                <w:rFonts w:hint="eastAsia" w:ascii="宋体" w:hAnsi="宋体" w:eastAsia="宋体" w:cs="宋体"/>
                <w:b w:val="0"/>
                <w:bCs w:val="0"/>
                <w:color w:val="auto"/>
                <w:sz w:val="21"/>
                <w:szCs w:val="21"/>
                <w:highlight w:val="none"/>
                <w:vertAlign w:val="baseline"/>
                <w:lang w:val="en-US" w:eastAsia="zh-CN" w:bidi="ar-SA"/>
              </w:rPr>
              <w:t xml:space="preserve">投标人所投兽药残留类</w:t>
            </w:r>
            <w:r>
              <w:rPr>
                <w:rFonts w:hint="eastAsia"/>
                <w:b/>
                <w:bCs/>
                <w:color w:val="auto"/>
                <w:highlight w:val="none"/>
                <w:lang w:val="en-US" w:eastAsia="zh-Hans"/>
              </w:rPr>
              <w:t xml:space="preserve">胶体金试剂</w:t>
            </w:r>
            <w:r>
              <w:rPr>
                <w:rFonts w:hint="eastAsia" w:ascii="宋体" w:hAnsi="宋体" w:eastAsia="宋体" w:cs="宋体"/>
                <w:b w:val="0"/>
                <w:bCs w:val="0"/>
                <w:color w:val="auto"/>
                <w:sz w:val="21"/>
                <w:szCs w:val="21"/>
                <w:highlight w:val="none"/>
                <w:vertAlign w:val="baseline"/>
                <w:lang w:val="en-US" w:eastAsia="zh-CN" w:bidi="ar-SA"/>
              </w:rPr>
              <w:t xml:space="preserve">在江苏省农科院《关于2025年度重点监管畜禽/水产品种高风险药物残留专项快检产品筛选、验证结果的通知》中附件1 2025 年度推荐快检产品名录中优先推荐名录有1个得1分，最多得</w:t>
            </w:r>
            <w:r>
              <w:rPr>
                <w:rFonts w:hint="eastAsia" w:ascii="宋体" w:hAnsi="宋体" w:eastAsia="宋体" w:cs="宋体"/>
                <w:b/>
                <w:bCs/>
                <w:color w:val="auto"/>
                <w:sz w:val="21"/>
                <w:szCs w:val="21"/>
                <w:highlight w:val="none"/>
                <w:vertAlign w:val="baseline"/>
                <w:lang w:val="en-US" w:eastAsia="zh-CN" w:bidi="ar-SA"/>
              </w:rPr>
              <w:t xml:space="preserve">12分</w:t>
            </w:r>
            <w:r>
              <w:rPr>
                <w:rFonts w:hint="eastAsia" w:ascii="宋体" w:hAnsi="宋体" w:eastAsia="宋体" w:cs="宋体"/>
                <w:b w:val="0"/>
                <w:bCs w:val="0"/>
                <w:color w:val="auto"/>
                <w:sz w:val="21"/>
                <w:szCs w:val="21"/>
                <w:highlight w:val="none"/>
                <w:vertAlign w:val="baseline"/>
                <w:lang w:val="en-US" w:eastAsia="zh-CN" w:bidi="ar-SA"/>
              </w:rPr>
              <w:t xml:space="preserve">。</w:t>
            </w:r>
            <w:r/>
          </w:p>
          <w:p>
            <w:pPr>
              <w:ind w:right="-12"/>
              <w:spacing w:line="400" w:lineRule="exact"/>
              <w:rPr>
                <w:rFonts w:hint="eastAsia" w:ascii="宋体" w:hAnsi="宋体" w:cs="宋体"/>
                <w:color w:val="auto"/>
                <w:highlight w:val="none"/>
              </w:rPr>
            </w:pPr>
            <w:r>
              <w:rPr>
                <w:rFonts w:hint="eastAsia"/>
                <w:b/>
                <w:bCs/>
                <w:color w:val="auto"/>
                <w:highlight w:val="none"/>
                <w:lang w:val="en-US" w:eastAsia="zh-CN"/>
              </w:rPr>
              <w:t xml:space="preserve">（提供江苏省农科院文件中推荐快检产品名录原件扫描件，未按要求提供或资料不清晰导致专家无法判断的不得分。</w:t>
            </w:r>
            <w:r>
              <w:rPr>
                <w:rFonts w:hint="eastAsia" w:ascii="宋体" w:hAnsi="宋体" w:eastAsia="宋体" w:cs="宋体"/>
                <w:b/>
                <w:bCs/>
                <w:color w:val="auto"/>
                <w:sz w:val="21"/>
                <w:szCs w:val="21"/>
                <w:highlight w:val="none"/>
                <w:vertAlign w:val="baseline"/>
                <w:lang w:val="en-US" w:eastAsia="zh-Hans" w:bidi="ar-SA"/>
              </w:rPr>
              <w:t xml:space="preserve">所投产品需为同一厂家试剂品牌</w:t>
            </w:r>
            <w:r>
              <w:rPr>
                <w:rFonts w:hint="eastAsia" w:ascii="宋体" w:hAnsi="宋体" w:eastAsia="宋体" w:cs="宋体"/>
                <w:b/>
                <w:bCs/>
                <w:color w:val="auto"/>
                <w:sz w:val="21"/>
                <w:szCs w:val="21"/>
                <w:highlight w:val="none"/>
                <w:vertAlign w:val="baseline"/>
                <w:lang w:val="en-US" w:eastAsia="zh-CN" w:bidi="ar-SA"/>
              </w:rPr>
              <w:t xml:space="preserve">，同类试剂只按</w:t>
            </w:r>
            <w:r>
              <w:rPr>
                <w:rFonts w:hint="eastAsia" w:ascii="宋体" w:hAnsi="宋体" w:eastAsia="宋体" w:cs="宋体"/>
                <w:b/>
                <w:bCs/>
                <w:color w:val="auto"/>
                <w:sz w:val="21"/>
                <w:szCs w:val="21"/>
                <w:highlight w:val="none"/>
                <w:vertAlign w:val="baseline"/>
                <w:lang w:val="en-US" w:eastAsia="zh-Hans" w:bidi="ar-SA"/>
              </w:rPr>
              <w:t xml:space="preserve">一个产品</w:t>
            </w:r>
            <w:r>
              <w:rPr>
                <w:rFonts w:hint="eastAsia" w:ascii="宋体" w:hAnsi="宋体" w:eastAsia="宋体" w:cs="宋体"/>
                <w:b/>
                <w:bCs/>
                <w:color w:val="auto"/>
                <w:sz w:val="21"/>
                <w:szCs w:val="21"/>
                <w:highlight w:val="none"/>
                <w:vertAlign w:val="baseline"/>
                <w:lang w:val="en-US" w:eastAsia="zh-CN" w:bidi="ar-SA"/>
              </w:rPr>
              <w:t xml:space="preserve">计分</w:t>
            </w:r>
            <w:r>
              <w:rPr>
                <w:rFonts w:hint="eastAsia" w:ascii="宋体" w:hAnsi="宋体" w:eastAsia="宋体" w:cs="宋体"/>
                <w:b/>
                <w:bCs/>
                <w:color w:val="auto"/>
                <w:sz w:val="21"/>
                <w:szCs w:val="21"/>
                <w:highlight w:val="none"/>
                <w:vertAlign w:val="baseline"/>
                <w:lang w:val="en-US" w:eastAsia="zh-Hans" w:bidi="ar-SA"/>
              </w:rPr>
              <w:t xml:space="preserve">，重复无效。</w:t>
            </w:r>
            <w:r>
              <w:rPr>
                <w:rFonts w:hint="eastAsia"/>
                <w:b/>
                <w:bCs/>
                <w:color w:val="auto"/>
                <w:highlight w:val="none"/>
                <w:lang w:val="en-US" w:eastAsia="zh-CN"/>
              </w:rPr>
              <w:t xml:space="preserve">）</w:t>
            </w:r>
            <w:r/>
          </w:p>
        </w:tc>
        <w:tc>
          <w:tcPr>
            <w:tcW w:w="696" w:type="dxa"/>
            <w:vAlign w:val="center"/>
            <w:textDirection w:val="lrTb"/>
            <w:noWrap w:val="false"/>
          </w:tcPr>
          <w:p>
            <w:pPr>
              <w:ind w:right="-12"/>
              <w:jc w:val="center"/>
              <w:spacing w:line="400" w:lineRule="exact"/>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12</w:t>
            </w:r>
            <w:r/>
          </w:p>
        </w:tc>
      </w:tr>
      <w:tr>
        <w:trPr>
          <w:jc w:val="center"/>
          <w:trHeight w:val="421"/>
        </w:trPr>
        <w:tc>
          <w:tcPr>
            <w:tcW w:w="696" w:type="dxa"/>
            <w:vAlign w:val="center"/>
            <w:vMerge w:val="continue"/>
            <w:textDirection w:val="lrTb"/>
            <w:noWrap w:val="false"/>
          </w:tcPr>
          <w:p>
            <w:pPr>
              <w:ind w:right="-12"/>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128" w:type="dxa"/>
            <w:vAlign w:val="center"/>
            <w:vMerge w:val="continue"/>
            <w:textDirection w:val="lrTb"/>
            <w:noWrap w:val="false"/>
          </w:tcPr>
          <w:p>
            <w:pPr>
              <w:ind w:right="-12"/>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6516" w:type="dxa"/>
            <w:vAlign w:val="center"/>
            <w:textDirection w:val="lrTb"/>
            <w:noWrap w:val="false"/>
          </w:tcPr>
          <w:p>
            <w:pPr>
              <w:ind w:right="-12" w:firstLine="404"/>
              <w:spacing w:line="400" w:lineRule="exact"/>
              <w:rPr>
                <w:rFonts w:hint="eastAsia" w:ascii="宋体" w:hAnsi="宋体" w:eastAsia="宋体" w:cs="宋体"/>
                <w:b w:val="0"/>
                <w:bCs w:val="0"/>
                <w:color w:val="auto"/>
                <w:sz w:val="21"/>
                <w:szCs w:val="21"/>
                <w:highlight w:val="none"/>
                <w:vertAlign w:val="baseline"/>
                <w:lang w:val="en-US" w:eastAsia="zh-CN" w:bidi="ar-SA"/>
              </w:rPr>
            </w:pPr>
            <w:r>
              <w:rPr>
                <w:rFonts w:hint="eastAsia" w:ascii="Times New Roman" w:hAnsi="Times New Roman" w:eastAsia="宋体" w:cs="Times New Roman"/>
                <w:color w:val="auto"/>
                <w:spacing w:val="-4"/>
                <w:sz w:val="21"/>
                <w:szCs w:val="21"/>
                <w:highlight w:val="none"/>
                <w:lang w:val="en-US" w:eastAsia="zh-CN"/>
              </w:rPr>
              <w:t xml:space="preserve">3.3</w:t>
            </w:r>
            <w:r>
              <w:rPr>
                <w:rFonts w:hint="eastAsia" w:ascii="宋体" w:hAnsi="宋体" w:eastAsia="宋体" w:cs="宋体"/>
                <w:b w:val="0"/>
                <w:bCs w:val="0"/>
                <w:color w:val="auto"/>
                <w:sz w:val="21"/>
                <w:szCs w:val="21"/>
                <w:highlight w:val="none"/>
                <w:vertAlign w:val="baseline"/>
                <w:lang w:val="en-US" w:eastAsia="zh-CN" w:bidi="ar-SA"/>
              </w:rPr>
              <w:t xml:space="preserve">投标人所投农药残留类</w:t>
            </w:r>
            <w:r>
              <w:rPr>
                <w:rFonts w:hint="eastAsia"/>
                <w:b/>
                <w:bCs/>
                <w:color w:val="auto"/>
                <w:highlight w:val="none"/>
                <w:lang w:val="en-US" w:eastAsia="zh-Hans"/>
              </w:rPr>
              <w:t xml:space="preserve">胶体金试剂</w:t>
            </w:r>
            <w:r>
              <w:rPr>
                <w:rFonts w:hint="eastAsia" w:ascii="宋体" w:hAnsi="宋体" w:eastAsia="宋体" w:cs="宋体"/>
                <w:b w:val="0"/>
                <w:bCs w:val="0"/>
                <w:color w:val="auto"/>
                <w:sz w:val="21"/>
                <w:szCs w:val="21"/>
                <w:highlight w:val="none"/>
                <w:vertAlign w:val="baseline"/>
                <w:lang w:val="en-US" w:eastAsia="zh-CN" w:bidi="ar-SA"/>
              </w:rPr>
              <w:t xml:space="preserve">在《关于开展2023年农产品质量安全监测工作的通知》（苏农质〔2023〕2号）及其监测工作的补充文件中产品参考名录优先推荐的有1个得1，最多得</w:t>
            </w:r>
            <w:r>
              <w:rPr>
                <w:rFonts w:hint="eastAsia" w:ascii="宋体" w:hAnsi="宋体" w:eastAsia="宋体" w:cs="宋体"/>
                <w:b/>
                <w:bCs/>
                <w:color w:val="auto"/>
                <w:sz w:val="21"/>
                <w:szCs w:val="21"/>
                <w:highlight w:val="none"/>
                <w:vertAlign w:val="baseline"/>
                <w:lang w:val="en-US" w:eastAsia="zh-CN" w:bidi="ar-SA"/>
              </w:rPr>
              <w:t xml:space="preserve">8分</w:t>
            </w:r>
            <w:r>
              <w:rPr>
                <w:rFonts w:hint="eastAsia" w:ascii="宋体" w:hAnsi="宋体" w:eastAsia="宋体" w:cs="宋体"/>
                <w:b w:val="0"/>
                <w:bCs w:val="0"/>
                <w:color w:val="auto"/>
                <w:sz w:val="21"/>
                <w:szCs w:val="21"/>
                <w:highlight w:val="none"/>
                <w:vertAlign w:val="baseline"/>
                <w:lang w:val="en-US" w:eastAsia="zh-CN" w:bidi="ar-SA"/>
              </w:rPr>
              <w:t xml:space="preserve">。</w:t>
            </w:r>
            <w:r/>
          </w:p>
          <w:p>
            <w:pPr>
              <w:ind w:right="-12"/>
              <w:spacing w:line="400" w:lineRule="exact"/>
              <w:rPr>
                <w:rFonts w:hint="default" w:ascii="Times New Roman" w:hAnsi="Times New Roman" w:eastAsia="宋体" w:cs="Times New Roman"/>
                <w:color w:val="auto"/>
                <w:spacing w:val="-4"/>
                <w:sz w:val="21"/>
                <w:szCs w:val="21"/>
                <w:highlight w:val="none"/>
                <w:lang w:val="en-US" w:eastAsia="zh-CN"/>
              </w:rPr>
            </w:pPr>
            <w:r>
              <w:rPr>
                <w:rFonts w:hint="eastAsia"/>
                <w:b/>
                <w:bCs/>
                <w:color w:val="auto"/>
                <w:highlight w:val="none"/>
                <w:lang w:val="en-US" w:eastAsia="zh-CN"/>
              </w:rPr>
              <w:t xml:space="preserve">（提供江苏省农科院文件中推荐快检产品名录原件扫描件，未按要求提供或资料不清晰导致专家无法判断的不得分。</w:t>
            </w:r>
            <w:r>
              <w:rPr>
                <w:rFonts w:hint="eastAsia"/>
                <w:b/>
                <w:bCs/>
                <w:color w:val="auto"/>
                <w:highlight w:val="none"/>
                <w:lang w:val="en-US" w:eastAsia="zh-Hans"/>
              </w:rPr>
              <w:t xml:space="preserve">所投产品需为同一厂家试剂品牌</w:t>
            </w:r>
            <w:r>
              <w:rPr>
                <w:rFonts w:hint="eastAsia"/>
                <w:b/>
                <w:bCs/>
                <w:color w:val="auto"/>
                <w:highlight w:val="none"/>
                <w:lang w:val="en-US" w:eastAsia="zh-CN"/>
              </w:rPr>
              <w:t xml:space="preserve">，同类试剂只按</w:t>
            </w:r>
            <w:r>
              <w:rPr>
                <w:rFonts w:hint="eastAsia"/>
                <w:b/>
                <w:bCs/>
                <w:color w:val="auto"/>
                <w:highlight w:val="none"/>
                <w:lang w:val="en-US" w:eastAsia="zh-Hans"/>
              </w:rPr>
              <w:t xml:space="preserve">一个产品</w:t>
            </w:r>
            <w:r>
              <w:rPr>
                <w:rFonts w:hint="eastAsia" w:eastAsia="宋体"/>
                <w:b/>
                <w:bCs/>
                <w:color w:val="auto"/>
                <w:highlight w:val="none"/>
                <w:lang w:val="en-US" w:eastAsia="zh-CN"/>
              </w:rPr>
              <w:t xml:space="preserve">计分</w:t>
            </w:r>
            <w:r>
              <w:rPr>
                <w:rFonts w:hint="eastAsia"/>
                <w:b/>
                <w:bCs/>
                <w:color w:val="auto"/>
                <w:highlight w:val="none"/>
                <w:lang w:val="en-US" w:eastAsia="zh-Hans"/>
              </w:rPr>
              <w:t xml:space="preserve">，重复无效。</w:t>
            </w:r>
            <w:r>
              <w:rPr>
                <w:rFonts w:hint="eastAsia"/>
                <w:b/>
                <w:bCs/>
                <w:color w:val="auto"/>
                <w:highlight w:val="none"/>
                <w:lang w:val="en-US" w:eastAsia="zh-CN"/>
              </w:rPr>
              <w:t xml:space="preserve">）</w:t>
            </w:r>
            <w:r/>
          </w:p>
        </w:tc>
        <w:tc>
          <w:tcPr>
            <w:tcW w:w="696" w:type="dxa"/>
            <w:vAlign w:val="center"/>
            <w:textDirection w:val="lrTb"/>
            <w:noWrap w:val="false"/>
          </w:tcPr>
          <w:p>
            <w:pPr>
              <w:ind w:right="-12"/>
              <w:jc w:val="center"/>
              <w:spacing w:line="400" w:lineRule="exact"/>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8</w:t>
            </w:r>
            <w:r/>
          </w:p>
        </w:tc>
      </w:tr>
      <w:tr>
        <w:trPr>
          <w:jc w:val="center"/>
          <w:trHeight w:val="421"/>
        </w:trPr>
        <w:tc>
          <w:tcPr>
            <w:tcW w:w="696" w:type="dxa"/>
            <w:vAlign w:val="center"/>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p>
        </w:tc>
        <w:tc>
          <w:tcPr>
            <w:tcW w:w="1128" w:type="dxa"/>
            <w:vAlign w:val="center"/>
            <w:textDirection w:val="lrTb"/>
            <w:noWrap w:val="false"/>
          </w:tcPr>
          <w:p>
            <w:pPr>
              <w:ind w:right="-12"/>
              <w:jc w:val="center"/>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实力</w:t>
            </w:r>
            <w:r/>
          </w:p>
        </w:tc>
        <w:tc>
          <w:tcPr>
            <w:tcW w:w="6516" w:type="dxa"/>
            <w:vAlign w:val="center"/>
            <w:textDirection w:val="lrTb"/>
            <w:noWrap w:val="false"/>
          </w:tcPr>
          <w:p>
            <w:pPr>
              <w:ind w:right="-12" w:firstLine="404"/>
              <w:spacing w:line="400" w:lineRule="exact"/>
              <w:rPr>
                <w:rFonts w:hint="eastAsia" w:ascii="宋体" w:hAnsi="宋体" w:eastAsia="宋体" w:cs="宋体"/>
                <w:b/>
                <w:bCs/>
                <w:color w:val="auto"/>
                <w:highlight w:val="none"/>
              </w:rPr>
            </w:pPr>
            <w:r>
              <w:rPr>
                <w:rFonts w:hint="eastAsia" w:ascii="Times New Roman" w:hAnsi="Times New Roman" w:eastAsia="宋体" w:cs="Times New Roman"/>
                <w:color w:val="auto"/>
                <w:spacing w:val="-4"/>
                <w:sz w:val="21"/>
                <w:szCs w:val="21"/>
                <w:highlight w:val="none"/>
                <w:lang w:val="en-US" w:eastAsia="zh-CN"/>
              </w:rPr>
              <w:t xml:space="preserve">投标人具有ISO9001质量管理体系认证证书、ISO14001环境管理体系认证证书、OHSAS18001职业健康安全体系认证证书或ISO45001职业健康安全管理体系认证证书，且在有效期范围内的，有1个得1分，最高得3分，不提供不得分。</w:t>
            </w:r>
            <w:r>
              <w:rPr>
                <w:rFonts w:hint="eastAsia" w:ascii="Times New Roman" w:hAnsi="Times New Roman" w:eastAsia="宋体" w:cs="Times New Roman"/>
                <w:b/>
                <w:bCs/>
                <w:color w:val="auto"/>
                <w:spacing w:val="-4"/>
                <w:sz w:val="21"/>
                <w:szCs w:val="21"/>
                <w:highlight w:val="none"/>
                <w:lang w:val="en-US" w:eastAsia="zh-CN"/>
              </w:rPr>
              <w:t xml:space="preserve">（本项以所提供证书和中国认监委网站http://www.cnca.gov.cn/查询截图为准，否则不得分）</w:t>
            </w:r>
            <w:r>
              <w:rPr>
                <w:rFonts w:hint="eastAsia" w:ascii="Times New Roman" w:hAnsi="Times New Roman" w:eastAsia="宋体" w:cs="Times New Roman"/>
                <w:color w:val="auto"/>
                <w:spacing w:val="-4"/>
                <w:sz w:val="21"/>
                <w:szCs w:val="21"/>
                <w:highlight w:val="none"/>
                <w:lang w:val="en-US" w:eastAsia="zh-CN"/>
              </w:rPr>
              <w:t xml:space="preserve">。</w:t>
            </w:r>
            <w:r/>
          </w:p>
        </w:tc>
        <w:tc>
          <w:tcPr>
            <w:tcW w:w="696" w:type="dxa"/>
            <w:vAlign w:val="center"/>
            <w:textDirection w:val="lrTb"/>
            <w:noWrap w:val="false"/>
          </w:tcPr>
          <w:p>
            <w:pPr>
              <w:ind w:right="-12"/>
              <w:jc w:val="center"/>
              <w:spacing w:line="400" w:lineRule="exact"/>
              <w:rPr>
                <w:rFonts w:hint="default" w:ascii="宋体" w:hAnsi="宋体" w:cs="宋体"/>
                <w:b w:val="0"/>
                <w:bCs w:val="0"/>
                <w:color w:val="auto"/>
                <w:szCs w:val="21"/>
                <w:highlight w:val="none"/>
                <w:lang w:val="en-US" w:eastAsia="zh-CN"/>
              </w:rPr>
            </w:pPr>
            <w:r>
              <w:rPr>
                <w:rFonts w:hint="eastAsia" w:ascii="宋体" w:hAnsi="宋体" w:cs="宋体"/>
                <w:b w:val="0"/>
                <w:bCs w:val="0"/>
                <w:color w:val="auto"/>
                <w:highlight w:val="none"/>
                <w:lang w:val="en-US" w:eastAsia="zh-CN"/>
              </w:rPr>
              <w:t xml:space="preserve">3</w:t>
            </w:r>
            <w:r/>
          </w:p>
        </w:tc>
      </w:tr>
      <w:tr>
        <w:trPr>
          <w:jc w:val="center"/>
          <w:trHeight w:val="421"/>
        </w:trPr>
        <w:tc>
          <w:tcPr>
            <w:tcW w:w="696" w:type="dxa"/>
            <w:vAlign w:val="center"/>
            <w:textDirection w:val="lrTb"/>
            <w:noWrap w:val="false"/>
          </w:tcPr>
          <w:p>
            <w:pPr>
              <w:ind w:right="-12"/>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128" w:type="dxa"/>
            <w:vAlign w:val="center"/>
            <w:textDirection w:val="lrTb"/>
            <w:noWrap w:val="false"/>
          </w:tcPr>
          <w:p>
            <w:pPr>
              <w:ind w:right="-12"/>
              <w:jc w:val="cente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业绩</w:t>
            </w:r>
            <w:r/>
          </w:p>
        </w:tc>
        <w:tc>
          <w:tcPr>
            <w:tcW w:w="6516" w:type="dxa"/>
            <w:vAlign w:val="center"/>
            <w:textDirection w:val="lrTb"/>
            <w:noWrap w:val="false"/>
          </w:tcPr>
          <w:p>
            <w:pPr>
              <w:ind w:right="-12" w:firstLine="404"/>
              <w:spacing w:line="400" w:lineRule="exact"/>
              <w:rPr>
                <w:color w:val="auto"/>
                <w:spacing w:val="-5"/>
                <w:sz w:val="21"/>
                <w:szCs w:val="21"/>
                <w:highlight w:val="none"/>
              </w:rPr>
            </w:pPr>
            <w:r>
              <w:rPr>
                <w:rFonts w:hint="eastAsia"/>
                <w:color w:val="auto"/>
                <w:spacing w:val="-4"/>
                <w:sz w:val="21"/>
                <w:szCs w:val="21"/>
                <w:highlight w:val="none"/>
                <w:lang w:val="en-US" w:eastAsia="zh-CN"/>
              </w:rPr>
              <w:t xml:space="preserve">投标人</w:t>
            </w:r>
            <w:r>
              <w:rPr>
                <w:color w:val="auto"/>
                <w:spacing w:val="-4"/>
                <w:sz w:val="21"/>
                <w:szCs w:val="21"/>
                <w:highlight w:val="none"/>
              </w:rPr>
              <w:t xml:space="preserve">自</w:t>
            </w:r>
            <w:r>
              <w:rPr>
                <w:color w:val="auto"/>
                <w:spacing w:val="-44"/>
                <w:sz w:val="21"/>
                <w:szCs w:val="21"/>
                <w:highlight w:val="none"/>
              </w:rPr>
              <w:t xml:space="preserve"> </w:t>
            </w:r>
            <w:r>
              <w:rPr>
                <w:color w:val="auto"/>
                <w:spacing w:val="-4"/>
                <w:sz w:val="21"/>
                <w:szCs w:val="21"/>
                <w:highlight w:val="none"/>
              </w:rPr>
              <w:t xml:space="preserve">202</w:t>
            </w:r>
            <w:r>
              <w:rPr>
                <w:rFonts w:hint="eastAsia"/>
                <w:color w:val="auto"/>
                <w:spacing w:val="-4"/>
                <w:sz w:val="21"/>
                <w:szCs w:val="21"/>
                <w:highlight w:val="none"/>
                <w:lang w:val="en-US" w:eastAsia="zh-CN"/>
              </w:rPr>
              <w:t xml:space="preserve">1</w:t>
            </w:r>
            <w:r>
              <w:rPr>
                <w:color w:val="auto"/>
                <w:spacing w:val="-45"/>
                <w:sz w:val="21"/>
                <w:szCs w:val="21"/>
                <w:highlight w:val="none"/>
              </w:rPr>
              <w:t xml:space="preserve"> </w:t>
            </w:r>
            <w:r>
              <w:rPr>
                <w:color w:val="auto"/>
                <w:spacing w:val="-4"/>
                <w:sz w:val="21"/>
                <w:szCs w:val="21"/>
                <w:highlight w:val="none"/>
              </w:rPr>
              <w:t xml:space="preserve">年</w:t>
            </w:r>
            <w:r>
              <w:rPr>
                <w:color w:val="auto"/>
                <w:spacing w:val="-31"/>
                <w:sz w:val="21"/>
                <w:szCs w:val="21"/>
                <w:highlight w:val="none"/>
              </w:rPr>
              <w:t xml:space="preserve"> </w:t>
            </w:r>
            <w:r>
              <w:rPr>
                <w:color w:val="auto"/>
                <w:spacing w:val="-4"/>
                <w:sz w:val="21"/>
                <w:szCs w:val="21"/>
                <w:highlight w:val="none"/>
              </w:rPr>
              <w:t xml:space="preserve">1</w:t>
            </w:r>
            <w:r>
              <w:rPr>
                <w:color w:val="auto"/>
                <w:spacing w:val="-41"/>
                <w:sz w:val="21"/>
                <w:szCs w:val="21"/>
                <w:highlight w:val="none"/>
              </w:rPr>
              <w:t xml:space="preserve"> </w:t>
            </w:r>
            <w:r>
              <w:rPr>
                <w:color w:val="auto"/>
                <w:spacing w:val="-4"/>
                <w:sz w:val="21"/>
                <w:szCs w:val="21"/>
                <w:highlight w:val="none"/>
              </w:rPr>
              <w:t xml:space="preserve">月</w:t>
            </w:r>
            <w:r>
              <w:rPr>
                <w:color w:val="auto"/>
                <w:spacing w:val="-31"/>
                <w:sz w:val="21"/>
                <w:szCs w:val="21"/>
                <w:highlight w:val="none"/>
              </w:rPr>
              <w:t xml:space="preserve"> </w:t>
            </w:r>
            <w:r>
              <w:rPr>
                <w:color w:val="auto"/>
                <w:spacing w:val="-4"/>
                <w:sz w:val="21"/>
                <w:szCs w:val="21"/>
                <w:highlight w:val="none"/>
              </w:rPr>
              <w:t xml:space="preserve">1 日起至递交响应文件截止</w:t>
            </w:r>
            <w:r>
              <w:rPr>
                <w:color w:val="auto"/>
                <w:spacing w:val="-5"/>
                <w:sz w:val="21"/>
                <w:szCs w:val="21"/>
                <w:highlight w:val="none"/>
              </w:rPr>
              <w:t xml:space="preserve">之日止至少包含核心产品的同类产品业绩，每提供 1</w:t>
            </w:r>
            <w:r>
              <w:rPr>
                <w:color w:val="auto"/>
                <w:spacing w:val="-23"/>
                <w:sz w:val="21"/>
                <w:szCs w:val="21"/>
                <w:highlight w:val="none"/>
              </w:rPr>
              <w:t xml:space="preserve"> </w:t>
            </w:r>
            <w:r>
              <w:rPr>
                <w:color w:val="auto"/>
                <w:spacing w:val="-5"/>
                <w:sz w:val="21"/>
                <w:szCs w:val="21"/>
                <w:highlight w:val="none"/>
              </w:rPr>
              <w:t xml:space="preserve">个</w:t>
            </w:r>
            <w:r>
              <w:rPr>
                <w:color w:val="auto"/>
                <w:spacing w:val="-6"/>
                <w:sz w:val="21"/>
                <w:szCs w:val="21"/>
                <w:highlight w:val="none"/>
              </w:rPr>
              <w:t xml:space="preserve">合同业绩得</w:t>
            </w:r>
            <w:r>
              <w:rPr>
                <w:rFonts w:hint="eastAsia" w:eastAsia="宋体"/>
                <w:color w:val="auto"/>
                <w:spacing w:val="-6"/>
                <w:sz w:val="21"/>
                <w:szCs w:val="21"/>
                <w:highlight w:val="none"/>
                <w:lang w:val="en-US" w:eastAsia="zh-CN"/>
              </w:rPr>
              <w:t xml:space="preserve">1</w:t>
            </w:r>
            <w:r>
              <w:rPr>
                <w:color w:val="auto"/>
                <w:spacing w:val="-6"/>
                <w:sz w:val="21"/>
                <w:szCs w:val="21"/>
                <w:highlight w:val="none"/>
              </w:rPr>
              <w:t xml:space="preserve">分，</w:t>
            </w:r>
            <w:r>
              <w:rPr>
                <w:color w:val="auto"/>
                <w:spacing w:val="-26"/>
                <w:sz w:val="21"/>
                <w:szCs w:val="21"/>
                <w:highlight w:val="none"/>
              </w:rPr>
              <w:t xml:space="preserve"> </w:t>
            </w:r>
            <w:r>
              <w:rPr>
                <w:color w:val="auto"/>
                <w:spacing w:val="-6"/>
                <w:sz w:val="21"/>
                <w:szCs w:val="21"/>
                <w:highlight w:val="none"/>
              </w:rPr>
              <w:t xml:space="preserve">本项最</w:t>
            </w:r>
            <w:r>
              <w:rPr>
                <w:color w:val="auto"/>
                <w:spacing w:val="-5"/>
                <w:sz w:val="21"/>
                <w:szCs w:val="21"/>
                <w:highlight w:val="none"/>
              </w:rPr>
              <w:t xml:space="preserve">高得</w:t>
            </w:r>
            <w:r>
              <w:rPr>
                <w:rFonts w:hint="eastAsia"/>
                <w:color w:val="auto"/>
                <w:spacing w:val="-25"/>
                <w:sz w:val="21"/>
                <w:szCs w:val="21"/>
                <w:highlight w:val="none"/>
                <w:lang w:val="en-US" w:eastAsia="zh-CN"/>
              </w:rPr>
              <w:t xml:space="preserve">5</w:t>
            </w:r>
            <w:r>
              <w:rPr>
                <w:color w:val="auto"/>
                <w:spacing w:val="-5"/>
                <w:sz w:val="21"/>
                <w:szCs w:val="21"/>
                <w:highlight w:val="none"/>
              </w:rPr>
              <w:t xml:space="preserve">分</w:t>
            </w:r>
            <w:r/>
          </w:p>
          <w:p>
            <w:pPr>
              <w:ind w:right="-12"/>
              <w:spacing w:line="400" w:lineRule="exact"/>
              <w:rPr>
                <w:rFonts w:hint="eastAsia" w:ascii="宋体" w:hAnsi="宋体" w:cs="宋体"/>
                <w:color w:val="auto"/>
                <w:highlight w:val="none"/>
              </w:rPr>
            </w:pPr>
            <w:r>
              <w:rPr>
                <w:b/>
                <w:bCs/>
                <w:color w:val="auto"/>
                <w:spacing w:val="-5"/>
                <w:sz w:val="21"/>
                <w:szCs w:val="21"/>
                <w:highlight w:val="none"/>
              </w:rPr>
              <w:t xml:space="preserve">（以合同签订时间为准，需提供相关项目合同</w:t>
            </w:r>
            <w:r>
              <w:rPr>
                <w:rFonts w:hint="eastAsia" w:eastAsia="宋体"/>
                <w:b/>
                <w:bCs/>
                <w:color w:val="auto"/>
                <w:spacing w:val="-5"/>
                <w:sz w:val="21"/>
                <w:szCs w:val="21"/>
                <w:highlight w:val="none"/>
                <w:lang w:val="en-US" w:eastAsia="zh-CN"/>
              </w:rPr>
              <w:t xml:space="preserve">扫描件</w:t>
            </w:r>
            <w:r>
              <w:rPr>
                <w:b/>
                <w:bCs/>
                <w:color w:val="auto"/>
                <w:spacing w:val="-4"/>
                <w:sz w:val="21"/>
                <w:szCs w:val="21"/>
                <w:highlight w:val="none"/>
              </w:rPr>
              <w:t xml:space="preserve">，合同须包括合同内容、签署日期、合同甲乙双方签字盖</w:t>
            </w:r>
            <w:r>
              <w:rPr>
                <w:b/>
                <w:bCs/>
                <w:color w:val="auto"/>
                <w:spacing w:val="-3"/>
                <w:sz w:val="21"/>
                <w:szCs w:val="21"/>
                <w:highlight w:val="none"/>
              </w:rPr>
              <w:t xml:space="preserve">章等合同关键页）。</w:t>
            </w:r>
            <w:r/>
          </w:p>
        </w:tc>
        <w:tc>
          <w:tcPr>
            <w:tcW w:w="696" w:type="dxa"/>
            <w:vAlign w:val="center"/>
            <w:textDirection w:val="lrTb"/>
            <w:noWrap w:val="false"/>
          </w:tcPr>
          <w:p>
            <w:pPr>
              <w:ind w:right="-12"/>
              <w:jc w:val="center"/>
              <w:spacing w:line="400" w:lineRule="exact"/>
              <w:rPr>
                <w:rFonts w:hint="default" w:ascii="宋体" w:hAnsi="宋体" w:cs="宋体"/>
                <w:b w:val="0"/>
                <w:bCs w:val="0"/>
                <w:color w:val="auto"/>
                <w:szCs w:val="21"/>
                <w:highlight w:val="none"/>
                <w:lang w:val="en-US" w:eastAsia="zh-CN"/>
              </w:rPr>
            </w:pPr>
            <w:r>
              <w:rPr>
                <w:rFonts w:hint="eastAsia" w:ascii="宋体" w:hAnsi="宋体" w:cs="宋体"/>
                <w:b w:val="0"/>
                <w:bCs w:val="0"/>
                <w:color w:val="auto"/>
                <w:highlight w:val="none"/>
                <w:lang w:val="en-US" w:eastAsia="zh-CN"/>
              </w:rPr>
              <w:t xml:space="preserve">5</w:t>
            </w:r>
            <w:r/>
          </w:p>
        </w:tc>
      </w:tr>
    </w:tbl>
    <w:p>
      <w:pPr>
        <w:pStyle w:val="662"/>
        <w:ind w:firstLine="482"/>
        <w:spacing w:before="120" w:beforeAutospacing="0" w:after="12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62"/>
        <w:jc w:val="center"/>
        <w:spacing w:beforeAutospacing="0" w:afterAutospacing="0"/>
        <w:rPr>
          <w:rFonts w:ascii="宋体" w:hAnsi="宋体" w:eastAsia="宋体" w:cs="宋体"/>
          <w:b/>
          <w:color w:val="auto"/>
          <w:sz w:val="72"/>
          <w:szCs w:val="72"/>
          <w:highlight w:val="none"/>
        </w:rPr>
      </w:pPr>
      <w:r/>
      <w:bookmarkStart w:id="179" w:name="_Toc49090576"/>
      <w:r/>
      <w:bookmarkEnd w:id="179"/>
      <w:r/>
      <w:bookmarkStart w:id="180" w:name="_Toc120614282"/>
      <w:r/>
      <w:bookmarkEnd w:id="180"/>
      <w:r/>
      <w:bookmarkStart w:id="181" w:name="_Hlt26955039"/>
      <w:r/>
      <w:bookmarkStart w:id="182" w:name="_Hlt26671244"/>
      <w:r/>
      <w:bookmarkStart w:id="183" w:name="_Toc26554094"/>
      <w:r/>
      <w:r/>
    </w:p>
    <w:p>
      <w:pPr>
        <w:pStyle w:val="662"/>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662"/>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6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66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both"/>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6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一、法人或者其他组织的营业执照等证明文件，自然人的身份证明；</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二、上一年度的财务状况报告（至少提供资产负债表、利润表、现金流量表，</w:t>
      </w:r>
      <w:r/>
    </w:p>
    <w:p>
      <w:pPr>
        <w:pStyle w:val="662"/>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投标人成立不满一年无需提供）；</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三、具备履行合同所必需的设备和专业技术能力的书面声明；</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五、参加政府采购活动前 3 年内在经营活动中没有重大违法记录的书面声明；</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六、特定资格要求的证明文件（如果本项目设置特定资格要求，则需要提供）；</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七、法人授权书；</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八、投标函；</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十一、投标分项报价表；</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十二、技术要求响应及偏离表；</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十三、商务要求响应及偏离表；</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十四、开标一览表；</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十五、技术方案、服务承诺、培训承诺等；</w:t>
      </w:r>
      <w:r/>
    </w:p>
    <w:p>
      <w:pPr>
        <w:pStyle w:val="662"/>
        <w:ind w:firstLine="480"/>
        <w:jc w:val="both"/>
        <w:spacing w:beforeAutospacing="0" w:afterAutospacing="0" w:line="0" w:lineRule="atLeast"/>
        <w:rPr>
          <w:rFonts w:ascii="宋体" w:hAnsi="宋体" w:eastAsia="宋体" w:cs="宋体"/>
          <w:iCs/>
          <w:color w:val="auto"/>
          <w:highlight w:val="none"/>
        </w:rPr>
      </w:pPr>
      <w:r>
        <w:rPr>
          <w:rFonts w:hint="eastAsia" w:ascii="宋体" w:hAnsi="宋体" w:eastAsia="宋体" w:cs="宋体"/>
          <w:iCs/>
          <w:color w:val="auto"/>
          <w:highlight w:val="none"/>
        </w:rPr>
        <w:t xml:space="preserve">十六、盐城市政府采购事前信用承诺书。</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ind w:firstLine="480"/>
        <w:jc w:val="both"/>
        <w:spacing w:beforeAutospacing="0" w:afterAutospacing="0" w:line="0" w:lineRule="atLeast"/>
        <w:rPr>
          <w:color w:val="auto"/>
          <w:highlight w:val="none"/>
        </w:rPr>
      </w:pPr>
      <w:r>
        <w:rPr>
          <w:color w:val="auto"/>
          <w:highlight w:val="none"/>
        </w:rPr>
      </w:r>
      <w:r/>
    </w:p>
    <w:p>
      <w:pPr>
        <w:pStyle w:val="6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jc w:val="left"/>
        <w:tabs>
          <w:tab w:val="left" w:pos="1331" w:leader="none"/>
        </w:tabs>
        <w:rPr>
          <w:iCs/>
          <w:color w:val="auto"/>
          <w:highlight w:val="none"/>
        </w:rPr>
      </w:pPr>
      <w:r>
        <w:rPr>
          <w:rFonts w:hint="eastAsia" w:ascii="宋体" w:hAnsi="宋体" w:eastAsia="宋体" w:cs="宋体"/>
          <w:iCs/>
          <w:color w:val="auto"/>
          <w:sz w:val="24"/>
          <w:highlight w:val="none"/>
        </w:rPr>
        <w:t xml:space="preserve">（至少提供资产负债表、利润表、现金流量表，</w:t>
      </w:r>
      <w:r>
        <w:rPr>
          <w:rFonts w:hint="eastAsia" w:ascii="宋体" w:hAnsi="宋体" w:eastAsia="宋体" w:cs="宋体"/>
          <w:iCs/>
          <w:color w:val="auto"/>
          <w:highlight w:val="none"/>
        </w:rPr>
        <w:t xml:space="preserve">投标人成立不满一年无需提供）</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62"/>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662"/>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6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62"/>
        <w:jc w:val="center"/>
        <w:spacing w:beforeAutospacing="0" w:afterAutospacing="0"/>
        <w:rPr>
          <w:rFonts w:ascii="黑体" w:hAnsi="宋体" w:eastAsia="黑体" w:cs="黑体"/>
          <w:i/>
          <w:color w:val="auto"/>
          <w:sz w:val="32"/>
          <w:szCs w:val="32"/>
          <w:highlight w:val="none"/>
          <w:u w:val="single"/>
        </w:rPr>
      </w:pPr>
      <w:r/>
      <w:bookmarkStart w:id="184" w:name="_Toc120614284"/>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2"/>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62"/>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6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5" w:name="_Hlt26955070"/>
      <w:r/>
      <w:bookmarkStart w:id="186" w:name="_格式3__银行出具的资信证明"/>
      <w:r/>
      <w:bookmarkStart w:id="187" w:name="_Hlt26671380"/>
      <w:r>
        <w:rPr>
          <w:rFonts w:ascii="Times New Roman" w:hAnsi="Times New Roman"/>
          <w:color w:val="auto"/>
          <w:highlight w:val="none"/>
          <w:u w:val="single"/>
        </w:rPr>
        <w:t xml:space="preserve">                                         </w:t>
      </w:r>
      <w:r/>
    </w:p>
    <w:p>
      <w:pPr>
        <w:pStyle w:val="662"/>
        <w:ind w:firstLine="420"/>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line="0" w:lineRule="atLeast"/>
        <w:rPr>
          <w:color w:val="auto"/>
          <w:highlight w:val="none"/>
        </w:rPr>
      </w:pPr>
      <w:r>
        <w:rPr>
          <w:color w:val="auto"/>
          <w:highlight w:val="none"/>
        </w:rPr>
        <w:t xml:space="preserve"> </w:t>
      </w:r>
      <w:r/>
    </w:p>
    <w:p>
      <w:pPr>
        <w:pStyle w:val="662"/>
        <w:ind w:firstLine="360"/>
        <w:jc w:val="both"/>
        <w:spacing w:beforeAutospacing="0" w:afterAutospacing="0" w:line="0" w:lineRule="atLeast"/>
        <w:rPr>
          <w:color w:val="auto"/>
          <w:highlight w:val="none"/>
        </w:rPr>
      </w:pPr>
      <w:r>
        <w:rPr>
          <w:rFonts w:ascii="楷体" w:hAnsi="楷体" w:eastAsia="楷体" w:cs="楷体"/>
          <w:color w:val="auto"/>
          <w:highlight w:val="none"/>
        </w:rPr>
        <w:t xml:space="preserve">备注 我公司（单位）委托进行现场演示的人员为（本项目如果无现场演示要求，请项目经办人自行删除备注）</w:t>
      </w:r>
      <w:r/>
    </w:p>
    <w:p>
      <w:pPr>
        <w:pStyle w:val="662"/>
        <w:jc w:val="both"/>
        <w:spacing w:beforeAutospacing="0" w:afterAutospacing="0" w:line="0" w:lineRule="atLeast"/>
        <w:rPr>
          <w:color w:val="auto"/>
          <w:highlight w:val="none"/>
        </w:rPr>
      </w:pPr>
      <w:r>
        <w:rPr>
          <w:rFonts w:hint="eastAsia" w:ascii="楷体" w:hAnsi="楷体" w:eastAsia="楷体" w:cs="楷体"/>
          <w:color w:val="auto"/>
          <w:highlight w:val="none"/>
          <w:u w:val="single"/>
        </w:rPr>
        <w:t xml:space="preserve">        </w:t>
      </w:r>
      <w:r>
        <w:rPr>
          <w:rFonts w:hint="eastAsia" w:ascii="楷体" w:hAnsi="楷体" w:eastAsia="楷体" w:cs="楷体"/>
          <w:color w:val="auto"/>
          <w:highlight w:val="none"/>
        </w:rPr>
        <w:t xml:space="preserve">（人员姓名），身份证号</w:t>
      </w:r>
      <w:r>
        <w:rPr>
          <w:rFonts w:hint="eastAsia" w:ascii="楷体" w:hAnsi="楷体" w:eastAsia="楷体" w:cs="楷体"/>
          <w:color w:val="auto"/>
          <w:highlight w:val="none"/>
          <w:u w:val="single"/>
        </w:rPr>
        <w:t xml:space="preserve">         </w:t>
      </w:r>
      <w:r>
        <w:rPr>
          <w:rFonts w:hint="eastAsia" w:ascii="楷体" w:hAnsi="楷体" w:eastAsia="楷体" w:cs="楷体"/>
          <w:color w:val="auto"/>
          <w:highlight w:val="none"/>
        </w:rPr>
        <w:t xml:space="preserve">。</w:t>
      </w:r>
      <w:r/>
    </w:p>
    <w:p>
      <w:pPr>
        <w:pStyle w:val="66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662"/>
        <w:ind w:firstLine="3390"/>
        <w:jc w:val="both"/>
        <w:keepLines/>
        <w:keepNext/>
        <w:spacing w:before="260" w:beforeAutospacing="0" w:after="260" w:afterAutospacing="0" w:line="415"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b/>
          <w:color w:val="auto"/>
          <w:highlight w:val="none"/>
        </w:rPr>
      </w:pPr>
      <w:r>
        <w:rPr>
          <w:rFonts w:ascii="宋体" w:hAnsi="宋体" w:eastAsia="宋体" w:cs="宋体"/>
          <w:b/>
          <w:color w:val="auto"/>
          <w:highlight w:val="none"/>
        </w:rPr>
      </w:r>
      <w:r/>
    </w:p>
    <w:p>
      <w:pPr>
        <w:jc w:val="center"/>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r/>
    </w:p>
    <w:p>
      <w:pPr>
        <w:pStyle w:val="662"/>
        <w:spacing w:beforeAutospacing="0" w:afterAutospacing="0" w:line="0" w:lineRule="atLeast"/>
        <w:rPr>
          <w:rFonts w:eastAsia="宋体"/>
          <w:color w:val="auto"/>
          <w:highlight w:val="none"/>
        </w:rPr>
      </w:pPr>
      <w:r>
        <w:rPr>
          <w:rFonts w:hint="eastAsia" w:ascii="宋体" w:hAnsi="宋体" w:eastAsia="宋体" w:cs="宋体"/>
          <w:color w:val="auto"/>
          <w:highlight w:val="none"/>
        </w:rPr>
        <w:t xml:space="preserve">致：</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62"/>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62"/>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r>
      <w:r/>
    </w:p>
    <w:p>
      <w:pPr>
        <w:pStyle w:val="662"/>
        <w:ind w:firstLine="240"/>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九、中小企业声明函（货物）（分包号：**）</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rPr>
        <w:t xml:space="preserve">（单位名称)</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       </w:t>
      </w:r>
      <w:r>
        <w:rPr>
          <w:rFonts w:hint="eastAsia"/>
          <w:color w:val="auto"/>
          <w:sz w:val="24"/>
          <w:highlight w:val="none"/>
        </w:rPr>
        <w:t xml:space="preserve">的采购活动，提供的货物全部由符合政策要求的中小企业制造。相关企业（含联合体中的中小企业、签订分包意向协议的中小企业）的具体情况如下：</w:t>
      </w:r>
      <w:r/>
    </w:p>
    <w:p>
      <w:pPr>
        <w:pStyle w:val="662"/>
        <w:ind w:firstLine="360"/>
        <w:jc w:val="both"/>
        <w:spacing w:beforeAutospacing="0" w:afterAutospacing="0" w:line="360" w:lineRule="auto"/>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2"/>
        <w:ind w:firstLine="360"/>
        <w:jc w:val="both"/>
        <w:spacing w:beforeAutospacing="0" w:afterAutospacing="0" w:line="360" w:lineRule="auto"/>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62"/>
        <w:ind w:firstLine="360"/>
        <w:jc w:val="both"/>
        <w:spacing w:beforeAutospacing="0" w:afterAutospacing="0" w:line="360" w:lineRule="auto"/>
        <w:rPr>
          <w:color w:val="auto"/>
          <w:highlight w:val="none"/>
        </w:rPr>
      </w:pPr>
      <w:r>
        <w:rPr>
          <w:rFonts w:hint="eastAsia"/>
          <w:color w:val="auto"/>
          <w:highlight w:val="none"/>
        </w:rPr>
        <w:t xml:space="preserve">……</w:t>
      </w:r>
      <w:r/>
    </w:p>
    <w:p>
      <w:pPr>
        <w:pStyle w:val="662"/>
        <w:ind w:firstLine="360"/>
        <w:jc w:val="both"/>
        <w:spacing w:beforeAutospacing="0" w:afterAutospacing="0"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62"/>
        <w:ind w:firstLine="360"/>
        <w:jc w:val="both"/>
        <w:spacing w:beforeAutospacing="0" w:afterAutospacing="0" w:line="360" w:lineRule="auto"/>
        <w:rPr>
          <w:color w:val="auto"/>
          <w:highlight w:val="none"/>
        </w:rPr>
      </w:pPr>
      <w:r>
        <w:rPr>
          <w:rFonts w:hint="eastAsia"/>
          <w:color w:val="auto"/>
          <w:highlight w:val="none"/>
        </w:rPr>
        <w:t xml:space="preserve">本企业对上述声明内容的真实性负责。如有虚假，将依法承担相应责任</w:t>
      </w:r>
      <w:r/>
    </w:p>
    <w:p>
      <w:pPr>
        <w:pStyle w:val="662"/>
        <w:ind w:right="720"/>
        <w:jc w:val="both"/>
        <w:spacing w:beforeAutospacing="0" w:afterAutospacing="0" w:line="360" w:lineRule="auto"/>
        <w:rPr>
          <w:color w:val="auto"/>
          <w:highlight w:val="none"/>
        </w:rPr>
      </w:pPr>
      <w:r>
        <w:rPr>
          <w:color w:val="auto"/>
          <w:highlight w:val="none"/>
        </w:rPr>
        <w:t xml:space="preserve"> </w:t>
      </w:r>
      <w:r/>
    </w:p>
    <w:p>
      <w:pPr>
        <w:pStyle w:val="662"/>
        <w:ind w:right="180" w:firstLine="360"/>
        <w:jc w:val="right"/>
        <w:spacing w:beforeAutospacing="0" w:afterAutospacing="0" w:line="360" w:lineRule="auto"/>
        <w:rPr>
          <w:color w:val="auto"/>
          <w:highlight w:val="none"/>
        </w:rPr>
      </w:pPr>
      <w:r>
        <w:rPr>
          <w:rFonts w:hint="eastAsia"/>
          <w:color w:val="auto"/>
          <w:highlight w:val="none"/>
        </w:rPr>
        <w:t xml:space="preserve">企业名称（加盖CA电子公章）：</w:t>
      </w:r>
      <w:r/>
    </w:p>
    <w:p>
      <w:pPr>
        <w:pStyle w:val="662"/>
        <w:ind w:right="480" w:firstLine="5400"/>
        <w:jc w:val="both"/>
        <w:spacing w:beforeAutospacing="0" w:afterAutospacing="0" w:line="360" w:lineRule="auto"/>
        <w:rPr>
          <w:color w:val="auto"/>
          <w:highlight w:val="none"/>
        </w:rPr>
      </w:pPr>
      <w:r>
        <w:rPr>
          <w:rFonts w:hint="eastAsia"/>
          <w:color w:val="auto"/>
          <w:highlight w:val="none"/>
        </w:rPr>
        <w:t xml:space="preserve">日  期：</w:t>
      </w:r>
      <w:r/>
    </w:p>
    <w:p>
      <w:pPr>
        <w:pStyle w:val="662"/>
        <w:ind w:firstLine="360"/>
        <w:jc w:val="both"/>
        <w:spacing w:beforeAutospacing="0" w:afterAutospacing="0" w:line="360" w:lineRule="auto"/>
        <w:rPr>
          <w:color w:val="auto"/>
          <w:highlight w:val="none"/>
        </w:rPr>
      </w:pPr>
      <w:r>
        <w:rPr>
          <w:color w:val="auto"/>
          <w:highlight w:val="none"/>
        </w:rPr>
        <w:t xml:space="preserve"> </w:t>
      </w:r>
      <w:r/>
    </w:p>
    <w:p>
      <w:pPr>
        <w:pStyle w:val="662"/>
        <w:ind w:firstLine="480"/>
        <w:jc w:val="both"/>
        <w:spacing w:beforeAutospacing="0" w:afterAutospacing="0" w:line="360" w:lineRule="auto"/>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662"/>
        <w:ind w:firstLine="480"/>
        <w:jc w:val="both"/>
        <w:spacing w:beforeAutospacing="0" w:afterAutospacing="0" w:line="360" w:lineRule="auto"/>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p>
      <w:pPr>
        <w:pStyle w:val="66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十、残疾人福利性单位声明函（分包号：**）</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2"/>
        <w:ind w:firstLine="48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62"/>
        <w:ind w:firstLine="624"/>
        <w:jc w:val="both"/>
        <w:spacing w:beforeAutospacing="0" w:afterAutospacing="0" w:line="0" w:lineRule="atLeast"/>
        <w:rPr>
          <w:color w:val="auto"/>
          <w:highlight w:val="none"/>
        </w:rPr>
      </w:pPr>
      <w:r>
        <w:rPr>
          <w:color w:val="auto"/>
          <w:highlight w:val="none"/>
        </w:rPr>
        <w:t xml:space="preserve"> </w:t>
      </w:r>
      <w:r/>
    </w:p>
    <w:p>
      <w:pPr>
        <w:pStyle w:val="66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6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t xml:space="preserve"> </w:t>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line="0" w:lineRule="atLeast"/>
        <w:rPr>
          <w:color w:val="auto"/>
          <w:highlight w:val="none"/>
        </w:rPr>
      </w:pPr>
      <w:r>
        <w:rPr>
          <w:color w:val="auto"/>
          <w:highlight w:val="none"/>
        </w:rPr>
      </w:r>
      <w:r/>
    </w:p>
    <w:p>
      <w:pPr>
        <w:pStyle w:val="66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十一、投标分项报价表（分包号：**）</w:t>
      </w:r>
      <w:r/>
    </w:p>
    <w:tbl>
      <w:tblPr>
        <w:tblStyle w:val="639"/>
        <w:tblW w:w="8475" w:type="dxa"/>
        <w:tblInd w:w="0" w:type="dxa"/>
        <w:tblLayout w:type="fixed"/>
        <w:tblCellMar>
          <w:left w:w="0" w:type="dxa"/>
          <w:top w:w="0" w:type="dxa"/>
          <w:right w:w="0" w:type="dxa"/>
          <w:bottom w:w="0" w:type="dxa"/>
        </w:tblCellMar>
        <w:tblLook w:val="04A0" w:firstRow="1" w:lastRow="0" w:firstColumn="1" w:lastColumn="0" w:noHBand="0" w:noVBand="1"/>
      </w:tblPr>
      <w:tblGrid>
        <w:gridCol w:w="687"/>
        <w:gridCol w:w="1787"/>
        <w:gridCol w:w="1294"/>
        <w:gridCol w:w="854"/>
        <w:gridCol w:w="852"/>
        <w:gridCol w:w="1500"/>
        <w:gridCol w:w="1501"/>
      </w:tblGrid>
      <w:tr>
        <w:trPr>
          <w:trHeight w:val="98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品牌及规格型号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合价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r>
      <w:tr>
        <w:trPr>
          <w:trHeight w:val="87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00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00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87" w:type="dxa"/>
            <w:vAlign w:val="center"/>
            <w:textDirection w:val="lrTb"/>
            <w:noWrap w:val="false"/>
          </w:tcPr>
          <w:p>
            <w:pPr>
              <w:pStyle w:val="662"/>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87" w:type="dxa"/>
            <w:vAlign w:val="center"/>
            <w:textDirection w:val="lrTb"/>
            <w:noWrap w:val="false"/>
          </w:tcPr>
          <w:p>
            <w:pPr>
              <w:pStyle w:val="662"/>
              <w:jc w:val="center"/>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9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2"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0"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01"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trHeight w:val="927"/>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474" w:type="dxa"/>
            <w:vAlign w:val="center"/>
            <w:textDirection w:val="lrTb"/>
            <w:noWrap w:val="false"/>
          </w:tcPr>
          <w:p>
            <w:pPr>
              <w:pStyle w:val="662"/>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大写</w:t>
            </w:r>
            <w:r>
              <w:rPr>
                <w:rFonts w:hint="eastAsia" w:ascii="宋体" w:hAnsi="宋体" w:eastAsia="宋体" w:cs="宋体"/>
                <w:color w:val="auto"/>
                <w:highlight w:val="none"/>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001" w:type="dxa"/>
            <w:vAlign w:val="top"/>
            <w:textDirection w:val="lrTb"/>
            <w:noWrap w:val="false"/>
          </w:tcPr>
          <w:p>
            <w:pPr>
              <w:pStyle w:val="6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6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备注：1.“投标总报价”应包括所投货物（包含与货物相关的服务）费用、安装调试费、测试验收费、备件材料费、改装升级费、运保费、税金（不限于增值税、关税等税费）及其他有关的为完成本项目发生的所有费用。</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2.“投标分项报价表”中“投标总报价”数额应当与“开标一览表”中“投标总报价”数额一致。</w:t>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十二、技术要求响应及偏离表（分包号：**）</w:t>
      </w:r>
      <w:r/>
    </w:p>
    <w:tbl>
      <w:tblPr>
        <w:tblStyle w:val="6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bl>
    <w:p>
      <w:pPr>
        <w:pStyle w:val="6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r>
      <w:r/>
    </w:p>
    <w:p>
      <w:pPr>
        <w:pStyle w:val="662"/>
        <w:jc w:val="both"/>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bookmarkStart w:id="188" w:name="_Hlt26955054"/>
      <w:r>
        <w:rPr>
          <w:rFonts w:hint="eastAsia" w:ascii="黑体" w:hAnsi="宋体" w:eastAsia="黑体" w:cs="黑体"/>
          <w:b/>
          <w:color w:val="auto"/>
          <w:sz w:val="32"/>
          <w:szCs w:val="32"/>
          <w:highlight w:val="none"/>
        </w:rPr>
        <w:t xml:space="preserve">十三、商务要求响应及偏离表（分包号：**）</w:t>
      </w:r>
      <w:r/>
    </w:p>
    <w:tbl>
      <w:tblPr>
        <w:tblStyle w:val="63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bookmarkStart w:id="189" w:name="_Hlt26955056"/>
            <w:r/>
            <w:bookmarkStart w:id="190" w:name="_Hlt26609391"/>
            <w:r/>
            <w:bookmarkStart w:id="191" w:name="_Hlt26955064"/>
            <w:r/>
            <w:bookmarkStart w:id="192" w:name="_Hlt26782999"/>
            <w:r/>
            <w:bookmarkStart w:id="193" w:name="_Hlt24879081"/>
            <w:r/>
            <w:bookmarkStart w:id="194" w:name="_Hlt26671372"/>
            <w:r/>
            <w:bookmarkStart w:id="195" w:name="_Hlt26580838"/>
            <w:r/>
            <w:bookmarkStart w:id="196" w:name="_Hlt26671343"/>
            <w:r>
              <w:rPr>
                <w:rFonts w:hint="eastAsia" w:ascii="宋体" w:hAnsi="宋体" w:eastAsia="宋体" w:cs="宋体"/>
                <w:color w:val="auto"/>
                <w:highlight w:val="none"/>
              </w:rPr>
              <w:t xml:space="preserve">序号</w:t>
            </w:r>
            <w:bookmarkEnd w:id="189"/>
            <w:r/>
            <w:bookmarkEnd w:id="190"/>
            <w:r/>
            <w:bookmarkEnd w:id="191"/>
            <w:r/>
            <w:bookmarkEnd w:id="192"/>
            <w:r/>
            <w:bookmarkEnd w:id="193"/>
            <w:r/>
            <w:bookmarkEnd w:id="194"/>
            <w:r/>
            <w:bookmarkEnd w:id="195"/>
            <w:r/>
            <w:bookmarkEnd w:id="196"/>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bl>
    <w:p>
      <w:pPr>
        <w:pStyle w:val="66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2"/>
        <w:jc w:val="both"/>
        <w:spacing w:beforeAutospacing="0" w:afterAutospacing="0" w:line="480" w:lineRule="auto"/>
        <w:rPr>
          <w:color w:val="auto"/>
          <w:highlight w:val="none"/>
        </w:rPr>
      </w:pPr>
      <w:r>
        <w:rPr>
          <w:color w:val="auto"/>
          <w:highlight w:val="none"/>
        </w:rPr>
        <w:t xml:space="preserve"> </w:t>
      </w:r>
      <w:r/>
    </w:p>
    <w:p>
      <w:pPr>
        <w:pStyle w:val="662"/>
        <w:jc w:val="both"/>
        <w:spacing w:beforeAutospacing="0" w:afterAutospacing="0" w:line="480" w:lineRule="auto"/>
        <w:rPr>
          <w:color w:val="auto"/>
          <w:highlight w:val="none"/>
        </w:rPr>
      </w:pPr>
      <w:r>
        <w:rPr>
          <w:color w:val="auto"/>
          <w:highlight w:val="none"/>
        </w:rPr>
        <w:t xml:space="preserve"> </w:t>
      </w:r>
      <w:r/>
    </w:p>
    <w:p>
      <w:pPr>
        <w:pStyle w:val="662"/>
        <w:jc w:val="center"/>
        <w:spacing w:beforeAutospacing="0" w:afterAutospacing="0"/>
        <w:rPr>
          <w:color w:val="auto"/>
          <w:highlight w:val="none"/>
        </w:rPr>
      </w:pPr>
      <w:r/>
      <w:bookmarkStart w:id="197" w:name="_格式2__法定代表人授权书"/>
      <w:r/>
      <w:bookmarkStart w:id="198" w:name="_Toc462564146"/>
      <w:r/>
      <w:bookmarkStart w:id="199" w:name="_Hlt26609389"/>
      <w:r/>
      <w:bookmarkStart w:id="200" w:name="_Hlt26671374"/>
      <w:r/>
      <w:bookmarkStart w:id="201" w:name="_Hlt26955066"/>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rFonts w:hint="eastAsia" w:ascii="黑体" w:hAnsi="宋体" w:eastAsia="黑体" w:cs="黑体"/>
          <w:b/>
          <w:iCs/>
          <w:color w:val="auto"/>
          <w:sz w:val="32"/>
          <w:szCs w:val="32"/>
          <w:highlight w:val="none"/>
          <w:u w:val="single"/>
        </w:rPr>
        <w:t xml:space="preserve">十四、开标一览表</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2"/>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3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2"/>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6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62"/>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62"/>
              <w:spacing w:beforeAutospacing="0" w:afterAutospacing="0" w:line="0" w:lineRule="atLeast"/>
              <w:rPr>
                <w:color w:val="auto"/>
                <w:highlight w:val="none"/>
              </w:rPr>
            </w:pPr>
            <w:r>
              <w:rPr>
                <w:color w:val="auto"/>
                <w:highlight w:val="none"/>
              </w:rPr>
              <w:t xml:space="preserve"> </w:t>
            </w:r>
            <w:r/>
          </w:p>
        </w:tc>
      </w:tr>
    </w:tbl>
    <w:p>
      <w:pPr>
        <w:pStyle w:val="662"/>
        <w:jc w:val="both"/>
        <w:spacing w:beforeAutospacing="0" w:afterAutospacing="0"/>
        <w:rPr>
          <w:color w:val="auto"/>
          <w:highlight w:val="none"/>
        </w:rPr>
      </w:pPr>
      <w:r>
        <w:rPr>
          <w:color w:val="auto"/>
          <w:highlight w:val="none"/>
        </w:rPr>
        <w:t xml:space="preserve"> </w:t>
      </w:r>
      <w:r/>
    </w:p>
    <w:p>
      <w:pPr>
        <w:pStyle w:val="66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2"/>
        <w:jc w:val="both"/>
        <w:spacing w:beforeAutospacing="0" w:afterAutospacing="0"/>
        <w:rPr>
          <w:color w:val="auto"/>
          <w:highlight w:val="none"/>
        </w:rPr>
      </w:pPr>
      <w:r>
        <w:rPr>
          <w:color w:val="auto"/>
          <w:highlight w:val="none"/>
        </w:rPr>
        <w:t xml:space="preserve"> </w:t>
      </w:r>
      <w:r/>
    </w:p>
    <w:p>
      <w:pPr>
        <w:pStyle w:val="662"/>
        <w:jc w:val="center"/>
        <w:spacing w:beforeAutospacing="0" w:afterAutospacing="0"/>
        <w:rPr>
          <w:color w:val="auto"/>
          <w:highlight w:val="none"/>
        </w:rPr>
      </w:pPr>
      <w:r>
        <w:rPr>
          <w:color w:val="auto"/>
          <w:highlight w:val="none"/>
        </w:rPr>
        <w:t xml:space="preserve"> </w:t>
      </w:r>
      <w:r/>
    </w:p>
    <w:p>
      <w:pPr>
        <w:pStyle w:val="662"/>
        <w:jc w:val="both"/>
        <w:spacing w:beforeAutospacing="0" w:afterAutospacing="0"/>
        <w:rPr>
          <w:color w:val="auto"/>
          <w:highlight w:val="none"/>
        </w:rPr>
      </w:pPr>
      <w:r>
        <w:rPr>
          <w:color w:val="auto"/>
          <w:highlight w:val="none"/>
        </w:rPr>
        <w:t xml:space="preserve"> </w:t>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黑体" w:hAnsi="黑体" w:eastAsia="黑体" w:cs="黑体"/>
          <w:color w:val="auto"/>
          <w:sz w:val="32"/>
          <w:szCs w:val="32"/>
          <w:highlight w:val="none"/>
        </w:rPr>
        <w:t xml:space="preserve">十五、技术方案、服务承诺、培训承诺等</w:t>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ascii="黑体" w:hAnsi="黑体" w:eastAsia="黑体" w:cs="黑体"/>
          <w:color w:val="auto"/>
          <w:sz w:val="24"/>
          <w:highlight w:val="none"/>
        </w:rPr>
      </w:pPr>
      <w:r>
        <w:rPr>
          <w:rFonts w:hint="eastAsia" w:ascii="黑体" w:hAnsi="黑体" w:eastAsia="黑体" w:cs="黑体"/>
          <w:color w:val="auto"/>
          <w:sz w:val="32"/>
          <w:szCs w:val="32"/>
          <w:highlight w:val="none"/>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8"/>
      <w:bookmarkEnd w:id="181"/>
      <w:bookmarkEnd w:id="182"/>
      <w:bookmarkEnd w:id="183"/>
      <w:bookmarkEnd w:id="184"/>
      <w:bookmarkEnd w:id="185"/>
      <w:bookmarkEnd w:id="186"/>
      <w:bookmarkEnd w:id="187"/>
      <w:bookmarkEnd w:id="188"/>
      <w:bookmarkEnd w:id="197"/>
      <w:bookmarkEnd w:id="198"/>
      <w:bookmarkEnd w:id="199"/>
      <w:bookmarkEnd w:id="200"/>
      <w:bookmarkEnd w:id="201"/>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color w:val="auto"/>
          <w:highlight w:val="none"/>
        </w:rPr>
      </w:pPr>
      <w:r>
        <w:rPr>
          <w:color w:val="auto"/>
          <w:highlight w:val="none"/>
        </w:rPr>
      </w:r>
      <w:r/>
    </w:p>
    <w:p>
      <w:pPr>
        <w:pStyle w:val="662"/>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62"/>
        <w:jc w:val="center"/>
        <w:spacing w:beforeAutospacing="0" w:afterAutospacing="0"/>
        <w:rPr>
          <w:rFonts w:ascii="宋体" w:hAnsi="宋体" w:eastAsia="宋体" w:cs="宋体"/>
          <w:b/>
          <w:color w:val="auto"/>
          <w:sz w:val="32"/>
          <w:szCs w:val="32"/>
          <w:highlight w:val="none"/>
        </w:rPr>
      </w:pPr>
      <w:r>
        <w:rPr>
          <w:rFonts w:hint="eastAsia" w:ascii="黑体" w:hAnsi="黑体" w:eastAsia="黑体" w:cs="黑体"/>
          <w:b/>
          <w:color w:val="auto"/>
          <w:sz w:val="32"/>
          <w:szCs w:val="32"/>
          <w:highlight w:val="none"/>
        </w:rPr>
        <w:t xml:space="preserve">十七、质疑函范本</w:t>
      </w:r>
      <w:r/>
    </w:p>
    <w:p>
      <w:pPr>
        <w:pStyle w:val="66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2"/>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Pr>
        <w:b/>
        <w:sz w:val="24"/>
        <w:szCs w:val="24"/>
      </w:rPr>
      <w:fldChar w:fldCharType="begin"/>
    </w:r>
    <w:r>
      <w:rPr>
        <w:b/>
      </w:rPr>
      <w:instrText xml:space="preserve">PAGE</w:instrText>
    </w:r>
    <w:r>
      <w:rPr>
        <w:b/>
        <w:sz w:val="24"/>
        <w:szCs w:val="24"/>
      </w:rPr>
      <w:fldChar w:fldCharType="separate"/>
    </w:r>
    <w:r>
      <w:rPr>
        <w:b/>
      </w:rPr>
      <w:t xml:space="preserve">61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6"/>
    </w:lvlOverride>
  </w:num>
  <w:num w:numId="3">
    <w:abstractNumId w:val="0"/>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next w:val="64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29">
    <w:name w:val="Heading 1"/>
    <w:basedOn w:val="628"/>
    <w:next w:val="628"/>
    <w:uiPriority w:val="0"/>
    <w:qFormat/>
    <w:pPr>
      <w:keepLines/>
      <w:keepNext/>
      <w:spacing w:before="340" w:after="330" w:line="576" w:lineRule="auto"/>
      <w:outlineLvl w:val="0"/>
    </w:pPr>
    <w:rPr>
      <w:b/>
      <w:sz w:val="44"/>
    </w:rPr>
  </w:style>
  <w:style w:type="paragraph" w:styleId="630">
    <w:name w:val="Heading 2"/>
    <w:basedOn w:val="628"/>
    <w:next w:val="62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1">
    <w:name w:val="Heading 3"/>
    <w:basedOn w:val="628"/>
    <w:next w:val="628"/>
    <w:link w:val="671"/>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28"/>
    <w:link w:val="672"/>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link w:val="673"/>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link w:val="674"/>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link w:val="675"/>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link w:val="676"/>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link w:val="677"/>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Body Text"/>
    <w:basedOn w:val="628"/>
    <w:next w:val="641"/>
    <w:uiPriority w:val="0"/>
    <w:unhideWhenUsed/>
    <w:qFormat/>
    <w:pPr>
      <w:spacing w:after="120"/>
    </w:pPr>
    <w:rPr>
      <w:rFonts w:ascii="Calibri" w:hAnsi="Calibri"/>
      <w:szCs w:val="22"/>
    </w:rPr>
  </w:style>
  <w:style w:type="paragraph" w:styleId="641">
    <w:name w:val="Body Text First Indent"/>
    <w:basedOn w:val="640"/>
    <w:uiPriority w:val="99"/>
    <w:qFormat/>
    <w:pPr>
      <w:ind w:firstLine="200"/>
      <w:spacing w:line="360" w:lineRule="auto"/>
    </w:pPr>
    <w:rPr>
      <w:rFonts w:ascii="仿宋_GB2312" w:hAnsi="Times New Roman" w:eastAsia="仿宋_GB2312"/>
      <w:sz w:val="30"/>
      <w:szCs w:val="30"/>
    </w:rPr>
  </w:style>
  <w:style w:type="paragraph" w:styleId="642">
    <w:name w:val="toc 7"/>
    <w:basedOn w:val="628"/>
    <w:next w:val="628"/>
    <w:uiPriority w:val="39"/>
    <w:unhideWhenUsed/>
    <w:qFormat/>
    <w:pPr>
      <w:ind w:left="1701" w:right="0" w:firstLine="0"/>
      <w:spacing w:after="57"/>
    </w:pPr>
  </w:style>
  <w:style w:type="paragraph" w:styleId="643">
    <w:name w:val="Caption"/>
    <w:basedOn w:val="628"/>
    <w:next w:val="62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4">
    <w:name w:val="annotation text"/>
    <w:basedOn w:val="628"/>
    <w:uiPriority w:val="0"/>
    <w:qFormat/>
    <w:pPr>
      <w:jc w:val="left"/>
    </w:pPr>
  </w:style>
  <w:style w:type="paragraph" w:styleId="645">
    <w:name w:val="index 4"/>
    <w:basedOn w:val="628"/>
    <w:next w:val="628"/>
    <w:uiPriority w:val="99"/>
    <w:unhideWhenUsed/>
    <w:qFormat/>
    <w:pPr>
      <w:ind w:left="600"/>
    </w:pPr>
  </w:style>
  <w:style w:type="paragraph" w:styleId="646">
    <w:name w:val="toc 5"/>
    <w:basedOn w:val="628"/>
    <w:next w:val="628"/>
    <w:uiPriority w:val="39"/>
    <w:unhideWhenUsed/>
    <w:qFormat/>
    <w:pPr>
      <w:ind w:left="1134" w:right="0" w:firstLine="0"/>
      <w:spacing w:after="57"/>
    </w:pPr>
  </w:style>
  <w:style w:type="paragraph" w:styleId="647">
    <w:name w:val="toc 3"/>
    <w:basedOn w:val="628"/>
    <w:next w:val="628"/>
    <w:uiPriority w:val="39"/>
    <w:unhideWhenUsed/>
    <w:qFormat/>
    <w:pPr>
      <w:ind w:left="567" w:right="0" w:firstLine="0"/>
      <w:spacing w:after="57"/>
    </w:pPr>
  </w:style>
  <w:style w:type="paragraph" w:styleId="648">
    <w:name w:val="Plain Text"/>
    <w:basedOn w:val="628"/>
    <w:uiPriority w:val="0"/>
    <w:unhideWhenUsed/>
    <w:qFormat/>
    <w:rPr>
      <w:rFonts w:ascii="宋体" w:hAnsi="Courier New" w:cs="Courier New"/>
      <w:szCs w:val="21"/>
    </w:rPr>
  </w:style>
  <w:style w:type="paragraph" w:styleId="649">
    <w:name w:val="toc 8"/>
    <w:basedOn w:val="628"/>
    <w:next w:val="628"/>
    <w:uiPriority w:val="39"/>
    <w:unhideWhenUsed/>
    <w:qFormat/>
    <w:pPr>
      <w:ind w:left="1984" w:right="0" w:firstLine="0"/>
      <w:spacing w:after="57"/>
    </w:pPr>
  </w:style>
  <w:style w:type="paragraph" w:styleId="650">
    <w:name w:val="endnote text"/>
    <w:basedOn w:val="628"/>
    <w:link w:val="814"/>
    <w:uiPriority w:val="99"/>
    <w:semiHidden/>
    <w:unhideWhenUsed/>
    <w:qFormat/>
    <w:pPr>
      <w:spacing w:after="0" w:line="240" w:lineRule="auto"/>
    </w:pPr>
    <w:rPr>
      <w:sz w:val="20"/>
    </w:rPr>
  </w:style>
  <w:style w:type="paragraph" w:styleId="651">
    <w:name w:val="Balloon Text"/>
    <w:basedOn w:val="628"/>
    <w:link w:val="825"/>
    <w:uiPriority w:val="0"/>
    <w:qFormat/>
    <w:rPr>
      <w:sz w:val="18"/>
      <w:szCs w:val="18"/>
    </w:rPr>
  </w:style>
  <w:style w:type="paragraph" w:styleId="652">
    <w:name w:val="Footer"/>
    <w:basedOn w:val="628"/>
    <w:link w:val="817"/>
    <w:uiPriority w:val="0"/>
    <w:qFormat/>
    <w:pPr>
      <w:jc w:val="left"/>
      <w:tabs>
        <w:tab w:val="center" w:pos="4153" w:leader="none"/>
        <w:tab w:val="right" w:pos="8306" w:leader="none"/>
      </w:tabs>
    </w:pPr>
    <w:rPr>
      <w:sz w:val="18"/>
      <w:szCs w:val="18"/>
    </w:rPr>
  </w:style>
  <w:style w:type="paragraph" w:styleId="653">
    <w:name w:val="Header"/>
    <w:basedOn w:val="628"/>
    <w:link w:val="816"/>
    <w:uiPriority w:val="0"/>
    <w:qFormat/>
    <w:pPr>
      <w:jc w:val="center"/>
      <w:tabs>
        <w:tab w:val="center" w:pos="4153" w:leader="none"/>
        <w:tab w:val="right" w:pos="8306" w:leader="none"/>
      </w:tabs>
      <w:pBdr>
        <w:bottom w:val="single" w:color="auto" w:sz="6" w:space="1"/>
      </w:pBdr>
    </w:pPr>
    <w:rPr>
      <w:sz w:val="18"/>
      <w:szCs w:val="18"/>
    </w:rPr>
  </w:style>
  <w:style w:type="paragraph" w:styleId="654">
    <w:name w:val="toc 1"/>
    <w:basedOn w:val="628"/>
    <w:next w:val="628"/>
    <w:uiPriority w:val="39"/>
    <w:unhideWhenUsed/>
    <w:qFormat/>
    <w:pPr>
      <w:ind w:left="0" w:right="0" w:firstLine="0"/>
      <w:spacing w:after="57"/>
    </w:pPr>
  </w:style>
  <w:style w:type="paragraph" w:styleId="655">
    <w:name w:val="toc 4"/>
    <w:basedOn w:val="628"/>
    <w:next w:val="628"/>
    <w:uiPriority w:val="39"/>
    <w:unhideWhenUsed/>
    <w:qFormat/>
    <w:pPr>
      <w:ind w:left="850" w:right="0" w:firstLine="0"/>
      <w:spacing w:after="57"/>
    </w:pPr>
  </w:style>
  <w:style w:type="paragraph" w:styleId="656">
    <w:name w:val="Subtitle"/>
    <w:basedOn w:val="628"/>
    <w:next w:val="628"/>
    <w:link w:val="680"/>
    <w:uiPriority w:val="11"/>
    <w:qFormat/>
    <w:pPr>
      <w:spacing w:before="200" w:after="200"/>
    </w:pPr>
    <w:rPr>
      <w:sz w:val="24"/>
      <w:szCs w:val="24"/>
    </w:rPr>
  </w:style>
  <w:style w:type="paragraph" w:styleId="657">
    <w:name w:val="footnote text"/>
    <w:basedOn w:val="628"/>
    <w:link w:val="813"/>
    <w:uiPriority w:val="99"/>
    <w:semiHidden/>
    <w:unhideWhenUsed/>
    <w:qFormat/>
    <w:pPr>
      <w:spacing w:after="40" w:line="240" w:lineRule="auto"/>
    </w:pPr>
    <w:rPr>
      <w:sz w:val="18"/>
    </w:rPr>
  </w:style>
  <w:style w:type="paragraph" w:styleId="658">
    <w:name w:val="toc 6"/>
    <w:basedOn w:val="628"/>
    <w:next w:val="628"/>
    <w:uiPriority w:val="39"/>
    <w:unhideWhenUsed/>
    <w:qFormat/>
    <w:pPr>
      <w:ind w:left="1417" w:right="0" w:firstLine="0"/>
      <w:spacing w:after="57"/>
    </w:pPr>
  </w:style>
  <w:style w:type="paragraph" w:styleId="659">
    <w:name w:val="table of figures"/>
    <w:basedOn w:val="628"/>
    <w:next w:val="628"/>
    <w:uiPriority w:val="99"/>
    <w:unhideWhenUsed/>
    <w:qFormat/>
    <w:pPr>
      <w:spacing w:after="0" w:afterAutospacing="0"/>
    </w:pPr>
  </w:style>
  <w:style w:type="paragraph" w:styleId="660">
    <w:name w:val="toc 2"/>
    <w:basedOn w:val="628"/>
    <w:next w:val="628"/>
    <w:uiPriority w:val="39"/>
    <w:unhideWhenUsed/>
    <w:qFormat/>
    <w:pPr>
      <w:ind w:left="283" w:right="0" w:firstLine="0"/>
      <w:spacing w:after="57"/>
    </w:pPr>
  </w:style>
  <w:style w:type="paragraph" w:styleId="661">
    <w:name w:val="toc 9"/>
    <w:basedOn w:val="628"/>
    <w:next w:val="628"/>
    <w:uiPriority w:val="39"/>
    <w:unhideWhenUsed/>
    <w:qFormat/>
    <w:pPr>
      <w:ind w:left="2268" w:right="0" w:firstLine="0"/>
      <w:spacing w:after="57"/>
    </w:pPr>
  </w:style>
  <w:style w:type="paragraph" w:styleId="662">
    <w:name w:val="Normal (Web)"/>
    <w:basedOn w:val="628"/>
    <w:uiPriority w:val="0"/>
    <w:qFormat/>
    <w:pPr>
      <w:jc w:val="left"/>
      <w:spacing w:beforeAutospacing="1" w:afterAutospacing="1"/>
    </w:pPr>
    <w:rPr>
      <w:rFonts w:cs="Times New Roman"/>
      <w:sz w:val="24"/>
    </w:rPr>
  </w:style>
  <w:style w:type="paragraph" w:styleId="663">
    <w:name w:val="Title"/>
    <w:basedOn w:val="628"/>
    <w:next w:val="628"/>
    <w:link w:val="679"/>
    <w:uiPriority w:val="10"/>
    <w:qFormat/>
    <w:pPr>
      <w:contextualSpacing/>
      <w:spacing w:before="300" w:after="200"/>
    </w:pPr>
    <w:rPr>
      <w:sz w:val="48"/>
      <w:szCs w:val="48"/>
    </w:rPr>
  </w:style>
  <w:style w:type="table" w:styleId="664">
    <w:name w:val="Table Grid"/>
    <w:basedOn w:val="6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ndnote reference"/>
    <w:basedOn w:val="638"/>
    <w:uiPriority w:val="99"/>
    <w:semiHidden/>
    <w:unhideWhenUsed/>
    <w:qFormat/>
    <w:rPr>
      <w:vertAlign w:val="superscript"/>
    </w:rPr>
  </w:style>
  <w:style w:type="character" w:styleId="666">
    <w:name w:val="Hyperlink"/>
    <w:uiPriority w:val="99"/>
    <w:unhideWhenUsed/>
    <w:qFormat/>
    <w:rPr>
      <w:color w:val="0563c1" w:themeColor="hyperlink"/>
      <w:u w:val="single"/>
      <w14:textFill>
        <w14:solidFill>
          <w14:schemeClr w14:val="hlink"/>
        </w14:solidFill>
      </w14:textFill>
    </w:rPr>
  </w:style>
  <w:style w:type="character" w:styleId="667">
    <w:name w:val="footnote reference"/>
    <w:basedOn w:val="638"/>
    <w:uiPriority w:val="99"/>
    <w:unhideWhenUsed/>
    <w:qFormat/>
    <w:rPr>
      <w:vertAlign w:val="superscript"/>
    </w:rPr>
  </w:style>
  <w:style w:type="paragraph" w:styleId="668" w:customStyle="1">
    <w:name w:val="Default"/>
    <w:basedOn w:val="628"/>
    <w:uiPriority w:val="0"/>
    <w:semiHidden/>
    <w:qFormat/>
    <w:pPr>
      <w:jc w:val="left"/>
    </w:pPr>
    <w:rPr>
      <w:rFonts w:ascii="宋体" w:hAnsi="Calibri" w:cs="宋体"/>
      <w:color w:val="000000"/>
      <w:sz w:val="24"/>
    </w:rPr>
  </w:style>
  <w:style w:type="character" w:styleId="669" w:customStyle="1">
    <w:name w:val="Heading 1 Char"/>
    <w:basedOn w:val="638"/>
    <w:uiPriority w:val="9"/>
    <w:qFormat/>
    <w:rPr>
      <w:rFonts w:ascii="Arial" w:hAnsi="Arial" w:eastAsia="Arial" w:cs="Arial"/>
      <w:sz w:val="40"/>
      <w:szCs w:val="40"/>
    </w:rPr>
  </w:style>
  <w:style w:type="character" w:styleId="670" w:customStyle="1">
    <w:name w:val="Heading 2 Char"/>
    <w:basedOn w:val="638"/>
    <w:uiPriority w:val="9"/>
    <w:qFormat/>
    <w:rPr>
      <w:rFonts w:ascii="Arial" w:hAnsi="Arial" w:eastAsia="Arial" w:cs="Arial"/>
      <w:sz w:val="34"/>
    </w:rPr>
  </w:style>
  <w:style w:type="character" w:styleId="671" w:customStyle="1">
    <w:name w:val="Heading 3 Char"/>
    <w:basedOn w:val="638"/>
    <w:link w:val="631"/>
    <w:uiPriority w:val="9"/>
    <w:qFormat/>
    <w:rPr>
      <w:rFonts w:ascii="Arial" w:hAnsi="Arial" w:eastAsia="Arial" w:cs="Arial"/>
      <w:sz w:val="30"/>
      <w:szCs w:val="30"/>
    </w:rPr>
  </w:style>
  <w:style w:type="character" w:styleId="672" w:customStyle="1">
    <w:name w:val="Heading 4 Char"/>
    <w:basedOn w:val="638"/>
    <w:link w:val="632"/>
    <w:uiPriority w:val="9"/>
    <w:qFormat/>
    <w:rPr>
      <w:rFonts w:ascii="Arial" w:hAnsi="Arial" w:eastAsia="Arial" w:cs="Arial"/>
      <w:b/>
      <w:bCs/>
      <w:sz w:val="26"/>
      <w:szCs w:val="26"/>
    </w:rPr>
  </w:style>
  <w:style w:type="character" w:styleId="673" w:customStyle="1">
    <w:name w:val="Heading 5 Char"/>
    <w:basedOn w:val="638"/>
    <w:link w:val="633"/>
    <w:uiPriority w:val="9"/>
    <w:qFormat/>
    <w:rPr>
      <w:rFonts w:ascii="Arial" w:hAnsi="Arial" w:eastAsia="Arial" w:cs="Arial"/>
      <w:b/>
      <w:bCs/>
      <w:sz w:val="24"/>
      <w:szCs w:val="24"/>
    </w:rPr>
  </w:style>
  <w:style w:type="character" w:styleId="674" w:customStyle="1">
    <w:name w:val="Heading 6 Char"/>
    <w:basedOn w:val="638"/>
    <w:link w:val="634"/>
    <w:uiPriority w:val="9"/>
    <w:qFormat/>
    <w:rPr>
      <w:rFonts w:ascii="Arial" w:hAnsi="Arial" w:eastAsia="Arial" w:cs="Arial"/>
      <w:b/>
      <w:bCs/>
      <w:sz w:val="22"/>
      <w:szCs w:val="22"/>
    </w:rPr>
  </w:style>
  <w:style w:type="character" w:styleId="675" w:customStyle="1">
    <w:name w:val="Heading 7 Char"/>
    <w:basedOn w:val="638"/>
    <w:link w:val="635"/>
    <w:uiPriority w:val="9"/>
    <w:qFormat/>
    <w:rPr>
      <w:rFonts w:ascii="Arial" w:hAnsi="Arial" w:eastAsia="Arial" w:cs="Arial"/>
      <w:b/>
      <w:bCs/>
      <w:i/>
      <w:iCs/>
      <w:sz w:val="22"/>
      <w:szCs w:val="22"/>
    </w:rPr>
  </w:style>
  <w:style w:type="character" w:styleId="676" w:customStyle="1">
    <w:name w:val="Heading 8 Char"/>
    <w:basedOn w:val="638"/>
    <w:link w:val="636"/>
    <w:uiPriority w:val="9"/>
    <w:qFormat/>
    <w:rPr>
      <w:rFonts w:ascii="Arial" w:hAnsi="Arial" w:eastAsia="Arial" w:cs="Arial"/>
      <w:i/>
      <w:iCs/>
      <w:sz w:val="22"/>
      <w:szCs w:val="22"/>
    </w:rPr>
  </w:style>
  <w:style w:type="character" w:styleId="677" w:customStyle="1">
    <w:name w:val="Heading 9 Char"/>
    <w:basedOn w:val="638"/>
    <w:link w:val="637"/>
    <w:uiPriority w:val="9"/>
    <w:qFormat/>
    <w:rPr>
      <w:rFonts w:ascii="Arial" w:hAnsi="Arial" w:eastAsia="Arial" w:cs="Arial"/>
      <w:i/>
      <w:iCs/>
      <w:sz w:val="21"/>
      <w:szCs w:val="21"/>
    </w:rPr>
  </w:style>
  <w:style w:type="paragraph" w:styleId="678">
    <w:name w:val="No Spacing"/>
    <w:uiPriority w:val="1"/>
    <w:qFormat/>
    <w:pPr>
      <w:spacing w:before="0" w:after="0" w:line="240" w:lineRule="auto"/>
    </w:pPr>
    <w:rPr>
      <w:rFonts w:hint="default" w:ascii="Times New Roman" w:hAnsi="Times New Roman" w:eastAsia="宋体" w:cs="Times New Roman"/>
    </w:rPr>
  </w:style>
  <w:style w:type="character" w:styleId="679" w:customStyle="1">
    <w:name w:val="Title Char"/>
    <w:basedOn w:val="638"/>
    <w:link w:val="663"/>
    <w:uiPriority w:val="10"/>
    <w:qFormat/>
    <w:rPr>
      <w:sz w:val="48"/>
      <w:szCs w:val="48"/>
    </w:rPr>
  </w:style>
  <w:style w:type="character" w:styleId="680" w:customStyle="1">
    <w:name w:val="Subtitle Char"/>
    <w:basedOn w:val="638"/>
    <w:link w:val="656"/>
    <w:uiPriority w:val="11"/>
    <w:qFormat/>
    <w:rPr>
      <w:sz w:val="24"/>
      <w:szCs w:val="24"/>
    </w:rPr>
  </w:style>
  <w:style w:type="paragraph" w:styleId="681">
    <w:name w:val="Quote"/>
    <w:basedOn w:val="628"/>
    <w:next w:val="628"/>
    <w:link w:val="682"/>
    <w:uiPriority w:val="29"/>
    <w:qFormat/>
    <w:pPr>
      <w:ind w:left="720" w:right="720"/>
    </w:pPr>
    <w:rPr>
      <w:i/>
    </w:rPr>
  </w:style>
  <w:style w:type="character" w:styleId="682" w:customStyle="1">
    <w:name w:val="Quote Char"/>
    <w:link w:val="681"/>
    <w:uiPriority w:val="29"/>
    <w:qFormat/>
    <w:rPr>
      <w:i/>
    </w:rPr>
  </w:style>
  <w:style w:type="paragraph" w:styleId="683">
    <w:name w:val="Intense Quote"/>
    <w:basedOn w:val="628"/>
    <w:next w:val="628"/>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customStyle="1">
    <w:name w:val="Intense Quote Char"/>
    <w:link w:val="683"/>
    <w:uiPriority w:val="30"/>
    <w:qFormat/>
    <w:rPr>
      <w:i/>
    </w:rPr>
  </w:style>
  <w:style w:type="character" w:styleId="685" w:customStyle="1">
    <w:name w:val="Header Char"/>
    <w:basedOn w:val="638"/>
    <w:uiPriority w:val="99"/>
    <w:qFormat/>
  </w:style>
  <w:style w:type="character" w:styleId="686" w:customStyle="1">
    <w:name w:val="Footer Char"/>
    <w:basedOn w:val="638"/>
    <w:uiPriority w:val="99"/>
    <w:qFormat/>
  </w:style>
  <w:style w:type="character" w:styleId="687" w:customStyle="1">
    <w:name w:val="Caption Char"/>
    <w:uiPriority w:val="99"/>
    <w:qFormat/>
  </w:style>
  <w:style w:type="table" w:styleId="688" w:customStyle="1">
    <w:name w:val="Table Grid Light"/>
    <w:basedOn w:val="6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9" w:customStyle="1">
    <w:name w:val="Plain Table 1"/>
    <w:basedOn w:val="6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2"/>
    <w:basedOn w:val="6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3"/>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Plain Table 4"/>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Plain Table 5"/>
    <w:basedOn w:val="6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Grid Table 1 Light"/>
    <w:basedOn w:val="6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1"/>
    <w:basedOn w:val="6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2"/>
    <w:basedOn w:val="6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3"/>
    <w:basedOn w:val="6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4"/>
    <w:basedOn w:val="6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5"/>
    <w:basedOn w:val="63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6"/>
    <w:basedOn w:val="6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1" w:customStyle="1">
    <w:name w:val="Grid Table 2"/>
    <w:basedOn w:val="6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2" w:customStyle="1">
    <w:name w:val="Grid Table 2 - Accent 1"/>
    <w:basedOn w:val="6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03" w:customStyle="1">
    <w:name w:val="Grid Table 2 - Accent 2"/>
    <w:basedOn w:val="6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04" w:customStyle="1">
    <w:name w:val="Grid Table 2 - Accent 3"/>
    <w:basedOn w:val="6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5" w:customStyle="1">
    <w:name w:val="Grid Table 2 - Accent 4"/>
    <w:basedOn w:val="6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06" w:customStyle="1">
    <w:name w:val="Grid Table 2 - Accent 5"/>
    <w:basedOn w:val="6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7" w:customStyle="1">
    <w:name w:val="Grid Table 2 - Accent 6"/>
    <w:basedOn w:val="6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08" w:customStyle="1">
    <w:name w:val="Grid Table 3"/>
    <w:basedOn w:val="6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1"/>
    <w:basedOn w:val="63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2"/>
    <w:basedOn w:val="6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3"/>
    <w:basedOn w:val="6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4"/>
    <w:basedOn w:val="6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5"/>
    <w:basedOn w:val="63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6"/>
    <w:basedOn w:val="6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4"/>
    <w:basedOn w:val="6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4 - Accent 1"/>
    <w:basedOn w:val="63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17" w:customStyle="1">
    <w:name w:val="Grid Table 4 - Accent 2"/>
    <w:basedOn w:val="63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18" w:customStyle="1">
    <w:name w:val="Grid Table 4 - Accent 3"/>
    <w:basedOn w:val="63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19" w:customStyle="1">
    <w:name w:val="Grid Table 4 - Accent 4"/>
    <w:basedOn w:val="63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0" w:customStyle="1">
    <w:name w:val="Grid Table 4 - Accent 5"/>
    <w:basedOn w:val="63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1" w:customStyle="1">
    <w:name w:val="Grid Table 4 - Accent 6"/>
    <w:basedOn w:val="63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2" w:customStyle="1">
    <w:name w:val="Grid Table 5 Dark"/>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Grid Table 5 Dark- Accent 1"/>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4" w:customStyle="1">
    <w:name w:val="Grid Table 5 Dark - Accent 2"/>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5" w:customStyle="1">
    <w:name w:val="Grid Table 5 Dark - Accent 3"/>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6" w:customStyle="1">
    <w:name w:val="Grid Table 5 Dark- Accent 4"/>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7" w:customStyle="1">
    <w:name w:val="Grid Table 5 Dark - Accent 5"/>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28" w:customStyle="1">
    <w:name w:val="Grid Table 5 Dark - Accent 6"/>
    <w:basedOn w:val="6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29" w:customStyle="1">
    <w:name w:val="Grid Table 6 Colorful"/>
    <w:basedOn w:val="6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0" w:customStyle="1">
    <w:name w:val="Grid Table 6 Colorful - Accent 1"/>
    <w:basedOn w:val="63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1" w:customStyle="1">
    <w:name w:val="Grid Table 6 Colorful - Accent 2"/>
    <w:basedOn w:val="6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2" w:customStyle="1">
    <w:name w:val="Grid Table 6 Colorful - Accent 3"/>
    <w:basedOn w:val="63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33" w:customStyle="1">
    <w:name w:val="Grid Table 6 Colorful - Accent 4"/>
    <w:basedOn w:val="6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34" w:customStyle="1">
    <w:name w:val="Grid Table 6 Colorful - Accent 5"/>
    <w:basedOn w:val="63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5" w:customStyle="1">
    <w:name w:val="Grid Table 6 Colorful - Accent 6"/>
    <w:basedOn w:val="63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6" w:customStyle="1">
    <w:name w:val="Grid Table 7 Colorful"/>
    <w:basedOn w:val="6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Grid Table 7 Colorful - Accent 1"/>
    <w:basedOn w:val="63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38" w:customStyle="1">
    <w:name w:val="Grid Table 7 Colorful - Accent 2"/>
    <w:basedOn w:val="63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39" w:customStyle="1">
    <w:name w:val="Grid Table 7 Colorful - Accent 3"/>
    <w:basedOn w:val="63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7 Colorful - Accent 4"/>
    <w:basedOn w:val="63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1" w:customStyle="1">
    <w:name w:val="Grid Table 7 Colorful - Accent 5"/>
    <w:basedOn w:val="63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2" w:customStyle="1">
    <w:name w:val="Grid Table 7 Colorful - Accent 6"/>
    <w:basedOn w:val="63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3" w:customStyle="1">
    <w:name w:val="List Table 1 Light"/>
    <w:basedOn w:val="6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customStyle="1">
    <w:name w:val="List Table 1 Light - Accent 1"/>
    <w:basedOn w:val="63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5" w:customStyle="1">
    <w:name w:val="List Table 1 Light - Accent 2"/>
    <w:basedOn w:val="63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6" w:customStyle="1">
    <w:name w:val="List Table 1 Light - Accent 3"/>
    <w:basedOn w:val="63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7" w:customStyle="1">
    <w:name w:val="List Table 1 Light - Accent 4"/>
    <w:basedOn w:val="63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48" w:customStyle="1">
    <w:name w:val="List Table 1 Light - Accent 5"/>
    <w:basedOn w:val="63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49" w:customStyle="1">
    <w:name w:val="List Table 1 Light - Accent 6"/>
    <w:basedOn w:val="63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0" w:customStyle="1">
    <w:name w:val="List Table 2"/>
    <w:basedOn w:val="6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1" w:customStyle="1">
    <w:name w:val="List Table 2 - Accent 1"/>
    <w:basedOn w:val="63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2" w:customStyle="1">
    <w:name w:val="List Table 2 - Accent 2"/>
    <w:basedOn w:val="63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3" w:customStyle="1">
    <w:name w:val="List Table 2 - Accent 3"/>
    <w:basedOn w:val="63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4" w:customStyle="1">
    <w:name w:val="List Table 2 - Accent 4"/>
    <w:basedOn w:val="63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55" w:customStyle="1">
    <w:name w:val="List Table 2 - Accent 5"/>
    <w:basedOn w:val="63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6" w:customStyle="1">
    <w:name w:val="List Table 2 - Accent 6"/>
    <w:basedOn w:val="63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7" w:customStyle="1">
    <w:name w:val="List Table 3"/>
    <w:basedOn w:val="6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3 - Accent 1"/>
    <w:basedOn w:val="63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9" w:customStyle="1">
    <w:name w:val="List Table 3 - Accent 2"/>
    <w:basedOn w:val="6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0" w:customStyle="1">
    <w:name w:val="List Table 3 - Accent 3"/>
    <w:basedOn w:val="63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1" w:customStyle="1">
    <w:name w:val="List Table 3 - Accent 4"/>
    <w:basedOn w:val="6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2" w:customStyle="1">
    <w:name w:val="List Table 3 - Accent 5"/>
    <w:basedOn w:val="63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63" w:customStyle="1">
    <w:name w:val="List Table 3 - Accent 6"/>
    <w:basedOn w:val="63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4" w:customStyle="1">
    <w:name w:val="List Table 4"/>
    <w:basedOn w:val="6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 Accent 1"/>
    <w:basedOn w:val="63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4 - Accent 2"/>
    <w:basedOn w:val="63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7" w:customStyle="1">
    <w:name w:val="List Table 4 - Accent 3"/>
    <w:basedOn w:val="63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68" w:customStyle="1">
    <w:name w:val="List Table 4 - Accent 4"/>
    <w:basedOn w:val="63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69" w:customStyle="1">
    <w:name w:val="List Table 4 - Accent 5"/>
    <w:basedOn w:val="63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0" w:customStyle="1">
    <w:name w:val="List Table 4 - Accent 6"/>
    <w:basedOn w:val="63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1" w:customStyle="1">
    <w:name w:val="List Table 5 Dark"/>
    <w:basedOn w:val="6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1"/>
    <w:basedOn w:val="63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2"/>
    <w:basedOn w:val="63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3"/>
    <w:basedOn w:val="63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4"/>
    <w:basedOn w:val="63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5"/>
    <w:basedOn w:val="63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6"/>
    <w:basedOn w:val="63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6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6 Colorful - Accent 1"/>
    <w:basedOn w:val="63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0" w:customStyle="1">
    <w:name w:val="List Table 6 Colorful - Accent 2"/>
    <w:basedOn w:val="63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1" w:customStyle="1">
    <w:name w:val="List Table 6 Colorful - Accent 3"/>
    <w:basedOn w:val="63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2" w:customStyle="1">
    <w:name w:val="List Table 6 Colorful - Accent 4"/>
    <w:basedOn w:val="63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83" w:customStyle="1">
    <w:name w:val="List Table 6 Colorful - Accent 5"/>
    <w:basedOn w:val="63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84" w:customStyle="1">
    <w:name w:val="List Table 6 Colorful - Accent 6"/>
    <w:basedOn w:val="63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85" w:customStyle="1">
    <w:name w:val="List Table 7 Colorful"/>
    <w:basedOn w:val="6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7 Colorful - Accent 1"/>
    <w:basedOn w:val="63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7" w:customStyle="1">
    <w:name w:val="List Table 7 Colorful - Accent 2"/>
    <w:basedOn w:val="63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List Table 7 Colorful - Accent 3"/>
    <w:basedOn w:val="63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89" w:customStyle="1">
    <w:name w:val="List Table 7 Colorful - Accent 4"/>
    <w:basedOn w:val="63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List Table 7 Colorful - Accent 5"/>
    <w:basedOn w:val="63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1" w:customStyle="1">
    <w:name w:val="List Table 7 Colorful - Accent 6"/>
    <w:basedOn w:val="63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2" w:customStyle="1">
    <w:name w:val="Lined - Accent"/>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Lined - Accent 1"/>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4" w:customStyle="1">
    <w:name w:val="Lined - Accent 2"/>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5" w:customStyle="1">
    <w:name w:val="Lined - Accent 3"/>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6" w:customStyle="1">
    <w:name w:val="Lined - Accent 4"/>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7" w:customStyle="1">
    <w:name w:val="Lined - Accent 5"/>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8" w:customStyle="1">
    <w:name w:val="Lined - Accent 6"/>
    <w:basedOn w:val="6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9" w:customStyle="1">
    <w:name w:val="Bordered &amp; Lined - Accent"/>
    <w:basedOn w:val="6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Bordered &amp; Lined - Accent 1"/>
    <w:basedOn w:val="63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1" w:customStyle="1">
    <w:name w:val="Bordered &amp; Lined - Accent 2"/>
    <w:basedOn w:val="63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2" w:customStyle="1">
    <w:name w:val="Bordered &amp; Lined - Accent 3"/>
    <w:basedOn w:val="63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Bordered &amp; Lined - Accent 4"/>
    <w:basedOn w:val="63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4" w:customStyle="1">
    <w:name w:val="Bordered &amp; Lined - Accent 5"/>
    <w:basedOn w:val="63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Bordered &amp; Lined - Accent 6"/>
    <w:basedOn w:val="63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w:basedOn w:val="6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7" w:customStyle="1">
    <w:name w:val="Bordered - Accent 1"/>
    <w:basedOn w:val="63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08" w:customStyle="1">
    <w:name w:val="Bordered - Accent 2"/>
    <w:basedOn w:val="6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09" w:customStyle="1">
    <w:name w:val="Bordered - Accent 3"/>
    <w:basedOn w:val="6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0" w:customStyle="1">
    <w:name w:val="Bordered - Accent 4"/>
    <w:basedOn w:val="6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1" w:customStyle="1">
    <w:name w:val="Bordered - Accent 5"/>
    <w:basedOn w:val="63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2" w:customStyle="1">
    <w:name w:val="Bordered - Accent 6"/>
    <w:basedOn w:val="6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3" w:customStyle="1">
    <w:name w:val="Footnote Text Char"/>
    <w:link w:val="657"/>
    <w:uiPriority w:val="99"/>
    <w:qFormat/>
    <w:rPr>
      <w:sz w:val="18"/>
    </w:rPr>
  </w:style>
  <w:style w:type="character" w:styleId="814" w:customStyle="1">
    <w:name w:val="Endnote Text Char"/>
    <w:link w:val="650"/>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character" w:styleId="816" w:customStyle="1">
    <w:name w:val="页眉 Char"/>
    <w:basedOn w:val="638"/>
    <w:link w:val="653"/>
    <w:uiPriority w:val="0"/>
    <w:qFormat/>
    <w:rPr>
      <w:rFonts w:asciiTheme="minorHAnsi" w:hAnsiTheme="minorHAnsi" w:eastAsiaTheme="minorEastAsia" w:cstheme="minorBidi"/>
      <w:sz w:val="18"/>
      <w:szCs w:val="18"/>
    </w:rPr>
  </w:style>
  <w:style w:type="character" w:styleId="817" w:customStyle="1">
    <w:name w:val="页脚 Char"/>
    <w:basedOn w:val="638"/>
    <w:link w:val="652"/>
    <w:uiPriority w:val="0"/>
    <w:qFormat/>
    <w:rPr>
      <w:rFonts w:asciiTheme="minorHAnsi" w:hAnsiTheme="minorHAnsi" w:eastAsiaTheme="minorEastAsia" w:cstheme="minorBidi"/>
      <w:sz w:val="18"/>
      <w:szCs w:val="18"/>
    </w:rPr>
  </w:style>
  <w:style w:type="paragraph" w:styleId="8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19" w:customStyle="1">
    <w:name w:val="页脚1"/>
    <w:basedOn w:val="628"/>
    <w:uiPriority w:val="99"/>
    <w:unhideWhenUsed/>
    <w:qFormat/>
    <w:pPr>
      <w:jc w:val="left"/>
      <w:tabs>
        <w:tab w:val="center" w:pos="4153" w:leader="none"/>
        <w:tab w:val="right" w:pos="8306" w:leader="none"/>
      </w:tabs>
    </w:pPr>
    <w:rPr>
      <w:sz w:val="18"/>
      <w:szCs w:val="18"/>
    </w:rPr>
  </w:style>
  <w:style w:type="paragraph" w:styleId="820" w:customStyle="1">
    <w:name w:val="普通正文"/>
    <w:basedOn w:val="628"/>
    <w:uiPriority w:val="0"/>
    <w:qFormat/>
    <w:pPr>
      <w:ind w:firstLine="480"/>
      <w:jc w:val="left"/>
      <w:spacing w:before="120" w:after="120" w:line="360" w:lineRule="auto"/>
    </w:pPr>
    <w:rPr>
      <w:rFonts w:ascii="Arial" w:hAnsi="Arial" w:eastAsia="等线" w:cs="Arial"/>
      <w:sz w:val="24"/>
    </w:rPr>
  </w:style>
  <w:style w:type="paragraph" w:styleId="821" w:customStyle="1">
    <w:name w:val="正文首行缩进 21"/>
    <w:basedOn w:val="822"/>
    <w:uiPriority w:val="0"/>
    <w:qFormat/>
    <w:pPr>
      <w:ind w:firstLine="420"/>
    </w:pPr>
  </w:style>
  <w:style w:type="paragraph" w:styleId="822" w:customStyle="1">
    <w:name w:val="正文文本缩进1"/>
    <w:basedOn w:val="628"/>
    <w:uiPriority w:val="0"/>
    <w:qFormat/>
    <w:pPr>
      <w:ind w:left="420"/>
      <w:spacing w:after="120"/>
    </w:pPr>
  </w:style>
  <w:style w:type="paragraph" w:styleId="823">
    <w:name w:val="List Paragraph"/>
    <w:basedOn w:val="628"/>
    <w:uiPriority w:val="34"/>
    <w:qFormat/>
    <w:pPr>
      <w:ind w:firstLine="420"/>
    </w:pPr>
  </w:style>
  <w:style w:type="paragraph" w:styleId="824" w:customStyle="1">
    <w:name w:val="修订1"/>
    <w:hidden/>
    <w:uiPriority w:val="99"/>
    <w:unhideWhenUsed/>
    <w:qFormat/>
    <w:rPr>
      <w:rFonts w:hint="default" w:asciiTheme="minorHAnsi" w:hAnsiTheme="minorHAnsi" w:eastAsiaTheme="minorEastAsia" w:cstheme="minorBidi"/>
      <w:sz w:val="21"/>
      <w:szCs w:val="24"/>
      <w:lang w:val="en-US" w:eastAsia="zh-CN" w:bidi="ar-SA"/>
    </w:rPr>
  </w:style>
  <w:style w:type="character" w:styleId="825" w:customStyle="1">
    <w:name w:val="批注框文本 Char"/>
    <w:basedOn w:val="638"/>
    <w:link w:val="651"/>
    <w:uiPriority w:val="0"/>
    <w:qFormat/>
    <w:rPr>
      <w:rFonts w:asciiTheme="minorHAnsi" w:hAnsiTheme="minorHAnsi" w:eastAsiaTheme="minorEastAsia" w:cstheme="minorBidi"/>
      <w:sz w:val="18"/>
      <w:szCs w:val="18"/>
    </w:rPr>
  </w:style>
  <w:style w:type="numbering" w:styleId="16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殷健</cp:lastModifiedBy>
  <cp:revision>4</cp:revision>
  <dcterms:created xsi:type="dcterms:W3CDTF">2025-08-29T01:31:00Z</dcterms:created>
  <dcterms:modified xsi:type="dcterms:W3CDTF">2025-11-11T02:49:50Z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593DAD94C5A74707A8A085F4CA5D55B9_13</vt:lpwstr>
  </property>
  <property fmtid="{D5CDD505-2E9C-101B-9397-08002B2CF9AE}" pid="4" name="KSOTemplateDocerSaveRecord">
    <vt:lpwstr>eyJoZGlkIjoiMGVlNTcxYjIyNTdjMzg1NWY2NWViMWM4MjBjZWJmMjUiLCJ1c2VySWQiOiI0MjMzMDQ2NzYifQ==</vt:lpwstr>
  </property>
</Properties>
</file>