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上海地铁站内灯箱广告（专门面向中小企业）</w:t>
      </w:r>
      <w:r/>
    </w:p>
    <w:p>
      <w:pPr>
        <w:ind w:firstLine="1285"/>
        <w:spacing w:line="480" w:lineRule="auto"/>
        <w:rPr>
          <w:rFonts w:ascii="Arial" w:hAnsi="Arial"/>
          <w:b/>
          <w:bCs/>
          <w:color w:val="000000"/>
          <w:sz w:val="32"/>
          <w:szCs w:val="24"/>
        </w:rPr>
      </w:pPr>
      <w:r>
        <w:rPr>
          <w:rFonts w:hint="eastAsia" w:ascii="Arial" w:hAnsi="Arial"/>
          <w:b/>
          <w:bCs/>
          <w:color w:val="000000"/>
          <w:sz w:val="32"/>
          <w:szCs w:val="24"/>
        </w:rPr>
        <w:t xml:space="preserve">项目编号：JSZC-320700-YJGC-C2024-0006</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连云港云玖工程咨询有限公司</w:t>
      </w:r>
      <w:r/>
    </w:p>
    <w:p>
      <w:pPr>
        <w:jc w:val="center"/>
        <w:spacing w:before="120" w:after="120" w:line="360" w:lineRule="auto"/>
      </w:pPr>
      <w:r>
        <w:rPr>
          <w:rFonts w:hint="eastAsia" w:ascii="Arial" w:hAnsi="Arial"/>
          <w:b/>
          <w:bCs/>
          <w:color w:val="000000"/>
          <w:sz w:val="32"/>
          <w:szCs w:val="24"/>
        </w:rPr>
        <w:t xml:space="preserve">2024年11月</w:t>
      </w:r>
      <w:r>
        <w:br w:type="page" w:clear="all"/>
      </w:r>
      <w:r>
        <w:fldChar w:fldCharType="begin"/>
      </w:r>
      <w:r>
        <w:instrText xml:space="preserve"> TOC \o "1-1" \u </w:instrText>
      </w:r>
      <w:r>
        <w:fldChar w:fldCharType="separate"/>
      </w:r>
      <w:r/>
    </w:p>
    <w:p>
      <w:pPr>
        <w:jc w:val="center"/>
        <w:rPr>
          <w:rFonts w:ascii="黑体" w:hAnsi="黑体" w:eastAsia="黑体"/>
          <w:sz w:val="44"/>
          <w:szCs w:val="44"/>
        </w:rPr>
      </w:pPr>
      <w:r>
        <w:rPr>
          <w:rFonts w:hint="eastAsia" w:ascii="黑体" w:hAnsi="黑体" w:eastAsia="黑体"/>
          <w:sz w:val="44"/>
          <w:szCs w:val="44"/>
        </w:rPr>
        <w:t xml:space="preserve">目  录</w:t>
      </w:r>
      <w:r/>
    </w:p>
    <w:p>
      <w:pPr>
        <w:pStyle w:val="838"/>
      </w:pPr>
      <w:r>
        <w:rPr>
          <w:rFonts w:hint="eastAsia"/>
        </w:rPr>
        <w:t xml:space="preserve">第一章</w:t>
      </w:r>
      <w:r>
        <w:t xml:space="preserve">  </w:t>
      </w:r>
      <w:r>
        <w:rPr>
          <w:rFonts w:hint="eastAsia"/>
        </w:rPr>
        <w:t xml:space="preserve">磋商邀请</w:t>
      </w:r>
      <w:r>
        <w:tab/>
      </w:r>
      <w:r>
        <w:fldChar w:fldCharType="begin"/>
      </w:r>
      <w:r>
        <w:instrText xml:space="preserve"> PAGEREF _Toc161932691 \h </w:instrText>
      </w:r>
      <w:r>
        <w:fldChar w:fldCharType="separate"/>
      </w:r>
      <w:r>
        <w:t xml:space="preserve">1</w:t>
      </w:r>
      <w:r>
        <w:fldChar w:fldCharType="end"/>
      </w:r>
      <w:r/>
    </w:p>
    <w:p>
      <w:pPr>
        <w:pStyle w:val="838"/>
      </w:pPr>
      <w:r>
        <w:rPr>
          <w:rFonts w:hint="eastAsia"/>
        </w:rPr>
        <w:t xml:space="preserve">第二章</w:t>
      </w:r>
      <w:r>
        <w:t xml:space="preserve">  </w:t>
      </w:r>
      <w:r>
        <w:rPr>
          <w:rFonts w:hint="eastAsia"/>
        </w:rPr>
        <w:t xml:space="preserve">供应商须知</w:t>
      </w:r>
      <w:r>
        <w:tab/>
      </w:r>
      <w:r>
        <w:fldChar w:fldCharType="begin"/>
      </w:r>
      <w:r>
        <w:instrText xml:space="preserve"> PAGEREF _Toc161932692 \h </w:instrText>
      </w:r>
      <w:r>
        <w:fldChar w:fldCharType="separate"/>
      </w:r>
      <w:r>
        <w:t xml:space="preserve">4</w:t>
      </w:r>
      <w:r>
        <w:fldChar w:fldCharType="end"/>
      </w:r>
      <w:r/>
    </w:p>
    <w:p>
      <w:pPr>
        <w:pStyle w:val="838"/>
      </w:pPr>
      <w:r>
        <w:rPr>
          <w:rFonts w:hint="eastAsia"/>
        </w:rPr>
        <w:t xml:space="preserve">第三章</w:t>
      </w:r>
      <w:r>
        <w:t xml:space="preserve">  </w:t>
      </w:r>
      <w:r>
        <w:rPr>
          <w:rFonts w:hint="eastAsia"/>
        </w:rPr>
        <w:t xml:space="preserve">合同文本</w:t>
      </w:r>
      <w:r>
        <w:tab/>
      </w:r>
      <w:r>
        <w:fldChar w:fldCharType="begin"/>
      </w:r>
      <w:r>
        <w:instrText xml:space="preserve"> PAGEREF _Toc161932693 \h </w:instrText>
      </w:r>
      <w:r>
        <w:fldChar w:fldCharType="separate"/>
      </w:r>
      <w:r>
        <w:t xml:space="preserve">23</w:t>
      </w:r>
      <w:r>
        <w:fldChar w:fldCharType="end"/>
      </w:r>
      <w:r/>
    </w:p>
    <w:p>
      <w:pPr>
        <w:pStyle w:val="838"/>
      </w:pPr>
      <w:r>
        <w:rPr>
          <w:rFonts w:hint="eastAsia"/>
        </w:rPr>
        <w:t xml:space="preserve">第四章</w:t>
      </w:r>
      <w:r>
        <w:t xml:space="preserve">  </w:t>
      </w:r>
      <w:r>
        <w:rPr>
          <w:rFonts w:hint="eastAsia"/>
        </w:rPr>
        <w:t xml:space="preserve">采购需求</w:t>
      </w:r>
      <w:r>
        <w:tab/>
      </w:r>
      <w:r>
        <w:fldChar w:fldCharType="begin"/>
      </w:r>
      <w:r>
        <w:instrText xml:space="preserve"> PAGEREF _Toc161932694 \h </w:instrText>
      </w:r>
      <w:r>
        <w:fldChar w:fldCharType="separate"/>
      </w:r>
      <w:r>
        <w:t xml:space="preserve">28</w:t>
      </w:r>
      <w:r>
        <w:fldChar w:fldCharType="end"/>
      </w:r>
      <w:r/>
    </w:p>
    <w:p>
      <w:pPr>
        <w:pStyle w:val="838"/>
      </w:pPr>
      <w:r>
        <w:rPr>
          <w:rFonts w:hint="eastAsia"/>
        </w:rPr>
        <w:t xml:space="preserve">第五章</w:t>
      </w:r>
      <w:r>
        <w:t xml:space="preserve">  </w:t>
      </w:r>
      <w:r>
        <w:rPr>
          <w:rFonts w:hint="eastAsia"/>
        </w:rPr>
        <w:t xml:space="preserve">评审方法与评审标准</w:t>
      </w:r>
      <w:r>
        <w:tab/>
      </w:r>
      <w:r>
        <w:fldChar w:fldCharType="begin"/>
      </w:r>
      <w:r>
        <w:instrText xml:space="preserve"> PAGEREF _Toc161932695 \h </w:instrText>
      </w:r>
      <w:r>
        <w:fldChar w:fldCharType="separate"/>
      </w:r>
      <w:r>
        <w:t xml:space="preserve">31</w:t>
      </w:r>
      <w:r>
        <w:fldChar w:fldCharType="end"/>
      </w:r>
      <w:r/>
    </w:p>
    <w:p>
      <w:pPr>
        <w:pStyle w:val="838"/>
      </w:pPr>
      <w:r>
        <w:rPr>
          <w:rFonts w:hint="eastAsia"/>
        </w:rPr>
        <w:t xml:space="preserve">第六章</w:t>
      </w:r>
      <w:r>
        <w:t xml:space="preserve">  </w:t>
      </w:r>
      <w:r>
        <w:rPr>
          <w:rFonts w:hint="eastAsia"/>
        </w:rPr>
        <w:t xml:space="preserve">响应文件格式</w:t>
      </w:r>
      <w:r>
        <w:tab/>
      </w:r>
      <w:r>
        <w:fldChar w:fldCharType="begin"/>
      </w:r>
      <w:r>
        <w:instrText xml:space="preserve"> PAGEREF _Toc161932696 \h </w:instrText>
      </w:r>
      <w:r>
        <w:fldChar w:fldCharType="separate"/>
      </w:r>
      <w:r>
        <w:t xml:space="preserve">34</w:t>
      </w:r>
      <w:r>
        <w:fldChar w:fldCharType="end"/>
      </w:r>
      <w:r/>
    </w:p>
    <w:p>
      <w:pPr>
        <w:jc w:val="left"/>
        <w:widowControl/>
      </w:pPr>
      <w:r>
        <w:fldChar w:fldCharType="end"/>
      </w:r>
      <w:r>
        <w:br w:type="page" w:clear="all"/>
      </w:r>
      <w:r/>
    </w:p>
    <w:p>
      <w:pPr>
        <w:pStyle w:val="815"/>
        <w:jc w:val="center"/>
        <w:spacing w:before="156" w:after="156"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val="0"/>
        </w:rPr>
      </w:r>
      <w:r/>
    </w:p>
    <w:p>
      <w:pPr>
        <w:pStyle w:val="815"/>
        <w:jc w:val="center"/>
        <w:spacing w:before="156" w:after="156"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0"/>
        <w:jc w:val="left"/>
        <w:spacing w:line="500" w:lineRule="exact"/>
        <w:rPr>
          <w:sz w:val="24"/>
          <w:szCs w:val="24"/>
        </w:rPr>
      </w:pPr>
      <w:r>
        <w:rPr>
          <w:rFonts w:hint="eastAsia"/>
          <w:sz w:val="24"/>
          <w:szCs w:val="24"/>
        </w:rPr>
        <w:t xml:space="preserve">受</w:t>
      </w:r>
      <w:r>
        <w:rPr>
          <w:rFonts w:hint="eastAsia"/>
          <w:sz w:val="24"/>
          <w:szCs w:val="24"/>
          <w:lang w:eastAsia="zh-CN"/>
        </w:rPr>
        <w:t xml:space="preserve">连云港市文化广电和旅游局</w:t>
      </w:r>
      <w:r>
        <w:rPr>
          <w:rFonts w:hint="eastAsia"/>
          <w:sz w:val="24"/>
          <w:szCs w:val="24"/>
        </w:rPr>
        <w:t xml:space="preserve">的委托，</w:t>
      </w:r>
      <w:r>
        <w:rPr>
          <w:rFonts w:hint="eastAsia"/>
          <w:sz w:val="24"/>
          <w:szCs w:val="24"/>
          <w:lang w:eastAsia="zh-CN"/>
        </w:rPr>
        <w:t xml:space="preserve">连云港云玖工程咨询有限公司</w:t>
      </w:r>
      <w:r>
        <w:rPr>
          <w:rFonts w:hint="eastAsia"/>
          <w:sz w:val="24"/>
          <w:szCs w:val="24"/>
        </w:rPr>
        <w:t xml:space="preserve">就</w:t>
      </w:r>
      <w:r>
        <w:rPr>
          <w:rFonts w:hint="eastAsia"/>
          <w:sz w:val="24"/>
          <w:szCs w:val="24"/>
          <w:u w:val="single"/>
          <w:lang w:eastAsia="zh-CN"/>
        </w:rPr>
        <w:t xml:space="preserve">上海地铁站内灯箱广告（专门面向中小企业）</w:t>
      </w:r>
      <w:r>
        <w:rPr>
          <w:rFonts w:hint="eastAsia"/>
          <w:sz w:val="24"/>
          <w:szCs w:val="24"/>
        </w:rPr>
        <w:t xml:space="preserve">（项目编号:</w:t>
      </w:r>
      <w:r>
        <w:rPr>
          <w:sz w:val="24"/>
          <w:szCs w:val="24"/>
        </w:rPr>
        <w:t xml:space="preserve"> </w:t>
      </w:r>
      <w:r>
        <w:rPr>
          <w:rFonts w:hint="eastAsia"/>
          <w:sz w:val="24"/>
          <w:szCs w:val="24"/>
          <w:u w:val="single"/>
          <w:lang w:val="en-US" w:eastAsia="zh-CN"/>
        </w:rPr>
        <w:t xml:space="preserve"> JSZC-320700-YJGC-C2024-0006  </w:t>
      </w:r>
      <w:r>
        <w:rPr>
          <w:rFonts w:hint="eastAsia"/>
          <w:sz w:val="24"/>
          <w:szCs w:val="24"/>
        </w:rPr>
        <w:t xml:space="preserve">）进行竞争性磋商采购，欢迎符合条件的供应商参加磋商。</w:t>
      </w:r>
      <w:r/>
    </w:p>
    <w:tbl>
      <w:tblPr>
        <w:tblStyle w:val="6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sz w:val="24"/>
                <w:szCs w:val="24"/>
              </w:rPr>
              <w:t xml:space="preserve">项目概况</w:t>
            </w:r>
            <w:r/>
          </w:p>
          <w:p>
            <w:pPr>
              <w:jc w:val="left"/>
              <w:spacing w:line="500" w:lineRule="exact"/>
              <w:rPr>
                <w:sz w:val="24"/>
                <w:szCs w:val="24"/>
              </w:rPr>
            </w:pPr>
            <w:r>
              <w:rPr>
                <w:rFonts w:hint="eastAsia"/>
                <w:sz w:val="24"/>
                <w:szCs w:val="24"/>
                <w:u w:val="single"/>
                <w:lang w:eastAsia="zh-CN"/>
              </w:rPr>
              <w:t xml:space="preserve">上海地铁站内灯箱广告（专门面向中小企业）</w:t>
            </w:r>
            <w:r>
              <w:rPr>
                <w:sz w:val="24"/>
                <w:szCs w:val="24"/>
              </w:rPr>
              <w:t xml:space="preserve">的潜在供应商应在江苏政府采购网自行免费下载采购文件，并于2024年</w:t>
            </w:r>
            <w:r>
              <w:rPr>
                <w:rFonts w:hint="eastAsia"/>
                <w:sz w:val="24"/>
                <w:szCs w:val="24"/>
                <w:lang w:val="en-US" w:eastAsia="zh-CN"/>
              </w:rPr>
              <w:t xml:space="preserve">11</w:t>
            </w:r>
            <w:r>
              <w:rPr>
                <w:sz w:val="24"/>
                <w:szCs w:val="24"/>
              </w:rPr>
              <w:t xml:space="preserve">月</w:t>
            </w:r>
            <w:r>
              <w:rPr>
                <w:rFonts w:hint="eastAsia"/>
                <w:sz w:val="24"/>
                <w:szCs w:val="24"/>
                <w:lang w:val="en-US" w:eastAsia="zh-CN"/>
              </w:rPr>
              <w:t xml:space="preserve">26</w:t>
            </w:r>
            <w:r>
              <w:rPr>
                <w:sz w:val="24"/>
                <w:szCs w:val="24"/>
              </w:rPr>
              <w:t xml:space="preserve">日</w:t>
            </w:r>
            <w:r>
              <w:rPr>
                <w:rFonts w:hint="eastAsia"/>
                <w:sz w:val="24"/>
                <w:szCs w:val="24"/>
                <w:lang w:val="en-US" w:eastAsia="zh-CN"/>
              </w:rPr>
              <w:t xml:space="preserve"> 15</w:t>
            </w:r>
            <w:r>
              <w:rPr>
                <w:sz w:val="24"/>
                <w:szCs w:val="24"/>
              </w:rPr>
              <w:t xml:space="preserve">:00:00（北京时间）前提交（上传）响应文件。</w:t>
            </w:r>
            <w:r/>
          </w:p>
        </w:tc>
      </w:tr>
    </w:tbl>
    <w:p>
      <w:pPr>
        <w:pStyle w:val="81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项目名称：</w:t>
      </w:r>
      <w:r>
        <w:rPr>
          <w:rFonts w:hint="eastAsia" w:cs="Times New Roman"/>
          <w:sz w:val="24"/>
          <w:szCs w:val="24"/>
          <w:lang w:eastAsia="zh-CN"/>
        </w:rPr>
        <w:t xml:space="preserve">上海地铁站内灯箱广告（专门面向中小企业）</w:t>
      </w:r>
      <w:r/>
    </w:p>
    <w:p>
      <w:pPr>
        <w:ind w:firstLine="480"/>
        <w:jc w:val="left"/>
        <w:spacing w:line="50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预算金额：</w:t>
      </w:r>
      <w:r>
        <w:rPr>
          <w:rFonts w:hint="eastAsia" w:cs="Times New Roman"/>
          <w:sz w:val="24"/>
          <w:szCs w:val="24"/>
          <w:lang w:val="en-US" w:eastAsia="zh-CN"/>
        </w:rPr>
        <w:t xml:space="preserve">67</w:t>
      </w:r>
      <w:r>
        <w:rPr>
          <w:rFonts w:hint="eastAsia" w:ascii="Times New Roman" w:hAnsi="Times New Roman" w:eastAsia="宋体" w:cs="Times New Roman"/>
          <w:sz w:val="24"/>
          <w:szCs w:val="24"/>
          <w:lang w:eastAsia="zh-CN"/>
        </w:rPr>
        <w:t xml:space="preserve">万元，报价超出预算金额的按无效响应处理。</w:t>
      </w:r>
      <w:r/>
    </w:p>
    <w:p>
      <w:pPr>
        <w:ind w:firstLine="480"/>
        <w:jc w:val="left"/>
        <w:spacing w:line="500" w:lineRule="exact"/>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最高限价：6</w:t>
      </w:r>
      <w:r>
        <w:rPr>
          <w:rFonts w:hint="eastAsia" w:cs="Times New Roman"/>
          <w:sz w:val="24"/>
          <w:szCs w:val="24"/>
          <w:lang w:val="en-US" w:eastAsia="zh-CN"/>
        </w:rPr>
        <w:t xml:space="preserve">7</w:t>
      </w:r>
      <w:r>
        <w:rPr>
          <w:rFonts w:hint="eastAsia" w:ascii="Times New Roman" w:hAnsi="Times New Roman" w:eastAsia="宋体" w:cs="Times New Roman"/>
          <w:sz w:val="24"/>
          <w:szCs w:val="24"/>
          <w:lang w:val="en-US" w:eastAsia="zh-CN"/>
        </w:rPr>
        <w:t xml:space="preserve">万。</w:t>
      </w:r>
      <w:r/>
    </w:p>
    <w:p>
      <w:pPr>
        <w:ind w:firstLine="480"/>
        <w:jc w:val="left"/>
        <w:spacing w:line="5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采购方式：竞争性磋商</w:t>
      </w:r>
      <w:r/>
    </w:p>
    <w:p>
      <w:pPr>
        <w:ind w:firstLine="480"/>
        <w:jc w:val="left"/>
        <w:spacing w:line="500" w:lineRule="exact"/>
        <w:rPr>
          <w:rFonts w:hint="eastAsia" w:ascii="宋体" w:hAnsi="宋体" w:eastAsia="宋体" w:cs="宋体"/>
          <w:i w:val="0"/>
          <w:iCs w:val="0"/>
          <w:color w:val="auto"/>
          <w:sz w:val="24"/>
          <w:highlight w:val="none"/>
          <w:lang w:val="en-US" w:eastAsia="zh-CN"/>
        </w:rPr>
      </w:pPr>
      <w:r>
        <w:rPr>
          <w:rFonts w:hint="eastAsia" w:ascii="Times New Roman" w:hAnsi="Times New Roman" w:eastAsia="宋体" w:cs="Times New Roman"/>
          <w:sz w:val="24"/>
          <w:szCs w:val="24"/>
          <w:lang w:eastAsia="zh-CN"/>
        </w:rPr>
        <w:t xml:space="preserve">采购需求：</w:t>
      </w:r>
      <w:r>
        <w:rPr>
          <w:rFonts w:hint="eastAsia" w:ascii="Times New Roman" w:hAnsi="Times New Roman" w:eastAsia="宋体" w:cs="Times New Roman"/>
          <w:sz w:val="24"/>
          <w:szCs w:val="24"/>
        </w:rPr>
        <w:t xml:space="preserve">为进一步宣传推广</w:t>
      </w:r>
      <w:r>
        <w:rPr>
          <w:rFonts w:hint="eastAsia" w:ascii="Times New Roman" w:hAnsi="Times New Roman" w:eastAsia="宋体" w:cs="Times New Roman"/>
          <w:sz w:val="24"/>
          <w:szCs w:val="24"/>
          <w:lang w:val="en-US" w:eastAsia="zh-CN"/>
        </w:rPr>
        <w:t xml:space="preserve">连云港</w:t>
      </w:r>
      <w:r>
        <w:rPr>
          <w:rFonts w:hint="eastAsia" w:ascii="Times New Roman" w:hAnsi="Times New Roman" w:eastAsia="宋体" w:cs="Times New Roman"/>
          <w:sz w:val="24"/>
          <w:szCs w:val="24"/>
        </w:rPr>
        <w:t xml:space="preserve">文化和旅游资源</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拓展</w:t>
      </w:r>
      <w:r>
        <w:rPr>
          <w:rFonts w:hint="eastAsia" w:ascii="Times New Roman" w:hAnsi="Times New Roman" w:eastAsia="宋体" w:cs="Times New Roman"/>
          <w:sz w:val="24"/>
          <w:szCs w:val="24"/>
          <w:lang w:val="en-US" w:eastAsia="zh-CN"/>
        </w:rPr>
        <w:t xml:space="preserve">连云港</w:t>
      </w:r>
      <w:r>
        <w:rPr>
          <w:rFonts w:hint="eastAsia" w:ascii="Times New Roman" w:hAnsi="Times New Roman" w:eastAsia="宋体" w:cs="Times New Roman"/>
          <w:sz w:val="24"/>
          <w:szCs w:val="24"/>
        </w:rPr>
        <w:t xml:space="preserve">旅游的目标客源市场，提升</w:t>
      </w:r>
      <w:r>
        <w:rPr>
          <w:rFonts w:hint="eastAsia" w:ascii="Times New Roman" w:hAnsi="Times New Roman" w:eastAsia="宋体" w:cs="Times New Roman"/>
          <w:sz w:val="24"/>
          <w:szCs w:val="24"/>
          <w:lang w:val="en-US" w:eastAsia="zh-CN"/>
        </w:rPr>
        <w:t xml:space="preserve">连云港</w:t>
      </w:r>
      <w:r>
        <w:rPr>
          <w:rFonts w:hint="eastAsia" w:ascii="Times New Roman" w:hAnsi="Times New Roman" w:eastAsia="宋体" w:cs="Times New Roman"/>
          <w:sz w:val="24"/>
          <w:szCs w:val="24"/>
        </w:rPr>
        <w:t xml:space="preserve">文旅品牌影响力和美誉度，拟联合</w:t>
      </w:r>
      <w:r>
        <w:rPr>
          <w:rFonts w:hint="eastAsia" w:ascii="Times New Roman" w:hAnsi="Times New Roman" w:eastAsia="宋体" w:cs="Times New Roman"/>
          <w:sz w:val="24"/>
          <w:szCs w:val="24"/>
          <w:lang w:val="en-US" w:eastAsia="zh-CN"/>
        </w:rPr>
        <w:t xml:space="preserve">各区</w:t>
      </w:r>
      <w:r>
        <w:rPr>
          <w:rFonts w:hint="eastAsia" w:ascii="Times New Roman" w:hAnsi="Times New Roman" w:eastAsia="宋体" w:cs="Times New Roman"/>
          <w:sz w:val="24"/>
          <w:szCs w:val="24"/>
        </w:rPr>
        <w:t xml:space="preserve">相关文旅部</w:t>
      </w:r>
      <w:r>
        <w:rPr>
          <w:rFonts w:hint="eastAsia" w:ascii="宋体" w:hAnsi="宋体"/>
          <w:color w:val="auto"/>
          <w:sz w:val="24"/>
          <w:szCs w:val="24"/>
          <w:highlight w:val="none"/>
        </w:rPr>
        <w:t xml:space="preserve">门和文旅企业开展旅游宣传推广活动</w:t>
      </w:r>
      <w:r>
        <w:rPr>
          <w:rFonts w:hint="eastAsia" w:ascii="宋体" w:hAnsi="宋体"/>
          <w:color w:val="auto"/>
          <w:sz w:val="24"/>
          <w:szCs w:val="24"/>
          <w:highlight w:val="none"/>
          <w:lang w:eastAsia="zh-CN"/>
        </w:rPr>
        <w:t xml:space="preserve">，</w:t>
      </w:r>
      <w:r>
        <w:rPr>
          <w:rFonts w:hint="eastAsia" w:ascii="宋体" w:hAnsi="宋体" w:eastAsia="宋体" w:cs="宋体"/>
          <w:i w:val="0"/>
          <w:iCs w:val="0"/>
          <w:color w:val="auto"/>
          <w:sz w:val="24"/>
          <w:highlight w:val="none"/>
          <w:lang w:val="en-US" w:eastAsia="zh-CN"/>
        </w:rPr>
        <w:t xml:space="preserve">在</w:t>
      </w:r>
      <w:r>
        <w:rPr>
          <w:rFonts w:hint="eastAsia" w:ascii="宋体" w:hAnsi="宋体" w:cs="宋体"/>
          <w:i w:val="0"/>
          <w:iCs w:val="0"/>
          <w:color w:val="auto"/>
          <w:sz w:val="24"/>
          <w:highlight w:val="none"/>
          <w:lang w:val="en-US" w:eastAsia="zh-CN"/>
        </w:rPr>
        <w:t xml:space="preserve">上海</w:t>
      </w:r>
      <w:r>
        <w:rPr>
          <w:rFonts w:hint="eastAsia" w:ascii="宋体" w:hAnsi="宋体" w:eastAsia="宋体" w:cs="宋体"/>
          <w:i w:val="0"/>
          <w:iCs w:val="0"/>
          <w:color w:val="auto"/>
          <w:sz w:val="24"/>
          <w:highlight w:val="none"/>
          <w:lang w:val="en-US" w:eastAsia="zh-CN"/>
        </w:rPr>
        <w:t xml:space="preserve">地铁站内投放灯箱广告进行</w:t>
      </w:r>
      <w:r>
        <w:rPr>
          <w:rFonts w:hint="eastAsia" w:ascii="宋体" w:hAnsi="宋体"/>
          <w:color w:val="auto"/>
          <w:sz w:val="24"/>
          <w:szCs w:val="24"/>
          <w:highlight w:val="none"/>
          <w:lang w:eastAsia="zh-CN"/>
        </w:rPr>
        <w:t xml:space="preserve">文旅</w:t>
      </w:r>
      <w:r>
        <w:rPr>
          <w:rFonts w:hint="eastAsia" w:ascii="宋体" w:hAnsi="宋体"/>
          <w:color w:val="auto"/>
          <w:sz w:val="24"/>
          <w:szCs w:val="24"/>
          <w:highlight w:val="none"/>
        </w:rPr>
        <w:t xml:space="preserve">宣传推广活动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具体详见采购需求。</w:t>
      </w:r>
      <w:r/>
    </w:p>
    <w:p>
      <w:pPr>
        <w:ind w:firstLine="482"/>
        <w:jc w:val="left"/>
        <w:spacing w:line="500" w:lineRule="exact"/>
        <w:rPr>
          <w:rFonts w:hint="eastAsia"/>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eastAsia="zh-CN"/>
        </w:rPr>
        <w:t xml:space="preserve">合同履行期限：投放时间为合同签订之日起一年（具体联合投放时间以合同约定为准）</w:t>
      </w:r>
      <w:r>
        <w:rPr>
          <w:rFonts w:hint="eastAsia" w:ascii="宋体" w:hAnsi="宋体" w:eastAsia="宋体" w:cs="Times New Roman"/>
          <w:color w:val="auto"/>
          <w:sz w:val="24"/>
          <w:szCs w:val="24"/>
          <w:highlight w:val="none"/>
          <w:lang w:val="zh-CN" w:eastAsia="zh-CN"/>
        </w:rPr>
        <w:t xml:space="preserve">。</w:t>
      </w:r>
      <w:r/>
    </w:p>
    <w:p>
      <w:pPr>
        <w:ind w:firstLine="480"/>
        <w:jc w:val="left"/>
        <w:spacing w:line="5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本项目（是/否√）接受联合体投标：不接受联合体。</w:t>
      </w:r>
      <w:r/>
    </w:p>
    <w:p>
      <w:pPr>
        <w:pStyle w:val="81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7.资格审查现场查询信用中国、中国政府采购网，供应商被列入失信被执行人、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、政府采购严重违法失信行为记录名单及具有其他不符合《中华人民共和国政府采购法》第二十二条规定情形的，拒绝其参与政府采购活动。（响应文件中无需提供证明材料）</w:t>
      </w:r>
      <w:r/>
    </w:p>
    <w:p>
      <w:pPr>
        <w:ind w:firstLine="480"/>
        <w:jc w:val="left"/>
        <w:spacing w:line="500" w:lineRule="exact"/>
        <w:rPr>
          <w:rFonts w:hint="eastAsia"/>
          <w:sz w:val="24"/>
          <w:szCs w:val="24"/>
        </w:rPr>
      </w:pPr>
      <w:r>
        <w:rPr>
          <w:rFonts w:hint="eastAsia"/>
          <w:sz w:val="24"/>
          <w:szCs w:val="24"/>
        </w:rPr>
        <w:t xml:space="preserve">（二）落实政府采购政策需满足的资格要求：</w:t>
      </w:r>
      <w:r>
        <w:rPr>
          <w:rFonts w:hint="eastAsia" w:ascii="宋体" w:hAnsi="宋体" w:eastAsia="宋体" w:cs="宋体"/>
          <w:color w:val="auto"/>
          <w:sz w:val="24"/>
          <w:highlight w:val="non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招标文件第六章响应文件格式</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（三）本项目的特定资格要求：无。</w:t>
      </w:r>
      <w:r/>
    </w:p>
    <w:p>
      <w:pPr>
        <w:pStyle w:val="816"/>
        <w:spacing w:before="0" w:after="0" w:line="360" w:lineRule="auto"/>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rFonts w:hint="eastAsia" w:ascii="宋体" w:hAnsi="宋体" w:cs="宋体"/>
          <w:color w:val="auto"/>
          <w:sz w:val="24"/>
          <w:szCs w:val="28"/>
          <w:highlight w:val="none"/>
          <w:lang w:eastAsia="zh-CN"/>
        </w:rPr>
      </w:pPr>
      <w:r>
        <w:rPr>
          <w:rFonts w:hint="eastAsia"/>
          <w:sz w:val="24"/>
          <w:szCs w:val="24"/>
        </w:rPr>
        <w:t xml:space="preserve">时间：</w:t>
      </w:r>
      <w:r>
        <w:rPr>
          <w:rFonts w:hint="eastAsia" w:ascii="宋体" w:hAnsi="宋体" w:cs="宋体"/>
          <w:color w:val="auto"/>
          <w:sz w:val="24"/>
          <w:szCs w:val="28"/>
          <w:highlight w:val="none"/>
        </w:rPr>
        <w:t xml:space="preserve">20</w:t>
      </w:r>
      <w:r>
        <w:rPr>
          <w:rFonts w:hint="eastAsia" w:ascii="宋体" w:hAnsi="宋体" w:cs="宋体"/>
          <w:color w:val="auto"/>
          <w:sz w:val="24"/>
          <w:szCs w:val="28"/>
          <w:highlight w:val="none"/>
          <w:lang w:val="en-US" w:eastAsia="zh-CN"/>
        </w:rPr>
        <w:t xml:space="preserve">24</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11</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11</w:t>
      </w:r>
      <w:r>
        <w:rPr>
          <w:rFonts w:hint="eastAsia" w:ascii="宋体" w:hAnsi="宋体" w:cs="宋体"/>
          <w:color w:val="auto"/>
          <w:sz w:val="24"/>
          <w:szCs w:val="28"/>
          <w:highlight w:val="none"/>
        </w:rPr>
        <w:t xml:space="preserve">日至20</w:t>
      </w:r>
      <w:r>
        <w:rPr>
          <w:rFonts w:hint="eastAsia" w:ascii="宋体" w:hAnsi="宋体" w:cs="宋体"/>
          <w:color w:val="auto"/>
          <w:sz w:val="24"/>
          <w:szCs w:val="28"/>
          <w:highlight w:val="none"/>
          <w:lang w:val="en-US" w:eastAsia="zh-CN"/>
        </w:rPr>
        <w:t xml:space="preserve">24</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11</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18</w:t>
      </w:r>
      <w:r>
        <w:rPr>
          <w:rFonts w:hint="eastAsia" w:ascii="宋体" w:hAnsi="宋体" w:cs="宋体"/>
          <w:color w:val="auto"/>
          <w:sz w:val="24"/>
          <w:szCs w:val="28"/>
          <w:highlight w:val="none"/>
        </w:rPr>
        <w:t xml:space="preserve">日</w:t>
      </w:r>
      <w:r>
        <w:rPr>
          <w:rFonts w:hint="eastAsia" w:ascii="宋体" w:hAnsi="宋体" w:cs="宋体"/>
          <w:color w:val="auto"/>
          <w:sz w:val="24"/>
          <w:szCs w:val="28"/>
          <w:highlight w:val="none"/>
          <w:lang w:val="en-US" w:eastAsia="zh-CN"/>
        </w:rPr>
        <w:t xml:space="preserve">23</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59</w:t>
      </w:r>
      <w:r>
        <w:rPr>
          <w:rFonts w:hint="eastAsia" w:ascii="宋体" w:hAnsi="宋体" w:cs="宋体"/>
          <w:color w:val="auto"/>
          <w:sz w:val="24"/>
          <w:szCs w:val="28"/>
          <w:highlight w:val="none"/>
        </w:rPr>
        <w:t xml:space="preserve">:00止（北京时间）</w:t>
      </w:r>
      <w:r>
        <w:rPr>
          <w:rFonts w:hint="eastAsia" w:ascii="宋体" w:hAnsi="宋体" w:cs="宋体"/>
          <w:color w:val="auto"/>
          <w:sz w:val="24"/>
          <w:szCs w:val="28"/>
          <w:highlight w:val="none"/>
          <w:lang w:eastAsia="zh-CN"/>
        </w:rPr>
        <w:t xml:space="preserve">（</w:t>
      </w:r>
      <w:r>
        <w:rPr>
          <w:rFonts w:hint="eastAsia"/>
          <w:sz w:val="24"/>
          <w:szCs w:val="24"/>
        </w:rPr>
        <w:t xml:space="preserve">自磋商文件公告发布之日起5个工作日</w:t>
      </w:r>
      <w:r>
        <w:rPr>
          <w:rFonts w:hint="eastAsia" w:ascii="宋体" w:hAnsi="宋体" w:cs="宋体"/>
          <w:color w:val="auto"/>
          <w:sz w:val="24"/>
          <w:szCs w:val="28"/>
          <w:highlight w:val="none"/>
          <w:lang w:eastAsia="zh-CN"/>
        </w:rPr>
        <w:t xml:space="preserve">）</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方式：江苏政府采购网自行免费下载。</w:t>
      </w:r>
      <w:r/>
    </w:p>
    <w:p>
      <w:pPr>
        <w:ind w:firstLine="480"/>
        <w:jc w:val="left"/>
        <w:spacing w:line="500" w:lineRule="exact"/>
        <w:rPr>
          <w:sz w:val="24"/>
          <w:szCs w:val="24"/>
        </w:rPr>
      </w:pPr>
      <w:r>
        <w:rPr>
          <w:rFonts w:hint="eastAsia"/>
          <w:sz w:val="24"/>
          <w:szCs w:val="24"/>
        </w:rPr>
        <w:t xml:space="preserve">售价：0.00元</w:t>
      </w:r>
      <w:r/>
    </w:p>
    <w:p>
      <w:pPr>
        <w:pStyle w:val="816"/>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sz w:val="24"/>
          <w:szCs w:val="24"/>
        </w:rPr>
      </w:pPr>
      <w:r>
        <w:rPr>
          <w:rFonts w:hint="eastAsia"/>
          <w:sz w:val="24"/>
          <w:szCs w:val="24"/>
        </w:rPr>
        <w:t xml:space="preserve">截止时间：2024年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26</w:t>
      </w:r>
      <w:r>
        <w:rPr>
          <w:rFonts w:hint="eastAsia"/>
          <w:sz w:val="24"/>
          <w:szCs w:val="24"/>
        </w:rPr>
        <w:t xml:space="preserve">日</w:t>
      </w:r>
      <w:r>
        <w:rPr>
          <w:rFonts w:hint="eastAsia"/>
          <w:sz w:val="24"/>
          <w:szCs w:val="24"/>
          <w:lang w:val="en-US" w:eastAsia="zh-CN"/>
        </w:rPr>
        <w:t xml:space="preserve"> 15</w:t>
      </w:r>
      <w:bookmarkStart w:id="19" w:name="_GoBack"/>
      <w:r/>
      <w:bookmarkEnd w:id="19"/>
      <w:r>
        <w:rPr>
          <w:rFonts w:hint="eastAsia"/>
          <w:sz w:val="24"/>
          <w:szCs w:val="24"/>
        </w:rPr>
        <w:t xml:space="preserve">:00:00（北京时间）</w:t>
      </w:r>
      <w:r/>
    </w:p>
    <w:p>
      <w:pPr>
        <w:ind w:firstLine="480"/>
        <w:jc w:val="left"/>
        <w:spacing w:line="500" w:lineRule="exact"/>
      </w:pPr>
      <w:r>
        <w:rPr>
          <w:rFonts w:hint="eastAsia"/>
          <w:sz w:val="24"/>
          <w:szCs w:val="24"/>
        </w:rPr>
        <w:t xml:space="preserve">地点：“苏采云”政府采购交易系统网上开标大厅</w:t>
      </w:r>
      <w:r/>
    </w:p>
    <w:p>
      <w:pPr>
        <w:pStyle w:val="81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自本公告发布之日起3个工作日。</w:t>
      </w:r>
      <w:r/>
    </w:p>
    <w:p>
      <w:pPr>
        <w:pStyle w:val="81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1.本次磋商采购不收取磋商保证金。</w:t>
      </w:r>
      <w:r/>
    </w:p>
    <w:p>
      <w:pPr>
        <w:ind w:firstLine="480"/>
        <w:jc w:val="left"/>
        <w:spacing w:line="500" w:lineRule="exact"/>
        <w:rPr>
          <w:sz w:val="24"/>
          <w:szCs w:val="24"/>
        </w:rPr>
      </w:pPr>
      <w:r>
        <w:rPr>
          <w:rFonts w:hint="eastAsia"/>
          <w:sz w:val="24"/>
          <w:szCs w:val="24"/>
        </w:rPr>
        <w:t xml:space="preserve">2.本磋商文件中</w:t>
      </w:r>
      <w:r>
        <w:rPr>
          <w:rFonts w:hint="eastAsia" w:ascii="Times New Roman" w:hAnsi="Times New Roman" w:eastAsia="宋体" w:cs="Times New Roman"/>
          <w:color w:val="auto"/>
          <w:sz w:val="24"/>
          <w:szCs w:val="24"/>
          <w:highlight w:val="none"/>
        </w:rPr>
        <w:t xml:space="preserve">★</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16"/>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360" w:lineRule="auto"/>
        <w:rPr>
          <w:rFonts w:hint="eastAsia" w:ascii="宋体" w:hAnsi="宋体" w:eastAsia="宋体" w:cs="宋体"/>
          <w:color w:val="auto"/>
          <w:sz w:val="24"/>
          <w:szCs w:val="28"/>
          <w:highlight w:val="none"/>
        </w:rPr>
      </w:pPr>
      <w:r/>
      <w:bookmarkStart w:id="1" w:name="_Toc161932692"/>
      <w:r>
        <w:rPr>
          <w:rFonts w:hint="eastAsia" w:ascii="宋体" w:hAnsi="宋体" w:eastAsia="宋体" w:cs="宋体"/>
          <w:color w:val="auto"/>
          <w:sz w:val="24"/>
          <w:szCs w:val="28"/>
          <w:highlight w:val="none"/>
        </w:rPr>
        <w:t xml:space="preserve">1.采购人信息</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连云港市文化广电和旅游局</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    址：</w:t>
      </w:r>
      <w:r>
        <w:rPr>
          <w:rFonts w:hint="eastAsia" w:ascii="宋体" w:hAnsi="宋体" w:eastAsia="宋体" w:cs="宋体"/>
          <w:color w:val="auto"/>
          <w:sz w:val="24"/>
          <w:szCs w:val="24"/>
          <w:highlight w:val="none"/>
        </w:rPr>
        <w:t xml:space="preserve">连云港市海州区朝阳东路66号</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田</w:t>
      </w:r>
      <w:r>
        <w:rPr>
          <w:rFonts w:hint="eastAsia" w:ascii="宋体" w:hAnsi="宋体" w:eastAsia="宋体" w:cs="宋体"/>
          <w:color w:val="auto"/>
          <w:sz w:val="24"/>
          <w:szCs w:val="28"/>
          <w:highlight w:val="none"/>
          <w:lang w:val="en-US" w:eastAsia="zh-CN"/>
        </w:rPr>
        <w:t xml:space="preserve">女士  </w:t>
      </w:r>
      <w:r>
        <w:rPr>
          <w:rFonts w:hint="eastAsia" w:ascii="宋体" w:hAnsi="宋体" w:eastAsia="宋体" w:cs="宋体"/>
          <w:color w:val="auto"/>
          <w:sz w:val="24"/>
          <w:szCs w:val="24"/>
          <w:highlight w:val="none"/>
        </w:rPr>
        <w:t xml:space="preserve">0518-85820387</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2.采购代理机构信息</w:t>
      </w:r>
      <w:r/>
    </w:p>
    <w:p>
      <w:pPr>
        <w:ind w:firstLine="480"/>
        <w:jc w:val="lef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连云港云玖工程咨询有限公司</w:t>
      </w:r>
      <w:r/>
    </w:p>
    <w:p>
      <w:pPr>
        <w:ind w:firstLine="480"/>
        <w:jc w:val="lef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地　　址：</w:t>
      </w:r>
      <w:r>
        <w:rPr>
          <w:rFonts w:hint="eastAsia" w:ascii="宋体" w:hAnsi="宋体" w:eastAsia="宋体" w:cs="宋体"/>
          <w:color w:val="auto"/>
          <w:sz w:val="24"/>
          <w:szCs w:val="28"/>
          <w:highlight w:val="none"/>
          <w:lang w:eastAsia="zh-CN"/>
        </w:rPr>
        <w:t xml:space="preserve">连云港市海州区兴隆路26号苍梧生活广场A区东南侧3楼</w:t>
      </w:r>
      <w:r/>
    </w:p>
    <w:p>
      <w:pPr>
        <w:ind w:firstLine="48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联系方式：</w:t>
      </w:r>
      <w:r>
        <w:rPr>
          <w:rFonts w:hint="eastAsia" w:ascii="宋体" w:hAnsi="宋体" w:eastAsia="宋体" w:cs="宋体"/>
          <w:color w:val="auto"/>
          <w:sz w:val="24"/>
          <w:szCs w:val="28"/>
          <w:highlight w:val="none"/>
          <w:lang w:val="en-US" w:eastAsia="zh-CN"/>
        </w:rPr>
        <w:t xml:space="preserve">马工</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18961381251</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3.项目联系方式</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田</w:t>
      </w:r>
      <w:r>
        <w:rPr>
          <w:rFonts w:hint="eastAsia" w:ascii="宋体" w:hAnsi="宋体" w:eastAsia="宋体" w:cs="宋体"/>
          <w:color w:val="auto"/>
          <w:sz w:val="24"/>
          <w:szCs w:val="28"/>
          <w:highlight w:val="none"/>
          <w:lang w:val="en-US" w:eastAsia="zh-CN"/>
        </w:rPr>
        <w:t xml:space="preserve">女士</w:t>
      </w:r>
      <w:r/>
    </w:p>
    <w:p>
      <w:pPr>
        <w:ind w:firstLine="480"/>
        <w:jc w:val="left"/>
        <w:spacing w:line="360" w:lineRule="auto"/>
        <w:rPr>
          <w:rFonts w:hint="eastAsia" w:ascii="宋体" w:hAnsi="宋体" w:eastAsia="宋体" w:cs="宋体"/>
          <w:i w:val="0"/>
          <w:iCs w:val="0"/>
          <w:color w:val="auto"/>
          <w:sz w:val="24"/>
          <w:szCs w:val="24"/>
          <w:highlight w:val="none"/>
          <w:lang w:eastAsia="zh-CN"/>
        </w:rPr>
      </w:pPr>
      <w:r>
        <w:rPr>
          <w:rFonts w:hint="eastAsia" w:ascii="宋体" w:hAnsi="宋体" w:eastAsia="宋体" w:cs="宋体"/>
          <w:color w:val="auto"/>
          <w:sz w:val="24"/>
          <w:szCs w:val="28"/>
          <w:highlight w:val="none"/>
        </w:rPr>
        <w:t xml:space="preserve">电  话：</w:t>
      </w:r>
      <w:r>
        <w:rPr>
          <w:rFonts w:hint="eastAsia" w:ascii="宋体" w:hAnsi="宋体" w:eastAsia="宋体" w:cs="宋体"/>
          <w:color w:val="auto"/>
          <w:sz w:val="24"/>
          <w:szCs w:val="24"/>
          <w:highlight w:val="none"/>
        </w:rPr>
        <w:t xml:space="preserve">0518-85820387</w:t>
      </w:r>
      <w:r/>
    </w:p>
    <w:p>
      <w:pPr>
        <w:jc w:val="left"/>
        <w:widowControl/>
        <w:rPr>
          <w:rFonts w:ascii="黑体" w:hAnsi="黑体" w:eastAsia="黑体"/>
          <w:bCs/>
          <w:sz w:val="44"/>
          <w:szCs w:val="44"/>
        </w:rPr>
      </w:pPr>
      <w:r>
        <w:rPr>
          <w:rFonts w:ascii="黑体" w:hAnsi="黑体" w:eastAsia="黑体"/>
          <w:b/>
        </w:rPr>
        <w:br w:type="page" w:clear="all"/>
      </w:r>
      <w:r/>
    </w:p>
    <w:p>
      <w:pPr>
        <w:pStyle w:val="815"/>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bookmarkEnd w:id="1"/>
      <w:r/>
      <w:r/>
    </w:p>
    <w:p>
      <w:pPr>
        <w:pStyle w:val="816"/>
        <w:spacing w:before="0" w:after="0" w:line="360" w:lineRule="auto"/>
        <w:rPr>
          <w:rFonts w:ascii="黑体" w:hAnsi="黑体" w:eastAsia="黑体"/>
          <w:b w:val="0"/>
        </w:rPr>
      </w:pPr>
      <w:r>
        <w:rPr>
          <w:rFonts w:hint="eastAsia" w:ascii="黑体" w:hAnsi="黑体" w:eastAsia="黑体"/>
          <w:b w:val="0"/>
        </w:rPr>
        <w:t xml:space="preserve">一、总则</w:t>
      </w:r>
      <w:r/>
    </w:p>
    <w:p>
      <w:pPr>
        <w:pStyle w:val="81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817"/>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pStyle w:val="81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17"/>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w:t>
      </w:r>
      <w:r>
        <w:rPr>
          <w:rFonts w:hint="eastAsia"/>
          <w:sz w:val="24"/>
          <w:szCs w:val="24"/>
          <w:lang w:eastAsia="zh-CN"/>
        </w:rPr>
        <w:t xml:space="preserve">连云港云玖工程咨询有限公司</w:t>
      </w:r>
      <w:r>
        <w:rPr>
          <w:rFonts w:hint="eastAsia"/>
          <w:sz w:val="24"/>
          <w:szCs w:val="24"/>
        </w:rPr>
        <w:t xml:space="preserve">（以下简称</w:t>
      </w:r>
      <w:r>
        <w:rPr>
          <w:rFonts w:hint="eastAsia"/>
          <w:sz w:val="24"/>
          <w:szCs w:val="24"/>
          <w:lang w:eastAsia="zh-CN"/>
        </w:rPr>
        <w:t xml:space="preserve">代理机构</w:t>
      </w:r>
      <w:r>
        <w:rPr>
          <w:rFonts w:hint="eastAsia"/>
          <w:sz w:val="24"/>
          <w:szCs w:val="24"/>
        </w:rPr>
        <w:t xml:space="preserve">）在任何情况下均无义务和责任承担这些费用。</w:t>
      </w:r>
      <w:r/>
    </w:p>
    <w:p>
      <w:pPr>
        <w:ind w:firstLine="480"/>
        <w:jc w:val="left"/>
        <w:spacing w:line="500" w:lineRule="exact"/>
        <w:rPr>
          <w:color w:val="auto"/>
          <w:sz w:val="24"/>
          <w:szCs w:val="24"/>
          <w:highlight w:val="none"/>
        </w:rPr>
      </w:pPr>
      <w:r>
        <w:rPr>
          <w:rFonts w:hint="eastAsia"/>
          <w:sz w:val="24"/>
          <w:szCs w:val="24"/>
        </w:rPr>
        <w:t xml:space="preserve">4.2 </w:t>
      </w:r>
      <w:r>
        <w:rPr>
          <w:rFonts w:hint="eastAsia"/>
          <w:color w:val="auto"/>
          <w:sz w:val="24"/>
          <w:szCs w:val="24"/>
          <w:highlight w:val="none"/>
        </w:rPr>
        <w:t xml:space="preserve">代理服务费：按江苏省招标投标协会苏招协【2022】002号文，关于印发《江苏省招标代理服务收费的指导意见》的通知”规定</w:t>
      </w:r>
      <w:r>
        <w:rPr>
          <w:rFonts w:hint="eastAsia"/>
          <w:color w:val="auto"/>
          <w:sz w:val="24"/>
          <w:szCs w:val="24"/>
          <w:highlight w:val="none"/>
          <w:lang w:val="en-US" w:eastAsia="zh-CN"/>
        </w:rPr>
        <w:t xml:space="preserve">服务</w:t>
      </w:r>
      <w:r>
        <w:rPr>
          <w:rFonts w:hint="eastAsia"/>
          <w:color w:val="auto"/>
          <w:sz w:val="24"/>
          <w:szCs w:val="24"/>
          <w:highlight w:val="none"/>
        </w:rPr>
        <w:t xml:space="preserve">类标准计取，上述费用由</w:t>
      </w:r>
      <w:r>
        <w:rPr>
          <w:rFonts w:hint="eastAsia"/>
          <w:color w:val="auto"/>
          <w:sz w:val="24"/>
          <w:szCs w:val="24"/>
          <w:highlight w:val="none"/>
          <w:lang w:eastAsia="zh-CN"/>
        </w:rPr>
        <w:t xml:space="preserve">供应商</w:t>
      </w:r>
      <w:r>
        <w:rPr>
          <w:rFonts w:hint="eastAsia"/>
          <w:color w:val="auto"/>
          <w:sz w:val="24"/>
          <w:szCs w:val="24"/>
          <w:highlight w:val="none"/>
        </w:rPr>
        <w:t xml:space="preserve">综合考虑在投标报价中，由中标人领取成交通知书时一次性支付。</w:t>
      </w:r>
      <w:r/>
    </w:p>
    <w:p>
      <w:pPr>
        <w:pStyle w:val="817"/>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16"/>
        <w:spacing w:before="0" w:after="0" w:line="360" w:lineRule="auto"/>
        <w:rPr>
          <w:rFonts w:ascii="黑体" w:hAnsi="黑体" w:eastAsia="黑体"/>
          <w:b w:val="0"/>
        </w:rPr>
      </w:pPr>
      <w:r>
        <w:rPr>
          <w:rFonts w:hint="eastAsia" w:ascii="黑体" w:hAnsi="黑体" w:eastAsia="黑体"/>
          <w:b w:val="0"/>
        </w:rPr>
        <w:t xml:space="preserve">二、磋商文件</w:t>
      </w:r>
      <w:r/>
    </w:p>
    <w:p>
      <w:pPr>
        <w:pStyle w:val="817"/>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817"/>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817"/>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w:t>
      </w:r>
      <w:r>
        <w:rPr>
          <w:rFonts w:hint="eastAsia"/>
          <w:sz w:val="24"/>
          <w:szCs w:val="24"/>
          <w:lang w:eastAsia="zh-CN"/>
        </w:rPr>
        <w:t xml:space="preserve">代理机构</w:t>
      </w:r>
      <w:r>
        <w:rPr>
          <w:rFonts w:hint="eastAsia"/>
          <w:sz w:val="24"/>
          <w:szCs w:val="24"/>
        </w:rPr>
        <w:t xml:space="preserve">可以对磋商文件进行修改。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16"/>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817"/>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17"/>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w:t>
      </w:r>
      <w:r>
        <w:rPr>
          <w:rFonts w:hint="eastAsia"/>
          <w:sz w:val="24"/>
          <w:szCs w:val="24"/>
          <w:lang w:eastAsia="zh-CN"/>
        </w:rPr>
        <w:t xml:space="preserve">代理机构</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17"/>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17"/>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817"/>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17"/>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17"/>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17"/>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17"/>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代理机构</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816"/>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817"/>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17"/>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p>
    <w:p>
      <w:pPr>
        <w:pStyle w:val="817"/>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拒绝接收在磋商文件规定的截止时间后提交（上传）的任何响应文件。</w:t>
      </w:r>
      <w:r/>
    </w:p>
    <w:p>
      <w:pPr>
        <w:pStyle w:val="817"/>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16"/>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817"/>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及磋商小组联系。</w:t>
      </w:r>
      <w:r/>
    </w:p>
    <w:p>
      <w:pPr>
        <w:pStyle w:val="817"/>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w:t>
      </w:r>
      <w:r>
        <w:rPr>
          <w:rFonts w:hint="eastAsia"/>
          <w:sz w:val="24"/>
          <w:szCs w:val="24"/>
          <w:lang w:eastAsia="zh-CN"/>
        </w:rPr>
        <w:t xml:space="preserve">代理机构</w:t>
      </w:r>
      <w:r>
        <w:rPr>
          <w:rFonts w:hint="eastAsia"/>
          <w:sz w:val="24"/>
          <w:szCs w:val="24"/>
        </w:rPr>
        <w:t xml:space="preserve">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17"/>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w:t>
      </w:r>
      <w:r>
        <w:rPr>
          <w:rFonts w:hint="eastAsia"/>
          <w:sz w:val="24"/>
          <w:szCs w:val="24"/>
          <w:lang w:eastAsia="zh-CN"/>
        </w:rPr>
        <w:t xml:space="preserve">代理机构</w:t>
      </w:r>
      <w:r>
        <w:rPr>
          <w:rFonts w:hint="eastAsia"/>
          <w:sz w:val="24"/>
          <w:szCs w:val="24"/>
        </w:rPr>
        <w:t xml:space="preserve">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和磋商小组不向未成交的供应商解释未成交原因，也不公布评审过程中的相关细节。</w:t>
      </w:r>
      <w:r/>
    </w:p>
    <w:p>
      <w:pPr>
        <w:pStyle w:val="817"/>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17"/>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hint="eastAsia"/>
          <w:sz w:val="24"/>
          <w:szCs w:val="24"/>
        </w:rPr>
      </w:pPr>
      <w:r>
        <w:rPr>
          <w:rFonts w:hint="eastAsia"/>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所谓重大偏离是指在实质上与磋商文件不一致，而且限制了合同中买方和</w:t>
      </w:r>
      <w:r>
        <w:rPr>
          <w:rFonts w:hint="eastAsia"/>
          <w:sz w:val="24"/>
          <w:szCs w:val="24"/>
          <w:lang w:eastAsia="zh-CN"/>
        </w:rPr>
        <w:t xml:space="preserve">代理机构</w:t>
      </w:r>
      <w:r>
        <w:rPr>
          <w:rFonts w:hint="eastAsia"/>
          <w:sz w:val="24"/>
          <w:szCs w:val="24"/>
        </w:rPr>
        <w:t xml:space="preserve">的权利或供应商的义务，纠正这些偏离将会对其他实质性响应要求的供应商的竞争地位产生不公正的影响，</w:t>
      </w:r>
      <w:r>
        <w:rPr>
          <w:rFonts w:hint="eastAsia" w:cs="宋体"/>
          <w:sz w:val="24"/>
          <w:szCs w:val="24"/>
        </w:rPr>
        <w:t xml:space="preserve">有可能影响产品质量或者不能诚信履约的</w:t>
      </w:r>
      <w:r>
        <w:rPr>
          <w:rFonts w:hint="eastAsia"/>
          <w:sz w:val="24"/>
          <w:szCs w:val="24"/>
        </w:rPr>
        <w:t xml:space="preserve">。重大偏离的认定须经过磋商小组以少数服从多数的原则作出结论。磋商小组决定响应文件的响应性只根据响应文件本身的内容，而不寻求外部的证据。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pStyle w:val="817"/>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817"/>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817"/>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w:t>
      </w:r>
      <w:r>
        <w:rPr>
          <w:rFonts w:hint="eastAsia" w:ascii="Times New Roman" w:hAnsi="Times New Roman" w:eastAsia="宋体" w:cs="Times New Roman"/>
          <w:color w:val="auto"/>
          <w:sz w:val="24"/>
          <w:szCs w:val="24"/>
          <w:highlight w:val="none"/>
        </w:rPr>
        <w:t xml:space="preserve">★</w:t>
      </w:r>
      <w:r>
        <w:rPr>
          <w:rFonts w:hint="eastAsia"/>
          <w:sz w:val="24"/>
          <w:szCs w:val="24"/>
        </w:rPr>
        <w:t xml:space="preserve">部分为实质性要求和条件）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16"/>
        <w:spacing w:before="0" w:after="0" w:line="360" w:lineRule="auto"/>
        <w:rPr>
          <w:rFonts w:ascii="黑体" w:hAnsi="黑体" w:eastAsia="黑体"/>
          <w:b w:val="0"/>
        </w:rPr>
      </w:pPr>
      <w:r>
        <w:rPr>
          <w:rFonts w:hint="eastAsia" w:ascii="黑体" w:hAnsi="黑体" w:eastAsia="黑体"/>
          <w:b w:val="0"/>
        </w:rPr>
        <w:t xml:space="preserve">六、成交</w:t>
      </w:r>
      <w:r/>
    </w:p>
    <w:p>
      <w:pPr>
        <w:pStyle w:val="817"/>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w:t>
      </w:r>
      <w:r>
        <w:rPr>
          <w:rFonts w:hint="eastAsia"/>
          <w:sz w:val="24"/>
          <w:szCs w:val="24"/>
          <w:lang w:eastAsia="zh-CN"/>
        </w:rPr>
        <w:t xml:space="preserve">代理机构</w:t>
      </w:r>
      <w:r>
        <w:rPr>
          <w:rFonts w:hint="eastAsia"/>
          <w:sz w:val="24"/>
          <w:szCs w:val="24"/>
        </w:rPr>
        <w:t xml:space="preserve">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17"/>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w:t>
      </w:r>
      <w:r>
        <w:rPr>
          <w:rFonts w:hint="eastAsia"/>
          <w:sz w:val="24"/>
          <w:szCs w:val="24"/>
          <w:lang w:eastAsia="zh-CN"/>
        </w:rPr>
        <w:t xml:space="preserve">代理机构</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sz w:val="24"/>
          <w:szCs w:val="24"/>
        </w:rPr>
      </w:pPr>
      <w:r>
        <w:rPr>
          <w:rFonts w:hint="eastAsia"/>
          <w:sz w:val="24"/>
          <w:szCs w:val="24"/>
        </w:rPr>
        <w:t xml:space="preserve">31.3 成交供应商应在成交后七个工作日内，向采购人和</w:t>
      </w:r>
      <w:r>
        <w:rPr>
          <w:rFonts w:hint="eastAsia"/>
          <w:sz w:val="24"/>
          <w:szCs w:val="24"/>
          <w:lang w:eastAsia="zh-CN"/>
        </w:rPr>
        <w:t xml:space="preserve">代理机构</w:t>
      </w:r>
      <w:r>
        <w:rPr>
          <w:rFonts w:hint="eastAsia"/>
          <w:sz w:val="24"/>
          <w:szCs w:val="24"/>
        </w:rPr>
        <w:t xml:space="preserve">各提供一份与电子响应文件一致的纸质打印胶装响应文件，封面、骑缝需加盖公章。</w:t>
      </w:r>
      <w:r/>
    </w:p>
    <w:p>
      <w:pPr>
        <w:pStyle w:val="816"/>
        <w:spacing w:before="0" w:after="0" w:line="360" w:lineRule="auto"/>
        <w:rPr>
          <w:rFonts w:ascii="黑体" w:hAnsi="黑体" w:eastAsia="黑体"/>
          <w:b w:val="0"/>
        </w:rPr>
      </w:pPr>
      <w:r>
        <w:rPr>
          <w:rFonts w:hint="eastAsia" w:ascii="黑体" w:hAnsi="黑体" w:eastAsia="黑体"/>
          <w:b w:val="0"/>
        </w:rPr>
        <w:t xml:space="preserve">七、授予合同</w:t>
      </w:r>
      <w:r/>
    </w:p>
    <w:p>
      <w:pPr>
        <w:pStyle w:val="817"/>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 采购需求。</w:t>
      </w:r>
      <w:r/>
    </w:p>
    <w:p>
      <w:pPr>
        <w:pStyle w:val="817"/>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17"/>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17"/>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1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17"/>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应当在3个工作日内对供应商依法提出的询问作出答复，但答复的内容不得涉及商业秘密。供应商提出的询问超出采购人对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817"/>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17"/>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rFonts w:hint="eastAsia"/>
          <w:sz w:val="24"/>
          <w:szCs w:val="24"/>
        </w:rPr>
      </w:pPr>
      <w:r>
        <w:rPr>
          <w:rFonts w:hint="eastAsia"/>
          <w:sz w:val="24"/>
          <w:szCs w:val="24"/>
        </w:rPr>
        <w:t xml:space="preserve">38.5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pStyle w:val="817"/>
        <w:ind w:firstLine="562"/>
        <w:jc w:val="left"/>
        <w:spacing w:before="0" w:after="0" w:line="360" w:lineRule="auto"/>
        <w:rPr>
          <w:sz w:val="28"/>
          <w:szCs w:val="28"/>
        </w:rPr>
      </w:pPr>
      <w:r>
        <w:rPr>
          <w:rFonts w:hint="eastAsia"/>
          <w:sz w:val="28"/>
          <w:szCs w:val="28"/>
        </w:rPr>
        <w:t xml:space="preserve">39、质疑处理</w:t>
      </w:r>
      <w:r/>
    </w:p>
    <w:p>
      <w:pPr>
        <w:ind w:firstLine="480"/>
        <w:jc w:val="left"/>
        <w:spacing w:line="500" w:lineRule="exact"/>
        <w:rPr>
          <w:sz w:val="24"/>
          <w:szCs w:val="24"/>
        </w:rPr>
      </w:pPr>
      <w:r>
        <w:rPr>
          <w:rFonts w:hint="eastAsia"/>
          <w:sz w:val="24"/>
          <w:szCs w:val="24"/>
        </w:rPr>
        <w:t xml:space="preserve">39.1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39.4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39.6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39.7 未尽事宜，依照有关法律、法规执行。</w:t>
      </w:r>
      <w:r/>
    </w:p>
    <w:p>
      <w:pPr>
        <w:pStyle w:val="81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17"/>
        <w:ind w:firstLine="562"/>
        <w:jc w:val="left"/>
        <w:spacing w:before="0" w:after="0" w:line="360" w:lineRule="auto"/>
        <w:rPr>
          <w:sz w:val="28"/>
          <w:szCs w:val="28"/>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40.2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40.3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40.4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pStyle w:val="817"/>
        <w:ind w:firstLine="562"/>
        <w:jc w:val="left"/>
        <w:spacing w:before="0" w:after="0" w:line="360" w:lineRule="auto"/>
        <w:rPr>
          <w:sz w:val="28"/>
          <w:szCs w:val="28"/>
        </w:rPr>
      </w:pPr>
      <w:r>
        <w:rPr>
          <w:rFonts w:hint="eastAsia"/>
          <w:sz w:val="28"/>
          <w:szCs w:val="28"/>
        </w:rPr>
        <w:t xml:space="preserve">41、支持绿色发展</w:t>
      </w:r>
      <w:r/>
    </w:p>
    <w:p>
      <w:pPr>
        <w:ind w:firstLine="480"/>
        <w:jc w:val="left"/>
        <w:spacing w:line="500" w:lineRule="exact"/>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41.3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817"/>
        <w:ind w:firstLine="562"/>
        <w:jc w:val="left"/>
        <w:spacing w:before="0" w:after="0" w:line="360" w:lineRule="auto"/>
        <w:rPr>
          <w:sz w:val="28"/>
          <w:szCs w:val="28"/>
        </w:rPr>
      </w:pPr>
      <w:r>
        <w:rPr>
          <w:rFonts w:hint="eastAsia"/>
          <w:sz w:val="28"/>
          <w:szCs w:val="28"/>
        </w:rPr>
        <w:t xml:space="preserve">42、政府采购需求标准</w:t>
      </w:r>
      <w:r/>
    </w:p>
    <w:p>
      <w:pPr>
        <w:ind w:firstLine="480"/>
        <w:jc w:val="left"/>
        <w:spacing w:line="500" w:lineRule="exact"/>
        <w:rPr>
          <w:sz w:val="24"/>
          <w:szCs w:val="24"/>
        </w:rPr>
      </w:pPr>
      <w:r>
        <w:rPr>
          <w:rFonts w:hint="eastAsia"/>
          <w:sz w:val="24"/>
          <w:szCs w:val="24"/>
        </w:rPr>
        <w:t xml:space="preserve">42.1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p>
    <w:p>
      <w:pPr>
        <w:pStyle w:val="815"/>
        <w:jc w:val="center"/>
        <w:spacing w:before="156" w:after="156" w:line="360" w:lineRule="auto"/>
        <w:rPr>
          <w:rFonts w:ascii="黑体" w:hAnsi="黑体" w:eastAsia="黑体"/>
          <w:b w:val="0"/>
        </w:rPr>
      </w:pPr>
      <w:r/>
      <w:bookmarkStart w:id="2" w:name="_Toc161932693"/>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（备注：以下为成交后签订本项目合同的通用条款，成交供应商不得提出实质性的修改，签订合同时请删除本条备注。）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）竞争性磋商采购的结果，签订本合同。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ascii="宋体" w:hAnsi="宋体"/>
          <w:color w:val="000000"/>
          <w:sz w:val="24"/>
          <w:u w:val="single"/>
        </w:rPr>
        <w:t xml:space="preserve">      </w:t>
      </w:r>
      <w:r>
        <w:rPr>
          <w:rFonts w:hint="eastAsia"/>
          <w:sz w:val="24"/>
          <w:szCs w:val="24"/>
        </w:rPr>
        <w:t xml:space="preserve">元（¥</w:t>
      </w:r>
      <w:r>
        <w:rPr>
          <w:rFonts w:hint="eastAsia" w:ascii="宋体" w:hAnsi="宋体"/>
          <w:color w:val="000000"/>
          <w:sz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乙方应按磋商文件规定的时间向甲方提供有关技术资料。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宋体" w:hAnsi="宋体"/>
          <w:color w:val="000000"/>
          <w:sz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乙方应按磋商文件规定和响应文件承诺的性能、技术要求、质量标准向甲方提供产品或服务。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15"/>
        <w:jc w:val="center"/>
        <w:spacing w:before="156" w:after="156" w:line="360" w:lineRule="auto"/>
        <w:rPr>
          <w:rFonts w:ascii="黑体" w:hAnsi="黑体" w:eastAsia="黑体"/>
          <w:b w:val="0"/>
        </w:rPr>
      </w:pPr>
      <w:r/>
      <w:bookmarkStart w:id="3" w:name="_Toc161932694"/>
      <w:r>
        <w:rPr>
          <w:rFonts w:hint="eastAsia" w:ascii="黑体" w:hAnsi="黑体" w:eastAsia="黑体"/>
          <w:b w:val="0"/>
        </w:rPr>
        <w:t xml:space="preserve">第四章  采购需求</w:t>
      </w:r>
      <w:bookmarkEnd w:id="3"/>
      <w:r/>
      <w:r/>
    </w:p>
    <w:p>
      <w:pPr>
        <w:ind w:firstLine="482"/>
        <w:spacing w:line="480" w:lineRule="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说明：本项目采购方式为</w:t>
      </w:r>
      <w:r>
        <w:rPr>
          <w:rFonts w:hint="eastAsia" w:ascii="宋体" w:hAnsi="宋体" w:eastAsia="宋体" w:cs="宋体"/>
          <w:b/>
          <w:i w:val="0"/>
          <w:iCs w:val="0"/>
          <w:color w:val="auto"/>
          <w:sz w:val="24"/>
          <w:szCs w:val="24"/>
          <w:highlight w:val="none"/>
          <w:lang w:eastAsia="zh-CN"/>
        </w:rPr>
        <w:t xml:space="preserve">竞争性磋商</w:t>
      </w:r>
      <w:r>
        <w:rPr>
          <w:rFonts w:hint="eastAsia" w:ascii="宋体" w:hAnsi="宋体" w:eastAsia="宋体" w:cs="宋体"/>
          <w:b/>
          <w:i w:val="0"/>
          <w:iCs w:val="0"/>
          <w:color w:val="auto"/>
          <w:sz w:val="24"/>
          <w:szCs w:val="24"/>
          <w:highlight w:val="none"/>
        </w:rPr>
        <w:t xml:space="preserve">，项目属性为</w:t>
      </w:r>
      <w:r>
        <w:rPr>
          <w:rFonts w:hint="eastAsia" w:ascii="宋体" w:hAnsi="宋体" w:eastAsia="宋体" w:cs="宋体"/>
          <w:b/>
          <w:i w:val="0"/>
          <w:iCs w:val="0"/>
          <w:color w:val="auto"/>
          <w:sz w:val="24"/>
          <w:szCs w:val="24"/>
          <w:highlight w:val="none"/>
          <w:u w:val="single"/>
          <w:lang w:val="en-US" w:eastAsia="zh-CN"/>
        </w:rPr>
        <w:t xml:space="preserve"> </w:t>
      </w:r>
      <w:r>
        <w:rPr>
          <w:rFonts w:hint="eastAsia" w:ascii="宋体" w:hAnsi="宋体" w:eastAsia="宋体" w:cs="宋体"/>
          <w:b/>
          <w:i w:val="0"/>
          <w:iCs w:val="0"/>
          <w:color w:val="auto"/>
          <w:sz w:val="24"/>
          <w:szCs w:val="24"/>
          <w:highlight w:val="none"/>
          <w:u w:val="single"/>
        </w:rPr>
        <w:t xml:space="preserve">服务</w:t>
      </w:r>
      <w:r>
        <w:rPr>
          <w:rFonts w:hint="eastAsia" w:ascii="宋体" w:hAnsi="宋体" w:eastAsia="宋体" w:cs="宋体"/>
          <w:b/>
          <w:i w:val="0"/>
          <w:iCs w:val="0"/>
          <w:color w:val="auto"/>
          <w:sz w:val="24"/>
          <w:szCs w:val="24"/>
          <w:highlight w:val="none"/>
          <w:u w:val="single"/>
          <w:lang w:val="en-US" w:eastAsia="zh-CN"/>
        </w:rPr>
        <w:t xml:space="preserve"> </w:t>
      </w:r>
      <w:r>
        <w:rPr>
          <w:rFonts w:hint="eastAsia" w:ascii="宋体" w:hAnsi="宋体" w:eastAsia="宋体" w:cs="宋体"/>
          <w:b/>
          <w:i w:val="0"/>
          <w:iCs w:val="0"/>
          <w:color w:val="auto"/>
          <w:sz w:val="24"/>
          <w:szCs w:val="24"/>
          <w:highlight w:val="none"/>
        </w:rPr>
        <w:t xml:space="preserve">，采购标的对应的中小企业划分标准所属行业为</w:t>
      </w:r>
      <w:r>
        <w:rPr>
          <w:rFonts w:hint="eastAsia" w:ascii="宋体" w:hAnsi="宋体" w:eastAsia="宋体" w:cs="宋体"/>
          <w:b/>
          <w:i w:val="0"/>
          <w:iCs w:val="0"/>
          <w:color w:val="auto"/>
          <w:sz w:val="24"/>
          <w:szCs w:val="24"/>
          <w:highlight w:val="none"/>
          <w:u w:val="single"/>
          <w:lang w:val="en-US" w:eastAsia="zh-CN"/>
        </w:rPr>
        <w:t xml:space="preserve"> </w:t>
      </w:r>
      <w:r>
        <w:rPr>
          <w:rFonts w:hint="eastAsia" w:ascii="宋体" w:hAnsi="宋体" w:eastAsia="宋体" w:cs="宋体"/>
          <w:b/>
          <w:i w:val="0"/>
          <w:iCs w:val="0"/>
          <w:color w:val="auto"/>
          <w:sz w:val="24"/>
          <w:szCs w:val="24"/>
          <w:highlight w:val="none"/>
          <w:u w:val="single"/>
        </w:rPr>
        <w:t xml:space="preserve">其他未列明行业</w:t>
      </w:r>
      <w:r>
        <w:rPr>
          <w:rFonts w:hint="eastAsia" w:ascii="宋体" w:hAnsi="宋体" w:eastAsia="宋体" w:cs="宋体"/>
          <w:b/>
          <w:i w:val="0"/>
          <w:iCs w:val="0"/>
          <w:color w:val="auto"/>
          <w:sz w:val="24"/>
          <w:szCs w:val="24"/>
          <w:highlight w:val="none"/>
          <w:u w:val="single"/>
          <w:lang w:val="en-US" w:eastAsia="zh-CN"/>
        </w:rPr>
        <w:t xml:space="preserve"> </w:t>
      </w:r>
      <w:r>
        <w:rPr>
          <w:rFonts w:hint="eastAsia" w:ascii="宋体" w:hAnsi="宋体" w:eastAsia="宋体" w:cs="宋体"/>
          <w:b/>
          <w:i w:val="0"/>
          <w:iCs w:val="0"/>
          <w:color w:val="auto"/>
          <w:sz w:val="24"/>
          <w:szCs w:val="24"/>
          <w:highlight w:val="none"/>
        </w:rPr>
        <w:t xml:space="preserve">。</w:t>
      </w:r>
      <w:r/>
    </w:p>
    <w:p>
      <w:pPr>
        <w:ind w:firstLine="482"/>
        <w:spacing w:line="560" w:lineRule="exact"/>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文件中★部分为实质性要求和条件。</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必须作出满足或者优于原要求和条件的响应，否则投标无效。</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一、项目名称</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上海</w:t>
      </w:r>
      <w:r>
        <w:rPr>
          <w:rFonts w:hint="eastAsia" w:ascii="宋体" w:hAnsi="宋体" w:eastAsia="宋体" w:cs="宋体"/>
          <w:color w:val="auto"/>
          <w:sz w:val="24"/>
          <w:szCs w:val="24"/>
          <w:highlight w:val="none"/>
        </w:rPr>
        <w:t xml:space="preserve">地铁灯箱广告项目</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二、项目概况</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（一）项目简介</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为主动适应近年来微旅游、周边游、乡村游等短途碎片化旅游消费新趋势，强化我</w:t>
      </w:r>
      <w:r>
        <w:rPr>
          <w:rFonts w:hint="eastAsia" w:ascii="宋体" w:hAnsi="宋体" w:eastAsia="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rPr>
        <w:t xml:space="preserve">旅游整体形象宣传，持续打响</w:t>
      </w:r>
      <w:r>
        <w:rPr>
          <w:rFonts w:hint="eastAsia" w:ascii="宋体" w:hAnsi="宋体" w:eastAsia="宋体" w:cs="宋体"/>
          <w:color w:val="auto"/>
          <w:sz w:val="24"/>
          <w:szCs w:val="24"/>
          <w:highlight w:val="none"/>
          <w:lang w:eastAsia="zh-CN"/>
        </w:rPr>
        <w:t xml:space="preserve">连云港</w:t>
      </w:r>
      <w:r>
        <w:rPr>
          <w:rFonts w:hint="eastAsia" w:ascii="宋体" w:hAnsi="宋体" w:eastAsia="宋体" w:cs="宋体"/>
          <w:color w:val="auto"/>
          <w:sz w:val="24"/>
          <w:szCs w:val="24"/>
          <w:highlight w:val="none"/>
        </w:rPr>
        <w:t xml:space="preserve">品牌，激发</w:t>
      </w:r>
      <w:r>
        <w:rPr>
          <w:rFonts w:hint="eastAsia" w:ascii="宋体" w:hAnsi="宋体" w:eastAsia="宋体" w:cs="宋体"/>
          <w:color w:val="auto"/>
          <w:sz w:val="24"/>
          <w:szCs w:val="24"/>
          <w:highlight w:val="none"/>
          <w:lang w:eastAsia="zh-CN"/>
        </w:rPr>
        <w:t xml:space="preserve">市内</w:t>
      </w:r>
      <w:r>
        <w:rPr>
          <w:rFonts w:hint="eastAsia" w:ascii="宋体" w:hAnsi="宋体" w:eastAsia="宋体" w:cs="宋体"/>
          <w:color w:val="auto"/>
          <w:sz w:val="24"/>
          <w:szCs w:val="24"/>
          <w:highlight w:val="none"/>
        </w:rPr>
        <w:t xml:space="preserve">文旅消费市场潜力，</w:t>
      </w:r>
      <w:r>
        <w:rPr>
          <w:rFonts w:hint="eastAsia" w:ascii="宋体" w:hAnsi="宋体" w:eastAsia="宋体" w:cs="宋体"/>
          <w:color w:val="auto"/>
          <w:sz w:val="24"/>
          <w:szCs w:val="24"/>
          <w:highlight w:val="none"/>
          <w:lang w:eastAsia="zh-CN"/>
        </w:rPr>
        <w:t xml:space="preserve">连云港市文化广电和旅游局</w:t>
      </w:r>
      <w:r>
        <w:rPr>
          <w:rFonts w:hint="eastAsia" w:ascii="宋体" w:hAnsi="宋体" w:eastAsia="宋体" w:cs="宋体"/>
          <w:color w:val="auto"/>
          <w:sz w:val="24"/>
          <w:szCs w:val="24"/>
          <w:highlight w:val="none"/>
        </w:rPr>
        <w:t xml:space="preserve">将联合</w:t>
      </w:r>
      <w:r>
        <w:rPr>
          <w:rFonts w:hint="eastAsia" w:ascii="宋体" w:hAnsi="宋体" w:eastAsia="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rPr>
        <w:t xml:space="preserve">内各设区文化旅游部门和相关文旅企业在</w:t>
      </w:r>
      <w:r>
        <w:rPr>
          <w:rFonts w:hint="eastAsia" w:ascii="宋体" w:hAnsi="宋体" w:eastAsia="宋体" w:cs="宋体"/>
          <w:color w:val="auto"/>
          <w:sz w:val="24"/>
          <w:szCs w:val="24"/>
          <w:highlight w:val="none"/>
          <w:lang w:val="en-US" w:eastAsia="zh-CN"/>
        </w:rPr>
        <w:t xml:space="preserve">上海</w:t>
      </w:r>
      <w:r>
        <w:rPr>
          <w:rFonts w:hint="eastAsia" w:ascii="宋体" w:hAnsi="宋体" w:eastAsia="宋体" w:cs="宋体"/>
          <w:color w:val="auto"/>
          <w:sz w:val="24"/>
          <w:szCs w:val="24"/>
          <w:highlight w:val="none"/>
        </w:rPr>
        <w:t xml:space="preserve">地铁站内投放灯箱广告进行宣传推广。</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（二）服务范围</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发布</w:t>
      </w:r>
      <w:r>
        <w:rPr>
          <w:rFonts w:hint="eastAsia" w:ascii="宋体" w:hAnsi="宋体" w:eastAsia="宋体" w:cs="宋体"/>
          <w:color w:val="auto"/>
          <w:sz w:val="24"/>
          <w:szCs w:val="24"/>
          <w:highlight w:val="none"/>
          <w:lang w:eastAsia="zh-CN"/>
        </w:rPr>
        <w:t xml:space="preserve">连云港</w:t>
      </w:r>
      <w:r>
        <w:rPr>
          <w:rFonts w:hint="eastAsia" w:ascii="宋体" w:hAnsi="宋体" w:eastAsia="宋体" w:cs="宋体"/>
          <w:color w:val="auto"/>
          <w:sz w:val="24"/>
          <w:szCs w:val="24"/>
          <w:highlight w:val="none"/>
        </w:rPr>
        <w:t xml:space="preserve">文旅资源和产品。</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（三）服务要求</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要求覆盖</w:t>
      </w:r>
      <w:r>
        <w:rPr>
          <w:rFonts w:hint="eastAsia" w:ascii="宋体" w:hAnsi="宋体" w:eastAsia="宋体" w:cs="宋体"/>
          <w:color w:val="auto"/>
          <w:sz w:val="24"/>
          <w:szCs w:val="24"/>
          <w:highlight w:val="none"/>
          <w:lang w:val="en-US" w:eastAsia="zh-CN"/>
        </w:rPr>
        <w:t xml:space="preserve">上海</w:t>
      </w:r>
      <w:r>
        <w:rPr>
          <w:rFonts w:hint="eastAsia" w:ascii="宋体" w:hAnsi="宋体" w:eastAsia="宋体" w:cs="宋体"/>
          <w:color w:val="auto"/>
          <w:sz w:val="24"/>
          <w:szCs w:val="24"/>
          <w:highlight w:val="none"/>
        </w:rPr>
        <w:t xml:space="preserve">核心商圈，主城区知名旅游景区（点），</w:t>
      </w:r>
      <w:r>
        <w:rPr>
          <w:rFonts w:hint="eastAsia" w:ascii="宋体" w:hAnsi="宋体" w:eastAsia="宋体" w:cs="宋体"/>
          <w:color w:val="auto"/>
          <w:sz w:val="24"/>
          <w:szCs w:val="24"/>
          <w:highlight w:val="none"/>
          <w:lang w:val="en-US" w:eastAsia="zh-CN"/>
        </w:rPr>
        <w:t xml:space="preserve">上海</w:t>
      </w:r>
      <w:r>
        <w:rPr>
          <w:rFonts w:hint="eastAsia" w:ascii="宋体" w:hAnsi="宋体" w:eastAsia="宋体" w:cs="宋体"/>
          <w:color w:val="auto"/>
          <w:sz w:val="24"/>
          <w:szCs w:val="24"/>
          <w:highlight w:val="none"/>
        </w:rPr>
        <w:t xml:space="preserve">站、</w:t>
      </w:r>
      <w:r>
        <w:rPr>
          <w:rFonts w:hint="eastAsia" w:ascii="宋体" w:hAnsi="宋体" w:eastAsia="宋体" w:cs="宋体"/>
          <w:color w:val="auto"/>
          <w:sz w:val="24"/>
          <w:szCs w:val="24"/>
          <w:highlight w:val="none"/>
          <w:lang w:val="en-US" w:eastAsia="zh-CN"/>
        </w:rPr>
        <w:t xml:space="preserve">上海虹桥</w:t>
      </w:r>
      <w:r>
        <w:rPr>
          <w:rFonts w:hint="eastAsia" w:ascii="宋体" w:hAnsi="宋体" w:eastAsia="宋体" w:cs="宋体"/>
          <w:color w:val="auto"/>
          <w:sz w:val="24"/>
          <w:szCs w:val="24"/>
          <w:highlight w:val="none"/>
        </w:rPr>
        <w:t xml:space="preserve">站等重点交通枢纽以及市政府部门、大学生</w:t>
      </w:r>
      <w:r>
        <w:rPr>
          <w:rFonts w:hint="eastAsia" w:ascii="宋体" w:hAnsi="宋体" w:eastAsia="宋体" w:cs="宋体"/>
          <w:color w:val="auto"/>
          <w:sz w:val="24"/>
          <w:szCs w:val="24"/>
          <w:highlight w:val="none"/>
          <w:lang w:eastAsia="zh-CN"/>
        </w:rPr>
        <w:t xml:space="preserve">、居民住宅</w:t>
      </w:r>
      <w:r>
        <w:rPr>
          <w:rFonts w:hint="eastAsia" w:ascii="宋体" w:hAnsi="宋体" w:eastAsia="宋体" w:cs="宋体"/>
          <w:color w:val="auto"/>
          <w:sz w:val="24"/>
          <w:szCs w:val="24"/>
          <w:highlight w:val="none"/>
        </w:rPr>
        <w:t xml:space="preserve">比较集中的重点人群区域，让广大游客能感受到</w:t>
      </w:r>
      <w:r>
        <w:rPr>
          <w:rFonts w:hint="eastAsia" w:ascii="宋体" w:hAnsi="宋体" w:eastAsia="宋体" w:cs="宋体"/>
          <w:color w:val="auto"/>
          <w:sz w:val="24"/>
          <w:szCs w:val="24"/>
          <w:highlight w:val="none"/>
          <w:lang w:eastAsia="zh-CN"/>
        </w:rPr>
        <w:t xml:space="preserve">连云港</w:t>
      </w:r>
      <w:r>
        <w:rPr>
          <w:rFonts w:hint="eastAsia" w:ascii="宋体" w:hAnsi="宋体" w:eastAsia="宋体" w:cs="宋体"/>
          <w:color w:val="auto"/>
          <w:sz w:val="24"/>
          <w:szCs w:val="24"/>
          <w:highlight w:val="none"/>
        </w:rPr>
        <w:t xml:space="preserve">文旅品牌和产品带来的强烈视觉冲击，留下深刻、良好的品牌印象，激发更多的游客到</w:t>
      </w:r>
      <w:r>
        <w:rPr>
          <w:rFonts w:hint="eastAsia" w:ascii="宋体" w:hAnsi="宋体" w:eastAsia="宋体" w:cs="宋体"/>
          <w:color w:val="auto"/>
          <w:sz w:val="24"/>
          <w:szCs w:val="24"/>
          <w:highlight w:val="none"/>
          <w:lang w:eastAsia="zh-CN"/>
        </w:rPr>
        <w:t xml:space="preserve">连云港</w:t>
      </w:r>
      <w:r>
        <w:rPr>
          <w:rFonts w:hint="eastAsia" w:ascii="宋体" w:hAnsi="宋体" w:eastAsia="宋体" w:cs="宋体"/>
          <w:color w:val="auto"/>
          <w:sz w:val="24"/>
          <w:szCs w:val="24"/>
          <w:highlight w:val="none"/>
        </w:rPr>
        <w:t xml:space="preserve">各地感受美的风光、美的人文、美的味道、美的生活，收获美的发现。</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（四）服务标准</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该项目是</w:t>
      </w:r>
      <w:r>
        <w:rPr>
          <w:rFonts w:hint="eastAsia" w:ascii="宋体" w:hAnsi="宋体" w:eastAsia="宋体" w:cs="宋体"/>
          <w:color w:val="auto"/>
          <w:sz w:val="24"/>
          <w:szCs w:val="24"/>
          <w:highlight w:val="none"/>
          <w:lang w:eastAsia="zh-CN"/>
        </w:rPr>
        <w:t xml:space="preserve">市旅游广告投放项目</w:t>
      </w:r>
      <w:r>
        <w:rPr>
          <w:rFonts w:hint="eastAsia" w:ascii="宋体" w:hAnsi="宋体" w:eastAsia="宋体" w:cs="宋体"/>
          <w:color w:val="auto"/>
          <w:sz w:val="24"/>
          <w:szCs w:val="24"/>
          <w:highlight w:val="none"/>
        </w:rPr>
        <w:t xml:space="preserve">，以各参与投放单位的投放内容为主体，要求供应商同时在广告发布稿画面醒目显示或标注</w:t>
      </w:r>
      <w:r>
        <w:rPr>
          <w:rFonts w:hint="eastAsia" w:ascii="宋体" w:hAnsi="宋体" w:eastAsia="宋体" w:cs="宋体"/>
          <w:color w:val="auto"/>
          <w:sz w:val="24"/>
          <w:szCs w:val="24"/>
          <w:highlight w:val="none"/>
          <w:lang w:eastAsia="zh-CN"/>
        </w:rPr>
        <w:t xml:space="preserve">江苏</w:t>
      </w:r>
      <w:r>
        <w:rPr>
          <w:rFonts w:hint="eastAsia" w:ascii="宋体" w:hAnsi="宋体" w:eastAsia="宋体" w:cs="宋体"/>
          <w:color w:val="auto"/>
          <w:sz w:val="24"/>
          <w:szCs w:val="24"/>
          <w:highlight w:val="none"/>
        </w:rPr>
        <w:t xml:space="preserve">旅游宣传口号“</w:t>
      </w:r>
      <w:r>
        <w:rPr>
          <w:rFonts w:hint="eastAsia" w:ascii="宋体" w:hAnsi="宋体" w:eastAsia="宋体" w:cs="宋体"/>
          <w:color w:val="auto"/>
          <w:sz w:val="24"/>
          <w:szCs w:val="24"/>
          <w:highlight w:val="none"/>
          <w:lang w:eastAsia="zh-CN"/>
        </w:rPr>
        <w:t xml:space="preserve">水韵江苏</w:t>
      </w:r>
      <w:r>
        <w:rPr>
          <w:rFonts w:hint="eastAsia" w:ascii="宋体" w:hAnsi="宋体" w:eastAsia="宋体" w:cs="宋体"/>
          <w:color w:val="auto"/>
          <w:sz w:val="24"/>
          <w:szCs w:val="24"/>
          <w:highlight w:val="none"/>
        </w:rPr>
        <w:t xml:space="preserve">·有你会更美”和</w:t>
      </w:r>
      <w:r>
        <w:rPr>
          <w:rFonts w:hint="eastAsia" w:ascii="宋体" w:hAnsi="宋体" w:eastAsia="宋体" w:cs="宋体"/>
          <w:color w:val="auto"/>
          <w:sz w:val="24"/>
          <w:szCs w:val="24"/>
          <w:highlight w:val="none"/>
          <w:lang w:eastAsia="zh-CN"/>
        </w:rPr>
        <w:t xml:space="preserve">省厅</w:t>
      </w:r>
      <w:r>
        <w:rPr>
          <w:rFonts w:hint="eastAsia" w:ascii="宋体" w:hAnsi="宋体" w:eastAsia="宋体" w:cs="宋体"/>
          <w:color w:val="auto"/>
          <w:sz w:val="24"/>
          <w:szCs w:val="24"/>
          <w:highlight w:val="none"/>
        </w:rPr>
        <w:t xml:space="preserve">旅游标识,要求平面设计整体协调、美观大气、亮点突出、展示效果佳、视觉冲击力强，能给乘客留下深刻的美好印象。广告发布前需经过采购人审核确认。</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三、服务内容及相关技术要求</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（一）广告资源情况</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1、要求供应商具备投放</w:t>
      </w:r>
      <w:r>
        <w:rPr>
          <w:rFonts w:hint="eastAsia" w:ascii="宋体" w:hAnsi="宋体" w:eastAsia="宋体" w:cs="宋体"/>
          <w:color w:val="auto"/>
          <w:sz w:val="24"/>
          <w:szCs w:val="24"/>
          <w:highlight w:val="none"/>
          <w:lang w:val="en-US" w:eastAsia="zh-CN"/>
        </w:rPr>
        <w:t xml:space="preserve">上海</w:t>
      </w:r>
      <w:r>
        <w:rPr>
          <w:rFonts w:hint="eastAsia" w:ascii="宋体" w:hAnsi="宋体" w:eastAsia="宋体" w:cs="宋体"/>
          <w:color w:val="auto"/>
          <w:sz w:val="24"/>
          <w:szCs w:val="24"/>
          <w:highlight w:val="none"/>
        </w:rPr>
        <w:t xml:space="preserve">地铁站内灯箱广告平面媒体能力，供应商需提供在服务时间内有效的代理授权证明（须提供证明材料或盖章承诺函）；</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2、供应商应针对本项目提供广告资源具体投放位置方案，投放位置应当醒目、客流量大、广告到达率高，且确保有一定数量的广告资源。</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3、供应商媒体资源的展现形式要灵活丰富且辐射人群广，显示效果要好（能够吸引乘客关注，具有较强的视觉冲击力）。</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（二）项目团队</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针对本项目组建项目团队（10人含以上），从事文旅行业类似广告业务2年或以上（应提供承担过的项目及相关证明材料），团队人员配置合理、分工明确、经验丰富，尤其要具有较强的广告画面设计、制作等能力； </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项目团队负责人及团队成员经验丰富（2年及以上类似工作经验），团队服务方案应当全面、科学、合理（可提供以往类似合作案例）。                                                                                                                                                                                                    </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（三）广告投放方案</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1、广告发布素材由</w:t>
      </w:r>
      <w:r>
        <w:rPr>
          <w:rFonts w:hint="eastAsia" w:ascii="宋体" w:hAnsi="宋体" w:eastAsia="宋体" w:cs="宋体"/>
          <w:color w:val="auto"/>
          <w:sz w:val="24"/>
          <w:szCs w:val="24"/>
          <w:highlight w:val="none"/>
          <w:lang w:eastAsia="zh-CN"/>
        </w:rPr>
        <w:t xml:space="preserve">我市</w:t>
      </w:r>
      <w:r>
        <w:rPr>
          <w:rFonts w:hint="eastAsia" w:ascii="宋体" w:hAnsi="宋体" w:eastAsia="宋体" w:cs="宋体"/>
          <w:color w:val="auto"/>
          <w:sz w:val="24"/>
          <w:szCs w:val="24"/>
          <w:highlight w:val="none"/>
        </w:rPr>
        <w:t xml:space="preserve">各参与投放单位提供，成交供应商负责广告画面设计、制作、投放，要求画面设计整体协调、美观大气、亮点突出、展示效果佳、视觉冲击力强，广告发布前需经过采购人审核确认；</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2、该项目是</w:t>
      </w:r>
      <w:r>
        <w:rPr>
          <w:rFonts w:hint="eastAsia" w:ascii="宋体" w:hAnsi="宋体" w:eastAsia="宋体" w:cs="宋体"/>
          <w:color w:val="auto"/>
          <w:sz w:val="24"/>
          <w:szCs w:val="24"/>
          <w:highlight w:val="none"/>
          <w:lang w:eastAsia="zh-CN"/>
        </w:rPr>
        <w:t xml:space="preserve">市旅游广告投放项目</w:t>
      </w:r>
      <w:r>
        <w:rPr>
          <w:rFonts w:hint="eastAsia" w:ascii="宋体" w:hAnsi="宋体" w:eastAsia="宋体" w:cs="宋体"/>
          <w:color w:val="auto"/>
          <w:sz w:val="24"/>
          <w:szCs w:val="24"/>
          <w:highlight w:val="none"/>
        </w:rPr>
        <w:t xml:space="preserve">，以各参与投放单位的投放内容为主体，供应商同时在广告发布稿画面醒目显示或标注</w:t>
      </w:r>
      <w:r>
        <w:rPr>
          <w:rFonts w:hint="eastAsia" w:ascii="宋体" w:hAnsi="宋体" w:eastAsia="宋体" w:cs="宋体"/>
          <w:color w:val="auto"/>
          <w:sz w:val="24"/>
          <w:szCs w:val="24"/>
          <w:highlight w:val="none"/>
          <w:lang w:eastAsia="zh-CN"/>
        </w:rPr>
        <w:t xml:space="preserve">江苏文化</w:t>
      </w:r>
      <w:r>
        <w:rPr>
          <w:rFonts w:hint="eastAsia" w:ascii="宋体" w:hAnsi="宋体" w:eastAsia="宋体" w:cs="宋体"/>
          <w:color w:val="auto"/>
          <w:sz w:val="24"/>
          <w:szCs w:val="24"/>
          <w:highlight w:val="none"/>
        </w:rPr>
        <w:t xml:space="preserve">旅游宣传口号“</w:t>
      </w:r>
      <w:r>
        <w:rPr>
          <w:rFonts w:hint="eastAsia" w:ascii="宋体" w:hAnsi="宋体" w:eastAsia="宋体" w:cs="宋体"/>
          <w:color w:val="auto"/>
          <w:sz w:val="24"/>
          <w:szCs w:val="24"/>
          <w:highlight w:val="none"/>
          <w:lang w:eastAsia="zh-CN"/>
        </w:rPr>
        <w:t xml:space="preserve">水韵江苏</w:t>
      </w:r>
      <w:r>
        <w:rPr>
          <w:rFonts w:hint="eastAsia" w:ascii="宋体" w:hAnsi="宋体" w:eastAsia="宋体" w:cs="宋体"/>
          <w:color w:val="auto"/>
          <w:sz w:val="24"/>
          <w:szCs w:val="24"/>
          <w:highlight w:val="none"/>
        </w:rPr>
        <w:t xml:space="preserve">，有你会更美”和</w:t>
      </w:r>
      <w:r>
        <w:rPr>
          <w:rFonts w:hint="eastAsia" w:ascii="宋体" w:hAnsi="宋体" w:eastAsia="宋体" w:cs="宋体"/>
          <w:color w:val="auto"/>
          <w:sz w:val="24"/>
          <w:szCs w:val="24"/>
          <w:highlight w:val="none"/>
          <w:lang w:eastAsia="zh-CN"/>
        </w:rPr>
        <w:t xml:space="preserve">省厅</w:t>
      </w:r>
      <w:r>
        <w:rPr>
          <w:rFonts w:hint="eastAsia" w:ascii="宋体" w:hAnsi="宋体" w:eastAsia="宋体" w:cs="宋体"/>
          <w:color w:val="auto"/>
          <w:sz w:val="24"/>
          <w:szCs w:val="24"/>
          <w:highlight w:val="none"/>
        </w:rPr>
        <w:t xml:space="preserve">旅游标识；</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3、供应商要结合</w:t>
      </w:r>
      <w:r>
        <w:rPr>
          <w:rFonts w:hint="eastAsia" w:ascii="宋体" w:hAnsi="宋体" w:eastAsia="宋体" w:cs="宋体"/>
          <w:color w:val="auto"/>
          <w:sz w:val="24"/>
          <w:szCs w:val="24"/>
          <w:highlight w:val="none"/>
          <w:lang w:eastAsia="zh-CN"/>
        </w:rPr>
        <w:t xml:space="preserve">我市</w:t>
      </w:r>
      <w:r>
        <w:rPr>
          <w:rFonts w:hint="eastAsia" w:ascii="宋体" w:hAnsi="宋体" w:eastAsia="宋体" w:cs="宋体"/>
          <w:color w:val="auto"/>
          <w:sz w:val="24"/>
          <w:szCs w:val="24"/>
          <w:highlight w:val="none"/>
        </w:rPr>
        <w:t xml:space="preserve">各参与单位的投放需求，合理安排投放时间，能够满足采购人需求；</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4、针对本项目供应商要制定突发事件应急预案，要求应急响应程序完整、应急预案组织及责任分工明确、应急保证准备充分（如广告投放期间遇不可预见情况的处置）。</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（四）与本项目相关的其他服务</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供应商可根据本项目提供有效的其他服务，其他服务的平台或资源要适合开展旅游类广告宣传，应用方便，广告宣传方案完整，科学合理，且具有很强的吸引力、曝光率和针对性。</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（五）广告投放验收</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验收评估和后期服务，广告制作发布完成后，供应商须提供发布照片报告，并须提供由第三方专业调研机构出具的监测报告和效果评估报告作为结算依据，评估和监测的方案要科学合理可行，提供材料完整且报告应实事求是。监测报告和效果评估报告的费用不再另行支付。</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（六）项目报价</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供应商应按每月组合套装进行报价，将以下几个报价相加总和进行评分。</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上海</w:t>
      </w:r>
      <w:r>
        <w:rPr>
          <w:rFonts w:hint="eastAsia" w:ascii="宋体" w:hAnsi="宋体" w:eastAsia="宋体" w:cs="宋体"/>
          <w:color w:val="auto"/>
          <w:sz w:val="24"/>
          <w:szCs w:val="24"/>
          <w:highlight w:val="none"/>
        </w:rPr>
        <w:t xml:space="preserve">地铁站内灯箱：组合一：10块一个组合，S级不少于4块（每个站点1块），A++级不少于2块（每个站点1块）；组合二：20块一个组合，S级不少于8块（同上），A++级不少于4块（同上）。</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（七）服务时间</w:t>
      </w:r>
      <w:r/>
    </w:p>
    <w:p>
      <w:pPr>
        <w:ind w:left="420" w:firstLine="480"/>
        <w:jc w:val="left"/>
        <w:spacing w:line="360" w:lineRule="auto"/>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 xml:space="preserve">投放时间为合同签订之日起一年（具体联合投放时间以合同约定为准</w:t>
      </w:r>
      <w:r>
        <w:rPr>
          <w:rFonts w:hint="eastAsia" w:ascii="宋体" w:hAnsi="宋体" w:eastAsia="宋体" w:cs="宋体"/>
          <w:color w:val="auto"/>
          <w:sz w:val="24"/>
          <w:szCs w:val="24"/>
          <w:highlight w:val="none"/>
        </w:rPr>
        <w:t xml:space="preserve">）。</w:t>
      </w:r>
      <w:r/>
    </w:p>
    <w:p>
      <w:pPr>
        <w:ind w:left="42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五、其他事项</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1、该项目为联合投放项目，具体的广告投放次数和投放周期在成交后根据供应商的报价、各相关市县和单位的广告需求以及省级预算额度统筹安排。该项目不保证下限，在无市县认购的情况下，项目可能取消；</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提供本项目所需服务的单价以及总价款系包括但不限于为提供相关服务所付出的广告文件制作、审核、发布等支出以及相关人员工资和国家强制缴纳的各种社会保障资金，以及供应商认为需要的其他费用等；</w:t>
      </w:r>
      <w:r/>
    </w:p>
    <w:p>
      <w:pPr>
        <w:ind w:left="42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成交供应商应与市文广旅局、各参与广告投放单位签订好主体合同，</w:t>
      </w:r>
      <w:r>
        <w:rPr>
          <w:rFonts w:hint="eastAsia" w:ascii="宋体" w:hAnsi="宋体" w:eastAsia="宋体" w:cs="宋体"/>
          <w:color w:val="auto"/>
          <w:sz w:val="24"/>
          <w:szCs w:val="24"/>
          <w:highlight w:val="none"/>
        </w:rPr>
        <w:t xml:space="preserve">合同签订后15日内支付50%预付款，完成项目整体投放量的50%并提供阶段投放报告后15日内支付30%进度款，合同执行完毕，成交供应商需提供第三方监播报告和效果评估报告，项目经采购方验收合格且所有认购单位款项全部支付后15日内支付20%尾款。</w:t>
      </w:r>
      <w:r>
        <w:rPr>
          <w:rFonts w:hint="eastAsia" w:ascii="宋体" w:hAnsi="宋体" w:eastAsia="宋体" w:cs="宋体"/>
          <w:color w:val="auto"/>
          <w:sz w:val="24"/>
          <w:szCs w:val="24"/>
          <w:highlight w:val="none"/>
        </w:rPr>
        <w:br w:type="page" w:clear="all"/>
      </w:r>
      <w:r/>
    </w:p>
    <w:p>
      <w:pPr>
        <w:pStyle w:val="815"/>
        <w:jc w:val="center"/>
        <w:spacing w:before="156" w:after="156" w:line="360" w:lineRule="auto"/>
        <w:rPr>
          <w:rFonts w:ascii="黑体" w:hAnsi="黑体" w:eastAsia="黑体"/>
          <w:b w:val="0"/>
        </w:rPr>
      </w:pPr>
      <w:r/>
      <w:bookmarkStart w:id="4" w:name="_Toc161932695"/>
      <w:r>
        <w:rPr>
          <w:rFonts w:ascii="黑体" w:hAnsi="黑体" w:eastAsia="黑体"/>
          <w:b w:val="0"/>
        </w:rPr>
        <w:t xml:space="preserve">第五章</w:t>
      </w:r>
      <w:r>
        <w:rPr>
          <w:rFonts w:hint="eastAsia" w:ascii="黑体" w:hAnsi="黑体" w:eastAsia="黑体"/>
          <w:b w:val="0"/>
        </w:rPr>
        <w:t xml:space="preserve">  评审方法与评审标准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spacing w:line="360" w:lineRule="auto"/>
        <w:rPr>
          <w:rFonts w:ascii="宋体" w:hAnsi="宋体"/>
          <w:sz w:val="24"/>
        </w:rPr>
      </w:pPr>
      <w:r>
        <w:rPr>
          <w:rFonts w:hint="eastAsia" w:ascii="宋体" w:hAnsi="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sz w:val="24"/>
        </w:rPr>
      </w:pPr>
      <w:r>
        <w:rPr>
          <w:rFonts w:hint="eastAsia" w:ascii="宋体" w:hAnsi="宋体"/>
          <w:sz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p>
    <w:p>
      <w:pPr>
        <w:ind w:firstLine="480"/>
        <w:spacing w:line="360" w:lineRule="auto"/>
        <w:rPr>
          <w:rFonts w:ascii="宋体" w:hAnsi="宋体"/>
          <w:sz w:val="24"/>
        </w:rPr>
      </w:pPr>
      <w:r>
        <w:rPr>
          <w:rFonts w:hint="eastAsia" w:ascii="宋体" w:hAnsi="宋体"/>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spacing w:line="360" w:lineRule="auto"/>
        <w:rPr>
          <w:rFonts w:ascii="宋体" w:hAnsi="宋体"/>
          <w:sz w:val="24"/>
        </w:rPr>
      </w:pPr>
      <w:r>
        <w:rPr>
          <w:rFonts w:hint="eastAsia" w:ascii="宋体" w:hAnsi="宋体"/>
          <w:sz w:val="24"/>
        </w:rPr>
        <w:t xml:space="preserve">（2）本项目评分总分为100分，按四舍五入取至小数点后两位。</w:t>
      </w:r>
      <w:r/>
    </w:p>
    <w:p>
      <w:pPr>
        <w:ind w:firstLine="480"/>
        <w:spacing w:line="360" w:lineRule="auto"/>
        <w:rPr>
          <w:rFonts w:ascii="宋体" w:hAnsi="宋体"/>
          <w:sz w:val="24"/>
        </w:rPr>
      </w:pPr>
      <w:r>
        <w:rPr>
          <w:rFonts w:hint="eastAsia" w:ascii="宋体" w:hAnsi="宋体"/>
          <w:sz w:val="24"/>
        </w:rPr>
        <w:t xml:space="preserve">（3）总得分=价格分+技术分+商务分。</w:t>
      </w:r>
      <w:r/>
    </w:p>
    <w:p>
      <w:pPr>
        <w:rPr>
          <w:rFonts w:hint="eastAsia" w:cs="宋体"/>
          <w:b/>
          <w:i w:val="0"/>
          <w:iCs w:val="0"/>
          <w:color w:val="auto"/>
          <w:sz w:val="28"/>
          <w:szCs w:val="28"/>
          <w:highlight w:val="none"/>
          <w:lang w:val="en-US" w:eastAsia="zh-CN"/>
        </w:rPr>
      </w:pPr>
      <w:r>
        <w:rPr>
          <w:rFonts w:hint="eastAsia" w:cs="宋体"/>
          <w:b/>
          <w:i w:val="0"/>
          <w:iCs w:val="0"/>
          <w:color w:val="auto"/>
          <w:sz w:val="28"/>
          <w:szCs w:val="28"/>
          <w:highlight w:val="none"/>
          <w:lang w:val="en-US" w:eastAsia="zh-CN"/>
        </w:rPr>
      </w:r>
      <w:r/>
    </w:p>
    <w:p>
      <w:pPr>
        <w:pStyle w:val="851"/>
        <w:ind w:left="734" w:hanging="343"/>
        <w:jc w:val="left"/>
        <w:spacing w:line="360" w:lineRule="auto"/>
        <w:tabs>
          <w:tab w:val="left" w:pos="720" w:leader="none"/>
        </w:tabs>
        <w:rPr>
          <w:rFonts w:hint="eastAsia" w:ascii="宋体" w:hAnsi="宋体" w:eastAsia="宋体" w:cs="宋体"/>
          <w:b/>
          <w:i w:val="0"/>
          <w:iCs w:val="0"/>
          <w:color w:val="auto"/>
          <w:sz w:val="28"/>
          <w:szCs w:val="28"/>
          <w:highlight w:val="none"/>
        </w:rPr>
      </w:pPr>
      <w:r>
        <w:rPr>
          <w:rFonts w:hint="eastAsia" w:cs="宋体"/>
          <w:b/>
          <w:i w:val="0"/>
          <w:iCs w:val="0"/>
          <w:color w:val="auto"/>
          <w:sz w:val="28"/>
          <w:szCs w:val="28"/>
          <w:highlight w:val="none"/>
          <w:lang w:val="en-US" w:eastAsia="zh-CN"/>
        </w:rPr>
        <w:t xml:space="preserve">                 </w:t>
      </w:r>
      <w:r>
        <w:rPr>
          <w:rFonts w:hint="eastAsia" w:ascii="宋体" w:hAnsi="宋体" w:eastAsia="宋体" w:cs="宋体"/>
          <w:b/>
          <w:i w:val="0"/>
          <w:iCs w:val="0"/>
          <w:color w:val="auto"/>
          <w:sz w:val="28"/>
          <w:szCs w:val="28"/>
          <w:highlight w:val="none"/>
        </w:rPr>
        <w:t xml:space="preserve">综合评分法</w:t>
      </w:r>
      <w:r/>
    </w:p>
    <w:tbl>
      <w:tblPr>
        <w:tblStyle w:val="641"/>
        <w:tblW w:w="9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276"/>
        <w:gridCol w:w="7178"/>
        <w:gridCol w:w="760"/>
      </w:tblGrid>
      <w:tr>
        <w:trPr>
          <w:jc w:val="center"/>
          <w:trHeight w:val="476"/>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序号</w:t>
            </w:r>
            <w:r/>
          </w:p>
        </w:tc>
        <w:tc>
          <w:tcPr>
            <w:tcW w:w="1276"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评分项目</w:t>
            </w:r>
            <w:r/>
          </w:p>
        </w:tc>
        <w:tc>
          <w:tcPr>
            <w:tcW w:w="7178"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评分标准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分值</w:t>
            </w:r>
            <w:r/>
          </w:p>
        </w:tc>
      </w:tr>
      <w:tr>
        <w:trPr>
          <w:jc w:val="center"/>
          <w:trHeight w:val="90"/>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w:t>
            </w:r>
            <w:r/>
          </w:p>
        </w:tc>
        <w:tc>
          <w:tcPr>
            <w:tcW w:w="1276"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报价部分（</w:t>
            </w:r>
            <w:r>
              <w:rPr>
                <w:rFonts w:hint="eastAsia" w:ascii="宋体" w:hAnsi="宋体" w:cs="宋体"/>
                <w:b w:val="0"/>
                <w:bCs w:val="0"/>
                <w:color w:val="auto"/>
                <w:sz w:val="24"/>
                <w:szCs w:val="24"/>
                <w:highlight w:val="none"/>
                <w:lang w:val="en-US" w:eastAsia="zh-CN"/>
              </w:rPr>
              <w:t xml:space="preserve">20</w:t>
            </w:r>
            <w:r>
              <w:rPr>
                <w:rFonts w:hint="eastAsia" w:ascii="宋体" w:hAnsi="宋体" w:cs="宋体"/>
                <w:b w:val="0"/>
                <w:bCs w:val="0"/>
                <w:color w:val="auto"/>
                <w:sz w:val="24"/>
                <w:szCs w:val="24"/>
                <w:highlight w:val="none"/>
              </w:rPr>
              <w:t xml:space="preserve">分)</w:t>
            </w:r>
            <w:r/>
          </w:p>
        </w:tc>
        <w:tc>
          <w:tcPr>
            <w:tcW w:w="7178" w:type="dxa"/>
            <w:vAlign w:val="center"/>
            <w:textDirection w:val="lrTb"/>
            <w:noWrap w:val="false"/>
          </w:tcPr>
          <w:p>
            <w:pPr>
              <w:ind w:firstLine="480"/>
              <w:spacing w:line="360" w:lineRule="auto"/>
              <w:rPr>
                <w:rFonts w:hint="eastAsia" w:ascii="宋体" w:hAnsi="宋体"/>
                <w:sz w:val="24"/>
              </w:rPr>
            </w:pPr>
            <w:r>
              <w:rPr>
                <w:rFonts w:hint="eastAsia" w:ascii="宋体" w:hAnsi="宋体"/>
                <w:sz w:val="24"/>
              </w:rPr>
              <w:t xml:space="preserve">采用低价优先法计算，即满足磋商文件要求且最后报价最低的供应商的价格为磋商基准价，其价格分为满分。其他供应商的价格分统一按照下列公式计算：</w:t>
            </w:r>
            <w:r/>
          </w:p>
          <w:p>
            <w:pPr>
              <w:spacing w:line="360" w:lineRule="auto"/>
              <w:rPr>
                <w:rFonts w:ascii="宋体" w:hAnsi="宋体" w:cs="宋体"/>
                <w:b w:val="0"/>
                <w:bCs w:val="0"/>
                <w:color w:val="auto"/>
                <w:sz w:val="24"/>
                <w:szCs w:val="24"/>
                <w:highlight w:val="none"/>
              </w:rPr>
            </w:pPr>
            <w:r>
              <w:rPr>
                <w:rFonts w:hint="eastAsia" w:ascii="宋体" w:hAnsi="宋体"/>
                <w:sz w:val="24"/>
              </w:rPr>
              <w:t xml:space="preserve">磋商报价得分=（磋商基准价／最后磋商报价）×</w:t>
            </w:r>
            <w:r>
              <w:rPr>
                <w:rFonts w:hint="eastAsia" w:ascii="宋体" w:hAnsi="宋体"/>
                <w:sz w:val="24"/>
                <w:lang w:val="en-US" w:eastAsia="zh-CN"/>
              </w:rPr>
              <w:t xml:space="preserve">20</w:t>
            </w:r>
            <w:r>
              <w:rPr>
                <w:rFonts w:hint="eastAsia" w:ascii="宋体" w:hAnsi="宋体"/>
                <w:sz w:val="24"/>
              </w:rPr>
              <w:t xml:space="preserve">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ascii="宋体" w:hAnsi="宋体" w:cs="宋体"/>
                <w:b w:val="0"/>
                <w:bCs w:val="0"/>
                <w:color w:val="auto"/>
                <w:sz w:val="24"/>
                <w:szCs w:val="24"/>
                <w:highlight w:val="none"/>
              </w:rPr>
            </w:r>
            <w:r/>
          </w:p>
          <w:p>
            <w:pPr>
              <w:jc w:val="cente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20</w:t>
            </w:r>
            <w:r/>
          </w:p>
        </w:tc>
      </w:tr>
      <w:tr>
        <w:trPr>
          <w:jc w:val="center"/>
          <w:trHeight w:val="1924"/>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w:t>
            </w:r>
            <w:r/>
          </w:p>
        </w:tc>
        <w:tc>
          <w:tcPr>
            <w:tcW w:w="1276" w:type="dxa"/>
            <w:vAlign w:val="center"/>
            <w:vMerge w:val="restart"/>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资源情况</w:t>
            </w:r>
            <w:r/>
          </w:p>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（35分）</w:t>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color w:val="auto"/>
                <w:sz w:val="24"/>
                <w:szCs w:val="24"/>
                <w:highlight w:val="none"/>
              </w:rPr>
              <w:t xml:space="preserve">根据媒体资源位置、旅客停留时间、覆盖受众等情况进行打分，供应商提供的媒体资源位置好，旅客停留时间长便于旅客停留观看或者覆盖面广能够同时覆盖出发和达到的得</w:t>
            </w:r>
            <w:r>
              <w:rPr>
                <w:rFonts w:hint="eastAsia"/>
                <w:color w:val="auto"/>
                <w:sz w:val="24"/>
                <w:szCs w:val="24"/>
                <w:highlight w:val="none"/>
                <w:lang w:val="en-US" w:eastAsia="zh-CN"/>
              </w:rPr>
              <w:t xml:space="preserve">10</w:t>
            </w:r>
            <w:r>
              <w:rPr>
                <w:rFonts w:hint="eastAsia"/>
                <w:color w:val="auto"/>
                <w:sz w:val="24"/>
                <w:szCs w:val="24"/>
                <w:highlight w:val="none"/>
              </w:rPr>
              <w:t xml:space="preserve">分；提供的媒体资源位置较好，停留时间较长较能吸引旅客停留观看的得</w:t>
            </w:r>
            <w:r>
              <w:rPr>
                <w:rFonts w:hint="eastAsia"/>
                <w:color w:val="auto"/>
                <w:sz w:val="24"/>
                <w:szCs w:val="24"/>
                <w:highlight w:val="none"/>
                <w:lang w:val="en-US" w:eastAsia="zh-CN"/>
              </w:rPr>
              <w:t xml:space="preserve">6</w:t>
            </w:r>
            <w:r>
              <w:rPr>
                <w:rFonts w:hint="eastAsia"/>
                <w:color w:val="auto"/>
                <w:sz w:val="24"/>
                <w:szCs w:val="24"/>
                <w:highlight w:val="none"/>
              </w:rPr>
              <w:t xml:space="preserve">分；媒体资源位置较偏僻、不太具有吸引力、停留时间短的得</w:t>
            </w:r>
            <w:r>
              <w:rPr>
                <w:rFonts w:hint="eastAsia"/>
                <w:color w:val="auto"/>
                <w:sz w:val="24"/>
                <w:szCs w:val="24"/>
                <w:highlight w:val="none"/>
                <w:lang w:val="en-US" w:eastAsia="zh-CN"/>
              </w:rPr>
              <w:t xml:space="preserve">3</w:t>
            </w:r>
            <w:r>
              <w:rPr>
                <w:rFonts w:hint="eastAsia"/>
                <w:color w:val="auto"/>
                <w:sz w:val="24"/>
                <w:szCs w:val="24"/>
                <w:highlight w:val="none"/>
              </w:rPr>
              <w:t xml:space="preserve">分。（需提供相关媒体资源位置方案，不提供方案不得分）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10 </w:t>
            </w:r>
            <w:r/>
          </w:p>
        </w:tc>
      </w:tr>
      <w:tr>
        <w:trPr>
          <w:jc w:val="center"/>
          <w:trHeight w:val="662"/>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w:t>
            </w:r>
            <w:r/>
          </w:p>
        </w:tc>
        <w:tc>
          <w:tcPr>
            <w:tcW w:w="1276" w:type="dxa"/>
            <w:vAlign w:val="center"/>
            <w:vMerge w:val="continue"/>
            <w:textDirection w:val="lrTb"/>
            <w:noWrap w:val="false"/>
          </w:tcPr>
          <w:p>
            <w:pPr>
              <w:jc w:val="center"/>
              <w:spacing w:line="360" w:lineRule="auto"/>
              <w:rPr>
                <w:rFonts w:ascii="宋体" w:hAnsi="宋体" w:cs="宋体"/>
                <w:b w:val="0"/>
                <w:bCs w:val="0"/>
                <w:color w:val="auto"/>
                <w:sz w:val="24"/>
                <w:szCs w:val="24"/>
                <w:highlight w:val="none"/>
              </w:rPr>
            </w:pPr>
            <w:r>
              <w:rPr>
                <w:rFonts w:ascii="宋体" w:hAnsi="宋体" w:cs="宋体"/>
                <w:b w:val="0"/>
                <w:bCs w:val="0"/>
                <w:color w:val="auto"/>
                <w:sz w:val="24"/>
                <w:szCs w:val="24"/>
                <w:highlight w:val="none"/>
              </w:rPr>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根据供应商针对本项目的广告投放组合套装的详细站点配备方案进行评分。10块组合中：S级大于等于6块得6分；5块得4分；4块得2分；</w:t>
            </w:r>
            <w:r/>
          </w:p>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20块组合中：S级大于等于12块的得9分；9-11块的得6分；8块的得4分。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15 </w:t>
            </w:r>
            <w:r/>
          </w:p>
        </w:tc>
      </w:tr>
      <w:tr>
        <w:trPr>
          <w:jc w:val="center"/>
          <w:trHeight w:val="515"/>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4</w:t>
            </w:r>
            <w:r/>
          </w:p>
        </w:tc>
        <w:tc>
          <w:tcPr>
            <w:tcW w:w="1276" w:type="dxa"/>
            <w:vAlign w:val="center"/>
            <w:vMerge w:val="continue"/>
            <w:textDirection w:val="lrTb"/>
            <w:noWrap w:val="false"/>
          </w:tcPr>
          <w:p>
            <w:pPr>
              <w:jc w:val="center"/>
              <w:spacing w:line="360" w:lineRule="auto"/>
              <w:rPr>
                <w:rFonts w:ascii="宋体" w:hAnsi="宋体" w:cs="宋体"/>
                <w:b w:val="0"/>
                <w:bCs w:val="0"/>
                <w:color w:val="auto"/>
                <w:sz w:val="24"/>
                <w:szCs w:val="24"/>
                <w:highlight w:val="none"/>
              </w:rPr>
            </w:pPr>
            <w:r>
              <w:rPr>
                <w:rFonts w:ascii="宋体" w:hAnsi="宋体" w:cs="宋体"/>
                <w:b w:val="0"/>
                <w:bCs w:val="0"/>
                <w:color w:val="auto"/>
                <w:sz w:val="24"/>
                <w:szCs w:val="24"/>
                <w:highlight w:val="none"/>
              </w:rPr>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媒体资源形状进行评分，提供的地铁站内的灯箱媒体资源形状为横版的得5分；媒体资源形状为正方版的得3分；媒体资源形状为竖版的得1分（响应文件中需提供相关证明文件或承诺书并加盖公章，未提供或不符合要求均不得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w:t>
            </w:r>
            <w:r/>
          </w:p>
        </w:tc>
      </w:tr>
      <w:tr>
        <w:trPr>
          <w:jc w:val="center"/>
          <w:trHeight w:val="515"/>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w:t>
            </w:r>
            <w:r/>
          </w:p>
        </w:tc>
        <w:tc>
          <w:tcPr>
            <w:tcW w:w="1276" w:type="dxa"/>
            <w:vAlign w:val="center"/>
            <w:vMerge w:val="continue"/>
            <w:textDirection w:val="lrTb"/>
            <w:noWrap w:val="false"/>
          </w:tcPr>
          <w:p>
            <w:pPr>
              <w:jc w:val="center"/>
              <w:spacing w:line="360" w:lineRule="auto"/>
              <w:rPr>
                <w:rFonts w:ascii="宋体" w:hAnsi="宋体" w:cs="宋体"/>
                <w:b w:val="0"/>
                <w:bCs w:val="0"/>
                <w:color w:val="auto"/>
                <w:sz w:val="24"/>
                <w:szCs w:val="24"/>
                <w:highlight w:val="none"/>
              </w:rPr>
            </w:pPr>
            <w:r>
              <w:rPr>
                <w:rFonts w:ascii="宋体" w:hAnsi="宋体" w:cs="宋体"/>
                <w:b w:val="0"/>
                <w:bCs w:val="0"/>
                <w:color w:val="auto"/>
                <w:sz w:val="24"/>
                <w:szCs w:val="24"/>
                <w:highlight w:val="none"/>
              </w:rPr>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根据供应商拥有</w:t>
            </w:r>
            <w:r>
              <w:rPr>
                <w:rFonts w:hint="eastAsia" w:ascii="宋体" w:hAnsi="宋体" w:cs="宋体"/>
                <w:b w:val="0"/>
                <w:bCs w:val="0"/>
                <w:color w:val="auto"/>
                <w:sz w:val="24"/>
                <w:szCs w:val="24"/>
                <w:highlight w:val="none"/>
                <w:lang w:val="en-US" w:eastAsia="zh-CN"/>
              </w:rPr>
              <w:t xml:space="preserve">上海</w:t>
            </w:r>
            <w:r>
              <w:rPr>
                <w:rFonts w:hint="eastAsia" w:ascii="宋体" w:hAnsi="宋体" w:cs="宋体"/>
                <w:b w:val="0"/>
                <w:bCs w:val="0"/>
                <w:color w:val="auto"/>
                <w:sz w:val="24"/>
                <w:szCs w:val="24"/>
                <w:highlight w:val="none"/>
              </w:rPr>
              <w:t xml:space="preserve">地铁灯箱广告代理权的线路数量进行评分，拥有6条及以上地铁线路得5分；拥有3-5条地铁线路得3分；拥有3条以下地铁线路得1分。供应商提供的线路应能够覆盖</w:t>
            </w:r>
            <w:r>
              <w:rPr>
                <w:rFonts w:hint="eastAsia" w:ascii="宋体" w:hAnsi="宋体" w:cs="宋体"/>
                <w:b w:val="0"/>
                <w:bCs w:val="0"/>
                <w:color w:val="auto"/>
                <w:sz w:val="24"/>
                <w:szCs w:val="24"/>
                <w:highlight w:val="none"/>
                <w:lang w:val="en-US" w:eastAsia="zh-CN"/>
              </w:rPr>
              <w:t xml:space="preserve">上海</w:t>
            </w:r>
            <w:r>
              <w:rPr>
                <w:rFonts w:hint="eastAsia" w:ascii="宋体" w:hAnsi="宋体" w:cs="宋体"/>
                <w:b w:val="0"/>
                <w:bCs w:val="0"/>
                <w:color w:val="auto"/>
                <w:sz w:val="24"/>
                <w:szCs w:val="24"/>
                <w:highlight w:val="none"/>
              </w:rPr>
              <w:t xml:space="preserve">核心商圈，以及</w:t>
            </w:r>
            <w:r>
              <w:rPr>
                <w:rFonts w:hint="eastAsia" w:ascii="宋体" w:hAnsi="宋体" w:cs="宋体"/>
                <w:b w:val="0"/>
                <w:bCs w:val="0"/>
                <w:color w:val="auto"/>
                <w:sz w:val="24"/>
                <w:szCs w:val="24"/>
                <w:highlight w:val="none"/>
                <w:lang w:eastAsia="zh-CN"/>
              </w:rPr>
              <w:t xml:space="preserve">住宅聚集区</w:t>
            </w:r>
            <w:r>
              <w:rPr>
                <w:rFonts w:hint="eastAsia" w:ascii="宋体" w:hAnsi="宋体" w:cs="宋体"/>
                <w:b w:val="0"/>
                <w:bCs w:val="0"/>
                <w:color w:val="auto"/>
                <w:sz w:val="24"/>
                <w:szCs w:val="24"/>
                <w:highlight w:val="none"/>
              </w:rPr>
              <w:t xml:space="preserve">所在地等客流量较大或关注度较高的地区，否则本项目不得分。</w:t>
            </w:r>
            <w:r/>
          </w:p>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提供相关代理证明文件。</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w:t>
            </w:r>
            <w:r/>
          </w:p>
        </w:tc>
      </w:tr>
      <w:tr>
        <w:trPr>
          <w:jc w:val="center"/>
          <w:trHeight w:val="523"/>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6</w:t>
            </w:r>
            <w:r/>
          </w:p>
        </w:tc>
        <w:tc>
          <w:tcPr>
            <w:tcW w:w="1276"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广告创意设计方案</w:t>
            </w:r>
            <w:r/>
          </w:p>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（5分）</w:t>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根据供应商结合</w:t>
            </w:r>
            <w:r>
              <w:rPr>
                <w:rFonts w:hint="eastAsia" w:ascii="宋体" w:hAnsi="宋体" w:cs="宋体"/>
                <w:b w:val="0"/>
                <w:bCs w:val="0"/>
                <w:color w:val="auto"/>
                <w:sz w:val="24"/>
                <w:szCs w:val="24"/>
                <w:highlight w:val="none"/>
                <w:lang w:eastAsia="zh-CN"/>
              </w:rPr>
              <w:t xml:space="preserve">相应</w:t>
            </w:r>
            <w:r>
              <w:rPr>
                <w:rFonts w:hint="eastAsia" w:ascii="宋体" w:hAnsi="宋体" w:cs="宋体"/>
                <w:b w:val="0"/>
                <w:bCs w:val="0"/>
                <w:color w:val="auto"/>
                <w:sz w:val="24"/>
                <w:szCs w:val="24"/>
                <w:highlight w:val="none"/>
              </w:rPr>
              <w:t xml:space="preserve">宣传口号和</w:t>
            </w:r>
            <w:r>
              <w:rPr>
                <w:rFonts w:hint="eastAsia" w:ascii="宋体" w:hAnsi="宋体" w:cs="宋体"/>
                <w:b w:val="0"/>
                <w:bCs w:val="0"/>
                <w:color w:val="auto"/>
                <w:sz w:val="24"/>
                <w:szCs w:val="24"/>
                <w:highlight w:val="none"/>
                <w:lang w:eastAsia="zh-CN"/>
              </w:rPr>
              <w:t xml:space="preserve">水韵江苏旅游标识</w:t>
            </w:r>
            <w:r>
              <w:rPr>
                <w:rFonts w:hint="eastAsia" w:ascii="宋体" w:hAnsi="宋体" w:cs="宋体"/>
                <w:b w:val="0"/>
                <w:bCs w:val="0"/>
                <w:color w:val="auto"/>
                <w:sz w:val="24"/>
                <w:szCs w:val="24"/>
                <w:highlight w:val="none"/>
              </w:rPr>
              <w:t xml:space="preserve">（LOGO）（见招标文件附件）以及</w:t>
            </w:r>
            <w:r>
              <w:rPr>
                <w:rFonts w:hint="eastAsia" w:ascii="宋体" w:hAnsi="宋体" w:cs="宋体"/>
                <w:b w:val="0"/>
                <w:bCs w:val="0"/>
                <w:color w:val="auto"/>
                <w:sz w:val="24"/>
                <w:szCs w:val="24"/>
                <w:highlight w:val="none"/>
                <w:lang w:eastAsia="zh-CN"/>
              </w:rPr>
              <w:t xml:space="preserve">连云港</w:t>
            </w:r>
            <w:r>
              <w:rPr>
                <w:rFonts w:hint="eastAsia" w:ascii="宋体" w:hAnsi="宋体" w:cs="宋体"/>
                <w:b w:val="0"/>
                <w:bCs w:val="0"/>
                <w:color w:val="auto"/>
                <w:sz w:val="24"/>
                <w:szCs w:val="24"/>
                <w:highlight w:val="none"/>
              </w:rPr>
              <w:t xml:space="preserve">景区的图片（见招标文件附件），策划设计2个版本的平面媒体画面样稿进行评分。画面整体结构协调美观，设计思路能够完全与项目主题契合，且具有视觉冲击力得5分；画面整体结构协调，设计思路与项目主体接近但缺乏亮点得3分；画面整体结构松散，设计思路偏离主题得1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 </w:t>
            </w:r>
            <w:r/>
          </w:p>
        </w:tc>
      </w:tr>
      <w:tr>
        <w:trPr>
          <w:jc w:val="center"/>
          <w:trHeight w:val="813"/>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7</w:t>
            </w:r>
            <w:r/>
          </w:p>
        </w:tc>
        <w:tc>
          <w:tcPr>
            <w:tcW w:w="1276"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应急预案</w:t>
            </w:r>
            <w:r/>
          </w:p>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（5分）</w:t>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供应商针对本项目制定的突发事件预案进行评分。对本项评分要求理解透彻，各项保障措施及应急预案完备，并能够结合实际，符合项目特点和要求的得5分；对项目要求理解片面，各项保障措施及应急预案未完全贴合项目实际情况，方案有瑕疵和轻微偏差的得3分；对项目要求理解未结合实际，偏离项目特点和要求且有明显的缺陷和错误的得1分；未提供的不得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 </w:t>
            </w:r>
            <w:r/>
          </w:p>
        </w:tc>
      </w:tr>
      <w:tr>
        <w:trPr>
          <w:jc w:val="center"/>
          <w:trHeight w:val="558"/>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8</w:t>
            </w:r>
            <w:r/>
          </w:p>
        </w:tc>
        <w:tc>
          <w:tcPr>
            <w:tcW w:w="1276" w:type="dxa"/>
            <w:vAlign w:val="center"/>
            <w:vMerge w:val="restart"/>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项目团队（15分）</w:t>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rPr>
              <w:t xml:space="preserve">根据本项目团队人员配置情况进行评分。团队架构人数为20人（含）以上的得9分；团队架构人数为15-19人的得6分；团队架构人数为10-14人的得3分；团队架构人数10人（不含）以下不得分。需提供该项目团队成员的聘用合同及供应商为其缴纳的近三个月任意1个月社保缴纳证明材料（复印件加盖章），以实际提供的证明材料为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9 </w:t>
            </w:r>
            <w:r/>
          </w:p>
        </w:tc>
      </w:tr>
      <w:tr>
        <w:trPr>
          <w:jc w:val="center"/>
          <w:trHeight w:val="958"/>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9</w:t>
            </w:r>
            <w:r/>
          </w:p>
        </w:tc>
        <w:tc>
          <w:tcPr>
            <w:tcW w:w="1276" w:type="dxa"/>
            <w:vAlign w:val="center"/>
            <w:vMerge w:val="continue"/>
            <w:textDirection w:val="lrTb"/>
            <w:noWrap w:val="false"/>
          </w:tcPr>
          <w:p>
            <w:pPr>
              <w:jc w:val="center"/>
              <w:spacing w:line="360" w:lineRule="auto"/>
              <w:rPr>
                <w:rFonts w:ascii="宋体" w:hAnsi="宋体" w:cs="宋体"/>
                <w:b w:val="0"/>
                <w:bCs w:val="0"/>
                <w:color w:val="auto"/>
                <w:sz w:val="24"/>
                <w:szCs w:val="24"/>
                <w:highlight w:val="none"/>
              </w:rPr>
            </w:pPr>
            <w:r>
              <w:rPr>
                <w:rFonts w:ascii="宋体" w:hAnsi="宋体" w:cs="宋体"/>
                <w:b w:val="0"/>
                <w:bCs w:val="0"/>
                <w:color w:val="auto"/>
                <w:sz w:val="24"/>
                <w:szCs w:val="24"/>
                <w:highlight w:val="none"/>
              </w:rPr>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zh-TW" w:eastAsia="zh-TW"/>
              </w:rPr>
              <w:t xml:space="preserve">根据项目团队人员分工情况进行综合评分</w:t>
            </w:r>
            <w:r>
              <w:rPr>
                <w:rFonts w:hint="eastAsia" w:ascii="宋体" w:hAnsi="宋体" w:cs="宋体"/>
                <w:b w:val="0"/>
                <w:bCs w:val="0"/>
                <w:color w:val="auto"/>
                <w:sz w:val="24"/>
                <w:szCs w:val="24"/>
                <w:highlight w:val="none"/>
                <w:lang w:val="zh-TW"/>
              </w:rPr>
              <w:t xml:space="preserve">。</w:t>
            </w:r>
            <w:r>
              <w:rPr>
                <w:rFonts w:hint="eastAsia" w:ascii="宋体" w:hAnsi="宋体" w:cs="宋体"/>
                <w:b w:val="0"/>
                <w:bCs w:val="0"/>
                <w:color w:val="auto"/>
                <w:sz w:val="24"/>
                <w:szCs w:val="24"/>
                <w:highlight w:val="none"/>
                <w:lang w:val="zh-TW" w:eastAsia="zh-TW"/>
              </w:rPr>
              <w:t xml:space="preserve">人员配置安排</w:t>
            </w:r>
            <w:r>
              <w:rPr>
                <w:rFonts w:hint="eastAsia" w:ascii="宋体" w:hAnsi="宋体" w:cs="宋体"/>
                <w:b w:val="0"/>
                <w:bCs w:val="0"/>
                <w:color w:val="auto"/>
                <w:sz w:val="24"/>
                <w:szCs w:val="24"/>
                <w:highlight w:val="none"/>
              </w:rPr>
              <w:t xml:space="preserve">条理清晰</w:t>
            </w:r>
            <w:r>
              <w:rPr>
                <w:rFonts w:hint="eastAsia" w:ascii="宋体" w:hAnsi="宋体" w:cs="宋体"/>
                <w:b w:val="0"/>
                <w:bCs w:val="0"/>
                <w:color w:val="auto"/>
                <w:sz w:val="24"/>
                <w:szCs w:val="24"/>
                <w:highlight w:val="none"/>
                <w:lang w:val="zh-TW"/>
              </w:rPr>
              <w:t xml:space="preserve">，</w:t>
            </w:r>
            <w:r>
              <w:rPr>
                <w:rFonts w:hint="eastAsia" w:ascii="宋体" w:hAnsi="宋体" w:cs="宋体"/>
                <w:b w:val="0"/>
                <w:bCs w:val="0"/>
                <w:color w:val="auto"/>
                <w:sz w:val="24"/>
                <w:szCs w:val="24"/>
                <w:highlight w:val="none"/>
              </w:rPr>
              <w:t xml:space="preserve">针对各项职责</w:t>
            </w:r>
            <w:r>
              <w:rPr>
                <w:rFonts w:hint="eastAsia" w:ascii="宋体" w:hAnsi="宋体" w:cs="宋体"/>
                <w:b w:val="0"/>
                <w:bCs w:val="0"/>
                <w:color w:val="auto"/>
                <w:sz w:val="24"/>
                <w:szCs w:val="24"/>
                <w:highlight w:val="none"/>
                <w:lang w:val="zh-TW" w:eastAsia="zh-TW"/>
              </w:rPr>
              <w:t xml:space="preserve">有明确</w:t>
            </w:r>
            <w:r>
              <w:rPr>
                <w:rFonts w:hint="eastAsia" w:ascii="宋体" w:hAnsi="宋体" w:cs="宋体"/>
                <w:b w:val="0"/>
                <w:bCs w:val="0"/>
                <w:color w:val="auto"/>
                <w:sz w:val="24"/>
                <w:szCs w:val="24"/>
                <w:highlight w:val="none"/>
                <w:lang w:val="zh-TW"/>
              </w:rPr>
              <w:t xml:space="preserve">、</w:t>
            </w:r>
            <w:r>
              <w:rPr>
                <w:rFonts w:hint="eastAsia" w:ascii="宋体" w:hAnsi="宋体" w:cs="宋体"/>
                <w:b w:val="0"/>
                <w:bCs w:val="0"/>
                <w:color w:val="auto"/>
                <w:sz w:val="24"/>
                <w:szCs w:val="24"/>
                <w:highlight w:val="none"/>
              </w:rPr>
              <w:t xml:space="preserve">专业</w:t>
            </w:r>
            <w:r>
              <w:rPr>
                <w:rFonts w:hint="eastAsia" w:ascii="宋体" w:hAnsi="宋体" w:cs="宋体"/>
                <w:b w:val="0"/>
                <w:bCs w:val="0"/>
                <w:color w:val="auto"/>
                <w:sz w:val="24"/>
                <w:szCs w:val="24"/>
                <w:highlight w:val="none"/>
                <w:lang w:val="zh-TW" w:eastAsia="zh-TW"/>
              </w:rPr>
              <w:t xml:space="preserve">的岗位分工</w:t>
            </w:r>
            <w:r>
              <w:rPr>
                <w:rFonts w:hint="eastAsia" w:ascii="宋体" w:hAnsi="宋体" w:cs="宋体"/>
                <w:b w:val="0"/>
                <w:bCs w:val="0"/>
                <w:color w:val="auto"/>
                <w:sz w:val="24"/>
                <w:szCs w:val="24"/>
                <w:highlight w:val="none"/>
                <w:lang w:val="zh-TW"/>
              </w:rPr>
              <w:t xml:space="preserve">，</w:t>
            </w:r>
            <w:r>
              <w:rPr>
                <w:rFonts w:hint="eastAsia" w:ascii="宋体" w:hAnsi="宋体" w:cs="宋体"/>
                <w:b w:val="0"/>
                <w:bCs w:val="0"/>
                <w:color w:val="auto"/>
                <w:sz w:val="24"/>
                <w:szCs w:val="24"/>
                <w:highlight w:val="none"/>
              </w:rPr>
              <w:t xml:space="preserve">且各专业人员完全覆盖项目要求</w:t>
            </w:r>
            <w:r>
              <w:rPr>
                <w:rFonts w:hint="eastAsia" w:ascii="宋体" w:hAnsi="宋体" w:cs="宋体"/>
                <w:b w:val="0"/>
                <w:bCs w:val="0"/>
                <w:color w:val="auto"/>
                <w:sz w:val="24"/>
                <w:szCs w:val="24"/>
                <w:highlight w:val="none"/>
                <w:lang w:val="zh-TW" w:eastAsia="zh-TW"/>
              </w:rPr>
              <w:t xml:space="preserve">得</w:t>
            </w:r>
            <w:r>
              <w:rPr>
                <w:rFonts w:hint="eastAsia" w:ascii="宋体" w:hAnsi="宋体" w:cs="宋体"/>
                <w:b w:val="0"/>
                <w:bCs w:val="0"/>
                <w:color w:val="auto"/>
                <w:sz w:val="24"/>
                <w:szCs w:val="24"/>
                <w:highlight w:val="none"/>
                <w:lang w:val="zh-TW"/>
              </w:rPr>
              <w:t xml:space="preserve">6</w:t>
            </w:r>
            <w:r>
              <w:rPr>
                <w:rFonts w:hint="eastAsia" w:ascii="宋体" w:hAnsi="宋体" w:cs="宋体"/>
                <w:b w:val="0"/>
                <w:bCs w:val="0"/>
                <w:color w:val="auto"/>
                <w:sz w:val="24"/>
                <w:szCs w:val="24"/>
                <w:highlight w:val="none"/>
                <w:lang w:val="zh-TW" w:eastAsia="zh-TW"/>
              </w:rPr>
              <w:t xml:space="preserve">分；人员配置</w:t>
            </w:r>
            <w:r>
              <w:rPr>
                <w:rFonts w:hint="eastAsia" w:ascii="宋体" w:hAnsi="宋体" w:cs="宋体"/>
                <w:b w:val="0"/>
                <w:bCs w:val="0"/>
                <w:color w:val="auto"/>
                <w:sz w:val="24"/>
                <w:szCs w:val="24"/>
                <w:highlight w:val="none"/>
              </w:rPr>
              <w:t xml:space="preserve">安排条理清晰，有明确分工，各专业人员配置基本覆盖项目要求</w:t>
            </w:r>
            <w:r>
              <w:rPr>
                <w:rFonts w:hint="eastAsia" w:ascii="宋体" w:hAnsi="宋体" w:cs="宋体"/>
                <w:b w:val="0"/>
                <w:bCs w:val="0"/>
                <w:color w:val="auto"/>
                <w:sz w:val="24"/>
                <w:szCs w:val="24"/>
                <w:highlight w:val="none"/>
                <w:lang w:val="zh-TW" w:eastAsia="zh-TW"/>
              </w:rPr>
              <w:t xml:space="preserve">得</w:t>
            </w:r>
            <w:r>
              <w:rPr>
                <w:rFonts w:hint="eastAsia" w:ascii="宋体" w:hAnsi="宋体" w:cs="宋体"/>
                <w:b w:val="0"/>
                <w:bCs w:val="0"/>
                <w:color w:val="auto"/>
                <w:sz w:val="24"/>
                <w:szCs w:val="24"/>
                <w:highlight w:val="none"/>
                <w:lang w:val="zh-TW"/>
              </w:rPr>
              <w:t xml:space="preserve">4</w:t>
            </w:r>
            <w:r>
              <w:rPr>
                <w:rFonts w:hint="eastAsia" w:ascii="宋体" w:hAnsi="宋体" w:cs="宋体"/>
                <w:b w:val="0"/>
                <w:bCs w:val="0"/>
                <w:color w:val="auto"/>
                <w:sz w:val="24"/>
                <w:szCs w:val="24"/>
                <w:highlight w:val="none"/>
                <w:lang w:val="zh-TW" w:eastAsia="zh-TW"/>
              </w:rPr>
              <w:t xml:space="preserve">分；人员配置</w:t>
            </w:r>
            <w:r>
              <w:rPr>
                <w:rFonts w:hint="eastAsia" w:ascii="宋体" w:hAnsi="宋体" w:cs="宋体"/>
                <w:b w:val="0"/>
                <w:bCs w:val="0"/>
                <w:color w:val="auto"/>
                <w:sz w:val="24"/>
                <w:szCs w:val="24"/>
                <w:highlight w:val="none"/>
              </w:rPr>
              <w:t xml:space="preserve">安排混乱，没有针对各项职责进行专业岗位分工，各专业人员配置勉强达到项目要求</w:t>
            </w:r>
            <w:r>
              <w:rPr>
                <w:rFonts w:hint="eastAsia" w:ascii="宋体" w:hAnsi="宋体" w:cs="宋体"/>
                <w:b w:val="0"/>
                <w:bCs w:val="0"/>
                <w:color w:val="auto"/>
                <w:sz w:val="24"/>
                <w:szCs w:val="24"/>
                <w:highlight w:val="none"/>
                <w:lang w:val="zh-TW" w:eastAsia="zh-TW"/>
              </w:rPr>
              <w:t xml:space="preserve">得</w:t>
            </w:r>
            <w:r>
              <w:rPr>
                <w:rFonts w:hint="eastAsia" w:ascii="宋体" w:hAnsi="宋体" w:cs="宋体"/>
                <w:b w:val="0"/>
                <w:bCs w:val="0"/>
                <w:color w:val="auto"/>
                <w:sz w:val="24"/>
                <w:szCs w:val="24"/>
                <w:highlight w:val="none"/>
                <w:lang w:val="zh-TW"/>
              </w:rPr>
              <w:t xml:space="preserve">2</w:t>
            </w:r>
            <w:r>
              <w:rPr>
                <w:rFonts w:hint="eastAsia" w:ascii="宋体" w:hAnsi="宋体" w:cs="宋体"/>
                <w:b w:val="0"/>
                <w:bCs w:val="0"/>
                <w:color w:val="auto"/>
                <w:sz w:val="24"/>
                <w:szCs w:val="24"/>
                <w:highlight w:val="none"/>
                <w:lang w:val="zh-TW" w:eastAsia="zh-TW"/>
              </w:rPr>
              <w:t xml:space="preserve">分</w:t>
            </w:r>
            <w:r>
              <w:rPr>
                <w:rFonts w:hint="eastAsia" w:ascii="宋体" w:hAnsi="宋体" w:cs="宋体"/>
                <w:b w:val="0"/>
                <w:bCs w:val="0"/>
                <w:color w:val="auto"/>
                <w:sz w:val="24"/>
                <w:szCs w:val="24"/>
                <w:highlight w:val="none"/>
                <w:lang w:val="zh-TW"/>
              </w:rPr>
              <w:t xml:space="preserve">，</w:t>
            </w:r>
            <w:r>
              <w:rPr>
                <w:rFonts w:hint="eastAsia" w:ascii="宋体" w:hAnsi="宋体" w:cs="宋体"/>
                <w:b w:val="0"/>
                <w:bCs w:val="0"/>
                <w:color w:val="auto"/>
                <w:sz w:val="24"/>
                <w:szCs w:val="24"/>
                <w:highlight w:val="none"/>
                <w:lang w:val="zh-TW" w:eastAsia="zh-TW"/>
              </w:rPr>
              <w:t xml:space="preserve">未提供不得分。需提供该项目团队成员的聘用合同及供应商为其缴纳的近三个月任意1个月社保缴纳证明材料（复印件加盖章），以实际提供的证明材料为准。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6</w:t>
            </w:r>
            <w:r/>
          </w:p>
        </w:tc>
      </w:tr>
      <w:tr>
        <w:trPr>
          <w:jc w:val="center"/>
          <w:trHeight w:val="885"/>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10</w:t>
            </w:r>
            <w:r/>
          </w:p>
        </w:tc>
        <w:tc>
          <w:tcPr>
            <w:tcW w:w="1276"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业绩情况（1</w:t>
            </w:r>
            <w:r>
              <w:rPr>
                <w:rFonts w:hint="eastAsia" w:ascii="宋体" w:hAnsi="宋体" w:cs="宋体"/>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rPr>
              <w:t xml:space="preserve">分)</w:t>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20</w:t>
            </w:r>
            <w:r>
              <w:rPr>
                <w:rFonts w:hint="eastAsia" w:ascii="宋体" w:hAnsi="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rPr>
              <w:t xml:space="preserve">年1月1日（含）以来，</w:t>
            </w:r>
            <w:r>
              <w:rPr>
                <w:rFonts w:hint="eastAsia" w:ascii="宋体" w:hAnsi="宋体" w:cs="宋体"/>
                <w:b w:val="0"/>
                <w:bCs w:val="0"/>
                <w:color w:val="auto"/>
                <w:sz w:val="24"/>
                <w:szCs w:val="24"/>
                <w:highlight w:val="none"/>
                <w:lang w:eastAsia="zh-CN"/>
              </w:rPr>
              <w:t xml:space="preserve">投标供应商</w:t>
            </w:r>
            <w:r>
              <w:rPr>
                <w:rFonts w:hint="eastAsia" w:ascii="宋体" w:hAnsi="宋体" w:cs="宋体"/>
                <w:b w:val="0"/>
                <w:bCs w:val="0"/>
                <w:color w:val="auto"/>
                <w:sz w:val="24"/>
                <w:szCs w:val="24"/>
                <w:highlight w:val="none"/>
              </w:rPr>
              <w:t xml:space="preserve">与文旅部门或旅游度假区（省级及以上）或国家A级景区（4A级及以上）合作过的类似广告投放项目业绩中：</w:t>
            </w:r>
            <w:r/>
          </w:p>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具有省级（直辖市）及以上文旅部门或国家级旅游度假区或国家5A级景区类似广告投放项目业绩的，每提供1个得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分；</w:t>
            </w:r>
            <w:r/>
          </w:p>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具有设区市级文旅部门或省级旅游度假区或国家4A级景区类似广告投放项目业绩的，每提供1个得</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分。</w:t>
            </w:r>
            <w:r/>
          </w:p>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以上累计得分不超过1</w:t>
            </w:r>
            <w:r>
              <w:rPr>
                <w:rFonts w:hint="eastAsia" w:ascii="宋体" w:hAnsi="宋体" w:cs="宋体"/>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rPr>
              <w:t xml:space="preserve">分。须提供完整且清晰的合同(金额可以隐藏)及景区等级证明材料（复印件加盖公章），时间以合同签订时间为准，不提供或不符合要求的不得分。</w:t>
            </w:r>
            <w:r/>
          </w:p>
        </w:tc>
        <w:tc>
          <w:tcPr>
            <w:tcW w:w="760" w:type="dxa"/>
            <w:vAlign w:val="center"/>
            <w:textDirection w:val="lrTb"/>
            <w:noWrap w:val="false"/>
          </w:tcPr>
          <w:p>
            <w:pPr>
              <w:jc w:val="cente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w:t>
            </w:r>
            <w:r/>
          </w:p>
        </w:tc>
      </w:tr>
      <w:tr>
        <w:trPr>
          <w:jc w:val="center"/>
          <w:trHeight w:val="90"/>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11</w:t>
            </w:r>
            <w:r/>
          </w:p>
        </w:tc>
        <w:tc>
          <w:tcPr>
            <w:tcW w:w="1276"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与本项目相关的其他服务</w:t>
            </w:r>
            <w:r/>
          </w:p>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（7分）</w:t>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根据供应商提供的与项目相关的其他服务方案进行评分。</w:t>
            </w:r>
            <w:r/>
          </w:p>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其他服务内容方面提供更多有针对性、有价值的能够提升宣传推广效果的方案得7分；在其他服务内容方面能够提出1-2项有价值的方案，有助于更好宣传推广的得5分；能够提供一些较常规的其他服务内容得3分；未提供不得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7</w:t>
            </w:r>
            <w:r/>
          </w:p>
        </w:tc>
      </w:tr>
      <w:tr>
        <w:trPr>
          <w:jc w:val="center"/>
          <w:trHeight w:val="542"/>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12</w:t>
            </w:r>
            <w:r/>
          </w:p>
        </w:tc>
        <w:tc>
          <w:tcPr>
            <w:tcW w:w="1276"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项目验收</w:t>
            </w:r>
            <w:r/>
          </w:p>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（3分）</w:t>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供应商提供的广告投放验收方案进行评分。验收方案条理分明，结合实际，符合项目特点的得3分；验收方案未完全贴合项目实际情况，方案有瑕疵和轻微偏差的得2分；验收方案偏离项目特点和要求且有明显的缺陷和错误的得1分；未提供的不得分。</w:t>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w:t>
            </w:r>
            <w:r/>
          </w:p>
        </w:tc>
      </w:tr>
      <w:tr>
        <w:trPr>
          <w:jc w:val="center"/>
          <w:trHeight w:val="542"/>
        </w:trPr>
        <w:tc>
          <w:tcPr>
            <w:tcW w:w="729"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ascii="宋体" w:hAnsi="宋体" w:cs="宋体"/>
                <w:b w:val="0"/>
                <w:bCs w:val="0"/>
                <w:color w:val="auto"/>
                <w:sz w:val="24"/>
                <w:szCs w:val="24"/>
                <w:highlight w:val="none"/>
              </w:rPr>
            </w:r>
            <w:r/>
          </w:p>
        </w:tc>
        <w:tc>
          <w:tcPr>
            <w:tcW w:w="1276"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合计</w:t>
            </w:r>
            <w:r/>
          </w:p>
        </w:tc>
        <w:tc>
          <w:tcPr>
            <w:tcW w:w="7178" w:type="dxa"/>
            <w:vAlign w:val="center"/>
            <w:textDirection w:val="lrTb"/>
            <w:noWrap w:val="false"/>
          </w:tcPr>
          <w:p>
            <w:pPr>
              <w:spacing w:line="360" w:lineRule="auto"/>
              <w:rPr>
                <w:rFonts w:ascii="宋体" w:hAnsi="宋体" w:cs="宋体"/>
                <w:b w:val="0"/>
                <w:bCs w:val="0"/>
                <w:color w:val="auto"/>
                <w:sz w:val="24"/>
                <w:szCs w:val="24"/>
                <w:highlight w:val="none"/>
              </w:rPr>
            </w:pPr>
            <w:r>
              <w:rPr>
                <w:rFonts w:ascii="宋体" w:hAnsi="宋体" w:cs="宋体"/>
                <w:b w:val="0"/>
                <w:bCs w:val="0"/>
                <w:color w:val="auto"/>
                <w:sz w:val="24"/>
                <w:szCs w:val="24"/>
                <w:highlight w:val="none"/>
              </w:rPr>
            </w:r>
            <w:r/>
          </w:p>
        </w:tc>
        <w:tc>
          <w:tcPr>
            <w:tcW w:w="760" w:type="dxa"/>
            <w:vAlign w:val="center"/>
            <w:textDirection w:val="lrTb"/>
            <w:noWrap w:val="false"/>
          </w:tcPr>
          <w:p>
            <w:pPr>
              <w:jc w:val="center"/>
              <w:spacing w:line="36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100</w:t>
            </w:r>
            <w:r/>
          </w:p>
        </w:tc>
      </w:tr>
    </w:tbl>
    <w:p>
      <w:pPr>
        <w:pStyle w:val="815"/>
        <w:jc w:val="center"/>
        <w:spacing w:before="156" w:after="156" w:line="360" w:lineRule="auto"/>
        <w:rPr>
          <w:rFonts w:ascii="黑体" w:hAnsi="黑体" w:eastAsia="黑体"/>
          <w:b w:val="0"/>
        </w:rPr>
      </w:pPr>
      <w:r/>
      <w:bookmarkStart w:id="5" w:name="_Toc161932696"/>
      <w:r>
        <w:rPr>
          <w:rFonts w:hint="eastAsia" w:ascii="黑体" w:hAnsi="黑体" w:eastAsia="黑体"/>
          <w:b w:val="0"/>
        </w:rPr>
        <w:t xml:space="preserve">第六章  响应文件格式</w:t>
      </w:r>
      <w:bookmarkEnd w:id="5"/>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color w:val="000000"/>
          <w:sz w:val="24"/>
          <w:szCs w:val="24"/>
        </w:rPr>
      </w:pPr>
      <w:r>
        <w:rPr>
          <w:rFonts w:hint="eastAsia"/>
          <w:color w:val="000000"/>
          <w:sz w:val="24"/>
          <w:szCs w:val="24"/>
        </w:rPr>
        <w:t xml:space="preserve">附主要设备和主要专业技术能力的证明材料如下：</w:t>
      </w:r>
      <w:r/>
    </w:p>
    <w:p>
      <w:pPr>
        <w:jc w:val="left"/>
        <w:spacing w:line="360" w:lineRule="auto"/>
        <w:rPr>
          <w:color w:val="000000"/>
          <w:sz w:val="24"/>
          <w:szCs w:val="24"/>
        </w:rPr>
      </w:pPr>
      <w:r>
        <w:rPr>
          <w:color w:val="000000"/>
          <w:sz w:val="24"/>
          <w:szCs w:val="24"/>
        </w:rPr>
      </w:r>
      <w:r/>
    </w:p>
    <w:p>
      <w:pPr>
        <w:jc w:val="left"/>
        <w:spacing w:line="360" w:lineRule="auto"/>
        <w:rPr>
          <w:color w:val="000000"/>
          <w:sz w:val="24"/>
          <w:szCs w:val="24"/>
        </w:rPr>
      </w:pPr>
      <w:r>
        <w:rPr>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 、落实政府采购政策需满足的资格要求的证明文件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十、磋商响应函</w:t>
      </w:r>
      <w:r/>
    </w:p>
    <w:p>
      <w:pPr>
        <w:jc w:val="center"/>
        <w:spacing w:line="360" w:lineRule="auto"/>
        <w:tabs>
          <w:tab w:val="left" w:pos="360" w:leader="none"/>
        </w:tabs>
        <w:rPr>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连云港云玖工程咨询有限公司</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3、成交供应商的《中小企业声明函》随成交结果公开，接受社会监督。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outlineLvl w:val="1"/>
      </w:pPr>
      <w:r>
        <w:rPr>
          <w:rFonts w:hint="eastAsia" w:ascii="Arial" w:hAnsi="Arial" w:cs="Arial"/>
          <w:sz w:val="36"/>
        </w:rPr>
        <w:t xml:space="preserve">十三、</w:t>
      </w:r>
      <w:r>
        <w:rPr>
          <w:rFonts w:hint="eastAsia" w:ascii="Arial" w:hAnsi="Arial" w:cs="Arial"/>
          <w:i/>
          <w:iCs/>
          <w:sz w:val="36"/>
          <w:u w:val="single"/>
        </w:rPr>
        <w:t xml:space="preserve">分项报价表</w:t>
      </w:r>
      <w:r/>
    </w:p>
    <w:p>
      <w:pPr>
        <w:jc w:val="center"/>
        <w:widowControl w:val="off"/>
        <w:rPr>
          <w:rFonts w:hint="eastAsia" w:eastAsia="宋体" w:cs="Times New Roman" w:asciiTheme="minorEastAsia" w:hAnsiTheme="minorEastAsia"/>
          <w:b/>
          <w:bCs/>
          <w:color w:val="auto"/>
          <w:sz w:val="32"/>
          <w:szCs w:val="32"/>
          <w:highlight w:val="none"/>
          <w:lang w:val="en-US" w:eastAsia="zh-CN" w:bidi="ar-SA"/>
        </w:rPr>
      </w:pPr>
      <w:r>
        <w:rPr>
          <w:rFonts w:hint="eastAsia" w:cs="Times New Roman" w:asciiTheme="minorEastAsia" w:hAnsiTheme="minorEastAsia" w:eastAsiaTheme="minorEastAsia"/>
          <w:b/>
          <w:bCs/>
          <w:color w:val="auto"/>
          <w:sz w:val="32"/>
          <w:szCs w:val="32"/>
          <w:highlight w:val="none"/>
          <w:lang w:val="en-US" w:eastAsia="zh-CN" w:bidi="ar-SA"/>
        </w:rPr>
        <w:t xml:space="preserve">分项报价表</w:t>
      </w:r>
      <w:r/>
    </w:p>
    <w:p>
      <w:pPr>
        <w:ind w:firstLine="336"/>
        <w:jc w:val="left"/>
        <w:spacing w:line="360" w:lineRule="auto"/>
        <w:widowControl/>
        <w:tabs>
          <w:tab w:val="left" w:pos="5397" w:leader="none"/>
        </w:tabs>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项目名称：</w:t>
      </w:r>
      <w:r>
        <w:rPr>
          <w:rFonts w:cs="Times New Roman" w:asciiTheme="minorEastAsia" w:hAnsiTheme="minorEastAsia" w:eastAsiaTheme="minorEastAsia"/>
          <w:color w:val="auto"/>
          <w:sz w:val="24"/>
          <w:szCs w:val="24"/>
          <w:highlight w:val="none"/>
        </w:rPr>
        <w:tab/>
      </w:r>
      <w:r>
        <w:rPr>
          <w:rFonts w:hint="eastAsia" w:cs="Times New Roman" w:asciiTheme="minorEastAsia" w:hAnsiTheme="minorEastAsia" w:eastAsiaTheme="minorEastAsia"/>
          <w:color w:val="auto"/>
          <w:sz w:val="24"/>
          <w:szCs w:val="24"/>
          <w:highlight w:val="none"/>
        </w:rPr>
        <w:t xml:space="preserve">项目编号：</w:t>
      </w:r>
      <w:r/>
    </w:p>
    <w:tbl>
      <w:tblPr>
        <w:tblStyle w:val="663"/>
        <w:tblW w:w="9165" w:type="dxa"/>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531"/>
        <w:gridCol w:w="3255"/>
        <w:gridCol w:w="1125"/>
        <w:gridCol w:w="1110"/>
        <w:gridCol w:w="1350"/>
      </w:tblGrid>
      <w:tr>
        <w:trPr/>
        <w:tc>
          <w:tcPr>
            <w:tcW w:w="794"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序号</w:t>
            </w:r>
            <w:r/>
          </w:p>
        </w:tc>
        <w:tc>
          <w:tcPr>
            <w:tcW w:w="1531"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项目名称</w:t>
            </w:r>
            <w:r/>
          </w:p>
        </w:tc>
        <w:tc>
          <w:tcPr>
            <w:tcW w:w="3255"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项目内容</w:t>
            </w:r>
            <w:r/>
          </w:p>
        </w:tc>
        <w:tc>
          <w:tcPr>
            <w:tcW w:w="1125"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数量</w:t>
            </w:r>
            <w:r/>
          </w:p>
        </w:tc>
        <w:tc>
          <w:tcPr>
            <w:tcW w:w="1110"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单价（元）</w:t>
            </w:r>
            <w:r/>
          </w:p>
        </w:tc>
        <w:tc>
          <w:tcPr>
            <w:tcW w:w="1350"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小计（元）</w:t>
            </w:r>
            <w:r/>
          </w:p>
        </w:tc>
      </w:tr>
      <w:tr>
        <w:trPr/>
        <w:tc>
          <w:tcPr>
            <w:tcW w:w="794"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w:t>
            </w:r>
            <w:r/>
          </w:p>
        </w:tc>
        <w:tc>
          <w:tcPr>
            <w:tcW w:w="1531" w:type="dxa"/>
            <w:vAlign w:val="center"/>
            <w:vMerge w:val="restart"/>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 xml:space="preserve">上海</w:t>
            </w:r>
            <w:r>
              <w:rPr>
                <w:rFonts w:hint="eastAsia" w:cs="宋体" w:asciiTheme="minorEastAsia" w:hAnsiTheme="minorEastAsia" w:eastAsiaTheme="minorEastAsia"/>
                <w:color w:val="auto"/>
                <w:sz w:val="24"/>
                <w:szCs w:val="24"/>
                <w:highlight w:val="none"/>
              </w:rPr>
              <w:t xml:space="preserve">地铁站内灯箱</w:t>
            </w:r>
            <w:r/>
          </w:p>
        </w:tc>
        <w:tc>
          <w:tcPr>
            <w:tcW w:w="3255" w:type="dxa"/>
            <w:vAlign w:val="center"/>
            <w:textDirection w:val="lrTb"/>
            <w:noWrap w:val="false"/>
          </w:tcPr>
          <w:p>
            <w:pPr>
              <w:jc w:val="left"/>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组合一：</w:t>
            </w:r>
            <w:r>
              <w:rPr>
                <w:rFonts w:cs="宋体" w:asciiTheme="minorEastAsia" w:hAnsiTheme="minorEastAsia" w:eastAsiaTheme="minorEastAsia"/>
                <w:color w:val="auto"/>
                <w:sz w:val="24"/>
                <w:szCs w:val="24"/>
                <w:highlight w:val="none"/>
              </w:rPr>
              <w:t xml:space="preserve">10</w:t>
            </w:r>
            <w:r>
              <w:rPr>
                <w:rFonts w:hint="eastAsia" w:cs="宋体" w:asciiTheme="minorEastAsia" w:hAnsiTheme="minorEastAsia" w:eastAsiaTheme="minorEastAsia"/>
                <w:color w:val="auto"/>
                <w:sz w:val="24"/>
                <w:szCs w:val="24"/>
                <w:highlight w:val="none"/>
              </w:rPr>
              <w:t xml:space="preserve">块一个组合，</w:t>
            </w:r>
            <w:r>
              <w:rPr>
                <w:rFonts w:cs="宋体" w:asciiTheme="minorEastAsia" w:hAnsiTheme="minorEastAsia" w:eastAsiaTheme="minorEastAsia"/>
                <w:color w:val="auto"/>
                <w:sz w:val="24"/>
                <w:szCs w:val="24"/>
                <w:highlight w:val="none"/>
              </w:rPr>
              <w:t xml:space="preserve">S</w:t>
            </w:r>
            <w:r>
              <w:rPr>
                <w:rFonts w:hint="eastAsia" w:cs="宋体" w:asciiTheme="minorEastAsia" w:hAnsiTheme="minorEastAsia" w:eastAsiaTheme="minorEastAsia"/>
                <w:color w:val="auto"/>
                <w:sz w:val="24"/>
                <w:szCs w:val="24"/>
                <w:highlight w:val="none"/>
              </w:rPr>
              <w:t xml:space="preserve">级不少于</w:t>
            </w:r>
            <w:r>
              <w:rPr>
                <w:rFonts w:cs="宋体"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块（每个站点1块），</w:t>
            </w:r>
            <w:r>
              <w:rPr>
                <w:rFonts w:cs="宋体" w:asciiTheme="minorEastAsia" w:hAnsiTheme="minorEastAsia" w:eastAsiaTheme="minorEastAsia"/>
                <w:color w:val="auto"/>
                <w:sz w:val="24"/>
                <w:szCs w:val="24"/>
                <w:highlight w:val="none"/>
              </w:rPr>
              <w:t xml:space="preserve">A++</w:t>
            </w:r>
            <w:r>
              <w:rPr>
                <w:rFonts w:hint="eastAsia" w:cs="宋体" w:asciiTheme="minorEastAsia" w:hAnsiTheme="minorEastAsia" w:eastAsiaTheme="minorEastAsia"/>
                <w:color w:val="auto"/>
                <w:sz w:val="24"/>
                <w:szCs w:val="24"/>
                <w:highlight w:val="none"/>
              </w:rPr>
              <w:t xml:space="preserve">级不少于</w:t>
            </w: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块（每个站点1块）</w:t>
            </w:r>
            <w:r/>
          </w:p>
        </w:tc>
        <w:tc>
          <w:tcPr>
            <w:tcW w:w="1125"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1项</w:t>
            </w:r>
            <w:r/>
          </w:p>
        </w:tc>
        <w:tc>
          <w:tcPr>
            <w:tcW w:w="1110"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tcW w:w="1350"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tc>
          <w:tcPr>
            <w:tcW w:w="794"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w:t>
            </w:r>
            <w:r/>
          </w:p>
        </w:tc>
        <w:tc>
          <w:tcPr>
            <w:tcW w:w="1531" w:type="dxa"/>
            <w:vAlign w:val="center"/>
            <w:vMerge w:val="continue"/>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tcW w:w="3255" w:type="dxa"/>
            <w:vAlign w:val="center"/>
            <w:textDirection w:val="lrTb"/>
            <w:noWrap w:val="false"/>
          </w:tcPr>
          <w:p>
            <w:pPr>
              <w:jc w:val="left"/>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组合二：</w:t>
            </w:r>
            <w:r>
              <w:rPr>
                <w:rFonts w:cs="宋体" w:asciiTheme="minorEastAsia" w:hAnsiTheme="minorEastAsia" w:eastAsiaTheme="minorEastAsia"/>
                <w:color w:val="auto"/>
                <w:sz w:val="24"/>
                <w:szCs w:val="24"/>
                <w:highlight w:val="none"/>
              </w:rPr>
              <w:t xml:space="preserve">20</w:t>
            </w:r>
            <w:r>
              <w:rPr>
                <w:rFonts w:hint="eastAsia" w:cs="宋体" w:asciiTheme="minorEastAsia" w:hAnsiTheme="minorEastAsia" w:eastAsiaTheme="minorEastAsia"/>
                <w:color w:val="auto"/>
                <w:sz w:val="24"/>
                <w:szCs w:val="24"/>
                <w:highlight w:val="none"/>
              </w:rPr>
              <w:t xml:space="preserve">块一个组合，</w:t>
            </w:r>
            <w:r>
              <w:rPr>
                <w:rFonts w:cs="宋体" w:asciiTheme="minorEastAsia" w:hAnsiTheme="minorEastAsia" w:eastAsiaTheme="minorEastAsia"/>
                <w:color w:val="auto"/>
                <w:sz w:val="24"/>
                <w:szCs w:val="24"/>
                <w:highlight w:val="none"/>
              </w:rPr>
              <w:t xml:space="preserve">S</w:t>
            </w:r>
            <w:r>
              <w:rPr>
                <w:rFonts w:hint="eastAsia" w:cs="宋体" w:asciiTheme="minorEastAsia" w:hAnsiTheme="minorEastAsia" w:eastAsiaTheme="minorEastAsia"/>
                <w:color w:val="auto"/>
                <w:sz w:val="24"/>
                <w:szCs w:val="24"/>
                <w:highlight w:val="none"/>
              </w:rPr>
              <w:t xml:space="preserve">级不少于</w:t>
            </w:r>
            <w:r>
              <w:rPr>
                <w:rFonts w:cs="宋体" w:asciiTheme="minorEastAsia" w:hAnsiTheme="minorEastAsia" w:eastAsiaTheme="minorEastAsia"/>
                <w:color w:val="auto"/>
                <w:sz w:val="24"/>
                <w:szCs w:val="24"/>
                <w:highlight w:val="none"/>
              </w:rPr>
              <w:t xml:space="preserve">8</w:t>
            </w:r>
            <w:r>
              <w:rPr>
                <w:rFonts w:hint="eastAsia" w:cs="宋体" w:asciiTheme="minorEastAsia" w:hAnsiTheme="minorEastAsia" w:eastAsiaTheme="minorEastAsia"/>
                <w:color w:val="auto"/>
                <w:sz w:val="24"/>
                <w:szCs w:val="24"/>
                <w:highlight w:val="none"/>
              </w:rPr>
              <w:t xml:space="preserve">块（同上），</w:t>
            </w:r>
            <w:r>
              <w:rPr>
                <w:rFonts w:cs="宋体" w:asciiTheme="minorEastAsia" w:hAnsiTheme="minorEastAsia" w:eastAsiaTheme="minorEastAsia"/>
                <w:color w:val="auto"/>
                <w:sz w:val="24"/>
                <w:szCs w:val="24"/>
                <w:highlight w:val="none"/>
              </w:rPr>
              <w:t xml:space="preserve">A++</w:t>
            </w:r>
            <w:r>
              <w:rPr>
                <w:rFonts w:hint="eastAsia" w:cs="宋体" w:asciiTheme="minorEastAsia" w:hAnsiTheme="minorEastAsia" w:eastAsiaTheme="minorEastAsia"/>
                <w:color w:val="auto"/>
                <w:sz w:val="24"/>
                <w:szCs w:val="24"/>
                <w:highlight w:val="none"/>
              </w:rPr>
              <w:t xml:space="preserve">级不少于</w:t>
            </w:r>
            <w:r>
              <w:rPr>
                <w:rFonts w:cs="宋体"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块（同上）</w:t>
            </w:r>
            <w:r/>
          </w:p>
        </w:tc>
        <w:tc>
          <w:tcPr>
            <w:tcW w:w="1125"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1项</w:t>
            </w:r>
            <w:r/>
          </w:p>
        </w:tc>
        <w:tc>
          <w:tcPr>
            <w:tcW w:w="1110"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tcW w:w="1350"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r>
        <w:trPr/>
        <w:tc>
          <w:tcPr>
            <w:tcW w:w="794" w:type="dxa"/>
            <w:vAlign w:val="center"/>
            <w:textDirection w:val="lrTb"/>
            <w:noWrap w:val="false"/>
          </w:tcPr>
          <w:p>
            <w:pPr>
              <w:jc w:val="center"/>
              <w:spacing w:after="0" w:line="360" w:lineRule="auto"/>
              <w:widowControl/>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val="en-US" w:eastAsia="zh-CN"/>
              </w:rPr>
              <w:t xml:space="preserve">3</w:t>
            </w:r>
            <w:r/>
          </w:p>
        </w:tc>
        <w:tc>
          <w:tcPr>
            <w:gridSpan w:val="4"/>
            <w:tcW w:w="7021"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分项报价合计（即本项目投标报价）</w:t>
            </w:r>
            <w:r/>
          </w:p>
        </w:tc>
        <w:tc>
          <w:tcPr>
            <w:tcW w:w="1350" w:type="dxa"/>
            <w:vAlign w:val="center"/>
            <w:textDirection w:val="lrTb"/>
            <w:noWrap w:val="false"/>
          </w:tcPr>
          <w:p>
            <w:pPr>
              <w:jc w:val="center"/>
              <w:spacing w:after="0" w:line="360" w:lineRule="auto"/>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r>
    </w:tbl>
    <w:p>
      <w:pPr>
        <w:jc w:val="left"/>
        <w:spacing w:line="360" w:lineRule="auto"/>
        <w:shd w:val="clear" w:color="auto" w:fill="ffffff"/>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ind w:firstLine="240"/>
        <w:jc w:val="left"/>
        <w:spacing w:line="360" w:lineRule="auto"/>
        <w:shd w:val="clear" w:color="auto" w:fill="ffffff"/>
        <w:widowControl/>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说明：1、</w:t>
      </w:r>
      <w:r>
        <w:rPr>
          <w:rFonts w:hint="eastAsia" w:cs="Times New Roman" w:asciiTheme="minorEastAsia" w:hAnsiTheme="minorEastAsia" w:eastAsiaTheme="minorEastAsia"/>
          <w:color w:val="auto"/>
          <w:sz w:val="24"/>
          <w:szCs w:val="24"/>
          <w:highlight w:val="none"/>
          <w:lang w:val="zh-CN"/>
        </w:rPr>
        <w:t xml:space="preserve">分项报价格式自拟，</w:t>
      </w:r>
      <w:r>
        <w:rPr>
          <w:rFonts w:cs="Times New Roman" w:asciiTheme="minorEastAsia" w:hAnsiTheme="minorEastAsia" w:eastAsiaTheme="minorEastAsia"/>
          <w:color w:val="auto"/>
          <w:sz w:val="24"/>
          <w:szCs w:val="24"/>
          <w:highlight w:val="none"/>
        </w:rPr>
        <w:t xml:space="preserve">如果行数不够，请自行增加。</w:t>
      </w:r>
      <w:r/>
    </w:p>
    <w:p>
      <w:pPr>
        <w:ind w:firstLine="960"/>
        <w:jc w:val="left"/>
        <w:spacing w:line="360" w:lineRule="auto"/>
        <w:shd w:val="clear" w:color="auto" w:fill="ffffff"/>
        <w:widowControl/>
        <w:rPr>
          <w:rFonts w:cs="Times New Roman" w:asciiTheme="minorEastAsia" w:hAnsiTheme="minorEastAsia" w:eastAsiaTheme="minorEastAsia"/>
          <w:b/>
          <w:bCs/>
          <w:color w:val="auto"/>
          <w:sz w:val="24"/>
          <w:szCs w:val="24"/>
          <w:highlight w:val="none"/>
        </w:rPr>
      </w:pPr>
      <w:r>
        <w:rPr>
          <w:rFonts w:hint="eastAsia" w:cs="Times New Roman" w:asciiTheme="minorEastAsia" w:hAnsiTheme="minorEastAsia" w:eastAsiaTheme="minorEastAsia"/>
          <w:b/>
          <w:bCs/>
          <w:color w:val="auto"/>
          <w:sz w:val="24"/>
          <w:szCs w:val="24"/>
          <w:highlight w:val="none"/>
        </w:rPr>
        <w:t xml:space="preserve">2、以上分项报价相加总和为本项目报价并作为价格得分计算依据，不得漏报。</w:t>
      </w:r>
      <w:r/>
    </w:p>
    <w:p>
      <w:pPr>
        <w:ind w:firstLine="240"/>
        <w:jc w:val="left"/>
        <w:spacing w:line="360" w:lineRule="auto"/>
        <w:shd w:val="clear" w:color="auto" w:fill="ffffff"/>
        <w:widowControl/>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r>
      <w:r/>
    </w:p>
    <w:p>
      <w:pPr>
        <w:ind w:firstLine="240"/>
        <w:jc w:val="left"/>
        <w:spacing w:line="360" w:lineRule="auto"/>
        <w:shd w:val="clear" w:color="auto" w:fill="ffffff"/>
        <w:widowControl/>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r>
      <w:r/>
    </w:p>
    <w:p>
      <w:pPr>
        <w:ind w:firstLine="240"/>
        <w:jc w:val="left"/>
        <w:spacing w:line="360" w:lineRule="auto"/>
        <w:shd w:val="clear" w:color="auto" w:fill="ffffff"/>
        <w:widowControl/>
        <w:rPr>
          <w:rFonts w:cs="Times New Roman"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供应商（盖章）：</w:t>
      </w:r>
      <w:r>
        <w:rPr>
          <w:rFonts w:cs="Times New Roman" w:asciiTheme="minorEastAsia" w:hAnsiTheme="minorEastAsia" w:eastAsiaTheme="minorEastAsia"/>
          <w:color w:val="auto"/>
          <w:sz w:val="24"/>
          <w:szCs w:val="24"/>
          <w:highlight w:val="none"/>
          <w:u w:val="single"/>
        </w:rPr>
        <w:t xml:space="preserve">                      </w:t>
      </w:r>
      <w:r/>
    </w:p>
    <w:p>
      <w:pPr>
        <w:ind w:firstLine="240"/>
        <w:jc w:val="left"/>
        <w:spacing w:line="360" w:lineRule="auto"/>
        <w:shd w:val="clear" w:color="auto" w:fill="ffffff"/>
        <w:widowControl/>
        <w:rPr>
          <w:rFonts w:cs="Times New Roman" w:asciiTheme="minorEastAsia" w:hAnsiTheme="minorEastAsia" w:eastAsiaTheme="minorEastAsia"/>
          <w:color w:val="auto"/>
          <w:sz w:val="24"/>
          <w:szCs w:val="24"/>
          <w:highlight w:val="none"/>
          <w:u w:val="single"/>
        </w:rPr>
      </w:pPr>
      <w:r>
        <w:rPr>
          <w:rFonts w:hint="eastAsia" w:cs="宋体" w:asciiTheme="minorEastAsia" w:hAnsiTheme="minorEastAsia" w:eastAsiaTheme="minorEastAsia"/>
          <w:color w:val="auto"/>
          <w:sz w:val="24"/>
          <w:szCs w:val="24"/>
          <w:highlight w:val="none"/>
        </w:rPr>
        <w:t xml:space="preserve">委托代理人（签字或签章）：</w:t>
      </w:r>
      <w:r>
        <w:rPr>
          <w:rFonts w:cs="Times New Roman" w:asciiTheme="minorEastAsia" w:hAnsiTheme="minorEastAsia" w:eastAsiaTheme="minorEastAsia"/>
          <w:color w:val="auto"/>
          <w:sz w:val="24"/>
          <w:szCs w:val="24"/>
          <w:highlight w:val="none"/>
          <w:u w:val="single"/>
        </w:rPr>
        <w:t xml:space="preserve">                </w:t>
      </w:r>
      <w:r>
        <w:rPr>
          <w:rFonts w:hint="eastAsia" w:cs="Times New Roman" w:asciiTheme="minorEastAsia" w:hAnsiTheme="minorEastAsia" w:eastAsiaTheme="minorEastAsia"/>
          <w:color w:val="auto"/>
          <w:sz w:val="24"/>
          <w:szCs w:val="24"/>
          <w:highlight w:val="none"/>
          <w:u w:val="single"/>
        </w:rPr>
        <w:t xml:space="preserve">  </w:t>
      </w:r>
      <w:r/>
    </w:p>
    <w:p>
      <w:pPr>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w:t>
      </w:r>
      <w:r/>
    </w:p>
    <w:tbl>
      <w:tblPr>
        <w:tblStyle w:val="6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磋商文件要求</w:t>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响应情况</w:t>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w:t>
      </w:r>
      <w:r/>
    </w:p>
    <w:tbl>
      <w:tblPr>
        <w:tblStyle w:val="6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7" w:name="_Hlt26955064"/>
            <w:r/>
            <w:bookmarkEnd w:id="7"/>
            <w:r/>
            <w:bookmarkStart w:id="8" w:name="_Hlt26671343"/>
            <w:r/>
            <w:bookmarkEnd w:id="8"/>
            <w:r/>
            <w:bookmarkStart w:id="9" w:name="_Hlt26955056"/>
            <w:r/>
            <w:bookmarkEnd w:id="9"/>
            <w:r/>
            <w:bookmarkStart w:id="10" w:name="_Hlt26580838"/>
            <w:r/>
            <w:bookmarkEnd w:id="10"/>
            <w:r/>
            <w:bookmarkStart w:id="11" w:name="_Hlt26782999"/>
            <w:r/>
            <w:bookmarkEnd w:id="11"/>
            <w:r/>
            <w:bookmarkStart w:id="12" w:name="_Hlt26609391"/>
            <w:r/>
            <w:bookmarkEnd w:id="12"/>
            <w:r/>
            <w:bookmarkStart w:id="13" w:name="_Hlt24879081"/>
            <w:r/>
            <w:bookmarkEnd w:id="13"/>
            <w:r/>
            <w:bookmarkStart w:id="14" w:name="_Hlt26671372"/>
            <w:r/>
            <w:bookmarkEnd w:id="14"/>
            <w:r>
              <w:rPr>
                <w:rFonts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磋商文件要求</w:t>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响应情况</w:t>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spacing w:line="500" w:lineRule="exact"/>
        <w:rPr>
          <w:color w:val="000000"/>
          <w:sz w:val="24"/>
          <w:szCs w:val="24"/>
        </w:rPr>
      </w:pPr>
      <w:r>
        <w:rPr>
          <w:color w:val="000000"/>
          <w:sz w:val="24"/>
          <w:szCs w:val="24"/>
        </w:rPr>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w:t>
      </w:r>
      <w:r/>
    </w:p>
    <w:tbl>
      <w:tblPr>
        <w:tblStyle w:val="6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w:t>
      </w:r>
      <w:r/>
    </w:p>
    <w:tbl>
      <w:tblPr>
        <w:tblStyle w:val="6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1976"/>
        <w:gridCol w:w="3059"/>
        <w:gridCol w:w="2187"/>
      </w:tblGrid>
      <w:tr>
        <w:trPr>
          <w:cantSplit/>
          <w:jc w:val="center"/>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姓名</w:t>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本项目拟担任职务</w:t>
            </w:r>
            <w:r/>
          </w:p>
        </w:tc>
        <w:tc>
          <w:tcPr>
            <w:tcW w:w="305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技术职称、专业资质</w:t>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主要资历及担任过的职务</w:t>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jc w:val="left"/>
        <w:widowControl/>
        <w:rPr>
          <w:rFonts w:hint="eastAsia" w:ascii="黑体" w:hAnsi="黑体" w:eastAsia="黑体" w:cs="仿宋"/>
          <w:bCs/>
          <w:color w:val="000000"/>
          <w:sz w:val="40"/>
          <w:szCs w:val="32"/>
        </w:rPr>
      </w:pPr>
      <w:r/>
      <w:bookmarkStart w:id="15" w:name="_Hlt26955066"/>
      <w:r/>
      <w:bookmarkEnd w:id="15"/>
      <w:r/>
      <w:bookmarkStart w:id="16" w:name="_Hlt26609389"/>
      <w:r/>
      <w:bookmarkEnd w:id="16"/>
      <w:r/>
      <w:bookmarkStart w:id="17" w:name="_Hlt26671374"/>
      <w:r/>
      <w:bookmarkEnd w:id="17"/>
      <w:r/>
      <w:bookmarkStart w:id="18" w:name="_格式2__法定代表人授权书"/>
      <w:r/>
      <w:bookmarkEnd w:id="18"/>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_GB2312">
    <w:panose1 w:val="02010609060101010101"/>
  </w:font>
  <w:font w:name="MS Mincho">
    <w:panose1 w:val="02020603050405090304"/>
  </w:font>
  <w:font w:name="仿宋">
    <w:panose1 w:val="02010609060101010101"/>
  </w:font>
  <w:font w:name="等线">
    <w:panose1 w:val="02010600030101010101"/>
  </w:font>
  <w:font w:name="方正仿宋_GBK">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fldChar w:fldCharType="begin"/>
    </w:r>
    <w:r>
      <w:instrText xml:space="preserve"> PAGE   \* MERGEFORMAT </w:instrText>
    </w:r>
    <w:r>
      <w:fldChar w:fldCharType="separate"/>
    </w:r>
    <w:r>
      <w:rPr>
        <w:lang w:val="zh-CN"/>
      </w:rPr>
      <w:t xml:space="preserve">34</w:t>
    </w:r>
    <w:r>
      <w:rPr>
        <w:lang w:val="zh-CN"/>
      </w:rPr>
      <w:fldChar w:fldCharType="end"/>
    </w:r>
    <w:r/>
  </w:p>
  <w:p>
    <w:pPr>
      <w:pStyle w:val="8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0" w:default="1">
    <w:name w:val="Normal"/>
    <w:next w:val="642"/>
    <w:link w:val="84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31">
    <w:name w:val="Heading 1"/>
    <w:basedOn w:val="630"/>
    <w:next w:val="630"/>
    <w:link w:val="667"/>
    <w:uiPriority w:val="9"/>
    <w:qFormat/>
    <w:pPr>
      <w:keepLines/>
      <w:keepNext/>
      <w:spacing w:before="480" w:after="200"/>
      <w:outlineLvl w:val="0"/>
    </w:pPr>
    <w:rPr>
      <w:rFonts w:ascii="Arial" w:hAnsi="Arial" w:eastAsia="Arial" w:cs="Arial"/>
      <w:sz w:val="40"/>
      <w:szCs w:val="40"/>
    </w:rPr>
  </w:style>
  <w:style w:type="paragraph" w:styleId="632">
    <w:name w:val="Heading 2"/>
    <w:basedOn w:val="630"/>
    <w:next w:val="630"/>
    <w:link w:val="668"/>
    <w:uiPriority w:val="9"/>
    <w:unhideWhenUsed/>
    <w:qFormat/>
    <w:pPr>
      <w:keepLines/>
      <w:keepNext/>
      <w:spacing w:before="360" w:after="200"/>
      <w:outlineLvl w:val="1"/>
    </w:pPr>
    <w:rPr>
      <w:rFonts w:ascii="Arial" w:hAnsi="Arial" w:eastAsia="Arial" w:cs="Arial"/>
      <w:sz w:val="34"/>
    </w:rPr>
  </w:style>
  <w:style w:type="paragraph" w:styleId="633">
    <w:name w:val="Heading 3"/>
    <w:basedOn w:val="630"/>
    <w:next w:val="630"/>
    <w:link w:val="669"/>
    <w:uiPriority w:val="9"/>
    <w:unhideWhenUsed/>
    <w:qFormat/>
    <w:pPr>
      <w:keepLines/>
      <w:keepNext/>
      <w:spacing w:before="320" w:after="200"/>
      <w:outlineLvl w:val="2"/>
    </w:pPr>
    <w:rPr>
      <w:rFonts w:ascii="Arial" w:hAnsi="Arial" w:eastAsia="Arial" w:cs="Arial"/>
      <w:sz w:val="30"/>
      <w:szCs w:val="30"/>
    </w:rPr>
  </w:style>
  <w:style w:type="paragraph" w:styleId="634">
    <w:name w:val="Heading 4"/>
    <w:basedOn w:val="630"/>
    <w:next w:val="630"/>
    <w:link w:val="670"/>
    <w:uiPriority w:val="9"/>
    <w:unhideWhenUsed/>
    <w:qFormat/>
    <w:pPr>
      <w:keepLines/>
      <w:keepNext/>
      <w:spacing w:before="320" w:after="200"/>
      <w:outlineLvl w:val="3"/>
    </w:pPr>
    <w:rPr>
      <w:rFonts w:ascii="Arial" w:hAnsi="Arial" w:eastAsia="Arial" w:cs="Arial"/>
      <w:b/>
      <w:bCs/>
      <w:sz w:val="26"/>
      <w:szCs w:val="26"/>
    </w:rPr>
  </w:style>
  <w:style w:type="paragraph" w:styleId="635">
    <w:name w:val="Heading 5"/>
    <w:basedOn w:val="630"/>
    <w:next w:val="630"/>
    <w:link w:val="671"/>
    <w:uiPriority w:val="9"/>
    <w:unhideWhenUsed/>
    <w:qFormat/>
    <w:pPr>
      <w:keepLines/>
      <w:keepNext/>
      <w:spacing w:before="320" w:after="200"/>
      <w:outlineLvl w:val="4"/>
    </w:pPr>
    <w:rPr>
      <w:rFonts w:ascii="Arial" w:hAnsi="Arial" w:eastAsia="Arial" w:cs="Arial"/>
      <w:b/>
      <w:bCs/>
      <w:sz w:val="24"/>
      <w:szCs w:val="24"/>
    </w:rPr>
  </w:style>
  <w:style w:type="paragraph" w:styleId="636">
    <w:name w:val="Heading 6"/>
    <w:basedOn w:val="630"/>
    <w:next w:val="630"/>
    <w:link w:val="672"/>
    <w:uiPriority w:val="9"/>
    <w:unhideWhenUsed/>
    <w:qFormat/>
    <w:pPr>
      <w:keepLines/>
      <w:keepNext/>
      <w:spacing w:before="320" w:after="200"/>
      <w:outlineLvl w:val="5"/>
    </w:pPr>
    <w:rPr>
      <w:rFonts w:ascii="Arial" w:hAnsi="Arial" w:eastAsia="Arial" w:cs="Arial"/>
      <w:b/>
      <w:bCs/>
      <w:sz w:val="22"/>
      <w:szCs w:val="22"/>
    </w:rPr>
  </w:style>
  <w:style w:type="paragraph" w:styleId="637">
    <w:name w:val="Heading 7"/>
    <w:basedOn w:val="630"/>
    <w:next w:val="630"/>
    <w:link w:val="673"/>
    <w:uiPriority w:val="9"/>
    <w:unhideWhenUsed/>
    <w:qFormat/>
    <w:pPr>
      <w:keepLines/>
      <w:keepNext/>
      <w:spacing w:before="320" w:after="200"/>
      <w:outlineLvl w:val="6"/>
    </w:pPr>
    <w:rPr>
      <w:rFonts w:ascii="Arial" w:hAnsi="Arial" w:eastAsia="Arial" w:cs="Arial"/>
      <w:b/>
      <w:bCs/>
      <w:i/>
      <w:iCs/>
      <w:sz w:val="22"/>
      <w:szCs w:val="22"/>
    </w:rPr>
  </w:style>
  <w:style w:type="paragraph" w:styleId="638">
    <w:name w:val="Heading 8"/>
    <w:basedOn w:val="630"/>
    <w:next w:val="630"/>
    <w:link w:val="674"/>
    <w:uiPriority w:val="9"/>
    <w:unhideWhenUsed/>
    <w:qFormat/>
    <w:pPr>
      <w:keepLines/>
      <w:keepNext/>
      <w:spacing w:before="320" w:after="200"/>
      <w:outlineLvl w:val="7"/>
    </w:pPr>
    <w:rPr>
      <w:rFonts w:ascii="Arial" w:hAnsi="Arial" w:eastAsia="Arial" w:cs="Arial"/>
      <w:i/>
      <w:iCs/>
      <w:sz w:val="22"/>
      <w:szCs w:val="22"/>
    </w:rPr>
  </w:style>
  <w:style w:type="paragraph" w:styleId="639">
    <w:name w:val="Heading 9"/>
    <w:basedOn w:val="630"/>
    <w:next w:val="630"/>
    <w:link w:val="675"/>
    <w:uiPriority w:val="9"/>
    <w:unhideWhenUsed/>
    <w:qFormat/>
    <w:pPr>
      <w:keepLines/>
      <w:keepNext/>
      <w:spacing w:before="320" w:after="200"/>
      <w:outlineLvl w:val="8"/>
    </w:pPr>
    <w:rPr>
      <w:rFonts w:ascii="Arial" w:hAnsi="Arial" w:eastAsia="Arial" w:cs="Arial"/>
      <w:i/>
      <w:iCs/>
      <w:sz w:val="21"/>
      <w:szCs w:val="21"/>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customStyle="1">
    <w:name w:val="正文文本缩进1"/>
    <w:basedOn w:val="630"/>
    <w:next w:val="630"/>
    <w:uiPriority w:val="0"/>
    <w:qFormat/>
    <w:pPr>
      <w:ind w:firstLine="600"/>
    </w:pPr>
    <w:rPr>
      <w:rFonts w:eastAsia="仿宋_GB2312"/>
      <w:sz w:val="30"/>
      <w:szCs w:val="30"/>
    </w:rPr>
  </w:style>
  <w:style w:type="paragraph" w:styleId="643">
    <w:name w:val="toc 7"/>
    <w:basedOn w:val="630"/>
    <w:next w:val="630"/>
    <w:uiPriority w:val="39"/>
    <w:unhideWhenUsed/>
    <w:qFormat/>
    <w:pPr>
      <w:ind w:left="1701" w:right="0" w:firstLine="0"/>
      <w:spacing w:after="57"/>
    </w:pPr>
  </w:style>
  <w:style w:type="paragraph" w:styleId="644">
    <w:name w:val="Caption"/>
    <w:basedOn w:val="630"/>
    <w:next w:val="630"/>
    <w:uiPriority w:val="35"/>
    <w:semiHidden/>
    <w:unhideWhenUsed/>
    <w:qFormat/>
    <w:pPr>
      <w:spacing w:line="276" w:lineRule="auto"/>
    </w:pPr>
    <w:rPr>
      <w:b/>
      <w:bCs/>
      <w:color w:val="4f81bd" w:themeColor="accent1"/>
      <w:sz w:val="18"/>
      <w:szCs w:val="18"/>
    </w:rPr>
  </w:style>
  <w:style w:type="paragraph" w:styleId="645">
    <w:name w:val="Block Text"/>
    <w:basedOn w:val="630"/>
    <w:uiPriority w:val="99"/>
    <w:semiHidden/>
    <w:unhideWhenUsed/>
    <w:qFormat/>
    <w:pPr>
      <w:ind w:left="1440" w:right="1440"/>
      <w:spacing w:after="120"/>
    </w:pPr>
  </w:style>
  <w:style w:type="paragraph" w:styleId="646">
    <w:name w:val="toc 5"/>
    <w:basedOn w:val="630"/>
    <w:next w:val="630"/>
    <w:uiPriority w:val="39"/>
    <w:unhideWhenUsed/>
    <w:qFormat/>
    <w:pPr>
      <w:ind w:left="1134" w:right="0" w:firstLine="0"/>
      <w:spacing w:after="57"/>
    </w:pPr>
  </w:style>
  <w:style w:type="paragraph" w:styleId="647">
    <w:name w:val="toc 3"/>
    <w:basedOn w:val="630"/>
    <w:next w:val="630"/>
    <w:uiPriority w:val="39"/>
    <w:unhideWhenUsed/>
    <w:qFormat/>
    <w:pPr>
      <w:ind w:left="567" w:right="0" w:firstLine="0"/>
      <w:spacing w:after="57"/>
    </w:pPr>
  </w:style>
  <w:style w:type="paragraph" w:styleId="648">
    <w:name w:val="Plain Text"/>
    <w:basedOn w:val="630"/>
    <w:uiPriority w:val="0"/>
    <w:qFormat/>
    <w:rPr>
      <w:rFonts w:ascii="宋体" w:hAnsi="Courier New"/>
      <w:szCs w:val="20"/>
    </w:rPr>
  </w:style>
  <w:style w:type="paragraph" w:styleId="649">
    <w:name w:val="toc 8"/>
    <w:basedOn w:val="630"/>
    <w:next w:val="630"/>
    <w:uiPriority w:val="39"/>
    <w:unhideWhenUsed/>
    <w:qFormat/>
    <w:pPr>
      <w:ind w:left="1984" w:right="0" w:firstLine="0"/>
      <w:spacing w:after="57"/>
    </w:pPr>
  </w:style>
  <w:style w:type="paragraph" w:styleId="650">
    <w:name w:val="Date"/>
    <w:basedOn w:val="630"/>
    <w:next w:val="630"/>
    <w:uiPriority w:val="0"/>
    <w:qFormat/>
    <w:rPr>
      <w:sz w:val="24"/>
      <w:szCs w:val="20"/>
    </w:rPr>
  </w:style>
  <w:style w:type="paragraph" w:styleId="651">
    <w:name w:val="endnote text"/>
    <w:basedOn w:val="630"/>
    <w:link w:val="813"/>
    <w:uiPriority w:val="99"/>
    <w:semiHidden/>
    <w:unhideWhenUsed/>
    <w:qFormat/>
    <w:pPr>
      <w:spacing w:after="0" w:line="240" w:lineRule="auto"/>
    </w:pPr>
    <w:rPr>
      <w:sz w:val="20"/>
    </w:rPr>
  </w:style>
  <w:style w:type="paragraph" w:styleId="652">
    <w:name w:val="Footer"/>
    <w:basedOn w:val="630"/>
    <w:link w:val="686"/>
    <w:uiPriority w:val="99"/>
    <w:unhideWhenUsed/>
    <w:qFormat/>
    <w:pPr>
      <w:spacing w:after="0" w:line="240" w:lineRule="auto"/>
      <w:tabs>
        <w:tab w:val="center" w:pos="7143" w:leader="none"/>
        <w:tab w:val="right" w:pos="14287" w:leader="none"/>
      </w:tabs>
    </w:pPr>
  </w:style>
  <w:style w:type="paragraph" w:styleId="653">
    <w:name w:val="Header"/>
    <w:basedOn w:val="630"/>
    <w:link w:val="684"/>
    <w:uiPriority w:val="99"/>
    <w:unhideWhenUsed/>
    <w:qFormat/>
    <w:pPr>
      <w:spacing w:after="0" w:line="240" w:lineRule="auto"/>
      <w:tabs>
        <w:tab w:val="center" w:pos="7143" w:leader="none"/>
        <w:tab w:val="right" w:pos="14287" w:leader="none"/>
      </w:tabs>
    </w:pPr>
  </w:style>
  <w:style w:type="paragraph" w:styleId="654">
    <w:name w:val="toc 1"/>
    <w:basedOn w:val="630"/>
    <w:next w:val="630"/>
    <w:uiPriority w:val="39"/>
    <w:unhideWhenUsed/>
    <w:qFormat/>
    <w:pPr>
      <w:ind w:left="0" w:right="0" w:firstLine="0"/>
      <w:spacing w:after="57"/>
    </w:pPr>
  </w:style>
  <w:style w:type="paragraph" w:styleId="655">
    <w:name w:val="toc 4"/>
    <w:basedOn w:val="630"/>
    <w:next w:val="630"/>
    <w:uiPriority w:val="39"/>
    <w:unhideWhenUsed/>
    <w:qFormat/>
    <w:pPr>
      <w:ind w:left="850" w:right="0" w:firstLine="0"/>
      <w:spacing w:after="57"/>
    </w:pPr>
  </w:style>
  <w:style w:type="paragraph" w:styleId="656">
    <w:name w:val="Subtitle"/>
    <w:basedOn w:val="630"/>
    <w:next w:val="630"/>
    <w:link w:val="679"/>
    <w:uiPriority w:val="11"/>
    <w:qFormat/>
    <w:pPr>
      <w:spacing w:before="200" w:after="200"/>
    </w:pPr>
    <w:rPr>
      <w:sz w:val="24"/>
      <w:szCs w:val="24"/>
    </w:rPr>
  </w:style>
  <w:style w:type="paragraph" w:styleId="657">
    <w:name w:val="footnote text"/>
    <w:basedOn w:val="630"/>
    <w:link w:val="812"/>
    <w:uiPriority w:val="99"/>
    <w:semiHidden/>
    <w:unhideWhenUsed/>
    <w:qFormat/>
    <w:pPr>
      <w:spacing w:after="40" w:line="240" w:lineRule="auto"/>
    </w:pPr>
    <w:rPr>
      <w:sz w:val="18"/>
    </w:rPr>
  </w:style>
  <w:style w:type="paragraph" w:styleId="658">
    <w:name w:val="toc 6"/>
    <w:basedOn w:val="630"/>
    <w:next w:val="630"/>
    <w:uiPriority w:val="39"/>
    <w:unhideWhenUsed/>
    <w:qFormat/>
    <w:pPr>
      <w:ind w:left="1417" w:right="0" w:firstLine="0"/>
      <w:spacing w:after="57"/>
    </w:pPr>
  </w:style>
  <w:style w:type="paragraph" w:styleId="659">
    <w:name w:val="table of figures"/>
    <w:basedOn w:val="630"/>
    <w:next w:val="630"/>
    <w:uiPriority w:val="99"/>
    <w:unhideWhenUsed/>
    <w:qFormat/>
    <w:pPr>
      <w:spacing w:after="0" w:afterAutospacing="0"/>
    </w:pPr>
  </w:style>
  <w:style w:type="paragraph" w:styleId="660">
    <w:name w:val="toc 2"/>
    <w:basedOn w:val="630"/>
    <w:next w:val="630"/>
    <w:uiPriority w:val="39"/>
    <w:unhideWhenUsed/>
    <w:qFormat/>
    <w:pPr>
      <w:ind w:left="283" w:right="0" w:firstLine="0"/>
      <w:spacing w:after="57"/>
    </w:pPr>
  </w:style>
  <w:style w:type="paragraph" w:styleId="661">
    <w:name w:val="toc 9"/>
    <w:basedOn w:val="630"/>
    <w:next w:val="630"/>
    <w:uiPriority w:val="39"/>
    <w:unhideWhenUsed/>
    <w:qFormat/>
    <w:pPr>
      <w:ind w:left="2268" w:right="0" w:firstLine="0"/>
      <w:spacing w:after="57"/>
    </w:pPr>
  </w:style>
  <w:style w:type="paragraph" w:styleId="662">
    <w:name w:val="Title"/>
    <w:basedOn w:val="630"/>
    <w:next w:val="630"/>
    <w:link w:val="678"/>
    <w:uiPriority w:val="10"/>
    <w:qFormat/>
    <w:pPr>
      <w:contextualSpacing/>
      <w:spacing w:before="300" w:after="200"/>
    </w:pPr>
    <w:rPr>
      <w:sz w:val="48"/>
      <w:szCs w:val="48"/>
    </w:rPr>
  </w:style>
  <w:style w:type="table" w:styleId="6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4">
    <w:name w:val="endnote reference"/>
    <w:uiPriority w:val="99"/>
    <w:semiHidden/>
    <w:unhideWhenUsed/>
    <w:qFormat/>
    <w:rPr>
      <w:vertAlign w:val="superscript"/>
    </w:rPr>
  </w:style>
  <w:style w:type="character" w:styleId="665">
    <w:name w:val="Hyperlink"/>
    <w:uiPriority w:val="99"/>
    <w:unhideWhenUsed/>
    <w:qFormat/>
    <w:rPr>
      <w:color w:val="0000ff" w:themeColor="hyperlink"/>
      <w:u w:val="single"/>
    </w:rPr>
  </w:style>
  <w:style w:type="character" w:styleId="666">
    <w:name w:val="footnote reference"/>
    <w:uiPriority w:val="99"/>
    <w:unhideWhenUsed/>
    <w:qFormat/>
    <w:rPr>
      <w:vertAlign w:val="superscript"/>
    </w:rPr>
  </w:style>
  <w:style w:type="character" w:styleId="667" w:customStyle="1">
    <w:name w:val="Heading 1 Char"/>
    <w:link w:val="631"/>
    <w:uiPriority w:val="9"/>
    <w:qFormat/>
    <w:rPr>
      <w:rFonts w:ascii="Arial" w:hAnsi="Arial" w:eastAsia="Arial" w:cs="Arial"/>
      <w:sz w:val="40"/>
      <w:szCs w:val="40"/>
    </w:rPr>
  </w:style>
  <w:style w:type="character" w:styleId="668" w:customStyle="1">
    <w:name w:val="Heading 2 Char"/>
    <w:link w:val="632"/>
    <w:uiPriority w:val="9"/>
    <w:qFormat/>
    <w:rPr>
      <w:rFonts w:ascii="Arial" w:hAnsi="Arial" w:eastAsia="Arial" w:cs="Arial"/>
      <w:sz w:val="34"/>
    </w:rPr>
  </w:style>
  <w:style w:type="character" w:styleId="669" w:customStyle="1">
    <w:name w:val="Heading 3 Char"/>
    <w:link w:val="633"/>
    <w:uiPriority w:val="9"/>
    <w:qFormat/>
    <w:rPr>
      <w:rFonts w:ascii="Arial" w:hAnsi="Arial" w:eastAsia="Arial" w:cs="Arial"/>
      <w:sz w:val="30"/>
      <w:szCs w:val="30"/>
    </w:rPr>
  </w:style>
  <w:style w:type="character" w:styleId="670" w:customStyle="1">
    <w:name w:val="Heading 4 Char"/>
    <w:link w:val="634"/>
    <w:uiPriority w:val="9"/>
    <w:qFormat/>
    <w:rPr>
      <w:rFonts w:ascii="Arial" w:hAnsi="Arial" w:eastAsia="Arial" w:cs="Arial"/>
      <w:b/>
      <w:bCs/>
      <w:sz w:val="26"/>
      <w:szCs w:val="26"/>
    </w:rPr>
  </w:style>
  <w:style w:type="character" w:styleId="671" w:customStyle="1">
    <w:name w:val="Heading 5 Char"/>
    <w:link w:val="635"/>
    <w:uiPriority w:val="9"/>
    <w:qFormat/>
    <w:rPr>
      <w:rFonts w:ascii="Arial" w:hAnsi="Arial" w:eastAsia="Arial" w:cs="Arial"/>
      <w:b/>
      <w:bCs/>
      <w:sz w:val="24"/>
      <w:szCs w:val="24"/>
    </w:rPr>
  </w:style>
  <w:style w:type="character" w:styleId="672" w:customStyle="1">
    <w:name w:val="Heading 6 Char"/>
    <w:link w:val="636"/>
    <w:uiPriority w:val="9"/>
    <w:qFormat/>
    <w:rPr>
      <w:rFonts w:ascii="Arial" w:hAnsi="Arial" w:eastAsia="Arial" w:cs="Arial"/>
      <w:b/>
      <w:bCs/>
      <w:sz w:val="22"/>
      <w:szCs w:val="22"/>
    </w:rPr>
  </w:style>
  <w:style w:type="character" w:styleId="673" w:customStyle="1">
    <w:name w:val="Heading 7 Char"/>
    <w:link w:val="637"/>
    <w:uiPriority w:val="9"/>
    <w:qFormat/>
    <w:rPr>
      <w:rFonts w:ascii="Arial" w:hAnsi="Arial" w:eastAsia="Arial" w:cs="Arial"/>
      <w:b/>
      <w:bCs/>
      <w:i/>
      <w:iCs/>
      <w:sz w:val="22"/>
      <w:szCs w:val="22"/>
    </w:rPr>
  </w:style>
  <w:style w:type="character" w:styleId="674" w:customStyle="1">
    <w:name w:val="Heading 8 Char"/>
    <w:link w:val="638"/>
    <w:uiPriority w:val="9"/>
    <w:qFormat/>
    <w:rPr>
      <w:rFonts w:ascii="Arial" w:hAnsi="Arial" w:eastAsia="Arial" w:cs="Arial"/>
      <w:i/>
      <w:iCs/>
      <w:sz w:val="22"/>
      <w:szCs w:val="22"/>
    </w:rPr>
  </w:style>
  <w:style w:type="character" w:styleId="675" w:customStyle="1">
    <w:name w:val="Heading 9 Char"/>
    <w:link w:val="639"/>
    <w:uiPriority w:val="9"/>
    <w:qFormat/>
    <w:rPr>
      <w:rFonts w:ascii="Arial" w:hAnsi="Arial" w:eastAsia="Arial" w:cs="Arial"/>
      <w:i/>
      <w:iCs/>
      <w:sz w:val="21"/>
      <w:szCs w:val="21"/>
    </w:rPr>
  </w:style>
  <w:style w:type="paragraph" w:styleId="676">
    <w:name w:val="List Paragraph"/>
    <w:basedOn w:val="630"/>
    <w:uiPriority w:val="34"/>
    <w:qFormat/>
    <w:pPr>
      <w:contextualSpacing/>
      <w:ind w:left="720"/>
    </w:pPr>
  </w:style>
  <w:style w:type="paragraph" w:styleId="677">
    <w:name w:val="No Spacing"/>
    <w:uiPriority w:val="1"/>
    <w:qFormat/>
    <w:pPr>
      <w:spacing w:before="0" w:after="0" w:line="240" w:lineRule="auto"/>
    </w:pPr>
    <w:rPr>
      <w:rFonts w:hint="default" w:ascii="Times New Roman" w:hAnsi="Times New Roman" w:eastAsia="宋体" w:cs="Times New Roman"/>
    </w:rPr>
  </w:style>
  <w:style w:type="character" w:styleId="678" w:customStyle="1">
    <w:name w:val="Title Char"/>
    <w:link w:val="662"/>
    <w:uiPriority w:val="10"/>
    <w:qFormat/>
    <w:rPr>
      <w:sz w:val="48"/>
      <w:szCs w:val="48"/>
    </w:rPr>
  </w:style>
  <w:style w:type="character" w:styleId="679" w:customStyle="1">
    <w:name w:val="Subtitle Char"/>
    <w:link w:val="656"/>
    <w:uiPriority w:val="11"/>
    <w:qFormat/>
    <w:rPr>
      <w:sz w:val="24"/>
      <w:szCs w:val="24"/>
    </w:rPr>
  </w:style>
  <w:style w:type="paragraph" w:styleId="680">
    <w:name w:val="Quote"/>
    <w:basedOn w:val="630"/>
    <w:next w:val="630"/>
    <w:link w:val="681"/>
    <w:uiPriority w:val="29"/>
    <w:qFormat/>
    <w:pPr>
      <w:ind w:left="720" w:right="720"/>
    </w:pPr>
    <w:rPr>
      <w:i/>
    </w:rPr>
  </w:style>
  <w:style w:type="character" w:styleId="681" w:customStyle="1">
    <w:name w:val="Quote Char"/>
    <w:link w:val="680"/>
    <w:uiPriority w:val="29"/>
    <w:qFormat/>
    <w:rPr>
      <w:i/>
    </w:rPr>
  </w:style>
  <w:style w:type="paragraph" w:styleId="682">
    <w:name w:val="Intense Quote"/>
    <w:basedOn w:val="630"/>
    <w:next w:val="630"/>
    <w:link w:val="6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3" w:customStyle="1">
    <w:name w:val="Intense Quote Char"/>
    <w:link w:val="682"/>
    <w:uiPriority w:val="30"/>
    <w:qFormat/>
    <w:rPr>
      <w:i/>
    </w:rPr>
  </w:style>
  <w:style w:type="character" w:styleId="684" w:customStyle="1">
    <w:name w:val="Header Char"/>
    <w:link w:val="653"/>
    <w:uiPriority w:val="99"/>
    <w:qFormat/>
  </w:style>
  <w:style w:type="character" w:styleId="685" w:customStyle="1">
    <w:name w:val="Footer Char"/>
    <w:link w:val="652"/>
    <w:uiPriority w:val="99"/>
    <w:qFormat/>
  </w:style>
  <w:style w:type="character" w:styleId="686" w:customStyle="1">
    <w:name w:val="Caption Char"/>
    <w:link w:val="652"/>
    <w:uiPriority w:val="99"/>
    <w:qFormat/>
  </w:style>
  <w:style w:type="table" w:styleId="6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2" w:customStyle="1">
    <w:name w:val="Footnote Text Char"/>
    <w:link w:val="657"/>
    <w:uiPriority w:val="99"/>
    <w:qFormat/>
    <w:rPr>
      <w:sz w:val="18"/>
    </w:rPr>
  </w:style>
  <w:style w:type="character" w:styleId="813" w:customStyle="1">
    <w:name w:val="Endnote Text Char"/>
    <w:link w:val="651"/>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paragraph" w:styleId="815" w:customStyle="1">
    <w:name w:val="标题 11"/>
    <w:basedOn w:val="630"/>
    <w:next w:val="630"/>
    <w:link w:val="821"/>
    <w:uiPriority w:val="9"/>
    <w:qFormat/>
    <w:pPr>
      <w:keepLines/>
      <w:keepNext/>
      <w:spacing w:before="340" w:after="330" w:line="578" w:lineRule="auto"/>
      <w:outlineLvl w:val="0"/>
    </w:pPr>
    <w:rPr>
      <w:b/>
      <w:bCs/>
      <w:sz w:val="44"/>
      <w:szCs w:val="44"/>
      <w:lang w:val="en-US" w:eastAsia="en-US"/>
    </w:rPr>
  </w:style>
  <w:style w:type="paragraph" w:styleId="816" w:customStyle="1">
    <w:name w:val="标题 21"/>
    <w:basedOn w:val="630"/>
    <w:next w:val="630"/>
    <w:link w:val="822"/>
    <w:uiPriority w:val="9"/>
    <w:qFormat/>
    <w:pPr>
      <w:keepLines/>
      <w:keepNext/>
      <w:spacing w:before="260" w:after="260" w:line="416" w:lineRule="auto"/>
      <w:outlineLvl w:val="1"/>
    </w:pPr>
    <w:rPr>
      <w:rFonts w:ascii="Cambria" w:hAnsi="Cambria"/>
      <w:b/>
      <w:bCs/>
      <w:sz w:val="32"/>
      <w:szCs w:val="32"/>
      <w:lang w:val="en-US" w:eastAsia="en-US"/>
    </w:rPr>
  </w:style>
  <w:style w:type="paragraph" w:styleId="817" w:customStyle="1">
    <w:name w:val="标题 31"/>
    <w:basedOn w:val="630"/>
    <w:next w:val="630"/>
    <w:link w:val="823"/>
    <w:uiPriority w:val="9"/>
    <w:qFormat/>
    <w:pPr>
      <w:keepLines/>
      <w:keepNext/>
      <w:spacing w:before="260" w:after="260" w:line="416" w:lineRule="auto"/>
      <w:outlineLvl w:val="2"/>
    </w:pPr>
    <w:rPr>
      <w:b/>
      <w:bCs/>
      <w:sz w:val="32"/>
      <w:szCs w:val="32"/>
      <w:lang w:val="en-US" w:eastAsia="en-US"/>
    </w:rPr>
  </w:style>
  <w:style w:type="character" w:styleId="818" w:customStyle="1">
    <w:name w:val="默认段落字体1"/>
    <w:link w:val="630"/>
    <w:uiPriority w:val="1"/>
    <w:unhideWhenUsed/>
    <w:qFormat/>
  </w:style>
  <w:style w:type="table" w:styleId="819" w:customStyle="1">
    <w:name w:val="普通表格1"/>
    <w:uiPriority w:val="99"/>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style>
  <w:style w:type="paragraph" w:styleId="820" w:customStyle="1">
    <w:name w:val="正文文本1"/>
    <w:basedOn w:val="630"/>
    <w:next w:val="630"/>
    <w:uiPriority w:val="99"/>
    <w:unhideWhenUsed/>
    <w:qFormat/>
    <w:pPr>
      <w:spacing w:after="120"/>
    </w:pPr>
  </w:style>
  <w:style w:type="character" w:styleId="821" w:customStyle="1">
    <w:name w:val="标题 1 Char"/>
    <w:link w:val="815"/>
    <w:uiPriority w:val="9"/>
    <w:qFormat/>
    <w:rPr>
      <w:b/>
      <w:bCs/>
      <w:sz w:val="44"/>
      <w:szCs w:val="44"/>
    </w:rPr>
  </w:style>
  <w:style w:type="character" w:styleId="822" w:customStyle="1">
    <w:name w:val="标题 2 Char"/>
    <w:link w:val="816"/>
    <w:uiPriority w:val="9"/>
    <w:qFormat/>
    <w:rPr>
      <w:rFonts w:ascii="Cambria" w:hAnsi="Cambria" w:eastAsia="宋体" w:cs="Times New Roman"/>
      <w:b/>
      <w:bCs/>
      <w:sz w:val="32"/>
      <w:szCs w:val="32"/>
    </w:rPr>
  </w:style>
  <w:style w:type="character" w:styleId="823" w:customStyle="1">
    <w:name w:val="标题 3 Char"/>
    <w:link w:val="817"/>
    <w:uiPriority w:val="9"/>
    <w:qFormat/>
    <w:rPr>
      <w:b/>
      <w:bCs/>
      <w:sz w:val="32"/>
      <w:szCs w:val="32"/>
    </w:rPr>
  </w:style>
  <w:style w:type="paragraph" w:styleId="824" w:customStyle="1">
    <w:name w:val="文档结构图1"/>
    <w:basedOn w:val="630"/>
    <w:link w:val="825"/>
    <w:uiPriority w:val="99"/>
    <w:unhideWhenUsed/>
    <w:qFormat/>
    <w:rPr>
      <w:rFonts w:ascii="宋体"/>
      <w:sz w:val="18"/>
      <w:szCs w:val="18"/>
      <w:lang w:val="en-US" w:eastAsia="en-US"/>
    </w:rPr>
  </w:style>
  <w:style w:type="character" w:styleId="825" w:customStyle="1">
    <w:name w:val="文档结构图 Char"/>
    <w:link w:val="824"/>
    <w:uiPriority w:val="99"/>
    <w:semiHidden/>
    <w:qFormat/>
    <w:rPr>
      <w:rFonts w:ascii="宋体" w:eastAsia="宋体"/>
      <w:sz w:val="18"/>
      <w:szCs w:val="18"/>
    </w:rPr>
  </w:style>
  <w:style w:type="paragraph" w:styleId="826" w:customStyle="1">
    <w:name w:val="批注文字1"/>
    <w:basedOn w:val="630"/>
    <w:link w:val="827"/>
    <w:uiPriority w:val="0"/>
    <w:qFormat/>
    <w:pPr>
      <w:ind w:firstLine="922"/>
      <w:jc w:val="left"/>
      <w:spacing w:line="360" w:lineRule="auto"/>
    </w:pPr>
    <w:rPr>
      <w:sz w:val="20"/>
      <w:szCs w:val="24"/>
      <w:lang w:val="en-US" w:eastAsia="en-US"/>
    </w:rPr>
  </w:style>
  <w:style w:type="character" w:styleId="827" w:customStyle="1">
    <w:name w:val="批注文字 Char"/>
    <w:link w:val="826"/>
    <w:uiPriority w:val="0"/>
    <w:qFormat/>
    <w:rPr>
      <w:rFonts w:ascii="Times New Roman" w:hAnsi="Times New Roman" w:eastAsia="宋体" w:cs="Times New Roman"/>
      <w:szCs w:val="24"/>
    </w:rPr>
  </w:style>
  <w:style w:type="paragraph" w:styleId="828" w:customStyle="1">
    <w:name w:val="纯文本1"/>
    <w:basedOn w:val="630"/>
    <w:link w:val="829"/>
    <w:uiPriority w:val="0"/>
    <w:qFormat/>
    <w:rPr>
      <w:rFonts w:ascii="宋体" w:hAnsi="Courier New"/>
      <w:sz w:val="20"/>
      <w:szCs w:val="20"/>
      <w:lang w:val="en-US" w:eastAsia="en-US"/>
    </w:rPr>
  </w:style>
  <w:style w:type="character" w:styleId="829" w:customStyle="1">
    <w:name w:val="纯文本 Char"/>
    <w:link w:val="828"/>
    <w:uiPriority w:val="0"/>
    <w:qFormat/>
    <w:rPr>
      <w:rFonts w:ascii="宋体" w:hAnsi="Courier New" w:eastAsia="宋体" w:cs="Times New Roman"/>
      <w:szCs w:val="20"/>
    </w:rPr>
  </w:style>
  <w:style w:type="paragraph" w:styleId="830" w:customStyle="1">
    <w:name w:val="日期1"/>
    <w:basedOn w:val="630"/>
    <w:next w:val="630"/>
    <w:link w:val="831"/>
    <w:uiPriority w:val="99"/>
    <w:unhideWhenUsed/>
    <w:qFormat/>
    <w:pPr>
      <w:ind w:left="100"/>
    </w:pPr>
  </w:style>
  <w:style w:type="character" w:styleId="831" w:customStyle="1">
    <w:name w:val="日期 Char"/>
    <w:link w:val="830"/>
    <w:uiPriority w:val="99"/>
    <w:semiHidden/>
    <w:qFormat/>
  </w:style>
  <w:style w:type="paragraph" w:styleId="832" w:customStyle="1">
    <w:name w:val="批注框文本1"/>
    <w:basedOn w:val="630"/>
    <w:link w:val="833"/>
    <w:uiPriority w:val="99"/>
    <w:unhideWhenUsed/>
    <w:qFormat/>
    <w:rPr>
      <w:sz w:val="18"/>
      <w:szCs w:val="18"/>
      <w:lang w:val="en-US" w:eastAsia="en-US"/>
    </w:rPr>
  </w:style>
  <w:style w:type="character" w:styleId="833" w:customStyle="1">
    <w:name w:val="批注框文本 Char"/>
    <w:link w:val="832"/>
    <w:uiPriority w:val="99"/>
    <w:semiHidden/>
    <w:qFormat/>
    <w:rPr>
      <w:sz w:val="18"/>
      <w:szCs w:val="18"/>
    </w:rPr>
  </w:style>
  <w:style w:type="paragraph" w:styleId="834" w:customStyle="1">
    <w:name w:val="页脚1"/>
    <w:basedOn w:val="630"/>
    <w:link w:val="835"/>
    <w:uiPriority w:val="99"/>
    <w:unhideWhenUsed/>
    <w:qFormat/>
    <w:pPr>
      <w:jc w:val="left"/>
      <w:tabs>
        <w:tab w:val="center" w:pos="4153" w:leader="none"/>
        <w:tab w:val="right" w:pos="8306" w:leader="none"/>
      </w:tabs>
    </w:pPr>
    <w:rPr>
      <w:sz w:val="18"/>
      <w:szCs w:val="18"/>
      <w:lang w:val="en-US" w:eastAsia="en-US"/>
    </w:rPr>
  </w:style>
  <w:style w:type="character" w:styleId="835" w:customStyle="1">
    <w:name w:val="页脚 Char"/>
    <w:link w:val="834"/>
    <w:uiPriority w:val="99"/>
    <w:qFormat/>
    <w:rPr>
      <w:sz w:val="18"/>
      <w:szCs w:val="18"/>
    </w:rPr>
  </w:style>
  <w:style w:type="paragraph" w:styleId="836" w:customStyle="1">
    <w:name w:val="页眉1"/>
    <w:basedOn w:val="630"/>
    <w:link w:val="837"/>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837" w:customStyle="1">
    <w:name w:val="页眉 Char"/>
    <w:link w:val="836"/>
    <w:uiPriority w:val="99"/>
    <w:semiHidden/>
    <w:qFormat/>
    <w:rPr>
      <w:sz w:val="18"/>
      <w:szCs w:val="18"/>
    </w:rPr>
  </w:style>
  <w:style w:type="paragraph" w:styleId="838" w:customStyle="1">
    <w:name w:val="目录 11"/>
    <w:basedOn w:val="630"/>
    <w:next w:val="630"/>
    <w:uiPriority w:val="39"/>
    <w:unhideWhenUsed/>
    <w:qFormat/>
    <w:pPr>
      <w:jc w:val="center"/>
      <w:tabs>
        <w:tab w:val="right" w:pos="8296" w:leader="dot"/>
      </w:tabs>
    </w:pPr>
    <w:rPr>
      <w:rFonts w:ascii="黑体" w:hAnsi="黑体" w:eastAsia="黑体"/>
      <w:sz w:val="36"/>
      <w:szCs w:val="32"/>
    </w:rPr>
  </w:style>
  <w:style w:type="paragraph" w:styleId="839" w:customStyle="1">
    <w:name w:val="批注主题1"/>
    <w:basedOn w:val="826"/>
    <w:next w:val="826"/>
    <w:link w:val="840"/>
    <w:uiPriority w:val="99"/>
    <w:unhideWhenUsed/>
    <w:qFormat/>
    <w:pPr>
      <w:ind w:firstLine="0"/>
      <w:spacing w:line="240" w:lineRule="auto"/>
    </w:pPr>
    <w:rPr>
      <w:b/>
      <w:bCs/>
      <w:sz w:val="21"/>
      <w:szCs w:val="22"/>
      <w:lang w:val="en-US" w:eastAsia="en-US"/>
    </w:rPr>
  </w:style>
  <w:style w:type="character" w:styleId="840" w:customStyle="1">
    <w:name w:val="批注主题 Char"/>
    <w:link w:val="839"/>
    <w:uiPriority w:val="99"/>
    <w:semiHidden/>
    <w:qFormat/>
    <w:rPr>
      <w:b/>
      <w:bCs/>
      <w:sz w:val="21"/>
      <w:szCs w:val="22"/>
    </w:rPr>
  </w:style>
  <w:style w:type="table" w:styleId="841" w:customStyle="1">
    <w:name w:val="网格型1"/>
    <w:basedOn w:val="819"/>
    <w:uiPriority w:val="59"/>
    <w:qFormat/>
    <w:tblPr/>
  </w:style>
  <w:style w:type="character" w:styleId="842" w:customStyle="1">
    <w:name w:val="要点1"/>
    <w:link w:val="630"/>
    <w:uiPriority w:val="22"/>
    <w:qFormat/>
    <w:rPr>
      <w:b/>
      <w:bCs/>
    </w:rPr>
  </w:style>
  <w:style w:type="character" w:styleId="843" w:customStyle="1">
    <w:name w:val="超链接1"/>
    <w:link w:val="630"/>
    <w:uiPriority w:val="99"/>
    <w:qFormat/>
    <w:rPr>
      <w:color w:val="0000ff"/>
      <w:u w:val="none"/>
    </w:rPr>
  </w:style>
  <w:style w:type="character" w:styleId="844" w:customStyle="1">
    <w:name w:val="批注引用1"/>
    <w:link w:val="630"/>
    <w:uiPriority w:val="0"/>
    <w:qFormat/>
    <w:rPr>
      <w:sz w:val="21"/>
      <w:szCs w:val="21"/>
    </w:rPr>
  </w:style>
  <w:style w:type="paragraph" w:styleId="845" w:customStyle="1">
    <w:name w:val="Default"/>
    <w:link w:val="846"/>
    <w:uiPriority w:val="99"/>
    <w:qFormat/>
    <w:pPr>
      <w:widowControl w:val="off"/>
    </w:pPr>
    <w:rPr>
      <w:rFonts w:hint="default" w:ascii="MS Mincho" w:hAnsi="Times New Roman" w:eastAsia="宋体" w:cs="Times New Roman"/>
      <w:color w:val="000000"/>
      <w:szCs w:val="24"/>
      <w:lang w:bidi="ar-SA"/>
    </w:rPr>
  </w:style>
  <w:style w:type="character" w:styleId="846" w:customStyle="1">
    <w:name w:val="Default Char"/>
    <w:link w:val="845"/>
    <w:uiPriority w:val="99"/>
    <w:qFormat/>
    <w:rPr>
      <w:rFonts w:ascii="MS Mincho"/>
      <w:color w:val="000000"/>
      <w:szCs w:val="24"/>
      <w:lang w:bidi="ar-SA"/>
    </w:rPr>
  </w:style>
  <w:style w:type="paragraph" w:styleId="847" w:customStyle="1">
    <w:name w:val="正文首行缩进11"/>
    <w:basedOn w:val="848"/>
    <w:uiPriority w:val="0"/>
    <w:qFormat/>
    <w:pPr>
      <w:ind w:firstLine="200"/>
      <w:spacing w:line="360" w:lineRule="auto"/>
    </w:pPr>
    <w:rPr>
      <w:rFonts w:ascii="仿宋_GB2312" w:hAnsi="Times New Roman" w:eastAsia="仿宋_GB2312"/>
      <w:sz w:val="30"/>
      <w:szCs w:val="30"/>
    </w:rPr>
  </w:style>
  <w:style w:type="paragraph" w:styleId="848" w:customStyle="1">
    <w:name w:val="正文文本11"/>
    <w:basedOn w:val="630"/>
    <w:next w:val="630"/>
    <w:uiPriority w:val="0"/>
    <w:qFormat/>
    <w:rPr>
      <w:rFonts w:ascii="楷体_GB2312" w:hAnsi="Arial" w:eastAsia="楷体_GB2312"/>
      <w:sz w:val="28"/>
      <w:szCs w:val="28"/>
      <w:lang w:eastAsia="en-US"/>
    </w:rPr>
  </w:style>
  <w:style w:type="paragraph" w:styleId="849" w:customStyle="1">
    <w:name w:val="列出段落"/>
    <w:basedOn w:val="630"/>
    <w:uiPriority w:val="99"/>
    <w:qFormat/>
    <w:pPr>
      <w:ind w:firstLine="420"/>
    </w:pPr>
    <w:rPr>
      <w:rFonts w:ascii="Calibri" w:hAnsi="Calibri" w:eastAsia="宋体" w:cs="Times New Roman"/>
      <w:szCs w:val="24"/>
    </w:rPr>
  </w:style>
  <w:style w:type="paragraph" w:styleId="850" w:customStyle="1">
    <w:name w:val="修订"/>
    <w:uiPriority w:val="99"/>
    <w:unhideWhenUsed/>
    <w:qFormat/>
    <w:rPr>
      <w:rFonts w:hint="default" w:ascii="Times New Roman" w:hAnsi="Times New Roman" w:eastAsia="宋体" w:cs="Times New Roman"/>
      <w:sz w:val="21"/>
      <w:szCs w:val="22"/>
      <w:lang w:val="en-US" w:eastAsia="zh-CN" w:bidi="ar-SA"/>
    </w:rPr>
  </w:style>
  <w:style w:type="paragraph" w:styleId="851" w:customStyle="1">
    <w:name w:val="HTML 预设格式1"/>
    <w:basedOn w:val="6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2" w:customStyle="1">
    <w:name w:val="普通正文"/>
    <w:basedOn w:val="630"/>
    <w:uiPriority w:val="0"/>
    <w:qFormat/>
    <w:pPr>
      <w:ind w:firstLine="480"/>
      <w:jc w:val="left"/>
      <w:spacing w:before="120" w:after="120" w:line="360" w:lineRule="auto"/>
    </w:pPr>
    <w:rPr>
      <w:rFonts w:ascii="Arial" w:hAnsi="Arial"/>
      <w:sz w:val="24"/>
    </w:rPr>
  </w:style>
  <w:style w:type="numbering" w:styleId="5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02</cp:lastModifiedBy>
  <cp:revision>15</cp:revision>
  <dcterms:created xsi:type="dcterms:W3CDTF">2024-10-31T08:40:00Z</dcterms:created>
  <dcterms:modified xsi:type="dcterms:W3CDTF">2024-11-11T02:58:48Z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806AE562A66C4BF995A1C308CDB596B1_12</vt:lpwstr>
  </property>
</Properties>
</file>