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72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643"/>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项目名称：东台市</w:t>
      </w:r>
      <w:r>
        <w:rPr>
          <w:rFonts w:ascii="Arial" w:hAnsi="Arial" w:eastAsia="Arial" w:cs="Arial"/>
          <w:b/>
          <w:color w:val="000000"/>
          <w:sz w:val="32"/>
        </w:rPr>
        <w:t xml:space="preserve">2024</w:t>
      </w:r>
      <w:r>
        <w:rPr>
          <w:rFonts w:ascii="SimSun" w:hAnsi="SimSun" w:eastAsia="SimSun" w:cs="SimSun"/>
          <w:b/>
          <w:color w:val="000000"/>
          <w:sz w:val="32"/>
        </w:rPr>
        <w:t xml:space="preserve">年度高标准农田建设项目质量检测和建筑材料试验服务项目（第二次）</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JSZC-320981-BJZC-G2024-0011</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采购单位：东台市农业农村局</w:t>
      </w:r>
      <w:r/>
    </w:p>
    <w:p>
      <w:pPr>
        <w:ind w:left="0" w:right="0" w:firstLine="964"/>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采购代理机构：北京中昌工程咨询有限公司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2024</w:t>
      </w:r>
      <w:r>
        <w:rPr>
          <w:rFonts w:ascii="SimSun" w:hAnsi="SimSun" w:eastAsia="SimSun" w:cs="SimSun"/>
          <w:b/>
          <w:color w:val="000000"/>
          <w:sz w:val="32"/>
        </w:rPr>
        <w:t xml:space="preserve">年</w:t>
      </w:r>
      <w:r>
        <w:rPr>
          <w:rFonts w:ascii="Arial" w:hAnsi="Arial" w:eastAsia="Arial" w:cs="Arial"/>
          <w:b/>
          <w:color w:val="000000"/>
          <w:sz w:val="32"/>
        </w:rPr>
        <w:t xml:space="preserve">05</w:t>
      </w:r>
      <w:r>
        <w:rPr>
          <w:rFonts w:ascii="SimSun" w:hAnsi="SimSun" w:eastAsia="SimSun" w:cs="SimSun"/>
          <w:b/>
          <w:color w:val="000000"/>
          <w:sz w:val="32"/>
        </w:rPr>
        <w:t xml:space="preserve">月</w:t>
      </w:r>
      <w:r>
        <w:rPr>
          <w:rFonts w:ascii="Arial" w:hAnsi="Arial" w:eastAsia="Arial" w:cs="Arial"/>
          <w:b/>
          <w:color w:val="000000"/>
          <w:sz w:val="32"/>
        </w:rPr>
        <w:t xml:space="preserve">17</w:t>
      </w:r>
      <w:r>
        <w:rPr>
          <w:rFonts w:ascii="SimSun" w:hAnsi="SimSun" w:eastAsia="SimSun" w:cs="SimSun"/>
          <w:b/>
          <w:color w:val="000000"/>
          <w:sz w:val="32"/>
        </w:rPr>
        <w:t xml:space="preserve">日</w:t>
      </w:r>
      <w:r/>
    </w:p>
    <w:p>
      <w:pPr>
        <w:ind w:left="0" w:right="0" w:firstLine="0"/>
        <w:jc w:val="left"/>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sdt>
      <w:sdtPr>
        <w15:appearance w15:val="boundingBox"/>
        <w:rPr/>
      </w:sdtPr>
      <w:sdtContent>
        <w:p>
          <w:pPr>
            <w:ind w:left="0" w:right="0" w:firstLine="0"/>
            <w:jc w:val="both"/>
            <w:spacing w:before="0" w:after="0" w:line="4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hyperlink r:id="rId11" w:tooltip="http://jszfcg.jsczt.cn/jszc/onlyoffice/7.2.1-34/web-apps/apps/documenteditor/main/index_loader.html?_dc=7.2.1-34&amp;lang=zh&amp;customer=%20&amp;logo=%20&amp;headerlogo=%2Ffavicon.ico&amp;frameEditorId=iframePage&amp;compact=true&amp;parentOrigin=http://jszfcg.jsczt.cn#_Toc19097" w:history="1">
            <w:r>
              <w:rPr>
                <w:rStyle w:val="830"/>
                <w:rFonts w:ascii="SimHei" w:hAnsi="SimHei" w:eastAsia="SimHei" w:cs="SimHei"/>
                <w:color w:val="000000" w:themeColor="text1"/>
                <w:sz w:val="44"/>
                <w:u w:val="single"/>
              </w:rPr>
              <w:t xml:space="preserve">第一章  招标公告</w:t>
            </w:r>
          </w:hyperlink>
          <w:r/>
          <w:r>
            <w:rPr>
              <w:color w:val="000000" w:themeColor="text1"/>
            </w:rPr>
          </w:r>
        </w:p>
      </w:sdtContent>
    </w:sdt>
    <w:p>
      <w:pPr>
        <w:ind w:left="0" w:right="0" w:firstLine="880"/>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2" w:tooltip="http://jszfcg.jsczt.cn/jszc/onlyoffice/7.2.1-34/web-apps/apps/documenteditor/main/index_loader.html?_dc=7.2.1-34&amp;lang=zh&amp;customer=%20&amp;logo=%20&amp;headerlogo=%2Ffavicon.ico&amp;frameEditorId=iframePage&amp;compact=true&amp;parentOrigin=http://jszfcg.jsczt.cn#_Toc28299" w:history="1">
        <w:r>
          <w:rPr>
            <w:rStyle w:val="830"/>
            <w:rFonts w:ascii="SimHei" w:hAnsi="SimHei" w:eastAsia="SimHei" w:cs="SimHei"/>
            <w:color w:val="000000" w:themeColor="text1"/>
            <w:sz w:val="44"/>
            <w:u w:val="single"/>
          </w:rPr>
          <w:t xml:space="preserve">第二章  投标人须知</w:t>
        </w:r>
      </w:hyperlink>
      <w:r>
        <w:rPr>
          <w:color w:val="000000" w:themeColor="text1"/>
        </w:rPr>
      </w:r>
      <w:r>
        <w:rPr>
          <w:color w:val="000000" w:themeColor="text1"/>
        </w:rPr>
      </w:r>
    </w:p>
    <w:p>
      <w:pPr>
        <w:ind w:left="0" w:right="0" w:firstLine="880"/>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3" w:tooltip="http://jszfcg.jsczt.cn/jszc/onlyoffice/7.2.1-34/web-apps/apps/documenteditor/main/index_loader.html?_dc=7.2.1-34&amp;lang=zh&amp;customer=%20&amp;logo=%20&amp;headerlogo=%2Ffavicon.ico&amp;frameEditorId=iframePage&amp;compact=true&amp;parentOrigin=http://jszfcg.jsczt.cn#_Toc23761" w:history="1">
        <w:r>
          <w:rPr>
            <w:rStyle w:val="830"/>
            <w:rFonts w:ascii="SimHei" w:hAnsi="SimHei" w:eastAsia="SimHei" w:cs="SimHei"/>
            <w:color w:val="000000" w:themeColor="text1"/>
            <w:sz w:val="44"/>
            <w:u w:val="single"/>
          </w:rPr>
          <w:t xml:space="preserve">第三章  合同文本</w:t>
        </w:r>
      </w:hyperlink>
      <w:r>
        <w:rPr>
          <w:color w:val="000000" w:themeColor="text1"/>
        </w:rPr>
      </w:r>
      <w:r>
        <w:rPr>
          <w:color w:val="000000" w:themeColor="text1"/>
        </w:rPr>
      </w:r>
    </w:p>
    <w:p>
      <w:pPr>
        <w:ind w:left="0" w:right="0" w:firstLine="880"/>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4" w:tooltip="http://jszfcg.jsczt.cn/jszc/onlyoffice/7.2.1-34/web-apps/apps/documenteditor/main/index_loader.html?_dc=7.2.1-34&amp;lang=zh&amp;customer=%20&amp;logo=%20&amp;headerlogo=%2Ffavicon.ico&amp;frameEditorId=iframePage&amp;compact=true&amp;parentOrigin=http://jszfcg.jsczt.cn#_Toc23581" w:history="1">
        <w:r>
          <w:rPr>
            <w:rStyle w:val="830"/>
            <w:rFonts w:ascii="SimHei" w:hAnsi="SimHei" w:eastAsia="SimHei" w:cs="SimHei"/>
            <w:color w:val="000000" w:themeColor="text1"/>
            <w:sz w:val="44"/>
            <w:u w:val="single"/>
          </w:rPr>
          <w:t xml:space="preserve">第四章  采购需求</w:t>
        </w:r>
      </w:hyperlink>
      <w:r>
        <w:rPr>
          <w:color w:val="000000" w:themeColor="text1"/>
        </w:rPr>
      </w:r>
      <w:r>
        <w:rPr>
          <w:color w:val="000000" w:themeColor="text1"/>
        </w:rPr>
      </w:r>
    </w:p>
    <w:p>
      <w:pPr>
        <w:ind w:left="0" w:right="0" w:firstLine="880"/>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5" w:tooltip="http://jszfcg.jsczt.cn/jszc/onlyoffice/7.2.1-34/web-apps/apps/documenteditor/main/index_loader.html?_dc=7.2.1-34&amp;lang=zh&amp;customer=%20&amp;logo=%20&amp;headerlogo=%2Ffavicon.ico&amp;frameEditorId=iframePage&amp;compact=true&amp;parentOrigin=http://jszfcg.jsczt.cn#_Toc13969" w:history="1">
        <w:r>
          <w:rPr>
            <w:rStyle w:val="830"/>
            <w:rFonts w:ascii="SimHei" w:hAnsi="SimHei" w:eastAsia="SimHei" w:cs="SimHei"/>
            <w:color w:val="000000" w:themeColor="text1"/>
            <w:sz w:val="44"/>
            <w:u w:val="single"/>
          </w:rPr>
          <w:t xml:space="preserve">第五章  评标方法与评标标准</w:t>
        </w:r>
      </w:hyperlink>
      <w:r>
        <w:rPr>
          <w:color w:val="000000" w:themeColor="text1"/>
        </w:rPr>
      </w:r>
      <w:r>
        <w:rPr>
          <w:color w:val="000000" w:themeColor="text1"/>
        </w:rPr>
      </w:r>
    </w:p>
    <w:p>
      <w:pPr>
        <w:ind w:left="0" w:right="0" w:firstLine="880"/>
        <w:spacing w:before="240" w:after="240" w:line="113"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6" w:tooltip="http://jszfcg.jsczt.cn/jszc/onlyoffice/7.2.1-34/web-apps/apps/documenteditor/main/index_loader.html?_dc=7.2.1-34&amp;lang=zh&amp;customer=%20&amp;logo=%20&amp;headerlogo=%2Ffavicon.ico&amp;frameEditorId=iframePage&amp;compact=true&amp;parentOrigin=http://jszfcg.jsczt.cn#_Toc14881" w:history="1">
        <w:r>
          <w:rPr>
            <w:rStyle w:val="830"/>
            <w:rFonts w:ascii="SimHei" w:hAnsi="SimHei" w:eastAsia="SimHei" w:cs="SimHei"/>
            <w:color w:val="000000" w:themeColor="text1"/>
            <w:sz w:val="44"/>
            <w:u w:val="single"/>
          </w:rPr>
          <w:t xml:space="preserve">第六章  投标文件格式</w:t>
        </w:r>
      </w:hyperlink>
      <w:r>
        <w:rPr>
          <w:color w:val="000000" w:themeColor="text1"/>
        </w:rPr>
      </w:r>
      <w:r>
        <w:rPr>
          <w:color w:val="000000" w:themeColor="text1"/>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项目概况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东台市2024年度高标准农田建设项目质量检测和建筑材料试验服务项目JSZC-320981-BJZC-G2024-0011 招标项目的潜在投标人应在江苏政府采购网、盐城市政府采购网 获取招标文件，并于2024-06-13 09:00 （北京时间）前递交投标文件。</w:t>
            </w:r>
            <w:r/>
          </w:p>
        </w:tc>
      </w:tr>
    </w:tbl>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项目编号：JSZC-320981-BJZC-G2024-0011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项目名称：东台市2024年度高标准农田建设项目质量检测和建筑材料试验服务项目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预算金额：53.100000万元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工程施工中标价的0.32%。</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根据采购人委托完成东台市2024年度高标准农田建设项目（国债、中央预算、财政补助、节余资金增做）质量检测（跟踪检测）和建筑材料试验服务。（详细内容见本招标文件第四章）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根据施工进度进行。各项目的检测成果报告应在国家规定的检测期后二天内出具。</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本项目（是/否）接受联合体投标：不接受联合体</w:t>
      </w:r>
      <w:r/>
    </w:p>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2.上一年度（或上上年度）经审计的财务报告（投标人成立不满一年无需提供）</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6.投标人法定代表人身份证明和投标文件签署授权委托书（另附法定代表人和被授权人的身份证复印件或扫描件）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7.投标人为被授权人缴纳的社会养老保险证明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具有独立法人资格，具有省级以上计量行政主管部门颁发的计量认证资质证书，须取得省级以上（含省级）水利行政主管部门认定的水利工程质量检测（岩土工程类、混凝土工程类、金属结构类、机械电气类和量测类等五类中任意四类或全部，其中不具备的一类可再委托有资质的单位进行）乙级及以上检测资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3.检测机构应具有与所投检测内容相对应的下列检测业务： ①泵站工程检测需具备的检测类别：混凝土工程、岩土工程、金属结构、量测、机械电气。 ②水闸（或闸站结合）、涵洞、渡槽工程需具备的检测类别：混凝土工程、岩土工程、量测、金属结构（有铸铁闸门或钢闸门）。 ③机耕桥、机耕路、渠道需具备的检测类别：混凝土工程、岩土工程、量测。 ④低压管道需具备的检测类别：混凝土工程、岩土工程、量测。 ⑤土地平整：量测。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4.项目负责人取得水利工程质量检测员从业资格。</w:t>
      </w:r>
      <w:r/>
    </w:p>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2024年05月17日至2024年05月29日，每天上午00:00-12:00，下午12:00-23:59（北京时间，法定节假日除外）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地点：江苏政府采购网、盐城市政府采购网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方式：自行免费下载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2024-06-13 09:00 （北京时间）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地点：“苏采云”政府采购交易系统网上开标大厅 </w:t>
      </w:r>
      <w:r/>
    </w:p>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http://www.ccgp-jiangsu.gov.cn/jiangsu/zlxz/ee/ee3a4bc5a3454aa2b0d9312230633ce9.html。</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2.有关本次招标的事项若存在变动或修改，敬请及时关注“中国政府采购网”、“江苏政府采购网”、“盐城市政府采购网”发布的更正公告。</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3.本次招标不收取投标保证金，不收取质量保证金。</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4.凡为2024年度高标准农田建设项目提供整体设计、规范编制、招标、监理、审计、第三方验收等服务单位不得参与本项投标。</w:t>
      </w:r>
      <w:r/>
    </w:p>
    <w:p>
      <w:pPr>
        <w:pStyle w:val="868"/>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 </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单位名称：东台市农业农村局</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单位地址：东台市广场路6号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联系人：杜女士</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联系电话：0515-85231530</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单位名称：北京中昌工程咨询有限公司</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单位地址：江苏省东台市汇银广场3-215</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联系人：杨女士</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联系电话：15371235180</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项目联系人：杨女士</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电话：15371235180</w:t>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u w:val="none"/>
        </w:rPr>
        <w:t xml:space="preserve">投标人须知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一、总则</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1、招标方式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投标人应自行承担所有与参加投标有关的费用，无论投标过程中的做法和结果如何，采购人在任何情况下均无义务和责任承担这些费用。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5、招标文件的约束力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6、招标文件构成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7、招标文件的澄清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7.1任何要求对招标文件进行澄清的投标人，应在投标截止期十五日前按招标公告中的通讯地址，以书面形式通知采购人。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8、招标文件的修改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8.1在投标截止时间前，采购人或代理机构可以对招标文件进行修改。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8.2采购人或代理机构有权按照法定的要求推迟投标截止日期和开标日期。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三、投标文件的编制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9、投标文件的语言及度量衡单位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10、投标文件构成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开标一览表（系统固定格式）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资格审查资料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 </w:t>
      </w:r>
      <w:r>
        <w:rPr>
          <w:rFonts w:ascii="SimSun" w:hAnsi="SimSun" w:eastAsia="SimSun" w:cs="SimSun"/>
          <w:color w:val="000000"/>
          <w:sz w:val="24"/>
        </w:rPr>
        <w:t xml:space="preserve">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 </w:t>
      </w:r>
      <w:r>
        <w:rPr>
          <w:rFonts w:ascii="SimSun" w:hAnsi="SimSun" w:eastAsia="SimSun" w:cs="SimSun"/>
          <w:color w:val="000000"/>
          <w:sz w:val="24"/>
        </w:rPr>
        <w:t xml:space="preserve">上一年度（或上上年度）经审计的财务报告（投标人成立不满一年无需提供）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 </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 </w:t>
      </w:r>
      <w:r>
        <w:rPr>
          <w:rFonts w:ascii="SimSun" w:hAnsi="SimSun" w:eastAsia="SimSun" w:cs="SimSun"/>
          <w:color w:val="000000"/>
          <w:sz w:val="24"/>
        </w:rPr>
        <w:t xml:space="preserve">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10.2.5 </w:t>
      </w:r>
      <w:r>
        <w:rPr>
          <w:rFonts w:ascii="SimSun" w:hAnsi="SimSun" w:eastAsia="SimSun" w:cs="SimSun"/>
          <w:color w:val="000000"/>
          <w:sz w:val="24"/>
        </w:rPr>
        <w:t xml:space="preserve">参加政府采购活动前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10.2.6 </w:t>
      </w:r>
      <w:r>
        <w:rPr>
          <w:rFonts w:ascii="SimSun" w:hAnsi="SimSun" w:eastAsia="SimSun" w:cs="SimSun"/>
          <w:color w:val="000000"/>
          <w:sz w:val="24"/>
        </w:rPr>
        <w:t xml:space="preserve">投标人法定代表人身份证明和投标文件签署授权委托书（另附法定代表人和被授权人的身份证复印件或扫描件）；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10.2.7 </w:t>
      </w:r>
      <w:r>
        <w:rPr>
          <w:rFonts w:ascii="SimSun" w:hAnsi="SimSun" w:eastAsia="SimSun" w:cs="SimSun"/>
          <w:color w:val="000000"/>
          <w:sz w:val="24"/>
        </w:rPr>
        <w:t xml:space="preserve">投标人为被授权人缴纳的社会养老保险证明；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10.2.8 </w:t>
      </w:r>
      <w:r>
        <w:rPr>
          <w:rFonts w:ascii="SimSun" w:hAnsi="SimSun" w:eastAsia="SimSun" w:cs="SimSun"/>
          <w:color w:val="000000"/>
          <w:sz w:val="24"/>
        </w:rPr>
        <w:t xml:space="preserve">计量认证资质证书、检测资质；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10.2.9 </w:t>
      </w:r>
      <w:r>
        <w:rPr>
          <w:rFonts w:ascii="SimSun" w:hAnsi="SimSun" w:eastAsia="SimSun" w:cs="SimSun"/>
          <w:color w:val="000000"/>
          <w:sz w:val="24"/>
        </w:rPr>
        <w:t xml:space="preserve">项目负责人水利工程质量检测员从业资格证书；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10.2.10 </w:t>
      </w:r>
      <w:r>
        <w:rPr>
          <w:rFonts w:ascii="SimSun" w:hAnsi="SimSun" w:eastAsia="SimSun" w:cs="SimSun"/>
          <w:color w:val="000000"/>
          <w:sz w:val="24"/>
        </w:rPr>
        <w:t xml:space="preserve">与资格审查有关的其他资料（如有）。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符合性资料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10.3.1 </w:t>
      </w:r>
      <w:r>
        <w:rPr>
          <w:rFonts w:ascii="SimSun" w:hAnsi="SimSun" w:eastAsia="SimSun" w:cs="SimSun"/>
          <w:color w:val="000000"/>
          <w:sz w:val="24"/>
        </w:rPr>
        <w:t xml:space="preserve">报价明细表；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10.3.2 </w:t>
      </w:r>
      <w:r>
        <w:rPr>
          <w:rFonts w:ascii="SimSun" w:hAnsi="SimSun" w:eastAsia="SimSun" w:cs="SimSun"/>
          <w:color w:val="000000"/>
          <w:sz w:val="24"/>
        </w:rPr>
        <w:t xml:space="preserve">投标函；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10.3.3 </w:t>
      </w:r>
      <w:r>
        <w:rPr>
          <w:rFonts w:ascii="SimSun" w:hAnsi="SimSun" w:eastAsia="SimSun" w:cs="SimSun"/>
          <w:color w:val="000000"/>
          <w:sz w:val="24"/>
        </w:rPr>
        <w:t xml:space="preserve">所供服务（服务附带的产品）内容及服务要求偏离表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10.3.4 </w:t>
      </w:r>
      <w:r>
        <w:rPr>
          <w:rFonts w:ascii="SimSun" w:hAnsi="SimSun" w:eastAsia="SimSun" w:cs="SimSun"/>
          <w:color w:val="000000"/>
          <w:sz w:val="24"/>
        </w:rPr>
        <w:t xml:space="preserve">投标人的服务承诺；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10.3.5 </w:t>
      </w:r>
      <w:r>
        <w:rPr>
          <w:rFonts w:ascii="SimSun" w:hAnsi="SimSun" w:eastAsia="SimSun" w:cs="SimSun"/>
          <w:color w:val="000000"/>
          <w:sz w:val="24"/>
        </w:rPr>
        <w:t xml:space="preserve">小微企业声明函、残疾人福利性单位声明函（如有）；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10.3.6 </w:t>
      </w:r>
      <w:r>
        <w:rPr>
          <w:rFonts w:ascii="SimSun" w:hAnsi="SimSun" w:eastAsia="SimSun" w:cs="SimSun"/>
          <w:color w:val="000000"/>
          <w:sz w:val="24"/>
        </w:rPr>
        <w:t xml:space="preserve">联合体协议（如有）；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10.3.7 </w:t>
      </w:r>
      <w:r>
        <w:rPr>
          <w:rFonts w:ascii="SimSun" w:hAnsi="SimSun" w:eastAsia="SimSun" w:cs="SimSun"/>
          <w:color w:val="000000"/>
          <w:sz w:val="24"/>
        </w:rPr>
        <w:t xml:space="preserve">东台市政府采购事前信用承诺书；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综合评审相关资料。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价格折扣文件（如有）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）以上材料须按顺序进行排列。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）如为法定代表人参与公开招标的无须提供“投标文件签署授权委托书”和“被授权人缴纳的社会养老保险证明”。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）与本次公开招标无关的资料不要求提供。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10.6如标书制作工具中格式和内容与“江苏政府采购网”、“盐城市政府采购网”发布的招标文件不一致，请以“江苏政府采购网”、“盐城市政府采购网”发布的招标文件为准。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11、证明投标人及投标标的符合招标文件规定的文件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11.1投标人应按照法律、法规、规章和规范性文件以及招标文件要求提交证明文件，证明其及投标标的符合招标文件规定。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“上一年度（或上上年度）的财务报告”，投标人应提供经审计的财务报告，或银行出具的资信证明。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“依法缴纳税收的相关材料”，投标人应提供提交投标文件截止时间前一年内至少一个月缴纳税收的凭据。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“依法缴纳社会保障资金的相关材料”，投标人应提供提交投标文件截止时间前一年内至少一个月缴纳社会保险的凭据。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依法免税或不需要缴纳社会保障资金的投标人，应提供相应文件证明其依法免税或不需要缴纳社会保障资金。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 “申请人的资格要求”和“资格审查资料”中的“近期”是指近两年以来的任一时间段。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12、投标报价明细表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w:t>
      </w:r>
      <w:r>
        <w:rPr>
          <w:rFonts w:ascii="SimSun" w:hAnsi="SimSun" w:eastAsia="SimSun" w:cs="SimSun"/>
          <w:color w:val="000000"/>
          <w:sz w:val="24"/>
          <w:u w:val="none"/>
        </w:rPr>
        <w:t xml:space="preserve">标人应按照招标文件规定格式填报投标</w:t>
      </w:r>
      <w:r>
        <w:rPr>
          <w:rFonts w:ascii="SimSun" w:hAnsi="SimSun" w:eastAsia="SimSun" w:cs="SimSun"/>
          <w:color w:val="000000"/>
          <w:sz w:val="24"/>
        </w:rPr>
        <w:t xml:space="preserve">报价明细表。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12.3投标人应按照第六章投标文件格式完整地填写报价明细表，说明其拟提供服务的名称、服务内容、数量、价格等，采购人要求投标人明确填写的相关内容的，也应填写。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12.4每项服务内容只允许有一个报价，任何有选择的报价将不予接受。</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报价除标的物的价款外还应包括（但不限于）人工、材料、前期审核、现场踏勘及量测、车费、安全措施、食宿费、劳务费、现场跟踪、税金、配合甲方工作、编制成果报告、利润、风险有可能发生的一切费用、服务费等全部项目的费用。服务过程中招标人不再另行支付其他任何费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13、所供服务（服务附带的产品）内容及服务要求偏离表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投标人需对招标文件中的服务内容及服务要求要求逐项作出响应或偏离，并说明原因。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14、投标函和开标一览表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14.2对于采用货币报价的项目，开标一览表中的投标总报价应与投标报价明细表中的投标总报价一致，如不一致，不作为无效投标处理，但评标时按开标一览表中价格为准。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15、投标有效期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15.1投标有效期为采购人规定的开标之日后六十（60）天。投标有效期比规定短的将被视为未实质性响应招标文件而予以拒绝。</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人或代理机构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四、投标文件的递交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17、投标文件</w:t>
      </w:r>
      <w:r>
        <w:rPr>
          <w:rFonts w:ascii="SimHei" w:hAnsi="SimHei" w:eastAsia="SimHei" w:cs="SimHei"/>
          <w:color w:val="000000"/>
          <w:sz w:val="28"/>
        </w:rPr>
        <w:t xml:space="preserve">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17.1电子投标文件的递交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18.1投标人上传电子投标文件的时间不得迟于招标公告中规定的投标截止时间。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19、投标文件</w:t>
      </w:r>
      <w:r>
        <w:rPr>
          <w:rFonts w:ascii="SimHei" w:hAnsi="SimHei" w:eastAsia="SimHei" w:cs="SimHei"/>
          <w:color w:val="000000"/>
          <w:sz w:val="28"/>
        </w:rPr>
        <w:t xml:space="preserve">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20、投标文件的撤回和修改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五、开标与评标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21、开标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21.1采购人将在招标公告中规定的时间和地点组织公开开标。投标人应当按照《操作手册》规定，参加开标活动和在苏采云系统规定的时间内对投标文件进行解密。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22、评标委员会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22.1开标后，采购人将立即组织评标委员会（以下简称评委会）进行评标。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23.1凡是与审查、澄清、评价和比较投标的有关资料以及授标建议等，采购人、评委不得向投标人或与评标无关的其他人员透露。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23.3采购人和评标委员会不向未中标的投标人解释未中标原因，也不公布评标过程中的相关细节。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24、投标文件的澄清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25、对投标文件的初审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w:t>
      </w:r>
      <w:r>
        <w:rPr>
          <w:rFonts w:ascii="SimSun" w:hAnsi="SimSun" w:eastAsia="SimSun" w:cs="SimSun"/>
          <w:color w:val="000000"/>
          <w:sz w:val="24"/>
        </w:rPr>
        <w:t xml:space="preserve">采购人及评标委员会联系。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同一投标人递交两份或多份内容不同的投标文件，或在一份投标文件中对同一采购项目报有两个或多个报价，且未声明哪一个有效，按招标文件规定提交备选方案的除外。</w:t>
      </w:r>
      <w:r/>
    </w:p>
    <w:p>
      <w:pPr>
        <w:ind w:left="479"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 投标人不具备招标文件中规定资格要求的。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 投标人的报价超过了采购预算或最高限价的。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 被授权人无法提供证明其为本单位正式职工的社会养老保险缴费证明的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26.1.7由被授权人参加，但未随投标文件一起提交合法、有效的“授权委托书”的；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投标文件内容不全或关键字迹模糊、无法辨认的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26.1.9投标文件修改处未加盖投标人公章的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26.1.10未通过符合性审查的。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26.1.11不符合招标文件中规定的实质性要求和条件的。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投标文件含有采购人不能接受的附加条件的。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或虽说明理由但评标委员会认为其理由不能成立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26.1.15 投标文件中所供产品供货期限（服务周期）、售后服务条款不符合招标文件相关条款要求或技术指标要求、货物的包装方式、检验标准等低于招标文件规定指标、要求的；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26.1.16 以他人的名义投标、串通投标、以行贿手段谋取中标或者以其他弄虚作假方式投标的；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26.1.17 组成联合体，投标文件未附联合体协议的。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26.1.18 投标文件未按照招标文件要求签署或加盖CA电子公章的。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26.1.19其他法律、法规及本招标文件规定的属无效投标的情形。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27、</w:t>
      </w:r>
      <w:r>
        <w:rPr>
          <w:rFonts w:ascii="SimHei" w:hAnsi="SimHei" w:eastAsia="SimHei" w:cs="SimHei"/>
          <w:color w:val="000000"/>
          <w:sz w:val="28"/>
        </w:rPr>
        <w:t xml:space="preserve">确定中标单位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28、质疑处理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28.4供应商（含潜在供应商）对采购方式、采购需求、供应商资格条件及审查结果、评标方法和评标标准、合同文本的询问、质疑请向采购人提出，由采购人负责答复。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质疑受理部门：</w:t>
      </w:r>
      <w:r>
        <w:rPr>
          <w:rFonts w:ascii="SimSun" w:hAnsi="SimSun" w:eastAsia="SimSun" w:cs="SimSun"/>
          <w:color w:val="000000"/>
          <w:sz w:val="24"/>
          <w:u w:val="single"/>
        </w:rPr>
        <w:t xml:space="preserve">东台市农业农村局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rPr>
          <w:rFonts w:ascii="SimSun" w:hAnsi="SimSun" w:eastAsia="SimSun" w:cs="SimSun"/>
          <w:color w:val="000000"/>
          <w:sz w:val="24"/>
          <w:u w:val="single"/>
        </w:rPr>
        <w:t xml:space="preserve">东台市广场路6号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0515-85231530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29、中标通知书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中标结果确定后，采购人将向中标人发出中标通知书。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七、授予合同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30.签订合同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书面合同。所签订的合同不得对招标文件确定的事项和中标人投标文件作实质性修改。招标文件、中标人的投标文件及其澄清文件等均作为签订合同的依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采购人应当自政府采购合同签订之日起2个工作日内，将政府采购合同的扫描件（PDF格式）传送《苏采云系统》实施网上备案公示。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 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 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31、服务（包含与服务相关的货物）的追加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32、政府采购履约资金扶持政策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 名 称：</w:t>
      </w:r>
      <w:r>
        <w:rPr>
          <w:rFonts w:ascii="SimSun" w:hAnsi="SimSun" w:eastAsia="SimSun" w:cs="SimSun"/>
          <w:color w:val="000000"/>
          <w:sz w:val="24"/>
          <w:u w:val="single"/>
        </w:rPr>
        <w:t xml:space="preserve">东台市2024年度高标准农田建设项目质量检测和建筑材料试验服务项目</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 编 号：</w:t>
      </w:r>
      <w:r>
        <w:rPr>
          <w:rFonts w:ascii="SimSun" w:hAnsi="SimSun" w:eastAsia="SimSun" w:cs="SimSun"/>
          <w:color w:val="000000"/>
          <w:sz w:val="24"/>
          <w:u w:val="single"/>
        </w:rPr>
        <w:t xml:space="preserve">JSZC-320981-BJZC-G2024-0011</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东台市农业农村局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东台市2024年度高标准农田建设项目质量检测和建筑材料试验服务</w:t>
      </w:r>
      <w:r>
        <w:rPr>
          <w:rFonts w:ascii="SimSun" w:hAnsi="SimSun" w:eastAsia="SimSun" w:cs="SimSun"/>
          <w:color w:val="000000"/>
          <w:sz w:val="24"/>
        </w:rPr>
        <w:t xml:space="preserve">项目公开招标的结果，签署本合同。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w:t>
      </w:r>
      <w:r>
        <w:rPr>
          <w:rFonts w:ascii="SimSun" w:hAnsi="SimSun" w:eastAsia="SimSun" w:cs="SimSun"/>
          <w:color w:val="000000"/>
          <w:sz w:val="24"/>
          <w:u w:val="single"/>
        </w:rPr>
        <w:t xml:space="preserve">东台市2024年度高标准农田建设项目质量检测和建筑材料试验服务项目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rPr>
          <w:rFonts w:ascii="SimSun" w:hAnsi="SimSun" w:eastAsia="SimSun" w:cs="SimSun"/>
          <w:color w:val="000000"/>
          <w:sz w:val="24"/>
          <w:u w:val="single"/>
        </w:rPr>
        <w:t xml:space="preserve">符合国家、省、市关于建筑工程材料检测标准、强制性标准、设计要求</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1.3标的需求：</w:t>
      </w:r>
      <w:r>
        <w:rPr>
          <w:rFonts w:ascii="SimSun" w:hAnsi="SimSun" w:eastAsia="SimSun" w:cs="SimSun"/>
          <w:color w:val="000000"/>
          <w:sz w:val="24"/>
          <w:u w:val="single"/>
        </w:rPr>
        <w:t xml:space="preserve">根据采购人委托完成东台市2024年度高标准农田建设项目（国债、中央预算、财政补助、节余资金增做）质量检测（跟踪检测）和建筑材料试验服务</w:t>
      </w:r>
      <w:r>
        <w:rPr>
          <w:rFonts w:ascii="SimSun" w:hAnsi="SimSun" w:eastAsia="SimSun" w:cs="SimSun"/>
          <w:color w:val="000000"/>
          <w:sz w:val="24"/>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1.4检测内容：</w:t>
      </w:r>
      <w:r>
        <w:rPr>
          <w:rFonts w:ascii="SimSun" w:hAnsi="SimSun" w:eastAsia="SimSun" w:cs="SimSun"/>
          <w:color w:val="000000"/>
          <w:sz w:val="24"/>
          <w:u w:val="single"/>
        </w:rPr>
        <w:t xml:space="preserve">根据招标人委托完成东台市2024年度高标准农田建设项目（国债、中央预算、财政补助、节余资金增做）质量检测和建筑材料试验服务。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履行时间（期限）：</w:t>
      </w:r>
      <w:r>
        <w:rPr>
          <w:rFonts w:ascii="SimSun" w:hAnsi="SimSun" w:eastAsia="SimSun" w:cs="SimSun"/>
          <w:color w:val="000000"/>
          <w:sz w:val="24"/>
          <w:u w:val="single"/>
        </w:rPr>
        <w:t xml:space="preserve">根据施工进度进行。各项目的检测成果报告应在国家规定的检测期后二天内出具。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履行地点：东台市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2.1检测和试验费用标准：按工程中标价的</w:t>
      </w:r>
      <w:r>
        <w:rPr>
          <w:rFonts w:ascii="SimSun" w:hAnsi="SimSun" w:eastAsia="SimSun" w:cs="SimSun"/>
          <w:color w:val="000000"/>
          <w:sz w:val="24"/>
          <w:u w:val="single"/>
        </w:rPr>
        <w:t xml:space="preserve">       </w:t>
      </w:r>
      <w:r>
        <w:rPr>
          <w:rFonts w:ascii="SimSun" w:hAnsi="SimSun" w:eastAsia="SimSun" w:cs="SimSun"/>
          <w:color w:val="000000"/>
          <w:sz w:val="24"/>
        </w:rPr>
        <w:t xml:space="preserve">％计取；（乙方向甲方承诺，如上级审批检测费率低于中标费率，结算按上级审批费率为准结算）。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2.2检测方的检测和试验费用包括正常的工作费用、差旅费、住宿费、工程现场踏勘费等一切费用，委托人不再另行支付其他任何理由的其他费用。</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2.3检测费用按委托的实际检测样本数量结算。</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6.1乙方交纳人民币</w:t>
      </w:r>
      <w:r>
        <w:rPr>
          <w:rFonts w:ascii="SimSun" w:hAnsi="SimSun" w:eastAsia="SimSun" w:cs="SimSun"/>
          <w:color w:val="000000"/>
          <w:sz w:val="24"/>
          <w:u w:val="single"/>
        </w:rPr>
        <w:t xml:space="preserve">10000.00</w:t>
      </w:r>
      <w:r>
        <w:rPr>
          <w:rFonts w:ascii="SimSun" w:hAnsi="SimSun" w:eastAsia="SimSun" w:cs="SimSun"/>
          <w:color w:val="000000"/>
          <w:sz w:val="24"/>
        </w:rPr>
        <w:t xml:space="preserve">元作为本合同的履约保证金。由乙方在合同签订时向甲方提交，允许供应商自主选择以支票、汇票、本票、保函等非现金形式缴纳或提交保证金所供货物验收合格且正常运行后退还；如发现虚假应标行为，履约保证金不予退还，乙方须承担甲方因此所造成的项目延期及重新招标的损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是/否）</w:t>
      </w:r>
      <w:r>
        <w:rPr>
          <w:rFonts w:ascii="SimSun" w:hAnsi="SimSun" w:eastAsia="SimSun" w:cs="SimSun"/>
          <w:color w:val="7030a0"/>
          <w:sz w:val="24"/>
          <w:u w:val="single"/>
        </w:rPr>
        <w:t xml:space="preserve"> 是 </w:t>
      </w:r>
      <w:r>
        <w:rPr>
          <w:rFonts w:ascii="SimSun" w:hAnsi="SimSun" w:eastAsia="SimSun" w:cs="SimSun"/>
          <w:color w:val="7030a0"/>
          <w:sz w:val="24"/>
        </w:rPr>
        <w:t xml:space="preserve">免收 ，降低履约保证金缴纳比例</w:t>
      </w:r>
      <w:r>
        <w:rPr>
          <w:rFonts w:ascii="SimSun" w:hAnsi="SimSun" w:eastAsia="SimSun" w:cs="SimSun"/>
          <w:color w:val="7030a0"/>
          <w:sz w:val="24"/>
          <w:u w:val="single"/>
        </w:rPr>
        <w:t xml:space="preserve"> 100% </w:t>
      </w:r>
      <w:r>
        <w:rPr>
          <w:rFonts w:ascii="Microsoft YaHei" w:hAnsi="Microsoft YaHei" w:eastAsia="Microsoft YaHei" w:cs="Microsoft YaHei"/>
          <w:color w:val="000000"/>
          <w:sz w:val="27"/>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6.3履约保证金的退还：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6.3.1方式：无息退还至投标人缴纳履约保证金的账户。如为保函，在到期时自行失效。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6.3.2时间：验收合格且采购人收到发票后30日内。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6.3.3条件：按合同要求全部履约完成并经采购人验收合格，且采购人收到中标人出具的发票。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6.3.4不予退还情形：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8.1.1预付款支付时间：合同签订后收到乙方开具的发票30日内支付预付款，预付款支付比例：合同金额的10%。</w:t>
      </w:r>
      <w:r>
        <w:rPr>
          <w:rFonts w:ascii="KaiTi" w:hAnsi="KaiTi" w:eastAsia="KaiTi" w:cs="KaiTi"/>
          <w:color w:val="000000"/>
          <w:sz w:val="24"/>
        </w:rPr>
        <w:t xml:space="preserve">（</w:t>
      </w:r>
      <w:r>
        <w:rPr>
          <w:rFonts w:ascii="SimSun" w:hAnsi="SimSun" w:eastAsia="SimSun" w:cs="SimSun"/>
          <w:color w:val="000000"/>
          <w:sz w:val="24"/>
        </w:rPr>
        <w:t xml:space="preserve">在签订合同时，供应商明确书面表示无需预付款或者主动要求降低预付款比例的，采购人可就预付款比例作相应调整。）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8.1.2尾款支付时间：工程竣工后支付合同约定额的50%，余款待工程竣工验收合格后满一年结清。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十一、甲方、乙方职责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11.1甲方职责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11.1.1提供的检测样本的数量及规格必须符合工程质量检测取样规定和验收标准、强制性条文的要求。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11.1.2按规定进行现场监督、见证取样、封样，核查现场检测人员和见证员持证上岗情况。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11.1.3按规定填写检测委托单，并由委托人和见证人签字。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11.2乙方职责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11.2.1检测方应严格执行国家、省、市现行检测有关规范、技术标准、强制性标准以及对检测机构的各项管理规定，检测过程严谨，检测方法科学，检测结果不受任何外部环境的干扰，检测报告的数据应客观、公正，并对出具的检测数据、检测报告的真实性和准确性承担经济责任和法律责任。</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11.2.2本合同周期为：全过程服务。试验成果文件的提交：各单项工程检测完成后根据采购人要求提交完整有效的检测报告。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11.2.3检测单位应以抽样实物为依据进行检测，不得向三方主体查询抽样材料或送检材料相关数据，及时向建设单位提交初步检测结果。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11.2.4检测的依据和标准：《水利工程质量管理规定》，《水利工程质量检测管理规定》，《水利水电建设工程验收规程》，《水利工程质量监督规程》等国家现行法律法规。检测的范围和内容：按照江苏省《水利工程施工质量项目法人委托检测规范》（DB32/T2707—2014）、《水利工程施工质量检验与评定规范》（DB32/T2334-2013）、《水利水电工程施工质量检验与评定规程》（SL176-2007）、《水利水电建设工程验收规程》（SL223-2008）执行。主要检测内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①工程实体检测（外观质量、混凝土强度、钢筋混凝土保护层厚度、表面平整度、垂直度、结构尺寸、层面高程、回填土质量等）；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②机电设备检测（机泵及电气盘柜等设备安装检测），所有检测项目均参照执行（若有变动，以上级文件或通知等为准）。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（5）对检测结果有异议的，在规定的时间内查明原因，向委托人作出答复。</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检测方在责任期间，应履行招标文件和委托检测合同中约定的义务，因检测方的单方过失造成的经济损失、质量安全事故或致使事故损失扩大的，应当向委托人进行赔偿并承担法律责任，该工程检测费不予支付，同时罚款5万元。</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检测单位应以抽样实物为依据进行检测，不得向三方主体查询抽样材料或送检材料相关数据，及时向建设单位提交初步检测结果。如发现检测方出具假报告或与施工单位串通作弊，前期所有检测费用不予支付，同时罚款10万元，委托人有权终止合同，造成严重后果的将追究其法律责任和经济责任；</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检测的依据和标准：《水利工程质量管理规定》，《水利工程质量检测管理规定》，《水利水电建设工程验收规程》，《水利工程质量监督规程》等国家现行法律法规。检测的范围和内容：按照江苏省《水利工程施工质量项目法人委托检测规范》（DB32/T2707—2014）、《水利工程施工质量检验与评定规范》（DB32/T2334-2013）、《水利水电工程施工质量检验与评定规程》（SL176-2007）、《水利水电建设工程验收规程》（SL223-2008）执行。主要检测内容：1）工程实体检测（外观质量、 混凝土强度、钢筋</w:t>
      </w:r>
      <w:r>
        <w:rPr>
          <w:rFonts w:ascii="SimSun" w:hAnsi="SimSun" w:eastAsia="SimSun" w:cs="SimSun"/>
          <w:color w:val="000000"/>
          <w:sz w:val="24"/>
        </w:rPr>
        <w:t xml:space="preserve">混凝土保护层厚度、表面平整度、垂直度、结构尺寸、层面高程、回填土质量等）；2）机电设备检测（机泵及电气盘柜等设备安装检测）。所有检测项目均参照执行（若有变动，以上级文件或通知等为准），如有违反上述原则，招标人有权无条件终止合同，更换检测单位并列入黑名单。</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12.4检测方应确保检测数据的准确性。检测过程中，要严格按照规范要求进行随机抽样检测，严禁与施工单位串通检测、提供虚假检测数据，每发现一次按5000元/次计扣违约金。</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12.5检测方应科学合理安排检测时间，注重时效性。在施工单位提出检测申请后，应在三日内到施工现场进行相关检测，每推迟一天按500元/次计扣违约金。</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12.6检测方应及时提供各项目的检测报告（一式五份），在规定的时间内，每推迟一天按500元/次计扣违约金。</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 期相同。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14.1双方在签订、履行合同中所发生的一切争议，应通过友好协商解决。如协商不成，依法向甲方所在地人民法院提起诉讼。</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15.2本合同未尽事宜，遵照《民法典》、《政府采购法》有关条文执行。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本合同正本一式两份，具有同等法律效力，甲方、乙方各执一份。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1、根据采购人委托完成东台市2024年度高标准农田建设项目（国债、中央预算、财政补助、节余资金增做）质量检测（跟踪检测）和建筑材料试验服务。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应具有独立法人资格，具有省级以上计量行政主管部门颁发的计量认证资质证书，须取得省级以上（含省级）水利行政主管部门认定的水利工程质量检测（岩土工程类、混凝土工程类、金属结构类、机械电气类和量测类等五类中任意四类或全部，其中不具备的一类可再委托有资质的单位进行）乙级及以上检测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3、检测机构应具有与所投检测内容相对应的下列检测业务：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①泵站工程检测需具备的检测类别：混凝土工程、岩土工程、金属结构、量测、机械电气。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②水闸（或闸站结合）、涵洞、渡槽工程需具备的检测类别：混凝土工程、岩土工程、量测、金属结构（有铸铁闸门或钢闸门）。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③机耕桥、机耕路、渠道需具备的检测类别：混凝土工程、岩土工程、量测。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④低压管道需具备的检测类别：混凝土工程、岩土工程、量测。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⑤土地平整：量测。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4、项目负责人取得水利工程质量检测员从业资格。</w:t>
      </w:r>
      <w:r/>
    </w:p>
    <w:p>
      <w:pPr>
        <w:numPr>
          <w:ilvl w:val="0"/>
          <w:numId w:val="6"/>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检测周期：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根据施工进度进行，各项目的检测成果报告应在国家规定的检测期后二天内出具。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6"/>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检测质量标准：符合国家、省、市关于建筑工程材料检测标准、强制性标准、设计要求。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四、甲方、乙方职责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1、甲方职责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（1）提供的检测样本的数量及规格必须符合工程质量检测取样规定和验收标准、强制性条文的要求。</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（2）按规定进行现场监督、见证取样、封样，核查现场检测人员和见证员持证上岗情况。</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（3）按规定填写检测委托单，并由委托人和见证人签字。</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2、乙方职责</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检测方应严格执行国家、省、市现行检测有关规范、技术标准、强制性标准以及对检测机构的各项管理规定，检测过程严谨，检测方法科学，检测结果不受任何外部环境的干扰，检测报告的数据应客观、公正，并对出具的检测数据、检测报告的真实性和准确性承担经济责任和法律责任。</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（2）本合同周期为：全过程服务。试验成果文件的提交：各单项工程检测完成后根据采购人要求提交完整有效的检测报告。</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（3）检测单位应以抽样实物为依据进行检测，不得向三方主体查询抽样材料或送检材料相关数据，及时向建设单位提交初步检测结果。</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的依据和标准：《水利工程质量管理规定》，《水利工程质量检测管理规定》，《水利水电建设工程验收规程》，《水利工程质量监督规程》等国家现行法律法规。检测的范围和内容：按照江苏省《水利工程施工质量项目法人委托检测规范》（DB32/T2707—2014）、《水利工程施工质量检验与评定规范》（DB32/T2334-2013）、《水利水电工程施工质量检验与评定规程》（SL176-2007）、《水利水电建设工程验收规程》（SL223-2008）执行。主要检测内容：</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①工程实体检测（外观质量、混凝土强度、钢筋混凝土保护层厚度、表面平整度、垂直度、结构尺寸、层面高程、回填土质量等）；</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②机电设备检测（机泵及电气盘柜等设备安装检测），所有检测项目均参照执行（若有变动，以上级文件或通知等为准）。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（5）对检测结果有异议的，在规定的时间内查明原因，向委托人作出答复。</w:t>
      </w:r>
      <w:r/>
      <w:r>
        <w:rPr>
          <w:rFonts w:ascii="Calibri" w:hAnsi="Calibri" w:eastAsia="Calibri" w:cs="Calibri"/>
          <w:sz w:val="21"/>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482"/>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1、小微型企业价格扣除</w:t>
      </w:r>
      <w:r/>
    </w:p>
    <w:p>
      <w:pPr>
        <w:ind w:left="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2、残疾人福利单位价格扣除</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3、监狱和戒毒企业价格扣除</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8.供应商对于投标产品的商品包装、快递包装应按照《关于印发《商品包装政府采购需求标准（试行）》、《快递包装政府采购需求标准（试行）》的通知》（财办库〔2020〕123号）执行。</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9.本文件中若涉及到数据中心采购，应按照《&lt;绿色数据中心政府采购需求标准（试行）&gt;的通知》（财库〔2023〕7号）执行。</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10.根据《江苏省政府采购信用管理暂行办法》的规定，供应商信用评价结果为三星的扣2分，评价结果为二星的扣3分，评价结果为一星的扣4分。</w:t>
      </w:r>
      <w:r/>
    </w:p>
    <w:p>
      <w:pPr>
        <w:numPr>
          <w:ilvl w:val="0"/>
          <w:numId w:val="5"/>
        </w:numP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1、本次招标活动采用综合评分法：是指投标文件满足招标文件全部实质性要求，且按照评审因素的量化指标评审得分最高的投标人为中标候选人的评标方法。</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具体评审细则如下：</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0"/>
        <w:gridCol w:w="1251"/>
        <w:gridCol w:w="1518"/>
        <w:gridCol w:w="910"/>
        <w:gridCol w:w="5056"/>
      </w:tblGrid>
      <w:tr>
        <w:trPr>
          <w:trHeight w:val="5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分部内容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42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打分要求</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满足招标文件要求且投标价格最低的投标报价为基准价，其价格分为满分。报价得分=(评标基准价/投标报价)×15。</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检测方案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1、检测工作程序和方法：检测工作程序和方法重点突出，针对性强，评委根据其合理程度打分。（7.8分-13分）</w:t>
            </w:r>
            <w:r/>
          </w:p>
        </w:tc>
      </w:tr>
      <w:tr>
        <w:trPr>
          <w:trHeight w:val="85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2、检测的重点难点分析：检测的重点难点分析突出，评委根据其合理程度打分。（7.8分-13分）</w:t>
            </w:r>
            <w:r/>
          </w:p>
        </w:tc>
      </w:tr>
      <w:tr>
        <w:trPr>
          <w:trHeight w:val="45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3、检测参数齐全，有完善检测手段：检测参数齐全，有完善检测手段，评委根据其合理程度打分。（7.8分-13分）</w:t>
            </w:r>
            <w:r/>
          </w:p>
        </w:tc>
      </w:tr>
      <w:tr>
        <w:trPr>
          <w:trHeight w:val="54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4、检测频次满足工程需要、有保证：检测频次满足工程需要、有保证，评委根据其合理程度打分。（7.8分-13分）</w:t>
            </w:r>
            <w:r/>
          </w:p>
        </w:tc>
      </w:tr>
      <w:tr>
        <w:trPr>
          <w:trHeight w:val="54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5、合同管理、资料归档制度：合同管理、资料归档制度完善，评委根据其合理程度打分。（7.2分-12分）</w:t>
            </w:r>
            <w:r/>
          </w:p>
        </w:tc>
      </w:tr>
      <w:tr>
        <w:trPr>
          <w:trHeight w:val="195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标委员会根据以上评审要点，对投标文件的检测方案进行评分。投标书检测方案中有明显缺项者，评委对该缺项内容评审时应作0分处理，即取消得分区的保底分值，各大项的要点齐全的得基本分38.4分。同时，评委可根据检测方案的针对性、合理性、可行性的原则，对该检测方案中各大项内容分别予以加分，并以0.01分为一个计分单位。</w:t>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服务水平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项目组成员均具备水利检测员资格证书：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1、拟派项目负责人：同时具备中级职称的得3分，高级及以上的得5分。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2、项目组成员（除项目负责人）：同时具备初级以上职称的有一个得1分，中级及以上的有一个得2分。最多得7分。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注：须提供投标人为项目组成员缴纳近期社会保障资金缴纳证明，无社保证明及相关证书的不得分。</w:t>
            </w:r>
            <w:r/>
          </w:p>
        </w:tc>
      </w:tr>
      <w:tr>
        <w:trPr>
          <w:trHeight w:val="1096"/>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作业保障能力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配置外出作业车辆不少于2辆，1辆得1分最高4分（车辆设备除发票外提供行驶证及清晰可辨识的车辆照片，不提供不得分）</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56"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投标人具有2021年01月01日以来（以合同签订时间为准）类似工程（类似工程指农田水利或土地整理或高标准粮田或高标准农田等工程）的施工业绩。有一个得1分，最高5分。</w:t>
            </w:r>
            <w:r>
              <w:rPr>
                <w:rFonts w:ascii="SimSun" w:hAnsi="SimSun" w:eastAsia="SimSun" w:cs="SimSun"/>
                <w:b/>
                <w:color w:val="000000"/>
                <w:sz w:val="21"/>
              </w:rPr>
              <w:t xml:space="preserve">注：须提供检测合同原件扫描件供评委核实并加盖投标人公章，不提供不得分。</w:t>
            </w:r>
            <w:r/>
          </w:p>
        </w:tc>
      </w:tr>
    </w:tbl>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说明：（1）所有打分项均以投标人所提供的投标文件进行打分，投标文件中未提及的不予认可，投标文件提交截止时间后不得修改或是补充投标文件。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（2）投标人的最终得分为所有评委打分的平均值，计算结果保留至小数点后两位。</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（3）评标委员会根据评标标准或采购人的委托确定中标（候选）人。</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
        <w:rPr>
          <w:rFonts w:ascii="Calibri" w:hAnsi="Calibri" w:eastAsia="Calibri" w:cs="Calibri"/>
          <w:sz w:val="24"/>
        </w:rP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一、开标一览表（系统固定格式）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二、资格审查资料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（2）上一年度（或上上年度）经审计的财务报告（投标人成立不满一年无需提供）；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（6）投标人法定代表人身份证明和投标文件签署授权委托书（另附法定代表人和被授权人的身份证复印件或扫描件）；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（7）投标人为被授权人缴纳的社会养老保险证明；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（8）计量认证资质证书、检测资质；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（9）项目负责人水利工程质量检测员从业资格证书；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（10）与资格审查有关的其他资料（如有）。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三、符合性资料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（3）所供服务（服务附带的产品）内容及服务要求偏离表（如有）；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（4）投标人的服务承诺；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（5）小微企业声明函；（如有）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（6）残疾人福利性单位声明函；（如有）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（7）联合体协议（如有）；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（8）东台市政府采购事前信用承诺书。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四、综合评审相关资料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五、价格折扣文件（如有）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1.具有履行合同所必需的设备和专业技术能力的书面声明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2.参加政府采购活动前3年内在经营活动中</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没有重大违法记录的书面声明</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right"/>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3.法定代表人身份证明书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（法定代表人姓名） </w:t>
      </w:r>
      <w:r>
        <w:rPr>
          <w:rFonts w:ascii="SimSun" w:hAnsi="SimSun" w:eastAsia="SimSun" w:cs="SimSun"/>
          <w:color w:val="000000"/>
          <w:sz w:val="24"/>
        </w:rPr>
        <w:t xml:space="preserve">在</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 任</w:t>
      </w:r>
      <w:r>
        <w:rPr>
          <w:rFonts w:ascii="SimSun" w:hAnsi="SimSun" w:eastAsia="SimSun" w:cs="SimSun"/>
          <w:color w:val="000000"/>
          <w:sz w:val="24"/>
          <w:u w:val="single"/>
        </w:rPr>
        <w:t xml:space="preserve">（职务名称）</w:t>
      </w:r>
      <w:r>
        <w:rPr>
          <w:rFonts w:ascii="SimSun" w:hAnsi="SimSun" w:eastAsia="SimSun" w:cs="SimSun"/>
          <w:color w:val="000000"/>
          <w:sz w:val="24"/>
        </w:rPr>
        <w:t xml:space="preserve">职务，是</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的法定代表人，联系电话（手机号码）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26"/>
        <w:jc w:val="right"/>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（附：法定代表人身份证正反面复印件或扫描件）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 的法定代表人，现授权____________（投标人名称）的________________（被授权人的姓名）为我单位就JSZC-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号项目的投标文件的法定代表人授权委托代理，，我承认被授权人全权代表我所签署的本项目的投标文件的内容。以本单位名义全权处理一切与该项目采购有关的事务。</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代理人被授权人身份证号码：</w:t>
      </w:r>
      <w:r>
        <w:rPr>
          <w:rFonts w:ascii="SimSun" w:hAnsi="SimSun" w:eastAsia="SimSun" w:cs="SimSun"/>
          <w:color w:val="000000"/>
          <w:sz w:val="24"/>
          <w:u w:val="single"/>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（加盖CA电子公章）</w:t>
      </w:r>
      <w:r/>
    </w:p>
    <w:p>
      <w:pPr>
        <w:ind w:left="0" w:right="0" w:firstLine="120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（附：被授权人身份证正反面复印件或扫描件）</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5.开标一览表（格式）</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3"/>
        <w:gridCol w:w="6709"/>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689"/>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项目投标报价：         %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是否提供《企业类型声明函》：</w:t>
            </w:r>
            <w:r>
              <w:rPr>
                <w:rFonts w:ascii="SimSun" w:hAnsi="SimSun" w:eastAsia="SimSun" w:cs="SimSun"/>
                <w:b/>
                <w:color w:val="000000"/>
                <w:sz w:val="21"/>
                <w:u w:val="single"/>
              </w:rPr>
              <w:t xml:space="preserve">  是/否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投标报价保留两位小数。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240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6.报价明细表（格式）</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1391"/>
        <w:gridCol w:w="2949"/>
        <w:gridCol w:w="1091"/>
        <w:gridCol w:w="1224"/>
        <w:gridCol w:w="1891"/>
      </w:tblGrid>
      <w:tr>
        <w:trPr>
          <w:trHeight w:val="59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3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9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w:t>
            </w:r>
            <w:r/>
          </w:p>
        </w:tc>
      </w:tr>
      <w:tr>
        <w:trPr>
          <w:trHeight w:val="5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东台市2024年度高标准农田建设项目质量检测和建筑材料试验服务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94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根据采购人委托完成东台市2024年度高标准农田建设项目（国债、中央预算、财政补助、节余资金增做）质量检测（跟踪检测）和建筑材料试验服务。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2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8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工程施工中标价的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tc>
      </w:tr>
    </w:tbl>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报价除标的物的价款外还应包括（但不限于）人工、材料、前期审核、现场踏勘及量测、车费、安全措施、食宿费、劳务费、现场跟踪、税金、配合甲方工作、编制成果报告、利润、风险有可能发生的一切费用、服务费等全部项目的费用。服务过程中招标人不再另行支付其他任何费用。</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7.投标函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         -***</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0" w:right="0" w:firstLine="9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rPr>
          <w:rFonts w:ascii="SimSun" w:hAnsi="SimSun" w:eastAsia="SimSun" w:cs="SimSun"/>
          <w:color w:val="000000"/>
          <w:sz w:val="24"/>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8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8.所供服务（服务附带的产品）内容及服务要求偏离表</w:t>
      </w:r>
      <w:r/>
    </w:p>
    <w:p>
      <w:pPr>
        <w:ind w:left="48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760"/>
        <w:gridCol w:w="2493"/>
        <w:gridCol w:w="2268"/>
        <w:gridCol w:w="1067"/>
      </w:tblGrid>
      <w:tr>
        <w:trPr>
          <w:trHeight w:val="55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采购服务（服务附带的产品）内容及服务要求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所供服务（服务附带的产品）内容及服务要求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注：该表必须按照招标文件要求逐条如实填写，根据所供产品情况在“偏离说明”项填写正偏离或负偏离及原因，完全符合的填写“无偏离”。</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9.服  务  承  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如我方中标，郑重承诺如下：</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（1）按照招标文件的要求，根据施工进度进行。各项目的检测成果报告在国家规定的检测期后</w:t>
      </w:r>
      <w:r>
        <w:rPr>
          <w:rFonts w:ascii="SimSun" w:hAnsi="SimSun" w:eastAsia="SimSun" w:cs="SimSun"/>
          <w:color w:val="000000"/>
          <w:sz w:val="24"/>
          <w:u w:val="single"/>
        </w:rPr>
        <w:t xml:space="preserve"> 二 </w:t>
      </w:r>
      <w:r>
        <w:rPr>
          <w:rFonts w:ascii="SimSun" w:hAnsi="SimSun" w:eastAsia="SimSun" w:cs="SimSun"/>
          <w:color w:val="000000"/>
          <w:sz w:val="24"/>
        </w:rPr>
        <w:t xml:space="preserve">天内出具；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（2）投标产品的质量保证期不低于</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（3）在质量保证期内，用户遇到使用及技术问题，我方为用户提供技术援助电话。联系电话为：</w:t>
      </w:r>
      <w:r>
        <w:rPr>
          <w:rFonts w:ascii="SimSun" w:hAnsi="SimSun" w:eastAsia="SimSun" w:cs="SimSun"/>
          <w:color w:val="000000"/>
          <w:sz w:val="24"/>
          <w:u w:val="single"/>
        </w:rPr>
        <w:t xml:space="preserve">              </w:t>
      </w:r>
      <w:r>
        <w:rPr>
          <w:rFonts w:ascii="SimSun" w:hAnsi="SimSun" w:eastAsia="SimSun" w:cs="SimSun"/>
          <w:color w:val="000000"/>
          <w:sz w:val="24"/>
        </w:rPr>
        <w:t xml:space="preserve">。如电话咨询不能解决时，我方在</w:t>
      </w:r>
      <w:r>
        <w:rPr>
          <w:rFonts w:ascii="SimSun" w:hAnsi="SimSun" w:eastAsia="SimSun" w:cs="SimSun"/>
          <w:color w:val="000000"/>
          <w:sz w:val="24"/>
          <w:u w:val="single"/>
        </w:rPr>
        <w:t xml:space="preserve">    </w:t>
      </w:r>
      <w:r>
        <w:rPr>
          <w:rFonts w:ascii="SimSun" w:hAnsi="SimSun" w:eastAsia="SimSun" w:cs="SimSun"/>
          <w:color w:val="000000"/>
          <w:sz w:val="24"/>
        </w:rPr>
        <w:t xml:space="preserve">小时内采取相应措施，提供上门服务。仍无法解决时，我方在</w:t>
      </w:r>
      <w:r>
        <w:rPr>
          <w:rFonts w:ascii="SimSun" w:hAnsi="SimSun" w:eastAsia="SimSun" w:cs="SimSun"/>
          <w:color w:val="000000"/>
          <w:sz w:val="24"/>
          <w:u w:val="single"/>
        </w:rPr>
        <w:t xml:space="preserve">   </w:t>
      </w:r>
      <w:r>
        <w:rPr>
          <w:rFonts w:ascii="SimSun" w:hAnsi="SimSun" w:eastAsia="SimSun" w:cs="SimSun"/>
          <w:color w:val="000000"/>
          <w:sz w:val="24"/>
        </w:rPr>
        <w:t xml:space="preserve">小时内提供备用产品，确保用户能够正常使用（时间从接到用户报修电话时起算）；如我方不能在承诺时间内采取相应措施或提供备用产品，采购人自行处理，其费用在我方履约保证金中扣付；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（4）质量保证期满后，我方同样提供免费电话咨询服务，并以优惠价格提供售后服务；</w:t>
      </w:r>
      <w:r/>
    </w:p>
    <w:p>
      <w:pPr>
        <w:ind w:left="0" w:right="0" w:firstLine="4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10.小微企业声明函（服务）（分包号：**）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行业；承接企业为（企业名称），从业人</w:t>
      </w:r>
      <w:r>
        <w:rPr>
          <w:rFonts w:ascii="SimSun" w:hAnsi="SimSun" w:eastAsia="SimSun" w:cs="SimSun"/>
          <w:color w:val="000000"/>
          <w:sz w:val="24"/>
          <w:u w:val="single"/>
        </w:rPr>
        <w:t xml:space="preserve">  </w:t>
      </w:r>
      <w:r>
        <w:rPr>
          <w:rFonts w:ascii="SimSun" w:hAnsi="SimSun" w:eastAsia="SimSun" w:cs="SimSun"/>
          <w:color w:val="000000"/>
          <w:sz w:val="24"/>
        </w:rPr>
        <w:t xml:space="preserve">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行业；承接企业为（企业名称），从业人</w:t>
      </w:r>
      <w:r>
        <w:rPr>
          <w:rFonts w:ascii="SimSun" w:hAnsi="SimSun" w:eastAsia="SimSun" w:cs="SimSun"/>
          <w:color w:val="000000"/>
          <w:sz w:val="24"/>
          <w:u w:val="single"/>
        </w:rPr>
        <w:t xml:space="preserve">  </w:t>
      </w:r>
      <w:r>
        <w:rPr>
          <w:rFonts w:ascii="SimSun" w:hAnsi="SimSun" w:eastAsia="SimSun" w:cs="SimSun"/>
          <w:color w:val="000000"/>
          <w:sz w:val="24"/>
        </w:rPr>
        <w:t xml:space="preserve">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备注1：从业人员、营业收入、资产总额填报上一年度数据，无上一年度数据的新成立企业可不填报。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11.残疾人福利性单位声明函（分包号：**）</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12.联合体协议（参考格式）（分包号：**）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1、我们自愿组成联合体，参加采购编号为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8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2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05"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13.东台市政府采购事前信用承诺书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（三）严格依照国家和省、市关于政府采购的法律、法规、规章、规范性文件，参加政府采购活动；积极履行社会责任，促进廉政建设；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（四）严格遵守即时信息公示规定，及时维护和更新与本单位相关的信息；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077" w:bottom="1440" w:left="107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Hei">
    <w:panose1 w:val="02010609060101010101"/>
  </w:font>
  <w:font w:name="FangSong">
    <w:panose1 w:val="02010609060101010101"/>
  </w:font>
  <w:font w:name="Calibri">
    <w:panose1 w:val="020F0502020204030204"/>
  </w:font>
  <w:font w:name="Symbol">
    <w:panose1 w:val="05050102010706020507"/>
  </w:font>
  <w:font w:name="KaiTi">
    <w:panose1 w:val="0201060906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Microsoft YaHei">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51"/>
    <w:link w:val="866"/>
    <w:uiPriority w:val="9"/>
    <w:rPr>
      <w:rFonts w:ascii="Arial" w:hAnsi="Arial" w:eastAsia="Arial" w:cs="Arial"/>
      <w:sz w:val="40"/>
      <w:szCs w:val="40"/>
    </w:rPr>
  </w:style>
  <w:style w:type="character" w:styleId="676">
    <w:name w:val="Heading 2 Char"/>
    <w:basedOn w:val="851"/>
    <w:link w:val="868"/>
    <w:uiPriority w:val="9"/>
    <w:rPr>
      <w:rFonts w:ascii="Arial" w:hAnsi="Arial" w:eastAsia="Arial" w:cs="Arial"/>
      <w:sz w:val="34"/>
    </w:rPr>
  </w:style>
  <w:style w:type="paragraph" w:styleId="677">
    <w:name w:val="Heading 3"/>
    <w:basedOn w:val="848"/>
    <w:next w:val="848"/>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basedOn w:val="851"/>
    <w:link w:val="677"/>
    <w:uiPriority w:val="9"/>
    <w:rPr>
      <w:rFonts w:ascii="Arial" w:hAnsi="Arial" w:eastAsia="Arial" w:cs="Arial"/>
      <w:sz w:val="30"/>
      <w:szCs w:val="30"/>
    </w:rPr>
  </w:style>
  <w:style w:type="character" w:styleId="679">
    <w:name w:val="Heading 4 Char"/>
    <w:basedOn w:val="851"/>
    <w:link w:val="867"/>
    <w:uiPriority w:val="9"/>
    <w:rPr>
      <w:rFonts w:ascii="Arial" w:hAnsi="Arial" w:eastAsia="Arial" w:cs="Arial"/>
      <w:b/>
      <w:bCs/>
      <w:sz w:val="26"/>
      <w:szCs w:val="26"/>
    </w:rPr>
  </w:style>
  <w:style w:type="paragraph" w:styleId="680">
    <w:name w:val="Heading 5"/>
    <w:basedOn w:val="848"/>
    <w:next w:val="848"/>
    <w:link w:val="681"/>
    <w:uiPriority w:val="9"/>
    <w:unhideWhenUsed/>
    <w:qFormat/>
    <w:pPr>
      <w:keepLines/>
      <w:keepNext/>
      <w:spacing w:before="320" w:after="200"/>
      <w:outlineLvl w:val="4"/>
    </w:pPr>
    <w:rPr>
      <w:rFonts w:ascii="Arial" w:hAnsi="Arial" w:eastAsia="Arial" w:cs="Arial"/>
      <w:b/>
      <w:bCs/>
      <w:sz w:val="24"/>
      <w:szCs w:val="24"/>
    </w:rPr>
  </w:style>
  <w:style w:type="character" w:styleId="681">
    <w:name w:val="Heading 5 Char"/>
    <w:basedOn w:val="851"/>
    <w:link w:val="680"/>
    <w:uiPriority w:val="9"/>
    <w:rPr>
      <w:rFonts w:ascii="Arial" w:hAnsi="Arial" w:eastAsia="Arial" w:cs="Arial"/>
      <w:b/>
      <w:bCs/>
      <w:sz w:val="24"/>
      <w:szCs w:val="24"/>
    </w:rPr>
  </w:style>
  <w:style w:type="paragraph" w:styleId="682">
    <w:name w:val="Heading 6"/>
    <w:basedOn w:val="848"/>
    <w:next w:val="848"/>
    <w:link w:val="683"/>
    <w:uiPriority w:val="9"/>
    <w:unhideWhenUsed/>
    <w:qFormat/>
    <w:pPr>
      <w:keepLines/>
      <w:keepNext/>
      <w:spacing w:before="320" w:after="200"/>
      <w:outlineLvl w:val="5"/>
    </w:pPr>
    <w:rPr>
      <w:rFonts w:ascii="Arial" w:hAnsi="Arial" w:eastAsia="Arial" w:cs="Arial"/>
      <w:b/>
      <w:bCs/>
      <w:sz w:val="22"/>
      <w:szCs w:val="22"/>
    </w:rPr>
  </w:style>
  <w:style w:type="character" w:styleId="683">
    <w:name w:val="Heading 6 Char"/>
    <w:basedOn w:val="851"/>
    <w:link w:val="682"/>
    <w:uiPriority w:val="9"/>
    <w:rPr>
      <w:rFonts w:ascii="Arial" w:hAnsi="Arial" w:eastAsia="Arial" w:cs="Arial"/>
      <w:b/>
      <w:bCs/>
      <w:sz w:val="22"/>
      <w:szCs w:val="22"/>
    </w:rPr>
  </w:style>
  <w:style w:type="paragraph" w:styleId="684">
    <w:name w:val="Heading 7"/>
    <w:basedOn w:val="848"/>
    <w:next w:val="848"/>
    <w:link w:val="685"/>
    <w:uiPriority w:val="9"/>
    <w:unhideWhenUsed/>
    <w:qFormat/>
    <w:pPr>
      <w:keepLines/>
      <w:keepNext/>
      <w:spacing w:before="320" w:after="200"/>
      <w:outlineLvl w:val="6"/>
    </w:pPr>
    <w:rPr>
      <w:rFonts w:ascii="Arial" w:hAnsi="Arial" w:eastAsia="Arial" w:cs="Arial"/>
      <w:b/>
      <w:bCs/>
      <w:i/>
      <w:iCs/>
      <w:sz w:val="22"/>
      <w:szCs w:val="22"/>
    </w:rPr>
  </w:style>
  <w:style w:type="character" w:styleId="685">
    <w:name w:val="Heading 7 Char"/>
    <w:basedOn w:val="851"/>
    <w:link w:val="684"/>
    <w:uiPriority w:val="9"/>
    <w:rPr>
      <w:rFonts w:ascii="Arial" w:hAnsi="Arial" w:eastAsia="Arial" w:cs="Arial"/>
      <w:b/>
      <w:bCs/>
      <w:i/>
      <w:iCs/>
      <w:sz w:val="22"/>
      <w:szCs w:val="22"/>
    </w:rPr>
  </w:style>
  <w:style w:type="paragraph" w:styleId="686">
    <w:name w:val="Heading 8"/>
    <w:basedOn w:val="848"/>
    <w:next w:val="848"/>
    <w:link w:val="687"/>
    <w:uiPriority w:val="9"/>
    <w:unhideWhenUsed/>
    <w:qFormat/>
    <w:pPr>
      <w:keepLines/>
      <w:keepNext/>
      <w:spacing w:before="320" w:after="200"/>
      <w:outlineLvl w:val="7"/>
    </w:pPr>
    <w:rPr>
      <w:rFonts w:ascii="Arial" w:hAnsi="Arial" w:eastAsia="Arial" w:cs="Arial"/>
      <w:i/>
      <w:iCs/>
      <w:sz w:val="22"/>
      <w:szCs w:val="22"/>
    </w:rPr>
  </w:style>
  <w:style w:type="character" w:styleId="687">
    <w:name w:val="Heading 8 Char"/>
    <w:basedOn w:val="851"/>
    <w:link w:val="686"/>
    <w:uiPriority w:val="9"/>
    <w:rPr>
      <w:rFonts w:ascii="Arial" w:hAnsi="Arial" w:eastAsia="Arial" w:cs="Arial"/>
      <w:i/>
      <w:iCs/>
      <w:sz w:val="22"/>
      <w:szCs w:val="22"/>
    </w:rPr>
  </w:style>
  <w:style w:type="paragraph" w:styleId="688">
    <w:name w:val="Heading 9"/>
    <w:basedOn w:val="848"/>
    <w:next w:val="848"/>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51"/>
    <w:link w:val="688"/>
    <w:uiPriority w:val="9"/>
    <w:rPr>
      <w:rFonts w:ascii="Arial" w:hAnsi="Arial" w:eastAsia="Arial" w:cs="Arial"/>
      <w:i/>
      <w:iCs/>
      <w:sz w:val="21"/>
      <w:szCs w:val="21"/>
    </w:rPr>
  </w:style>
  <w:style w:type="paragraph" w:styleId="690">
    <w:name w:val="List Paragraph"/>
    <w:basedOn w:val="848"/>
    <w:uiPriority w:val="34"/>
    <w:qFormat/>
    <w:pPr>
      <w:contextualSpacing/>
      <w:ind w:left="720"/>
    </w:pPr>
  </w:style>
  <w:style w:type="paragraph" w:styleId="691">
    <w:name w:val="No Spacing"/>
    <w:uiPriority w:val="1"/>
    <w:qFormat/>
    <w:pPr>
      <w:spacing w:before="0" w:after="0" w:line="240" w:lineRule="auto"/>
    </w:pPr>
  </w:style>
  <w:style w:type="paragraph" w:styleId="692">
    <w:name w:val="Title"/>
    <w:basedOn w:val="848"/>
    <w:next w:val="848"/>
    <w:link w:val="693"/>
    <w:uiPriority w:val="10"/>
    <w:qFormat/>
    <w:pPr>
      <w:contextualSpacing/>
      <w:spacing w:before="300" w:after="200"/>
    </w:pPr>
    <w:rPr>
      <w:sz w:val="48"/>
      <w:szCs w:val="48"/>
    </w:rPr>
  </w:style>
  <w:style w:type="character" w:styleId="693">
    <w:name w:val="Title Char"/>
    <w:basedOn w:val="851"/>
    <w:link w:val="692"/>
    <w:uiPriority w:val="10"/>
    <w:rPr>
      <w:sz w:val="48"/>
      <w:szCs w:val="48"/>
    </w:rPr>
  </w:style>
  <w:style w:type="paragraph" w:styleId="694">
    <w:name w:val="Subtitle"/>
    <w:basedOn w:val="848"/>
    <w:next w:val="848"/>
    <w:link w:val="695"/>
    <w:uiPriority w:val="11"/>
    <w:qFormat/>
    <w:pPr>
      <w:spacing w:before="200" w:after="200"/>
    </w:pPr>
    <w:rPr>
      <w:sz w:val="24"/>
      <w:szCs w:val="24"/>
    </w:rPr>
  </w:style>
  <w:style w:type="character" w:styleId="695">
    <w:name w:val="Subtitle Char"/>
    <w:basedOn w:val="851"/>
    <w:link w:val="694"/>
    <w:uiPriority w:val="11"/>
    <w:rPr>
      <w:sz w:val="24"/>
      <w:szCs w:val="24"/>
    </w:rPr>
  </w:style>
  <w:style w:type="paragraph" w:styleId="696">
    <w:name w:val="Quote"/>
    <w:basedOn w:val="848"/>
    <w:next w:val="848"/>
    <w:link w:val="697"/>
    <w:uiPriority w:val="29"/>
    <w:qFormat/>
    <w:pPr>
      <w:ind w:left="720" w:right="720"/>
    </w:pPr>
    <w:rPr>
      <w:i/>
    </w:rPr>
  </w:style>
  <w:style w:type="character" w:styleId="697">
    <w:name w:val="Quote Char"/>
    <w:link w:val="696"/>
    <w:uiPriority w:val="29"/>
    <w:rPr>
      <w:i/>
    </w:rPr>
  </w:style>
  <w:style w:type="paragraph" w:styleId="698">
    <w:name w:val="Intense Quote"/>
    <w:basedOn w:val="848"/>
    <w:next w:val="848"/>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51"/>
    <w:link w:val="858"/>
    <w:uiPriority w:val="99"/>
  </w:style>
  <w:style w:type="character" w:styleId="701">
    <w:name w:val="Footer Char"/>
    <w:basedOn w:val="851"/>
    <w:link w:val="857"/>
    <w:uiPriority w:val="99"/>
  </w:style>
  <w:style w:type="paragraph" w:styleId="702">
    <w:name w:val="Caption"/>
    <w:basedOn w:val="848"/>
    <w:next w:val="848"/>
    <w:uiPriority w:val="35"/>
    <w:semiHidden/>
    <w:unhideWhenUsed/>
    <w:qFormat/>
    <w:pPr>
      <w:spacing w:line="276" w:lineRule="auto"/>
    </w:pPr>
    <w:rPr>
      <w:b/>
      <w:bCs/>
      <w:color w:val="4f81bd" w:themeColor="accent1"/>
      <w:sz w:val="18"/>
      <w:szCs w:val="18"/>
    </w:rPr>
  </w:style>
  <w:style w:type="character" w:styleId="703">
    <w:name w:val="Caption Char"/>
    <w:basedOn w:val="702"/>
    <w:link w:val="857"/>
    <w:uiPriority w:val="99"/>
  </w:style>
  <w:style w:type="table" w:styleId="704">
    <w:name w:val="Table Grid"/>
    <w:basedOn w:val="85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1">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5">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0">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7">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7">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1">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4">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8">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1"/>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1"/>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5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9">
    <w:name w:val="Heading 2"/>
    <w:basedOn w:val="848"/>
    <w:next w:val="8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50">
    <w:name w:val="Heading 4"/>
    <w:basedOn w:val="848"/>
    <w:next w:val="854"/>
    <w:uiPriority w:val="0"/>
    <w:qFormat/>
    <w:pPr>
      <w:keepLines/>
      <w:keepNext/>
      <w:spacing w:before="280" w:after="290" w:line="376" w:lineRule="auto"/>
      <w:outlineLvl w:val="3"/>
    </w:pPr>
    <w:rPr>
      <w:rFonts w:ascii="Arial" w:hAnsi="Arial" w:eastAsia="黑体" w:cs="Arial"/>
      <w:b/>
      <w:bCs/>
      <w:sz w:val="28"/>
      <w:szCs w:val="28"/>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854">
    <w:name w:val="Normal Indent"/>
    <w:basedOn w:val="848"/>
    <w:uiPriority w:val="0"/>
    <w:qFormat/>
    <w:pPr>
      <w:ind w:firstLine="420"/>
    </w:pPr>
  </w:style>
  <w:style w:type="paragraph" w:styleId="855">
    <w:name w:val="annotation text"/>
    <w:basedOn w:val="848"/>
    <w:uiPriority w:val="0"/>
    <w:qFormat/>
    <w:pPr>
      <w:jc w:val="left"/>
    </w:pPr>
  </w:style>
  <w:style w:type="paragraph" w:styleId="856">
    <w:name w:val="Body Text"/>
    <w:basedOn w:val="848"/>
    <w:uiPriority w:val="0"/>
    <w:qFormat/>
    <w:rPr>
      <w:rFonts w:ascii="楷体_GB2312" w:hAnsi="Arial" w:eastAsia="楷体_GB2312"/>
      <w:sz w:val="28"/>
      <w:szCs w:val="20"/>
    </w:rPr>
  </w:style>
  <w:style w:type="paragraph" w:styleId="857">
    <w:name w:val="Footer"/>
    <w:basedOn w:val="848"/>
    <w:link w:val="864"/>
    <w:uiPriority w:val="0"/>
    <w:qFormat/>
    <w:pPr>
      <w:jc w:val="left"/>
      <w:tabs>
        <w:tab w:val="center" w:pos="4153" w:leader="none"/>
        <w:tab w:val="right" w:pos="8306" w:leader="none"/>
      </w:tabs>
    </w:pPr>
    <w:rPr>
      <w:sz w:val="18"/>
      <w:szCs w:val="18"/>
    </w:rPr>
  </w:style>
  <w:style w:type="paragraph" w:styleId="858">
    <w:name w:val="Header"/>
    <w:basedOn w:val="848"/>
    <w:link w:val="863"/>
    <w:uiPriority w:val="0"/>
    <w:qFormat/>
    <w:pPr>
      <w:jc w:val="center"/>
      <w:tabs>
        <w:tab w:val="center" w:pos="4153" w:leader="none"/>
        <w:tab w:val="right" w:pos="8306" w:leader="none"/>
      </w:tabs>
      <w:pBdr>
        <w:bottom w:val="single" w:color="auto" w:sz="6" w:space="1"/>
      </w:pBdr>
    </w:pPr>
    <w:rPr>
      <w:sz w:val="18"/>
      <w:szCs w:val="18"/>
    </w:rPr>
  </w:style>
  <w:style w:type="paragraph" w:styleId="859">
    <w:name w:val="index 9"/>
    <w:basedOn w:val="848"/>
    <w:next w:val="848"/>
    <w:uiPriority w:val="0"/>
    <w:qFormat/>
    <w:pPr>
      <w:ind w:left="1600"/>
    </w:pPr>
    <w:rPr>
      <w:rFonts w:ascii="Times New Roman" w:hAnsi="Times New Roman" w:eastAsia="宋体" w:cs="Times New Roman"/>
    </w:rPr>
  </w:style>
  <w:style w:type="paragraph" w:styleId="860">
    <w:name w:val="Normal (Web)"/>
    <w:basedOn w:val="848"/>
    <w:uiPriority w:val="0"/>
    <w:qFormat/>
    <w:pPr>
      <w:jc w:val="left"/>
      <w:spacing w:beforeAutospacing="1" w:afterAutospacing="1"/>
    </w:pPr>
    <w:rPr>
      <w:rFonts w:cs="Times New Roman"/>
      <w:sz w:val="24"/>
    </w:rPr>
  </w:style>
  <w:style w:type="character" w:styleId="861">
    <w:name w:val="Strong"/>
    <w:basedOn w:val="851"/>
    <w:uiPriority w:val="0"/>
    <w:qFormat/>
    <w:rPr>
      <w:b/>
    </w:rPr>
  </w:style>
  <w:style w:type="character" w:styleId="862">
    <w:name w:val="page number"/>
    <w:uiPriority w:val="0"/>
    <w:qFormat/>
  </w:style>
  <w:style w:type="character" w:styleId="863" w:customStyle="1">
    <w:name w:val="页眉 Char"/>
    <w:basedOn w:val="851"/>
    <w:link w:val="858"/>
    <w:uiPriority w:val="0"/>
    <w:qFormat/>
    <w:rPr>
      <w:rFonts w:asciiTheme="minorHAnsi" w:hAnsiTheme="minorHAnsi" w:eastAsiaTheme="minorEastAsia" w:cstheme="minorBidi"/>
      <w:sz w:val="18"/>
      <w:szCs w:val="18"/>
    </w:rPr>
  </w:style>
  <w:style w:type="character" w:styleId="864" w:customStyle="1">
    <w:name w:val="页脚 Char"/>
    <w:basedOn w:val="851"/>
    <w:link w:val="857"/>
    <w:uiPriority w:val="0"/>
    <w:qFormat/>
    <w:rPr>
      <w:rFonts w:asciiTheme="minorHAnsi" w:hAnsiTheme="minorHAnsi" w:eastAsiaTheme="minorEastAsia" w:cstheme="minorBidi"/>
      <w:sz w:val="18"/>
      <w:szCs w:val="18"/>
    </w:rPr>
  </w:style>
  <w:style w:type="character" w:styleId="865" w:customStyle="1">
    <w:name w:val="NormalCharacter"/>
    <w:uiPriority w:val="0"/>
    <w:qFormat/>
  </w:style>
  <w:style w:type="paragraph" w:styleId="866" w:customStyle="1">
    <w:name w:val="Heading 1"/>
    <w:basedOn w:val="848"/>
    <w:next w:val="848"/>
    <w:uiPriority w:val="0"/>
    <w:qFormat/>
    <w:pPr>
      <w:jc w:val="center"/>
      <w:keepNext/>
    </w:pPr>
    <w:rPr>
      <w:rFonts w:ascii="楷体_GB2312" w:eastAsia="楷体_GB2312"/>
      <w:sz w:val="28"/>
      <w:szCs w:val="28"/>
    </w:rPr>
  </w:style>
  <w:style w:type="paragraph" w:styleId="867" w:customStyle="1">
    <w:name w:val="Heading 4"/>
    <w:basedOn w:val="848"/>
    <w:next w:val="848"/>
    <w:uiPriority w:val="0"/>
    <w:qFormat/>
    <w:pPr>
      <w:keepLines/>
      <w:keepNext/>
      <w:spacing w:before="280" w:after="290" w:line="376" w:lineRule="auto"/>
    </w:pPr>
    <w:rPr>
      <w:rFonts w:ascii="Arial" w:hAnsi="Arial" w:eastAsia="黑体" w:cs="Times New Roman"/>
      <w:b/>
      <w:bCs/>
      <w:sz w:val="28"/>
      <w:szCs w:val="28"/>
    </w:rPr>
  </w:style>
  <w:style w:type="paragraph" w:styleId="868" w:customStyle="1">
    <w:name w:val="Heading 2"/>
    <w:basedOn w:val="848"/>
    <w:next w:val="869"/>
    <w:uiPriority w:val="0"/>
    <w:qFormat/>
    <w:pPr>
      <w:jc w:val="center"/>
      <w:keepLines/>
      <w:keepNext/>
      <w:spacing w:before="260" w:after="260" w:line="416" w:lineRule="auto"/>
    </w:pPr>
    <w:rPr>
      <w:rFonts w:ascii="Arial" w:hAnsi="Arial" w:eastAsia="幼圆" w:cs="Times New Roman"/>
      <w:b/>
      <w:bCs/>
      <w:sz w:val="44"/>
      <w:szCs w:val="44"/>
    </w:rPr>
  </w:style>
  <w:style w:type="paragraph" w:styleId="869" w:customStyle="1">
    <w:name w:val="NormalIndent"/>
    <w:basedOn w:val="848"/>
    <w:uiPriority w:val="0"/>
    <w:qFormat/>
    <w:pPr>
      <w:ind w:firstLine="420"/>
    </w:pPr>
    <w:rPr>
      <w:szCs w:val="20"/>
    </w:rPr>
  </w:style>
  <w:style w:type="paragraph" w:styleId="870" w:customStyle="1">
    <w:name w:val="PlainText"/>
    <w:basedOn w:val="848"/>
    <w:uiPriority w:val="0"/>
    <w:qFormat/>
    <w:rPr>
      <w:rFonts w:ascii="宋体" w:hAnsi="Courier New"/>
    </w:rPr>
  </w:style>
  <w:style w:type="paragraph" w:styleId="871" w:customStyle="1">
    <w:name w:val="WPSOffice手动目录 1"/>
    <w:uiPriority w:val="0"/>
    <w:qFormat/>
    <w:rPr>
      <w:rFonts w:ascii="Times New Roman" w:hAnsi="Times New Roman" w:eastAsia="宋体" w:cs="Times New Roman"/>
      <w:sz w:val="20"/>
      <w:szCs w:val="20"/>
    </w:rPr>
  </w:style>
  <w:style w:type="paragraph" w:styleId="872" w:customStyle="1">
    <w:name w:val="Char"/>
    <w:basedOn w:val="848"/>
    <w:uiPriority w:val="0"/>
    <w:qFormat/>
    <w:pPr>
      <w:ind w:firstLine="200"/>
      <w:tabs>
        <w:tab w:val="left" w:pos="360" w:leader="none"/>
      </w:tabs>
    </w:pPr>
    <w:rPr>
      <w:sz w:val="28"/>
      <w:szCs w:val="30"/>
    </w:rPr>
  </w:style>
  <w:style w:type="paragraph" w:styleId="873" w:customStyle="1">
    <w:name w:val="普通正文"/>
    <w:basedOn w:val="848"/>
    <w:uiPriority w:val="0"/>
    <w:qFormat/>
    <w:pPr>
      <w:ind w:firstLine="480"/>
      <w:jc w:val="left"/>
      <w:spacing w:before="120" w:after="120" w:line="360" w:lineRule="auto"/>
    </w:pPr>
    <w:rPr>
      <w:rFonts w:ascii="Arial" w:hAnsi="Arial"/>
      <w:sz w:val="24"/>
      <w:szCs w:val="24"/>
    </w:rPr>
  </w:style>
  <w:style w:type="paragraph" w:styleId="874" w:customStyle="1">
    <w:name w:val="正文文本缩进 21"/>
    <w:basedOn w:val="848"/>
    <w:uiPriority w:val="0"/>
    <w:qFormat/>
    <w:pPr>
      <w:ind w:firstLine="480"/>
    </w:pPr>
    <w:rPr>
      <w:rFonts w:ascii="仿宋_GB2312" w:eastAsia="仿宋_GB2312"/>
      <w:sz w:val="24"/>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09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29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6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581"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9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8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杨翠萍</cp:lastModifiedBy>
  <cp:revision>274</cp:revision>
  <dcterms:created xsi:type="dcterms:W3CDTF">2014-10-29T12:08:00Z</dcterms:created>
  <dcterms:modified xsi:type="dcterms:W3CDTF">2024-05-17T08:18:05Z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6A222DDE72BC470CB49342A1A71577E9_13</vt:lpwstr>
  </property>
</Properties>
</file>