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hint="eastAsia" w:ascii="宋体"/>
          <w:b/>
          <w:color w:val="000000"/>
          <w:sz w:val="36"/>
        </w:rPr>
        <w:t xml:space="preserve">项目编号：JSZC-320922-HHXX-G2025-0002</w:t>
      </w:r>
      <w:r/>
    </w:p>
    <w:p>
      <w:pPr>
        <w:rPr>
          <w:rFonts w:eastAsia="黑体"/>
          <w:b/>
          <w:color w:val="000000"/>
          <w:sz w:val="32"/>
        </w:rPr>
      </w:pPr>
      <w:r>
        <w:rPr>
          <w:rFonts w:eastAsia="黑体"/>
          <w:b/>
          <w:color w:val="000000"/>
          <w:sz w:val="32"/>
        </w:rPr>
      </w:r>
      <w:r/>
    </w:p>
    <w:p>
      <w:pPr>
        <w:rPr>
          <w:rFonts w:ascii="宋体"/>
          <w:b/>
          <w:color w:val="000000"/>
          <w:sz w:val="36"/>
        </w:rPr>
      </w:pPr>
      <w:r>
        <w:rPr>
          <w:rFonts w:ascii="宋体"/>
          <w:b/>
          <w:color w:val="000000"/>
          <w:sz w:val="36"/>
        </w:rPr>
      </w:r>
      <w:r/>
    </w:p>
    <w:p>
      <w:pPr>
        <w:rPr>
          <w:rFonts w:ascii="宋体"/>
          <w:b/>
          <w:color w:val="000000"/>
          <w:sz w:val="36"/>
        </w:rPr>
      </w:pPr>
      <w:r>
        <w:rPr>
          <w:rFonts w:ascii="宋体"/>
          <w:b/>
          <w:color w:val="000000"/>
          <w:sz w:val="36"/>
        </w:rPr>
      </w:r>
      <w:r/>
    </w:p>
    <w:p>
      <w:pPr>
        <w:jc w:val="center"/>
        <w:rPr>
          <w:rFonts w:ascii="宋体"/>
          <w:b/>
          <w:color w:val="000000"/>
          <w:sz w:val="36"/>
        </w:rPr>
      </w:pPr>
      <w:r/>
      <w:bookmarkStart w:id="0" w:name="OLE_LINK2"/>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hint="eastAsia" w:ascii="宋体"/>
          <w:b/>
          <w:color w:val="000000"/>
          <w:sz w:val="36"/>
        </w:rPr>
        <w:t xml:space="preserve">项目名称：</w:t>
      </w:r>
      <w:bookmarkStart w:id="1" w:name="OLE_LINK16"/>
      <w:r>
        <w:rPr>
          <w:rFonts w:hint="eastAsia" w:ascii="宋体"/>
          <w:b/>
          <w:color w:val="000000"/>
          <w:sz w:val="36"/>
        </w:rPr>
        <w:t xml:space="preserve">滨海县核心育种场暨生猪保供生产基地生猪疫病防控智能监控项目</w:t>
      </w:r>
      <w:r/>
    </w:p>
    <w:p>
      <w:pPr>
        <w:jc w:val="center"/>
        <w:rPr>
          <w:rFonts w:ascii="宋体"/>
          <w:b/>
          <w:color w:val="000000"/>
          <w:sz w:val="36"/>
        </w:rPr>
      </w:pPr>
      <w:r>
        <w:rPr>
          <w:rFonts w:ascii="宋体"/>
          <w:b/>
          <w:color w:val="000000"/>
          <w:sz w:val="36"/>
        </w:rPr>
      </w:r>
      <w:bookmarkEnd w:id="0"/>
      <w:bookmarkEnd w:id="1"/>
      <w:r/>
    </w:p>
    <w:p>
      <w:pPr>
        <w:rPr>
          <w:rFonts w:ascii="宋体"/>
          <w:b/>
          <w:color w:val="000000"/>
          <w:sz w:val="32"/>
        </w:rPr>
      </w:pPr>
      <w:r>
        <w:rPr>
          <w:rFonts w:ascii="宋体"/>
          <w:b/>
          <w:color w:val="000000"/>
          <w:sz w:val="32"/>
        </w:rPr>
      </w:r>
      <w:r/>
    </w:p>
    <w:p>
      <w:pPr>
        <w:pStyle w:val="645"/>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spacing w:line="480" w:lineRule="auto"/>
        <w:rPr>
          <w:rFonts w:ascii="黑体" w:eastAsia="黑体"/>
          <w:color w:val="000000"/>
          <w:sz w:val="36"/>
          <w:szCs w:val="36"/>
        </w:rPr>
      </w:pPr>
      <w:r>
        <w:rPr>
          <w:rFonts w:hint="eastAsia" w:ascii="黑体" w:eastAsia="黑体"/>
          <w:color w:val="000000"/>
          <w:sz w:val="36"/>
          <w:szCs w:val="36"/>
        </w:rPr>
        <w:t xml:space="preserve">滨海县</w:t>
      </w:r>
      <w:r>
        <w:rPr>
          <w:rFonts w:hint="eastAsia" w:ascii="黑体" w:eastAsia="黑体"/>
          <w:color w:val="000000"/>
          <w:sz w:val="36"/>
          <w:szCs w:val="36"/>
          <w:lang w:val="en-US" w:eastAsia="zh-CN"/>
        </w:rPr>
        <w:t xml:space="preserve">农业农村局</w:t>
      </w:r>
      <w:r>
        <w:rPr>
          <w:rFonts w:hint="eastAsia" w:ascii="黑体" w:eastAsia="黑体"/>
          <w:color w:val="000000"/>
          <w:sz w:val="36"/>
          <w:szCs w:val="36"/>
        </w:rPr>
        <w:t xml:space="preserve">      </w:t>
      </w:r>
      <w:r/>
    </w:p>
    <w:p>
      <w:pPr>
        <w:jc w:val="center"/>
        <w:spacing w:line="480" w:lineRule="auto"/>
        <w:rPr>
          <w:rFonts w:hint="eastAsia" w:ascii="黑体" w:eastAsia="黑体"/>
          <w:color w:val="000000"/>
          <w:sz w:val="36"/>
          <w:szCs w:val="36"/>
          <w:lang w:val="en-US" w:eastAsia="zh-CN"/>
        </w:rPr>
      </w:pPr>
      <w:r>
        <w:rPr>
          <w:rFonts w:hint="eastAsia" w:ascii="黑体" w:eastAsia="黑体"/>
          <w:color w:val="000000"/>
          <w:sz w:val="36"/>
          <w:szCs w:val="36"/>
          <w:lang w:val="en-US" w:eastAsia="zh-CN"/>
        </w:rPr>
        <w:t xml:space="preserve">江苏宏厚项目管理有限公司</w:t>
      </w:r>
      <w:r/>
    </w:p>
    <w:p>
      <w:pPr>
        <w:jc w:val="center"/>
        <w:spacing w:line="480" w:lineRule="auto"/>
        <w:rPr>
          <w:rFonts w:ascii="黑体" w:eastAsia="黑体"/>
          <w:color w:val="000000"/>
          <w:sz w:val="36"/>
          <w:szCs w:val="36"/>
        </w:rPr>
      </w:pPr>
      <w:r>
        <w:rPr>
          <w:rFonts w:ascii="黑体" w:eastAsia="黑体"/>
          <w:color w:val="000000"/>
          <w:sz w:val="36"/>
          <w:szCs w:val="36"/>
        </w:rPr>
        <w:t xml:space="preserve">20</w:t>
      </w:r>
      <w:r>
        <w:rPr>
          <w:rFonts w:hint="eastAsia" w:ascii="黑体" w:eastAsia="黑体"/>
          <w:color w:val="000000"/>
          <w:sz w:val="36"/>
          <w:szCs w:val="36"/>
        </w:rPr>
        <w:t xml:space="preserve">25年03月</w:t>
      </w:r>
      <w:r/>
    </w:p>
    <w:p>
      <w:pPr>
        <w:jc w:val="center"/>
        <w:rPr>
          <w:rFonts w:ascii="黑体" w:hAnsi="Arial" w:eastAsia="黑体"/>
          <w:b/>
          <w:color w:val="000000"/>
          <w:sz w:val="36"/>
          <w:szCs w:val="36"/>
        </w:rPr>
        <w:sectPr>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Style w:val="65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45"/>
              <w:jc w:val="both"/>
              <w:spacing w:before="0" w:after="0"/>
              <w:rPr>
                <w:rFonts w:ascii="Times New Roman" w:hAnsi="Times New Roman"/>
                <w:color w:val="000000"/>
              </w:rPr>
            </w:pPr>
            <w:r>
              <w:rPr>
                <w:rFonts w:ascii="Times New Roman" w:hAnsi="Times New Roman"/>
                <w:color w:val="000000"/>
              </w:rPr>
              <w:t xml:space="preserve">项目概况</w:t>
            </w:r>
            <w:r/>
          </w:p>
          <w:p>
            <w:pPr>
              <w:pStyle w:val="845"/>
              <w:jc w:val="both"/>
              <w:spacing w:before="0" w:after="0"/>
              <w:rPr>
                <w:rFonts w:ascii="Times New Roman" w:hAnsi="Times New Roman"/>
                <w:color w:val="000000"/>
                <w:u w:val="single"/>
              </w:rPr>
            </w:pPr>
            <w:r>
              <w:rPr>
                <w:rFonts w:hint="eastAsia" w:ascii="宋体" w:hAnsi="宋体" w:cs="宋体"/>
                <w:color w:val="000000"/>
              </w:rPr>
              <w:t xml:space="preserve"> </w:t>
            </w:r>
            <w:r>
              <w:rPr>
                <w:rFonts w:hint="eastAsia" w:ascii="Times New Roman" w:hAnsi="Times New Roman"/>
                <w:color w:val="000000"/>
                <w:u w:val="single"/>
                <w:lang w:eastAsia="zh-CN"/>
              </w:rPr>
              <w:t xml:space="preserve">滨海县核心育种场暨生猪保供生产基地生猪疫病防控智能监控项目</w:t>
            </w:r>
            <w:r>
              <w:rPr>
                <w:rFonts w:ascii="Times New Roman" w:hAnsi="Times New Roman"/>
                <w:color w:val="000000"/>
              </w:rPr>
              <w:t xml:space="preserve">招标项目的潜在</w:t>
            </w:r>
            <w:r>
              <w:rPr>
                <w:rFonts w:hint="eastAsia" w:ascii="Times New Roman" w:hAnsi="Times New Roman"/>
                <w:color w:val="000000"/>
              </w:rPr>
              <w:t xml:space="preserve">供应商</w:t>
            </w:r>
            <w:r>
              <w:rPr>
                <w:rFonts w:hint="eastAsia" w:ascii="宋体" w:hAnsi="宋体" w:cs="宋体"/>
                <w:color w:val="000000"/>
                <w:szCs w:val="28"/>
              </w:rPr>
              <w:t xml:space="preserve">可在</w:t>
            </w:r>
            <w:r>
              <w:rPr>
                <w:rFonts w:hint="eastAsia" w:ascii="宋体" w:hAnsi="宋体" w:cs="宋体"/>
                <w:color w:val="000000"/>
                <w:szCs w:val="28"/>
                <w:u w:val="single"/>
              </w:rPr>
              <w:t xml:space="preserve">中国政府采购网、江苏政府采购网、盐城市政府采购网</w:t>
            </w:r>
            <w:r>
              <w:rPr>
                <w:rFonts w:ascii="Times New Roman" w:hAnsi="Times New Roman"/>
                <w:color w:val="000000"/>
              </w:rPr>
              <w:t xml:space="preserve">获取招标文件，并于</w:t>
            </w:r>
            <w:r>
              <w:rPr>
                <w:rFonts w:hint="eastAsia" w:ascii="宋体" w:hAnsi="宋体"/>
                <w:b/>
                <w:bCs/>
                <w:color w:val="000000"/>
                <w:u w:val="single"/>
              </w:rPr>
              <w:t xml:space="preserve">2025年</w:t>
            </w:r>
            <w:r>
              <w:rPr>
                <w:rFonts w:hint="eastAsia" w:ascii="宋体" w:hAnsi="宋体"/>
                <w:b/>
                <w:bCs/>
                <w:color w:val="000000"/>
                <w:u w:val="single"/>
                <w:lang w:val="en-US" w:eastAsia="zh-CN"/>
              </w:rPr>
              <w:t xml:space="preserve">4</w:t>
            </w:r>
            <w:r>
              <w:rPr>
                <w:rFonts w:ascii="宋体" w:hAnsi="宋体"/>
                <w:b/>
                <w:bCs/>
                <w:color w:val="000000"/>
                <w:u w:val="single"/>
              </w:rPr>
              <w:t xml:space="preserve">月</w:t>
            </w:r>
            <w:r>
              <w:rPr>
                <w:rFonts w:hint="eastAsia" w:ascii="宋体" w:hAnsi="宋体"/>
                <w:b/>
                <w:bCs/>
                <w:color w:val="000000"/>
                <w:u w:val="single"/>
                <w:lang w:val="en-US" w:eastAsia="zh-CN"/>
              </w:rPr>
              <w:t xml:space="preserve">15</w:t>
            </w:r>
            <w:r>
              <w:rPr>
                <w:rFonts w:ascii="宋体" w:hAnsi="宋体"/>
                <w:b/>
                <w:bCs/>
                <w:color w:val="000000"/>
                <w:u w:val="single"/>
              </w:rPr>
              <w:t xml:space="preserve">日</w:t>
            </w:r>
            <w:r>
              <w:rPr>
                <w:rFonts w:hint="eastAsia" w:ascii="宋体" w:hAnsi="宋体"/>
                <w:b/>
                <w:bCs/>
                <w:color w:val="000000"/>
                <w:u w:val="single"/>
                <w:lang w:val="en-US" w:eastAsia="zh-CN"/>
              </w:rPr>
              <w:t xml:space="preserve">09</w:t>
            </w:r>
            <w:r>
              <w:rPr>
                <w:rFonts w:ascii="宋体" w:hAnsi="宋体"/>
                <w:b/>
                <w:bCs/>
                <w:color w:val="000000"/>
                <w:u w:val="single"/>
              </w:rPr>
              <w:t xml:space="preserve">时00分</w:t>
            </w:r>
            <w:r>
              <w:rPr>
                <w:rFonts w:hint="eastAsia" w:ascii="宋体" w:hAnsi="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2"/>
        </w:numPr>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：JSZC-320922-HHXX-G2025-0002</w:t>
      </w:r>
      <w:bookmarkStart w:id="131" w:name="_GoBack"/>
      <w:r/>
      <w:bookmarkEnd w:id="131"/>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滨海县核心育种场暨生猪保供生产基地生猪疫病防控智能监控项目</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301</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5.最高限价：</w:t>
      </w:r>
      <w:r>
        <w:rPr>
          <w:rFonts w:hint="eastAsia" w:ascii="宋体" w:hAnsi="宋体" w:cs="宋体"/>
          <w:color w:val="000000"/>
          <w:sz w:val="24"/>
          <w:szCs w:val="24"/>
          <w:lang w:val="en-US" w:eastAsia="zh-CN"/>
        </w:rPr>
        <w:t xml:space="preserve">301</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6.采购需求：</w:t>
      </w:r>
      <w:bookmarkStart w:id="2" w:name="OLE_LINK36"/>
      <w:r>
        <w:rPr>
          <w:rFonts w:hint="eastAsia" w:ascii="宋体" w:hAnsi="宋体" w:cs="宋体"/>
          <w:color w:val="000000"/>
          <w:sz w:val="24"/>
          <w:szCs w:val="24"/>
          <w:lang w:eastAsia="zh-CN"/>
        </w:rPr>
        <w:t xml:space="preserve">滨海县核心育种场暨生猪保供生产基地生猪疫病防控智能监控项目</w:t>
      </w:r>
      <w:r>
        <w:rPr>
          <w:rFonts w:hint="eastAsia" w:ascii="宋体" w:hAnsi="宋体" w:cs="宋体"/>
          <w:color w:val="000000"/>
          <w:sz w:val="24"/>
          <w:szCs w:val="24"/>
        </w:rPr>
        <w:t xml:space="preserve">，具体详见招标文件第四章技术参数及要求。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7.</w:t>
      </w:r>
      <w:bookmarkStart w:id="3" w:name="OLE_LINK1"/>
      <w:r/>
      <w:bookmarkStart w:id="4" w:name="_Hlk191641867"/>
      <w:r/>
      <w:bookmarkStart w:id="5" w:name="OLE_LINK4"/>
      <w:r>
        <w:rPr>
          <w:rFonts w:hint="eastAsia" w:ascii="宋体" w:hAnsi="宋体" w:cs="宋体"/>
          <w:color w:val="000000"/>
          <w:sz w:val="24"/>
          <w:szCs w:val="24"/>
        </w:rPr>
        <w:t xml:space="preserve">合同履行期限</w:t>
      </w:r>
      <w:bookmarkStart w:id="6" w:name="OLE_LINK38"/>
      <w:r>
        <w:rPr>
          <w:rFonts w:hint="eastAsia" w:ascii="宋体" w:hAnsi="宋体" w:cs="宋体"/>
          <w:color w:val="000000"/>
          <w:sz w:val="24"/>
          <w:szCs w:val="24"/>
        </w:rPr>
        <w:t xml:space="preserve">（工期）</w:t>
      </w:r>
      <w:bookmarkEnd w:id="3"/>
      <w:r>
        <w:rPr>
          <w:rFonts w:hint="eastAsia" w:ascii="宋体" w:hAnsi="宋体" w:cs="宋体"/>
          <w:color w:val="000000"/>
          <w:sz w:val="24"/>
          <w:szCs w:val="24"/>
        </w:rPr>
        <w:t xml:space="preserve">：本项目建设工期为</w:t>
      </w:r>
      <w:r>
        <w:rPr>
          <w:rFonts w:hint="eastAsia" w:ascii="宋体" w:hAnsi="宋体" w:cs="宋体"/>
          <w:color w:val="000000"/>
          <w:sz w:val="24"/>
          <w:szCs w:val="24"/>
          <w:lang w:val="en-US" w:eastAsia="zh-CN"/>
        </w:rPr>
        <w:t xml:space="preserve">30日历天</w:t>
      </w:r>
      <w:r>
        <w:rPr>
          <w:rFonts w:hint="eastAsia" w:ascii="宋体" w:hAnsi="宋体" w:cs="宋体"/>
          <w:color w:val="000000"/>
          <w:sz w:val="24"/>
          <w:szCs w:val="24"/>
        </w:rPr>
        <w:t xml:space="preserve">。</w:t>
      </w:r>
      <w:bookmarkEnd w:id="4"/>
      <w:r/>
      <w:bookmarkEnd w:id="6"/>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w:t>
      </w:r>
      <w:bookmarkEnd w:id="5"/>
      <w:r>
        <w:rPr>
          <w:rFonts w:hint="eastAsia" w:ascii="宋体" w:hAnsi="宋体" w:cs="宋体"/>
          <w:color w:val="auto"/>
          <w:sz w:val="24"/>
          <w:szCs w:val="24"/>
          <w:highlight w:val="none"/>
          <w:lang w:val="en-US" w:eastAsia="zh-CN"/>
        </w:rPr>
        <w:t xml:space="preserve">免费</w:t>
      </w:r>
      <w:r>
        <w:rPr>
          <w:rFonts w:hint="eastAsia" w:ascii="宋体" w:hAnsi="宋体" w:cs="宋体"/>
          <w:color w:val="auto"/>
          <w:sz w:val="24"/>
          <w:szCs w:val="24"/>
          <w:highlight w:val="none"/>
        </w:rPr>
        <w:t xml:space="preserve">质量保修期：</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年</w:t>
      </w:r>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9.服务标准：合格。</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10.项目地点：采购人指定地点</w:t>
      </w:r>
      <w:r/>
    </w:p>
    <w:p>
      <w:pPr>
        <w:ind w:firstLine="480"/>
        <w:spacing w:line="500" w:lineRule="exact"/>
        <w:tabs>
          <w:tab w:val="left" w:pos="90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非单一产品采购项目的核心产品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室内 P1.8 全彩 LED 屏</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.本项目（是/否）接受联合体投标：否。</w:t>
      </w:r>
      <w:bookmarkEnd w:id="2"/>
      <w:r/>
    </w:p>
    <w:p>
      <w:pPr>
        <w:ind w:left="420"/>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1.符合《中华人民共和国政府采购法》第二十二条第一款规定，并提供下列材料：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1.2</w:t>
      </w:r>
      <w:bookmarkStart w:id="7" w:name="OLE_LINK5"/>
      <w:r>
        <w:rPr>
          <w:rFonts w:hint="eastAsia" w:ascii="宋体" w:hAnsi="宋体" w:cs="宋体"/>
          <w:color w:val="000000"/>
          <w:sz w:val="24"/>
          <w:szCs w:val="24"/>
        </w:rPr>
        <w:t xml:space="preserve">上一年度的财务状况报表（至少提供资产负债表、利润表、现金流量表，供应商成立不满一年无需提供）</w:t>
      </w:r>
      <w:bookmarkEnd w:id="7"/>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1.3具备履行合同所必需的设备和专业技术能力的书面声明。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1.4</w:t>
      </w:r>
      <w:bookmarkStart w:id="8" w:name="OLE_LINK6"/>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bookmarkEnd w:id="8"/>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ind w:left="480"/>
        <w:spacing w:line="360" w:lineRule="auto"/>
        <w:tabs>
          <w:tab w:val="left" w:pos="312" w:leader="none"/>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spacing w:line="360" w:lineRule="auto"/>
        <w:tabs>
          <w:tab w:val="left" w:pos="900" w:leader="none"/>
        </w:tabs>
        <w:rPr>
          <w:rFonts w:hint="eastAsia" w:ascii="宋体" w:hAnsi="宋体" w:cs="宋体"/>
          <w:color w:val="000000"/>
          <w:sz w:val="24"/>
          <w:szCs w:val="24"/>
        </w:rPr>
      </w:pPr>
      <w:r/>
      <w:bookmarkStart w:id="9" w:name="_Hlk192061415"/>
      <w:r>
        <w:rPr>
          <w:rFonts w:hint="eastAsia" w:ascii="宋体" w:hAnsi="宋体" w:cs="宋体"/>
          <w:color w:val="000000"/>
          <w:sz w:val="24"/>
          <w:szCs w:val="24"/>
        </w:rPr>
        <w:t xml:space="preserve">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bookmarkEnd w:id="9"/>
      <w:r>
        <w:rPr>
          <w:rFonts w:hint="eastAsia" w:ascii="宋体" w:hAnsi="宋体" w:cs="宋体"/>
          <w:color w:val="000000"/>
          <w:sz w:val="24"/>
          <w:szCs w:val="24"/>
        </w:rPr>
        <w:t xml:space="preserve"> </w:t>
      </w:r>
      <w:r/>
    </w:p>
    <w:p>
      <w:pPr>
        <w:pStyle w:val="846"/>
        <w:ind w:left="420" w:firstLine="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3.2单位负责人为同一人或者存在直接控股、管理关系的不同供应商，不得参加同一合同项下的政府采购活动。</w:t>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rPr>
        <w:t xml:space="preserve">自招标文件公告发布之日起5个工作日</w:t>
      </w:r>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2.地点：供应商完成注册并办理CA证书后登录“苏采云”系统，自行免费下载本项目招标文件</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3.方式：登录“苏采云”系统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4.售价：0元。</w:t>
      </w:r>
      <w:r/>
    </w:p>
    <w:p>
      <w:pPr>
        <w:ind w:firstLine="482"/>
        <w:spacing w:line="500" w:lineRule="exact"/>
        <w:tabs>
          <w:tab w:val="left" w:pos="900" w:leader="none"/>
        </w:tabs>
        <w:rPr>
          <w:rFonts w:hint="eastAsia" w:ascii="宋体" w:hAnsi="宋体" w:cs="宋体"/>
          <w:b/>
          <w:bCs/>
          <w:color w:val="000000"/>
          <w:sz w:val="24"/>
          <w:szCs w:val="24"/>
        </w:rPr>
      </w:pPr>
      <w:r/>
      <w:bookmarkStart w:id="10" w:name="_Toc35393625"/>
      <w:r/>
      <w:bookmarkStart w:id="11" w:name="_Toc28359084"/>
      <w:r/>
      <w:bookmarkStart w:id="12" w:name="_Toc28359007"/>
      <w:r/>
      <w:bookmarkStart w:id="13" w:name="_Toc35393794"/>
      <w:r>
        <w:rPr>
          <w:rFonts w:hint="eastAsia" w:ascii="宋体" w:hAnsi="宋体" w:cs="宋体"/>
          <w:b/>
          <w:bCs/>
          <w:color w:val="000000"/>
          <w:sz w:val="24"/>
          <w:szCs w:val="24"/>
        </w:rPr>
        <w:t xml:space="preserve">四、提交投标文件截止时间、开标时间和地点</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rPr>
        <w:t xml:space="preserve">2025年</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月</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w:t>
      </w:r>
      <w:r>
        <w:rPr>
          <w:rFonts w:hint="eastAsia" w:ascii="宋体" w:hAnsi="宋体" w:cs="宋体"/>
          <w:b/>
          <w:bCs/>
          <w:color w:val="000000"/>
          <w:sz w:val="24"/>
          <w:szCs w:val="24"/>
          <w:lang w:val="en-US" w:eastAsia="zh-CN"/>
        </w:rPr>
        <w:t xml:space="preserve">09</w:t>
      </w:r>
      <w:r>
        <w:rPr>
          <w:rFonts w:hint="eastAsia" w:ascii="宋体" w:hAnsi="宋体" w:cs="宋体"/>
          <w:b/>
          <w:bCs/>
          <w:color w:val="000000"/>
          <w:sz w:val="24"/>
          <w:szCs w:val="24"/>
        </w:rPr>
        <w:t xml:space="preserve">时00分00秒</w:t>
      </w:r>
      <w:r>
        <w:rPr>
          <w:rFonts w:hint="eastAsia" w:ascii="宋体" w:hAnsi="宋体" w:cs="宋体"/>
          <w:color w:val="000000"/>
          <w:sz w:val="24"/>
          <w:szCs w:val="24"/>
        </w:rPr>
        <w:t xml:space="preserve">（北京时间）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2.地点：苏采云政府采购交易系统网上开标大厅。</w:t>
      </w:r>
      <w:bookmarkEnd w:id="10"/>
      <w:bookmarkEnd w:id="11"/>
      <w:bookmarkEnd w:id="12"/>
      <w:bookmarkEnd w:id="13"/>
      <w:r/>
    </w:p>
    <w:p>
      <w:pPr>
        <w:ind w:firstLine="482"/>
        <w:spacing w:line="500" w:lineRule="exact"/>
        <w:tabs>
          <w:tab w:val="left" w:pos="900" w:leader="none"/>
        </w:tabs>
        <w:rPr>
          <w:b/>
          <w:bCs/>
          <w:color w:val="000000"/>
          <w:sz w:val="24"/>
          <w:szCs w:val="20"/>
        </w:rPr>
      </w:pPr>
      <w:r/>
      <w:bookmarkStart w:id="14" w:name="_Toc38985267"/>
      <w:r/>
      <w:bookmarkStart w:id="15" w:name="_Toc35393626"/>
      <w:r/>
      <w:bookmarkStart w:id="16" w:name="_Toc35393795"/>
      <w:r>
        <w:rPr>
          <w:rFonts w:hint="eastAsia"/>
          <w:b/>
          <w:bCs/>
          <w:color w:val="000000"/>
          <w:sz w:val="24"/>
          <w:szCs w:val="20"/>
        </w:rPr>
        <w:t xml:space="preserve">五、公告期限</w:t>
      </w:r>
      <w:bookmarkEnd w:id="14"/>
      <w:r/>
      <w:r/>
    </w:p>
    <w:p>
      <w:pPr>
        <w:ind w:firstLine="480"/>
        <w:spacing w:line="500" w:lineRule="exact"/>
        <w:tabs>
          <w:tab w:val="left" w:pos="900" w:leader="none"/>
        </w:tabs>
        <w:rPr>
          <w:color w:val="000000"/>
          <w:sz w:val="24"/>
          <w:szCs w:val="20"/>
        </w:rPr>
      </w:pPr>
      <w:r/>
      <w:bookmarkStart w:id="17" w:name="_Toc38985268"/>
      <w:r>
        <w:rPr>
          <w:rFonts w:hint="eastAsia"/>
          <w:color w:val="000000"/>
          <w:sz w:val="24"/>
          <w:szCs w:val="20"/>
        </w:rPr>
        <w:t xml:space="preserve">自本公告发布之日起5个工作日。</w:t>
      </w:r>
      <w:bookmarkEnd w:id="17"/>
      <w:r/>
      <w:r/>
    </w:p>
    <w:p>
      <w:pPr>
        <w:ind w:firstLine="482"/>
        <w:spacing w:line="50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15"/>
      <w:r/>
      <w:bookmarkEnd w:id="16"/>
      <w:r/>
      <w:r/>
    </w:p>
    <w:p>
      <w:pPr>
        <w:ind w:firstLine="480"/>
        <w:spacing w:line="500" w:lineRule="exact"/>
        <w:tabs>
          <w:tab w:val="left" w:pos="900" w:leader="none"/>
        </w:tabs>
        <w:rPr>
          <w:rFonts w:hint="eastAsia" w:ascii="宋体" w:hAnsi="宋体" w:cs="宋体"/>
          <w:color w:val="000000"/>
          <w:sz w:val="24"/>
          <w:szCs w:val="24"/>
        </w:rPr>
      </w:pPr>
      <w:r/>
      <w:bookmarkStart w:id="18" w:name="OLE_LINK37"/>
      <w:r/>
      <w:bookmarkStart w:id="19" w:name="_Toc35393796"/>
      <w:r/>
      <w:bookmarkStart w:id="20" w:name="_Toc35393627"/>
      <w:r/>
      <w:bookmarkStart w:id="21" w:name="_Toc28359008"/>
      <w:r/>
      <w:bookmarkStart w:id="22" w:name="_Toc28359085"/>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2.有关本次招标的事项若存在变动或修改，敬请及时关注盐城市政府交易中心在中国政府采购网、江苏政府采购网、盐城市政府采购网发布的更正公告。</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3.本次招标不收取投标保证金，不收取质量保证金。</w:t>
      </w:r>
      <w:bookmarkEnd w:id="18"/>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19"/>
      <w:r/>
      <w:bookmarkEnd w:id="20"/>
      <w:r/>
      <w:bookmarkEnd w:id="21"/>
      <w:r/>
      <w:bookmarkEnd w:id="22"/>
      <w:r/>
      <w:r/>
    </w:p>
    <w:p>
      <w:pPr>
        <w:ind w:firstLine="480"/>
        <w:spacing w:line="500" w:lineRule="exact"/>
        <w:tabs>
          <w:tab w:val="left" w:pos="900" w:leader="none"/>
        </w:tabs>
        <w:rPr>
          <w:rFonts w:hint="eastAsia" w:ascii="宋体" w:hAnsi="宋体" w:cs="宋体"/>
          <w:color w:val="000000"/>
          <w:sz w:val="24"/>
          <w:szCs w:val="24"/>
        </w:rPr>
      </w:pPr>
      <w:r/>
      <w:bookmarkStart w:id="23" w:name="_Toc28359010"/>
      <w:r/>
      <w:bookmarkStart w:id="24" w:name="_Toc28359087"/>
      <w:r>
        <w:rPr>
          <w:rFonts w:hint="eastAsia" w:ascii="宋体" w:hAnsi="宋体" w:cs="宋体"/>
          <w:color w:val="000000"/>
          <w:sz w:val="24"/>
          <w:szCs w:val="24"/>
        </w:rPr>
        <w:t xml:space="preserve">1.采购人信息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auto"/>
          <w:sz w:val="24"/>
          <w:szCs w:val="24"/>
          <w:highlight w:val="none"/>
        </w:rPr>
        <w:t xml:space="preserve">滨海县农业</w:t>
      </w:r>
      <w:r>
        <w:rPr>
          <w:rFonts w:hint="eastAsia" w:ascii="宋体" w:hAnsi="宋体" w:cs="宋体"/>
          <w:color w:val="auto"/>
          <w:sz w:val="24"/>
          <w:szCs w:val="24"/>
          <w:highlight w:val="none"/>
          <w:lang w:val="en-US" w:eastAsia="zh-CN"/>
        </w:rPr>
        <w:t xml:space="preserve">农村</w:t>
      </w:r>
      <w:r>
        <w:rPr>
          <w:rFonts w:hint="eastAsia" w:ascii="宋体" w:hAnsi="宋体" w:cs="宋体"/>
          <w:color w:val="auto"/>
          <w:sz w:val="24"/>
          <w:szCs w:val="24"/>
          <w:highlight w:val="none"/>
        </w:rPr>
        <w:t xml:space="preserve">局</w:t>
      </w:r>
      <w:r>
        <w:rPr>
          <w:rFonts w:hint="eastAsia" w:ascii="宋体" w:hAnsi="宋体" w:cs="宋体"/>
          <w:color w:val="000000"/>
          <w:sz w:val="24"/>
          <w:szCs w:val="24"/>
        </w:rPr>
        <w:t xml:space="preserve"> </w:t>
      </w:r>
      <w:r/>
    </w:p>
    <w:p>
      <w:pPr>
        <w:ind w:firstLine="480"/>
        <w:spacing w:line="500" w:lineRule="exact"/>
        <w:tabs>
          <w:tab w:val="left" w:pos="900" w:leader="none"/>
        </w:tabs>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val="en-US" w:eastAsia="zh-CN"/>
        </w:rPr>
        <w:t xml:space="preserve">滨海县港城大道419号</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w:t>
      </w:r>
      <w:r>
        <w:rPr>
          <w:rFonts w:hint="eastAsia" w:ascii="宋体" w:hAnsi="宋体" w:cs="宋体"/>
          <w:color w:val="auto"/>
          <w:sz w:val="24"/>
          <w:szCs w:val="24"/>
          <w:highlight w:val="none"/>
          <w:lang w:val="en-US" w:eastAsia="zh-CN"/>
        </w:rPr>
        <w:t xml:space="preserve">顾先生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联系手机号码：</w:t>
      </w:r>
      <w:r>
        <w:rPr>
          <w:rFonts w:hint="eastAsia" w:ascii="宋体" w:hAnsi="宋体" w:cs="宋体"/>
          <w:color w:val="auto"/>
          <w:sz w:val="24"/>
          <w:szCs w:val="24"/>
          <w:highlight w:val="none"/>
          <w:lang w:val="en-US" w:eastAsia="zh-CN"/>
        </w:rPr>
        <w:t xml:space="preserve">18118698799</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2.代理机构：</w:t>
      </w:r>
      <w:r>
        <w:rPr>
          <w:rFonts w:hint="eastAsia" w:ascii="宋体" w:hAnsi="宋体" w:cs="宋体"/>
          <w:color w:val="auto"/>
          <w:sz w:val="24"/>
          <w:szCs w:val="24"/>
          <w:highlight w:val="none"/>
          <w:lang w:val="en-US" w:eastAsia="zh-CN"/>
        </w:rPr>
        <w:t xml:space="preserve">江苏宏厚项目管理有限公司</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auto"/>
          <w:sz w:val="24"/>
          <w:szCs w:val="24"/>
          <w:highlight w:val="none"/>
        </w:rPr>
        <w:t xml:space="preserve">滨海县坎北街道响坎路7号10楼07室</w:t>
      </w:r>
      <w:r/>
    </w:p>
    <w:p>
      <w:pPr>
        <w:ind w:firstLine="480"/>
        <w:spacing w:line="500" w:lineRule="exact"/>
        <w:tabs>
          <w:tab w:val="left" w:pos="900" w:leader="none"/>
        </w:tabs>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薛先生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lang w:val="en-US" w:eastAsia="zh-CN"/>
        </w:rPr>
        <w:t xml:space="preserve">13196661111</w:t>
      </w:r>
      <w:r>
        <w:rPr>
          <w:rFonts w:hint="eastAsia" w:ascii="宋体" w:hAnsi="宋体" w:cs="宋体"/>
          <w:color w:val="000000"/>
          <w:sz w:val="24"/>
          <w:szCs w:val="24"/>
        </w:rPr>
        <w:t xml:space="preserve">    </w:t>
      </w:r>
      <w:bookmarkEnd w:id="23"/>
      <w:r/>
      <w:bookmarkEnd w:id="24"/>
      <w:r>
        <w:rPr>
          <w:rFonts w:hint="eastAsia" w:ascii="宋体" w:hAnsi="宋体" w:cs="宋体"/>
          <w:color w:val="000000"/>
          <w:sz w:val="24"/>
          <w:szCs w:val="24"/>
        </w:rPr>
        <w:t xml:space="preserve">            </w:t>
      </w:r>
      <w:r/>
    </w:p>
    <w:p>
      <w:pPr>
        <w:ind w:firstLine="480"/>
        <w:spacing w:line="500" w:lineRule="exact"/>
        <w:tabs>
          <w:tab w:val="left" w:pos="900" w:leader="none"/>
        </w:tabs>
        <w:rPr>
          <w:rFonts w:hint="eastAsia" w:ascii="宋体" w:hAnsi="宋体" w:cs="宋体"/>
          <w:color w:val="000000"/>
          <w:sz w:val="24"/>
          <w:szCs w:val="24"/>
        </w:rPr>
      </w:pPr>
      <w:r/>
      <w:bookmarkStart w:id="25" w:name="_Toc28359021"/>
      <w:r>
        <w:rPr>
          <w:rFonts w:hint="eastAsia" w:ascii="宋体" w:hAnsi="宋体" w:cs="宋体"/>
          <w:color w:val="000000"/>
          <w:sz w:val="24"/>
          <w:szCs w:val="24"/>
        </w:rPr>
        <w:t xml:space="preserve">3.</w:t>
      </w:r>
      <w:bookmarkEnd w:id="25"/>
      <w:r>
        <w:rPr>
          <w:rFonts w:hint="eastAsia" w:ascii="宋体" w:hAnsi="宋体" w:cs="宋体"/>
          <w:color w:val="000000"/>
          <w:sz w:val="24"/>
          <w:szCs w:val="24"/>
        </w:rPr>
        <w:t xml:space="preserve">项目联系方式</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auto"/>
          <w:sz w:val="24"/>
          <w:szCs w:val="24"/>
          <w:highlight w:val="none"/>
          <w:lang w:val="en-US" w:eastAsia="zh-CN"/>
        </w:rPr>
        <w:t xml:space="preserve">顾先生</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薛先生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auto"/>
          <w:sz w:val="24"/>
          <w:szCs w:val="24"/>
          <w:highlight w:val="none"/>
          <w:lang w:val="en-US" w:eastAsia="zh-CN"/>
        </w:rPr>
        <w:t xml:space="preserve">18118698799</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13196661111</w:t>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pStyle w:val="645"/>
        <w:ind w:firstLine="118"/>
        <w:spacing w:before="203" w:after="203" w:line="360" w:lineRule="auto"/>
        <w:rPr>
          <w:rFonts w:hint="eastAsia" w:ascii="宋体" w:hAnsi="宋体" w:eastAsia="宋体"/>
          <w:b/>
          <w:color w:val="000000"/>
          <w:szCs w:val="24"/>
        </w:rPr>
      </w:pPr>
      <w:r/>
      <w:bookmarkStart w:id="26" w:name="_Toc16938519"/>
      <w:r/>
      <w:bookmarkStart w:id="27" w:name="_Toc120614214"/>
      <w:r/>
      <w:bookmarkStart w:id="28" w:name="_Toc20823275"/>
      <w:r/>
      <w:bookmarkStart w:id="29" w:name="_Toc513029203"/>
      <w:r>
        <w:rPr>
          <w:rFonts w:hint="eastAsia" w:ascii="宋体" w:hAnsi="宋体" w:eastAsia="宋体"/>
          <w:b/>
          <w:color w:val="000000"/>
          <w:szCs w:val="24"/>
        </w:rPr>
        <w:t xml:space="preserve">一、总则</w:t>
      </w:r>
      <w:bookmarkEnd w:id="26"/>
      <w:r/>
      <w:bookmarkEnd w:id="27"/>
      <w:r/>
      <w:bookmarkEnd w:id="28"/>
      <w:r/>
      <w:bookmarkEnd w:id="29"/>
      <w:r/>
      <w:r/>
    </w:p>
    <w:p>
      <w:pPr>
        <w:pStyle w:val="646"/>
        <w:ind w:firstLine="361"/>
        <w:spacing w:before="0" w:after="0" w:line="360" w:lineRule="auto"/>
        <w:rPr>
          <w:rFonts w:hint="eastAsia" w:ascii="宋体" w:hAnsi="宋体" w:eastAsia="宋体"/>
          <w:bCs w:val="0"/>
          <w:color w:val="000000"/>
          <w:sz w:val="24"/>
          <w:szCs w:val="24"/>
        </w:rPr>
      </w:pPr>
      <w:r/>
      <w:bookmarkStart w:id="30" w:name="_Hlt16619475"/>
      <w:r/>
      <w:bookmarkEnd w:id="30"/>
      <w:r/>
      <w:bookmarkStart w:id="31" w:name="_Toc16938520"/>
      <w:r/>
      <w:bookmarkStart w:id="32" w:name="_Toc20823276"/>
      <w:r/>
      <w:bookmarkStart w:id="33" w:name="_Toc513029204"/>
      <w:r>
        <w:rPr>
          <w:rFonts w:hint="eastAsia" w:ascii="宋体" w:hAnsi="宋体" w:eastAsia="宋体"/>
          <w:bCs w:val="0"/>
          <w:color w:val="000000"/>
          <w:sz w:val="24"/>
          <w:szCs w:val="24"/>
        </w:rPr>
        <w:t xml:space="preserve">1.招标方式</w:t>
      </w:r>
      <w:bookmarkEnd w:id="31"/>
      <w:r/>
      <w:bookmarkEnd w:id="32"/>
      <w:r/>
      <w:bookmarkEnd w:id="33"/>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646"/>
        <w:ind w:firstLine="361"/>
        <w:spacing w:before="0" w:after="0" w:line="360" w:lineRule="auto"/>
        <w:rPr>
          <w:rFonts w:hint="eastAsia" w:ascii="宋体" w:hAnsi="宋体" w:eastAsia="宋体"/>
          <w:bCs w:val="0"/>
          <w:color w:val="000000"/>
          <w:sz w:val="24"/>
          <w:szCs w:val="24"/>
        </w:rPr>
      </w:pPr>
      <w:r/>
      <w:bookmarkStart w:id="34" w:name="_Toc513029205"/>
      <w:r/>
      <w:bookmarkStart w:id="35" w:name="_Toc16938521"/>
      <w:r/>
      <w:bookmarkStart w:id="36" w:name="_Toc20823277"/>
      <w:r>
        <w:rPr>
          <w:rFonts w:hint="eastAsia" w:ascii="宋体" w:hAnsi="宋体" w:eastAsia="宋体"/>
          <w:bCs w:val="0"/>
          <w:color w:val="000000"/>
          <w:sz w:val="24"/>
          <w:szCs w:val="24"/>
        </w:rPr>
        <w:t xml:space="preserve">2.合格的</w:t>
      </w:r>
      <w:bookmarkEnd w:id="34"/>
      <w:r/>
      <w:bookmarkEnd w:id="35"/>
      <w:r/>
      <w:bookmarkEnd w:id="36"/>
      <w:r>
        <w:rPr>
          <w:rFonts w:hint="eastAsia" w:ascii="宋体" w:hAnsi="宋体" w:eastAsia="宋体"/>
          <w:bCs w:val="0"/>
          <w:color w:val="000000"/>
          <w:sz w:val="24"/>
          <w:szCs w:val="24"/>
        </w:rPr>
        <w:t xml:space="preserve">供应商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46"/>
        <w:ind w:firstLine="361"/>
        <w:spacing w:before="0" w:after="0" w:line="360" w:lineRule="auto"/>
        <w:rPr>
          <w:rFonts w:hint="eastAsia" w:ascii="宋体" w:hAnsi="宋体" w:eastAsia="宋体"/>
          <w:bCs w:val="0"/>
          <w:color w:val="000000"/>
          <w:sz w:val="24"/>
          <w:szCs w:val="24"/>
        </w:rPr>
      </w:pPr>
      <w:r/>
      <w:bookmarkStart w:id="37" w:name="_Toc16938522"/>
      <w:r/>
      <w:bookmarkStart w:id="38" w:name="_Toc20823278"/>
      <w:r/>
      <w:bookmarkStart w:id="39" w:name="_Toc513029206"/>
      <w:r>
        <w:rPr>
          <w:rFonts w:hint="eastAsia" w:ascii="宋体" w:hAnsi="宋体" w:eastAsia="宋体"/>
          <w:bCs w:val="0"/>
          <w:color w:val="000000"/>
          <w:sz w:val="24"/>
          <w:szCs w:val="24"/>
        </w:rPr>
        <w:t xml:space="preserve">3.适用法律</w:t>
      </w:r>
      <w:bookmarkEnd w:id="37"/>
      <w:r/>
      <w:bookmarkEnd w:id="38"/>
      <w:r/>
      <w:bookmarkEnd w:id="39"/>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646"/>
        <w:ind w:firstLine="361"/>
        <w:spacing w:before="0" w:after="0" w:line="360" w:lineRule="auto"/>
        <w:rPr>
          <w:rFonts w:hint="eastAsia" w:ascii="宋体" w:hAnsi="宋体" w:eastAsia="宋体"/>
          <w:bCs w:val="0"/>
          <w:color w:val="000000"/>
          <w:sz w:val="24"/>
          <w:szCs w:val="24"/>
        </w:rPr>
      </w:pPr>
      <w:r/>
      <w:bookmarkStart w:id="40" w:name="_Toc513029207"/>
      <w:r/>
      <w:bookmarkStart w:id="41" w:name="_Toc20823279"/>
      <w:r/>
      <w:bookmarkStart w:id="42" w:name="_Toc16938523"/>
      <w:r/>
      <w:bookmarkStart w:id="43" w:name="_Toc462564067"/>
      <w:r>
        <w:rPr>
          <w:rFonts w:hint="eastAsia" w:ascii="宋体" w:hAnsi="宋体" w:eastAsia="宋体"/>
          <w:bCs w:val="0"/>
          <w:color w:val="000000"/>
          <w:sz w:val="24"/>
          <w:szCs w:val="24"/>
        </w:rPr>
        <w:t xml:space="preserve">4.投标费用</w:t>
      </w:r>
      <w:bookmarkEnd w:id="40"/>
      <w:r/>
      <w:bookmarkEnd w:id="41"/>
      <w:r/>
      <w:bookmarkEnd w:id="42"/>
      <w:r/>
      <w:bookmarkEnd w:id="43"/>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646"/>
        <w:ind w:firstLine="482"/>
        <w:spacing w:before="0" w:after="0" w:line="360" w:lineRule="auto"/>
        <w:rPr>
          <w:rFonts w:hint="eastAsia" w:ascii="宋体" w:hAnsi="宋体" w:eastAsia="宋体"/>
          <w:bCs w:val="0"/>
          <w:color w:val="000000"/>
          <w:sz w:val="24"/>
          <w:szCs w:val="24"/>
        </w:rPr>
      </w:pPr>
      <w:r>
        <w:rPr>
          <w:rFonts w:hint="eastAsia" w:ascii="宋体" w:hAnsi="宋体" w:eastAsia="宋体"/>
          <w:color w:val="000000"/>
          <w:sz w:val="24"/>
          <w:szCs w:val="24"/>
        </w:rPr>
        <w:t xml:space="preserve">5.</w:t>
      </w:r>
      <w:r>
        <w:rPr>
          <w:rFonts w:hint="eastAsia" w:ascii="宋体" w:hAnsi="宋体" w:eastAsia="宋体"/>
          <w:bCs w:val="0"/>
          <w:color w:val="000000"/>
          <w:sz w:val="24"/>
          <w:szCs w:val="24"/>
        </w:rPr>
        <w:t xml:space="preserve">招标文件的约束力</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pStyle w:val="645"/>
        <w:ind w:firstLine="241"/>
        <w:spacing w:before="203" w:after="203" w:line="360" w:lineRule="auto"/>
        <w:rPr>
          <w:rFonts w:hint="eastAsia" w:ascii="宋体" w:hAnsi="宋体" w:eastAsia="宋体"/>
          <w:b/>
          <w:color w:val="000000"/>
          <w:szCs w:val="24"/>
        </w:rPr>
      </w:pPr>
      <w:r/>
      <w:bookmarkStart w:id="44" w:name="_Toc16938525"/>
      <w:r/>
      <w:bookmarkStart w:id="45" w:name="_Toc120614215"/>
      <w:r/>
      <w:bookmarkStart w:id="46" w:name="_Toc513029209"/>
      <w:r/>
      <w:bookmarkStart w:id="47" w:name="_Toc20823281"/>
      <w:r>
        <w:rPr>
          <w:rFonts w:hint="eastAsia" w:ascii="宋体" w:hAnsi="宋体" w:eastAsia="宋体"/>
          <w:b/>
          <w:color w:val="000000"/>
          <w:szCs w:val="24"/>
        </w:rPr>
        <w:t xml:space="preserve">二、招标文件</w:t>
      </w:r>
      <w:bookmarkEnd w:id="44"/>
      <w:r/>
      <w:bookmarkEnd w:id="45"/>
      <w:r/>
      <w:bookmarkEnd w:id="46"/>
      <w:r/>
      <w:bookmarkEnd w:id="47"/>
      <w:r/>
      <w:r/>
    </w:p>
    <w:p>
      <w:pPr>
        <w:pStyle w:val="646"/>
        <w:ind w:firstLine="361"/>
        <w:spacing w:before="0" w:after="0" w:line="360" w:lineRule="auto"/>
        <w:rPr>
          <w:rFonts w:hint="eastAsia" w:ascii="宋体" w:hAnsi="宋体" w:eastAsia="宋体"/>
          <w:bCs w:val="0"/>
          <w:color w:val="000000"/>
          <w:sz w:val="24"/>
          <w:szCs w:val="24"/>
        </w:rPr>
      </w:pPr>
      <w:r/>
      <w:bookmarkStart w:id="48" w:name="_Toc16938526"/>
      <w:r/>
      <w:bookmarkStart w:id="49" w:name="_Toc20823282"/>
      <w:r/>
      <w:bookmarkStart w:id="50" w:name="_Toc513029210"/>
      <w:r>
        <w:rPr>
          <w:rFonts w:hint="eastAsia" w:ascii="宋体" w:hAnsi="宋体" w:eastAsia="宋体"/>
          <w:bCs w:val="0"/>
          <w:color w:val="000000"/>
          <w:sz w:val="24"/>
          <w:szCs w:val="24"/>
        </w:rPr>
        <w:t xml:space="preserve">6.招标文件构成</w:t>
      </w:r>
      <w:bookmarkEnd w:id="48"/>
      <w:r/>
      <w:bookmarkEnd w:id="49"/>
      <w:r/>
      <w:bookmarkEnd w:id="50"/>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招标文件有以下部分组成：</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6"/>
        <w:ind w:firstLine="482"/>
        <w:spacing w:before="0" w:after="0" w:line="360"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646"/>
        <w:ind w:firstLine="482"/>
        <w:spacing w:before="0" w:after="0" w:line="276"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645"/>
        <w:ind w:firstLine="361"/>
        <w:spacing w:before="203" w:after="203" w:line="360" w:lineRule="auto"/>
        <w:rPr>
          <w:rFonts w:hint="eastAsia" w:ascii="宋体" w:hAnsi="宋体" w:eastAsia="宋体"/>
          <w:b/>
          <w:color w:val="000000"/>
          <w:szCs w:val="24"/>
        </w:rPr>
      </w:pPr>
      <w:r/>
      <w:bookmarkStart w:id="51" w:name="_Toc120614216"/>
      <w:r/>
      <w:bookmarkStart w:id="52" w:name="_Toc20823285"/>
      <w:r/>
      <w:bookmarkStart w:id="53" w:name="_Toc16938529"/>
      <w:r/>
      <w:bookmarkStart w:id="54" w:name="_Toc513029213"/>
      <w:r/>
      <w:bookmarkStart w:id="55" w:name="_Toc462564072"/>
      <w:r>
        <w:rPr>
          <w:rFonts w:hint="eastAsia" w:ascii="宋体" w:hAnsi="宋体" w:eastAsia="宋体"/>
          <w:b/>
          <w:color w:val="000000"/>
          <w:szCs w:val="24"/>
        </w:rPr>
        <w:t xml:space="preserve">三、投标文件的编制</w:t>
      </w:r>
      <w:bookmarkEnd w:id="51"/>
      <w:r/>
      <w:bookmarkEnd w:id="52"/>
      <w:r/>
      <w:bookmarkEnd w:id="53"/>
      <w:r/>
      <w:bookmarkEnd w:id="54"/>
      <w:r/>
      <w:bookmarkEnd w:id="55"/>
      <w:r/>
      <w:r/>
    </w:p>
    <w:p>
      <w:pPr>
        <w:pStyle w:val="646"/>
        <w:ind w:firstLine="482"/>
        <w:spacing w:before="0" w:after="0" w:line="360" w:lineRule="auto"/>
        <w:rPr>
          <w:rFonts w:hint="eastAsia" w:ascii="宋体" w:hAnsi="宋体" w:eastAsia="宋体"/>
          <w:bCs w:val="0"/>
          <w:color w:val="000000"/>
          <w:sz w:val="24"/>
          <w:szCs w:val="24"/>
        </w:rPr>
      </w:pPr>
      <w:r/>
      <w:bookmarkStart w:id="56" w:name="_Toc20823286"/>
      <w:r/>
      <w:bookmarkStart w:id="57" w:name="_Toc16938530"/>
      <w:r/>
      <w:bookmarkStart w:id="58" w:name="_Toc513029214"/>
      <w:r/>
      <w:bookmarkStart w:id="59" w:name="_Toc462564073"/>
      <w:r>
        <w:rPr>
          <w:rFonts w:hint="eastAsia" w:ascii="宋体" w:hAnsi="宋体" w:eastAsia="宋体"/>
          <w:bCs w:val="0"/>
          <w:color w:val="000000"/>
          <w:sz w:val="24"/>
          <w:szCs w:val="24"/>
        </w:rPr>
        <w:t xml:space="preserve">9.投标文件的语言及度量衡单位</w:t>
      </w:r>
      <w:bookmarkEnd w:id="56"/>
      <w:r/>
      <w:bookmarkEnd w:id="57"/>
      <w:r/>
      <w:bookmarkEnd w:id="58"/>
      <w:r/>
      <w:bookmarkEnd w:id="59"/>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pStyle w:val="646"/>
        <w:ind w:firstLine="482"/>
        <w:spacing w:before="0" w:after="0" w:line="360" w:lineRule="auto"/>
        <w:rPr>
          <w:rFonts w:hint="eastAsia" w:ascii="宋体" w:hAnsi="宋体" w:eastAsia="宋体"/>
          <w:color w:val="000000"/>
          <w:sz w:val="24"/>
          <w:szCs w:val="24"/>
        </w:rPr>
      </w:pPr>
      <w:r/>
      <w:bookmarkStart w:id="60" w:name="_Toc462564074"/>
      <w:r/>
      <w:bookmarkStart w:id="61" w:name="_Toc513029215"/>
      <w:r/>
      <w:bookmarkStart w:id="62" w:name="_Toc20823287"/>
      <w:r/>
      <w:bookmarkStart w:id="63" w:name="_Toc16938531"/>
      <w:r>
        <w:rPr>
          <w:rFonts w:hint="eastAsia" w:ascii="宋体" w:hAnsi="宋体" w:eastAsia="宋体"/>
          <w:color w:val="000000"/>
          <w:sz w:val="24"/>
          <w:szCs w:val="24"/>
        </w:rPr>
        <w:t xml:space="preserve">10.投标文件构成</w:t>
      </w:r>
      <w:bookmarkEnd w:id="60"/>
      <w:r/>
      <w:bookmarkEnd w:id="61"/>
      <w:r/>
      <w:bookmarkEnd w:id="62"/>
      <w:r/>
      <w:bookmarkEnd w:id="63"/>
      <w:r/>
      <w:r/>
    </w:p>
    <w:p>
      <w:pPr>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360" w:lineRule="auto"/>
        <w:widowControl/>
        <w:rPr>
          <w:rFonts w:hint="eastAsia" w:ascii="宋体" w:hAnsi="宋体"/>
          <w:b/>
          <w:color w:val="000000"/>
          <w:sz w:val="24"/>
          <w:szCs w:val="24"/>
        </w:rPr>
      </w:pPr>
      <w:r/>
      <w:bookmarkStart w:id="64" w:name="_Toc14577357"/>
      <w:r/>
      <w:bookmarkStart w:id="65" w:name="_Toc513029219"/>
      <w:r/>
      <w:bookmarkStart w:id="66" w:name="_Toc49090509"/>
      <w:r/>
      <w:bookmarkStart w:id="67" w:name="_Toc513029216"/>
      <w:r/>
      <w:bookmarkStart w:id="68" w:name="_Toc14577354"/>
      <w:r/>
      <w:bookmarkStart w:id="69" w:name="_Toc49090507"/>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6"/>
        <w:ind w:firstLine="361"/>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64"/>
      <w:r/>
      <w:bookmarkEnd w:id="65"/>
      <w:r/>
      <w:bookmarkEnd w:id="66"/>
      <w:r>
        <w:rPr>
          <w:rFonts w:hint="eastAsia" w:ascii="宋体" w:hAnsi="宋体" w:eastAsia="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67"/>
      <w:bookmarkEnd w:id="68"/>
      <w:bookmarkEnd w:id="69"/>
      <w:r/>
    </w:p>
    <w:p>
      <w:pPr>
        <w:pStyle w:val="646"/>
        <w:ind w:firstLine="361"/>
        <w:spacing w:before="0" w:after="0" w:line="360" w:lineRule="auto"/>
        <w:rPr>
          <w:rFonts w:hint="eastAsia" w:ascii="宋体" w:hAnsi="宋体" w:eastAsia="宋体"/>
          <w:bCs w:val="0"/>
          <w:color w:val="000000"/>
          <w:sz w:val="24"/>
          <w:szCs w:val="24"/>
        </w:rPr>
      </w:pPr>
      <w:r/>
      <w:bookmarkStart w:id="70" w:name="_Toc49090508"/>
      <w:r/>
      <w:bookmarkStart w:id="71" w:name="_Toc14577355"/>
      <w:r>
        <w:rPr>
          <w:rFonts w:hint="eastAsia" w:ascii="宋体" w:hAnsi="宋体" w:eastAsia="宋体"/>
          <w:bCs w:val="0"/>
          <w:color w:val="000000"/>
          <w:sz w:val="24"/>
          <w:szCs w:val="24"/>
        </w:rPr>
        <w:t xml:space="preserve">12.投标报价</w:t>
      </w:r>
      <w:bookmarkEnd w:id="70"/>
      <w:r/>
      <w:bookmarkEnd w:id="71"/>
      <w:r/>
      <w:bookmarkStart w:id="72" w:name="_Hlt26670373"/>
      <w:r/>
      <w:bookmarkEnd w:id="72"/>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12.1本项目不接受备选的投标方案或有选择的报价，只允许有一个报价。投标报价内容包括但不限于：公共平台提档升级服务内容本身、开发费、调试费、人工费、服务费、税金以及交付使用过程中涉及到的其他一切费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12.3本项目招标代理服务费【依据江苏省招标代理服务收费的指导意见-苏招协[2022]002号文件】</w:t>
      </w:r>
      <w:r>
        <w:rPr>
          <w:rFonts w:hint="eastAsia" w:ascii="宋体" w:hAnsi="宋体"/>
          <w:bCs/>
          <w:color w:val="000000"/>
          <w:sz w:val="24"/>
          <w:szCs w:val="24"/>
          <w:lang w:val="en-US" w:eastAsia="zh-CN"/>
        </w:rPr>
        <w:t xml:space="preserve">折</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u w:val="single"/>
          <w:lang w:val="en-US" w:eastAsia="zh-CN"/>
        </w:rPr>
        <w:t xml:space="preserve">29000元</w:t>
      </w:r>
      <w:r>
        <w:rPr>
          <w:rFonts w:hint="eastAsia" w:ascii="宋体" w:hAnsi="宋体"/>
          <w:bCs/>
          <w:color w:val="000000"/>
          <w:sz w:val="24"/>
          <w:szCs w:val="24"/>
          <w:highlight w:val="none"/>
        </w:rPr>
        <w:t xml:space="preserve">收取</w:t>
      </w:r>
      <w:r>
        <w:rPr>
          <w:rFonts w:hint="eastAsia" w:ascii="宋体" w:hAnsi="宋体"/>
          <w:bCs/>
          <w:color w:val="000000"/>
          <w:sz w:val="24"/>
          <w:szCs w:val="24"/>
        </w:rPr>
        <w:t xml:space="preserve">，由中标单位代为支付给采购代理机构，中标人应在领取中标通知书前缴纳。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公共平台提档升级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只允许有一个报价，任何有选择的报价将被拒绝。</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b/>
          <w:color w:val="000000"/>
          <w:sz w:val="24"/>
          <w:szCs w:val="24"/>
        </w:rPr>
      </w:pPr>
      <w:r/>
      <w:bookmarkStart w:id="73" w:name="_Hlt26954846"/>
      <w:r/>
      <w:bookmarkEnd w:id="73"/>
      <w:r/>
      <w:bookmarkStart w:id="74" w:name="_Hlt26670486"/>
      <w:r/>
      <w:bookmarkEnd w:id="74"/>
      <w:r/>
      <w:bookmarkStart w:id="75" w:name="_Hlt26954731"/>
      <w:r/>
      <w:bookmarkEnd w:id="75"/>
      <w:r/>
      <w:bookmarkStart w:id="76" w:name="_Hlt26954848"/>
      <w:r/>
      <w:bookmarkEnd w:id="76"/>
      <w:r/>
      <w:bookmarkStart w:id="77" w:name="_Hlt26670482"/>
      <w:r/>
      <w:bookmarkEnd w:id="77"/>
      <w:r>
        <w:rPr>
          <w:rFonts w:hint="eastAsia" w:ascii="宋体" w:hAnsi="宋体"/>
          <w:b/>
          <w:bCs/>
          <w:color w:val="000000"/>
          <w:sz w:val="24"/>
          <w:szCs w:val="24"/>
        </w:rPr>
        <w:t xml:space="preserve">13.</w:t>
      </w:r>
      <w:r>
        <w:rPr>
          <w:rFonts w:hint="eastAsia" w:ascii="宋体" w:hAnsi="宋体"/>
          <w:b/>
          <w:color w:val="000000"/>
          <w:sz w:val="24"/>
          <w:szCs w:val="24"/>
        </w:rPr>
        <w:t xml:space="preserve">技术条款响应及偏离表、商务条款响应及偏离表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供应商需对招标文件中的技术要求与商务要求逐项作出响应或偏离，并说明原因</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13.2供应商可在投标文件中提供认为需要的其他技术文件或说明。</w:t>
      </w:r>
      <w:r/>
    </w:p>
    <w:p>
      <w:pPr>
        <w:ind w:firstLine="482"/>
        <w:spacing w:line="360" w:lineRule="auto"/>
        <w:rPr>
          <w:rFonts w:hint="eastAsia" w:ascii="宋体" w:hAnsi="宋体"/>
          <w:b/>
          <w:bCs/>
          <w:color w:val="000000"/>
          <w:sz w:val="24"/>
          <w:szCs w:val="24"/>
        </w:rPr>
      </w:pPr>
      <w:r/>
      <w:bookmarkStart w:id="78" w:name="_Toc14577359"/>
      <w:r/>
      <w:bookmarkStart w:id="79" w:name="_Toc49090510"/>
      <w:r>
        <w:rPr>
          <w:rFonts w:hint="eastAsia" w:ascii="宋体" w:hAnsi="宋体"/>
          <w:b/>
          <w:bCs/>
          <w:color w:val="000000"/>
          <w:sz w:val="24"/>
          <w:szCs w:val="24"/>
        </w:rPr>
        <w:t xml:space="preserve">14.投标函和开标一览表</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78"/>
      <w:bookmarkEnd w:id="79"/>
      <w:r/>
    </w:p>
    <w:p>
      <w:pPr>
        <w:ind w:firstLine="482"/>
        <w:spacing w:line="360" w:lineRule="auto"/>
        <w:rPr>
          <w:rFonts w:hint="eastAsia" w:ascii="宋体" w:hAnsi="宋体"/>
          <w:b/>
          <w:bCs/>
          <w:color w:val="000000"/>
          <w:sz w:val="24"/>
          <w:szCs w:val="24"/>
        </w:rPr>
      </w:pPr>
      <w:r/>
      <w:bookmarkStart w:id="80" w:name="_Hlt26670489"/>
      <w:r/>
      <w:bookmarkEnd w:id="80"/>
      <w:r/>
      <w:bookmarkStart w:id="81" w:name="_Hlt26954734"/>
      <w:r/>
      <w:bookmarkEnd w:id="81"/>
      <w:r/>
      <w:bookmarkStart w:id="82" w:name="_Hlt26954850"/>
      <w:r/>
      <w:bookmarkEnd w:id="82"/>
      <w:r/>
      <w:bookmarkStart w:id="83" w:name="_Toc14577360"/>
      <w:r/>
      <w:bookmarkStart w:id="84" w:name="_Toc49090511"/>
      <w:r>
        <w:rPr>
          <w:rFonts w:hint="eastAsia" w:ascii="宋体" w:hAnsi="宋体"/>
          <w:b/>
          <w:bCs/>
          <w:color w:val="000000"/>
          <w:sz w:val="24"/>
          <w:szCs w:val="24"/>
        </w:rPr>
        <w:t xml:space="preserve">15.投标有效期</w:t>
      </w:r>
      <w:bookmarkEnd w:id="83"/>
      <w:r/>
      <w:bookmarkEnd w:id="84"/>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 xml:space="preserve">六十（60）天</w:t>
      </w:r>
      <w:r>
        <w:rPr>
          <w:rFonts w:hint="eastAsia" w:ascii="宋体" w:hAnsi="宋体"/>
          <w:bCs/>
          <w:color w:val="000000"/>
          <w:sz w:val="24"/>
          <w:szCs w:val="24"/>
        </w:rPr>
        <w:t xml:space="preserve">。投标有效期比规定短的将被视为非响应性投标而予以拒绝。</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16.投标有效期的延长</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360" w:lineRule="auto"/>
        <w:widowControl/>
        <w:tabs>
          <w:tab w:val="left" w:pos="4120" w:leader="none"/>
        </w:tabs>
        <w:rPr>
          <w:rFonts w:hint="eastAsia" w:ascii="黑体" w:hAnsi="黑体" w:eastAsia="黑体" w:cs="黑体"/>
          <w:color w:val="000000"/>
          <w:szCs w:val="28"/>
        </w:rPr>
      </w:pPr>
      <w:r/>
      <w:bookmarkStart w:id="85" w:name="_Hlt26954739"/>
      <w:r/>
      <w:bookmarkEnd w:id="85"/>
      <w:r/>
      <w:bookmarkStart w:id="86" w:name="_Hlt26954852"/>
      <w:r/>
      <w:bookmarkEnd w:id="86"/>
      <w:r>
        <w:rPr>
          <w:rFonts w:hint="eastAsia" w:ascii="黑体" w:hAnsi="黑体" w:eastAsia="黑体" w:cs="黑体"/>
          <w:color w:val="000000"/>
          <w:szCs w:val="28"/>
        </w:rPr>
        <w:t xml:space="preserve">四、投标文件的递交</w:t>
      </w:r>
      <w:r/>
    </w:p>
    <w:p>
      <w:pPr>
        <w:ind w:firstLine="560"/>
        <w:jc w:val="left"/>
        <w:spacing w:line="360" w:lineRule="auto"/>
        <w:widowControl/>
        <w:rPr>
          <w:rFonts w:hint="eastAsia" w:ascii="黑体" w:hAnsi="黑体" w:eastAsia="黑体" w:cs="黑体"/>
          <w:color w:val="000000"/>
          <w:szCs w:val="28"/>
        </w:rPr>
      </w:pPr>
      <w:r/>
      <w:bookmarkStart w:id="87" w:name="_Toc513029229"/>
      <w:r/>
      <w:bookmarkStart w:id="88" w:name="_Toc16938545"/>
      <w:r/>
      <w:bookmarkStart w:id="89" w:name="_Toc120614218"/>
      <w:r/>
      <w:bookmarkStart w:id="90" w:name="_Toc20823301"/>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360" w:lineRule="auto"/>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20、投标文件的撤回和修改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87"/>
      <w:r/>
      <w:bookmarkEnd w:id="88"/>
      <w:r/>
      <w:bookmarkEnd w:id="89"/>
      <w:r/>
      <w:bookmarkEnd w:id="90"/>
      <w:r/>
      <w:r/>
    </w:p>
    <w:p>
      <w:pPr>
        <w:ind w:firstLine="560"/>
        <w:jc w:val="left"/>
        <w:spacing w:line="360" w:lineRule="auto"/>
        <w:widowControl/>
        <w:rPr>
          <w:rFonts w:hint="eastAsia" w:ascii="黑体" w:hAnsi="黑体" w:eastAsia="黑体" w:cs="黑体"/>
          <w:color w:val="000000"/>
          <w:szCs w:val="28"/>
        </w:rPr>
      </w:pPr>
      <w:r/>
      <w:bookmarkStart w:id="91" w:name="_Toc513029230"/>
      <w:r/>
      <w:bookmarkStart w:id="92" w:name="_Toc16938546"/>
      <w:r/>
      <w:bookmarkStart w:id="93" w:name="_Toc20823302"/>
      <w:r>
        <w:rPr>
          <w:rFonts w:hint="eastAsia" w:ascii="黑体" w:hAnsi="黑体" w:eastAsia="黑体" w:cs="黑体"/>
          <w:color w:val="000000"/>
          <w:szCs w:val="28"/>
        </w:rPr>
        <w:t xml:space="preserve">21.开标</w:t>
      </w:r>
      <w:bookmarkEnd w:id="91"/>
      <w:r/>
      <w:bookmarkEnd w:id="92"/>
      <w:r/>
      <w:bookmarkEnd w:id="93"/>
      <w:r/>
      <w:r/>
    </w:p>
    <w:p>
      <w:pPr>
        <w:ind w:firstLine="600"/>
        <w:spacing w:line="360" w:lineRule="auto"/>
        <w:rPr>
          <w:rFonts w:hint="eastAsia" w:ascii="宋体" w:hAnsi="宋体" w:cs="宋体"/>
          <w:color w:val="000000"/>
          <w:sz w:val="24"/>
          <w:szCs w:val="24"/>
          <w:lang w:bidi="ar"/>
        </w:rPr>
      </w:pPr>
      <w:r/>
      <w:bookmarkStart w:id="94" w:name="_Toc513029231"/>
      <w:r/>
      <w:bookmarkStart w:id="95" w:name="_Toc16938547"/>
      <w:r/>
      <w:bookmarkStart w:id="96" w:name="_Toc20823303"/>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94"/>
      <w:bookmarkEnd w:id="95"/>
      <w:bookmarkEnd w:id="96"/>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22.3评委会独立工作，负责评审所有投标文件并确定中标侯选人。</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5.对投标文件的初审</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6.无效投标条款和废标条款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26.1.1供应商在苏采云系统规定的时间内未成功解密电子投标文件的。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26.1.2供应商未按照招标文件要求上传电子投标文件的。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26.1.3同一供应商提交两个（含两个）以上不同的投标报价的。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26.1.4供应商不具备招标文件中规定资格要求的。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26.1.5供应商的报价超过了采购预算或最高限价的。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26.1.6供应商的报价低于招标文件规定的人员薪资标准。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26.1.7未通过符合性审查的。</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26.1.8不符合招标文件中规定的实质性要求和条件的（</w:t>
      </w:r>
      <w:r>
        <w:rPr>
          <w:rFonts w:hint="eastAsia" w:ascii="宋体" w:hAnsi="宋体" w:cs="宋体"/>
          <w:i/>
          <w:color w:val="000000"/>
          <w:sz w:val="24"/>
          <w:szCs w:val="24"/>
          <w:u w:val="single"/>
          <w:lang w:bidi="ar"/>
        </w:rPr>
        <w:t xml:space="preserve">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26.1.13其他法律、法规及本招标文件规定的属无效投标的情形。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683"/>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六、定标</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27.确定中标单位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28.质疑处理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29.中标通知书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683"/>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七、授予合同</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30.签订合同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3"/>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83"/>
        <w:ind w:firstLine="600"/>
        <w:jc w:val="both"/>
        <w:keepLines/>
        <w:keepNext/>
        <w:spacing w:beforeAutospacing="0" w:afterAutospacing="0" w:line="360" w:lineRule="auto"/>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w:t>
      </w:r>
      <w:r>
        <w:rPr>
          <w:rFonts w:hint="eastAsia" w:ascii="宋体" w:hAnsi="宋体" w:cs="宋体"/>
          <w:color w:val="000000"/>
          <w:sz w:val="24"/>
          <w:szCs w:val="24"/>
          <w:highlight w:val="none"/>
          <w:lang w:bidi="ar"/>
        </w:rPr>
        <w:t xml:space="preserve">，预付款比例为30%，支付预付款前，中</w:t>
      </w:r>
      <w:r>
        <w:rPr>
          <w:rFonts w:hint="eastAsia" w:ascii="宋体" w:hAnsi="宋体" w:cs="宋体"/>
          <w:color w:val="000000"/>
          <w:sz w:val="24"/>
          <w:szCs w:val="24"/>
          <w:lang w:bidi="ar"/>
        </w:rPr>
        <w:t xml:space="preserve">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360" w:lineRule="auto"/>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842"/>
        <w:rPr>
          <w:rFonts w:hint="eastAsia"/>
        </w:rPr>
      </w:pPr>
      <w:r>
        <w:rPr>
          <w:rFonts w:hint="eastAsia"/>
        </w:rPr>
      </w:r>
      <w:r/>
    </w:p>
    <w:p>
      <w:pPr>
        <w:ind w:right="185"/>
        <w:jc w:val="center"/>
        <w:spacing w:line="360" w:lineRule="auto"/>
        <w:rPr>
          <w:rFonts w:ascii="黑体" w:hAnsi="Arial" w:eastAsia="黑体"/>
          <w:color w:val="000000"/>
          <w:sz w:val="44"/>
          <w:szCs w:val="44"/>
        </w:rPr>
      </w:pPr>
      <w:r>
        <w:rPr>
          <w:rFonts w:ascii="黑体" w:hAnsi="Arial" w:eastAsia="黑体"/>
          <w:color w:val="000000"/>
          <w:sz w:val="44"/>
          <w:szCs w:val="44"/>
        </w:rPr>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97" w:name="_Toc16938559"/>
      <w:r/>
      <w:bookmarkStart w:id="98" w:name="_Toc513029243"/>
      <w:r/>
      <w:bookmarkStart w:id="99" w:name="_Toc20823315"/>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bookmarkEnd w:id="97"/>
      <w:bookmarkEnd w:id="98"/>
      <w:bookmarkEnd w:id="99"/>
      <w:r/>
    </w:p>
    <w:p>
      <w:pPr>
        <w:jc w:val="center"/>
        <w:spacing w:before="120" w:after="120" w:line="360" w:lineRule="auto"/>
        <w:rPr>
          <w:rFonts w:hint="eastAsia" w:ascii="宋体" w:hAnsi="宋体" w:cs="宋体"/>
          <w:bCs/>
          <w:sz w:val="44"/>
        </w:rPr>
        <w:outlineLvl w:val="0"/>
      </w:pPr>
      <w:r>
        <w:rPr>
          <w:rFonts w:hint="eastAsia" w:ascii="宋体" w:hAnsi="宋体" w:cs="宋体"/>
          <w:b/>
          <w:bCs/>
          <w:szCs w:val="28"/>
        </w:rPr>
        <w:t xml:space="preserve">政府采购合同（服务）</w:t>
      </w:r>
      <w:r/>
    </w:p>
    <w:p>
      <w:pPr>
        <w:ind w:firstLine="480"/>
        <w:keepLines w:val="0"/>
        <w:pageBreakBefore w:val="0"/>
        <w:spacing w:line="360" w:lineRule="auto"/>
        <w:widowControl w:val="off"/>
        <w:rPr>
          <w:rFonts w:hint="eastAsia" w:ascii="宋体" w:hAnsi="宋体"/>
          <w:sz w:val="24"/>
          <w:szCs w:val="24"/>
        </w:rPr>
      </w:pPr>
      <w:r/>
      <w:bookmarkStart w:id="100" w:name="_Hlt26955066"/>
      <w:r/>
      <w:bookmarkEnd w:id="100"/>
      <w:r/>
      <w:bookmarkStart w:id="101" w:name="_Hlt26580838"/>
      <w:r/>
      <w:bookmarkEnd w:id="101"/>
      <w:r/>
      <w:bookmarkStart w:id="102" w:name="_Hlt26609391"/>
      <w:r/>
      <w:bookmarkEnd w:id="102"/>
      <w:r/>
      <w:bookmarkStart w:id="103" w:name="_Hlt26609389"/>
      <w:r/>
      <w:bookmarkEnd w:id="103"/>
      <w:r/>
      <w:bookmarkStart w:id="104" w:name="_Hlt26955056"/>
      <w:r/>
      <w:bookmarkEnd w:id="104"/>
      <w:r/>
      <w:bookmarkStart w:id="105" w:name="_Hlt26782999"/>
      <w:r/>
      <w:bookmarkEnd w:id="105"/>
      <w:r/>
      <w:bookmarkStart w:id="106" w:name="_Hlt26671372"/>
      <w:r/>
      <w:bookmarkEnd w:id="106"/>
      <w:r/>
      <w:bookmarkStart w:id="107" w:name="_Hlt26671374"/>
      <w:r/>
      <w:bookmarkEnd w:id="107"/>
      <w:r/>
      <w:bookmarkStart w:id="108" w:name="_Hlt26955064"/>
      <w:r/>
      <w:bookmarkEnd w:id="108"/>
      <w:r/>
      <w:bookmarkStart w:id="109" w:name="_Hlt24879081"/>
      <w:r/>
      <w:bookmarkEnd w:id="109"/>
      <w:r/>
      <w:bookmarkStart w:id="110" w:name="_Hlt26671343"/>
      <w:r/>
      <w:bookmarkEnd w:id="110"/>
      <w:r>
        <w:rPr>
          <w:rFonts w:hint="eastAsia" w:ascii="宋体" w:hAnsi="宋体"/>
          <w:sz w:val="24"/>
          <w:szCs w:val="24"/>
        </w:rPr>
        <w:t xml:space="preserve">采购单位（甲方）：</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中标单位（乙方）：</w:t>
      </w:r>
      <w:r/>
    </w:p>
    <w:p>
      <w:pPr>
        <w:ind w:firstLine="480"/>
        <w:keepLines w:val="0"/>
        <w:pageBreakBefore w:val="0"/>
        <w:spacing w:line="360" w:lineRule="auto"/>
        <w:widowControl w:val="off"/>
        <w:rPr>
          <w:rFonts w:hint="eastAsia"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，甲、乙双方按照的招标结果，签订本</w:t>
      </w:r>
      <w:r>
        <w:rPr>
          <w:rFonts w:hint="eastAsia" w:ascii="宋体" w:hAnsi="宋体"/>
          <w:sz w:val="24"/>
        </w:rPr>
        <w:t xml:space="preserve">协议</w:t>
      </w:r>
      <w:r>
        <w:rPr>
          <w:rFonts w:ascii="宋体" w:hAnsi="宋体"/>
          <w:sz w:val="24"/>
        </w:rPr>
        <w:t xml:space="preserve">。</w:t>
      </w:r>
      <w:r/>
    </w:p>
    <w:p>
      <w:pPr>
        <w:numPr>
          <w:ilvl w:val="0"/>
          <w:numId w:val="3"/>
        </w:numPr>
        <w:ind w:firstLine="482"/>
        <w:keepLines w:val="0"/>
        <w:pageBreakBefore w:val="0"/>
        <w:spacing w:line="360" w:lineRule="auto"/>
        <w:widowControl w:val="off"/>
        <w:rPr>
          <w:rFonts w:hint="eastAsia" w:ascii="宋体" w:hAnsi="宋体"/>
          <w:b/>
          <w:sz w:val="24"/>
        </w:rPr>
      </w:pPr>
      <w:r>
        <w:rPr>
          <w:rFonts w:ascii="宋体" w:hAnsi="宋体"/>
          <w:b/>
          <w:sz w:val="24"/>
        </w:rPr>
        <w:t xml:space="preserve">、服务范围</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1.</w:t>
      </w:r>
      <w:r>
        <w:rPr>
          <w:rFonts w:ascii="宋体" w:hAnsi="宋体"/>
          <w:sz w:val="24"/>
        </w:rPr>
        <w:t xml:space="preserve">甲方聘请乙方提供以下服务：</w:t>
      </w:r>
      <w:r>
        <w:rPr>
          <w:rFonts w:hint="eastAsia" w:ascii="宋体" w:hAnsi="宋体"/>
          <w:sz w:val="24"/>
          <w:lang w:val="en-US" w:eastAsia="zh-CN"/>
        </w:rPr>
        <w:t xml:space="preserve"> </w:t>
      </w:r>
      <w:r>
        <w:rPr>
          <w:rFonts w:hint="eastAsia" w:ascii="宋体" w:hAnsi="宋体"/>
          <w:sz w:val="24"/>
          <w:u w:val="singl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2.合同履行期限（工期）：本项目建设</w:t>
      </w:r>
      <w:r>
        <w:rPr>
          <w:rFonts w:hint="eastAsia" w:ascii="宋体" w:hAnsi="宋体"/>
          <w:color w:val="000000" w:themeColor="text1"/>
          <w:sz w:val="24"/>
          <w14:textFill>
            <w14:solidFill>
              <w14:schemeClr w14:val="tx1"/>
            </w14:solidFill>
          </w14:textFill>
        </w:rPr>
        <w:t xml:space="preserve">工期为</w:t>
      </w:r>
      <w:r>
        <w:rPr>
          <w:rFonts w:hint="eastAsia" w:ascii="宋体" w:hAnsi="宋体"/>
          <w:color w:val="000000" w:themeColor="text1"/>
          <w:sz w:val="24"/>
          <w:lang w:val="en-US" w:eastAsia="zh-CN"/>
          <w14:textFill>
            <w14:solidFill>
              <w14:schemeClr w14:val="tx1"/>
            </w14:solidFill>
          </w14:textFill>
        </w:rPr>
        <w:t xml:space="preserve">30日历天</w:t>
      </w:r>
      <w:r>
        <w:rPr>
          <w:rFonts w:hint="eastAsia" w:ascii="宋体" w:hAnsi="宋体"/>
          <w:sz w:val="24"/>
        </w:rPr>
        <w:t xml:space="preserve">（具体以采购人的具体要求为准）。</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3.服务标准：合格。</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4.服务地点：采购人指定地点。</w:t>
      </w:r>
      <w:r/>
    </w:p>
    <w:p>
      <w:pPr>
        <w:ind w:firstLine="480"/>
        <w:keepLines w:val="0"/>
        <w:pageBreakBefore w:val="0"/>
        <w:spacing w:line="360" w:lineRule="auto"/>
        <w:widowControl w:val="off"/>
        <w:tabs>
          <w:tab w:val="left" w:pos="900" w:leader="none"/>
        </w:tabs>
        <w:rPr>
          <w:rFonts w:hint="eastAsia" w:ascii="宋体" w:hAnsi="宋体" w:cs="宋体"/>
          <w:color w:val="000000"/>
          <w:sz w:val="24"/>
          <w:szCs w:val="24"/>
        </w:rPr>
      </w:pPr>
      <w:r>
        <w:rPr>
          <w:rFonts w:hint="eastAsia" w:ascii="宋体" w:hAnsi="宋体"/>
          <w:sz w:val="24"/>
        </w:rPr>
        <w:t xml:space="preserve">5.</w:t>
      </w:r>
      <w:r>
        <w:rPr>
          <w:rFonts w:hint="eastAsia" w:ascii="宋体" w:hAnsi="宋体" w:cs="宋体"/>
          <w:color w:val="auto"/>
          <w:sz w:val="24"/>
          <w:szCs w:val="24"/>
          <w:highlight w:val="none"/>
          <w:lang w:val="en-US" w:eastAsia="zh-CN"/>
        </w:rPr>
        <w:t xml:space="preserve">免费</w:t>
      </w:r>
      <w:r>
        <w:rPr>
          <w:rFonts w:hint="eastAsia" w:ascii="宋体" w:hAnsi="宋体" w:cs="宋体"/>
          <w:color w:val="auto"/>
          <w:sz w:val="24"/>
          <w:szCs w:val="24"/>
          <w:highlight w:val="none"/>
        </w:rPr>
        <w:t xml:space="preserve">质量保修期：</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年</w:t>
      </w:r>
      <w:r>
        <w:rPr>
          <w:rFonts w:hint="eastAsia" w:ascii="宋体" w:hAnsi="宋体" w:cs="宋体"/>
          <w:color w:val="000000"/>
          <w:sz w:val="24"/>
          <w:szCs w:val="24"/>
        </w:rPr>
        <w:t xml:space="preserve">。</w:t>
      </w:r>
      <w:r/>
    </w:p>
    <w:p>
      <w:pPr>
        <w:pStyle w:val="846"/>
        <w:ind w:firstLine="480"/>
        <w:keepLines w:val="0"/>
        <w:pageBreakBefore w:val="0"/>
        <w:spacing w:line="360" w:lineRule="auto"/>
        <w:widowControl w:val="off"/>
        <w:rPr>
          <w:rFonts w:hint="eastAsia" w:ascii="宋体" w:hAnsi="宋体" w:cs="宋体"/>
          <w:sz w:val="24"/>
          <w:szCs w:val="24"/>
        </w:rPr>
      </w:pPr>
      <w:r>
        <w:rPr>
          <w:rFonts w:hint="eastAsia" w:ascii="宋体" w:hAnsi="宋体" w:cs="宋体"/>
          <w:sz w:val="24"/>
        </w:rPr>
        <w:t xml:space="preserve">6.乙方根据本项目具体情</w:t>
      </w:r>
      <w:r>
        <w:rPr>
          <w:rFonts w:hint="eastAsia" w:ascii="宋体" w:hAnsi="宋体" w:cs="宋体"/>
          <w:sz w:val="24"/>
          <w:szCs w:val="24"/>
        </w:rPr>
        <w:t xml:space="preserve">况指派 </w:t>
      </w:r>
      <w:r>
        <w:rPr>
          <w:rFonts w:hint="eastAsia" w:ascii="宋体" w:hAnsi="宋体" w:cs="宋体"/>
          <w:sz w:val="24"/>
          <w:szCs w:val="24"/>
          <w:u w:val="single"/>
        </w:rPr>
        <w:t xml:space="preserve">      </w:t>
      </w:r>
      <w:r>
        <w:rPr>
          <w:rFonts w:hint="eastAsia" w:ascii="宋体" w:hAnsi="宋体" w:cs="宋体"/>
          <w:sz w:val="24"/>
          <w:szCs w:val="24"/>
        </w:rPr>
        <w:t xml:space="preserve">同志担任本项目的负责人，代表乙方具体负责本项目工作。</w:t>
      </w:r>
      <w:r/>
    </w:p>
    <w:p>
      <w:pPr>
        <w:ind w:firstLine="482"/>
        <w:keepLines w:val="0"/>
        <w:pageBreakBefore w:val="0"/>
        <w:spacing w:line="360" w:lineRule="auto"/>
        <w:widowControl w:val="off"/>
        <w:rPr>
          <w:rFonts w:hint="eastAsia" w:ascii="宋体" w:hAnsi="宋体"/>
          <w:sz w:val="24"/>
        </w:rPr>
      </w:pPr>
      <w:r>
        <w:rPr>
          <w:rFonts w:ascii="宋体" w:hAnsi="宋体"/>
          <w:b/>
          <w:bCs/>
          <w:sz w:val="24"/>
        </w:rPr>
        <w:t xml:space="preserve">第二条、组成本合同的有关文件</w:t>
      </w:r>
      <w:r/>
    </w:p>
    <w:p>
      <w:pPr>
        <w:ind w:firstLine="480"/>
        <w:keepLines w:val="0"/>
        <w:pageBreakBefore w:val="0"/>
        <w:spacing w:line="360" w:lineRule="auto"/>
        <w:widowControl w:val="off"/>
        <w:rPr>
          <w:rFonts w:hint="eastAsia"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p>
    <w:p>
      <w:pPr>
        <w:numPr>
          <w:ilvl w:val="0"/>
          <w:numId w:val="4"/>
        </w:numPr>
        <w:ind w:firstLine="480"/>
        <w:keepLines w:val="0"/>
        <w:pageBreakBefore w:val="0"/>
        <w:spacing w:line="360" w:lineRule="auto"/>
        <w:widowControl w:val="off"/>
        <w:rPr>
          <w:rFonts w:hint="eastAsia" w:ascii="宋体" w:hAnsi="宋体"/>
          <w:sz w:val="24"/>
        </w:rPr>
      </w:pPr>
      <w:r>
        <w:rPr>
          <w:rFonts w:ascii="宋体" w:hAnsi="宋体"/>
          <w:sz w:val="24"/>
        </w:rPr>
        <w:t xml:space="preserve">招标采购文件（编号：）</w:t>
      </w:r>
      <w:r/>
    </w:p>
    <w:p>
      <w:pPr>
        <w:numPr>
          <w:ilvl w:val="0"/>
          <w:numId w:val="4"/>
        </w:numPr>
        <w:ind w:firstLine="480"/>
        <w:keepLines w:val="0"/>
        <w:pageBreakBefore w:val="0"/>
        <w:spacing w:line="360" w:lineRule="auto"/>
        <w:widowControl w:val="off"/>
        <w:rPr>
          <w:rFonts w:hint="eastAsia" w:ascii="宋体" w:hAnsi="宋体"/>
          <w:sz w:val="24"/>
        </w:rPr>
      </w:pPr>
      <w:r>
        <w:rPr>
          <w:rFonts w:ascii="宋体" w:hAnsi="宋体"/>
          <w:sz w:val="24"/>
        </w:rPr>
        <w:t xml:space="preserve">乙方提供的投标文件；</w:t>
      </w:r>
      <w:r/>
    </w:p>
    <w:p>
      <w:pPr>
        <w:numPr>
          <w:ilvl w:val="0"/>
          <w:numId w:val="4"/>
        </w:numPr>
        <w:ind w:firstLine="480"/>
        <w:keepLines w:val="0"/>
        <w:pageBreakBefore w:val="0"/>
        <w:spacing w:line="360" w:lineRule="auto"/>
        <w:widowControl w:val="off"/>
        <w:rPr>
          <w:rFonts w:hint="eastAsia" w:ascii="宋体" w:hAnsi="宋体"/>
          <w:sz w:val="24"/>
        </w:rPr>
      </w:pPr>
      <w:r>
        <w:rPr>
          <w:rFonts w:ascii="宋体" w:hAnsi="宋体"/>
          <w:sz w:val="24"/>
          <w:lang w:val="zh-CN"/>
        </w:rPr>
        <w:t xml:space="preserve">乙方在谈判过程中所作的其他承诺、声明、书面澄清等；</w:t>
      </w:r>
      <w:r/>
    </w:p>
    <w:p>
      <w:pPr>
        <w:numPr>
          <w:ilvl w:val="0"/>
          <w:numId w:val="4"/>
        </w:numPr>
        <w:ind w:firstLine="480"/>
        <w:keepLines w:val="0"/>
        <w:pageBreakBefore w:val="0"/>
        <w:spacing w:line="360" w:lineRule="auto"/>
        <w:widowControl w:val="off"/>
        <w:rPr>
          <w:rFonts w:hint="eastAsia" w:ascii="宋体" w:hAnsi="宋体"/>
          <w:sz w:val="24"/>
        </w:rPr>
      </w:pPr>
      <w:r>
        <w:rPr>
          <w:rFonts w:ascii="宋体" w:hAnsi="宋体"/>
          <w:sz w:val="24"/>
        </w:rPr>
        <w:t xml:space="preserve">中标通知书；</w:t>
      </w:r>
      <w:r/>
    </w:p>
    <w:p>
      <w:pPr>
        <w:numPr>
          <w:ilvl w:val="0"/>
          <w:numId w:val="4"/>
        </w:numPr>
        <w:ind w:firstLine="480"/>
        <w:keepLines w:val="0"/>
        <w:pageBreakBefore w:val="0"/>
        <w:spacing w:line="360" w:lineRule="auto"/>
        <w:widowControl w:val="off"/>
        <w:rPr>
          <w:rFonts w:hint="eastAsia" w:ascii="宋体" w:hAnsi="宋体"/>
          <w:sz w:val="24"/>
        </w:rPr>
      </w:pPr>
      <w:r>
        <w:rPr>
          <w:rFonts w:ascii="宋体" w:hAnsi="宋体"/>
          <w:sz w:val="24"/>
        </w:rPr>
        <w:t xml:space="preserve">甲乙双方商定的其他文件等。</w:t>
      </w:r>
      <w:r/>
    </w:p>
    <w:p>
      <w:pPr>
        <w:ind w:firstLine="482"/>
        <w:jc w:val="left"/>
        <w:keepLines w:val="0"/>
        <w:pageBreakBefore w:val="0"/>
        <w:spacing w:line="360" w:lineRule="auto"/>
        <w:widowControl w:val="off"/>
        <w:rPr>
          <w:rFonts w:hint="eastAsia" w:ascii="宋体" w:hAnsi="宋体"/>
          <w:b/>
          <w:bCs/>
          <w:sz w:val="24"/>
        </w:rPr>
      </w:pPr>
      <w:r>
        <w:rPr>
          <w:rFonts w:hint="eastAsia" w:ascii="宋体" w:hAnsi="宋体"/>
          <w:b/>
          <w:bCs/>
          <w:sz w:val="24"/>
        </w:rPr>
        <w:t xml:space="preserve">第三条、合同金额</w:t>
      </w:r>
      <w:r/>
    </w:p>
    <w:p>
      <w:pPr>
        <w:ind w:firstLine="960"/>
        <w:keepLines w:val="0"/>
        <w:pageBreakBefore w:val="0"/>
        <w:spacing w:line="360" w:lineRule="auto"/>
        <w:widowControl w:val="off"/>
        <w:rPr>
          <w:rFonts w:hint="eastAsia"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p>
    <w:p>
      <w:pPr>
        <w:ind w:firstLine="482"/>
        <w:keepLines w:val="0"/>
        <w:pageBreakBefore w:val="0"/>
        <w:spacing w:line="360" w:lineRule="auto"/>
        <w:widowControl w:val="off"/>
        <w:rPr>
          <w:rFonts w:hint="eastAsia" w:ascii="宋体" w:hAnsi="宋体"/>
          <w:b/>
          <w:sz w:val="24"/>
        </w:rPr>
      </w:pPr>
      <w:r>
        <w:rPr>
          <w:rFonts w:hint="eastAsia" w:ascii="宋体" w:hAnsi="宋体"/>
          <w:b/>
          <w:sz w:val="24"/>
        </w:rPr>
        <w:t xml:space="preserve">第四条、支付方式</w:t>
      </w:r>
      <w:r/>
    </w:p>
    <w:p>
      <w:pPr>
        <w:pStyle w:val="891"/>
        <w:ind w:firstLine="560"/>
        <w:jc w:val="left"/>
        <w:keepLines w:val="0"/>
        <w:pageBreakBefore w:val="0"/>
        <w:spacing w:line="360" w:lineRule="auto"/>
        <w:widowControl w:val="off"/>
        <w:tabs>
          <w:tab w:val="left" w:pos="0" w:leader="none"/>
          <w:tab w:val="left" w:pos="3165" w:leader="none"/>
          <w:tab w:val="center" w:pos="4153" w:leader="none"/>
        </w:tabs>
        <w:rPr>
          <w:rFonts w:hint="eastAsia" w:asciiTheme="minorEastAsia" w:hAnsiTheme="minorEastAsia" w:eastAsiaTheme="minorEastAsia" w:cstheme="minorEastAsia"/>
          <w:color w:val="auto"/>
          <w:sz w:val="24"/>
          <w:szCs w:val="24"/>
          <w:highlight w:val="none"/>
          <w:lang w:bidi="ar"/>
        </w:rPr>
      </w:pPr>
      <w:r/>
      <w:bookmarkStart w:id="111" w:name="_Hlk192490198"/>
      <w:r>
        <w:rPr>
          <w:rFonts w:hint="eastAsia" w:asciiTheme="minorEastAsia" w:hAnsiTheme="minorEastAsia" w:eastAsiaTheme="minorEastAsia" w:cstheme="minorEastAsia"/>
          <w:color w:val="auto"/>
          <w:sz w:val="24"/>
          <w:szCs w:val="24"/>
          <w:highlight w:val="none"/>
          <w:lang w:bidi="ar"/>
        </w:rPr>
        <w:t xml:space="preserve">付款方式：合同签定后7日内支付合同总价的30%作为预付款（中标人须提供合同总价30%的</w:t>
      </w:r>
      <w:r>
        <w:rPr>
          <w:rFonts w:hint="eastAsia" w:asciiTheme="minorEastAsia" w:hAnsiTheme="minorEastAsia" w:eastAsiaTheme="minorEastAsia" w:cstheme="minorEastAsia"/>
          <w:color w:val="auto"/>
          <w:sz w:val="24"/>
          <w:szCs w:val="24"/>
          <w:highlight w:val="none"/>
          <w:lang w:val="en-US" w:eastAsia="zh-CN" w:bidi="ar"/>
        </w:rPr>
        <w:t xml:space="preserve">预付款</w:t>
      </w:r>
      <w:r>
        <w:rPr>
          <w:rFonts w:hint="eastAsia" w:asciiTheme="minorEastAsia" w:hAnsiTheme="minorEastAsia" w:eastAsiaTheme="minorEastAsia" w:cstheme="minorEastAsia"/>
          <w:color w:val="auto"/>
          <w:sz w:val="24"/>
          <w:szCs w:val="24"/>
          <w:highlight w:val="none"/>
          <w:lang w:bidi="ar"/>
        </w:rPr>
        <w:t xml:space="preserve">银行保函），</w:t>
      </w:r>
      <w:bookmarkEnd w:id="111"/>
      <w:r>
        <w:rPr>
          <w:rFonts w:hint="eastAsia" w:asciiTheme="minorEastAsia" w:hAnsiTheme="minorEastAsia" w:eastAsiaTheme="minorEastAsia" w:cstheme="minorEastAsia"/>
          <w:color w:val="auto"/>
          <w:sz w:val="24"/>
          <w:szCs w:val="24"/>
          <w:highlight w:val="none"/>
          <w:lang w:val="en-US" w:eastAsia="zh-CN" w:bidi="ar"/>
        </w:rPr>
        <w:t xml:space="preserve">货物</w:t>
      </w:r>
      <w:r>
        <w:rPr>
          <w:rFonts w:hint="eastAsia" w:asciiTheme="minorEastAsia" w:hAnsiTheme="minorEastAsia" w:eastAsiaTheme="minorEastAsia" w:cstheme="minorEastAsia"/>
          <w:color w:val="auto"/>
          <w:sz w:val="24"/>
          <w:szCs w:val="24"/>
          <w:highlight w:val="none"/>
          <w:lang w:bidi="ar"/>
        </w:rPr>
        <w:t xml:space="preserve">全部完成且</w:t>
      </w:r>
      <w:r>
        <w:rPr>
          <w:rFonts w:hint="eastAsia" w:asciiTheme="minorEastAsia" w:hAnsiTheme="minorEastAsia" w:eastAsiaTheme="minorEastAsia" w:cstheme="minorEastAsia"/>
          <w:color w:val="auto"/>
          <w:sz w:val="24"/>
          <w:szCs w:val="24"/>
          <w:highlight w:val="none"/>
          <w:lang w:val="en-US" w:eastAsia="zh-CN" w:bidi="ar"/>
        </w:rPr>
        <w:t xml:space="preserve">经采购人验收</w:t>
      </w:r>
      <w:r>
        <w:rPr>
          <w:rFonts w:hint="eastAsia" w:asciiTheme="minorEastAsia" w:hAnsiTheme="minorEastAsia" w:eastAsiaTheme="minorEastAsia" w:cstheme="minorEastAsia"/>
          <w:color w:val="auto"/>
          <w:sz w:val="24"/>
          <w:szCs w:val="24"/>
          <w:highlight w:val="none"/>
          <w:lang w:bidi="ar"/>
        </w:rPr>
        <w:t xml:space="preserve">合格后付至合同</w:t>
      </w:r>
      <w:r>
        <w:rPr>
          <w:rFonts w:hint="eastAsia" w:asciiTheme="minorEastAsia" w:hAnsiTheme="minorEastAsia" w:eastAsiaTheme="minorEastAsia" w:cstheme="minorEastAsia"/>
          <w:color w:val="auto"/>
          <w:sz w:val="24"/>
          <w:szCs w:val="24"/>
          <w:highlight w:val="none"/>
          <w:lang w:val="en-US" w:eastAsia="zh-CN" w:bidi="ar"/>
        </w:rPr>
        <w:t xml:space="preserve">金额</w:t>
      </w:r>
      <w:r>
        <w:rPr>
          <w:rFonts w:hint="eastAsia" w:asciiTheme="minorEastAsia" w:hAnsiTheme="minorEastAsia" w:eastAsiaTheme="minorEastAsia" w:cstheme="minorEastAsia"/>
          <w:color w:val="auto"/>
          <w:sz w:val="24"/>
          <w:szCs w:val="24"/>
          <w:highlight w:val="none"/>
          <w:lang w:bidi="ar"/>
        </w:rPr>
        <w:t xml:space="preserve">的50%；</w:t>
      </w:r>
      <w:r>
        <w:rPr>
          <w:rFonts w:hint="eastAsia" w:asciiTheme="minorEastAsia" w:hAnsiTheme="minorEastAsia" w:eastAsiaTheme="minorEastAsia" w:cstheme="minorEastAsia"/>
          <w:color w:val="auto"/>
          <w:sz w:val="24"/>
          <w:szCs w:val="24"/>
          <w:highlight w:val="none"/>
          <w:lang w:val="en-US" w:eastAsia="zh-CN" w:bidi="ar"/>
        </w:rPr>
        <w:t xml:space="preserve">待项目验收合格满一年后付</w:t>
      </w:r>
      <w:r>
        <w:rPr>
          <w:rFonts w:hint="eastAsia" w:asciiTheme="minorEastAsia" w:hAnsiTheme="minorEastAsia" w:eastAsiaTheme="minorEastAsia" w:cstheme="minorEastAsia"/>
          <w:color w:val="auto"/>
          <w:sz w:val="24"/>
          <w:szCs w:val="24"/>
          <w:highlight w:val="none"/>
          <w:lang w:bidi="ar"/>
        </w:rPr>
        <w:t xml:space="preserve">审计价的80%；</w:t>
      </w:r>
      <w:r>
        <w:rPr>
          <w:rFonts w:hint="eastAsia" w:asciiTheme="minorEastAsia" w:hAnsiTheme="minorEastAsia" w:eastAsiaTheme="minorEastAsia" w:cstheme="minorEastAsia"/>
          <w:color w:val="auto"/>
          <w:sz w:val="24"/>
          <w:szCs w:val="24"/>
          <w:highlight w:val="none"/>
          <w:lang w:val="en-US" w:eastAsia="zh-CN" w:bidi="ar"/>
        </w:rPr>
        <w:t xml:space="preserve">余款待项目验收合格</w:t>
      </w:r>
      <w:r>
        <w:rPr>
          <w:rFonts w:hint="eastAsia" w:asciiTheme="minorEastAsia" w:hAnsiTheme="minorEastAsia" w:eastAsiaTheme="minorEastAsia" w:cstheme="minorEastAsia"/>
          <w:color w:val="auto"/>
          <w:sz w:val="24"/>
          <w:szCs w:val="24"/>
          <w:highlight w:val="none"/>
          <w:lang w:bidi="ar"/>
        </w:rPr>
        <w:t xml:space="preserve">满两年</w:t>
      </w:r>
      <w:r>
        <w:rPr>
          <w:rFonts w:hint="eastAsia" w:asciiTheme="minorEastAsia" w:hAnsiTheme="minorEastAsia" w:eastAsiaTheme="minorEastAsia" w:cstheme="minorEastAsia"/>
          <w:color w:val="auto"/>
          <w:sz w:val="24"/>
          <w:szCs w:val="24"/>
          <w:highlight w:val="none"/>
          <w:lang w:val="en-US" w:eastAsia="zh-CN" w:bidi="ar"/>
        </w:rPr>
        <w:t xml:space="preserve">后按审计价一次性</w:t>
      </w:r>
      <w:r>
        <w:rPr>
          <w:rFonts w:hint="eastAsia" w:asciiTheme="minorEastAsia" w:hAnsiTheme="minorEastAsia" w:eastAsiaTheme="minorEastAsia" w:cstheme="minorEastAsia"/>
          <w:b w:val="0"/>
          <w:bCs w:val="0"/>
          <w:color w:val="auto"/>
          <w:sz w:val="24"/>
          <w:szCs w:val="24"/>
          <w:highlight w:val="none"/>
          <w:lang w:bidi="ar"/>
        </w:rPr>
        <w:t xml:space="preserve">结清</w:t>
      </w:r>
      <w:r>
        <w:rPr>
          <w:rFonts w:hint="eastAsia" w:asciiTheme="minorEastAsia" w:hAnsiTheme="minorEastAsia" w:eastAsiaTheme="minorEastAsia" w:cstheme="minorEastAsia"/>
          <w:color w:val="auto"/>
          <w:sz w:val="24"/>
          <w:szCs w:val="24"/>
          <w:highlight w:val="none"/>
          <w:lang w:bidi="ar"/>
        </w:rPr>
        <w:t xml:space="preserve">。（结算时，投标人须提供税务发票。收到发票后10个工作日支付）</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当采购数量与实际使用数量不一致时，乙方应根据实际使用量供货，合同的最终结算金额按实际使用量乘以成交单价进行计算。</w:t>
      </w:r>
      <w:r/>
    </w:p>
    <w:p>
      <w:pPr>
        <w:ind w:firstLine="482"/>
        <w:keepLines w:val="0"/>
        <w:pageBreakBefore w:val="0"/>
        <w:spacing w:line="360" w:lineRule="auto"/>
        <w:widowControl w:val="off"/>
        <w:rPr>
          <w:rFonts w:hint="eastAsia" w:ascii="宋体" w:hAnsi="宋体"/>
          <w:b/>
          <w:sz w:val="24"/>
        </w:rPr>
      </w:pPr>
      <w:r>
        <w:rPr>
          <w:rFonts w:hint="eastAsia" w:ascii="宋体" w:hAnsi="宋体"/>
          <w:b/>
          <w:sz w:val="24"/>
        </w:rPr>
        <w:t xml:space="preserve">第五条、履约保证金</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1.乙方交纳合同金额的10%人民币_________元作为本合同的履约保证金。</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2.合同履行结束后，甲方应及时退还交纳的履约保证金。</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3.履约保证金的退还：</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3.1方式：退还至投标人缴纳履约保证金的账户。如为保函，在到期时自行失效。</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3.2时间：验收合格且采购人收到发票后10个工作日内。</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3.3条件：按合同要求全部履约完成并经采购人验收合格，且采购人收到中标人出具的发票。</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3.4不予退还情形：</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除不可抗力情况外，投标人出现下列情形之一的，其履约保证金，</w:t>
      </w:r>
      <w:r>
        <w:rPr>
          <w:rFonts w:hint="eastAsia" w:ascii="宋体" w:hAnsi="宋体" w:cs="宋体"/>
          <w:color w:val="ff0000"/>
          <w:sz w:val="24"/>
          <w:szCs w:val="24"/>
          <w:lang w:eastAsia="zh-CN"/>
        </w:rPr>
        <w:t xml:space="preserve">采购人</w:t>
      </w:r>
      <w:r>
        <w:rPr>
          <w:rFonts w:hint="eastAsia" w:ascii="宋体" w:hAnsi="宋体" w:cs="宋体"/>
          <w:color w:val="ff0000"/>
          <w:sz w:val="24"/>
          <w:szCs w:val="24"/>
        </w:rPr>
        <w:t xml:space="preserve">将视情节决定不予退还或部分不予退还。</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（1）中标人无正当理由拒绝签订合同的，或者在签订合同时向采购人提出附加条件或者更改合同实质性内容要求的；</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（2）中标人不履行与采购人订立的合同的；</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（3）中标人所供货物或服务不符合招标文件规定要求的；</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（4）中标人采取欺骗、弄虚作假方式投标的或与其它投标人串通投标的；</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（5）中标人将合同内容转包、违法分包的；</w:t>
      </w:r>
      <w:r/>
    </w:p>
    <w:p>
      <w:pPr>
        <w:ind w:firstLine="480"/>
        <w:keepLines w:val="0"/>
        <w:pageBreakBefore w:val="0"/>
        <w:spacing w:line="360" w:lineRule="auto"/>
        <w:widowControl w:val="off"/>
        <w:rPr>
          <w:rFonts w:hint="eastAsia" w:ascii="宋体" w:hAnsi="宋体" w:cs="宋体"/>
          <w:color w:val="ff0000"/>
          <w:sz w:val="24"/>
          <w:szCs w:val="24"/>
        </w:rPr>
      </w:pPr>
      <w:r>
        <w:rPr>
          <w:rFonts w:hint="eastAsia" w:ascii="宋体" w:hAnsi="宋体" w:cs="宋体"/>
          <w:color w:val="ff0000"/>
          <w:sz w:val="24"/>
          <w:szCs w:val="24"/>
        </w:rPr>
        <w:t xml:space="preserve">（6）中标人故意捏造事实或伪造证明材料，进行虚假恶意投诉或反映的。</w:t>
      </w:r>
      <w:r/>
    </w:p>
    <w:p>
      <w:pPr>
        <w:ind w:firstLine="480"/>
        <w:keepLines w:val="0"/>
        <w:pageBreakBefore w:val="0"/>
        <w:spacing w:line="360" w:lineRule="auto"/>
        <w:widowControl w:val="off"/>
        <w:rPr>
          <w:rFonts w:hint="eastAsia" w:ascii="宋体" w:hAnsi="宋体"/>
          <w:color w:val="000000"/>
          <w:sz w:val="24"/>
          <w:szCs w:val="24"/>
        </w:rPr>
      </w:pPr>
      <w:r>
        <w:rPr>
          <w:rFonts w:hint="eastAsia" w:ascii="宋体" w:hAnsi="宋体" w:cs="宋体"/>
          <w:color w:val="ff0000"/>
          <w:sz w:val="24"/>
          <w:szCs w:val="24"/>
        </w:rPr>
        <w:t xml:space="preserve">3.5逾期退还的违约责任：采购人逾期无故未退还履约保证金的，按中国人民银行同期贷款基准利率上浮20%后的利率支付超期资金占用费，但因供应商自身原因导致无法及时退还的除外。 </w:t>
      </w:r>
      <w:r/>
    </w:p>
    <w:p>
      <w:pPr>
        <w:ind w:firstLine="482"/>
        <w:keepLines w:val="0"/>
        <w:pageBreakBefore w:val="0"/>
        <w:spacing w:line="360" w:lineRule="auto"/>
        <w:widowControl w:val="off"/>
        <w:rPr>
          <w:rFonts w:hint="eastAsia" w:ascii="宋体" w:hAnsi="宋体"/>
          <w:b/>
          <w:sz w:val="24"/>
        </w:rPr>
      </w:pPr>
      <w:r>
        <w:rPr>
          <w:rFonts w:hint="eastAsia" w:ascii="宋体" w:hAnsi="宋体"/>
          <w:b/>
          <w:sz w:val="24"/>
        </w:rPr>
        <w:t xml:space="preserve">第六条. 本合同涉及的本项目成果的所有权、使用权和著作权归甲方所有。</w:t>
      </w:r>
      <w:r/>
    </w:p>
    <w:p>
      <w:pPr>
        <w:ind w:firstLine="482"/>
        <w:keepLines w:val="0"/>
        <w:pageBreakBefore w:val="0"/>
        <w:spacing w:line="360" w:lineRule="auto"/>
        <w:widowControl w:val="off"/>
        <w:rPr>
          <w:rFonts w:hint="eastAsia" w:ascii="宋体" w:hAnsi="宋体"/>
          <w:b/>
          <w:bCs/>
          <w:sz w:val="24"/>
        </w:rPr>
      </w:pPr>
      <w:r>
        <w:rPr>
          <w:rFonts w:hint="eastAsia" w:ascii="宋体" w:hAnsi="宋体"/>
          <w:b/>
          <w:bCs/>
          <w:sz w:val="24"/>
        </w:rPr>
        <w:t xml:space="preserve">第七条、不可抗力</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keepLines w:val="0"/>
        <w:pageBreakBefore w:val="0"/>
        <w:spacing w:line="360" w:lineRule="auto"/>
        <w:widowControl w:val="off"/>
        <w:rPr>
          <w:rFonts w:hint="eastAsia" w:ascii="宋体" w:hAnsi="宋体"/>
          <w:b/>
          <w:bCs/>
          <w:sz w:val="24"/>
        </w:rPr>
      </w:pPr>
      <w:r>
        <w:rPr>
          <w:rFonts w:hint="eastAsia" w:ascii="宋体" w:hAnsi="宋体"/>
          <w:b/>
          <w:bCs/>
          <w:sz w:val="24"/>
        </w:rPr>
        <w:t xml:space="preserve">第八条、税费</w:t>
      </w:r>
      <w:r/>
    </w:p>
    <w:p>
      <w:pPr>
        <w:ind w:firstLine="480"/>
        <w:keepLines w:val="0"/>
        <w:pageBreakBefore w:val="0"/>
        <w:spacing w:line="360" w:lineRule="auto"/>
        <w:widowControl w:val="off"/>
        <w:rPr>
          <w:rFonts w:hint="eastAsia" w:ascii="宋体" w:hAnsi="宋体"/>
          <w:sz w:val="24"/>
        </w:rPr>
      </w:pPr>
      <w:r>
        <w:rPr>
          <w:rFonts w:hint="eastAsia" w:ascii="宋体" w:hAnsi="宋体"/>
          <w:sz w:val="24"/>
        </w:rPr>
        <w:t xml:space="preserve">与履行本合同有关的一切税费，由乙方承担。</w:t>
      </w:r>
      <w:r/>
    </w:p>
    <w:p>
      <w:pPr>
        <w:pStyle w:val="683"/>
        <w:ind w:left="412" w:hanging="412"/>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b/>
          <w:bCs/>
          <w:sz w:val="24"/>
        </w:rPr>
        <w:t xml:space="preserve">第九条、</w:t>
      </w:r>
      <w:r>
        <w:rPr>
          <w:rFonts w:hint="eastAsia" w:ascii="宋体" w:hAnsi="宋体" w:eastAsia="宋体" w:cs="宋体"/>
          <w:b/>
          <w:color w:val="000000"/>
        </w:rPr>
        <w:t xml:space="preserve">质量保修范围和保修期及售后服务</w:t>
      </w:r>
      <w:r/>
    </w:p>
    <w:p>
      <w:pPr>
        <w:pStyle w:val="683"/>
        <w:ind w:left="410" w:hanging="41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10.1 乙方应按招标文件规定的货物性能、技术要求、质量标准向甲方提供未经使用的全新产品。</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683"/>
        <w:ind w:firstLine="42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⑴更换：由乙方承担所发生的全部费用。</w:t>
      </w:r>
      <w:r/>
    </w:p>
    <w:p>
      <w:pPr>
        <w:pStyle w:val="683"/>
        <w:ind w:firstLine="42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⑵贬值处理：由甲乙双方合议定价。</w:t>
      </w:r>
      <w:r/>
    </w:p>
    <w:p>
      <w:pPr>
        <w:pStyle w:val="683"/>
        <w:ind w:left="42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10.3 如在使用过程中发生质量问题，乙方在接到甲方通知后在</w:t>
      </w:r>
      <w:r>
        <w:rPr>
          <w:rFonts w:hint="eastAsia" w:ascii="宋体" w:hAnsi="宋体" w:eastAsia="宋体" w:cs="宋体"/>
          <w:color w:val="000000"/>
          <w:u w:val="single"/>
        </w:rPr>
        <w:t xml:space="preserve">  </w:t>
      </w:r>
      <w:r>
        <w:rPr>
          <w:rFonts w:hint="eastAsia" w:ascii="宋体" w:hAnsi="宋体" w:eastAsia="宋体" w:cs="宋体"/>
          <w:color w:val="000000"/>
        </w:rPr>
        <w:t xml:space="preserve">小时内到达甲方现场。</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10.4 在质保期内，乙方应对货物出现的质量及安全问题负责处理解决并承担一切费用。</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年（自交货验收合格之日起计），因人为因素出现的故障不在免费保修范围内。超过保修期的机器设备，终生维修，维修时只收部件成本费。</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十一、项目验收</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11.1 甲方依法组织履约验收工作。</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11.3 对于实际使用人和甲方分离的项目，甲方邀请实际使用人参与验收。</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十二、货物的包装、发运及运输</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12.2 使用说明书、质量检验证明书、随配附件和工具以及清单一并附于货物内。</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12.3 乙方在货物发运手续办理完毕后24小时内或货到甲方48小时前通知甲方，以准备接货。</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12.4 货物在交付甲方前发生的风险均由乙方负责。</w:t>
      </w:r>
      <w:r/>
    </w:p>
    <w:p>
      <w:pPr>
        <w:pStyle w:val="683"/>
        <w:ind w:right="26"/>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十三、违约责任</w:t>
      </w:r>
      <w:r/>
    </w:p>
    <w:p>
      <w:pPr>
        <w:pStyle w:val="683"/>
        <w:ind w:left="480" w:hanging="480"/>
        <w:jc w:val="both"/>
        <w:keepLines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13.1甲方无正当理由拒收货物的，甲方向乙方偿付拒收货款总值的百分之五违约金。</w:t>
      </w:r>
      <w:r/>
    </w:p>
    <w:p>
      <w:pPr>
        <w:pStyle w:val="683"/>
        <w:ind w:left="480" w:hanging="480"/>
        <w:jc w:val="both"/>
        <w:keepLines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13.2甲方无故逾期验收和办理货款支付手续的,甲方应按逾期付款总额每日千分之六向乙方支付违约金。</w:t>
      </w:r>
      <w:r/>
    </w:p>
    <w:p>
      <w:pPr>
        <w:pStyle w:val="683"/>
        <w:ind w:left="480" w:hanging="480"/>
        <w:jc w:val="both"/>
        <w:keepLines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十四、不可抗力事件处理</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14.2 不可抗力事件发生后，应立即通知对方，并寄送有关权威机构出具的证明。</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14.3 不可抗力事件延续120天以上，双方应通过友好协商，确定是否继续履行合同。</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十五、解决争议的方法</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b/>
          <w:color w:val="000000"/>
        </w:rPr>
        <w:t xml:space="preserve">十六、合同生效及其它</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16.1 合同经双方法定代表人或授权委托代表人签字并加盖单位公章后生效。</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16.2本合同未尽事宜，遵照《民法典》、《政府采购法》有关条文执行。</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16.3 本合同正本一式五份，具有同等法律效力，甲方、乙方各执二份、代理公司执一份。</w:t>
      </w:r>
      <w:r/>
    </w:p>
    <w:p>
      <w:pPr>
        <w:pStyle w:val="683"/>
        <w:ind w:left="480" w:hanging="48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  甲方：                乙方： </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  地址：                地址： </w:t>
      </w:r>
      <w:r/>
    </w:p>
    <w:p>
      <w:pPr>
        <w:pStyle w:val="683"/>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  法定代表人或授权代表：        法定代表人或授权代表：</w:t>
      </w:r>
      <w:r/>
    </w:p>
    <w:p>
      <w:pPr>
        <w:pStyle w:val="683"/>
        <w:ind w:firstLine="240"/>
        <w:jc w:val="both"/>
        <w:keepLines w:val="0"/>
        <w:pageBreakBefore w:val="0"/>
        <w:spacing w:beforeAutospacing="0" w:afterAutospacing="0" w:line="360" w:lineRule="auto"/>
        <w:widowControl w:val="off"/>
        <w:rPr>
          <w:rFonts w:hint="eastAsia" w:ascii="宋体" w:hAnsi="宋体" w:eastAsia="宋体"/>
        </w:rPr>
      </w:pPr>
      <w:r>
        <w:rPr>
          <w:rFonts w:hint="eastAsia" w:ascii="宋体" w:hAnsi="宋体" w:eastAsia="宋体" w:cs="宋体"/>
          <w:color w:val="000000"/>
        </w:rPr>
        <w:t xml:space="preserve">联系电话：              联系电话：          </w:t>
      </w:r>
      <w:r/>
    </w:p>
    <w:p>
      <w:pPr>
        <w:pStyle w:val="683"/>
        <w:jc w:val="center"/>
        <w:spacing w:before="120" w:beforeAutospacing="0" w:after="120" w:afterAutospacing="0" w:line="0" w:lineRule="atLeast"/>
        <w:rPr>
          <w:rFonts w:hint="eastAsia" w:ascii="宋体" w:hAnsi="宋体" w:eastAsia="宋体"/>
        </w:rPr>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683"/>
        <w:jc w:val="center"/>
        <w:spacing w:before="120" w:beforeAutospacing="0" w:after="120" w:afterAutospacing="0" w:line="0" w:lineRule="atLeast"/>
        <w:rPr>
          <w:rFonts w:hint="eastAsia" w:ascii="宋体" w:hAnsi="宋体" w:eastAsia="宋体"/>
        </w:rPr>
      </w:pPr>
      <w:r>
        <w:rPr>
          <w:rFonts w:ascii="宋体" w:hAnsi="宋体" w:eastAsia="宋体"/>
        </w:rPr>
        <w:t xml:space="preserve"> </w:t>
      </w:r>
      <w:r/>
    </w:p>
    <w:p>
      <w:pPr>
        <w:pStyle w:val="683"/>
        <w:ind w:firstLine="480"/>
        <w:jc w:val="both"/>
        <w:spacing w:before="120" w:beforeAutospacing="0" w:after="120" w:afterAutospacing="0" w:line="0" w:lineRule="atLeast"/>
      </w:pPr>
      <w:r>
        <w:rPr>
          <w:rFonts w:hint="eastAsia" w:ascii="宋体" w:hAnsi="宋体" w:eastAsia="宋体" w:cs="宋体"/>
          <w:color w:val="000000"/>
        </w:rPr>
        <w:t xml:space="preserve">         签订日期：      年    月   日</w:t>
      </w:r>
      <w:r>
        <w:rPr>
          <w:rFonts w:hint="eastAsia" w:ascii="宋体" w:hAnsi="宋体" w:eastAsia="宋体" w:cs="黑体"/>
          <w:color w:val="000000"/>
          <w:sz w:val="44"/>
          <w:szCs w:val="44"/>
        </w:rPr>
        <w:br w:type="page" w:clear="all"/>
      </w:r>
      <w:r/>
    </w:p>
    <w:p>
      <w:pPr>
        <w:numPr>
          <w:ilvl w:val="0"/>
          <w:numId w:val="5"/>
        </w:numPr>
        <w:jc w:val="center"/>
        <w:pageBreakBefore/>
        <w:spacing w:line="500" w:lineRule="exact"/>
        <w:rPr>
          <w:rFonts w:hint="eastAsia" w:ascii="黑体" w:hAnsi="Arial" w:eastAsia="黑体"/>
          <w:color w:val="000000"/>
          <w:sz w:val="44"/>
          <w:szCs w:val="44"/>
          <w:lang w:val="en-US" w:eastAsia="zh-CN"/>
        </w:rPr>
      </w:pPr>
      <w:r/>
      <w:bookmarkStart w:id="112" w:name="_Hlk190159833"/>
      <w:r>
        <w:rPr>
          <w:rFonts w:hint="eastAsia" w:ascii="黑体" w:hAnsi="Arial" w:eastAsia="黑体"/>
          <w:color w:val="000000"/>
          <w:sz w:val="44"/>
          <w:szCs w:val="44"/>
          <w:lang w:val="en-US" w:eastAsia="zh-CN"/>
        </w:rPr>
        <w:t xml:space="preserve">技术参数</w:t>
      </w:r>
      <w:r/>
    </w:p>
    <w:p>
      <w:pPr>
        <w:pStyle w:val="681"/>
        <w:rPr>
          <w:rFonts w:hint="default"/>
          <w:b/>
          <w:bCs/>
          <w:lang w:val="en-US" w:eastAsia="zh-CN"/>
        </w:rPr>
      </w:pPr>
      <w:r>
        <w:rPr>
          <w:rFonts w:hint="eastAsia"/>
          <w:b/>
          <w:bCs/>
          <w:lang w:val="en-US" w:eastAsia="zh-CN"/>
        </w:rPr>
        <w:t xml:space="preserve">一、项目技术参数</w:t>
      </w:r>
      <w:r/>
    </w:p>
    <w:p>
      <w:pPr>
        <w:rPr>
          <w:rFonts w:hint="eastAsia"/>
          <w:lang w:val="en-US" w:eastAsia="zh-CN"/>
        </w:rPr>
      </w:pPr>
      <w:r>
        <w:rPr>
          <w:rFonts w:hint="eastAsia"/>
          <w:lang w:val="en-US" w:eastAsia="zh-CN"/>
        </w:rPr>
      </w:r>
      <w:r/>
    </w:p>
    <w:tbl>
      <w:tblPr>
        <w:tblStyle w:val="653"/>
        <w:tblW w:w="9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239"/>
        <w:gridCol w:w="723"/>
        <w:gridCol w:w="266"/>
        <w:gridCol w:w="650"/>
        <w:gridCol w:w="4950"/>
        <w:gridCol w:w="784"/>
        <w:gridCol w:w="13"/>
        <w:gridCol w:w="863"/>
        <w:gridCol w:w="1"/>
      </w:tblGrid>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pStyle w:val="681"/>
              <w:numPr>
                <w:ilvl w:val="0"/>
                <w:numId w:val="0"/>
              </w:numPr>
              <w:keepLines w:val="0"/>
              <w:keepNext w:val="0"/>
              <w:pageBreakBefore w:val="0"/>
              <w:spacing w:after="0"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一、综合布线系统</w:t>
            </w:r>
            <w:r/>
          </w:p>
        </w:tc>
      </w:tr>
      <w:tr>
        <w:trPr>
          <w:gridAfter w:val="1"/>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数量</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一、工作区</w:t>
            </w:r>
            <w:r/>
          </w:p>
        </w:tc>
      </w:tr>
      <w:tr>
        <w:trPr>
          <w:gridAfter w:val="1"/>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 RJ45插座模块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1、符合 TIA/EIA 568B.2-1 和 ISO/IEC 11801 标准规定；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2、外壳采用优质阻燃聚碳酸脂材料，阻燃性能达到 UL94V-0 级别；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3、金针镀金，防止表面氧化，提高接触性能，支持主流端 180 度连接方式；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4、IDC 端子：磷青铜整体 50um 镀金；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、卡接线径：22-24AWG</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r>
      <w:tr>
        <w:trPr>
          <w:gridAfter w:val="1"/>
          <w:jc w:val="center"/>
          <w:trHeight w:val="1298"/>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六类水晶头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1、产品塑料采用进口 PC 塑料 GL 品牌，具备高密度、环保、阻燃、高韧性耐用，外观透明；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2、产品接触点采用高密度磷黄铜，三叉针脚设计稳定，针镀金处理抗氧化，镀金数为 50U；</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单位插座面板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1、采用阻燃聚碳酸脂材料，阻燃性能达到 UL94V-0 级别；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2、嵌入式单口面框，安装拆卸方便；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3、材料：面板材料为优质 PC</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4、面板规格为国际标准的 86*86mm，外观为圆角造型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5、面板带有透明标签管理区域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6、可安装超五类、六类和超五类屏蔽、六类屏蔽、超六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类屏蔽RJ45 模块、RJ11 模块和 CATV 模块</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r>
      <w:tr>
        <w:trPr>
          <w:gridAfter w:val="1"/>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双位插座面板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1、采用阻燃聚碳酸脂材料，阻燃性能达到 UL94V-0 级别；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2、嵌入式双口面框，安装拆卸方便；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3、材料：面板材料为优质 PC</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4、面板规格为国际标准的 86*86mm，外观为圆角造型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5、面板带有透明标签管理区域</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6、可安装超五类、六类和超五类屏蔽、六类屏蔽、超六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类屏蔽RJ45 模块、RJ11 模块和 CATV 模块</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r>
      <w:tr>
        <w:trPr>
          <w:gridAfter w:val="1"/>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二位地插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w:t>
            </w:r>
            <w:r>
              <w:rPr>
                <w:rFonts w:hint="eastAsia" w:ascii="宋体" w:hAnsi="宋体" w:cs="宋体"/>
                <w:i w:val="0"/>
                <w:iCs w:val="0"/>
                <w:color w:val="auto"/>
                <w:sz w:val="20"/>
                <w:szCs w:val="20"/>
                <w:highlight w:val="none"/>
                <w:u w:val="none"/>
                <w:lang w:val="en-US" w:eastAsia="zh-CN" w:bidi="ar"/>
              </w:rPr>
              <w:t xml:space="preserve">约</w:t>
            </w:r>
            <w:r>
              <w:rPr>
                <w:rFonts w:hint="eastAsia" w:ascii="宋体" w:hAnsi="宋体" w:eastAsia="宋体" w:cs="宋体"/>
                <w:i w:val="0"/>
                <w:iCs w:val="0"/>
                <w:color w:val="auto"/>
                <w:sz w:val="20"/>
                <w:szCs w:val="20"/>
                <w:highlight w:val="none"/>
                <w:u w:val="none"/>
                <w:lang w:val="en-US" w:eastAsia="zh-CN" w:bidi="ar"/>
              </w:rPr>
              <w:t xml:space="preserve">120:*120（mm）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2、安装方式：暗装</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3、2mm 厚标准底盒，表面防锈处理，抗压能力强，耐腐蚀性好</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4、最多可支持 3 个非屏蔽信息模块安装</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r>
      <w:tr>
        <w:trPr>
          <w:gridAfter w:val="1"/>
          <w:jc w:val="center"/>
          <w:trHeight w:val="1176"/>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 类RJ45-RJ45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非屏蔽跳线(2米/568B)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6"/>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采用高性能的多股线缆和先进的制造技术，制造工艺采用整体塑模成型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2、可提供 568A 及 568B 两种接线规格跳线功能参数：1.护套材料：PVC</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、护套颜色：灰、红、蓝、黄、绿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、绝缘层材料：PE</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、导体线规：24AWG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、结构：十字骨架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、电缆外径：φ6.0±0.2 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、簧片镀金：50 微英寸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、单根导体直流电阻：≤9.0Ω/100m</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二、水平区</w:t>
            </w:r>
            <w:r/>
          </w:p>
        </w:tc>
      </w:tr>
      <w:tr>
        <w:trPr>
          <w:gridAfter w:val="1"/>
          <w:jc w:val="center"/>
          <w:trHeight w:val="44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 类 4 对 UTP 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1、无氧铜，整箱 305M；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2、支持千兆以太网搭建，同时支持即将到来的2.5G/5Gbps 网络需求，在特定环境下，可支持 10Gbps 传输速率；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3、精准四对独绞技术，精确到毫米级；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4、绞距控制紧密、精准，稳定抗干扰；全新环保 PVC/PE，结实耐用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5、结构：十字骨架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6、铜导体直径：φ0.57±0.02 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7、单根导体直流电阻：≤7.5Ω/100m at 20℃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8、直流电阻不平衡：≤2%(线对内两导体间)  ≤4%(线对与线对间)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9、绝缘电阻：≥5000MΩ·km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10、线对对地电容不平衡：≤160pF/100m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11、特性阻抗：100±15Ω</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12、安装温度： 0℃～50℃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13、工作温度：  -20℃～60℃</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12500</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三、管理区</w:t>
            </w:r>
            <w:r/>
          </w:p>
        </w:tc>
      </w:tr>
      <w:tr>
        <w:trPr>
          <w:gridAfter w:val="1"/>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7"/>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名称：30U 机柜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规格：宽600mm*深600mm*高1600mm </w:t>
            </w:r>
            <w:r/>
          </w:p>
          <w:p>
            <w:pPr>
              <w:numPr>
                <w:ilvl w:val="0"/>
                <w:numId w:val="0"/>
              </w:num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网络机柜标准：符合 ANSI/EIA RS-310-D、IEC60297-2、DIN41494： PART1 和 DIN41494：PART1 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预留对地安装孔和接地柱,装≥2 个风扇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材料：优质冷轧钢板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机柜表面处理：机柜的脱脂、防锈磷化、静电喷涂处理；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23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both"/>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24位 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安装板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 英寸设计，占机柜 1U 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2、安装板架体采用冷轧钢板，钢板经脱脂、酸洗、磷化和静电喷塑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3、安装板装配彩色模块后能在机柜内部通过模块的颜色来区分不同网段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4、安装板带有透明标签管理区域，方便端口信息管理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5、安装板后部具有可拆卸式理线杆，便于电缆固定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6、配线架可以安装超五类非屏蔽模块、六类非屏蔽模块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和语音模块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gridAfter w:val="1"/>
          <w:jc w:val="center"/>
          <w:trHeight w:val="1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 RJ45插座模块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8"/>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符合 ISO/IEC 11801 标准规定；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2、外壳采用优质阻燃聚碳酸脂材料，阻燃性能达到 UL94V-0 级别；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3、金针镀金，防止表面氧化，提高接触性能，支持主流端 180 度连接方式；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4、IDC 端子：磷青铜整体 50um 镀金；</w:t>
            </w:r>
            <w:r/>
          </w:p>
          <w:p>
            <w:pPr>
              <w:pStyle w:val="654"/>
              <w:numPr>
                <w:ilvl w:val="0"/>
                <w:numId w:val="0"/>
              </w:numPr>
              <w:rPr>
                <w:rFonts w:hint="default"/>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、卡接线径：22-24AWG；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r>
      <w:tr>
        <w:trPr>
          <w:gridAfter w:val="1"/>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 类 RJ45-RJ45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非屏蔽跳线(2米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568B)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1、采用高性能的多股线缆和先进的制造技术，制造工艺采用整体塑模成型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2、可提供 568A 及 568B 两种接线规格跳线功能参数：1.护套材料：PVC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、护套颜色：灰、红、蓝、黄、绿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、绝缘层材料：PE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、导体线规：24AWG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、结构：十字骨架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、电缆外径：φ6.0±0.2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、簧片镀金：50 微英寸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、单根导体直流电阻：≤9.0Ω/100m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r>
      <w:tr>
        <w:trPr>
          <w:gridAfter w:val="1"/>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1、开放的操作空间，手可以进入到线环内部进行理线，操作很方便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2、带圆弧的线环设计，更好的保护人手和线缆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3、碳钢，T 不低于 1.5 毫米，防静电喷塑处理；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4、1U 高度，结构紧凑；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5、架体材料厚度 冷轧钢板不低于 1.2mm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gridAfter w:val="1"/>
          <w:jc w:val="center"/>
          <w:trHeight w:val="3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9"/>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名称：12 口光纤配线架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规格：1U</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24芯LC 接口</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光纤配线架标准：ISO/IEC 11801:2002 Ed2.0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材料：材料采用厚度 1.2</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低碳钢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表面磨砂金属粉末涂层不易划伤，整套配备完善丰富的安装熔接安装配件。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性能：配线架中自带的尼龙自粘扎带光纤盘绕环可支持多余光纤并保持光纤的弯曲半径，带有2个直径为25</w:t>
            </w:r>
            <w:r>
              <w:rPr>
                <w:rFonts w:hint="eastAsia" w:ascii="宋体" w:hAnsi="宋体" w:cs="宋体"/>
                <w:i w:val="0"/>
                <w:iCs w:val="0"/>
                <w:color w:val="auto"/>
                <w:sz w:val="20"/>
                <w:szCs w:val="20"/>
                <w:highlight w:val="none"/>
                <w:u w:val="none"/>
                <w:lang w:val="en-US" w:eastAsia="zh-CN" w:bidi="ar"/>
              </w:rPr>
              <w:t xml:space="preserve">mm的</w:t>
            </w:r>
            <w:r>
              <w:rPr>
                <w:rFonts w:hint="eastAsia" w:ascii="宋体" w:hAnsi="宋体" w:eastAsia="宋体" w:cs="宋体"/>
                <w:i w:val="0"/>
                <w:iCs w:val="0"/>
                <w:color w:val="auto"/>
                <w:sz w:val="20"/>
                <w:szCs w:val="20"/>
                <w:highlight w:val="none"/>
                <w:u w:val="none"/>
                <w:lang w:val="en-US" w:eastAsia="zh-CN" w:bidi="ar"/>
              </w:rPr>
              <w:t xml:space="preserve">引入孔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便于将光缆引入配线架。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结构： 19 英寸机箱</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高度为 1U</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适合于通用标准机柜</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室内外光缆通用。配线架耦合器挡板为金属挡板，可支持 FC、 SC、ST、MU、LC、MTRJ 类部件，宽大可叠加的熔接盘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表面为树脂透明玻璃面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可直观的查看熔接盘内部使用情况，便于维护和维修。配备完善的安装和熔接配件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使安装更加容易美观</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 双联光纤适配器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产品特点：1.产品符合 YD/T1272.1-2003 最新行业标准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2.插入损耗：＜0.2dB（单模）、＜0.1dB（多模）</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低插入损耗确保信号传输的高效性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.互换性：变化量＜0.1dB</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确保适配器在更换或互换时性能一致</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gridAfter w:val="1"/>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LC/PC-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LC/PC双芯单模光纤跳线（2米）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0"/>
              </w:numPr>
              <w:jc w:val="left"/>
              <w:keepLines w:val="0"/>
              <w:keepNext w:val="0"/>
              <w:pageBreakBefore w:val="0"/>
              <w:spacing w:line="300" w:lineRule="exact"/>
              <w:widowControl/>
              <w:rPr>
                <w:rFonts w:ascii="Segoe UI" w:hAnsi="Segoe UI" w:eastAsia="Segoe UI" w:cs="Segoe UI"/>
                <w:i w:val="0"/>
                <w:iCs w:val="0"/>
                <w:caps w:val="0"/>
                <w:color w:val="374151"/>
                <w:spacing w:val="0"/>
                <w:sz w:val="24"/>
                <w:szCs w:val="24"/>
                <w:shd w:val="clear" w:color="auto" w:fill="ffffff"/>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产品符合 YD/T1272.1-2003、YD/T1258.3-2009、 GB/T12357.1-2004 标准，确保产品质量和兼容性</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2、连接器采用</w:t>
            </w:r>
            <w:r>
              <w:rPr>
                <w:rFonts w:hint="eastAsia" w:ascii="宋体" w:hAnsi="宋体" w:cs="宋体"/>
                <w:i w:val="0"/>
                <w:iCs w:val="0"/>
                <w:color w:val="auto"/>
                <w:sz w:val="20"/>
                <w:szCs w:val="20"/>
                <w:highlight w:val="none"/>
                <w:u w:val="none"/>
                <w:lang w:val="en-US" w:eastAsia="zh-CN" w:bidi="ar"/>
              </w:rPr>
              <w:t xml:space="preserve">矩形</w:t>
            </w:r>
            <w:r>
              <w:rPr>
                <w:rFonts w:hint="eastAsia" w:ascii="宋体" w:hAnsi="宋体" w:eastAsia="宋体" w:cs="宋体"/>
                <w:i w:val="0"/>
                <w:iCs w:val="0"/>
                <w:color w:val="auto"/>
                <w:sz w:val="20"/>
                <w:szCs w:val="20"/>
                <w:highlight w:val="none"/>
                <w:u w:val="none"/>
                <w:lang w:val="en-US" w:eastAsia="zh-CN" w:bidi="ar"/>
              </w:rPr>
              <w:t xml:space="preserve">结构及弹性卡子锁紧结构</w:t>
            </w:r>
            <w:r>
              <w:rPr>
                <w:rFonts w:hint="eastAsia" w:ascii="宋体" w:hAnsi="宋体" w:cs="宋体"/>
                <w:i w:val="0"/>
                <w:iCs w:val="0"/>
                <w:color w:val="auto"/>
                <w:sz w:val="20"/>
                <w:szCs w:val="20"/>
                <w:highlight w:val="none"/>
                <w:u w:val="none"/>
                <w:lang w:val="en-US" w:eastAsia="zh-CN" w:bidi="ar"/>
              </w:rPr>
              <w:t xml:space="preserve">,确保连接稳固，</w:t>
            </w:r>
            <w:r>
              <w:rPr>
                <w:rFonts w:hint="eastAsia" w:ascii="宋体" w:hAnsi="宋体" w:eastAsia="宋体" w:cs="宋体"/>
                <w:i w:val="0"/>
                <w:iCs w:val="0"/>
                <w:color w:val="auto"/>
                <w:sz w:val="20"/>
                <w:szCs w:val="20"/>
                <w:highlight w:val="none"/>
                <w:u w:val="none"/>
                <w:lang w:val="en-US" w:eastAsia="zh-CN" w:bidi="ar"/>
              </w:rPr>
              <w:t xml:space="preserve">防拉设计，防腐蚀主体</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3、低损耗连接</w:t>
            </w:r>
            <w:r>
              <w:rPr>
                <w:rFonts w:hint="eastAsia" w:ascii="宋体" w:hAnsi="宋体" w:cs="宋体"/>
                <w:i w:val="0"/>
                <w:iCs w:val="0"/>
                <w:color w:val="auto"/>
                <w:sz w:val="20"/>
                <w:szCs w:val="20"/>
                <w:highlight w:val="none"/>
                <w:u w:val="none"/>
                <w:lang w:val="en-US" w:eastAsia="zh-CN" w:bidi="ar"/>
              </w:rPr>
              <w:t xml:space="preserve">，确保高效信号传输；高反射，保证信号质量；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4、机械耐久性：500 次≤0.2dB（插入损耗变化量）/500次＜5dB（回波损耗变化量）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5、重复性：10 次≤0.2dB（插入损耗变化量）/10 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6、工作温度：-25℃～70℃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适应各种环境条件。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7、插拔力：≤19.6N</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gridAfter w:val="1"/>
          <w:jc w:val="center"/>
          <w:trHeight w:val="7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LC/PC 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芯单模光纤尾纤（1米）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1、产品符合 YD/T1272.1-2003、YD/T1258.3-2009、 GB/T12357.1-2004 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2、连接器采用句型结构及弹性卡子锁紧结构,防拉设计，防腐蚀主体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3、低损耗连接，高反射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4、机械耐久性：500 次≤0.2dB（插入损耗变化量）/500次＜5dB（回波损耗变化量）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5、重复性：10 次≤0.2dB（插入损耗变化量）/10 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6、工作温度：-25℃～70℃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7、插拔力：≤19.6N</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四、干线子系统</w:t>
            </w:r>
            <w:r/>
          </w:p>
        </w:tc>
      </w:tr>
      <w:tr>
        <w:trPr>
          <w:gridAfter w:val="1"/>
          <w:jc w:val="center"/>
          <w:trHeight w:val="2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 芯单模光缆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全截面阻水结构，松套管填充特种油膏，确保良好的阻水防潮性能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衰减＠20℃（DB/Km）：＠850≤3.5，＠1300≤1.5 光纤规格：A1a（50/125μm），A1b（62.5/125μm）包层不圆度：≤1％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铠装料:钢带；钢带、皱纹钢带加强件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磷化圆钢丝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动态/静态弯曲半径: 20D/10D; 25D/12.5D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允许压扁力（N/100mm）: 300/1000; 1000/3000允许拉伸力（N）: 600/1500; 1000/3000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X 表示芯数：2-12 芯外护套颜色：黑色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存储/工作温度：-40℃～+60℃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敷设方式：管道、架空、隧道等敷设（轻铠）；管道、隧道、直埋（重铠）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五、设备管理区</w:t>
            </w:r>
            <w:r/>
          </w:p>
        </w:tc>
      </w:tr>
      <w:tr>
        <w:trPr>
          <w:gridAfter w:val="1"/>
          <w:jc w:val="center"/>
          <w:trHeight w:val="2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 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1、执行标准：GB/T4054-2008   GB/T3047-1992、 GB/T5267.1-2002、GB/T10125-2012、Q/NJA136-2013；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2、材料采用优质冷轧钢板；表面脱脂、酸洗、防锈纳米陶瓷化、纯水清洗、粉末静电喷塑。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3、标准 19 英寸设计，规格;600mm*600mm*2000mm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4、可选择网孔门、玻璃门、钢板门等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5、机柜可以满足顶部和底部两种方式的走线。机柜顶部配备走线孔和散热风扇，机柜底部走线孔可以按需调节大小。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6、机柜标配风扇、6 位 10A 电源、托盘、脚轮和支撑脚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等配件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4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1、名称：24 口光纤配线架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2、技术参数：规格：1U24 芯 LC 接口光纤配线架标准：ISO/IEC 11801:2002 Ed2.0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材料：材料采用厚度 1.2 低碳钢表面磨砂金属粉末涂层不易划伤，整套配备完善丰富的安装熔接安装配件。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性能：配线架中自带的尼龙自粘扎带光纤盘绕环可支持多余光纤并保持光纤的弯曲半径，带有 2 个直径为 25MM 引入孔便于将光缆引入配线架。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结构：为 19 英寸机箱高度为 1U 适合于通用标准机柜，室内外光缆通用。配线架耦合器挡板为金属挡板，可支持 FC、SC、ST、MU、LC、MTRJ 类部件，宽大可叠加的熔接盘表面为树脂透明玻璃面可直观的查看熔接盘内部使用情况，便于维护和维修。配备完善的安装和熔接配件使安装更加容易美观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7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 双联光纤适配器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产品特点：1.产品符合 YD/T1272.1-2003 最新行业标准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插入损耗：＜</w:t>
            </w:r>
            <w:r>
              <w:rPr>
                <w:rFonts w:hint="default" w:ascii="Times New Roman" w:hAnsi="Times New Roman" w:eastAsia="宋体" w:cs="Times New Roman"/>
                <w:i w:val="0"/>
                <w:iCs w:val="0"/>
                <w:color w:val="auto"/>
                <w:sz w:val="20"/>
                <w:szCs w:val="20"/>
                <w:highlight w:val="none"/>
                <w:u w:val="none"/>
                <w:lang w:val="en-US" w:eastAsia="zh-CN" w:bidi="ar"/>
              </w:rPr>
              <w:t xml:space="preserve">0.2dB</w:t>
            </w:r>
            <w:r>
              <w:rPr>
                <w:rFonts w:hint="eastAsia" w:ascii="宋体" w:hAnsi="宋体" w:eastAsia="宋体" w:cs="宋体"/>
                <w:i w:val="0"/>
                <w:iCs w:val="0"/>
                <w:color w:val="auto"/>
                <w:sz w:val="20"/>
                <w:szCs w:val="20"/>
                <w:highlight w:val="none"/>
                <w:u w:val="none"/>
                <w:lang w:val="en-US" w:eastAsia="zh-CN" w:bidi="ar"/>
              </w:rPr>
              <w:t xml:space="preserve">（单模）、＜</w:t>
            </w:r>
            <w:r>
              <w:rPr>
                <w:rFonts w:hint="default" w:ascii="Times New Roman" w:hAnsi="Times New Roman" w:eastAsia="宋体" w:cs="Times New Roman"/>
                <w:i w:val="0"/>
                <w:iCs w:val="0"/>
                <w:color w:val="auto"/>
                <w:sz w:val="20"/>
                <w:szCs w:val="20"/>
                <w:highlight w:val="none"/>
                <w:u w:val="none"/>
                <w:lang w:val="en-US" w:eastAsia="zh-CN" w:bidi="ar"/>
              </w:rPr>
              <w:t xml:space="preserve">0.1dB</w:t>
            </w:r>
            <w:r>
              <w:rPr>
                <w:rFonts w:hint="eastAsia" w:ascii="宋体" w:hAnsi="宋体" w:eastAsia="宋体" w:cs="宋体"/>
                <w:i w:val="0"/>
                <w:iCs w:val="0"/>
                <w:color w:val="auto"/>
                <w:sz w:val="20"/>
                <w:szCs w:val="20"/>
                <w:highlight w:val="none"/>
                <w:u w:val="none"/>
                <w:lang w:val="en-US" w:eastAsia="zh-CN" w:bidi="ar"/>
              </w:rPr>
              <w:t xml:space="preserve">（多模）</w:t>
            </w:r>
            <w:r>
              <w:rPr>
                <w:rFonts w:hint="default" w:ascii="Times New Roman" w:hAnsi="Times New Roman" w:eastAsia="宋体" w:cs="Times New Roman"/>
                <w:i w:val="0"/>
                <w:iCs w:val="0"/>
                <w:color w:val="auto"/>
                <w:sz w:val="20"/>
                <w:szCs w:val="20"/>
                <w:highlight w:val="none"/>
                <w:u w:val="none"/>
                <w:lang w:val="en-US" w:eastAsia="zh-CN" w:bidi="ar"/>
              </w:rPr>
              <w:br/>
            </w:r>
            <w:r>
              <w:rPr>
                <w:rFonts w:hint="eastAsia" w:cs="Times New Roman"/>
                <w:i w:val="0"/>
                <w:iCs w:val="0"/>
                <w:color w:val="auto"/>
                <w:sz w:val="20"/>
                <w:szCs w:val="20"/>
                <w:highlight w:val="none"/>
                <w:u w:val="none"/>
                <w:lang w:val="en-US" w:eastAsia="zh-CN" w:bidi="ar"/>
              </w:rPr>
              <w:t xml:space="preserve">3</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互换性：变化量＜</w:t>
            </w:r>
            <w:r>
              <w:rPr>
                <w:rFonts w:hint="default" w:ascii="Times New Roman" w:hAnsi="Times New Roman" w:eastAsia="宋体" w:cs="Times New Roman"/>
                <w:i w:val="0"/>
                <w:iCs w:val="0"/>
                <w:color w:val="auto"/>
                <w:sz w:val="20"/>
                <w:szCs w:val="20"/>
                <w:highlight w:val="none"/>
                <w:u w:val="none"/>
                <w:lang w:val="en-US" w:eastAsia="zh-CN" w:bidi="ar"/>
              </w:rPr>
              <w:t xml:space="preserve">0.1dB</w:t>
            </w:r>
            <w:r>
              <w:rPr>
                <w:rFonts w:hint="default" w:ascii="Times New Roman" w:hAnsi="Times New Roman" w:eastAsia="宋体" w:cs="Times New Roman"/>
                <w:i w:val="0"/>
                <w:iCs w:val="0"/>
                <w:color w:val="auto"/>
                <w:sz w:val="20"/>
                <w:szCs w:val="20"/>
                <w:highlight w:val="none"/>
                <w:u w:val="none"/>
                <w:lang w:val="en-US" w:eastAsia="zh-CN" w:bidi="ar"/>
              </w:rPr>
              <w:br/>
            </w:r>
            <w:r>
              <w:rPr>
                <w:rFonts w:hint="eastAsia" w:cs="Times New Roman"/>
                <w:i w:val="0"/>
                <w:iCs w:val="0"/>
                <w:color w:val="auto"/>
                <w:sz w:val="20"/>
                <w:szCs w:val="20"/>
                <w:highlight w:val="none"/>
                <w:u w:val="none"/>
                <w:lang w:val="en-US" w:eastAsia="zh-CN" w:bidi="ar"/>
              </w:rPr>
              <w:t xml:space="preserve">4</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工作温度：</w:t>
            </w:r>
            <w:r>
              <w:rPr>
                <w:rFonts w:hint="default" w:ascii="Times New Roman" w:hAnsi="Times New Roman" w:eastAsia="宋体" w:cs="Times New Roman"/>
                <w:i w:val="0"/>
                <w:iCs w:val="0"/>
                <w:color w:val="auto"/>
                <w:sz w:val="20"/>
                <w:szCs w:val="20"/>
                <w:highlight w:val="none"/>
                <w:u w:val="none"/>
                <w:lang w:val="en-US" w:eastAsia="zh-CN" w:bidi="ar"/>
              </w:rPr>
              <w:t xml:space="preserve">-25℃</w:t>
            </w:r>
            <w:r>
              <w:rPr>
                <w:rFonts w:hint="eastAsia" w:ascii="宋体" w:hAnsi="宋体" w:eastAsia="宋体" w:cs="宋体"/>
                <w:i w:val="0"/>
                <w:iCs w:val="0"/>
                <w:color w:val="auto"/>
                <w:sz w:val="20"/>
                <w:szCs w:val="20"/>
                <w:highlight w:val="none"/>
                <w:u w:val="none"/>
                <w:lang w:val="en-US" w:eastAsia="zh-CN" w:bidi="ar"/>
              </w:rPr>
              <w:t xml:space="preserve">至</w:t>
            </w:r>
            <w:r>
              <w:rPr>
                <w:rFonts w:hint="default" w:ascii="Times New Roman" w:hAnsi="Times New Roman" w:eastAsia="宋体" w:cs="Times New Roman"/>
                <w:i w:val="0"/>
                <w:iCs w:val="0"/>
                <w:color w:val="auto"/>
                <w:sz w:val="20"/>
                <w:szCs w:val="20"/>
                <w:highlight w:val="none"/>
                <w:u w:val="none"/>
                <w:lang w:val="en-US" w:eastAsia="zh-CN" w:bidi="ar"/>
              </w:rPr>
              <w:t xml:space="preserve"> 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gridAfter w:val="1"/>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LC/PC-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LC/PC 双芯单模光纤跳线（2米）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1、产品符合 YD/T1272.1-2003、YD/T1258.3-2009、 GB/T12357.1-2004 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2、连接器采用句型结构及弹性卡子锁紧结构,防拉设计，防腐蚀主体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3、低损耗连接，高反射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4、机械耐久性：500 次≤0.2dB（插入损耗变化量）/500次＜5dB（回波损耗变化量）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5、重复性：10 次≤0.2dB（插入损耗变化量）/10 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6、工作温度：-25℃～70℃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7、插拔力：≤19.6N</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gridAfter w:val="1"/>
          <w:jc w:val="center"/>
          <w:trHeight w:val="260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LC/PC 单芯单模光纤尾纤（1米）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1、产品符合 YD/T1272.1-2003、YD/T1258.3-2009、 GB/T12357.1-2004 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2、连接器采用句型结构及弹性卡子锁紧结构,防拉设计，防腐蚀主体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3、低损耗连接，高反射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4、机械耐久性：500 次≤0.2dB（插入损耗变化量）/500次＜5dB（回波损耗变化量）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5、重复性：10 次≤0.2dB（插入损耗变化量）/10 次＜5dB（回波损耗变化量）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6、工作温度：-25℃～70℃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六、设备网管理区</w:t>
            </w:r>
            <w:r/>
          </w:p>
        </w:tc>
      </w:tr>
      <w:tr>
        <w:trPr>
          <w:gridAfter w:val="1"/>
          <w:jc w:val="center"/>
          <w:trHeight w:val="23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 位 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安装板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 英寸设计，占机柜 1U 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2、安装板架体采用冷轧钢板，钢板经脱脂、酸洗、磷化和静电喷塑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3、安装板装配彩色模块后能在机柜内部通过模块的颜色来区分不同网段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4、安装板带有透明标签管理区域，方便端口信息管理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5、安装板后部具有可拆卸式理线杆，便于电缆固定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6、配线架可以安装超五类非屏蔽模块、六类非屏蔽模块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和语音模块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 RJ45插座模块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1、符合 TIA/EIA 568B.2-1 和 ISO/IEC 11801 标准规定；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2、外壳采用优质阻燃聚碳酸脂材料，阻燃性能达到 UL94V-0 级别；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3、金针镀金，防止表面氧化，提高接触性能，支持主流端 180 度连接方式；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4、IDC 端子：磷青铜整体 50um 镀金；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、卡接线径：22-24AWG；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gridAfter w:val="1"/>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6类 RJ45-RJ45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非屏蔽跳线(2米/568B)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1、采用高性能的多股线缆和先进的制造技术，制造工艺采用整体塑模成型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2、可提供 568A 及 568B 两种接线规格跳线功能参数：</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护套材料：PVC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护套颜色：灰、红、蓝、黄、绿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绝缘层材料：PE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导体线规：24AWG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结构：十字骨架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电缆外径：φ6.0±0.2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簧片镀金：50 微英寸</w:t>
            </w:r>
            <w:r>
              <w:rPr>
                <w:rFonts w:hint="default" w:ascii="Times New Roman" w:hAnsi="Times New Roman" w:eastAsia="宋体" w:cs="Times New Roman"/>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、单根导体直流电阻：</w:t>
            </w:r>
            <w:r>
              <w:rPr>
                <w:rFonts w:hint="default" w:ascii="Times New Roman" w:hAnsi="Times New Roman" w:eastAsia="宋体" w:cs="Times New Roman"/>
                <w:i w:val="0"/>
                <w:iCs w:val="0"/>
                <w:color w:val="auto"/>
                <w:sz w:val="20"/>
                <w:szCs w:val="20"/>
                <w:highlight w:val="none"/>
                <w:u w:val="none"/>
                <w:lang w:val="en-US" w:eastAsia="zh-CN" w:bidi="ar"/>
              </w:rPr>
              <w:t xml:space="preserve">≤9.0Ω/100m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r>
      <w:tr>
        <w:trPr>
          <w:gridAfter w:val="1"/>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1、开放的操作空间，手可以进入到线环内部进行理线，操作很方便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2、带圆弧的线环设计，更好的保护人手和线缆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3、碳钢，T 不低于 1.5 毫米，防静电喷塑处理；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4、1U 高度，结构紧凑；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5、架体材料厚度 冷轧钢板不低于 1.2mm</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gridAfter w:val="1"/>
          <w:jc w:val="center"/>
          <w:trHeight w:val="286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LC/PC-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LC/PC 双芯单模光纤跳线（2米）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1、产品符合 YD/T1272.1-2003、YD/T1258.3-2009、 GB/T12357.1-2004 标准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2、连接器采用句型结构及弹性卡子锁紧结构,防拉设计，防腐蚀主体</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3、低损耗连接，高反射</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4、机械耐久性：500 次≤0.2dB（插入损耗变化量）/500次＜5dB（回波损耗变化量）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5、重复性：10 次≤0.2dB（插入损耗变化量）/10 次＜5dB（回波损耗变化量）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6、工作温度：-25℃～70℃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7、插拔力：≤19.6N</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r>
      <w:tr>
        <w:trPr>
          <w:gridAfter w:val="1"/>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光纤终端盒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口双工 LC 耦合器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gridAfter w:val="1"/>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 芯室外单模光纤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全截面阻水结构，松套管填充特种油膏，确保良好的阻水防潮性能</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衰减＠20℃（DB/Km）：＠850≤3.5，＠1300≤1.5 光纤规格：A1a（50/125μm），A1b（62.5/125μm）</w:t>
            </w:r>
            <w:r/>
          </w:p>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包层不圆度：≤1％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铠装料:钢带；钢带、皱纹钢带加强件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磷化圆钢丝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动态/静态弯曲半径: 20D/10D; 25D/12.5D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允许压扁力（N/100mm）: 300/1000; 1000/3000允许拉伸力（N）: 600/1500; 1000/3000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X 表示芯数：2-12 芯外护套颜色：黑色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存储/工作温度：-40℃～+60℃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敷设方式：管道、架空、隧道等敷设（轻铠）；管道、隧道、直埋（重铠）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r>
      <w:tr>
        <w:trPr>
          <w:gridAfter w:val="1"/>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室内设备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不锈钢≥600*500*120mm 含空开、电源插座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二、信息网络系统</w:t>
            </w:r>
            <w:r/>
          </w:p>
        </w:tc>
      </w:tr>
      <w:tr>
        <w:trPr>
          <w:gridAfter w:val="1"/>
          <w:jc w:val="center"/>
          <w:trHeight w:val="315"/>
        </w:trPr>
        <w:tc>
          <w:tcPr>
            <w:gridSpan w:val="2"/>
            <w:shd w:val="clear" w:color="auto" w:fill="auto"/>
            <w:tcBorders>
              <w:top w:val="non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gridSpan w:val="2"/>
            <w:shd w:val="clear" w:color="auto" w:fill="auto"/>
            <w:tcBorders>
              <w:top w:val="non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non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参数描述</w:t>
            </w:r>
            <w:r/>
          </w:p>
        </w:tc>
        <w:tc>
          <w:tcPr>
            <w:gridSpan w:val="2"/>
            <w:shd w:val="clear" w:color="auto" w:fill="auto"/>
            <w:tcBorders>
              <w:top w:val="non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工程量</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一、场区网系统</w:t>
            </w:r>
            <w:r/>
          </w:p>
        </w:tc>
      </w:tr>
      <w:tr>
        <w:trPr>
          <w:gridAfter w:val="1"/>
          <w:jc w:val="center"/>
          <w:trHeight w:val="31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 口接入交换机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1、支持≥24 个 10/100/1000M 电口，≥4 个千兆 SFP 光口(非复用)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2、交换容量672Gbps/6.72Tbps，包转发率126Mpps</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3、支持MAC地址≥32K，支持ARP表项≥4K</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4、支持4K个VLAN，支持Smart link，支持Guest VLAN、Voice VLAN</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5、支持智能堆叠，将多台支持堆叠特性的交换机组合在一起，从逻辑上虚拟为一台交换机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6、支持SAVI等安全特性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7、支持Telemetry技术，配合网络分析组件通过智能故障识别算法对网络数据进行分析，精准展现网络实时状态，并能及时有效地定界故障以及定位故障发生原因</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8、无风扇，自然散热，业务口防雷可达10KV，支持 802.3az 能效以太网 EEE，节能环保，与核心交换机同品牌。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gridAfter w:val="1"/>
          <w:jc w:val="center"/>
          <w:trHeight w:val="315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 口接入交换机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1、支持≥48 个 10/100/1000M 电口，≥4 个千兆 SFP 光口(非复用)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2、交换容量672Gbps/6.72Tbps，包转发率166Mpps</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3、支持MAC地址≥32K，支持ARP表项≥4K</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4、支持4K个VLAN，支持Smart link，支持Guest VLAN、Voice VLAN</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5、支持智能堆叠，将多台支持堆叠特性的交换机组合在一起，从逻辑上虚拟为一台交换机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6、支持SAVI等安全特性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7、支持Telemetry技术，配合网络分析组件通过智能故障识别算法对网络数据进行分析，精准展现网络实时状态，并能及时有效地定界故障以及定位故障发生原因</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8、业务口防雷可达10KV，支持 802.3az 能效以太网 EEE，节能环保，与核心交换机同品牌</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10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 口 POE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1、支持≥24 个 10/100/1000M 电口，≥4 个千兆 SFP 光口(非复用)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2、交换容量672Gbps/6.72Tbps，包转发率126Mpps</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3、支持POE/POE+，POE功率超过380W ，支持MAC地址≥32K，支持ARP表项≥4K</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4、支持4K个VLAN，支持Smart link，支持Guest VLAN、Voice VLAN</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5、支持智能堆叠，将多台支持堆叠特性的交换机组合在一起，从逻辑上虚拟为一台交换机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6、支持交换机电源上电时，支持秒级实现对PD设备的供电，当POE交换机掉电重启时，不需要等待交换机重启完成，只需要交换机上电后就可以继续为PD设备供电，极大缩短PD设备掉电时间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7、支持Telemetry技术，配合网络分析组件通过智能故障识别算法对网络数据进行分析，精准展现网络实时状态，并能及时有效地定界故障以及定位故障发生原因</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8、业务口防雷可达10KV，支持 802.3az 能效以太网 EEE，节能环保。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1、机箱式路由交换机。支持管理引擎主控板 1+1 冗余，业务槽位数≥4，电源数量≥2 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2、交换容量≥50Tbps,包转发率≥28000Mpps；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3、支持交换机虚拟化技术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4、支持端口镜像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5、支持Static Routing、RIPv1/V2、OSPFv2、BGP4 等多种单播路由协议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6、支持IPv6  LPM Routing，支持 RIPng、OSPFv3、BGP4+等路由协议，支持 6to4 Tunnel、configured Tunnel、ISATAP Tunnel、GRE Tunnel 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单台配置要求：主机箱 1 套，最新一代管理引擎板卡 1 块，电源 2 块。千兆光口 24 个，千兆电口 16 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千兆单模模块(1310nm,10km,LC)，与交换机同一品牌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gridAfter w:val="1"/>
          <w:jc w:val="center"/>
          <w:trHeight w:val="12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无线控制器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afterAutospacing="0"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1、标准机架式无线控制交换机。千兆电口≥5 个，支持最大管理 AP 数≥128 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2、支持流量状态查看，支持源地址策略分流，支持策略带宽控制，支持 P2P 限制，支持连接数控制规则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控制器授权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无线控制器 license 授权-管理 16AP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 AP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1、室内无线接入点，支持≥2 个千兆电口，1*复位键，支持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802.11ac，速率≥1200Mbps，内置高增益天线，支持 Wave2.0技术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2、支持以动态获取/静态 IP 配置等方式发现无线控制器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3、支持SSID 和 VLAN 绑定,支持动态 VLAN,支持无线 Trunk透传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 IEEE802.3az，网络中无可发送帧的状态下进入低功耗模式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5、支持AP、网关、WISP、中继（透传）多种无线操作模式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6、支持自定义时间自动重启设备，或者手动开启/关闭无线信号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7、支持基于用户、流量、频段的智能负载均衡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8、支持会员认证,Portal 认证,微信连 Wi-Fi, 短信认证,微信扫描认证,二次登录免认证等多种认证方式等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9、支持内置无线信道分析仪功能，最大化规避信道干扰，自动选择最优信道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10、支持故障记录，支持指示灯告警提示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r>
      <w:tr>
        <w:trPr>
          <w:gridAfter w:val="1"/>
          <w:jc w:val="center"/>
          <w:trHeight w:val="352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1.配置为4个10/100/1000BASE-T接口和2个SFP插槽，支持扩展槽位，双冗余电源；整机吞吐≥8Gbps，最大并发连接数≥480万；支持IPSec VPN、SSL VPN、入侵防御、Web应用防护等功能，开启WebFilter模块并配置相应网站知识库；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3.支持针对IP、ICMP、TCP、UDP、DNS、HTTP、HTTPS、SIP、NTP等协议进行DDOS防护；支持预定义和自定义策略模板；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4.支持威胁地图功能，利用威胁地图对攻击源、受害者、威胁事件进行集中展示，支持安全事件实时播报；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二、设备网系统</w:t>
            </w:r>
            <w:r/>
          </w:p>
        </w:tc>
      </w:tr>
      <w:tr>
        <w:trPr>
          <w:gridAfter w:val="1"/>
          <w:jc w:val="center"/>
          <w:trHeight w:val="676"/>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 口接入交换机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1、支持≥8个10/100/1000M电口，≥2个千兆SFP光口，1个console接口，二层可网管交换机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2、交换容量≥256Gbps，包转发率≥19Mpps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3、支持端口镜像，支持链路聚合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4、支持端口双向限速，最低64K</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5、支持基于端口的VLAN，802.1Q标记VLAN。支持802.1X，支持MSTP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6、支持SNMP，Telnet，RMON，CLI等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7、支持组播/广播风暴控制，支持MAC地址过滤，支持多子网管理，支持DHCP SNOOPING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8、支持标准IP、扩展IP、MAC+IP、ARP的ACL规则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9、支持IP+MAC+PORT绑定，支持QOS，支持CPU保护功能。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gridAfter w:val="1"/>
          <w:jc w:val="center"/>
          <w:trHeight w:val="33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 口 POE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接入交换机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1、支持≥24 个 10/100/1000M 电口，≥4 个千兆 SFP 光口，1个 console 接口，二层可网管交换机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2、交换容量≥256Gbps，包转发率≥19Mpps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3、支持全部千兆电口POE 供电，支持 802.3af/802.3at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4、支持端口镜像，支持链路聚合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5、支持端口双向限速，最低 64K</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6、支持基于端口的 VLAN，802.1Q 标记 VLAN。支持 802.1X，支持 MSTP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7、支持SNMP，Telnet，RMON，CLI 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8、支持组播/广播风暴控制，支持 MAC 地址过滤，支持多子网管理，支持 DHCP SNOOPING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9、支持标准 IP、扩展 IP、MAC+IP、ARP 的 ACL 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10、支持 IP+MAC+PORT 绑定，支持 QOS，支持 CPU 保护功能。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gridAfter w:val="1"/>
          <w:jc w:val="center"/>
          <w:trHeight w:val="697"/>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核心交换机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1、机箱式路由交换机。支持管理引擎主控板 1+1 冗余，业务槽位数≥4，电源数量≥2 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2、交换容量≥50Tbps,包转发率≥28000Mpps；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3、支持交换机虚拟化技术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4、支持端口镜像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 Static Routing、RIPv1/V2、OSPFv2、BGP4 等多种单播路由协议；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6、支持IPv6  LPM Routing，支持 RIPng、OSPFv3、BGP4+等路由协议，支持 6to4 Tunnel、configured Tunnel、ISATAP Tunnel、GRE Tunnel 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单台配置要求：主机箱 1 套，最新一代管理引擎板卡 2 块，电源 2块。千兆光口 48 个，千兆电口 32 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光模块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千兆单模模块(1310nm,10km,LC)，与交换机同一品牌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三、链路</w:t>
            </w:r>
            <w:r/>
          </w:p>
        </w:tc>
      </w:tr>
      <w:tr>
        <w:trPr>
          <w:gridAfter w:val="1"/>
          <w:jc w:val="center"/>
          <w:trHeight w:val="78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1、为育种场提供一条网络链路服务，采用≥200M 带宽的专线光纤接入，确保场区项目的日常传输需要；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2.使用期从项目验收之日起算，三年专线费。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non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三、综合安防系统</w:t>
            </w:r>
            <w:r/>
          </w:p>
        </w:tc>
      </w:tr>
      <w:tr>
        <w:trPr>
          <w:gridAfter w:val="1"/>
          <w:jc w:val="center"/>
          <w:trHeight w:val="6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量</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一、视频监控设备</w:t>
            </w:r>
            <w:r/>
          </w:p>
        </w:tc>
      </w:tr>
      <w:tr>
        <w:trPr>
          <w:gridAfter w:val="1"/>
          <w:jc w:val="center"/>
          <w:trHeight w:val="30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支持萤石平台接入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支持背光补偿，强光抑制，3D数字降噪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采用高效阵列红外灯，红外照射距离最远可达30 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1个内置麦克风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符合IP66防尘防水设计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补光灯类型：红外灯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补光距离：最远可达30 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音频：1个内置麦克风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≥400万像素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网络摄像机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支持萤石2平台接入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投标人投标时</w:t>
            </w:r>
            <w:r>
              <w:rPr>
                <w:rFonts w:hint="eastAsia" w:ascii="宋体" w:hAnsi="宋体" w:cs="宋体"/>
                <w:i w:val="0"/>
                <w:iCs w:val="0"/>
                <w:color w:val="auto"/>
                <w:sz w:val="20"/>
                <w:szCs w:val="20"/>
                <w:highlight w:val="none"/>
                <w:u w:val="none"/>
                <w:lang w:val="en-US" w:eastAsia="zh-CN" w:bidi="ar"/>
              </w:rPr>
              <w:t xml:space="preserve">需</w:t>
            </w:r>
            <w:r>
              <w:rPr>
                <w:rFonts w:hint="eastAsia" w:ascii="宋体" w:hAnsi="宋体" w:eastAsia="宋体" w:cs="宋体"/>
                <w:i w:val="0"/>
                <w:iCs w:val="0"/>
                <w:color w:val="auto"/>
                <w:sz w:val="20"/>
                <w:szCs w:val="20"/>
                <w:highlight w:val="none"/>
                <w:u w:val="none"/>
                <w:lang w:val="en-US" w:eastAsia="zh-CN" w:bidi="ar"/>
              </w:rPr>
              <w:t xml:space="preserve">承诺所投产品能够免费接入萤石2平台（承诺书格式自拟）。若虚假承诺，所造成的后果由投标人自行承担，采购人有权上报当地监管部门。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w:t>
            </w:r>
            <w:r/>
          </w:p>
        </w:tc>
      </w:tr>
      <w:tr>
        <w:trPr>
          <w:gridAfter w:val="1"/>
          <w:jc w:val="center"/>
          <w:trHeight w:val="182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室外枪型全彩摄像机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≥400万网络摄像机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F1.0超大光圈镜头，最高分辨率可达400万像素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支持区域入侵侦测，越界侦测，进入区域侦测，离开区域侦测支持萤石云平台接入。</w:t>
            </w:r>
            <w:r>
              <w:rPr>
                <w:rFonts w:hint="eastAsia" w:ascii="宋体" w:hAnsi="宋体" w:cs="宋体"/>
                <w:i w:val="0"/>
                <w:iCs w:val="0"/>
                <w:color w:val="auto"/>
                <w:sz w:val="20"/>
                <w:szCs w:val="20"/>
                <w:highlight w:val="none"/>
                <w:u w:val="none"/>
                <w:lang w:val="en-US" w:eastAsia="zh-CN" w:bidi="ar"/>
              </w:rPr>
              <w:t xml:space="preserve">内置麦克风，符合IP67防尘防水设计。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投标人投标时</w:t>
            </w:r>
            <w:r>
              <w:rPr>
                <w:rFonts w:hint="eastAsia" w:ascii="宋体" w:hAnsi="宋体" w:cs="宋体"/>
                <w:i w:val="0"/>
                <w:iCs w:val="0"/>
                <w:color w:val="auto"/>
                <w:sz w:val="20"/>
                <w:szCs w:val="20"/>
                <w:highlight w:val="none"/>
                <w:u w:val="none"/>
                <w:lang w:val="en-US" w:eastAsia="zh-CN" w:bidi="ar"/>
              </w:rPr>
              <w:t xml:space="preserve">需</w:t>
            </w:r>
            <w:r>
              <w:rPr>
                <w:rFonts w:hint="eastAsia" w:ascii="宋体" w:hAnsi="宋体" w:eastAsia="宋体" w:cs="宋体"/>
                <w:i w:val="0"/>
                <w:iCs w:val="0"/>
                <w:color w:val="auto"/>
                <w:sz w:val="20"/>
                <w:szCs w:val="20"/>
                <w:highlight w:val="none"/>
                <w:u w:val="none"/>
                <w:lang w:val="en-US" w:eastAsia="zh-CN" w:bidi="ar"/>
              </w:rPr>
              <w:t xml:space="preserve">承诺所投产品能够免费接入萤石云平台（承诺书格式自拟）。若虚假承诺，所造成的后果由投标人自行承担，采购人有权上报当地监管部门。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rPr>
                <w:rFonts w:hint="default" w:ascii="Times New Roman" w:hAnsi="Times New Roman" w:cs="Times New Roman"/>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50</w:t>
            </w:r>
            <w:r/>
          </w:p>
        </w:tc>
      </w:tr>
      <w:tr>
        <w:trPr>
          <w:gridAfter w:val="1"/>
          <w:jc w:val="cente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无线网桥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100m 2.4G 电梯网桥，包含发射端和接收端两个设备；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出厂默认配对，无需配置即可使用；最大桥接速率 300Mbps；内置定向天线水平 60 度，垂直 30 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推荐在 100m 内无遮挡环境使用；支持壁挂/抱杆等安装方式；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工作温度：-10℃～+55℃（电源标配）；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2314"/>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 系列摄像机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内置 GPU 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支持猪只通道计数功能，支持防舞弊检测 ，OSD 数量显示；采用高性能 500 万像素 1/2.7 英寸 CMOS 图像传感器；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最大可输出 500 万(2880 × 1620)@20fps，默认输出 400 万(2688× 1520)@25fps；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 H.265 编码，压缩比高，实现超低码流传输；</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内置高效红外补光灯，最大补光监控距离 60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内置暖光灯，最大补光监控距离 30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 ROI，SMART H.264/H.265，AI H.264/H.265；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支持走廊模式，宽动态，3D 降噪，强光抑制，背光补偿，数字水印；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支持智能侦测：区域入侵，绊线入侵，快速移动（三项均支持人车分类及精准检测），物品遗留，物品搬移，徘徊检测，人员聚集，停车检测，热度图；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支持多种异常检测：动态检测，视频遮挡，场景变更，音频异常侦测，无 SD 卡，SD 卡空间不足，SD 卡出错，网络断开，IP 冲突，非法访问；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11、</w:t>
            </w:r>
            <w:r>
              <w:rPr>
                <w:rFonts w:hint="eastAsia" w:ascii="宋体" w:hAnsi="宋体" w:eastAsia="宋体" w:cs="宋体"/>
                <w:i w:val="0"/>
                <w:iCs w:val="0"/>
                <w:color w:val="auto"/>
                <w:sz w:val="20"/>
                <w:szCs w:val="20"/>
                <w:highlight w:val="none"/>
                <w:u w:val="none"/>
                <w:lang w:val="en-US" w:eastAsia="zh-CN" w:bidi="ar"/>
              </w:rPr>
              <w:t xml:space="preserve">支持报警 3 进 2 出，音频 1 进 1 出；内置 MIC 和扬声器；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最大支持 512G Micro SD 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13、</w:t>
            </w:r>
            <w:r>
              <w:rPr>
                <w:rFonts w:hint="eastAsia" w:ascii="宋体" w:hAnsi="宋体" w:eastAsia="宋体" w:cs="宋体"/>
                <w:i w:val="0"/>
                <w:iCs w:val="0"/>
                <w:color w:val="auto"/>
                <w:sz w:val="20"/>
                <w:szCs w:val="20"/>
                <w:highlight w:val="none"/>
                <w:u w:val="none"/>
                <w:lang w:val="en-US" w:eastAsia="zh-CN" w:bidi="ar"/>
              </w:rPr>
              <w:t xml:space="preserve">支持 DC12V/POE 供电方式；支持 IP67 防护等级；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 系列枪型摄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内置 GPU 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采用星光级低照度 400 万像素 1/2.7 英寸 CMOS 图像传感器；最大可输出 400 万(2688 × 1520)@25fps；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支持养殖盘点计数，支持周期盘点和定时盘点两种机制，OSD 数量显示；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支持绊线入侵，区域入侵，快速移动，物品搬移，徘徊检测，人员聚集；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支持三码流功能，二路高清视频显示；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 H.265 编码，压缩比高，实现超低码流传输；内置高效红外补光灯，最大红外监控距离 15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支持走廊模式，宽动态，3D 降噪，强光抑制，背光补偿，数字水印；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 ROI，SMART H.264/H.265，AI H.264/H.265；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支持报警 1 进 1 出，音频 1 进 1 出；最大支持 256G Micro SD 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 MI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 DC12V/POE 供电方式；支持 IP67、IK10 防护等级；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支持 EPTZ 功能；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gridAfter w:val="1"/>
          <w:jc w:val="center"/>
          <w:trHeight w:val="13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热成像半球摄像机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【功能特性】;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支持特征区域检测（猪耳根）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支持温度异常检测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支持声光报警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多目标测温：同一画面支持多目标同时识别测温</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可视化测温，可以直观看到被测物体的温度分布</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非接触式快速测温，效率更高;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传感器类型：氧化钒非制冷型探测器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响应波段：8~14μm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热成像分辨率：160 × 120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热成像焦距&amp;视场角：3mm，50°×37.2°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11、</w:t>
            </w:r>
            <w:r>
              <w:rPr>
                <w:rFonts w:hint="eastAsia" w:ascii="宋体" w:hAnsi="宋体" w:eastAsia="宋体" w:cs="宋体"/>
                <w:i w:val="0"/>
                <w:iCs w:val="0"/>
                <w:color w:val="auto"/>
                <w:sz w:val="20"/>
                <w:szCs w:val="20"/>
                <w:highlight w:val="none"/>
                <w:u w:val="none"/>
                <w:lang w:val="en-US" w:eastAsia="zh-CN" w:bidi="ar"/>
              </w:rPr>
              <w:t xml:space="preserve">测温范围：30°C~45°C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测温精度：±0.5℃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13、</w:t>
            </w:r>
            <w:r>
              <w:rPr>
                <w:rFonts w:hint="eastAsia" w:ascii="宋体" w:hAnsi="宋体" w:eastAsia="宋体" w:cs="宋体"/>
                <w:i w:val="0"/>
                <w:iCs w:val="0"/>
                <w:color w:val="auto"/>
                <w:sz w:val="20"/>
                <w:szCs w:val="20"/>
                <w:highlight w:val="none"/>
                <w:u w:val="none"/>
                <w:lang w:val="en-US" w:eastAsia="zh-CN" w:bidi="ar"/>
              </w:rPr>
              <w:t xml:space="preserve">可见光分辨率：2688×1520，400万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14、</w:t>
            </w:r>
            <w:r>
              <w:rPr>
                <w:rFonts w:hint="eastAsia" w:ascii="宋体" w:hAnsi="宋体" w:eastAsia="宋体" w:cs="宋体"/>
                <w:i w:val="0"/>
                <w:iCs w:val="0"/>
                <w:color w:val="auto"/>
                <w:sz w:val="20"/>
                <w:szCs w:val="20"/>
                <w:highlight w:val="none"/>
                <w:u w:val="none"/>
                <w:lang w:val="en-US" w:eastAsia="zh-CN" w:bidi="ar"/>
              </w:rPr>
              <w:t xml:space="preserve">可见光焦距&amp;视场角：4mm，84.0°×44.8°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报警输入：支持1路DC 0~5V报警输入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16、</w:t>
            </w:r>
            <w:r>
              <w:rPr>
                <w:rFonts w:hint="eastAsia" w:ascii="宋体" w:hAnsi="宋体" w:eastAsia="宋体" w:cs="宋体"/>
                <w:i w:val="0"/>
                <w:iCs w:val="0"/>
                <w:color w:val="auto"/>
                <w:sz w:val="20"/>
                <w:szCs w:val="20"/>
                <w:highlight w:val="none"/>
                <w:u w:val="none"/>
                <w:lang w:val="en-US" w:eastAsia="zh-CN" w:bidi="ar"/>
              </w:rPr>
              <w:t xml:space="preserve">报警输出：支持1路常开型继电器输出，报警类型可设置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17、</w:t>
            </w:r>
            <w:r>
              <w:rPr>
                <w:rFonts w:hint="eastAsia" w:ascii="宋体" w:hAnsi="宋体" w:eastAsia="宋体" w:cs="宋体"/>
                <w:i w:val="0"/>
                <w:iCs w:val="0"/>
                <w:color w:val="auto"/>
                <w:sz w:val="20"/>
                <w:szCs w:val="20"/>
                <w:highlight w:val="none"/>
                <w:u w:val="none"/>
                <w:lang w:val="en-US" w:eastAsia="zh-CN" w:bidi="ar"/>
              </w:rPr>
              <w:t xml:space="preserve">音频输入：1路3.5mm Mic in/Line in interface. Line input: 2-2.4V[p-p]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18、</w:t>
            </w:r>
            <w:r>
              <w:rPr>
                <w:rFonts w:hint="eastAsia" w:ascii="宋体" w:hAnsi="宋体" w:eastAsia="宋体" w:cs="宋体"/>
                <w:i w:val="0"/>
                <w:iCs w:val="0"/>
                <w:color w:val="auto"/>
                <w:sz w:val="20"/>
                <w:szCs w:val="20"/>
                <w:highlight w:val="none"/>
                <w:u w:val="none"/>
                <w:lang w:val="en-US" w:eastAsia="zh-CN" w:bidi="ar"/>
              </w:rPr>
              <w:t xml:space="preserve">音频输出：1路Impedance: 600Ω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19、</w:t>
            </w:r>
            <w:r>
              <w:rPr>
                <w:rFonts w:hint="eastAsia" w:ascii="宋体" w:hAnsi="宋体" w:eastAsia="宋体" w:cs="宋体"/>
                <w:i w:val="0"/>
                <w:iCs w:val="0"/>
                <w:color w:val="auto"/>
                <w:sz w:val="20"/>
                <w:szCs w:val="20"/>
                <w:highlight w:val="none"/>
                <w:u w:val="none"/>
                <w:lang w:val="en-US" w:eastAsia="zh-CN" w:bidi="ar"/>
              </w:rPr>
              <w:t xml:space="preserve">电源输入：DC 12 V（±20%）或PoE (802.3af, class 3)备注：包装标配DC 12V电源适配器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20、</w:t>
            </w:r>
            <w:r>
              <w:rPr>
                <w:rFonts w:hint="eastAsia" w:ascii="宋体" w:hAnsi="宋体" w:eastAsia="宋体" w:cs="宋体"/>
                <w:i w:val="0"/>
                <w:iCs w:val="0"/>
                <w:color w:val="auto"/>
                <w:sz w:val="20"/>
                <w:szCs w:val="20"/>
                <w:highlight w:val="none"/>
                <w:u w:val="none"/>
                <w:lang w:val="en-US" w:eastAsia="zh-CN" w:bidi="ar"/>
              </w:rPr>
              <w:t xml:space="preserve">工作温度和湿度：15°C ~35°C，＜95% RH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gridAfter w:val="1"/>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智能球型摄像机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采用400万像素1/2.8英寸CMOS 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镜头焦距支持4.8mm～154mm；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支持32倍光学变倍，16倍数字变倍；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支持星光级超低照度，彩色：0.005Lux，黑白：0.0005Lux；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内置100米白光灯补光；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支持人脸检测，支持人脸轨迹框，支持抓拍，支持人脸增强，支持人脸抠图区域可设，支持实时抓拍，质量优先二种抓拍策略；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支持报警联动白光警戒，对目标进行跟踪；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水平方向360°连续旋转，垂直方向-20°～90°自动翻转180°后连续监视；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支持绊线入侵，支持区域入侵，支持穿越围栏，支持徘徊检测，支持物品遗留，支持物品搬移，支持快速移动，支持停车检测，支持人员聚集，支持人车分类报警；支持联动跟踪；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支持300个预置位，8条巡航路径，5条巡迹路径；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gridAfter w:val="1"/>
          <w:jc w:val="center"/>
          <w:trHeight w:val="1457"/>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半球云台摄像机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采用不低于400万像素1/2.7英寸CMOS图像传感器；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内置高效暖光和红外补光灯，红外监控距离不低于60米，暖光监控距离不低于30米；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支持报警2进2出，音频1进1出，485，最大支持512G Micro SD卡，内置麦克和扬声器；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r>
      <w:tr>
        <w:trPr>
          <w:gridAfter w:val="1"/>
          <w:jc w:val="center"/>
          <w:trHeight w:val="26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手持动物测温仪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可设置温度报警，超温提醒；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4键操作，方便快捷，用户界面友好；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支持定时、温差快门校正；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支持3D降噪功能，图像细节增强功能；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支持4种伪彩可调节；</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8小时续航，持久使用；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标配8G 存储卡，支持扩展，最大128G；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图片存储全屏测温信息，支持离线测温分析(配合客户端使用)；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探测器分辨率：≥160 × 120；</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测温范围：≥30 ℃～45 ℃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枪机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壁装或吸顶支架,铝合金,外部颜色需要景观颜色一致；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壁装或吸顶支架,铝合金,外部颜色需要景观颜色一致；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r>
      <w:tr>
        <w:trPr>
          <w:gridAfter w:val="1"/>
          <w:jc w:val="center"/>
          <w:trHeight w:val="243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智能巡检机器人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猪只温度检测度≤±0.2℃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猪只温度异常检出率≥85%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猪只数量盘点准确率≥99.5%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猪只估重准确率90%≤10%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死猪检出率100%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人员在岗检出率100%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温度检测精度≤±0.5℃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湿度检测精度≤±3%R</w:t>
            </w:r>
            <w:r>
              <w:rPr>
                <w:rFonts w:hint="eastAsia" w:ascii="宋体" w:hAnsi="宋体" w:cs="宋体"/>
                <w:i w:val="0"/>
                <w:iCs w:val="0"/>
                <w:color w:val="auto"/>
                <w:sz w:val="20"/>
                <w:szCs w:val="20"/>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gridAfter w:val="1"/>
          <w:jc w:val="center"/>
          <w:trHeight w:val="26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机器人管理软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平台的功能描述：</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机器人管理模块：</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机器人平台统一管理，并支持远程观察机器人当前状态；</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支持实时预览，支持远程查看机器人当前位置及运行情况；</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支持机器人控制，包括机器人行走控制、云台/舵机控制；</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巡检管理模块：</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支持巡检任务配置，支持按照单次/周期/循环频率、定时/立即执行方式向机器人端下发任务并执行；</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支持远程控制机器人巡检任务执行，针对进行中的巡检任务，支持中断当前巡检任务并重新配置；针对未执行成功的巡检任务，执行人工恢复或重新下发；</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支持远程查看巡检任务结果并自定义导出巡检报告；报警信息管理模块：</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支持查看机器人业务类报警信息，并自定义推送相关负责人，针对异常报警，支持人工处置研判；</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支持监控平台及机器人本身运行情况，检测机器人故障、低电量、离线等异常情况；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材质：PVC高分子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r>
      <w:tr>
        <w:trPr>
          <w:gridAfter w:val="1"/>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种猪场种猪性能测定相关设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开放式设计，没有前后门，符合正常养猪习惯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控制器：PLC主机、7寸触摸屏，EMC有相关认证证书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供电电源：配电箱供电220V，进入猪栏为24V，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功率：最大60W，待机20W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下料电机：步进电机，可调整下料速度、可设置单圈料量、无碳刷，无滑环、免维护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体重称精度：0.1公斤 量程300公斤，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料槽称精度：1克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单台测定能力：15头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耳标识别：感应距离:20cm-25cm，响应时间&lt;0.5ms，频率134.2K</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工作环境：温度：-10℃～50℃；湿度：15～80%RH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材料：主体材质为304不锈钢，（包括料箱、料槽、称量系统连杆）、侧板及挡板材料为PP。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数据传输查看：数据可远程显示，可在手机查看。可按用户要求定制界面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DPC自动校准：食槽单圈料量可自动校准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自动去皮：体重秤可自动去皮，缺料后再填料可自动复位，无需人工干预。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数据传输查看：可通过电脑浏览器或手机查看数据，可按用户要求定制界面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数据接口：可提供标准接口给育种软件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控制软件：现场操作采用触摸屏，显示内容丰富，采用多级画面，操作简单 、现场查阅猪只信息，方便维护可以直接填入场内耳号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管理软件：（1）自动控制饲喂和测定过程（2）自动识别进食猪只（3）自动测定每次进食猪只的耳标号、开始进食时刻、进食用时和进食量，并计算出日进食量（4）自动测定每日的体重，并计算出日增重（5）自动计算日饲料报酬（6）自动生成日测定明细表（7）自动生成测定结果报表（8）自动绘制测定期内生长性能曲线（9）可根据要求处理零耳牌事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gridAfter w:val="1"/>
          <w:jc w:val="center"/>
          <w:trHeight w:val="26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自动料线传输系统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根据现场情况适配网口或4G全网通，通讯协议：TCP、MQTT。采集称重数据，料位数据，含304不锈钢配电箱,可控制料线。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传感器类型：悬臂梁式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材质（钢材牌号）：304不锈钢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额定载荷：5T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精度等级：C3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综合误差：国家标准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安全过载：4.5T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极限过载：5T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防护等级：C3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r>
      <w:tr>
        <w:trPr>
          <w:gridAfter w:val="1"/>
          <w:jc w:val="center"/>
          <w:trHeight w:val="130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水流量传感器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流量范围在标准量程扩展量程内，流量计量误差小于±3%。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密封性在额定耐水压范围内，无渗漏与形变现象。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通讯接口：根据现场情况适配网口或4G全网通，通讯协议：TCP、MQTT。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r>
      <w:tr>
        <w:trPr>
          <w:gridAfter w:val="1"/>
          <w:jc w:val="center"/>
          <w:trHeight w:val="16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育肥饲喂器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额定电压：DC24V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额定功率：36W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料桶容积：约100L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尺寸：约长 700*宽 620*高 1400mm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饲喂能力：数量≤35 头，日龄≥75 天,体重35kg-150kg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r>
      <w:tr>
        <w:trPr>
          <w:gridAfter w:val="1"/>
          <w:jc w:val="center"/>
          <w:trHeight w:val="8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智能无人值守大门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智能无人值守大门系统：</w:t>
            </w:r>
            <w:r>
              <w:rPr>
                <w:rFonts w:hint="eastAsia" w:ascii="宋体" w:hAnsi="宋体" w:cs="宋体"/>
                <w:i w:val="0"/>
                <w:iCs w:val="0"/>
                <w:color w:val="auto"/>
                <w:sz w:val="20"/>
                <w:szCs w:val="20"/>
                <w:highlight w:val="none"/>
                <w:u w:val="none"/>
                <w:lang w:val="en-US" w:eastAsia="zh-CN" w:bidi="ar"/>
              </w:rPr>
              <w:t xml:space="preserve">包含</w:t>
            </w:r>
            <w:r>
              <w:rPr>
                <w:rFonts w:hint="eastAsia" w:ascii="宋体" w:hAnsi="宋体" w:eastAsia="宋体" w:cs="宋体"/>
                <w:i w:val="0"/>
                <w:iCs w:val="0"/>
                <w:color w:val="auto"/>
                <w:sz w:val="20"/>
                <w:szCs w:val="20"/>
                <w:highlight w:val="none"/>
                <w:u w:val="none"/>
                <w:lang w:val="en-US" w:eastAsia="zh-CN" w:bidi="ar"/>
              </w:rPr>
              <w:t xml:space="preserve">电动门、</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手机远程遥控</w:t>
            </w:r>
            <w:r/>
          </w:p>
          <w:p>
            <w:pPr>
              <w:jc w:val="left"/>
              <w:keepLines w:val="0"/>
              <w:keepNext w:val="0"/>
              <w:pageBreakBefore w:val="0"/>
              <w:spacing w:line="300" w:lineRule="exact"/>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电动门材质为304不绣钢，带喷涂，可联运人脸识别，自动开关大门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cs="Times New Roman"/>
                <w:i w:val="0"/>
                <w:iCs w:val="0"/>
                <w:color w:val="auto"/>
                <w:sz w:val="20"/>
                <w:szCs w:val="20"/>
                <w:highlight w:val="none"/>
                <w:u w:val="none"/>
                <w:lang w:val="en-US" w:eastAsia="zh-CN" w:bidi="ar"/>
              </w:rPr>
              <w:t xml:space="preserve">6</w:t>
            </w:r>
            <w:r/>
          </w:p>
        </w:tc>
      </w:tr>
      <w:tr>
        <w:trPr>
          <w:gridAfter w:val="1"/>
          <w:jc w:val="center"/>
          <w:trHeight w:val="13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智慧猪场生产管理平台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母猪管理（母猪ID/状态/胎次/膘情/采食计划/采食量/产仔数管理）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保育育肥管理（日龄/采食计划/采食量）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生产过程管理（配怀/妊娠/哺乳/断奶）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指标分析（PSY,MSY等），数据管理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r>
      <w:tr>
        <w:trPr>
          <w:gridAfter w:val="1"/>
          <w:jc w:val="center"/>
          <w:trHeight w:val="24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2U 机架式服务器机箱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处理器：Hygon 7255*1 2.2G 16C 180W内存：DDR4 3200 32G*2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硬盘：标配 2TB 3.5 吋 7.2K 6Gb，可扩配 2 块 2.5”或 3.5”SAS/SATA 或 2.5”NVMe</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最大支持前置：12x2.5”或 12x3.5”SAS/SATA 或 12x2.5”NVMe支持热插拔后置：2x2.5”SAS/SATA/NVMe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内置：支持 1 个板载 M.2 SSD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机械盘转速、接口、传输速率：7200 转，SATA 接口，6GB RAID 控制器：LSI SAS3008 SAS 卡/无缓存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7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基础包（必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提供系统内的组织、人员、车辆、用户、角色、认证、区域等的配置和管理。已包含：图上监控、事件联动、视频网管。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29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视频监控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1、支持实时预览，窗口分割支持/4/6/8/9/13/16/20/25/36/64 多分屏画面显示，自定义分屏，满屏、1:1、4:3、3:4、5:4、4:5、 16:9、9:16 及 64:9 屏显比例；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2、支持监控画面参数调整；支持码流支持切换；支持客户端断网自动重连功能；支持接入车载设备，实现车载设备视频实时预览</w:t>
            </w:r>
            <w:r>
              <w:rPr>
                <w:rFonts w:hint="eastAsia" w:ascii="宋体" w:hAnsi="宋体" w:eastAsia="宋体" w:cs="宋体"/>
                <w:i w:val="0"/>
                <w:iCs w:val="0"/>
                <w:color w:val="auto"/>
                <w:sz w:val="20"/>
                <w:szCs w:val="20"/>
                <w:highlight w:val="none"/>
                <w:u w:val="none"/>
                <w:lang w:val="en-US" w:eastAsia="zh-CN" w:bidi="ar"/>
              </w:rPr>
              <w:t xml:space="preserve">和录像回放；支持接入守望者相机，实现全景守望、手动、自动跟踪目标，可配合守望者相机实现对全景区域内的多个目标绊线入侵、区域入侵的行为分析检测；支持接入周界相机，接收并展示周界相机上报的区域入侵、绊线入侵报警，并支持报警联动上墙、录像、抓图、短信、邮件、联动视频弹框、报警输出；支持热成像相机接入，实现视频实时预览和录像回放，接收并展示热成相相机上报的测温点温度异常、火情、热点冷点异常、规则间温差异常报警，并支持报警联动上墙、录像、抓图、短信、邮件、联动视频弹框、报警输出；（3）快速录像支持本地录像、远程录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3、支持轮巡、鱼眼模式、音频/对讲等。报警业务方面：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在管理端支持门禁设备增删改查以及能力集配置，支持协同采集，卡片、指纹、人脸设备数据；支持人脸原图、人脸原图+特征值、仅特征值多种下发模式；2、在客户端（1）支持按人、按部、按门组、按通道授权；支持权限综合查询；支持权限下发状态查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门禁应用支持首卡开门、多卡开门、多门互锁、反潜回、远程验证、远程开关门；（3）数据核对支持卡片核对人脸核对、全量核对、设备核对、清空重发；（4）门禁事件支持门禁刷卡记录、认证记录、补采记录查询；（5）支持门禁在电子地图上业务呈现； 4、在 APP 端支持远程开关门、蓝牙开门；5、性能方面，单节点支持：IP 添加：≤3000；主动注册：≤1000，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设备运维系统支持态势云图、资产管理、资产监控、视频联网监控；报警中心支持报警台、报警策略、自动派单；支持视频点播巡检、视频质量巡检、录像巡检、资产存储巡检、码流达标巡检、巡检任务管理等自动化巡检；支持运维考核统计、资产统计、视频通道统计、报警统计、保修统计、维修服务评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r>
      <w:tr>
        <w:trPr>
          <w:gridAfter w:val="1"/>
          <w:jc w:val="center"/>
          <w:trHeight w:val="2740"/>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non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网络存储设备</w:t>
            </w:r>
            <w:r/>
          </w:p>
        </w:tc>
        <w:tc>
          <w:tcPr>
            <w:gridSpan w:val="2"/>
            <w:shd w:val="clear" w:color="auto" w:fill="auto"/>
            <w:tcBorders>
              <w:top w:val="single" w:color="000000" w:sz="4" w:space="0"/>
              <w:left w:val="single" w:color="000000" w:sz="4" w:space="0"/>
              <w:bottom w:val="non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设备规格：</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≤3U，≥16盘位；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支持同时进行3072Mbps视（音）频码流存储，3304Mbps视（音）频码流转发、1200Mbps视（音）频码流回放；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在转发模式下，可支持6600Mbps视（音）频码流的转发；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可支持不低于800MBps的图片并发输入，同时不低于800MBps图片并发输出；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可通过IE 浏览器进行视频浏览、回放和下载；并支持多画面同时段录像同时回放，或不同时段录像同时回放；网络下载录像速度不低于150MB/s；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最多可以支持16个盘掉线或者损坏，数据仍然有效，保留的硬盘中的数据可正常读出，且新数据可正常写入.创建RAID后即为同步完成状；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支持将第三方业务平台整体嵌入在一个控制器中，同时运行。</w:t>
            </w:r>
            <w:r/>
          </w:p>
        </w:tc>
        <w:tc>
          <w:tcPr>
            <w:gridSpan w:val="2"/>
            <w:shd w:val="clear" w:color="auto" w:fill="auto"/>
            <w:tcBorders>
              <w:top w:val="single" w:color="000000" w:sz="4" w:space="0"/>
              <w:left w:val="single" w:color="000000" w:sz="4" w:space="0"/>
              <w:bottom w:val="non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99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AI模型算法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1、运猪数量趋势:支持人员洗消、车辆洗消、工牌检测、</w:t>
            </w:r>
            <w:r>
              <w:rPr>
                <w:rFonts w:hint="eastAsia" w:ascii="宋体" w:hAnsi="宋体" w:eastAsia="宋体" w:cs="宋体"/>
                <w:i w:val="0"/>
                <w:iCs w:val="0"/>
                <w:color w:val="auto"/>
                <w:sz w:val="20"/>
                <w:szCs w:val="20"/>
                <w:highlight w:val="none"/>
                <w:u w:val="none"/>
                <w:lang w:val="en-US" w:eastAsia="zh-CN" w:bidi="ar"/>
              </w:rPr>
              <w:t xml:space="preserve">工服检测和物资消毒报警五种报警数量的百分占比显示; 2、猪舍状态:支持洗澡记录的日周月中正常和异常记录的统计显示,支持洗澡记录中洗浴次数、洗浴正常次数和洗浴异常的次数的统计显示; 3、猪场报警:(1)支持选择的养殖场在时间范围为2年的报警记录查询，包括猪只回流、猪只越界和猪只超温，可全选或者单选某一种类型的报警;(2)支持查看待处理和已处理报警记录，在待处理列表中，支持某一条记录的弹框处理，并在图片区域显示相应的图标,在已处理列表中，支持某一天记录弹窗查看，并在图片区域显示相应的图标。支持记录的上下页查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746"/>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出栏盘点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numPr>
                <w:ilvl w:val="0"/>
                <w:numId w:val="1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地图显示:支持在魔墙中央区域显示养殖场在地图上的点位信息，查看点位的联系人信息;</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报警趋势:支持按照设定的时间范围显示智慧养猪、生物安全的报警趋势图;</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报警类型占比:支持按照设定的时间范围统计显示各个报警类型的占比，并以图形化进行展示; </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报警情况:支持按照设定的时间范围统计生物安全和智慧养猪的报警数量，及已处理和未处理的数量;</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猪只存栏变化趋势:支持按照设定的时间范围统计猪只类型数量的统计; </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猪只数量:支持按照设定的时间统计猪类型的统计; </w:t>
            </w:r>
            <w:r/>
          </w:p>
          <w:p>
            <w:pPr>
              <w:numPr>
                <w:ilvl w:val="0"/>
                <w:numId w:val="10"/>
              </w:numPr>
              <w:ind w:left="0" w:firstLine="0"/>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养殖场资源统计:支持统计养殖场、猪舍数、猪栏数、猪只数; </w:t>
            </w:r>
            <w:r/>
          </w:p>
          <w:p>
            <w:pPr>
              <w:numPr>
                <w:ilvl w:val="0"/>
                <w:numId w:val="0"/>
              </w:num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8、养殖场选择:支持选择相应的养殖场进行数据显示。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4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8T 企业级SATA 硬盘，≥30 天存储。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gridAfter w:val="1"/>
          <w:jc w:val="center"/>
          <w:trHeight w:val="81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85</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cs="宋体"/>
                <w:i w:val="0"/>
                <w:iCs w:val="0"/>
                <w:color w:val="auto"/>
                <w:sz w:val="20"/>
                <w:szCs w:val="20"/>
                <w:highlight w:val="none"/>
                <w:u w:val="none"/>
                <w:lang w:val="en-US" w:eastAsia="zh-CN" w:bidi="ar"/>
              </w:rPr>
              <w:t xml:space="preserve">寸触摸一体机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屏幕</w:t>
            </w:r>
            <w:r>
              <w:rPr>
                <w:rFonts w:hint="eastAsia" w:ascii="宋体" w:hAnsi="宋体" w:eastAsia="宋体" w:cs="宋体"/>
                <w:i w:val="0"/>
                <w:iCs w:val="0"/>
                <w:color w:val="auto"/>
                <w:sz w:val="20"/>
                <w:szCs w:val="20"/>
                <w:highlight w:val="none"/>
                <w:u w:val="none"/>
                <w:lang w:val="en-US" w:eastAsia="zh-CN" w:bidi="ar"/>
              </w:rPr>
              <w:t xml:space="preserve">尺寸 ：85英寸</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分辨率 ：4K超高清（3840×2160），提供清晰细腻的显示效果</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触摸技术 ：红外多点触控，支持20点触控，流畅书写和操作</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处理器 ：高性能Intel Core i7处理器（或类似性能的处理器），确保流畅运行</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内存与存储 ：8GB RAM + 256GB SSD，支持快速启动和多任务处理</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操作系统 ：双系统（Windows + Android），满足不同场景需求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防蓝光技术 ：支持防蓝光护眼功能，减少长时间使用对眼睛的伤害</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多媒体功能 ：内置高清摄像头、麦克风阵列和扬声器</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接口 ：HDMI、USB、Type-C、音频接口等，方便外接设备</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电子白板功能 ：支持手写批注、绘图、文件标注等。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2099"/>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视频解码服务器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支持4路HDMI信号输出接口；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支持4路HDMI音频输出；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支持MPEG2/MPEG4/H.264/H.265/SVAC/MJPEG标准网络视频流解码；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支持QCIF/CIF/2CIF/HD1/D1/720p/1080p/3MP/5MP/6MP/8MP/12MP/32MP视频解码；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支持通过串口控制屏幕开关；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最大支持2路32MP@25fps / 7路12MP@25fps / 10路8MP@25fps / 14路6MP@25fps / 18路5MP@25fps / 28路3MP@25fps / 36路1080p @30fps /144路D1@30fps同时解码；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支持单屏1/4/6/8/9/16/25/36分割，支持M×N自由分割；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HDMI输出接口支持3840×2160， 1920×1080， 1280×1024， 1280×720， 1024×768五种显示分辨率；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支持Onvif、RTSP协议接入，支持国标GB28181接入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支持预案轮巡；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11、</w:t>
            </w:r>
            <w:r>
              <w:rPr>
                <w:rFonts w:hint="eastAsia" w:ascii="宋体" w:hAnsi="宋体" w:eastAsia="宋体" w:cs="宋体"/>
                <w:i w:val="0"/>
                <w:iCs w:val="0"/>
                <w:color w:val="auto"/>
                <w:sz w:val="20"/>
                <w:szCs w:val="20"/>
                <w:highlight w:val="none"/>
                <w:u w:val="none"/>
                <w:lang w:val="en-US" w:eastAsia="zh-CN" w:bidi="ar"/>
              </w:rPr>
              <w:t xml:space="preserve">支持底色选择；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支持自定义分辨率输出，支持小间距LED对接；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13、</w:t>
            </w:r>
            <w:r>
              <w:rPr>
                <w:rFonts w:hint="eastAsia" w:ascii="宋体" w:hAnsi="宋体" w:eastAsia="宋体" w:cs="宋体"/>
                <w:i w:val="0"/>
                <w:iCs w:val="0"/>
                <w:color w:val="auto"/>
                <w:sz w:val="20"/>
                <w:szCs w:val="20"/>
                <w:highlight w:val="none"/>
                <w:u w:val="none"/>
                <w:lang w:val="en-US" w:eastAsia="zh-CN" w:bidi="ar"/>
              </w:rPr>
              <w:t xml:space="preserve">支持多屏融合拼接，跨屏画面毫秒级完美同步；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14、</w:t>
            </w:r>
            <w:r>
              <w:rPr>
                <w:rFonts w:hint="eastAsia" w:ascii="宋体" w:hAnsi="宋体" w:eastAsia="宋体" w:cs="宋体"/>
                <w:i w:val="0"/>
                <w:iCs w:val="0"/>
                <w:color w:val="auto"/>
                <w:sz w:val="20"/>
                <w:szCs w:val="20"/>
                <w:highlight w:val="none"/>
                <w:u w:val="none"/>
                <w:lang w:val="en-US" w:eastAsia="zh-CN" w:bidi="ar"/>
              </w:rPr>
              <w:t xml:space="preserve">支持1个10M/100M/1000M自适应以太网接口；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加强用户保密等级：HTTP的MD5加密，HTTPS和SSL证书认证，TELNET的密码修改同步应用的用户账号管理；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260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网络监控键盘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10.1英寸电容触摸屏，分辨率1280*800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支持H.265、H.264、H264H、H264B、MJPEG、MPEG4、SVAC、SmartH.264 、非标码流等；最大16画面分割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支持在触屏观看图像或通过HDMI将图像投到屏幕上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16路200W(1080p)@30fps（4096Kb/s）"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支持最大2万路设备控制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支持支持抓图、录像功能，文件保存至U盘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USB2.0和USB3.0各2个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4路报警输入，高低电平可调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4路报警输出，3路继电器，1路12V_1A可控"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78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拼接屏支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挂墙前维护支架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104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大屏幕高清线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HDMI、DVI 高清成品线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钢制定做，2 工位,≥1.2 米*0.85 米*0.75 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台式电脑整机（i7-8 代 8G 1T 固态 2G 独显 WIN10 21.5 英寸），符合新创产品要求。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24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1、执行标准：GB/T4054-2008   GB/T3047-1992、GB/T5267.1-2002、 GB/T10125-2012、Q/NJA136-2013；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2、材料采用优质冷轧钢板；表面脱脂、酸洗、防锈纳米陶瓷化、纯水清洗、粉末静电喷塑。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3、标准19 英寸设计，规格;约600mm*1200mm*2000mm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4、可选择网孔门、玻璃门、钢板门等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5、机柜可以满足顶部和底部两种方式的走线。机柜顶部配备走线孔和散热风扇，机柜底部走线孔可以按需调节大小。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6、机柜标配风扇、6 位 10A 电源、托盘、脚轮和支撑脚等配件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四、LED 全彩显示屏</w:t>
            </w:r>
            <w:r/>
          </w:p>
        </w:tc>
      </w:tr>
      <w:tr>
        <w:trPr>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4"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工程量</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一、展示厅</w:t>
            </w:r>
            <w:r/>
          </w:p>
        </w:tc>
      </w:tr>
      <w:tr>
        <w:trPr>
          <w:gridAfter w:val="1"/>
          <w:jc w:val="center"/>
          <w:trHeight w:val="55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室内 P1.8 全彩 LED 屏</w:t>
            </w:r>
            <w:r/>
          </w:p>
          <w:p>
            <w:pPr>
              <w:jc w:val="left"/>
              <w:keepLines w:val="0"/>
              <w:keepNext w:val="0"/>
              <w:pageBreakBefore w:val="0"/>
              <w:spacing w:line="300" w:lineRule="exact"/>
              <w:widowControl/>
              <w:rPr>
                <w:rFonts w:hint="default" w:eastAsia="宋体"/>
                <w:color w:val="auto"/>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(核心产品）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LED 屏尺寸：约5.76m*2.72m弧形曲面屏加包边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2、参数：产品像素点间距≤1.86mm（此项不接收负偏离）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模组尺寸：约320*160*15mm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像素密度：288906Dots/m²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像素构成：1R1G1B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换帧频率：≥60帧/秒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白平衡亮度：＞450cd/m²，亮度均匀性：＞0.95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整屏平整度：≤1mm/m²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刷新率：≥1920HZ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像素失控率：≤0.000001，且区域像素失控率≤0.000003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屏幕水平视角：140±10度，屏幕垂直视角：130±10度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换帧频率：≥60HZ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色温：3000K-18000K可调，并可 自定义色温值。 可设:100%, 75%, 50%, 25%等多挡电 平白场调节。色温 误差≤2%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灰度等级：红、绿、蓝各13-14bits.</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15.670</w:t>
            </w:r>
            <w:r/>
          </w:p>
        </w:tc>
      </w:tr>
      <w:tr>
        <w:trPr>
          <w:gridAfter w:val="1"/>
          <w:jc w:val="center"/>
          <w:trHeight w:val="57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接收卡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afterAutospacing="0"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集成12个HUB75，无需再配转接板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单卡最大带载192×1024像素，最多支持24组并行数据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支持8bit色深视频源输入输出，单色灰阶为256，可搭配出16777216种混合色彩。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支持自适应帧率技术，不仅支持23.98/24/29.97/30/50/59.94/60Hz常规及非整数帧率，还可输出显示120/240Hz高帧率画面，大幅提升画面流畅度、减少拖影。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支持色温调节，提供调整色温，即饱和度调节，增强画面表现力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支持低亮高灰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支持亮色度逐点校正，能有效消除灯点色差，保证整屏的颜色亮度的均匀性和一致性，提升整体显示效果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支持箱体标定和快速标序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支持画面旋转，单个箱体画面以90°/180°/270°角度进行旋转，配合部分主控可实现单箱体画面任意角度旋转显示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支持数据偏移，支持误码侦测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支持环路备份，支持固件备份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提供售后服务承诺书；（承诺书格式自拟）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47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 显示屏智慧控制系统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配置显示屏的性能参数，如：LED 显示屏视觉刷新率，灰度级数，移位时钟频率等；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配置显示屏的传输方式和方向；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配置控制器映射位置和大小；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保存和加载控制系统参数；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周期刷新显示屏控制系统的工作状态；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读取显示屏校正系数，手动调节显示屏的校正系数；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上传校正数据到控制系统；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配置显示屏的亮度调节模式，设置每种模式对应的参数；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配置显示屏色温列表，对显示屏进行色温调节；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对显示屏进行 Gamma 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查看当前控制系统的映射信息、版本信息，并对控制器进行授权；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显示屏画面控制，包括：画面黑屏、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画面锁定、正常显示；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6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视频处理器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最大1920X1200@60Hz 输入分辨率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最大带载780万像素，12路千兆网口输出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最宽8192像素点或最高4096像素点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支持4路信号输入:3xHDMI1.4，1xDVI</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支持单机或双机冗余备份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支持1路独立音频输入，1路独立音频输出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支持3画面显示，位置、大小可自由调节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支持视频信号任意切换，裁剪，拼接，缩放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支持HDCP高带宽数字内容保护技术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支持亮度和色温调节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支持低亮高灰，能有效地保持低亮下灰阶的完整显示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线材辅材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三芯护套线、接收卡 5V 线、网线、磁铁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控制电脑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台式电脑整机(I5-7400 8G 1T 带独立显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卡，20 英寸，符合新创产品要求。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61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righ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产品特点: 手自动一体，遥控开关，PLC远程控制，定时开关，分步上电，温度监测，烟雾监测，湿度监测。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1、额定功率：20KW，输出路数：6 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2、配电柜输入电压为交流 380V±15%，工频 50Hz。具有过压、浪涌、短路、过流、过载、漏电等保护功能。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3、内置避雷器，具有避雷防雷功能。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手动控制方式：启动按键/旋钮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功率容量（KVA）：20KW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输入接线方式：3 相 4 线&amp;地线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输入电压（V）：380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输入频率（HZ）：50/60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输出接线方式：单相两线+地线，要均匀接入 LED 显示屏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输出电压（V）：交流 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输出分路：6 路，单相交流 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分路开关容量（A）：40A，单相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分路断路器安装：轨道安装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防雷：正泰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IP 等级：IP44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工作温度（℃）：-30~70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五、机房工程</w:t>
            </w:r>
            <w:r/>
          </w:p>
        </w:tc>
      </w:tr>
      <w:tr>
        <w:trPr>
          <w:gridAfter w:val="1"/>
          <w:jc w:val="center"/>
          <w:trHeight w:val="315"/>
        </w:trPr>
        <w:tc>
          <w:tcPr>
            <w:gridSpan w:val="2"/>
            <w:shd w:val="clear" w:color="auto" w:fill="auto"/>
            <w:tcBorders>
              <w:top w:val="none" w:color="000000" w:sz="4" w:space="0"/>
              <w:left w:val="single" w:color="000000" w:sz="4" w:space="0"/>
              <w:bottom w:val="single" w:color="000000" w:sz="4" w:space="0"/>
              <w:right w:val="single" w:color="000000" w:sz="4" w:space="0"/>
            </w:tcBorders>
            <w:tcW w:w="920"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gridSpan w:val="2"/>
            <w:shd w:val="clear" w:color="auto" w:fill="auto"/>
            <w:tcBorders>
              <w:top w:val="non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none" w:color="000000" w:sz="4" w:space="0"/>
              <w:left w:val="single" w:color="000000" w:sz="4" w:space="0"/>
              <w:bottom w:val="single" w:color="000000" w:sz="4" w:space="0"/>
              <w:right w:val="single" w:color="000000" w:sz="4" w:space="0"/>
            </w:tcBorders>
            <w:tcW w:w="5600"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项目特征描述</w:t>
            </w:r>
            <w:r/>
          </w:p>
        </w:tc>
        <w:tc>
          <w:tcPr>
            <w:gridSpan w:val="2"/>
            <w:shd w:val="clear" w:color="auto" w:fill="auto"/>
            <w:tcBorders>
              <w:top w:val="none" w:color="000000" w:sz="4" w:space="0"/>
              <w:left w:val="single" w:color="000000" w:sz="4" w:space="0"/>
              <w:bottom w:val="single" w:color="000000" w:sz="4" w:space="0"/>
              <w:right w:val="single" w:color="auto"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工程量</w:t>
            </w:r>
            <w:r/>
          </w:p>
        </w:tc>
      </w:tr>
      <w:tr>
        <w:trPr>
          <w:gridAfter w:val="1"/>
          <w:jc w:val="center"/>
          <w:trHeight w:val="315"/>
        </w:trPr>
        <w:tc>
          <w:tcPr>
            <w:gridSpan w:val="9"/>
            <w:shd w:val="clear" w:color="auto" w:fill="auto"/>
            <w:tcBorders>
              <w:top w:val="single" w:color="auto" w:sz="4" w:space="0"/>
              <w:left w:val="single" w:color="auto" w:sz="4" w:space="0"/>
              <w:bottom w:val="single" w:color="auto" w:sz="4" w:space="0"/>
              <w:right w:val="single" w:color="auto"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一、网络机房</w:t>
            </w:r>
            <w:r/>
          </w:p>
        </w:tc>
      </w:tr>
      <w:tr>
        <w:trPr>
          <w:gridAfter w:val="1"/>
          <w:jc w:val="center"/>
          <w:trHeight w:val="104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支撑钢架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地板八角支撑钢架，中心荷载    挠度≤ 2mm  永久变形≤0.25mm ≥5,560N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均布荷载    挠度≤2mm  永久变形≤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0.25mm≥33,000N  极限荷载：≥16,680N</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二遍处理</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网格接地铜排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约30*3mm</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铜排固定端子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端子 4cm</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BVR25mm2</w:t>
            </w:r>
            <w:r/>
          </w:p>
        </w:tc>
        <w:tc>
          <w:tcPr>
            <w:gridSpan w:val="2"/>
            <w:shd w:val="clear" w:color="auto" w:fill="auto"/>
            <w:tcBorders>
              <w:top w:val="single" w:color="000000" w:sz="4" w:space="0"/>
              <w:left w:val="single" w:color="000000" w:sz="4" w:space="0"/>
              <w:bottom w:val="single" w:color="auto" w:sz="4" w:space="0"/>
              <w:right w:val="single" w:color="auto"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gridAfter w:val="1"/>
          <w:jc w:val="center"/>
          <w:trHeight w:val="7160"/>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non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 主机</w:t>
            </w:r>
            <w:r/>
          </w:p>
        </w:tc>
        <w:tc>
          <w:tcPr>
            <w:gridSpan w:val="2"/>
            <w:shd w:val="clear" w:color="auto" w:fill="auto"/>
            <w:tcBorders>
              <w:top w:val="single" w:color="000000" w:sz="4" w:space="0"/>
              <w:left w:val="single" w:color="000000" w:sz="4" w:space="0"/>
              <w:bottom w:val="none" w:color="000000" w:sz="4" w:space="0"/>
              <w:right w:val="single" w:color="auto"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30kVA，支持并机，可选择采用立式安装或嵌入19英寸标准机柜的机架式安装，机架式安装时高度≤5U。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兼容可立可卧安装，面板LCD重力感应自动切换横屏或竖屏显示 (可手动或自动模式)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数字化并机：并机通讯接口板采用SLOT插槽设计，单机和并机可灵活切换，方便备库存，支持并机单用、扩容、冗余、双母线等多种工作制式；支持用户无须拆机现场单机升级成并机。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（1）整机UPS效率：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100%阻性负载：≥94%；50%阻性负载：≥92%；30%阻性负载：≥90%，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（2）输出功率因素：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输出有功功率应 ≥额定容量×0.9 kW/kVA即输出PF≥0.9，输出端可带更多负载；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（3）输入电流谐波：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100%非线性负载：＜5%；50%非线性负载：＜8%；30%非线性负载：＜11%，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（4）过载能力：125%负载维持10分钟。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.安全保护：输入浪涌保护，火线对地具有保护措施，能承受更高的浪涌尖峰电压，同时，电池应具备防反接保护。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.支持选配RS232、干接点、SNMP等多种通讯卡，应用灵活。通讯协议转换卡技术平台具备锂电池监控接入技术可行性。</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蓄电池</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名称:免维护铅酸蓄电池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型号:12V100AH，设计寿命≥6年，25℃</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r>
      <w:tr>
        <w:trPr>
          <w:gridAfter w:val="1"/>
          <w:jc w:val="center"/>
          <w:trHeight w:val="814"/>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 电池架</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1、容纳 32 节 100AH 以下蓄电池；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2、尺寸：≥770*780*1230mm（宽*深*高）</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电池间连接线</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 至电池架连接线，电池间连接线</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 配电箱</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满足现场使用</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市电配电箱</w:t>
            </w:r>
            <w:r/>
          </w:p>
        </w:tc>
        <w:tc>
          <w:tcPr>
            <w:gridSpan w:val="2"/>
            <w:shd w:val="clear" w:color="auto" w:fill="auto"/>
            <w:tcBorders>
              <w:top w:val="single" w:color="000000" w:sz="4" w:space="0"/>
              <w:left w:val="single" w:color="000000" w:sz="4" w:space="0"/>
              <w:bottom w:val="single" w:color="000000" w:sz="4" w:space="0"/>
              <w:right w:val="single" w:color="auto"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满足现场使用</w:t>
            </w:r>
            <w:r/>
          </w:p>
        </w:tc>
        <w:tc>
          <w:tcPr>
            <w:gridSpan w:val="2"/>
            <w:shd w:val="clear" w:color="auto" w:fill="auto"/>
            <w:tcBorders>
              <w:top w:val="single" w:color="auto" w:sz="4" w:space="0"/>
              <w:left w:val="single" w:color="auto" w:sz="4" w:space="0"/>
              <w:bottom w:val="single" w:color="auto" w:sz="4" w:space="0"/>
              <w:right w:val="single" w:color="auto" w:sz="4" w:space="0"/>
            </w:tcBorders>
            <w:tcW w:w="797"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6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 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1、执行标准：GB/T4054-2008 GB/T3047-1992、GB/T5267.1-2002、 GB/T10125-2012、Q/NJA136-2013；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2、材料采用优质冷轧钢板；表面脱脂、酸洗、防锈纳米陶瓷化、纯水清洗、粉末静电喷塑。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3、标准 19 英寸设计，规格：约600mm*600mm*2000mm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4、可选择网孔门、玻璃门、钢板门等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5、机柜可以满足顶部和底部两种方式的走线。机柜顶部配备走线孔和散热风扇，机柜底部走线孔可以按需调节大小。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6、机柜标配风扇</w:t>
            </w:r>
            <w:r>
              <w:rPr>
                <w:rFonts w:hint="default" w:ascii="Times New Roman" w:hAnsi="Times New Roman" w:eastAsia="宋体" w:cs="Times New Roman"/>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6 位 10A 电源、托盘、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脚轮和支撑脚等配件</w:t>
            </w:r>
            <w:r/>
          </w:p>
        </w:tc>
        <w:tc>
          <w:tcPr>
            <w:gridSpan w:val="2"/>
            <w:shd w:val="clear" w:color="auto" w:fill="auto"/>
            <w:tcBorders>
              <w:top w:val="single" w:color="auto" w:sz="4" w:space="0"/>
              <w:left w:val="single" w:color="000000" w:sz="4" w:space="0"/>
              <w:bottom w:val="single" w:color="000000" w:sz="4" w:space="0"/>
              <w:right w:val="single" w:color="000000" w:sz="4" w:space="0"/>
            </w:tcBorders>
            <w:tcW w:w="79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none" w:color="000000" w:sz="4" w:space="0"/>
            </w:tcBorders>
            <w:tcW w:w="863" w:type="dxa"/>
            <w:vAlign w:val="center"/>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六、综合管网</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工程量</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一、桥架、管线</w:t>
            </w:r>
            <w:r/>
          </w:p>
        </w:tc>
      </w:tr>
      <w:tr>
        <w:trPr>
          <w:gridAfter w:val="1"/>
          <w:jc w:val="center"/>
          <w:trHeight w:val="104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金属桥架（内外喷塑） 200mm*100mm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约200mm*100mm，含吊装、壁挂支架，含连接片、横担、各类配件等，含安装桥架所需要的开洞、补洞等完成桥架安装所需要的一切工作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PVC20，含过线盒、开槽、补槽、支架等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完成配管的一切工作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PVC25，含过线盒、开槽、补槽、支架等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完成配管的一切工作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PVC40，含过线盒、支架等完成配管的一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通讯信号线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RVVP4*1.0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RVVP2*1.0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 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网络线缆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CAT5 超五类非屏蔽网线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3015</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室外阻水网线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CAT5 超五类非屏蔽阻水网线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 3*1.0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护套线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RVV3*2.5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both"/>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YTV4*16+1*10，市电柜入户、UPS 输入输出电缆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BV4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电源线、接地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BV16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二、室外工程</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波纹管 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穿线支管、周界穿线管等，波纹管 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含挖土、回填土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穿线支管、周界穿线管等，PE50mm 波纹管，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含挖土、回填土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钢制约3.5 米、内外烤漆,下径约140MM,上径约84MM,含底笼、混凝土基础。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gridAfter w:val="1"/>
          <w:jc w:val="center"/>
          <w:trHeight w:val="7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高*宽*深≥600mm*500mm*200mm，不锈钢箱体，含防水箱安装基础、安装配件、电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源漏保、空开插排等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top"/>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弱电井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约500*500*500 含井圈井盖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七、综合管理平台</w:t>
            </w:r>
            <w:r/>
          </w:p>
        </w:tc>
      </w:tr>
      <w:tr>
        <w:trPr>
          <w:gridAfter w:val="1"/>
          <w:jc w:val="center"/>
          <w:trHeight w:val="630"/>
        </w:trPr>
        <w:tc>
          <w:tcPr>
            <w:gridSpan w:val="2"/>
            <w:shd w:val="clear" w:color="auto" w:fill="auto"/>
            <w:tcBorders>
              <w:top w:val="non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号</w:t>
            </w:r>
            <w:r/>
          </w:p>
        </w:tc>
        <w:tc>
          <w:tcPr>
            <w:shd w:val="clear" w:color="auto" w:fill="auto"/>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w:t>
            </w:r>
            <w:r/>
          </w:p>
        </w:tc>
        <w:tc>
          <w:tcPr>
            <w:gridSpan w:val="2"/>
            <w:shd w:val="clear" w:color="auto" w:fill="auto"/>
            <w:tcBorders>
              <w:top w:val="non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建设模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none" w:color="000000" w:sz="4" w:space="0"/>
              <w:left w:val="single" w:color="000000" w:sz="4" w:space="0"/>
              <w:bottom w:val="single" w:color="000000" w:sz="4" w:space="0"/>
              <w:right w:val="single" w:color="000000" w:sz="4" w:space="0"/>
            </w:tcBorders>
            <w:tcW w:w="49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技术参数要求</w:t>
            </w:r>
            <w:r/>
          </w:p>
        </w:tc>
        <w:tc>
          <w:tcPr>
            <w:shd w:val="clear" w:color="auto" w:fill="auto"/>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gridSpan w:val="2"/>
            <w:shd w:val="clear" w:color="auto" w:fill="auto"/>
            <w:tcBorders>
              <w:top w:val="non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r>
      <w:tr>
        <w:trPr>
          <w:gridAfter w:val="1"/>
          <w:jc w:val="center"/>
          <w:trHeight w:val="16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基础信息维护系统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账套信息</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账套注册，支持手机号码/用户名注册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支持单点登录、权限集成管理功能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公司资料维护：公司名称，logo、简介、所属行业、地址信息等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猪场信息维护：猪场名称、简介、负责人、地址信息等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修改密码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软件功能版本购买，查看购买记录</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14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员工信息</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员工列表，添加员工，修改员工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员工权限管理：角色管理、权限分配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员工二维码管理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员工加入猪场审核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员工考核管理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系统参数</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数据字典、参数设置、指标维护、生产预警设置、会计期间设置、作业流程设置、定时任务、生产诊断设置、单据打印模板设置、操作日志、登录日志、报告格式设置等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02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生产管理系统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存栏情况图表及列表呈现、常用功能设置，猪价行情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配种情况、分娩情况、哺乳猪成活率、保育猪成活率、育成/育肥成活率图表展示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生产预警、淘汰建议、今日任务</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188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基础数据录入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栋舍管理，包括栋舍添加、修改、删除、栋舍绑定猪群、栋舍绑定饲养员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种猪档案管理，包括母猪档案、公猪档案，支持各种条件组合查询，支持档案批量导入导出及打印、系谱导入导出及打印，支持查看猪档案详情，包括基本信息、生产记录、繁殖记录、系谱等。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种猪系谱打印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后裔品种设置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生产目标设置</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7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繁殖数据录入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采精检测记录、母猪发情记录、母猪配种记录、母猪孕检记录、母猪流产记录、母猪产仔记录、断奶记录、测膘记录、母猪寄养记录</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4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变动数据录入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公猪入群记录、种猪批次管理、商品猪批次管理、种猪转入记录、种猪死亡记录、种猪淘汰记录、种猪淘汰计划、种猪出栏记录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商品猪转出记录、商品猪转入记录、商品猪死淘记录、商品猪出栏记录、育成转后备记录、后备转育肥记录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月末盘点记录，支持按栋舍、批次、猪群盘点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健康管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理录入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免疫程序、免疫计划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种猪免疫记录、商品猪免疫记录</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7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第三方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系统数据对接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支持分娩数据、断奶数据同步到开福育种系统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支持生产数据同步到金蝶财务系统</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3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进销存系统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待审批采购/维修单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待审批仓库药品、饲料、物资的出入库单据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库存预警、兽药过期预警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存栏情况、销售情况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饲料成本、药品成本价格排名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置</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进销存数据字典、单据编号规则设置、审批流程管理、作业指南、参数设置</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理</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厂家档案维护、供应商档案维护、采购审批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销售管理</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客户档案、销售订单管理、销售清单、销售品名设置、种猪售后管理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药品仓库管理、药品管理、采购目录、采购申请、出入库管理、药品调拨、药品实时库存查看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饲料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饲料仓库管理、饲料管理、饲料配方及加工、饲料采购及审批、饲料出入库管理、饲料盘点、饲料调拨、饲料库存实时查看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物资管理</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物资仓库管理、物资管理、物资采购及审批、物资出入库管理、物资盘点、物资调拨、物资实时库存查看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报表系统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周报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支持按繁殖情况、失配情况（空返流）、猪只变动情况、内销、上市、死亡情况、淘汰情况、存栏情况</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gridAfter w:val="1"/>
          <w:jc w:val="center"/>
          <w:trHeight w:val="78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月报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支持查看配种情况、分娩情况、断奶情况、失配情况（空返流）、引种、猪群变动、内销、上市、死亡、淘汰、存栏情况、指标分析等数据汇总统计</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表</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种猪存栏动态表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报表</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公猪母猪档案表、配种相关报表、产房相关报表、生产汇总报表等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保育/育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成报表</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转舍、死淘、出栏等报表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进销存报表</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收发存汇总报表、出入库明细报表、采购报表、调拨报表、猪只销售报表、种猪购买明细表等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综合报告</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生产服务报告、指标中心、集团指标分析报表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26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育种系统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遗传评估</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计算 BLUP/REML 相关值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近交系数计算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血统血缘划分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测定数据录入</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78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选种选配</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1.选种选配方案生产，支持选母猪、选公猪然后一键生成选配方案、导出成 excel 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2.公猪分群、母猪分群</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78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移动端（安卓， IOS）</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集团存栏分析、集团指标分析、集团成本分析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数据录入（配种、妊检、分娩、流产、断奶、转舍、死亡、淘汰等等）、生产报表、员工日志、员工日志点评、销售报表、生产诊断等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猪场日常数据采集业务，例如配种、妊检、产仔、断奶等等数据记录</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经营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存栏模块、销售模块、生产情况模块、非生产天数模块、历史数据分析等等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消息</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今日任务、预警数据、销售信息（系统信息提醒）</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我的</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设置、密码、我的头像等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234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移动端（手持终端）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录入</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支持离线录入，录入前需要先更新基础数据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妊娠舍数据采集：包括电子标签绑定栏位、猪档案、查清、配种、孕检、流产、转舍、死亡、测膘/批量测膘、免疫、保健、后备入群、淘汰计划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分娩舍（母猪）数据采集：包括电子标签绑定栏位、猪档案、分娩数据、转舍、流产、死亡、断奶、免疫、保健、淘汰计划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分娩舍（仔猪）：转入、转出、称重、死淘、免疫、保健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保育舍：包括电子标签绑定栏位、转入、转出、死淘、免疫、保健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育肥舍：包括电子标签绑定栏位、转入、转出、死淘、免疫、保健</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我的</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我的资料维护、数据批量上传、智能设备设置、蓝牙设备管理、物资领用等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63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生物安全-微信小程序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出控制</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人员入场申请、审批、检测，支持红码、橙码、绿码通行管理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31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车辆进出控制</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车辆入场申请、审批、检测，支持红码、橙码、绿码通行管理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305"/>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数据大屏系统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环控</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猪舍环控监控大屏，显示温度、湿度，对异常的情况标红显示。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猪场摄像头 AI 监控大屏，通过 AI 判断录制 N 秒视频记录异常情况，包括外来动物预警、人员跨越预警、人员是否洗手消毒监控、人员进入生产各个单元在门口是否在门口消毒液中蘸脚、猪只离开栏位、黄色胶鞋识别、红色工服识别，防止各个生产区的衣服乱串引起的生物安全风险。</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790"/>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水电</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用水用电监控大屏，监控实时用水数据，本年累计、本周、本月及今日用水量统计，异常用水栋舍，日用水量图表展现、月用水量图表展现、各个猪场用水量排名。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930"/>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单个猪场</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猪场综合数据大屏：主要包括财务分析，展现猪场营业成本、收入及利润；销售达成情况（计划和实际）；销售员 KPI；生产管理综合诊断；猪场存栏情况；猪场生产情况（配种、分娩、断奶等情况）；任务看板、定岗定编。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猪场生产数据大屏：包括繁殖指标（比如后备配种日龄天数、受胎率、分娩率、窝均活仔、窝均总仔，窝均断奶、7 天断配比）；配种情况（配流产、配后备、配空怀、配返情、配断奶）；产仔情况分析（产活仔、木乃伊、畸形、死胎）；品种均产仔数；胎龄产仔分析。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销售数据大屏：按日期区间查询数据；集团销售汇总，内容包括交易额统计，趋势图；实时销售订单展现，内容包括订单号、销售的猪只类型，销售的场区，客户名称，点击可以查看明细；地图呈现销售分布图，以便用户可以直观了解到市场分布情况，颜色深的表示销量好的，颜色浅的表明销量不佳，空白的表示就是市场空白，有待开发。集团销售品名汇总，具体包括比如种猪销售多少头、淘汰猪销售多少头、生猪销售多少头、苗猪销售多少头，淘汰销售分析图表；种猪区域销售排名，内容包括销售头数、总重、均重、单价、金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预警数据大屏：主要包括生产预警及仓库库存预警，其中生产预警包括超多少日龄未配种、断奶后天数预警、配种后超期为分娩预警、分娩后超期为断奶预警、空怀天数预警、流产未配母猪预警、超龄生产公猪预警、两胎产仔过低预警，在场淘汰猪预警等。仓库预警主要包括库存上下限预警、兽药过期预警（7 天内过期、8-30 天过期、31-60 天过期、已过期、30-60 天未使用兽药、超 60 天未使用）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猪场财务数据大屏：支持单个、多个猪场选择然后开始对比；显示猪场的收入（柱状图）、支出（柱状图）、净利润（柱状图）；营业成本总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计、净利润总计、营业收入总计</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4675"/>
        </w:trPr>
        <w:tc>
          <w:tcPr>
            <w:gridSpan w:val="2"/>
            <w:shd w:val="clear" w:color="auto" w:fill="auto"/>
            <w:tcBorders>
              <w:top w:val="single" w:color="000000" w:sz="4" w:space="0"/>
              <w:left w:val="single" w:color="000000" w:sz="4" w:space="0"/>
              <w:bottom w:val="none" w:color="000000" w:sz="4" w:space="0"/>
              <w:right w:val="single" w:color="000000" w:sz="4" w:space="0"/>
            </w:tcBorders>
            <w:tcW w:w="920"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91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集团汇总</w:t>
            </w:r>
            <w:r/>
          </w:p>
        </w:tc>
        <w:tc>
          <w:tcPr>
            <w:shd w:val="clear" w:color="auto" w:fill="auto"/>
            <w:tcBorders>
              <w:top w:val="single" w:color="000000" w:sz="4" w:space="0"/>
              <w:left w:val="single" w:color="000000" w:sz="4" w:space="0"/>
              <w:bottom w:val="none" w:color="000000" w:sz="4" w:space="0"/>
              <w:right w:val="single" w:color="000000" w:sz="4" w:space="0"/>
            </w:tcBorders>
            <w:tcW w:w="4950" w:type="dxa"/>
            <w:vAlign w:val="top"/>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综合数据大屏：主要包括显示集团/公司介绍；销售汇总（交易额、销售折线图）；地图展现集团旗下的猪场分布图，可缩小或放大地图查看，点击地图上的猪场可进入猪场详情页面；集团存栏分析，显示各个猪群的存栏量，全群存栏数量是多少；显示集团旗下猪场列表（显示猪场类型、规模、存栏等数据）；展现生猪价格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生产数据大屏：提供按月查询数据；各个指标排名，内容包括场区、计划值、指标实际值；集团配种情况，内容包括场区、目标配种数、已配头数、达成率；集团分娩分析，内容包括场区、目标分娩窝数、已分娩窝数，达成率；集团生产诊断，点击可以执行从新诊断、各个场区分数排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销售数据大屏：按日期区间查询数据；集团销售汇总，内容包括交易额统计，趋势图；实时销售订单展现，内容包括订单号、销售的猪只类型，销售的场区，客户名称，点击可以查看明细；地图呈现销售分布图，以便用户可以直观了解到市场分布情况，颜色深的表示销量好的，颜色浅的表明销量不佳，空白的表示就是市场空白，有待开发。集团销售品名汇总，具体包括比如种猪销售多少头、淘汰猪销售多少头、生猪销售多少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苗猪销售多少头，淘汰销售分析图表；种猪区域销售排名，内容包括销售头数、总重、均重、单价、金额。</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4</w:t>
            </w:r>
            <w:r>
              <w:rPr>
                <w:rFonts w:hint="eastAsia"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预警数据大屏：主要包括生产预警及仓库库存预警，其中生产预警包括超多少日龄未配种、断奶后天数预警、配种后超期为分娩预警、分娩后超期为断奶预警、空怀天数预警、流产未配母猪预警、超龄生产公猪预警、两胎产仔过低预警，在场淘汰猪预警等。仓库预警主要包括库存上下限预警、兽药过期预警（</w:t>
            </w:r>
            <w:r>
              <w:rPr>
                <w:rFonts w:hint="default" w:ascii="Times New Roman" w:hAnsi="Times New Roman" w:eastAsia="宋体" w:cs="Times New Roman"/>
                <w:i w:val="0"/>
                <w:iCs w:val="0"/>
                <w:color w:val="auto"/>
                <w:sz w:val="20"/>
                <w:szCs w:val="20"/>
                <w:highlight w:val="none"/>
                <w:u w:val="none"/>
                <w:lang w:val="en-US" w:eastAsia="zh-CN" w:bidi="ar"/>
              </w:rPr>
              <w:t xml:space="preserve">7 </w:t>
            </w:r>
            <w:r>
              <w:rPr>
                <w:rFonts w:hint="eastAsia" w:ascii="宋体" w:hAnsi="宋体" w:eastAsia="宋体" w:cs="宋体"/>
                <w:i w:val="0"/>
                <w:iCs w:val="0"/>
                <w:color w:val="auto"/>
                <w:sz w:val="20"/>
                <w:szCs w:val="20"/>
                <w:highlight w:val="none"/>
                <w:u w:val="none"/>
                <w:lang w:val="en-US" w:eastAsia="zh-CN" w:bidi="ar"/>
              </w:rPr>
              <w:t xml:space="preserve">天内过期、</w:t>
            </w:r>
            <w:r>
              <w:rPr>
                <w:rFonts w:hint="default" w:ascii="Times New Roman" w:hAnsi="Times New Roman" w:eastAsia="宋体" w:cs="Times New Roman"/>
                <w:i w:val="0"/>
                <w:iCs w:val="0"/>
                <w:color w:val="auto"/>
                <w:sz w:val="20"/>
                <w:szCs w:val="20"/>
                <w:highlight w:val="none"/>
                <w:u w:val="none"/>
                <w:lang w:val="en-US" w:eastAsia="zh-CN" w:bidi="ar"/>
              </w:rPr>
              <w:t xml:space="preserve">8-30 </w:t>
            </w:r>
            <w:r>
              <w:rPr>
                <w:rFonts w:hint="eastAsia" w:ascii="宋体" w:hAnsi="宋体" w:eastAsia="宋体" w:cs="宋体"/>
                <w:i w:val="0"/>
                <w:iCs w:val="0"/>
                <w:color w:val="auto"/>
                <w:sz w:val="20"/>
                <w:szCs w:val="20"/>
                <w:highlight w:val="none"/>
                <w:u w:val="none"/>
                <w:lang w:val="en-US" w:eastAsia="zh-CN" w:bidi="ar"/>
              </w:rPr>
              <w:t xml:space="preserve">天过期、</w:t>
            </w:r>
            <w:r>
              <w:rPr>
                <w:rFonts w:hint="default" w:ascii="Times New Roman" w:hAnsi="Times New Roman" w:eastAsia="宋体" w:cs="Times New Roman"/>
                <w:i w:val="0"/>
                <w:iCs w:val="0"/>
                <w:color w:val="auto"/>
                <w:sz w:val="20"/>
                <w:szCs w:val="20"/>
                <w:highlight w:val="none"/>
                <w:u w:val="none"/>
                <w:lang w:val="en-US" w:eastAsia="zh-CN" w:bidi="ar"/>
              </w:rPr>
              <w:t xml:space="preserve">31-60 </w:t>
            </w:r>
            <w:r>
              <w:rPr>
                <w:rFonts w:hint="eastAsia" w:ascii="宋体" w:hAnsi="宋体" w:eastAsia="宋体" w:cs="宋体"/>
                <w:i w:val="0"/>
                <w:iCs w:val="0"/>
                <w:color w:val="auto"/>
                <w:sz w:val="20"/>
                <w:szCs w:val="20"/>
                <w:highlight w:val="none"/>
                <w:u w:val="none"/>
                <w:lang w:val="en-US" w:eastAsia="zh-CN" w:bidi="ar"/>
              </w:rPr>
              <w:t xml:space="preserve">天过期、已过期、</w:t>
            </w:r>
            <w:r>
              <w:rPr>
                <w:rFonts w:hint="default" w:ascii="Times New Roman" w:hAnsi="Times New Roman" w:eastAsia="宋体" w:cs="Times New Roman"/>
                <w:i w:val="0"/>
                <w:iCs w:val="0"/>
                <w:color w:val="auto"/>
                <w:sz w:val="20"/>
                <w:szCs w:val="20"/>
                <w:highlight w:val="none"/>
                <w:u w:val="none"/>
                <w:lang w:val="en-US" w:eastAsia="zh-CN" w:bidi="ar"/>
              </w:rPr>
              <w:t xml:space="preserve">30-60 </w:t>
            </w:r>
            <w:r>
              <w:rPr>
                <w:rFonts w:hint="eastAsia" w:ascii="宋体" w:hAnsi="宋体" w:eastAsia="宋体" w:cs="宋体"/>
                <w:i w:val="0"/>
                <w:iCs w:val="0"/>
                <w:color w:val="auto"/>
                <w:sz w:val="20"/>
                <w:szCs w:val="20"/>
                <w:highlight w:val="none"/>
                <w:u w:val="none"/>
                <w:lang w:val="en-US" w:eastAsia="zh-CN" w:bidi="ar"/>
              </w:rPr>
              <w:t xml:space="preserve">天未使用兽药、超</w:t>
            </w:r>
            <w:r>
              <w:rPr>
                <w:rFonts w:hint="default" w:ascii="Times New Roman" w:hAnsi="Times New Roman" w:eastAsia="宋体" w:cs="Times New Roman"/>
                <w:i w:val="0"/>
                <w:iCs w:val="0"/>
                <w:color w:val="auto"/>
                <w:sz w:val="20"/>
                <w:szCs w:val="20"/>
                <w:highlight w:val="none"/>
                <w:u w:val="none"/>
                <w:lang w:val="en-US" w:eastAsia="zh-CN" w:bidi="ar"/>
              </w:rPr>
              <w:t xml:space="preserve"> 60 </w:t>
            </w:r>
            <w:r>
              <w:rPr>
                <w:rFonts w:hint="eastAsia" w:ascii="宋体" w:hAnsi="宋体" w:eastAsia="宋体" w:cs="宋体"/>
                <w:i w:val="0"/>
                <w:iCs w:val="0"/>
                <w:color w:val="auto"/>
                <w:sz w:val="20"/>
                <w:szCs w:val="20"/>
                <w:highlight w:val="none"/>
                <w:u w:val="none"/>
                <w:lang w:val="en-US" w:eastAsia="zh-CN" w:bidi="ar"/>
              </w:rPr>
              <w:t xml:space="preserve">天未使用）</w:t>
            </w:r>
            <w:r>
              <w:rPr>
                <w:rFonts w:hint="default" w:ascii="Times New Roman" w:hAnsi="Times New Roman" w:eastAsia="宋体" w:cs="Times New Roman"/>
                <w:i w:val="0"/>
                <w:iCs w:val="0"/>
                <w:color w:val="auto"/>
                <w:sz w:val="20"/>
                <w:szCs w:val="20"/>
                <w:highlight w:val="none"/>
                <w:u w:val="none"/>
                <w:lang w:val="en-US" w:eastAsia="zh-CN" w:bidi="ar"/>
              </w:rPr>
              <w:br/>
            </w:r>
            <w:r>
              <w:rPr>
                <w:rFonts w:hint="default" w:ascii="Times New Roman" w:hAnsi="Times New Roman" w:eastAsia="宋体" w:cs="Times New Roman"/>
                <w:i w:val="0"/>
                <w:iCs w:val="0"/>
                <w:color w:val="auto"/>
                <w:sz w:val="20"/>
                <w:szCs w:val="20"/>
                <w:highlight w:val="none"/>
                <w:u w:val="none"/>
                <w:lang w:val="en-US" w:eastAsia="zh-CN" w:bidi="ar"/>
              </w:rPr>
              <w:t xml:space="preserve">5</w:t>
            </w:r>
            <w:r>
              <w:rPr>
                <w:rFonts w:hint="eastAsia"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集团成本数据大屏：落地成本、断奶成本、成本汇总，头均成本，总金额，展示过期</w:t>
            </w:r>
            <w:r>
              <w:rPr>
                <w:rFonts w:hint="default" w:ascii="Times New Roman" w:hAnsi="Times New Roman" w:eastAsia="宋体" w:cs="Times New Roman"/>
                <w:i w:val="0"/>
                <w:iCs w:val="0"/>
                <w:color w:val="auto"/>
                <w:sz w:val="20"/>
                <w:szCs w:val="20"/>
                <w:highlight w:val="none"/>
                <w:u w:val="none"/>
                <w:lang w:val="en-US" w:eastAsia="zh-CN" w:bidi="ar"/>
              </w:rPr>
              <w:t xml:space="preserve"> 6 </w:t>
            </w:r>
            <w:r>
              <w:rPr>
                <w:rFonts w:hint="eastAsia" w:ascii="宋体" w:hAnsi="宋体" w:eastAsia="宋体" w:cs="宋体"/>
                <w:i w:val="0"/>
                <w:iCs w:val="0"/>
                <w:color w:val="auto"/>
                <w:sz w:val="20"/>
                <w:szCs w:val="20"/>
                <w:highlight w:val="none"/>
                <w:u w:val="none"/>
                <w:lang w:val="en-US" w:eastAsia="zh-CN" w:bidi="ar"/>
              </w:rPr>
              <w:t xml:space="preserve">个月成本趋势图，展现成本结构饼图（饲料、兽药、人工水电等、制造费用），每个成本要素所发生的金额及合计。</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restart"/>
            <w:textDirection w:val="lrTb"/>
            <w:noWrap/>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猪场 3D数字孪生系统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猪场内部 3D： 3D 仿真定制</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基于物联网电子标签的应用，猪场管理系统的实时业务数据的支撑，生动地模拟了现实栏位中的猪只动态，做到了现实栏位中当前是什么猪，在 3D 模型中就是什么猪，现实和虚拟世界的一一对应，如有转舍/淘汰/死亡等状态更新，大屏上也会及时更新。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猪只动态 3D 模型，动态模拟真实的杜洛克、长白、大白猪的特征，真实展现在模拟的栏舍中，并加入动画实现猪只动起来，更接近真实的效果。并且实现和猪只的交互，点击猪只可以查看猪只的档案，系谱，体况，生产状态，如果是公猪可以查看该头公猪的采精记录等。</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r>
        <w:trPr>
          <w:gridAfter w:val="1"/>
          <w:jc w:val="center"/>
          <w:trHeight w:val="79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猪场内部 3D：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物联网</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实时监控，智能摄像头监控，并实时收集猪场环境温度、湿度、氨气、饲料耗用等，全局了解猪场状况。</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104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猪场内部 3D：风险预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警</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default" w:ascii="Times New Roman" w:hAnsi="Times New Roman"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管理规范化，自驱力打分，通过减分项暴露不足，指导猪场不断自我驱动捡回丢分项，让猪场持续保持健康良好状态，以提高猪场生产效益。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此外还包括淘汰建议等预警信息。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2605"/>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vMerge w:val="continue"/>
            <w:textDirection w:val="lrTb"/>
            <w:noWrap/>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left"/>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决策依据：数据应用</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猪场大量相关数据统计分析，并通过数字孪生技术构建透明化的猪场，为客户提供更科学，更直观的决策依据。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具体表现在，以公猪站为例：展示公猪站实时猪场存栏情况，公猪年龄结构，淘汰建议，公猪生产管理诊断打分，显示分数，并且还可以重新检测；实时显示销售情况，近 7 天、30 天、一个月等的猪精销量情况，图表呈现。视频监控，监控猪场周边生物安全防控，比如有什么车辆经过，车牌号是什么等。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提供更详细的猪场生产情况，销售情况，销售数量的统计，地图呈现市场分布，颜色色块比较深的表明销量较好，颜色浅的，空白的地方表明市场空白有待开发。</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注：所投综合管理平台需在云上部署，中标方需提供云服务器</w:t>
            </w:r>
            <w:r/>
          </w:p>
        </w:tc>
      </w:tr>
      <w:tr>
        <w:trPr>
          <w:gridAfter w:val="1"/>
          <w:jc w:val="center"/>
          <w:trHeight w:val="315"/>
        </w:trPr>
        <w:tc>
          <w:tcPr>
            <w:gridSpan w:val="9"/>
            <w:shd w:val="clear" w:color="auto" w:fill="auto"/>
            <w:tcBorders>
              <w:top w:val="single" w:color="000000" w:sz="4" w:space="0"/>
              <w:left w:val="single" w:color="000000" w:sz="4" w:space="0"/>
              <w:bottom w:val="single" w:color="000000" w:sz="4" w:space="0"/>
              <w:right w:val="single" w:color="000000" w:sz="4" w:space="0"/>
            </w:tcBorders>
            <w:tcW w:w="9169"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二、综合视频管理平台</w:t>
            </w:r>
            <w:r/>
          </w:p>
        </w:tc>
      </w:tr>
      <w:tr>
        <w:trPr>
          <w:gridAfter w:val="1"/>
          <w:jc w:val="center"/>
          <w:trHeight w:val="1120"/>
        </w:trPr>
        <w:tc>
          <w:tcPr>
            <w:gridSpan w:val="2"/>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综合视频管理平台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平台必须满足信息系统安全等级保护三级要求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平台支持的的接入协议，需包括标准GB28181、GA35114、ONVIF、大华海康SDK、以及其他国标拓展协议；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对支持远近调焦和云台转动的摄像机，客户端在浏览监控图像的同时可以对监控点摄像机进行云镜控制；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支持实况录像水印功能，防盗窃泄露；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支持分权分域，用户组管理：支持用户组的添加、修改和删除，支持用户组信息维护，平台能够对账号进行分级管理，提供多种角色管理；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平台需提供基于电脑PC客户端（32位、64位，支持国产操作系统）。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平台提供安卓手机客户端、苹果IOS客户端；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平台具备云侧算法算法配置；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平台支持设备智能巡检，包括设备状态、网络状况、画面画质检测、历史视频质量检测；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10、</w:t>
            </w:r>
            <w:r>
              <w:rPr>
                <w:rFonts w:hint="eastAsia" w:ascii="宋体" w:hAnsi="宋体" w:eastAsia="宋体" w:cs="宋体"/>
                <w:i w:val="0"/>
                <w:iCs w:val="0"/>
                <w:color w:val="auto"/>
                <w:sz w:val="20"/>
                <w:szCs w:val="20"/>
                <w:highlight w:val="none"/>
                <w:u w:val="none"/>
                <w:lang w:val="en-US" w:eastAsia="zh-CN" w:bidi="ar"/>
              </w:rPr>
              <w:t xml:space="preserve">平台具备云端算法分析能力，支持单路视频配置多种智能分析算法，抽帧服务不大于5秒；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11、</w:t>
            </w:r>
            <w:r>
              <w:rPr>
                <w:rFonts w:hint="eastAsia" w:ascii="宋体" w:hAnsi="宋体" w:eastAsia="宋体" w:cs="宋体"/>
                <w:i w:val="0"/>
                <w:iCs w:val="0"/>
                <w:color w:val="auto"/>
                <w:sz w:val="20"/>
                <w:szCs w:val="20"/>
                <w:highlight w:val="none"/>
                <w:u w:val="none"/>
                <w:lang w:val="en-US" w:eastAsia="zh-CN" w:bidi="ar"/>
              </w:rPr>
              <w:t xml:space="preserve">图片抓拍：支持监控录像抓拍功能，系统可以自动和手动抓拍图片，并将抓拍结果保存在云端，随时调阅；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平台支持数据分层存储，根据不同热度和不同的存储场景需求，支持资源分配以及存储介质匹配；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平台支持设备支持经纬度标注，实时显示设备在线地图位置。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r>
    </w:tbl>
    <w:p>
      <w:pPr>
        <w:ind w:firstLine="480"/>
        <w:jc w:val="left"/>
        <w:spacing w:line="440" w:lineRule="exact"/>
        <w:rPr>
          <w:rFonts w:hint="eastAsia" w:ascii="宋体" w:hAnsi="宋体"/>
          <w:sz w:val="24"/>
          <w:szCs w:val="24"/>
        </w:rPr>
      </w:pPr>
      <w:r>
        <w:rPr>
          <w:rFonts w:hint="eastAsia" w:ascii="宋体" w:hAnsi="宋体"/>
          <w:sz w:val="24"/>
          <w:szCs w:val="24"/>
        </w:rPr>
      </w:r>
      <w:r/>
    </w:p>
    <w:p>
      <w:pPr>
        <w:pStyle w:val="891"/>
        <w:jc w:val="left"/>
        <w:keepLines w:val="0"/>
        <w:pageBreakBefore w:val="0"/>
        <w:spacing w:line="520" w:lineRule="exact"/>
        <w:widowControl w:val="off"/>
        <w:tabs>
          <w:tab w:val="left" w:pos="0" w:leader="none"/>
          <w:tab w:val="left" w:pos="3165" w:leader="none"/>
          <w:tab w:val="center" w:pos="4153" w:leader="none"/>
        </w:tabs>
        <w:rPr>
          <w:rFonts w:hint="eastAsia" w:cs="Times New Roman" w:asciiTheme="minorEastAsia" w:hAnsiTheme="minorEastAsia" w:eastAsiaTheme="minorEastAsia"/>
          <w:b/>
          <w:bCs/>
          <w:color w:val="auto"/>
          <w:sz w:val="24"/>
          <w:szCs w:val="24"/>
          <w:lang w:eastAsia="zh-CN"/>
        </w:rPr>
      </w:pPr>
      <w:r>
        <w:rPr>
          <w:rFonts w:hint="eastAsia" w:cs="Times New Roman" w:asciiTheme="minorEastAsia" w:hAnsiTheme="minorEastAsia" w:eastAsiaTheme="minorEastAsia"/>
          <w:b/>
          <w:bCs/>
          <w:color w:val="auto"/>
          <w:sz w:val="24"/>
          <w:szCs w:val="24"/>
          <w:lang w:val="en-US" w:eastAsia="zh-CN"/>
        </w:rPr>
        <w:t xml:space="preserve">二</w:t>
      </w:r>
      <w:r>
        <w:rPr>
          <w:rFonts w:hint="eastAsia" w:cs="Times New Roman" w:asciiTheme="minorEastAsia" w:hAnsiTheme="minorEastAsia" w:eastAsiaTheme="minorEastAsia"/>
          <w:b/>
          <w:bCs/>
          <w:color w:val="auto"/>
          <w:sz w:val="24"/>
          <w:szCs w:val="24"/>
          <w:lang w:eastAsia="zh-Hans"/>
        </w:rPr>
        <w:t xml:space="preserve">、投标单位必须考虑项目的实施情况，包括但不仅限上述清单内容，中标后必须保证项目的正常实施运行，且所有辅材、配件等相关设备不再增加任何费用</w:t>
      </w:r>
      <w:r>
        <w:rPr>
          <w:rFonts w:hint="eastAsia" w:cs="Times New Roman" w:asciiTheme="minorEastAsia" w:hAnsiTheme="minorEastAsia" w:eastAsiaTheme="minorEastAsia"/>
          <w:b/>
          <w:bCs/>
          <w:color w:val="auto"/>
          <w:sz w:val="24"/>
          <w:szCs w:val="24"/>
          <w:lang w:eastAsia="zh-CN"/>
        </w:rPr>
        <w:t xml:space="preserve">。</w:t>
      </w:r>
      <w:r/>
    </w:p>
    <w:p>
      <w:pPr>
        <w:pStyle w:val="891"/>
        <w:jc w:val="left"/>
        <w:keepLines w:val="0"/>
        <w:pageBreakBefore w:val="0"/>
        <w:spacing w:line="52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color w:val="auto"/>
          <w:sz w:val="24"/>
          <w:szCs w:val="24"/>
          <w:highlight w:val="none"/>
          <w:lang w:bidi="ar"/>
        </w:rPr>
      </w:pPr>
      <w:r>
        <w:rPr>
          <w:rFonts w:hint="eastAsia" w:cs="Times New Roman" w:asciiTheme="minorEastAsia" w:hAnsiTheme="minorEastAsia" w:eastAsiaTheme="minorEastAsia"/>
          <w:b/>
          <w:bCs/>
          <w:color w:val="auto"/>
          <w:sz w:val="24"/>
          <w:szCs w:val="24"/>
          <w:lang w:val="en-US" w:eastAsia="zh-CN"/>
        </w:rPr>
        <w:t xml:space="preserve">三、</w:t>
      </w:r>
      <w:r>
        <w:rPr>
          <w:rFonts w:hint="eastAsia" w:cs="Times New Roman" w:asciiTheme="minorEastAsia" w:hAnsiTheme="minorEastAsia" w:eastAsiaTheme="minorEastAsia"/>
          <w:b/>
          <w:bCs/>
          <w:color w:val="auto"/>
          <w:sz w:val="24"/>
          <w:szCs w:val="24"/>
          <w:lang w:eastAsia="zh-Hans"/>
        </w:rPr>
        <w:t xml:space="preserve">付款方式：</w:t>
      </w:r>
      <w:r>
        <w:rPr>
          <w:rFonts w:hint="eastAsia" w:asciiTheme="minorEastAsia" w:hAnsiTheme="minorEastAsia" w:eastAsiaTheme="minorEastAsia" w:cstheme="minorEastAsia"/>
          <w:color w:val="auto"/>
          <w:sz w:val="24"/>
          <w:szCs w:val="24"/>
          <w:highlight w:val="none"/>
          <w:lang w:bidi="ar"/>
        </w:rPr>
        <w:t xml:space="preserve">合同签定后7日内支付合同总价的30%作为预付款（中标人须提供合同总价30%的</w:t>
      </w:r>
      <w:r>
        <w:rPr>
          <w:rFonts w:hint="eastAsia" w:asciiTheme="minorEastAsia" w:hAnsiTheme="minorEastAsia" w:eastAsiaTheme="minorEastAsia" w:cstheme="minorEastAsia"/>
          <w:color w:val="auto"/>
          <w:sz w:val="24"/>
          <w:szCs w:val="24"/>
          <w:highlight w:val="none"/>
          <w:lang w:val="en-US" w:eastAsia="zh-CN" w:bidi="ar"/>
        </w:rPr>
        <w:t xml:space="preserve">预付款</w:t>
      </w:r>
      <w:r>
        <w:rPr>
          <w:rFonts w:hint="eastAsia" w:asciiTheme="minorEastAsia" w:hAnsiTheme="minorEastAsia" w:eastAsiaTheme="minorEastAsia" w:cstheme="minorEastAsia"/>
          <w:color w:val="auto"/>
          <w:sz w:val="24"/>
          <w:szCs w:val="24"/>
          <w:highlight w:val="none"/>
          <w:lang w:bidi="ar"/>
        </w:rPr>
        <w:t xml:space="preserve">银行保函），</w:t>
      </w:r>
      <w:r>
        <w:rPr>
          <w:rFonts w:hint="eastAsia" w:asciiTheme="minorEastAsia" w:hAnsiTheme="minorEastAsia" w:eastAsiaTheme="minorEastAsia" w:cstheme="minorEastAsia"/>
          <w:color w:val="auto"/>
          <w:sz w:val="24"/>
          <w:szCs w:val="24"/>
          <w:highlight w:val="none"/>
          <w:lang w:val="en-US" w:eastAsia="zh-CN" w:bidi="ar"/>
        </w:rPr>
        <w:t xml:space="preserve">货物</w:t>
      </w:r>
      <w:r>
        <w:rPr>
          <w:rFonts w:hint="eastAsia" w:asciiTheme="minorEastAsia" w:hAnsiTheme="minorEastAsia" w:eastAsiaTheme="minorEastAsia" w:cstheme="minorEastAsia"/>
          <w:color w:val="auto"/>
          <w:sz w:val="24"/>
          <w:szCs w:val="24"/>
          <w:highlight w:val="none"/>
          <w:lang w:bidi="ar"/>
        </w:rPr>
        <w:t xml:space="preserve">全部完成且</w:t>
      </w:r>
      <w:r>
        <w:rPr>
          <w:rFonts w:hint="eastAsia" w:asciiTheme="minorEastAsia" w:hAnsiTheme="minorEastAsia" w:eastAsiaTheme="minorEastAsia" w:cstheme="minorEastAsia"/>
          <w:color w:val="auto"/>
          <w:sz w:val="24"/>
          <w:szCs w:val="24"/>
          <w:highlight w:val="none"/>
          <w:lang w:val="en-US" w:eastAsia="zh-CN" w:bidi="ar"/>
        </w:rPr>
        <w:t xml:space="preserve">经采购人验收</w:t>
      </w:r>
      <w:r>
        <w:rPr>
          <w:rFonts w:hint="eastAsia" w:asciiTheme="minorEastAsia" w:hAnsiTheme="minorEastAsia" w:eastAsiaTheme="minorEastAsia" w:cstheme="minorEastAsia"/>
          <w:color w:val="auto"/>
          <w:sz w:val="24"/>
          <w:szCs w:val="24"/>
          <w:highlight w:val="none"/>
          <w:lang w:bidi="ar"/>
        </w:rPr>
        <w:t xml:space="preserve">合格后付至合同</w:t>
      </w:r>
      <w:r>
        <w:rPr>
          <w:rFonts w:hint="eastAsia" w:asciiTheme="minorEastAsia" w:hAnsiTheme="minorEastAsia" w:eastAsiaTheme="minorEastAsia" w:cstheme="minorEastAsia"/>
          <w:color w:val="auto"/>
          <w:sz w:val="24"/>
          <w:szCs w:val="24"/>
          <w:highlight w:val="none"/>
          <w:lang w:val="en-US" w:eastAsia="zh-CN" w:bidi="ar"/>
        </w:rPr>
        <w:t xml:space="preserve">金额</w:t>
      </w:r>
      <w:r>
        <w:rPr>
          <w:rFonts w:hint="eastAsia" w:asciiTheme="minorEastAsia" w:hAnsiTheme="minorEastAsia" w:eastAsiaTheme="minorEastAsia" w:cstheme="minorEastAsia"/>
          <w:color w:val="auto"/>
          <w:sz w:val="24"/>
          <w:szCs w:val="24"/>
          <w:highlight w:val="none"/>
          <w:lang w:bidi="ar"/>
        </w:rPr>
        <w:t xml:space="preserve">的50%；</w:t>
      </w:r>
      <w:r>
        <w:rPr>
          <w:rFonts w:hint="eastAsia" w:asciiTheme="minorEastAsia" w:hAnsiTheme="minorEastAsia" w:eastAsiaTheme="minorEastAsia" w:cstheme="minorEastAsia"/>
          <w:color w:val="auto"/>
          <w:sz w:val="24"/>
          <w:szCs w:val="24"/>
          <w:highlight w:val="none"/>
          <w:lang w:val="en-US" w:eastAsia="zh-CN" w:bidi="ar"/>
        </w:rPr>
        <w:t xml:space="preserve">待项目验收合格满一年后付</w:t>
      </w:r>
      <w:r>
        <w:rPr>
          <w:rFonts w:hint="eastAsia" w:asciiTheme="minorEastAsia" w:hAnsiTheme="minorEastAsia" w:eastAsiaTheme="minorEastAsia" w:cstheme="minorEastAsia"/>
          <w:color w:val="auto"/>
          <w:sz w:val="24"/>
          <w:szCs w:val="24"/>
          <w:highlight w:val="none"/>
          <w:lang w:bidi="ar"/>
        </w:rPr>
        <w:t xml:space="preserve">审计价的80%；</w:t>
      </w:r>
      <w:r>
        <w:rPr>
          <w:rFonts w:hint="eastAsia" w:asciiTheme="minorEastAsia" w:hAnsiTheme="minorEastAsia" w:eastAsiaTheme="minorEastAsia" w:cstheme="minorEastAsia"/>
          <w:color w:val="auto"/>
          <w:sz w:val="24"/>
          <w:szCs w:val="24"/>
          <w:highlight w:val="none"/>
          <w:lang w:val="en-US" w:eastAsia="zh-CN" w:bidi="ar"/>
        </w:rPr>
        <w:t xml:space="preserve">余款待项目验收合格</w:t>
      </w:r>
      <w:r>
        <w:rPr>
          <w:rFonts w:hint="eastAsia" w:asciiTheme="minorEastAsia" w:hAnsiTheme="minorEastAsia" w:eastAsiaTheme="minorEastAsia" w:cstheme="minorEastAsia"/>
          <w:color w:val="auto"/>
          <w:sz w:val="24"/>
          <w:szCs w:val="24"/>
          <w:highlight w:val="none"/>
          <w:lang w:bidi="ar"/>
        </w:rPr>
        <w:t xml:space="preserve">满两年</w:t>
      </w:r>
      <w:r>
        <w:rPr>
          <w:rFonts w:hint="eastAsia" w:asciiTheme="minorEastAsia" w:hAnsiTheme="minorEastAsia" w:eastAsiaTheme="minorEastAsia" w:cstheme="minorEastAsia"/>
          <w:color w:val="auto"/>
          <w:sz w:val="24"/>
          <w:szCs w:val="24"/>
          <w:highlight w:val="none"/>
          <w:lang w:val="en-US" w:eastAsia="zh-CN" w:bidi="ar"/>
        </w:rPr>
        <w:t xml:space="preserve">后按审计价一次性</w:t>
      </w:r>
      <w:r>
        <w:rPr>
          <w:rFonts w:hint="eastAsia" w:asciiTheme="minorEastAsia" w:hAnsiTheme="minorEastAsia" w:eastAsiaTheme="minorEastAsia" w:cstheme="minorEastAsia"/>
          <w:b w:val="0"/>
          <w:bCs w:val="0"/>
          <w:color w:val="auto"/>
          <w:sz w:val="24"/>
          <w:szCs w:val="24"/>
          <w:highlight w:val="none"/>
          <w:lang w:bidi="ar"/>
        </w:rPr>
        <w:t xml:space="preserve">结清</w:t>
      </w:r>
      <w:r>
        <w:rPr>
          <w:rFonts w:hint="eastAsia" w:asciiTheme="minorEastAsia" w:hAnsiTheme="minorEastAsia" w:eastAsiaTheme="minorEastAsia" w:cstheme="minorEastAsia"/>
          <w:color w:val="auto"/>
          <w:sz w:val="24"/>
          <w:szCs w:val="24"/>
          <w:highlight w:val="none"/>
          <w:lang w:bidi="ar"/>
        </w:rPr>
        <w:t xml:space="preserve">。（结算时，投标人须提供税务发票。收到发票后10个工作日支付）</w:t>
      </w:r>
      <w:bookmarkEnd w:id="112"/>
      <w:r/>
    </w:p>
    <w:p>
      <w:pPr>
        <w:keepLines w:val="0"/>
        <w:pageBreakBefore w:val="0"/>
        <w:spacing w:line="520" w:lineRule="exact"/>
        <w:widowControl w:val="off"/>
        <w:rPr>
          <w:rFonts w:hint="eastAsia" w:ascii="宋体" w:hAnsi="宋体" w:cs="宋体"/>
          <w:b/>
          <w:bCs/>
          <w:sz w:val="24"/>
          <w:szCs w:val="24"/>
        </w:rPr>
      </w:pPr>
      <w:r>
        <w:rPr>
          <w:rFonts w:hint="eastAsia" w:ascii="宋体" w:hAnsi="宋体"/>
          <w:b/>
          <w:bCs/>
          <w:sz w:val="24"/>
          <w:szCs w:val="24"/>
          <w:lang w:val="en-US" w:eastAsia="zh-CN"/>
        </w:rPr>
        <w:t xml:space="preserve">四</w:t>
      </w:r>
      <w:r>
        <w:rPr>
          <w:rFonts w:hint="eastAsia" w:ascii="宋体" w:hAnsi="宋体"/>
          <w:b/>
          <w:bCs/>
          <w:sz w:val="24"/>
          <w:szCs w:val="24"/>
          <w:lang w:eastAsia="zh-Hans"/>
        </w:rPr>
        <w:t xml:space="preserve">、安全责任</w:t>
      </w:r>
      <w:r>
        <w:rPr>
          <w:rFonts w:hint="eastAsia" w:ascii="宋体" w:hAnsi="宋体" w:cs="宋体"/>
          <w:b/>
          <w:bCs/>
          <w:sz w:val="24"/>
          <w:szCs w:val="24"/>
        </w:rPr>
        <w:t xml:space="preserve">：</w:t>
      </w:r>
      <w:r/>
    </w:p>
    <w:p>
      <w:pPr>
        <w:ind w:firstLine="480"/>
        <w:keepLines w:val="0"/>
        <w:pageBreakBefore w:val="0"/>
        <w:spacing w:line="520" w:lineRule="exact"/>
        <w:widowControl w:val="off"/>
        <w:rPr>
          <w:rFonts w:hint="eastAsia" w:ascii="宋体" w:hAnsi="宋体" w:cs="宋体"/>
          <w:bCs/>
          <w:sz w:val="24"/>
          <w:szCs w:val="24"/>
        </w:rPr>
      </w:pPr>
      <w:r>
        <w:rPr>
          <w:rFonts w:hint="eastAsia" w:ascii="宋体" w:hAnsi="宋体" w:cs="宋体"/>
          <w:bCs/>
          <w:sz w:val="24"/>
          <w:szCs w:val="24"/>
        </w:rPr>
        <w:t xml:space="preserve">中标人在合同执行期间实施本项目的一切安全责任由中标人自行负责和承担。</w:t>
      </w:r>
      <w:r/>
    </w:p>
    <w:p>
      <w:pPr>
        <w:keepLines w:val="0"/>
        <w:pageBreakBefore w:val="0"/>
        <w:spacing w:line="520" w:lineRule="exact"/>
        <w:widowControl w:val="off"/>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、特别说明：</w:t>
      </w:r>
      <w:r/>
    </w:p>
    <w:p>
      <w:pPr>
        <w:ind w:firstLine="480"/>
        <w:keepLines w:val="0"/>
        <w:pageBreakBefore w:val="0"/>
        <w:spacing w:line="520" w:lineRule="exact"/>
        <w:widowControl w:val="off"/>
        <w:rPr>
          <w:rFonts w:hint="eastAsia" w:ascii="宋体" w:hAnsi="宋体" w:cs="宋体"/>
          <w:bCs/>
          <w:sz w:val="24"/>
          <w:szCs w:val="24"/>
        </w:rPr>
      </w:pPr>
      <w:r>
        <w:rPr>
          <w:rFonts w:hint="eastAsia" w:ascii="宋体" w:hAnsi="宋体" w:cs="宋体"/>
          <w:bCs/>
          <w:sz w:val="24"/>
          <w:szCs w:val="24"/>
        </w:rPr>
        <w:t xml:space="preserve">1.本项目的项目负责人是组织和完成本工作的核心技术人员，须有较强的组织和协调能力。</w:t>
      </w:r>
      <w:r/>
    </w:p>
    <w:p>
      <w:pPr>
        <w:ind w:firstLine="480"/>
        <w:keepLines w:val="0"/>
        <w:pageBreakBefore w:val="0"/>
        <w:spacing w:line="520" w:lineRule="exact"/>
        <w:widowControl w:val="off"/>
        <w:rPr>
          <w:rFonts w:hint="eastAsia" w:ascii="宋体" w:hAnsi="宋体" w:cs="宋体"/>
          <w:bCs/>
          <w:sz w:val="24"/>
          <w:szCs w:val="24"/>
        </w:rPr>
      </w:pPr>
      <w:r>
        <w:rPr>
          <w:rFonts w:hint="eastAsia" w:ascii="宋体" w:hAnsi="宋体" w:cs="宋体"/>
          <w:bCs/>
          <w:sz w:val="24"/>
          <w:szCs w:val="24"/>
        </w:rPr>
        <w:t xml:space="preserve">2.供应商可自行前往现场踏勘。未踏勘现场或踏勘工作不详细的供应商中标后，不得以不完全了解现场情况为理由而向采购人提出任何索赔或其他要求，对此采购人不承担任何责任并将不做任何答复。</w:t>
      </w:r>
      <w:r/>
    </w:p>
    <w:p>
      <w:pPr>
        <w:ind w:firstLine="480"/>
        <w:keepLines w:val="0"/>
        <w:pageBreakBefore w:val="0"/>
        <w:spacing w:line="520" w:lineRule="exact"/>
        <w:widowControl w:val="off"/>
        <w:rPr>
          <w:rFonts w:hint="eastAsia" w:ascii="宋体" w:hAnsi="宋体" w:cs="宋体"/>
          <w:bCs/>
          <w:sz w:val="24"/>
          <w:szCs w:val="24"/>
        </w:rPr>
      </w:pPr>
      <w:r>
        <w:rPr>
          <w:rFonts w:hint="eastAsia" w:ascii="宋体" w:hAnsi="宋体" w:cs="宋体"/>
          <w:bCs/>
          <w:sz w:val="24"/>
          <w:szCs w:val="24"/>
        </w:rPr>
        <w:t xml:space="preserve">3.供应商应了解现场区域划分位置。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jc w:val="center"/>
        <w:pageBreakBefore/>
        <w:spacing w:before="50" w:line="360" w:lineRule="auto"/>
        <w:rPr>
          <w:rFonts w:ascii="黑体" w:hAnsi="Arial" w:eastAsia="黑体"/>
          <w:color w:val="000000"/>
          <w:sz w:val="44"/>
          <w:szCs w:val="44"/>
        </w:rPr>
      </w:pPr>
      <w:r/>
      <w:bookmarkStart w:id="113"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r/>
    </w:p>
    <w:p>
      <w:pPr>
        <w:ind w:firstLine="482"/>
        <w:keepLines w:val="0"/>
        <w:keepNext w:val="0"/>
        <w:pageBreakBefore w:val="0"/>
        <w:spacing w:line="288" w:lineRule="auto"/>
        <w:rPr>
          <w:sz w:val="24"/>
          <w:szCs w:val="24"/>
        </w:rPr>
      </w:pPr>
      <w:r/>
      <w:bookmarkStart w:id="114" w:name="OLE_LINK21"/>
      <w:r>
        <w:rPr>
          <w:rFonts w:hint="eastAsia"/>
          <w:b/>
          <w:bCs/>
          <w:sz w:val="24"/>
          <w:szCs w:val="24"/>
        </w:rPr>
        <w:t xml:space="preserve">一、评标方法及定标原则</w:t>
      </w:r>
      <w:r/>
    </w:p>
    <w:p>
      <w:pPr>
        <w:pStyle w:val="683"/>
        <w:ind w:firstLine="480"/>
        <w:jc w:val="both"/>
        <w:keepLines w:val="0"/>
        <w:keepNext w:val="0"/>
        <w:pageBreakBefore w:val="0"/>
        <w:spacing w:beforeAutospacing="0" w:afterAutospacing="0" w:line="288" w:lineRule="auto"/>
        <w:rPr>
          <w:rFonts w:hint="eastAsia" w:ascii="宋体" w:hAnsi="宋体" w:cs="宋体"/>
          <w:szCs w:val="24"/>
        </w:rPr>
      </w:pPr>
      <w:r>
        <w:rPr>
          <w:rFonts w:hint="eastAsia" w:ascii="宋体" w:hAnsi="宋体" w:cs="宋体"/>
          <w:szCs w:val="24"/>
        </w:rPr>
        <w:t xml:space="preserve">本项目采用</w:t>
      </w:r>
      <w:r>
        <w:rPr>
          <w:rFonts w:hint="eastAsia" w:ascii="宋体" w:hAnsi="宋体" w:cs="宋体"/>
          <w:szCs w:val="24"/>
          <w:u w:val="single"/>
        </w:rPr>
        <w:t xml:space="preserve"> 综合评分 </w:t>
      </w:r>
      <w:r>
        <w:rPr>
          <w:rFonts w:hint="eastAsia" w:ascii="宋体" w:hAnsi="宋体" w:cs="宋体"/>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cs="宋体"/>
          <w:szCs w:val="24"/>
          <w:u w:val="single"/>
        </w:rPr>
        <w:t xml:space="preserve">1</w:t>
      </w:r>
      <w:r>
        <w:rPr>
          <w:rFonts w:hint="eastAsia" w:ascii="宋体" w:hAnsi="宋体" w:cs="宋体"/>
          <w:szCs w:val="24"/>
        </w:rPr>
        <w:t xml:space="preserve">名中标候选人。</w:t>
      </w:r>
      <w:r/>
    </w:p>
    <w:p>
      <w:pPr>
        <w:ind w:firstLine="480"/>
        <w:jc w:val="left"/>
        <w:keepLines w:val="0"/>
        <w:keepNext w:val="0"/>
        <w:pageBreakBefore w:val="0"/>
        <w:spacing w:line="288" w:lineRule="auto"/>
        <w:widowControl/>
        <w:rPr>
          <w:rFonts w:hint="eastAsia" w:ascii="宋体" w:hAnsi="宋体" w:cs="宋体"/>
          <w:b/>
          <w:bCs/>
          <w:color w:val="000000"/>
          <w:sz w:val="24"/>
          <w:szCs w:val="20"/>
        </w:rPr>
      </w:pPr>
      <w:r/>
      <w:bookmarkStart w:id="115" w:name="OLE_LINK10"/>
      <w:r>
        <w:rPr>
          <w:rFonts w:hint="eastAsia" w:ascii="宋体" w:hAnsi="宋体" w:cs="宋体"/>
          <w:b/>
          <w:bCs/>
          <w:color w:val="000000"/>
          <w:sz w:val="24"/>
          <w:szCs w:val="20"/>
        </w:rPr>
        <w:t xml:space="preserve">政府采购政策功能落实</w:t>
      </w:r>
      <w:r/>
    </w:p>
    <w:p>
      <w:pPr>
        <w:pStyle w:val="683"/>
        <w:ind w:firstLine="480"/>
        <w:keepLines w:val="0"/>
        <w:keepNext w:val="0"/>
        <w:pageBreakBefore w:val="0"/>
        <w:spacing w:before="120" w:beforeAutospacing="0" w:after="120" w:afterAutospacing="0" w:line="288" w:lineRule="auto"/>
        <w:rPr>
          <w:rFonts w:hint="eastAsia" w:ascii="宋体" w:hAnsi="宋体"/>
        </w:rPr>
      </w:pPr>
      <w:r/>
      <w:bookmarkStart w:id="116" w:name="OLE_LINK9"/>
      <w:r>
        <w:rPr>
          <w:rFonts w:hint="eastAsia" w:ascii="宋体" w:hAnsi="宋体" w:cs="宋体"/>
          <w:color w:val="000000"/>
        </w:rPr>
        <w:t xml:space="preserve">1.小微型企业价格扣除</w:t>
      </w:r>
      <w:r/>
    </w:p>
    <w:p>
      <w:pPr>
        <w:pStyle w:val="683"/>
        <w:ind w:firstLine="360"/>
        <w:keepLines w:val="0"/>
        <w:keepNext w:val="0"/>
        <w:pageBreakBefore w:val="0"/>
        <w:spacing w:before="120" w:beforeAutospacing="0" w:after="120" w:afterAutospacing="0" w:line="288" w:lineRule="auto"/>
        <w:rPr>
          <w:rFonts w:hint="eastAsia" w:ascii="宋体" w:hAnsi="宋体" w:cs="宋体"/>
          <w:color w:val="000000"/>
        </w:rPr>
      </w:pPr>
      <w:r>
        <w:rPr>
          <w:rFonts w:hint="eastAsia" w:ascii="宋体" w:hAnsi="宋体" w:cs="宋体"/>
          <w:color w:val="000000"/>
        </w:rPr>
        <w:t xml:space="preserve">（1）本项目对小型和微型企业产品给予</w:t>
      </w:r>
      <w:r>
        <w:rPr>
          <w:rFonts w:hint="eastAsia" w:ascii="宋体" w:hAnsi="宋体" w:cs="宋体"/>
          <w:color w:val="000000"/>
          <w:u w:val="single"/>
        </w:rPr>
        <w:t xml:space="preserve">20%</w:t>
      </w:r>
      <w:r>
        <w:rPr>
          <w:rFonts w:hint="eastAsia" w:ascii="宋体" w:hAnsi="宋体" w:cs="宋体"/>
          <w:color w:val="000000"/>
        </w:rPr>
        <w:t xml:space="preserve">的扣除价格，用扣除后的价格参与评审。</w:t>
      </w:r>
      <w:r/>
    </w:p>
    <w:p>
      <w:pPr>
        <w:pStyle w:val="683"/>
        <w:ind w:firstLine="36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（2）供应商需按照采购文件的要求提供相应的《小微企业声明函》。</w:t>
      </w:r>
      <w:r/>
    </w:p>
    <w:p>
      <w:pPr>
        <w:pStyle w:val="683"/>
        <w:ind w:firstLine="36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（3）企业标准请参照《关于印发中小企业划型标准规定的通知》（工信部联企业[2011]300号）文件规定自行填写。</w:t>
      </w:r>
      <w:r/>
    </w:p>
    <w:p>
      <w:pPr>
        <w:pStyle w:val="683"/>
        <w:ind w:firstLine="48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2.残疾人福利单位价格扣除</w:t>
      </w:r>
      <w:r/>
    </w:p>
    <w:p>
      <w:pPr>
        <w:pStyle w:val="683"/>
        <w:ind w:left="120" w:firstLine="360"/>
        <w:keepLines w:val="0"/>
        <w:keepNext w:val="0"/>
        <w:pageBreakBefore w:val="0"/>
        <w:spacing w:before="120" w:beforeAutospacing="0" w:after="120" w:afterAutospacing="0" w:line="288" w:lineRule="auto"/>
        <w:rPr>
          <w:rFonts w:hint="eastAsia"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p>
    <w:p>
      <w:pPr>
        <w:pStyle w:val="683"/>
        <w:ind w:left="120" w:firstLine="36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（2）残疾人福利单位需按照采购文件的要求提供《残疾人福利性单位声明函》。</w:t>
      </w:r>
      <w:r/>
    </w:p>
    <w:p>
      <w:pPr>
        <w:pStyle w:val="683"/>
        <w:ind w:left="120" w:firstLine="36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（3）残疾人福利单位标准请参照《关于促进残疾人就业政府采购政策的通知》（财库〔2017〕141号）。</w:t>
      </w:r>
      <w:r/>
    </w:p>
    <w:p>
      <w:pPr>
        <w:pStyle w:val="683"/>
        <w:ind w:firstLine="48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3.监狱和戒毒企业价格扣除</w:t>
      </w:r>
      <w:r/>
    </w:p>
    <w:p>
      <w:pPr>
        <w:pStyle w:val="683"/>
        <w:ind w:firstLine="480"/>
        <w:keepLines w:val="0"/>
        <w:keepNext w:val="0"/>
        <w:pageBreakBefore w:val="0"/>
        <w:spacing w:before="120" w:beforeAutospacing="0" w:after="120" w:afterAutospacing="0" w:line="288" w:lineRule="auto"/>
        <w:rPr>
          <w:rFonts w:hint="eastAsia"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p>
    <w:p>
      <w:pPr>
        <w:pStyle w:val="683"/>
        <w:ind w:firstLine="48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3"/>
        <w:ind w:firstLine="48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（3）监狱企业标准请参照《关于政府采购支持监狱企业发展有关问题的通知》（财库[2014]68号）。</w:t>
      </w:r>
      <w:r/>
    </w:p>
    <w:p>
      <w:pPr>
        <w:pStyle w:val="683"/>
        <w:ind w:firstLine="480"/>
        <w:keepLines w:val="0"/>
        <w:keepNext w:val="0"/>
        <w:pageBreakBefore w:val="0"/>
        <w:spacing w:before="120" w:beforeAutospacing="0" w:after="120" w:afterAutospacing="0" w:line="288" w:lineRule="auto"/>
        <w:rPr>
          <w:rFonts w:hint="eastAsia" w:ascii="宋体" w:hAnsi="宋体"/>
        </w:rPr>
      </w:pPr>
      <w:r>
        <w:rPr>
          <w:rFonts w:hint="eastAsia" w:ascii="宋体" w:hAnsi="宋体" w:cs="宋体"/>
          <w:color w:val="000000"/>
        </w:rPr>
        <w:t xml:space="preserve">4.残疾人福利单位、监狱企业属于小型、微型企业的，不重复享受政策。</w:t>
      </w:r>
      <w:r/>
    </w:p>
    <w:p>
      <w:pPr>
        <w:pStyle w:val="683"/>
        <w:ind w:firstLine="480"/>
        <w:keepLines w:val="0"/>
        <w:keepNext w:val="0"/>
        <w:pageBreakBefore w:val="0"/>
        <w:spacing w:before="120" w:beforeAutospacing="0" w:after="120" w:afterAutospacing="0" w:line="288" w:lineRule="auto"/>
        <w:rPr>
          <w:rFonts w:hint="eastAsia"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p>
    <w:p>
      <w:pPr>
        <w:pStyle w:val="683"/>
        <w:ind w:firstLine="480"/>
        <w:keepLines w:val="0"/>
        <w:keepNext w:val="0"/>
        <w:pageBreakBefore w:val="0"/>
        <w:spacing w:before="120" w:beforeAutospacing="0" w:after="120" w:afterAutospacing="0" w:line="288" w:lineRule="auto"/>
        <w:rPr>
          <w:rFonts w:hint="eastAsia" w:ascii="宋体" w:hAnsi="宋体" w:cs="宋体"/>
          <w:color w:val="000000"/>
          <w:u w:val="single"/>
        </w:rPr>
      </w:pPr>
      <w:r>
        <w:rPr>
          <w:rFonts w:hint="eastAsia" w:ascii="宋体" w:hAnsi="宋体" w:cs="宋体"/>
          <w:color w:val="000000"/>
        </w:rPr>
        <w:t xml:space="preserve">6.联合体各方均为小型、微型企业（残疾人福利单位、监狱企业）的，联合体享受</w:t>
      </w:r>
      <w:r>
        <w:rPr>
          <w:rFonts w:hint="eastAsia" w:ascii="宋体" w:hAnsi="宋体" w:cs="宋体"/>
          <w:color w:val="000000"/>
          <w:u w:val="single"/>
        </w:rPr>
        <w:t xml:space="preserve">20%。</w:t>
      </w:r>
      <w:r/>
    </w:p>
    <w:p>
      <w:pPr>
        <w:ind w:firstLine="480"/>
        <w:keepLines w:val="0"/>
        <w:keepNext w:val="0"/>
        <w:pageBreakBefore w:val="0"/>
        <w:spacing w:line="288" w:lineRule="auto"/>
        <w:rPr>
          <w:rFonts w:hint="eastAsia" w:ascii="宋体" w:hAnsi="宋体" w:cs="宋体"/>
          <w:color w:val="ff0000"/>
          <w:sz w:val="24"/>
        </w:rPr>
      </w:pPr>
      <w:r>
        <w:rPr>
          <w:rFonts w:hint="eastAsia" w:ascii="宋体" w:hAnsi="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 xml:space="preserve">如属政府强制采购产品未提供认证证书的或认证证书提供不全的将视为未实质性响应采购要求</w:t>
      </w:r>
      <w:r>
        <w:rPr>
          <w:rFonts w:hint="eastAsia" w:ascii="宋体" w:hAnsi="宋体" w:cs="宋体"/>
          <w:color w:val="ff0000"/>
          <w:sz w:val="24"/>
        </w:rPr>
        <w:t xml:space="preserve">。其他条件相同情况下，应当优先采购节能产品、环境标志产品。</w:t>
      </w:r>
      <w:r/>
    </w:p>
    <w:p>
      <w:pPr>
        <w:ind w:firstLine="480"/>
        <w:keepLines w:val="0"/>
        <w:keepNext w:val="0"/>
        <w:pageBreakBefore w:val="0"/>
        <w:spacing w:line="288" w:lineRule="auto"/>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288" w:lineRule="auto"/>
        <w:rPr>
          <w:rFonts w:hint="eastAsia" w:ascii="宋体" w:hAnsi="宋体" w:cs="宋体"/>
          <w:color w:val="ff0000"/>
          <w:sz w:val="24"/>
        </w:rPr>
      </w:pPr>
      <w:r>
        <w:rPr>
          <w:rFonts w:hint="eastAsia" w:ascii="宋体" w:hAnsi="宋体" w:cs="宋体"/>
          <w:color w:val="ff0000"/>
          <w:sz w:val="24"/>
        </w:rPr>
        <w:t xml:space="preserve">9.本文件中若涉及到数据中心采购，应按照《&lt;绿色数据中心政府采购需求标准（试行）&gt;的通知》（财库〔2023〕7号）执行。</w:t>
      </w:r>
      <w:bookmarkEnd w:id="115"/>
      <w:r/>
      <w:bookmarkEnd w:id="116"/>
      <w:r/>
      <w:r/>
    </w:p>
    <w:p>
      <w:pPr>
        <w:ind w:firstLine="482"/>
        <w:spacing w:line="420" w:lineRule="exact"/>
        <w:rPr>
          <w:rFonts w:ascii="黑体" w:eastAsia="黑体"/>
          <w:bCs/>
        </w:rPr>
      </w:pPr>
      <w:r>
        <w:rPr>
          <w:rFonts w:hint="eastAsia" w:ascii="宋体" w:hAnsi="宋体" w:cs="宋体"/>
          <w:b/>
          <w:bCs/>
          <w:sz w:val="24"/>
          <w:szCs w:val="24"/>
        </w:rPr>
        <w:t xml:space="preserve">二、评标标准</w:t>
      </w:r>
      <w:r/>
    </w:p>
    <w:tbl>
      <w:tblPr>
        <w:tblStyle w:val="65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46"/>
        <w:gridCol w:w="1701"/>
        <w:gridCol w:w="1306"/>
        <w:gridCol w:w="5781"/>
      </w:tblGrid>
      <w:tr>
        <w:trPr>
          <w:jc w:val="center"/>
          <w:trHeight w:val="798"/>
        </w:trPr>
        <w:tc>
          <w:tcPr>
            <w:tcW w:w="84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1701"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组成</w:t>
            </w:r>
            <w:r/>
          </w:p>
        </w:tc>
        <w:tc>
          <w:tcPr>
            <w:tcW w:w="1306" w:type="dxa"/>
            <w:vAlign w:val="center"/>
            <w:vMerge w:val="restart"/>
            <w:textDirection w:val="lrTb"/>
            <w:noWrap/>
          </w:tcPr>
          <w:p>
            <w:pPr>
              <w:jc w:val="cente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分值</w:t>
            </w:r>
            <w:r/>
          </w:p>
        </w:tc>
        <w:tc>
          <w:tcPr>
            <w:tcW w:w="5781"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评分标准</w:t>
            </w:r>
            <w:r/>
          </w:p>
        </w:tc>
      </w:tr>
      <w:tr>
        <w:trPr>
          <w:jc w:val="center"/>
          <w:trHeight w:val="90"/>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价格部分</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宋体" w:hAnsi="宋体"/>
                <w:color w:val="auto"/>
                <w:sz w:val="21"/>
                <w:szCs w:val="21"/>
                <w:highlight w:val="none"/>
              </w:rPr>
            </w:pPr>
            <w:r/>
            <w:bookmarkStart w:id="117" w:name="OLE_LINK18"/>
            <w:r>
              <w:rPr>
                <w:rFonts w:hint="eastAsia" w:ascii="宋体" w:hAnsi="宋体"/>
                <w:color w:val="auto"/>
                <w:sz w:val="21"/>
                <w:szCs w:val="21"/>
                <w:highlight w:val="none"/>
              </w:rPr>
              <w:t xml:space="preserve">1、评标总价是指通过资格审查、符合性检查且实质性响应招标文件要求，经修正、落实政府采购政策功能扣除后的总价。</w:t>
            </w:r>
            <w:r/>
          </w:p>
          <w:p>
            <w:pP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2、评标基准价=评标总价中的最低总价。</w:t>
            </w:r>
            <w:r/>
          </w:p>
          <w:p>
            <w:pP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3、当投标人的评标总价等于评标基准价的得</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分，其他投标人的价格分按照下列公式计算：评标总价得分=（评标基准价/评标总价）×</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分（计算结果保留2位小数，第三位四舍五入）。</w:t>
            </w:r>
            <w:bookmarkEnd w:id="117"/>
            <w:r/>
            <w:r/>
          </w:p>
        </w:tc>
      </w:tr>
      <w:tr>
        <w:trPr>
          <w:jc w:val="center"/>
          <w:trHeight w:val="226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技术要求</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0分</w:t>
            </w:r>
            <w:r/>
          </w:p>
        </w:tc>
        <w:tc>
          <w:tcPr>
            <w:tcW w:w="5781" w:type="dxa"/>
            <w:vAlign w:val="center"/>
            <w:textDirection w:val="lrTb"/>
            <w:noWrap/>
          </w:tcPr>
          <w:p>
            <w:pPr>
              <w:keepLines w:val="0"/>
              <w:keepNext w:val="0"/>
              <w:pageBreakBefore w:val="0"/>
              <w:spacing w:line="400" w:lineRule="exact"/>
              <w:widowControl w:val="off"/>
              <w:rPr>
                <w:rStyle w:val="889"/>
                <w:rFonts w:hint="default" w:cs="等线" w:asciiTheme="minorEastAsia" w:hAnsiTheme="minorEastAsia" w:eastAsiaTheme="minorEastAsia"/>
                <w:color w:val="auto"/>
                <w:sz w:val="21"/>
                <w:szCs w:val="21"/>
                <w:highlight w:val="none"/>
                <w:lang w:bidi="ar"/>
              </w:rPr>
            </w:pPr>
            <w:r>
              <w:rPr>
                <w:rStyle w:val="889"/>
                <w:rFonts w:hint="default" w:cs="等线" w:asciiTheme="minorEastAsia" w:hAnsiTheme="minorEastAsia" w:eastAsiaTheme="minorEastAsia"/>
                <w:color w:val="auto"/>
                <w:sz w:val="21"/>
                <w:szCs w:val="21"/>
                <w:highlight w:val="none"/>
                <w:lang w:bidi="ar"/>
              </w:rPr>
              <w:t xml:space="preserve">1、投标人所投产品性能要求完全满足（或正偏离）招标文件“第四章 “</w:t>
            </w:r>
            <w:r>
              <w:rPr>
                <w:rStyle w:val="889"/>
                <w:rFonts w:hint="eastAsia" w:cs="等线" w:asciiTheme="minorEastAsia" w:hAnsiTheme="minorEastAsia" w:eastAsiaTheme="minorEastAsia"/>
                <w:color w:val="auto"/>
                <w:sz w:val="21"/>
                <w:szCs w:val="21"/>
                <w:highlight w:val="none"/>
                <w:lang w:val="en-US" w:eastAsia="zh-CN" w:bidi="ar"/>
              </w:rPr>
              <w:t xml:space="preserve">技术参数要求</w:t>
            </w:r>
            <w:r>
              <w:rPr>
                <w:rStyle w:val="889"/>
                <w:rFonts w:hint="default" w:cs="等线" w:asciiTheme="minorEastAsia" w:hAnsiTheme="minorEastAsia" w:eastAsiaTheme="minorEastAsia"/>
                <w:color w:val="auto"/>
                <w:sz w:val="21"/>
                <w:szCs w:val="21"/>
                <w:highlight w:val="none"/>
                <w:lang w:bidi="ar"/>
              </w:rPr>
              <w:t xml:space="preserve">”的得满分</w:t>
            </w:r>
            <w:r>
              <w:rPr>
                <w:rStyle w:val="889"/>
                <w:rFonts w:hint="eastAsia" w:cs="等线" w:asciiTheme="minorEastAsia" w:hAnsiTheme="minorEastAsia" w:eastAsiaTheme="minorEastAsia"/>
                <w:color w:val="auto"/>
                <w:sz w:val="21"/>
                <w:szCs w:val="21"/>
                <w:highlight w:val="none"/>
                <w:lang w:val="en-US" w:eastAsia="zh-CN" w:bidi="ar"/>
              </w:rPr>
              <w:t xml:space="preserve">3</w:t>
            </w:r>
            <w:r>
              <w:rPr>
                <w:rStyle w:val="889"/>
                <w:rFonts w:hint="default" w:cs="等线" w:asciiTheme="minorEastAsia" w:hAnsiTheme="minorEastAsia" w:eastAsiaTheme="minorEastAsia"/>
                <w:color w:val="auto"/>
                <w:sz w:val="21"/>
                <w:szCs w:val="21"/>
                <w:highlight w:val="none"/>
                <w:lang w:bidi="ar"/>
              </w:rPr>
              <w:t xml:space="preserve">0分，每负偏离一项扣</w:t>
            </w:r>
            <w:r>
              <w:rPr>
                <w:rStyle w:val="889"/>
                <w:rFonts w:hint="eastAsia" w:cs="等线" w:asciiTheme="minorEastAsia" w:hAnsiTheme="minorEastAsia" w:eastAsiaTheme="minorEastAsia"/>
                <w:color w:val="auto"/>
                <w:sz w:val="21"/>
                <w:szCs w:val="21"/>
                <w:highlight w:val="none"/>
                <w:lang w:val="en-US" w:eastAsia="zh-CN" w:bidi="ar"/>
              </w:rPr>
              <w:t xml:space="preserve">2</w:t>
            </w:r>
            <w:r>
              <w:rPr>
                <w:rStyle w:val="889"/>
                <w:rFonts w:hint="default" w:cs="等线" w:asciiTheme="minorEastAsia" w:hAnsiTheme="minorEastAsia" w:eastAsiaTheme="minorEastAsia"/>
                <w:color w:val="auto"/>
                <w:sz w:val="21"/>
                <w:szCs w:val="21"/>
                <w:highlight w:val="none"/>
                <w:lang w:bidi="ar"/>
              </w:rPr>
              <w:t xml:space="preserve">分</w:t>
            </w:r>
            <w:r>
              <w:rPr>
                <w:rStyle w:val="889"/>
                <w:rFonts w:hint="eastAsia" w:cs="等线" w:asciiTheme="minorEastAsia" w:hAnsiTheme="minorEastAsia" w:eastAsiaTheme="minorEastAsia"/>
                <w:color w:val="auto"/>
                <w:sz w:val="21"/>
                <w:szCs w:val="21"/>
                <w:highlight w:val="none"/>
                <w:lang w:val="en-US" w:eastAsia="zh-CN" w:bidi="ar"/>
              </w:rPr>
              <w:t xml:space="preserve">,</w:t>
            </w:r>
            <w:r>
              <w:rPr>
                <w:rStyle w:val="889"/>
                <w:rFonts w:hint="default" w:cs="等线" w:asciiTheme="minorEastAsia" w:hAnsiTheme="minorEastAsia" w:eastAsiaTheme="minorEastAsia"/>
                <w:color w:val="auto"/>
                <w:sz w:val="21"/>
                <w:szCs w:val="21"/>
                <w:highlight w:val="none"/>
                <w:lang w:bidi="ar"/>
              </w:rPr>
              <w:t xml:space="preserve">扣完</w:t>
            </w:r>
            <w:r>
              <w:rPr>
                <w:rStyle w:val="889"/>
                <w:rFonts w:hint="eastAsia" w:cs="等线" w:asciiTheme="minorEastAsia" w:hAnsiTheme="minorEastAsia" w:eastAsiaTheme="minorEastAsia"/>
                <w:color w:val="auto"/>
                <w:sz w:val="21"/>
                <w:szCs w:val="21"/>
                <w:highlight w:val="none"/>
                <w:lang w:val="en-US" w:eastAsia="zh-CN" w:bidi="ar"/>
              </w:rPr>
              <w:t xml:space="preserve">3</w:t>
            </w:r>
            <w:r>
              <w:rPr>
                <w:rStyle w:val="889"/>
                <w:rFonts w:hint="default" w:cs="等线" w:asciiTheme="minorEastAsia" w:hAnsiTheme="minorEastAsia" w:eastAsiaTheme="minorEastAsia"/>
                <w:color w:val="auto"/>
                <w:sz w:val="21"/>
                <w:szCs w:val="21"/>
                <w:highlight w:val="none"/>
                <w:lang w:bidi="ar"/>
              </w:rPr>
              <w:t xml:space="preserve">0</w:t>
            </w:r>
            <w:r>
              <w:rPr>
                <w:rStyle w:val="889"/>
                <w:rFonts w:hint="default" w:asciiTheme="minorEastAsia" w:hAnsiTheme="minorEastAsia" w:eastAsiaTheme="minorEastAsia"/>
                <w:color w:val="auto"/>
                <w:sz w:val="21"/>
                <w:szCs w:val="21"/>
                <w:highlight w:val="none"/>
              </w:rPr>
              <w:t xml:space="preserve">分为止</w:t>
            </w:r>
            <w:r>
              <w:rPr>
                <w:rStyle w:val="889"/>
                <w:rFonts w:hint="default" w:cs="等线" w:asciiTheme="minorEastAsia" w:hAnsiTheme="minorEastAsia" w:eastAsiaTheme="minorEastAsia"/>
                <w:color w:val="auto"/>
                <w:sz w:val="21"/>
                <w:szCs w:val="21"/>
                <w:highlight w:val="none"/>
                <w:lang w:bidi="ar"/>
              </w:rPr>
              <w:t xml:space="preserve">。</w:t>
            </w:r>
            <w:r>
              <w:rPr>
                <w:rStyle w:val="889"/>
                <w:rFonts w:hint="eastAsia" w:cs="等线" w:asciiTheme="minorEastAsia" w:hAnsiTheme="minorEastAsia" w:eastAsiaTheme="minorEastAsia"/>
                <w:color w:val="auto"/>
                <w:sz w:val="21"/>
                <w:szCs w:val="21"/>
                <w:highlight w:val="none"/>
                <w:lang w:eastAsia="zh-CN" w:bidi="ar"/>
              </w:rPr>
              <w:t xml:space="preserve">（</w:t>
            </w:r>
            <w:r>
              <w:rPr>
                <w:rStyle w:val="889"/>
                <w:rFonts w:hint="eastAsia" w:cs="等线" w:asciiTheme="minorEastAsia" w:hAnsiTheme="minorEastAsia" w:eastAsiaTheme="minorEastAsia"/>
                <w:color w:val="auto"/>
                <w:sz w:val="21"/>
                <w:szCs w:val="21"/>
                <w:highlight w:val="none"/>
                <w:lang w:val="en-US" w:eastAsia="zh-CN" w:bidi="ar"/>
              </w:rPr>
              <w:t xml:space="preserve">得分为0的，不作为中标候选人推荐）</w:t>
            </w:r>
            <w:r/>
          </w:p>
          <w:p>
            <w:pPr>
              <w:keepLines w:val="0"/>
              <w:keepNext w:val="0"/>
              <w:pageBreakBefore w:val="0"/>
              <w:spacing w:line="400" w:lineRule="exact"/>
              <w:widowControl w:val="off"/>
              <w:rPr>
                <w:rFonts w:hint="eastAsia" w:ascii="宋体" w:hAnsi="宋体"/>
                <w:color w:val="auto"/>
                <w:sz w:val="21"/>
                <w:szCs w:val="21"/>
                <w:highlight w:val="none"/>
              </w:rPr>
            </w:pPr>
            <w:r>
              <w:rPr>
                <w:rFonts w:hint="eastAsia" w:cs="等线" w:asciiTheme="minorEastAsia" w:hAnsiTheme="minorEastAsia"/>
                <w:b/>
                <w:bCs/>
                <w:color w:val="auto"/>
                <w:sz w:val="21"/>
                <w:szCs w:val="21"/>
                <w:highlight w:val="none"/>
                <w:lang w:bidi="ar"/>
              </w:rPr>
              <w:t xml:space="preserve">注：以上“技术参数要求”响应情况均须在投标文件《技术要求响应及偏离表》中表述清楚，如表述不清，则按不满足（负偏离）处理。其中</w:t>
            </w:r>
            <w:r>
              <w:rPr>
                <w:rStyle w:val="889"/>
                <w:rFonts w:hint="default" w:cs="等线" w:asciiTheme="minorEastAsia" w:hAnsiTheme="minorEastAsia" w:eastAsiaTheme="minorEastAsia"/>
                <w:b/>
                <w:bCs/>
                <w:color w:val="auto"/>
                <w:sz w:val="21"/>
                <w:szCs w:val="21"/>
                <w:highlight w:val="none"/>
                <w:lang w:bidi="ar"/>
              </w:rPr>
              <w:t xml:space="preserve">投标时须提供</w:t>
            </w:r>
            <w:r>
              <w:rPr>
                <w:rFonts w:hint="eastAsia" w:cs="等线" w:asciiTheme="minorEastAsia" w:hAnsiTheme="minorEastAsia"/>
                <w:b/>
                <w:bCs/>
                <w:color w:val="auto"/>
                <w:sz w:val="21"/>
                <w:szCs w:val="21"/>
                <w:highlight w:val="none"/>
                <w:lang w:bidi="ar"/>
              </w:rPr>
              <w:t xml:space="preserve">相关证明材料扫描件。未提供有效证明材料或证明材料中内容与采购要求指标不一致的，该项指标按不满足该项技术参数处理。</w:t>
            </w:r>
            <w:r/>
          </w:p>
        </w:tc>
      </w:tr>
      <w:tr>
        <w:trPr>
          <w:jc w:val="center"/>
          <w:trHeight w:val="46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业绩</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投标人提供自2022年1月1日以来（以竣工验收证明时间为准）承接过类似项目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同时含监控设备和监控管理平台）</w:t>
            </w:r>
            <w:r>
              <w:rPr>
                <w:rFonts w:hint="eastAsia" w:ascii="宋体" w:hAnsi="宋体"/>
                <w:color w:val="auto"/>
                <w:sz w:val="21"/>
                <w:szCs w:val="21"/>
                <w:highlight w:val="none"/>
              </w:rPr>
              <w:t xml:space="preserve">业绩的，每提供一项得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p>
            <w:pP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投标时须提供合同和竣工验收证明扫描件，未提供或提供不全不得分。</w:t>
            </w:r>
            <w:r/>
          </w:p>
        </w:tc>
      </w:tr>
      <w:tr>
        <w:trPr>
          <w:jc w:val="center"/>
          <w:trHeight w:val="122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商务部分</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Theme="minorEastAsia" w:hAnsiTheme="minorEastAsia" w:eastAsiaTheme="minorEastAsia" w:cstheme="minorEastAsia"/>
                <w:b w:val="0"/>
                <w:color w:val="auto"/>
                <w:sz w:val="21"/>
                <w:szCs w:val="21"/>
                <w:highlight w:val="none"/>
                <w:lang w:val="en-US" w:eastAsia="zh-CN"/>
              </w:rPr>
            </w:pPr>
            <w:r>
              <w:rPr>
                <w:rFonts w:hint="eastAsia" w:asciiTheme="minorEastAsia" w:hAnsiTheme="minorEastAsia" w:eastAsiaTheme="minorEastAsia" w:cstheme="minorEastAsia"/>
                <w:b w:val="0"/>
                <w:color w:val="auto"/>
                <w:sz w:val="21"/>
                <w:szCs w:val="21"/>
                <w:highlight w:val="none"/>
                <w:lang w:eastAsia="zh-CN"/>
              </w:rPr>
              <w:t xml:space="preserve">投标人具有</w:t>
            </w:r>
            <w:r>
              <w:rPr>
                <w:rFonts w:hint="eastAsia" w:asciiTheme="minorEastAsia" w:hAnsiTheme="minorEastAsia" w:eastAsiaTheme="minorEastAsia" w:cstheme="minorEastAsia"/>
                <w:b w:val="0"/>
                <w:color w:val="auto"/>
                <w:sz w:val="21"/>
                <w:szCs w:val="21"/>
                <w:highlight w:val="none"/>
                <w:lang w:val="en-US" w:eastAsia="zh-CN"/>
              </w:rPr>
              <w:t xml:space="preserve">有效的ISO20000信息技术服务管理体系认证证书、ISO14001环境管理体系认证证书、ISO27017</w:t>
            </w:r>
            <w:r>
              <w:rPr>
                <w:rFonts w:hint="eastAsia" w:asciiTheme="minorEastAsia" w:hAnsiTheme="minorEastAsia" w:eastAsiaTheme="minorEastAsia" w:cstheme="minorEastAsia"/>
                <w:b w:val="0"/>
                <w:bCs/>
                <w:color w:val="auto"/>
                <w:sz w:val="21"/>
                <w:szCs w:val="21"/>
                <w:highlight w:val="none"/>
                <w:lang w:val="en-US" w:eastAsia="zh-CN"/>
              </w:rPr>
              <w:t xml:space="preserve">云服务信息安全管</w:t>
            </w:r>
            <w:r>
              <w:rPr>
                <w:rFonts w:hint="eastAsia" w:asciiTheme="minorEastAsia" w:hAnsiTheme="minorEastAsia" w:eastAsiaTheme="minorEastAsia" w:cstheme="minorEastAsia"/>
                <w:b w:val="0"/>
                <w:color w:val="auto"/>
                <w:sz w:val="21"/>
                <w:szCs w:val="21"/>
                <w:highlight w:val="none"/>
                <w:lang w:val="en-US" w:eastAsia="zh-CN"/>
              </w:rPr>
              <w:t xml:space="preserve">理体系认证证书、ISO9001质量管理体系认证证书，每有一项得1分，未提供不得分，最高得4分。</w:t>
            </w:r>
            <w:r/>
          </w:p>
          <w:p>
            <w:pP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注：投标时须提供认证证书扫描件及在全国认证认可信息服务平台查询截图</w:t>
            </w:r>
            <w:r>
              <w:rPr>
                <w:rFonts w:hint="eastAsia" w:ascii="宋体" w:hAnsi="宋体"/>
                <w:b/>
                <w:bCs/>
                <w:color w:val="auto"/>
                <w:sz w:val="21"/>
                <w:szCs w:val="21"/>
                <w:highlight w:val="none"/>
              </w:rPr>
              <w:t xml:space="preserve">，未提供不得分。</w:t>
            </w:r>
            <w:r/>
          </w:p>
        </w:tc>
      </w:tr>
      <w:tr>
        <w:trPr>
          <w:jc w:val="center"/>
          <w:trHeight w:val="2418"/>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项目实施团队</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投标人拟派本项目的负责人</w:t>
            </w:r>
            <w:r>
              <w:rPr>
                <w:rFonts w:hint="eastAsia" w:asciiTheme="minorEastAsia" w:hAnsiTheme="minorEastAsia" w:eastAsiaTheme="minorEastAsia" w:cstheme="minorEastAsia"/>
                <w:b w:val="0"/>
                <w:color w:val="auto"/>
                <w:sz w:val="21"/>
                <w:szCs w:val="21"/>
                <w:highlight w:val="none"/>
                <w:lang w:val="en-US" w:eastAsia="zh-CN"/>
              </w:rPr>
              <w:t xml:space="preserve">具有机电建造师或信息系统项目管理师证书的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分，本项最高得</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p>
            <w:pPr>
              <w:keepLines w:val="0"/>
              <w:keepNext w:val="0"/>
              <w:pageBreakBefore w:val="0"/>
              <w:spacing w:line="400" w:lineRule="exact"/>
              <w:widowControl w:val="off"/>
              <w:rPr>
                <w:rFonts w:hint="eastAsia" w:ascii="宋体" w:hAnsi="宋体"/>
                <w:b/>
                <w:bCs/>
                <w:color w:val="auto"/>
                <w:sz w:val="21"/>
                <w:szCs w:val="21"/>
                <w:highlight w:val="none"/>
              </w:rPr>
            </w:pPr>
            <w:r/>
            <w:bookmarkStart w:id="118" w:name="OLE_LINK26"/>
            <w:r>
              <w:rPr>
                <w:rFonts w:hint="eastAsia" w:ascii="宋体" w:hAnsi="宋体"/>
                <w:b/>
                <w:bCs/>
                <w:color w:val="auto"/>
                <w:sz w:val="21"/>
                <w:szCs w:val="21"/>
                <w:highlight w:val="none"/>
              </w:rPr>
              <w:t xml:space="preserve">注:投标时须提供以上人员证书、</w:t>
            </w:r>
            <w:r>
              <w:rPr>
                <w:rFonts w:hint="eastAsia" w:ascii="宋体" w:hAnsi="宋体"/>
                <w:b/>
                <w:bCs/>
                <w:color w:val="auto"/>
                <w:sz w:val="21"/>
                <w:szCs w:val="21"/>
                <w:highlight w:val="none"/>
                <w:lang w:val="en-US" w:eastAsia="zh-CN"/>
              </w:rPr>
              <w:t xml:space="preserve">自2025年1月开始至投标截止之日至少</w:t>
            </w:r>
            <w:r>
              <w:rPr>
                <w:rFonts w:hint="eastAsia" w:ascii="宋体" w:hAnsi="宋体"/>
                <w:b/>
                <w:bCs/>
                <w:color w:val="auto"/>
                <w:sz w:val="21"/>
                <w:szCs w:val="21"/>
                <w:highlight w:val="none"/>
              </w:rPr>
              <w:t xml:space="preserve">一个月的社保证明材料扫描件</w:t>
            </w:r>
            <w:r>
              <w:rPr>
                <w:rFonts w:hint="eastAsia" w:ascii="宋体" w:hAnsi="宋体"/>
                <w:b/>
                <w:bCs/>
                <w:color w:val="auto"/>
                <w:sz w:val="21"/>
                <w:szCs w:val="21"/>
                <w:highlight w:val="none"/>
                <w:lang w:val="en-US" w:eastAsia="zh-CN"/>
              </w:rPr>
              <w:t xml:space="preserve">或银行出具的工资流水证明扫描件</w:t>
            </w:r>
            <w:r>
              <w:rPr>
                <w:rFonts w:hint="eastAsia" w:ascii="宋体" w:hAnsi="宋体"/>
                <w:b/>
                <w:bCs/>
                <w:color w:val="auto"/>
                <w:sz w:val="21"/>
                <w:szCs w:val="21"/>
                <w:highlight w:val="none"/>
              </w:rPr>
              <w:t xml:space="preserve">，未提供或提供不全不得分。</w:t>
            </w:r>
            <w:bookmarkEnd w:id="118"/>
            <w:r/>
            <w:r/>
          </w:p>
        </w:tc>
      </w:tr>
      <w:tr>
        <w:trPr>
          <w:jc w:val="center"/>
          <w:trHeight w:val="1746"/>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cs="宋体"/>
                <w:color w:val="auto"/>
                <w:sz w:val="21"/>
                <w:szCs w:val="21"/>
                <w:highlight w:val="none"/>
              </w:rPr>
              <w:t xml:space="preserve">项目实施方案</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投标人需结合现场勘察情况，针对本项目编写详细的</w:t>
            </w:r>
            <w:r>
              <w:rPr>
                <w:rFonts w:hint="eastAsia" w:asciiTheme="minorEastAsia" w:hAnsiTheme="minorEastAsia" w:eastAsiaTheme="minorEastAsia" w:cstheme="minorEastAsia"/>
                <w:b w:val="0"/>
                <w:color w:val="auto"/>
                <w:sz w:val="21"/>
                <w:szCs w:val="21"/>
                <w:highlight w:val="none"/>
                <w:lang w:val="en-US" w:eastAsia="zh-CN"/>
              </w:rPr>
              <w:t xml:space="preserve">项目实施</w:t>
            </w:r>
            <w:r>
              <w:rPr>
                <w:rFonts w:hint="eastAsia" w:asciiTheme="minorEastAsia" w:hAnsiTheme="minorEastAsia" w:eastAsiaTheme="minorEastAsia" w:cstheme="minorEastAsia"/>
                <w:b w:val="0"/>
                <w:color w:val="auto"/>
                <w:sz w:val="21"/>
                <w:szCs w:val="21"/>
                <w:highlight w:val="none"/>
              </w:rPr>
              <w:t xml:space="preserve">方案，评委针对</w:t>
            </w:r>
            <w:r>
              <w:rPr>
                <w:rFonts w:hint="eastAsia" w:asciiTheme="minorEastAsia" w:hAnsiTheme="minorEastAsia" w:eastAsiaTheme="minorEastAsia" w:cstheme="minorEastAsia"/>
                <w:b w:val="0"/>
                <w:color w:val="auto"/>
                <w:sz w:val="21"/>
                <w:szCs w:val="21"/>
                <w:highlight w:val="none"/>
                <w:lang w:val="en-US" w:eastAsia="zh-CN"/>
              </w:rPr>
              <w:t xml:space="preserve">项目实施</w:t>
            </w:r>
            <w:r>
              <w:rPr>
                <w:rFonts w:hint="eastAsia" w:asciiTheme="minorEastAsia" w:hAnsiTheme="minorEastAsia" w:eastAsiaTheme="minorEastAsia" w:cstheme="minorEastAsia"/>
                <w:b w:val="0"/>
                <w:color w:val="auto"/>
                <w:sz w:val="21"/>
                <w:szCs w:val="21"/>
                <w:highlight w:val="none"/>
              </w:rPr>
              <w:t xml:space="preserve">方案</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货物采购方案（包括购买、包装、运输等）；（2）货物安装方案；（3）调试技术方案；（4）项目进度方案；（5）项目质量方案；</w:t>
            </w:r>
            <w:r>
              <w:rPr>
                <w:rFonts w:hint="eastAsia" w:asciiTheme="minorEastAsia" w:hAnsiTheme="minorEastAsia" w:eastAsiaTheme="minorEastAsia" w:cstheme="minorEastAsia"/>
                <w:b w:val="0"/>
                <w:color w:val="auto"/>
                <w:sz w:val="21"/>
                <w:szCs w:val="21"/>
                <w:highlight w:val="none"/>
                <w:lang w:val="en-US" w:eastAsia="zh-CN"/>
              </w:rPr>
              <w:t xml:space="preserve">内容</w:t>
            </w:r>
            <w:r>
              <w:rPr>
                <w:rFonts w:hint="eastAsia" w:asciiTheme="minorEastAsia" w:hAnsiTheme="minorEastAsia" w:eastAsiaTheme="minorEastAsia" w:cstheme="minorEastAsia"/>
                <w:b w:val="0"/>
                <w:color w:val="auto"/>
                <w:sz w:val="21"/>
                <w:szCs w:val="21"/>
                <w:highlight w:val="none"/>
              </w:rPr>
              <w:t xml:space="preserve">进行评审：</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1.货物采购方案（包括购买、包装、运输等）（2分）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符合采购人需求的得1分；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2.货物安装方案（2分）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符合采购人需求的得1分；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p>
            <w:pPr>
              <w:pStyle w:val="654"/>
              <w:ind w:left="0" w:firstLine="0"/>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3.调试技术方案（2分）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符合采购人需求的得1分；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p>
            <w:pPr>
              <w:pStyle w:val="654"/>
              <w:ind w:left="0" w:firstLine="0"/>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项目进度方案（2分）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符合采购人需求的得1分；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p>
            <w:pPr>
              <w:pStyle w:val="654"/>
              <w:ind w:left="0" w:firstLine="0"/>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项目质量方案（2分）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描述详细且优于采购人需求的得2分；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符合采购人需求的得1分；</w:t>
            </w:r>
            <w:r/>
          </w:p>
          <w:p>
            <w:pPr>
              <w:keepLines w:val="0"/>
              <w:keepNext w:val="0"/>
              <w:pageBreakBefore w:val="0"/>
              <w:spacing w:line="400" w:lineRule="exact"/>
              <w:widowControl w:val="off"/>
              <w:rPr>
                <w:rFonts w:hint="default"/>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tc>
      </w:tr>
      <w:tr>
        <w:trPr>
          <w:jc w:val="center"/>
          <w:trHeight w:val="122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en-US" w:eastAsia="zh-CN"/>
              </w:rPr>
              <w:t xml:space="preserve">质量及安全</w:t>
            </w:r>
            <w:r>
              <w:rPr>
                <w:rFonts w:hint="eastAsia" w:asciiTheme="minorEastAsia" w:hAnsiTheme="minorEastAsia" w:eastAsiaTheme="minorEastAsia" w:cstheme="minorEastAsia"/>
                <w:b w:val="0"/>
                <w:color w:val="auto"/>
                <w:sz w:val="21"/>
                <w:szCs w:val="21"/>
                <w:highlight w:val="none"/>
              </w:rPr>
              <w:t xml:space="preserve">保证</w:t>
            </w:r>
            <w:r>
              <w:rPr>
                <w:rFonts w:hint="eastAsia" w:asciiTheme="minorEastAsia" w:hAnsiTheme="minorEastAsia" w:eastAsiaTheme="minorEastAsia" w:cstheme="minorEastAsia"/>
                <w:b w:val="0"/>
                <w:color w:val="auto"/>
                <w:sz w:val="21"/>
                <w:szCs w:val="21"/>
                <w:highlight w:val="none"/>
                <w:lang w:val="en-US" w:eastAsia="zh-CN"/>
              </w:rPr>
              <w:t xml:space="preserve">措施</w:t>
            </w:r>
            <w:r>
              <w:rPr>
                <w:rFonts w:hint="eastAsia" w:asciiTheme="minorEastAsia" w:hAnsiTheme="minorEastAsia" w:eastAsiaTheme="minorEastAsia" w:cstheme="minorEastAsia"/>
                <w:b w:val="0"/>
                <w:color w:val="auto"/>
                <w:sz w:val="21"/>
                <w:szCs w:val="21"/>
                <w:highlight w:val="none"/>
              </w:rPr>
              <w:t xml:space="preserve">  </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en-US" w:eastAsia="zh-CN"/>
              </w:rPr>
              <w:t xml:space="preserve">6</w:t>
            </w:r>
            <w:r>
              <w:rPr>
                <w:rFonts w:hint="eastAsia" w:asciiTheme="minorEastAsia" w:hAnsiTheme="minorEastAsia" w:eastAsiaTheme="minorEastAsia" w:cstheme="minorEastAsia"/>
                <w:b w:val="0"/>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根据投标人提供的</w:t>
            </w:r>
            <w:r>
              <w:rPr>
                <w:rFonts w:hint="eastAsia" w:asciiTheme="minorEastAsia" w:hAnsiTheme="minorEastAsia" w:eastAsiaTheme="minorEastAsia" w:cstheme="minorEastAsia"/>
                <w:b w:val="0"/>
                <w:color w:val="auto"/>
                <w:sz w:val="21"/>
                <w:szCs w:val="21"/>
                <w:highlight w:val="none"/>
                <w:lang w:val="en-US" w:eastAsia="zh-CN"/>
              </w:rPr>
              <w:t xml:space="preserve">质量及安全</w:t>
            </w:r>
            <w:r>
              <w:rPr>
                <w:rFonts w:hint="eastAsia" w:asciiTheme="minorEastAsia" w:hAnsiTheme="minorEastAsia" w:eastAsiaTheme="minorEastAsia" w:cstheme="minorEastAsia"/>
                <w:b w:val="0"/>
                <w:color w:val="auto"/>
                <w:sz w:val="21"/>
                <w:szCs w:val="21"/>
                <w:highlight w:val="none"/>
              </w:rPr>
              <w:t xml:space="preserve">保证</w:t>
            </w:r>
            <w:r>
              <w:rPr>
                <w:rFonts w:hint="eastAsia" w:asciiTheme="minorEastAsia" w:hAnsiTheme="minorEastAsia" w:eastAsiaTheme="minorEastAsia" w:cstheme="minorEastAsia"/>
                <w:b w:val="0"/>
                <w:color w:val="auto"/>
                <w:sz w:val="21"/>
                <w:szCs w:val="21"/>
                <w:highlight w:val="none"/>
                <w:lang w:val="en-US" w:eastAsia="zh-CN"/>
              </w:rPr>
              <w:t xml:space="preserve">措施</w:t>
            </w:r>
            <w:r>
              <w:rPr>
                <w:rFonts w:hint="eastAsia" w:asciiTheme="minorEastAsia" w:hAnsiTheme="minorEastAsia" w:eastAsiaTheme="minorEastAsia" w:cstheme="minorEastAsia"/>
                <w:b w:val="0"/>
                <w:color w:val="auto"/>
                <w:sz w:val="21"/>
                <w:szCs w:val="21"/>
                <w:highlight w:val="none"/>
              </w:rPr>
              <w:t xml:space="preserve">方案</w:t>
            </w:r>
            <w:r>
              <w:rPr>
                <w:rFonts w:hint="eastAsia" w:asciiTheme="minorEastAsia" w:hAnsiTheme="minorEastAsia" w:eastAsiaTheme="minorEastAsia" w:cstheme="minorEastAsia"/>
                <w:b w:val="0"/>
                <w:color w:val="auto"/>
                <w:sz w:val="21"/>
                <w:szCs w:val="21"/>
                <w:highlight w:val="none"/>
                <w:lang w:val="en-US" w:eastAsia="zh-CN"/>
              </w:rPr>
              <w:t xml:space="preserve">内容</w:t>
            </w:r>
            <w:r>
              <w:rPr>
                <w:rFonts w:hint="eastAsia" w:asciiTheme="minorEastAsia" w:hAnsiTheme="minorEastAsia" w:eastAsiaTheme="minorEastAsia" w:cstheme="minorEastAsia"/>
                <w:b w:val="0"/>
                <w:color w:val="auto"/>
                <w:sz w:val="21"/>
                <w:szCs w:val="21"/>
                <w:highlight w:val="none"/>
              </w:rPr>
              <w:t xml:space="preserve">进行评审：</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1.质量保证措施</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w:t>
            </w:r>
            <w:r>
              <w:rPr>
                <w:rFonts w:hint="eastAsia" w:ascii="宋体" w:hAnsi="宋体" w:cs="宋体"/>
                <w:b w:val="0"/>
                <w:color w:val="auto"/>
                <w:sz w:val="21"/>
                <w:szCs w:val="21"/>
                <w:highlight w:val="none"/>
                <w:lang w:val="en-US" w:eastAsia="zh-CN"/>
              </w:rPr>
              <w:t xml:space="preserve">3</w:t>
            </w:r>
            <w:r>
              <w:rPr>
                <w:rFonts w:hint="eastAsia" w:ascii="宋体" w:hAnsi="宋体" w:eastAsia="宋体" w:cs="宋体"/>
                <w:b w:val="0"/>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w:t>
            </w:r>
            <w:r>
              <w:rPr>
                <w:rFonts w:hint="eastAsia" w:ascii="宋体" w:hAnsi="宋体" w:cs="宋体"/>
                <w:b w:val="0"/>
                <w:color w:val="auto"/>
                <w:sz w:val="21"/>
                <w:szCs w:val="21"/>
                <w:highlight w:val="none"/>
                <w:lang w:val="en-US" w:eastAsia="zh-CN"/>
              </w:rPr>
              <w:t xml:space="preserve">1.5</w:t>
            </w:r>
            <w:r>
              <w:rPr>
                <w:rFonts w:hint="eastAsia" w:ascii="宋体" w:hAnsi="宋体" w:eastAsia="宋体" w:cs="宋体"/>
                <w:b w:val="0"/>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不符合或不描述的得0分</w:t>
            </w:r>
            <w:r/>
          </w:p>
          <w:p>
            <w:pPr>
              <w:pStyle w:val="654"/>
              <w:ind w:left="0" w:firstLine="0"/>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color w:val="auto"/>
                <w:sz w:val="21"/>
                <w:szCs w:val="21"/>
                <w:highlight w:val="none"/>
                <w:lang w:val="en-US" w:eastAsia="zh-CN"/>
              </w:rPr>
              <w:t xml:space="preserve">2.安全保证措施</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描述详细且优于采购人需求的得</w:t>
            </w:r>
            <w:r>
              <w:rPr>
                <w:rFonts w:hint="eastAsia" w:ascii="宋体" w:hAnsi="宋体" w:cs="宋体"/>
                <w:b w:val="0"/>
                <w:color w:val="auto"/>
                <w:sz w:val="21"/>
                <w:szCs w:val="21"/>
                <w:highlight w:val="none"/>
                <w:lang w:val="en-US" w:eastAsia="zh-CN"/>
              </w:rPr>
              <w:t xml:space="preserve">3</w:t>
            </w:r>
            <w:r>
              <w:rPr>
                <w:rFonts w:hint="eastAsia" w:ascii="宋体" w:hAnsi="宋体" w:eastAsia="宋体" w:cs="宋体"/>
                <w:b w:val="0"/>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符合采购人需求的得</w:t>
            </w:r>
            <w:r>
              <w:rPr>
                <w:rFonts w:hint="eastAsia" w:ascii="宋体" w:hAnsi="宋体" w:cs="宋体"/>
                <w:b w:val="0"/>
                <w:color w:val="auto"/>
                <w:sz w:val="21"/>
                <w:szCs w:val="21"/>
                <w:highlight w:val="none"/>
                <w:lang w:val="en-US" w:eastAsia="zh-CN"/>
              </w:rPr>
              <w:t xml:space="preserve">1.5</w:t>
            </w:r>
            <w:r>
              <w:rPr>
                <w:rFonts w:hint="eastAsia" w:ascii="宋体" w:hAnsi="宋体" w:eastAsia="宋体" w:cs="宋体"/>
                <w:b w:val="0"/>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b/>
                <w:bCs/>
                <w:color w:val="auto"/>
                <w:sz w:val="21"/>
                <w:szCs w:val="21"/>
                <w:highlight w:val="none"/>
              </w:rPr>
            </w:pPr>
            <w:r>
              <w:rPr>
                <w:rFonts w:hint="eastAsia" w:ascii="宋体" w:hAnsi="宋体" w:eastAsia="宋体" w:cs="宋体"/>
                <w:b w:val="0"/>
                <w:color w:val="auto"/>
                <w:sz w:val="21"/>
                <w:szCs w:val="21"/>
                <w:highlight w:val="none"/>
                <w:lang w:val="en-US" w:eastAsia="zh-CN"/>
              </w:rPr>
              <w:t xml:space="preserve">不符合或不描述的得0分</w:t>
            </w:r>
            <w:r/>
          </w:p>
        </w:tc>
      </w:tr>
      <w:tr>
        <w:trPr>
          <w:jc w:val="center"/>
          <w:trHeight w:val="122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W w:w="1701" w:type="dxa"/>
            <w:vAlign w:val="center"/>
            <w:textDirection w:val="lrTb"/>
            <w:noWrap w:val="false"/>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cs="宋体"/>
                <w:color w:val="auto"/>
                <w:sz w:val="21"/>
                <w:szCs w:val="21"/>
                <w:highlight w:val="none"/>
              </w:rPr>
              <w:t xml:space="preserve">售后服务</w:t>
            </w:r>
            <w:r>
              <w:rPr>
                <w:rFonts w:hint="eastAsia" w:cs="宋体"/>
                <w:color w:val="auto"/>
                <w:sz w:val="21"/>
                <w:szCs w:val="21"/>
                <w:highlight w:val="none"/>
                <w:lang w:val="en-US" w:eastAsia="zh-CN"/>
              </w:rPr>
              <w:t xml:space="preserve">及培训</w:t>
            </w:r>
            <w:r>
              <w:rPr>
                <w:rFonts w:hint="eastAsia" w:cs="宋体"/>
                <w:color w:val="auto"/>
                <w:sz w:val="21"/>
                <w:szCs w:val="21"/>
                <w:highlight w:val="none"/>
              </w:rPr>
              <w:t xml:space="preserve">方案</w:t>
            </w:r>
            <w:r/>
          </w:p>
        </w:tc>
        <w:tc>
          <w:tcPr>
            <w:tcW w:w="1306" w:type="dxa"/>
            <w:vAlign w:val="center"/>
            <w:textDirection w:val="lrTb"/>
            <w:noWrap/>
          </w:tcPr>
          <w:p>
            <w:pPr>
              <w:jc w:val="cente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5781" w:type="dxa"/>
            <w:vAlign w:val="center"/>
            <w:textDirection w:val="lrTb"/>
            <w:noWrap/>
          </w:tcPr>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bookmarkStart w:id="119" w:name="OLE_LINK28"/>
            <w:r>
              <w:rPr>
                <w:rFonts w:hint="eastAsia" w:asciiTheme="minorEastAsia" w:hAnsiTheme="minorEastAsia" w:eastAsiaTheme="minorEastAsia" w:cstheme="minorEastAsia"/>
                <w:b w:val="0"/>
                <w:color w:val="auto"/>
                <w:sz w:val="21"/>
                <w:szCs w:val="21"/>
                <w:highlight w:val="none"/>
              </w:rPr>
              <w:t xml:space="preserve">投</w:t>
            </w:r>
            <w:r>
              <w:rPr>
                <w:rFonts w:hint="eastAsia" w:ascii="宋体" w:hAnsi="宋体" w:cs="宋体"/>
                <w:b w:val="0"/>
                <w:bCs w:val="0"/>
                <w:color w:val="auto"/>
                <w:sz w:val="21"/>
                <w:szCs w:val="21"/>
                <w:highlight w:val="none"/>
                <w:lang w:val="en-US" w:eastAsia="zh-CN"/>
              </w:rPr>
              <w:t xml:space="preserve">标人具有完善的售后服务体系,针对本项目提供切实可行的售后服务方案及培训方案。</w:t>
            </w:r>
            <w:r/>
          </w:p>
          <w:p>
            <w:pPr>
              <w:keepLines w:val="0"/>
              <w:keepNext w:val="0"/>
              <w:pageBreakBefore w:val="0"/>
              <w:spacing w:line="400" w:lineRule="exact"/>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1.售后服务方案（3分）</w:t>
            </w:r>
            <w:r/>
          </w:p>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描述详细且优于采购人需求的得3分；</w:t>
            </w:r>
            <w:r/>
          </w:p>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符合采购人需求的得1.5分；</w:t>
            </w:r>
            <w:r/>
          </w:p>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不符合或不描述的得0分</w:t>
            </w:r>
            <w:r/>
          </w:p>
          <w:p>
            <w:pPr>
              <w:pStyle w:val="654"/>
              <w:ind w:left="0" w:firstLine="0"/>
              <w:keepLines w:val="0"/>
              <w:keepNext w:val="0"/>
              <w:pageBreakBefore w:val="0"/>
              <w:spacing w:after="0" w:line="400" w:lineRule="exact"/>
              <w:widowControl w:val="off"/>
              <w:rPr>
                <w:rFonts w:hint="default"/>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cs="宋体"/>
                <w:b/>
                <w:bCs/>
                <w:color w:val="auto"/>
                <w:sz w:val="21"/>
                <w:szCs w:val="21"/>
                <w:highlight w:val="none"/>
                <w:lang w:val="en-US" w:eastAsia="zh-CN"/>
              </w:rPr>
              <w:t xml:space="preserve">培训</w:t>
            </w:r>
            <w:r>
              <w:rPr>
                <w:rFonts w:hint="eastAsia" w:cs="宋体"/>
                <w:b/>
                <w:bCs/>
                <w:color w:val="auto"/>
                <w:sz w:val="21"/>
                <w:szCs w:val="21"/>
                <w:highlight w:val="none"/>
              </w:rPr>
              <w:t xml:space="preserve">方案</w:t>
            </w:r>
            <w:r>
              <w:rPr>
                <w:rFonts w:hint="eastAsia" w:ascii="宋体" w:hAnsi="宋体" w:cs="宋体"/>
                <w:b/>
                <w:bCs/>
                <w:color w:val="auto"/>
                <w:sz w:val="21"/>
                <w:szCs w:val="21"/>
                <w:highlight w:val="none"/>
                <w:lang w:val="en-US" w:eastAsia="zh-CN"/>
              </w:rPr>
              <w:t xml:space="preserve">（3分）</w:t>
            </w:r>
            <w:bookmarkEnd w:id="119"/>
            <w:r/>
          </w:p>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描述详细且优于采购人需求的得3分；</w:t>
            </w:r>
            <w:r/>
          </w:p>
          <w:p>
            <w:pP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符合采购人需求的得1.5分；</w:t>
            </w:r>
            <w:r/>
          </w:p>
          <w:p>
            <w:pPr>
              <w:keepLines w:val="0"/>
              <w:keepNext w:val="0"/>
              <w:pageBreakBefore w:val="0"/>
              <w:spacing w:line="400" w:lineRule="exact"/>
              <w:widowControl w:val="off"/>
              <w:rPr>
                <w:rFonts w:hint="eastAsia" w:ascii="宋体" w:hAnsi="宋体"/>
                <w:color w:val="auto"/>
                <w:sz w:val="21"/>
                <w:szCs w:val="21"/>
                <w:highlight w:val="none"/>
              </w:rPr>
            </w:pPr>
            <w:r>
              <w:rPr>
                <w:rFonts w:hint="eastAsia" w:ascii="宋体" w:hAnsi="宋体" w:cs="宋体"/>
                <w:b w:val="0"/>
                <w:bCs w:val="0"/>
                <w:color w:val="auto"/>
                <w:sz w:val="21"/>
                <w:szCs w:val="21"/>
                <w:highlight w:val="none"/>
                <w:lang w:val="en-US" w:eastAsia="zh-CN"/>
              </w:rPr>
              <w:t xml:space="preserve">不符合或不描述的得0分</w:t>
            </w:r>
            <w:r/>
          </w:p>
        </w:tc>
      </w:tr>
      <w:tr>
        <w:trPr>
          <w:jc w:val="center"/>
          <w:trHeight w:val="1227"/>
        </w:trPr>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p>
        </w:tc>
        <w:tc>
          <w:tcPr>
            <w:tcW w:w="1701" w:type="dxa"/>
            <w:vAlign w:val="center"/>
            <w:textDirection w:val="lrTb"/>
            <w:noWrap w:val="false"/>
          </w:tcPr>
          <w:p>
            <w:pPr>
              <w:jc w:val="center"/>
              <w:keepLines w:val="0"/>
              <w:keepNext w:val="0"/>
              <w:pageBreakBefore w:val="0"/>
              <w:spacing w:line="400" w:lineRule="exact"/>
              <w:widowControl w:val="off"/>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免费质量保修期</w:t>
            </w:r>
            <w:r/>
          </w:p>
        </w:tc>
        <w:tc>
          <w:tcPr>
            <w:tcW w:w="1306" w:type="dxa"/>
            <w:vAlign w:val="center"/>
            <w:textDirection w:val="lrTb"/>
            <w:noWrap/>
          </w:tcPr>
          <w:p>
            <w:pPr>
              <w:jc w:val="center"/>
              <w:keepLines w:val="0"/>
              <w:keepNext w:val="0"/>
              <w:pageBreakBefore w:val="0"/>
              <w:spacing w:line="400" w:lineRule="exact"/>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4分</w:t>
            </w:r>
            <w:r/>
          </w:p>
        </w:tc>
        <w:tc>
          <w:tcPr>
            <w:tcW w:w="5781" w:type="dxa"/>
            <w:vAlign w:val="center"/>
            <w:textDirection w:val="lrTb"/>
            <w:noWrap/>
          </w:tcPr>
          <w:p>
            <w:pPr>
              <w:keepLines w:val="0"/>
              <w:keepNext w:val="0"/>
              <w:pageBreakBefore w:val="0"/>
              <w:spacing w:line="400" w:lineRule="exact"/>
              <w:widowControl w:val="off"/>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本次招标项目的免费质量保修期为36个月（3年），在此基础上每延长6个月得1分，最多得4分。以投标人承诺的免费质量保修期为准。</w:t>
            </w:r>
            <w:r/>
          </w:p>
        </w:tc>
      </w:tr>
    </w:tbl>
    <w:p>
      <w:pPr>
        <w:ind w:firstLine="480"/>
        <w:rPr>
          <w:rFonts w:hint="eastAsia" w:ascii="宋体" w:hAnsi="宋体" w:cs="宋体"/>
          <w:color w:val="ff0000"/>
          <w:sz w:val="24"/>
          <w:szCs w:val="24"/>
        </w:rPr>
      </w:pPr>
      <w:r>
        <w:rPr>
          <w:rFonts w:hint="eastAsia" w:ascii="宋体" w:hAnsi="宋体" w:cs="宋体"/>
          <w:color w:val="ff0000"/>
          <w:sz w:val="24"/>
          <w:szCs w:val="24"/>
        </w:rPr>
      </w:r>
      <w:bookmarkEnd w:id="113"/>
      <w:bookmarkEnd w:id="114"/>
      <w:r/>
    </w:p>
    <w:p>
      <w:pPr>
        <w:spacing w:line="480" w:lineRule="exact"/>
        <w:rPr>
          <w:rFonts w:hint="eastAsia" w:ascii="宋体" w:hAnsi="宋体"/>
          <w:color w:val="000000"/>
          <w:sz w:val="24"/>
          <w:szCs w:val="21"/>
        </w:rPr>
      </w:pPr>
      <w:r>
        <w:rPr>
          <w:rFonts w:hint="eastAsia" w:ascii="宋体" w:hAnsi="宋体"/>
          <w:color w:val="000000"/>
          <w:sz w:val="24"/>
          <w:szCs w:val="21"/>
        </w:rPr>
      </w:r>
      <w:r/>
    </w:p>
    <w:p>
      <w:pPr>
        <w:pStyle w:val="643"/>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120" w:name="_Hlt26955039"/>
      <w:r/>
      <w:bookmarkEnd w:id="120"/>
      <w:r/>
      <w:bookmarkStart w:id="121" w:name="_Hlt26671244"/>
      <w:r/>
      <w:bookmarkEnd w:id="121"/>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keepLines w:val="0"/>
        <w:keepNext w:val="0"/>
        <w:pageBreakBefore w:val="0"/>
        <w:spacing w:line="500" w:lineRule="exact"/>
        <w:widowControl w:val="off"/>
        <w:rPr>
          <w:color w:val="000000"/>
          <w:sz w:val="24"/>
        </w:rPr>
      </w:pPr>
      <w:r>
        <w:rPr>
          <w:rFonts w:hint="eastAsia"/>
          <w:color w:val="000000"/>
          <w:sz w:val="24"/>
        </w:rPr>
        <w:t xml:space="preserve">一、法人或者其他组织的营业执照等证明文件，自然人的身份证明</w:t>
      </w:r>
      <w:r/>
    </w:p>
    <w:p>
      <w:pPr>
        <w:ind w:firstLine="480"/>
        <w:keepLines w:val="0"/>
        <w:keepNext w:val="0"/>
        <w:pageBreakBefore w:val="0"/>
        <w:spacing w:line="500" w:lineRule="exact"/>
        <w:widowControl w:val="off"/>
        <w:rPr>
          <w:color w:val="000000"/>
          <w:sz w:val="24"/>
        </w:rPr>
      </w:pPr>
      <w:r>
        <w:rPr>
          <w:rFonts w:hint="eastAsia"/>
          <w:color w:val="000000"/>
          <w:sz w:val="24"/>
        </w:rPr>
        <w:t xml:space="preserve">二、上一年度的财务状况报表（至少提供资产负债表、利润表、现金流量表，供应商成立不满一年无需提供）</w:t>
      </w:r>
      <w:r/>
    </w:p>
    <w:p>
      <w:pPr>
        <w:ind w:firstLine="480"/>
        <w:keepLines w:val="0"/>
        <w:keepNext w:val="0"/>
        <w:pageBreakBefore w:val="0"/>
        <w:spacing w:line="500" w:lineRule="exact"/>
        <w:widowControl w:val="off"/>
        <w:rPr>
          <w:color w:val="000000"/>
          <w:sz w:val="24"/>
        </w:rPr>
      </w:pPr>
      <w:r>
        <w:rPr>
          <w:rFonts w:hint="eastAsia"/>
          <w:color w:val="000000"/>
          <w:sz w:val="24"/>
        </w:rPr>
        <w:t xml:space="preserve">三、具备履行合同所必需的设备和专业技术能力的书面声明</w:t>
      </w:r>
      <w:r/>
    </w:p>
    <w:p>
      <w:pPr>
        <w:ind w:firstLine="480"/>
        <w:keepLines w:val="0"/>
        <w:keepNext w:val="0"/>
        <w:pageBreakBefore w:val="0"/>
        <w:spacing w:line="500" w:lineRule="exact"/>
        <w:widowControl w:val="off"/>
        <w:rPr>
          <w:color w:val="000000"/>
          <w:sz w:val="24"/>
        </w:rPr>
      </w:pPr>
      <w:r>
        <w:rPr>
          <w:rFonts w:hint="eastAsia"/>
          <w:color w:val="000000"/>
          <w:sz w:val="24"/>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line="500" w:lineRule="exact"/>
        <w:widowControl w:val="off"/>
        <w:rPr>
          <w:color w:val="000000"/>
          <w:sz w:val="24"/>
        </w:rPr>
      </w:pPr>
      <w:r>
        <w:rPr>
          <w:rFonts w:hint="eastAsia"/>
          <w:color w:val="000000"/>
          <w:sz w:val="24"/>
        </w:rPr>
        <w:t xml:space="preserve">五、参加政府采购活动前 3 年内在经营活动中没有重大违法记录的书面声明</w:t>
      </w:r>
      <w:r/>
    </w:p>
    <w:p>
      <w:pPr>
        <w:pStyle w:val="686"/>
        <w:ind w:firstLine="480"/>
        <w:keepLines w:val="0"/>
        <w:keepNext w:val="0"/>
        <w:pageBreakBefore w:val="0"/>
        <w:spacing w:line="500" w:lineRule="exact"/>
        <w:widowControl w:val="off"/>
        <w:rPr>
          <w:rFonts w:ascii="Times New Roman" w:eastAsia="宋体"/>
          <w:color w:val="000000"/>
          <w:sz w:val="24"/>
          <w:szCs w:val="22"/>
        </w:rPr>
      </w:pPr>
      <w:r>
        <w:rPr>
          <w:rFonts w:hint="eastAsia" w:ascii="Times New Roman" w:eastAsia="宋体"/>
          <w:color w:val="000000"/>
          <w:sz w:val="24"/>
          <w:szCs w:val="22"/>
        </w:rPr>
        <w:t xml:space="preserve">六、单位负责人为同一人或者存在直接控股、服务关系的不同供应商，不得参加同一合同项下的政府采购活动证明文件</w:t>
      </w:r>
      <w:r/>
    </w:p>
    <w:p>
      <w:pPr>
        <w:ind w:firstLine="480"/>
        <w:keepLines w:val="0"/>
        <w:keepNext w:val="0"/>
        <w:pageBreakBefore w:val="0"/>
        <w:spacing w:line="500" w:lineRule="exact"/>
        <w:widowControl w:val="off"/>
        <w:rPr>
          <w:color w:val="000000"/>
          <w:sz w:val="24"/>
        </w:rPr>
      </w:pPr>
      <w:r>
        <w:rPr>
          <w:rFonts w:hint="eastAsia"/>
          <w:color w:val="000000"/>
          <w:sz w:val="24"/>
        </w:rPr>
        <w:t xml:space="preserve">七、中小企业声明函</w:t>
      </w:r>
      <w:r/>
    </w:p>
    <w:p>
      <w:pPr>
        <w:ind w:firstLine="480"/>
        <w:keepLines w:val="0"/>
        <w:keepNext w:val="0"/>
        <w:pageBreakBefore w:val="0"/>
        <w:spacing w:line="500" w:lineRule="exact"/>
        <w:widowControl w:val="off"/>
        <w:rPr>
          <w:color w:val="000000"/>
          <w:sz w:val="24"/>
        </w:rPr>
      </w:pPr>
      <w:r>
        <w:rPr>
          <w:rFonts w:hint="eastAsia"/>
          <w:color w:val="000000"/>
          <w:sz w:val="24"/>
        </w:rPr>
        <w:t xml:space="preserve">八、特定资格要求的证明文件（如果本项目设置特定资格要求，则需要提供）</w:t>
      </w:r>
      <w:r/>
    </w:p>
    <w:p>
      <w:pPr>
        <w:ind w:firstLine="480"/>
        <w:keepLines w:val="0"/>
        <w:keepNext w:val="0"/>
        <w:pageBreakBefore w:val="0"/>
        <w:spacing w:line="500" w:lineRule="exact"/>
        <w:widowControl w:val="off"/>
        <w:rPr>
          <w:color w:val="000000"/>
          <w:sz w:val="24"/>
        </w:rPr>
      </w:pPr>
      <w:r>
        <w:rPr>
          <w:rFonts w:hint="eastAsia"/>
          <w:color w:val="000000"/>
          <w:sz w:val="24"/>
        </w:rPr>
        <w:t xml:space="preserve">九、法人授权书</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十、投标函</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十一、中小微企业声明函</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十二、残疾人福利性单位声明函</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十三、投标分项报价表</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十四、技术要求响应及偏离表</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十五、资格性审查响应对照表</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十六、符合性检查响应对照表</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十七、开标一览表</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十八、盐城市政府采购事前信用承诺书</w:t>
      </w:r>
      <w:r/>
    </w:p>
    <w:p>
      <w:pPr>
        <w:ind w:firstLine="480"/>
        <w:keepLines w:val="0"/>
        <w:keepNext w:val="0"/>
        <w:pageBreakBefore w:val="0"/>
        <w:spacing w:line="500" w:lineRule="exact"/>
        <w:widowControl w:val="off"/>
        <w:rPr>
          <w:color w:val="000000"/>
          <w:sz w:val="24"/>
        </w:rPr>
      </w:pPr>
      <w:r>
        <w:rPr>
          <w:rFonts w:hint="eastAsia"/>
          <w:color w:val="000000"/>
          <w:sz w:val="24"/>
        </w:rPr>
        <w:t xml:space="preserve">十九、其他材料（如有）</w:t>
      </w:r>
      <w:r/>
    </w:p>
    <w:p>
      <w:pPr>
        <w:pStyle w:val="848"/>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852"/>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853"/>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854"/>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45"/>
        <w:ind w:firstLine="118"/>
        <w:rPr>
          <w:rFonts w:hint="eastAsia"/>
          <w:color w:val="000000"/>
        </w:rPr>
      </w:pPr>
      <w:r>
        <w:rPr>
          <w:rFonts w:hint="eastAsia"/>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w:t>
      </w:r>
      <w:bookmarkStart w:id="122" w:name="OLE_LINK34"/>
      <w:r>
        <w:rPr>
          <w:rFonts w:hint="eastAsia" w:ascii="黑体" w:hAnsi="黑体" w:eastAsia="黑体" w:cs="黑体"/>
          <w:i/>
          <w:color w:val="000000"/>
          <w:sz w:val="32"/>
          <w:szCs w:val="32"/>
          <w:u w:val="single"/>
        </w:rPr>
        <w:t xml:space="preserve">具备履行合同所必需的设备和专业技术能力的书面声明</w:t>
      </w:r>
      <w:r/>
    </w:p>
    <w:p>
      <w:pPr>
        <w:pStyle w:val="852"/>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52"/>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52"/>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bookmarkEnd w:id="122"/>
      <w:r/>
    </w:p>
    <w:p>
      <w:pPr>
        <w:pStyle w:val="852"/>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852"/>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852"/>
        <w:ind w:firstLine="480"/>
        <w:rPr>
          <w:rFonts w:hint="eastAsia"/>
          <w:color w:val="000000"/>
        </w:rPr>
      </w:pPr>
      <w:r>
        <w:rPr>
          <w:rFonts w:hint="eastAsia"/>
          <w:color w:val="000000"/>
        </w:rPr>
      </w:r>
      <w:r/>
    </w:p>
    <w:p>
      <w:pPr>
        <w:pStyle w:val="855"/>
        <w:ind w:firstLine="643"/>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pStyle w:val="848"/>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w:t>
      </w:r>
      <w:bookmarkStart w:id="123" w:name="OLE_LINK35"/>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852"/>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852"/>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bookmarkEnd w:id="123"/>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pStyle w:val="852"/>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683"/>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六、单位负责人为同一人或者存在直接控股、服务关系的不同供应商，不得参加同一合同项下的政府采购活动证明文件</w:t>
      </w:r>
      <w:r/>
    </w:p>
    <w:p>
      <w:pPr>
        <w:pStyle w:val="683"/>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683"/>
        <w:jc w:val="center"/>
        <w:spacing w:beforeAutospacing="0" w:afterAutospacing="0" w:line="0" w:lineRule="atLeast"/>
      </w:pPr>
      <w:r>
        <w:rPr>
          <w:rFonts w:hint="eastAsia" w:ascii="宋体" w:hAnsi="宋体" w:cs="宋体"/>
          <w:b/>
          <w:bCs/>
          <w:color w:val="000000"/>
          <w:sz w:val="44"/>
          <w:szCs w:val="44"/>
        </w:rPr>
        <w:t xml:space="preserve">声  明</w:t>
      </w:r>
      <w:r/>
    </w:p>
    <w:p>
      <w:pPr>
        <w:pStyle w:val="683"/>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683"/>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r>
      <w:r/>
    </w:p>
    <w:p>
      <w:pP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p>
    <w:p>
      <w:pPr>
        <w:pStyle w:val="852"/>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852"/>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856"/>
        <w:ind w:firstLine="883"/>
        <w:spacing w:line="240" w:lineRule="auto"/>
        <w:rPr>
          <w:color w:val="000000"/>
        </w:rPr>
      </w:pPr>
      <w:r>
        <w:rPr>
          <w:color w:val="000000"/>
        </w:rPr>
      </w:r>
      <w:r/>
    </w:p>
    <w:p>
      <w:pPr>
        <w:ind w:firstLine="440"/>
        <w:rPr>
          <w:color w:val="000000"/>
        </w:rPr>
      </w:pPr>
      <w:r>
        <w:rPr>
          <w:color w:val="000000"/>
        </w:rPr>
      </w:r>
      <w:r/>
    </w:p>
    <w:p>
      <w:pPr>
        <w:pStyle w:val="857"/>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p>
    <w:p>
      <w:pPr>
        <w:ind w:firstLine="4160"/>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八、</w:t>
      </w:r>
      <w:bookmarkStart w:id="124" w:name="OLE_LINK14"/>
      <w:r>
        <w:rPr>
          <w:rFonts w:hint="eastAsia" w:ascii="黑体" w:hAnsi="黑体" w:eastAsia="黑体" w:cs="黑体"/>
          <w:i/>
          <w:color w:val="000000"/>
          <w:sz w:val="32"/>
          <w:szCs w:val="32"/>
          <w:u w:val="single"/>
        </w:rPr>
        <w:t xml:space="preserve">法人授权书</w:t>
      </w:r>
      <w:bookmarkEnd w:id="124"/>
      <w:r/>
      <w:r/>
    </w:p>
    <w:p>
      <w:pPr>
        <w:pStyle w:val="852"/>
        <w:ind w:firstLine="480"/>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号</w:t>
      </w:r>
      <w:r>
        <w:rPr>
          <w:rFonts w:hint="eastAsia"/>
          <w:color w:val="000000"/>
          <w:szCs w:val="20"/>
          <w:u w:val="single"/>
          <w:lang w:eastAsia="zh-CN"/>
        </w:rPr>
        <w:t xml:space="preserve">滨海县核心育种场暨生猪保供生产基地生猪疫病防控智能监控项目</w:t>
      </w:r>
      <w:r>
        <w:rPr>
          <w:rFonts w:hint="eastAsia"/>
          <w:color w:val="000000"/>
        </w:rPr>
        <w:t xml:space="preserve">采购活动的合法代理人，以本单位名义全权处理一切与该项目采购有关的事务。</w:t>
      </w:r>
      <w:r/>
    </w:p>
    <w:p>
      <w:pPr>
        <w:pStyle w:val="852"/>
        <w:ind w:firstLine="480"/>
        <w:rPr>
          <w:rFonts w:hint="eastAsia"/>
          <w:color w:val="000000"/>
        </w:rPr>
      </w:pPr>
      <w:r>
        <w:rPr>
          <w:rFonts w:hint="eastAsia"/>
          <w:color w:val="000000"/>
        </w:rPr>
        <w:t xml:space="preserve">本授权书于______年____月____日起生效，特此声明。</w:t>
      </w:r>
      <w:r/>
    </w:p>
    <w:p>
      <w:pPr>
        <w:pStyle w:val="852"/>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852"/>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852"/>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852"/>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852"/>
        <w:ind w:firstLine="480"/>
        <w:rPr>
          <w:rFonts w:hint="eastAsia"/>
          <w:color w:val="000000"/>
        </w:rPr>
      </w:pPr>
      <w:r>
        <w:rPr>
          <w:rFonts w:hint="eastAsia"/>
          <w:color w:val="000000"/>
        </w:rPr>
        <w:t xml:space="preserve">日       期：</w:t>
      </w:r>
      <w:r>
        <w:rPr>
          <w:rFonts w:hint="eastAsia"/>
          <w:color w:val="000000"/>
          <w:u w:val="single"/>
        </w:rPr>
        <w:t xml:space="preserve">                           </w:t>
      </w:r>
      <w:r/>
    </w:p>
    <w:p>
      <w:pPr>
        <w:pStyle w:val="852"/>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九、投标函</w:t>
      </w:r>
      <w:r/>
    </w:p>
    <w:p>
      <w:pPr>
        <w:ind w:firstLine="480"/>
        <w:rPr>
          <w:color w:val="000000"/>
          <w:sz w:val="24"/>
          <w:szCs w:val="24"/>
        </w:rPr>
      </w:pPr>
      <w:r>
        <w:rPr>
          <w:rFonts w:hint="eastAsia"/>
          <w:color w:val="000000"/>
          <w:sz w:val="24"/>
          <w:szCs w:val="24"/>
        </w:rPr>
        <w:t xml:space="preserve">致：</w:t>
      </w:r>
      <w:r/>
    </w:p>
    <w:p>
      <w:pPr>
        <w:ind w:firstLine="480"/>
        <w:rPr>
          <w:color w:val="000000"/>
          <w:sz w:val="24"/>
          <w:szCs w:val="24"/>
        </w:rPr>
      </w:pPr>
      <w:r>
        <w:rPr>
          <w:rFonts w:hint="eastAsia"/>
          <w:color w:val="000000"/>
          <w:sz w:val="24"/>
          <w:szCs w:val="24"/>
        </w:rPr>
        <w:t xml:space="preserve">根据贵方的</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color w:val="000000"/>
          <w:sz w:val="24"/>
          <w:szCs w:val="24"/>
        </w:rPr>
        <w:t xml:space="preserve">号招标文件，正式授权下述签字人______(姓名)代表我方______________（供应商的名称），全权处理本次项目投标的有关事宜。</w:t>
      </w:r>
      <w:r/>
    </w:p>
    <w:p>
      <w:pPr>
        <w:ind w:firstLine="480"/>
        <w:rPr>
          <w:color w:val="000000"/>
          <w:sz w:val="24"/>
          <w:szCs w:val="24"/>
        </w:rPr>
      </w:pPr>
      <w:r>
        <w:rPr>
          <w:rFonts w:hint="eastAsia"/>
          <w:color w:val="000000"/>
          <w:sz w:val="24"/>
          <w:szCs w:val="24"/>
        </w:rPr>
        <w:t xml:space="preserve">据此函，__________签字人兹宣布同意如下：</w:t>
      </w:r>
      <w:r/>
    </w:p>
    <w:p>
      <w:pPr>
        <w:ind w:firstLine="480"/>
        <w:rPr>
          <w:color w:val="000000"/>
          <w:sz w:val="24"/>
          <w:szCs w:val="24"/>
        </w:rPr>
      </w:pPr>
      <w:r>
        <w:rPr>
          <w:rFonts w:hint="eastAsia"/>
          <w:color w:val="000000"/>
          <w:sz w:val="24"/>
          <w:szCs w:val="24"/>
        </w:rPr>
        <w:t xml:space="preserve">1.我单位此次服务期限：</w:t>
      </w:r>
      <w:r>
        <w:rPr>
          <w:rFonts w:hint="eastAsia"/>
          <w:color w:val="000000"/>
          <w:sz w:val="24"/>
          <w:szCs w:val="24"/>
          <w:u w:val="single"/>
        </w:rPr>
        <w:t xml:space="preserve">      </w:t>
      </w:r>
      <w:r>
        <w:rPr>
          <w:rFonts w:hint="eastAsia"/>
          <w:color w:val="000000"/>
          <w:sz w:val="24"/>
          <w:szCs w:val="24"/>
          <w:lang w:val="en-US" w:eastAsia="zh-CN"/>
        </w:rPr>
        <w:t xml:space="preserve">日历天</w:t>
      </w:r>
      <w:r>
        <w:rPr>
          <w:rFonts w:hint="eastAsia"/>
          <w:color w:val="000000"/>
          <w:sz w:val="24"/>
          <w:szCs w:val="24"/>
        </w:rPr>
        <w:t xml:space="preserve">；服务标准：</w:t>
      </w:r>
      <w:r>
        <w:rPr>
          <w:rFonts w:hint="eastAsia"/>
          <w:color w:val="000000"/>
          <w:sz w:val="24"/>
          <w:szCs w:val="24"/>
          <w:u w:val="single"/>
        </w:rPr>
        <w:t xml:space="preserve">合格 </w:t>
      </w:r>
      <w:r>
        <w:rPr>
          <w:rFonts w:hint="eastAsia"/>
          <w:color w:val="000000"/>
          <w:sz w:val="24"/>
          <w:szCs w:val="24"/>
        </w:rPr>
        <w:t xml:space="preserve">。</w:t>
      </w:r>
      <w:r/>
    </w:p>
    <w:p>
      <w:pPr>
        <w:ind w:firstLine="480"/>
        <w:rPr>
          <w:color w:val="000000"/>
          <w:sz w:val="24"/>
          <w:szCs w:val="24"/>
        </w:rPr>
      </w:pPr>
      <w:r>
        <w:rPr>
          <w:rFonts w:hint="eastAsia"/>
          <w:color w:val="000000"/>
          <w:sz w:val="24"/>
          <w:szCs w:val="24"/>
        </w:rPr>
        <w:t xml:space="preserve">2.按招标文件规定的各项要求，向买方提供所需服务（包含与服务相关的货物）。</w:t>
      </w:r>
      <w:r/>
    </w:p>
    <w:p>
      <w:pPr>
        <w:ind w:firstLine="480"/>
        <w:rPr>
          <w:color w:val="000000"/>
          <w:sz w:val="24"/>
          <w:szCs w:val="24"/>
        </w:rPr>
      </w:pPr>
      <w:r>
        <w:rPr>
          <w:rFonts w:hint="eastAsia"/>
          <w:color w:val="000000"/>
          <w:sz w:val="24"/>
          <w:szCs w:val="24"/>
        </w:rPr>
        <w:t xml:space="preserve">3.我们完全理解贵方不一定将合同授予最低报价的供应商。</w:t>
      </w:r>
      <w:r/>
    </w:p>
    <w:p>
      <w:pPr>
        <w:ind w:firstLine="480"/>
        <w:rPr>
          <w:color w:val="000000"/>
          <w:sz w:val="24"/>
          <w:szCs w:val="24"/>
        </w:rPr>
      </w:pPr>
      <w:r>
        <w:rPr>
          <w:rFonts w:hint="eastAsia"/>
          <w:color w:val="000000"/>
          <w:sz w:val="24"/>
          <w:szCs w:val="24"/>
        </w:rPr>
        <w:t xml:space="preserve">4.我们已详细审核全部招标文件及其有效补充文件，我们知道必须放弃提出含糊不清或误解问题的权利。</w:t>
      </w:r>
      <w:r/>
    </w:p>
    <w:p>
      <w:pPr>
        <w:ind w:firstLine="480"/>
        <w:rPr>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p>
    <w:p>
      <w:pPr>
        <w:ind w:firstLine="480"/>
        <w:rPr>
          <w:color w:val="000000"/>
          <w:sz w:val="24"/>
          <w:szCs w:val="24"/>
        </w:rPr>
      </w:pPr>
      <w:r>
        <w:rPr>
          <w:rFonts w:hint="eastAsia"/>
          <w:color w:val="000000"/>
          <w:sz w:val="24"/>
          <w:szCs w:val="24"/>
        </w:rPr>
        <w:t xml:space="preserve">6.同意向贵方提供贵方可能另外要求的与投标有关的任何证据或资料，并保证我方已提供和将要提供的文件是真实的、准确的。</w:t>
      </w:r>
      <w:r/>
    </w:p>
    <w:p>
      <w:pPr>
        <w:ind w:firstLine="480"/>
        <w:rPr>
          <w:color w:val="000000"/>
          <w:sz w:val="24"/>
          <w:szCs w:val="24"/>
        </w:rPr>
      </w:pPr>
      <w:r>
        <w:rPr>
          <w:rFonts w:hint="eastAsia"/>
          <w:color w:val="000000"/>
          <w:sz w:val="24"/>
          <w:szCs w:val="24"/>
        </w:rPr>
        <w:t xml:space="preserve">7.一旦我方中标,我方将根据招标文件的规定，严格履行合同的责任和义务,并保证在招标文件规定的时间完成项目，交付买方验收、使用。</w:t>
      </w:r>
      <w:r/>
    </w:p>
    <w:p>
      <w:pPr>
        <w:ind w:firstLine="480"/>
        <w:rPr>
          <w:color w:val="000000"/>
          <w:sz w:val="24"/>
          <w:szCs w:val="24"/>
        </w:rPr>
      </w:pPr>
      <w:r>
        <w:rPr>
          <w:rFonts w:hint="eastAsia"/>
          <w:color w:val="000000"/>
          <w:sz w:val="24"/>
          <w:szCs w:val="24"/>
        </w:rPr>
        <w:t xml:space="preserve">8.与本投标有关的正式通讯地址为：</w:t>
      </w:r>
      <w:r/>
    </w:p>
    <w:p>
      <w:pPr>
        <w:ind w:firstLine="480"/>
        <w:rPr>
          <w:color w:val="000000"/>
          <w:sz w:val="24"/>
          <w:szCs w:val="24"/>
        </w:rPr>
      </w:pPr>
      <w:r>
        <w:rPr>
          <w:rFonts w:hint="eastAsia"/>
          <w:color w:val="000000"/>
          <w:sz w:val="24"/>
          <w:szCs w:val="24"/>
        </w:rPr>
        <w:t xml:space="preserve">地     址：</w:t>
      </w:r>
      <w:r/>
    </w:p>
    <w:p>
      <w:pPr>
        <w:ind w:firstLine="480"/>
        <w:rPr>
          <w:color w:val="000000"/>
          <w:sz w:val="24"/>
          <w:szCs w:val="24"/>
        </w:rPr>
      </w:pPr>
      <w:r>
        <w:rPr>
          <w:rFonts w:hint="eastAsia"/>
          <w:color w:val="000000"/>
          <w:sz w:val="24"/>
          <w:szCs w:val="24"/>
        </w:rPr>
        <w:t xml:space="preserve">邮    编：</w:t>
      </w:r>
      <w:r/>
    </w:p>
    <w:p>
      <w:pPr>
        <w:ind w:firstLine="480"/>
        <w:rPr>
          <w:color w:val="000000"/>
          <w:sz w:val="24"/>
          <w:szCs w:val="24"/>
        </w:rPr>
      </w:pPr>
      <w:r>
        <w:rPr>
          <w:rFonts w:hint="eastAsia"/>
          <w:color w:val="000000"/>
          <w:sz w:val="24"/>
          <w:szCs w:val="24"/>
        </w:rPr>
        <w:t xml:space="preserve">电     话：</w:t>
      </w:r>
      <w:r/>
    </w:p>
    <w:p>
      <w:pPr>
        <w:ind w:firstLine="480"/>
        <w:rPr>
          <w:color w:val="000000"/>
          <w:sz w:val="24"/>
          <w:szCs w:val="24"/>
        </w:rPr>
      </w:pPr>
      <w:r>
        <w:rPr>
          <w:rFonts w:hint="eastAsia"/>
          <w:color w:val="000000"/>
          <w:sz w:val="24"/>
          <w:szCs w:val="24"/>
        </w:rPr>
        <w:t xml:space="preserve">传     真：</w:t>
      </w:r>
      <w:r/>
    </w:p>
    <w:p>
      <w:pPr>
        <w:ind w:firstLine="480"/>
        <w:rPr>
          <w:color w:val="000000"/>
          <w:sz w:val="24"/>
          <w:szCs w:val="24"/>
        </w:rPr>
      </w:pPr>
      <w:r>
        <w:rPr>
          <w:rFonts w:hint="eastAsia"/>
          <w:color w:val="000000"/>
          <w:sz w:val="24"/>
          <w:szCs w:val="24"/>
        </w:rPr>
        <w:t xml:space="preserve">供应商开户行：</w:t>
      </w:r>
      <w:r/>
    </w:p>
    <w:p>
      <w:pPr>
        <w:ind w:firstLine="480"/>
        <w:rPr>
          <w:color w:val="000000"/>
          <w:sz w:val="24"/>
          <w:szCs w:val="24"/>
        </w:rPr>
      </w:pPr>
      <w:r>
        <w:rPr>
          <w:rFonts w:hint="eastAsia"/>
          <w:color w:val="000000"/>
          <w:sz w:val="24"/>
          <w:szCs w:val="24"/>
        </w:rPr>
        <w:t xml:space="preserve">账     号： </w:t>
      </w:r>
      <w:r/>
    </w:p>
    <w:p>
      <w:pPr>
        <w:ind w:firstLine="480"/>
        <w:rPr>
          <w:color w:val="000000"/>
          <w:sz w:val="24"/>
          <w:szCs w:val="24"/>
        </w:rPr>
      </w:pPr>
      <w:r>
        <w:rPr>
          <w:rFonts w:hint="eastAsia"/>
          <w:color w:val="000000"/>
          <w:sz w:val="24"/>
          <w:szCs w:val="24"/>
        </w:rPr>
        <w:t xml:space="preserve">日     期：______年____月____日</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rPr>
      </w:pPr>
      <w:r>
        <w:rPr>
          <w:color w:val="000000"/>
        </w:rPr>
      </w:r>
      <w:r/>
    </w:p>
    <w:p>
      <w:pPr>
        <w:pStyle w:val="645"/>
        <w:ind w:firstLine="118"/>
        <w:rPr>
          <w:rFonts w:hint="eastAsia"/>
          <w:color w:val="000000"/>
        </w:rPr>
      </w:pPr>
      <w:r>
        <w:rPr>
          <w:rFonts w:hint="eastAsia"/>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rPr>
          <w:color w:val="000000"/>
        </w:rPr>
      </w:pPr>
      <w:r>
        <w:rPr>
          <w:color w:val="000000"/>
        </w:rPr>
      </w:r>
      <w:r/>
    </w:p>
    <w:p>
      <w:pPr>
        <w:pStyle w:val="683"/>
        <w:ind w:firstLine="321"/>
        <w:jc w:val="center"/>
        <w:spacing w:beforeAutospacing="0" w:afterAutospacing="0" w:line="0" w:lineRule="atLeast"/>
        <w:rPr>
          <w:rFonts w:hint="eastAsia" w:ascii="宋体" w:hAnsi="宋体" w:eastAsia="宋体"/>
        </w:rPr>
      </w:pPr>
      <w:r>
        <w:rPr>
          <w:rFonts w:hint="eastAsia" w:ascii="黑体" w:hAnsi="黑体" w:eastAsia="黑体" w:cs="黑体"/>
          <w:i/>
          <w:color w:val="000000"/>
          <w:sz w:val="32"/>
          <w:szCs w:val="32"/>
          <w:u w:val="single"/>
        </w:rPr>
        <w:t xml:space="preserve">十、</w:t>
      </w:r>
      <w:bookmarkStart w:id="125" w:name="OLE_LINK29"/>
      <w:r>
        <w:rPr>
          <w:rFonts w:hint="eastAsia" w:ascii="黑体" w:hAnsi="黑体" w:eastAsia="黑体" w:cs="黑体"/>
          <w:i/>
          <w:color w:val="000000"/>
          <w:sz w:val="32"/>
          <w:szCs w:val="32"/>
          <w:u w:val="single"/>
        </w:rPr>
        <w:t xml:space="preserve">中小微企业声明函</w:t>
      </w:r>
      <w:r>
        <w:rPr>
          <w:rFonts w:hint="eastAsia" w:ascii="宋体" w:hAnsi="宋体" w:eastAsia="宋体" w:cs="黑体"/>
          <w:b/>
          <w:color w:val="000000"/>
          <w:sz w:val="32"/>
          <w:szCs w:val="32"/>
        </w:rPr>
        <w:t xml:space="preserve">（货物）</w:t>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lang w:val="en-US" w:eastAsia="zh-CN"/>
        </w:rPr>
        <w:t xml:space="preserve">  </w:t>
      </w:r>
      <w:r>
        <w:rPr>
          <w:rFonts w:hint="eastAsia" w:ascii="宋体" w:hAnsi="宋体" w:cs="宋体"/>
          <w:color w:val="000000"/>
          <w:u w:val="single"/>
          <w:lang w:val="en-US" w:eastAsia="zh-CN"/>
        </w:rPr>
        <w:t xml:space="preserve">             </w:t>
      </w:r>
      <w:r>
        <w:rPr>
          <w:rFonts w:hint="eastAsia" w:ascii="宋体" w:hAnsi="宋体" w:eastAsia="宋体" w:cs="宋体"/>
          <w:color w:val="000000"/>
        </w:rPr>
        <w:t xml:space="preserve">组织的采购编号为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83"/>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w:t>
      </w:r>
      <w:r/>
    </w:p>
    <w:p>
      <w:pPr>
        <w:pStyle w:val="683"/>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rPr>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83"/>
        <w:ind w:firstLine="36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本企业对上述声明内容的真实性负责。如有虚假，将依法承担相应责任</w:t>
      </w:r>
      <w:r/>
    </w:p>
    <w:p>
      <w:pPr>
        <w:pStyle w:val="683"/>
        <w:ind w:right="720"/>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683"/>
        <w:ind w:right="180" w:firstLine="360"/>
        <w:jc w:val="right"/>
        <w:spacing w:beforeAutospacing="0" w:afterAutospacing="0" w:line="0" w:lineRule="atLeast"/>
        <w:rPr>
          <w:rFonts w:hint="eastAsia" w:ascii="宋体" w:hAnsi="宋体" w:eastAsia="宋体"/>
        </w:rPr>
      </w:pPr>
      <w:r>
        <w:rPr>
          <w:rFonts w:hint="eastAsia" w:ascii="宋体" w:hAnsi="宋体" w:eastAsia="宋体" w:cs="宋体"/>
          <w:color w:val="000000"/>
        </w:rPr>
        <w:t xml:space="preserve">企业名称（加盖CA电子公章）：</w:t>
      </w:r>
      <w:r/>
    </w:p>
    <w:p>
      <w:pPr>
        <w:pStyle w:val="683"/>
        <w:ind w:right="480" w:firstLine="540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期：</w:t>
      </w:r>
      <w:r/>
    </w:p>
    <w:p>
      <w:pPr>
        <w:pStyle w:val="683"/>
        <w:ind w:firstLine="360"/>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683"/>
        <w:ind w:firstLine="48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83"/>
        <w:ind w:firstLine="48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备注2：供应商如不提供此声明函，价格将不做相应扣除。</w:t>
      </w:r>
      <w:r/>
    </w:p>
    <w:p>
      <w:pPr>
        <w:widowControl/>
        <w:rPr>
          <w:rFonts w:hint="eastAsia" w:ascii="黑体" w:hAnsi="黑体" w:eastAsia="黑体" w:cs="黑体"/>
          <w:i/>
          <w:color w:val="000000"/>
          <w:sz w:val="32"/>
          <w:szCs w:val="32"/>
        </w:rPr>
      </w:pPr>
      <w:r>
        <w:rPr>
          <w:rFonts w:hint="eastAsia" w:ascii="宋体" w:hAnsi="宋体" w:eastAsia="宋体" w:cs="黑体"/>
          <w:b/>
          <w:color w:val="000000"/>
          <w:sz w:val="32"/>
          <w:szCs w:val="32"/>
        </w:rPr>
        <w:br w:type="page" w:clear="all"/>
      </w:r>
      <w:r/>
    </w:p>
    <w:p>
      <w:pPr>
        <w:pStyle w:val="846"/>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val="en-US" w:eastAsia="zh-CN"/>
        </w:rPr>
        <w:t xml:space="preserve">                </w:t>
      </w:r>
      <w:r>
        <w:rPr>
          <w:rFonts w:hint="eastAsia"/>
          <w:color w:val="000000"/>
          <w:sz w:val="24"/>
          <w:szCs w:val="24"/>
        </w:rPr>
        <w:t xml:space="preserve">单位的采购文件编号为</w:t>
      </w:r>
      <w:r>
        <w:rPr>
          <w:rFonts w:hint="eastAsia"/>
          <w:color w:val="000000"/>
          <w:sz w:val="24"/>
          <w:u w:val="single"/>
          <w:lang w:val="en-US" w:eastAsia="zh-CN"/>
        </w:rPr>
        <w:t xml:space="preserve">                  </w:t>
      </w:r>
      <w:r>
        <w:rPr>
          <w:rFonts w:hint="eastAsia"/>
          <w:color w:val="000000"/>
          <w:sz w:val="24"/>
          <w:u w:val="single"/>
        </w:rPr>
        <w:t xml:space="preserve">  </w:t>
      </w:r>
      <w:r>
        <w:rPr>
          <w:rFonts w:hint="eastAsia"/>
          <w:color w:val="000000"/>
          <w:sz w:val="24"/>
          <w:szCs w:val="24"/>
        </w:rPr>
        <w:t xml:space="preserve">的</w:t>
      </w:r>
      <w:r>
        <w:rPr>
          <w:rFonts w:hint="eastAsia"/>
          <w:color w:val="000000"/>
          <w:sz w:val="24"/>
          <w:szCs w:val="24"/>
          <w:u w:val="single"/>
          <w:lang w:eastAsia="zh-CN"/>
        </w:rPr>
        <w:t xml:space="preserve">滨海县核心育种场暨生猪保供生产基地生猪疫病防控智能监控项目</w:t>
      </w:r>
      <w:r>
        <w:rPr>
          <w:rFonts w:hint="eastAsia"/>
          <w:color w:val="000000"/>
          <w:sz w:val="24"/>
          <w:szCs w:val="24"/>
        </w:rPr>
        <w:t xml:space="preserve">采购活动由本单位提供服务。</w:t>
      </w:r>
      <w:r/>
    </w:p>
    <w:p>
      <w:pPr>
        <w:ind w:firstLine="480"/>
        <w:rPr>
          <w:color w:val="000000"/>
          <w:sz w:val="24"/>
          <w:szCs w:val="24"/>
        </w:rPr>
      </w:pPr>
      <w:r>
        <w:rPr>
          <w:rFonts w:hint="eastAsia"/>
          <w:color w:val="000000"/>
          <w:sz w:val="24"/>
          <w:szCs w:val="24"/>
        </w:rPr>
        <w:t xml:space="preserve">本单位对上述声明的真实性负责。如有虚假，将依法承担相应责任。</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企业名称（加盖CA电子公章）：</w:t>
      </w:r>
      <w:r/>
    </w:p>
    <w:p>
      <w:pPr>
        <w:ind w:firstLine="7200"/>
        <w:rPr>
          <w:color w:val="000000"/>
          <w:sz w:val="24"/>
          <w:szCs w:val="24"/>
        </w:rPr>
      </w:pPr>
      <w:r>
        <w:rPr>
          <w:rFonts w:hint="eastAsia"/>
          <w:color w:val="000000"/>
          <w:sz w:val="24"/>
          <w:szCs w:val="24"/>
        </w:rPr>
        <w:t xml:space="preserve"> 日  期：</w:t>
      </w:r>
      <w:r/>
    </w:p>
    <w:p>
      <w:pPr>
        <w:ind w:firstLine="480"/>
        <w:rPr>
          <w:color w:val="000000"/>
          <w:sz w:val="24"/>
          <w:szCs w:val="24"/>
        </w:rPr>
      </w:pPr>
      <w:r>
        <w:rPr>
          <w:color w:val="000000"/>
          <w:sz w:val="24"/>
          <w:szCs w:val="24"/>
        </w:rPr>
      </w:r>
      <w:bookmarkEnd w:id="125"/>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pStyle w:val="842"/>
        <w:tabs>
          <w:tab w:val="left" w:pos="180" w:leader="none"/>
        </w:tabs>
        <w:rPr>
          <w:rFonts w:hint="eastAsia"/>
          <w:color w:val="000000"/>
        </w:rPr>
      </w:pPr>
      <w:r>
        <w:rPr>
          <w:rFonts w:hint="eastAsia"/>
          <w:color w:val="000000"/>
        </w:rPr>
      </w:r>
      <w:r/>
    </w:p>
    <w:p>
      <w:pPr>
        <w:jc w:val="center"/>
        <w:spacing w:before="50" w:after="50"/>
        <w:rPr>
          <w:rFonts w:hint="eastAsia" w:ascii="宋体" w:hAnsi="宋体" w:cs="宋体"/>
          <w:sz w:val="32"/>
          <w:szCs w:val="32"/>
        </w:rPr>
      </w:pPr>
      <w:r>
        <w:rPr>
          <w:rFonts w:hint="eastAsia" w:ascii="黑体" w:hAnsi="黑体" w:eastAsia="黑体" w:cs="黑体"/>
          <w:i/>
          <w:color w:val="000000"/>
          <w:sz w:val="32"/>
          <w:szCs w:val="32"/>
        </w:rPr>
        <w:t xml:space="preserve">十二、</w:t>
      </w:r>
      <w:r>
        <w:rPr>
          <w:rFonts w:hint="eastAsia" w:ascii="宋体" w:hAnsi="宋体" w:cs="宋体"/>
          <w:sz w:val="32"/>
          <w:szCs w:val="32"/>
        </w:rPr>
        <w:t xml:space="preserve">投标分项报价表</w:t>
      </w:r>
      <w:r/>
    </w:p>
    <w:p>
      <w:pPr>
        <w:jc w:val="center"/>
        <w:rPr>
          <w:rFonts w:hint="eastAsia" w:ascii="宋体" w:hAnsi="宋体" w:cs="宋体"/>
          <w:sz w:val="24"/>
          <w:szCs w:val="24"/>
        </w:rPr>
      </w:pPr>
      <w:r>
        <w:rPr>
          <w:rFonts w:hint="eastAsia" w:ascii="宋体" w:hAnsi="宋体" w:cs="宋体"/>
          <w:sz w:val="24"/>
          <w:szCs w:val="24"/>
        </w:rPr>
      </w:r>
      <w:r/>
    </w:p>
    <w:tbl>
      <w:tblPr>
        <w:tblStyle w:val="65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7"/>
        <w:gridCol w:w="997"/>
        <w:gridCol w:w="906"/>
        <w:gridCol w:w="1298"/>
        <w:gridCol w:w="746"/>
        <w:gridCol w:w="918"/>
        <w:gridCol w:w="696"/>
        <w:gridCol w:w="1261"/>
        <w:gridCol w:w="1151"/>
      </w:tblGrid>
      <w:tr>
        <w:trPr>
          <w:jc w:val="cente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8</w:t>
            </w:r>
            <w:r/>
          </w:p>
        </w:tc>
      </w:tr>
      <w:tr>
        <w:trPr>
          <w:jc w:val="cente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产品</w:t>
            </w:r>
            <w:r/>
          </w:p>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规格</w:t>
            </w:r>
            <w:r/>
          </w:p>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分项总价</w:t>
            </w:r>
            <w:r/>
          </w:p>
        </w:tc>
      </w:tr>
      <w:tr>
        <w:trPr>
          <w:jc w:val="cente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r>
      <w:tr>
        <w:trPr>
          <w:jc w:val="cente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r>
      <w:tr>
        <w:trPr>
          <w:jc w:val="cente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3"/>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r>
      <w:tr>
        <w:trPr>
          <w:jc w:val="cente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3"/>
              <w:spacing w:beforeAutospacing="0" w:afterAutospacing="0"/>
              <w:rPr>
                <w:rFonts w:hint="eastAsia" w:ascii="宋体" w:hAnsi="宋体" w:eastAsia="宋体" w:cs="宋体"/>
                <w:color w:val="000000"/>
              </w:rPr>
            </w:pPr>
            <w:r>
              <w:rPr>
                <w:rFonts w:ascii="宋体" w:hAnsi="宋体" w:eastAsia="宋体" w:cs="宋体"/>
                <w:color w:val="000000"/>
              </w:rPr>
              <w:t xml:space="preserve"> </w:t>
            </w:r>
            <w:r/>
          </w:p>
        </w:tc>
      </w:tr>
    </w:tbl>
    <w:p>
      <w:pPr>
        <w:ind w:firstLine="3361"/>
        <w:jc w:val="left"/>
        <w:spacing w:line="500" w:lineRule="exact"/>
        <w:rPr>
          <w:rFonts w:hint="eastAsia" w:ascii="宋体" w:hAnsi="宋体"/>
          <w:b/>
          <w:color w:val="000000"/>
          <w:sz w:val="24"/>
        </w:rPr>
      </w:pPr>
      <w:r>
        <w:rPr>
          <w:rFonts w:hint="eastAsia" w:ascii="宋体" w:hAnsi="宋体"/>
          <w:b/>
          <w:color w:val="000000"/>
          <w:sz w:val="24"/>
        </w:rPr>
      </w:r>
      <w:r/>
    </w:p>
    <w:p>
      <w:pPr>
        <w:ind w:firstLine="3361"/>
        <w:jc w:val="left"/>
        <w:spacing w:line="500" w:lineRule="exact"/>
        <w:rPr>
          <w:rFonts w:hint="eastAsia" w:ascii="宋体" w:hAnsi="宋体"/>
          <w:b/>
          <w:color w:val="000000"/>
          <w:sz w:val="24"/>
        </w:rPr>
      </w:pPr>
      <w:r>
        <w:rPr>
          <w:rFonts w:hint="eastAsia" w:ascii="宋体" w:hAnsi="宋体"/>
          <w:b/>
          <w:color w:val="000000"/>
          <w:sz w:val="24"/>
        </w:rPr>
      </w:r>
      <w:r/>
    </w:p>
    <w:p>
      <w:pPr>
        <w:ind w:firstLine="3361"/>
        <w:jc w:val="left"/>
        <w:spacing w:line="500" w:lineRule="exact"/>
        <w:rPr>
          <w:rFonts w:hint="eastAsia" w:ascii="宋体" w:hAnsi="宋体"/>
          <w:b/>
          <w:color w:val="000000"/>
          <w:sz w:val="24"/>
        </w:rPr>
      </w:pPr>
      <w:r>
        <w:rPr>
          <w:rFonts w:hint="eastAsia" w:ascii="宋体" w:hAnsi="宋体"/>
          <w:b/>
          <w:color w:val="000000"/>
          <w:sz w:val="24"/>
        </w:rPr>
        <w:t xml:space="preserve">法定代表人或者授权代表（签字或盖章）：</w:t>
      </w:r>
      <w:r/>
    </w:p>
    <w:p>
      <w:pPr>
        <w:ind w:firstLine="3361"/>
        <w:jc w:val="left"/>
        <w:spacing w:line="500" w:lineRule="exact"/>
        <w:rPr>
          <w:rFonts w:hint="eastAsia" w:ascii="宋体" w:hAnsi="宋体"/>
          <w:b/>
          <w:color w:val="000000"/>
          <w:sz w:val="24"/>
        </w:rPr>
      </w:pPr>
      <w:r>
        <w:rPr>
          <w:rFonts w:hint="eastAsia" w:ascii="宋体" w:hAnsi="宋体"/>
          <w:b/>
          <w:color w:val="000000"/>
          <w:sz w:val="24"/>
        </w:rPr>
        <w:t xml:space="preserve">日期：</w:t>
      </w:r>
      <w:r/>
    </w:p>
    <w:p>
      <w:pPr>
        <w:spacing w:line="360" w:lineRule="auto"/>
        <w:rPr>
          <w:rFonts w:hint="eastAsia" w:ascii="宋体" w:hAnsi="宋体"/>
          <w:sz w:val="24"/>
        </w:rPr>
      </w:pPr>
      <w:r>
        <w:rPr>
          <w:rFonts w:hint="eastAsia" w:ascii="宋体" w:hAnsi="宋体"/>
          <w:sz w:val="24"/>
        </w:rPr>
      </w:r>
      <w:r/>
    </w:p>
    <w:p>
      <w:pPr>
        <w:pStyle w:val="68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p>
    <w:p>
      <w:pPr>
        <w:pStyle w:val="68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 “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83"/>
        <w:jc w:val="both"/>
        <w:spacing w:beforeAutospacing="0" w:afterAutospacing="0"/>
        <w:rPr>
          <w:rFonts w:hint="eastAsia" w:ascii="宋体" w:hAnsi="宋体" w:eastAsia="宋体"/>
        </w:rPr>
      </w:pPr>
      <w:r>
        <w:rPr>
          <w:rFonts w:hint="eastAsia" w:ascii="宋体" w:hAnsi="宋体" w:eastAsia="宋体" w:cs="宋体"/>
          <w:color w:val="000000"/>
        </w:rPr>
        <w:t xml:space="preserve">2.</w:t>
      </w:r>
      <w:r>
        <w:rPr>
          <w:rFonts w:ascii="宋体" w:hAnsi="宋体" w:eastAsia="宋体"/>
          <w:color w:val="000000"/>
          <w:sz w:val="21"/>
          <w:szCs w:val="21"/>
        </w:rPr>
        <w:t xml:space="preserve"> “</w:t>
      </w:r>
      <w:r>
        <w:rPr>
          <w:rFonts w:hint="eastAsia" w:ascii="宋体" w:hAnsi="宋体" w:eastAsia="宋体" w:cs="宋体"/>
          <w:color w:val="000000"/>
        </w:rPr>
        <w:t xml:space="preserve">投标分项报价表</w:t>
      </w:r>
      <w:r>
        <w:rPr>
          <w:rFonts w:ascii="宋体" w:hAnsi="宋体" w:eastAsia="宋体"/>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42"/>
        <w:ind w:firstLine="0"/>
        <w:rPr>
          <w:rFonts w:hint="eastAsia"/>
        </w:rPr>
      </w:pPr>
      <w:r>
        <w:rPr>
          <w:rFonts w:hint="eastAsia"/>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十三、</w:t>
      </w:r>
      <w:bookmarkStart w:id="126" w:name="OLE_LINK30"/>
      <w:r>
        <w:rPr>
          <w:rFonts w:hint="eastAsia" w:ascii="黑体" w:hAnsi="黑体" w:eastAsia="黑体" w:cs="黑体"/>
          <w:i/>
          <w:color w:val="000000"/>
          <w:sz w:val="32"/>
          <w:szCs w:val="32"/>
          <w:u w:val="single"/>
        </w:rPr>
        <w:t xml:space="preserve">技术要求响应及偏离表</w:t>
      </w:r>
      <w:bookmarkEnd w:id="126"/>
      <w:r/>
      <w:r/>
    </w:p>
    <w:tbl>
      <w:tblPr>
        <w:tblStyle w:val="653"/>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jc w:val="center"/>
              <w:spacing w:line="500" w:lineRule="exact"/>
              <w:rPr>
                <w:rFonts w:hint="eastAsia"/>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jc w:val="center"/>
              <w:spacing w:line="500" w:lineRule="exact"/>
              <w:rPr>
                <w:rFonts w:hint="eastAsia"/>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jc w:val="center"/>
              <w:spacing w:line="500" w:lineRule="exact"/>
              <w:rPr>
                <w:rFonts w:hint="eastAsia"/>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jc w:val="center"/>
              <w:spacing w:line="500" w:lineRule="exact"/>
              <w:rPr>
                <w:rFonts w:hint="eastAsia"/>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52"/>
              <w:ind w:firstLine="480"/>
              <w:spacing w:line="500" w:lineRule="exact"/>
              <w:rPr>
                <w:rFonts w:hint="eastAsia"/>
                <w:color w:val="000000"/>
              </w:rPr>
            </w:pPr>
            <w:r>
              <w:rPr>
                <w:rFonts w:hint="eastAsia"/>
                <w:color w:val="000000"/>
              </w:rPr>
              <w:t xml:space="preserve"> </w:t>
            </w:r>
            <w:r/>
          </w:p>
        </w:tc>
      </w:tr>
    </w:tbl>
    <w:p>
      <w:pPr>
        <w:pStyle w:val="852"/>
        <w:ind w:firstLine="480"/>
        <w:rPr>
          <w:rFonts w:hint="eastAsia"/>
          <w:color w:val="000000"/>
        </w:rPr>
      </w:pPr>
      <w:r>
        <w:rPr>
          <w:rFonts w:hint="eastAsia"/>
          <w:color w:val="000000"/>
        </w:rPr>
        <w:t xml:space="preserve">注： 行数不够，可自行添加。</w:t>
      </w:r>
      <w:r/>
    </w:p>
    <w:p>
      <w:pPr>
        <w:pStyle w:val="852"/>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jc w:val="center"/>
        <w:rPr>
          <w:rFonts w:hint="eastAsia" w:ascii="黑体" w:hAnsi="黑体" w:eastAsia="黑体" w:cs="黑体"/>
          <w:i/>
          <w:color w:val="000000"/>
          <w:sz w:val="32"/>
          <w:szCs w:val="32"/>
          <w:u w:val="single"/>
        </w:rPr>
      </w:pPr>
      <w:r>
        <w:rPr>
          <w:rFonts w:hint="eastAsia"/>
          <w:color w:val="000000"/>
          <w:sz w:val="24"/>
        </w:rPr>
        <w:br w:type="page" w:clear="all"/>
      </w:r>
      <w:r>
        <w:rPr>
          <w:rFonts w:hint="eastAsia" w:ascii="黑体" w:hAnsi="黑体" w:eastAsia="黑体" w:cs="黑体"/>
          <w:i/>
          <w:color w:val="000000"/>
          <w:sz w:val="32"/>
          <w:szCs w:val="32"/>
          <w:u w:val="single"/>
        </w:rPr>
        <w:t xml:space="preserve">十四、资格性审查响应对照表</w:t>
      </w:r>
      <w:r/>
    </w:p>
    <w:tbl>
      <w:tblPr>
        <w:tblStyle w:val="6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5447" w:type="dxa"/>
            <w:textDirection w:val="lrTb"/>
            <w:noWrap w:val="false"/>
          </w:tcPr>
          <w:p>
            <w:pPr>
              <w:spacing w:line="340" w:lineRule="exact"/>
              <w:rPr>
                <w:rFonts w:hint="eastAsia" w:ascii="宋体" w:hAnsi="宋体" w:cs="宋体"/>
                <w:color w:val="000000"/>
                <w:sz w:val="24"/>
              </w:rPr>
            </w:pPr>
            <w:r>
              <w:rPr>
                <w:rFonts w:hint="eastAsia" w:ascii="宋体" w:hAnsi="宋体" w:cs="宋体"/>
                <w:color w:val="000000"/>
                <w:sz w:val="24"/>
              </w:rPr>
              <w:t xml:space="preserve">法人或者其他组织的营业执照等证明文件</w:t>
            </w:r>
            <w:r/>
          </w:p>
        </w:tc>
        <w:tc>
          <w:tcPr>
            <w:tcW w:w="168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szCs w:val="24"/>
              </w:rPr>
              <w:t xml:space="preserve">上一年度的财务状况报表（至少提供资产负债表、利润表、现金流量表，供应商成立不满一年无需提供）</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4</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具备履行合同所必需的设备和专业技术能力的书面声明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参加政府采购活动前3年内在经营活动中没有重大违法记录的书面声明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6</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7</w:t>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447" w:type="dxa"/>
            <w:vAlign w:val="center"/>
            <w:textDirection w:val="lrTb"/>
            <w:noWrap w:val="false"/>
          </w:tcPr>
          <w:p>
            <w:pPr>
              <w:ind w:right="224"/>
              <w:spacing w:line="340" w:lineRule="exact"/>
              <w:rPr>
                <w:rFonts w:hint="eastAsia" w:ascii="宋体" w:hAnsi="宋体" w:cs="宋体"/>
                <w:color w:val="000000"/>
                <w:sz w:val="24"/>
              </w:rPr>
            </w:pPr>
            <w:r>
              <w:rPr>
                <w:rFonts w:hint="eastAsia" w:ascii="宋体" w:hAnsi="宋体" w:cs="宋体"/>
                <w:color w:val="000000"/>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4060"/>
        <w:spacing w:line="360" w:lineRule="auto"/>
        <w:rPr>
          <w:rFonts w:hint="eastAsia" w:hAnsi="宋体"/>
          <w:bCs/>
          <w:szCs w:val="28"/>
        </w:rPr>
      </w:pPr>
      <w:r>
        <w:rPr>
          <w:rFonts w:hint="eastAsia" w:hAnsi="宋体"/>
          <w:bCs/>
          <w:szCs w:val="28"/>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   年  月   日</w:t>
      </w:r>
      <w:r/>
    </w:p>
    <w:p>
      <w:pPr>
        <w:spacing w:before="50" w:after="50"/>
        <w:rPr>
          <w:rFonts w:hint="eastAsia" w:hAnsi="宋体"/>
          <w:b/>
          <w:bCs/>
          <w:sz w:val="32"/>
          <w:szCs w:val="32"/>
        </w:rPr>
      </w:pPr>
      <w:r>
        <w:rPr>
          <w:rFonts w:hint="eastAsia" w:hAnsi="宋体"/>
          <w:b/>
          <w:bCs/>
          <w:sz w:val="32"/>
          <w:szCs w:val="32"/>
        </w:rPr>
      </w:r>
      <w:r/>
    </w:p>
    <w:p>
      <w:pPr>
        <w:pStyle w:val="692"/>
        <w:rPr>
          <w:rFonts w:hint="eastAsia"/>
        </w:rPr>
      </w:pPr>
      <w:r>
        <w:rPr>
          <w:rFonts w:hint="eastAsia"/>
        </w:rPr>
      </w:r>
      <w:r/>
    </w:p>
    <w:p>
      <w:pPr>
        <w:pStyle w:val="693"/>
        <w:rPr>
          <w:rFonts w:eastAsiaTheme="minorEastAsia"/>
        </w:rPr>
      </w:pPr>
      <w:r>
        <w:rPr>
          <w:rFonts w:eastAsiaTheme="minorEastAsia"/>
        </w:rPr>
      </w:r>
      <w:r/>
    </w:p>
    <w:p>
      <w:pPr>
        <w:pStyle w:val="692"/>
        <w:rPr>
          <w:rFonts w:hint="eastAsia"/>
        </w:rPr>
      </w:pPr>
      <w:r>
        <w:rPr>
          <w:rFonts w:hint="eastAsia"/>
        </w:rPr>
      </w:r>
      <w:r/>
    </w:p>
    <w:p>
      <w:pPr>
        <w:pStyle w:val="693"/>
        <w:rPr>
          <w:rFonts w:eastAsiaTheme="minorEastAsia"/>
        </w:rPr>
      </w:pPr>
      <w:r>
        <w:rPr>
          <w:rFonts w:eastAsiaTheme="minorEastAsia"/>
        </w:rPr>
      </w:r>
      <w:r/>
    </w:p>
    <w:p>
      <w:pPr>
        <w:pStyle w:val="692"/>
        <w:rPr>
          <w:rFonts w:hint="eastAsia"/>
        </w:rPr>
      </w:pPr>
      <w:r>
        <w:rPr>
          <w:rFonts w:hint="eastAsia"/>
        </w:rPr>
      </w:r>
      <w:r/>
    </w:p>
    <w:p>
      <w:pPr>
        <w:pStyle w:val="693"/>
        <w:rPr>
          <w:rFonts w:eastAsiaTheme="minorEastAsia"/>
        </w:rPr>
      </w:pPr>
      <w:r>
        <w:rPr>
          <w:rFonts w:eastAsiaTheme="minorEastAsia"/>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十五、符合性检查响应对照表</w:t>
      </w:r>
      <w:r/>
    </w:p>
    <w:tbl>
      <w:tblPr>
        <w:tblStyle w:val="6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5008"/>
        <w:gridCol w:w="1680"/>
        <w:gridCol w:w="1785"/>
      </w:tblGrid>
      <w:tr>
        <w:trPr>
          <w:trHeight w:val="882"/>
        </w:trPr>
        <w:tc>
          <w:tcPr>
            <w:tcW w:w="1085"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008"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1085" w:type="dxa"/>
            <w:vAlign w:val="center"/>
            <w:textDirection w:val="lrTb"/>
            <w:noWrap w:val="false"/>
          </w:tcPr>
          <w:p>
            <w:pPr>
              <w:jc w:val="center"/>
              <w:rPr>
                <w:rFonts w:hint="eastAsia" w:hAnsi="宋体"/>
                <w:iCs/>
                <w:sz w:val="24"/>
              </w:rPr>
            </w:pPr>
            <w:r>
              <w:rPr>
                <w:rFonts w:hint="eastAsia" w:hAnsi="宋体"/>
                <w:iCs/>
                <w:sz w:val="24"/>
              </w:rPr>
              <w:t xml:space="preserve">1</w:t>
            </w:r>
            <w:r/>
          </w:p>
        </w:tc>
        <w:tc>
          <w:tcPr>
            <w:tcW w:w="5008" w:type="dxa"/>
            <w:vAlign w:val="center"/>
            <w:textDirection w:val="lrTb"/>
            <w:noWrap w:val="false"/>
          </w:tcPr>
          <w:p>
            <w:pPr>
              <w:rPr>
                <w:rFonts w:hint="eastAsia" w:hAnsi="宋体"/>
                <w:iCs/>
                <w:sz w:val="24"/>
              </w:rPr>
            </w:pPr>
            <w:r>
              <w:rPr>
                <w:rFonts w:hint="eastAsia" w:ascii="宋体" w:hAnsi="宋体" w:cs="宋体"/>
                <w:color w:val="000000"/>
                <w:sz w:val="24"/>
                <w:szCs w:val="24"/>
              </w:rPr>
              <w:t xml:space="preserve">合同履行期限（工期）</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1085" w:type="dxa"/>
            <w:vAlign w:val="center"/>
            <w:textDirection w:val="lrTb"/>
            <w:noWrap w:val="false"/>
          </w:tcPr>
          <w:p>
            <w:pPr>
              <w:jc w:val="center"/>
              <w:rPr>
                <w:rFonts w:hint="eastAsia" w:hAnsi="宋体"/>
                <w:iCs/>
                <w:sz w:val="24"/>
              </w:rPr>
            </w:pPr>
            <w:r>
              <w:rPr>
                <w:rFonts w:hint="eastAsia" w:hAnsi="宋体"/>
                <w:iCs/>
                <w:sz w:val="24"/>
              </w:rPr>
              <w:t xml:space="preserve">2</w:t>
            </w:r>
            <w:r/>
          </w:p>
        </w:tc>
        <w:tc>
          <w:tcPr>
            <w:tcW w:w="5008" w:type="dxa"/>
            <w:vAlign w:val="center"/>
            <w:textDirection w:val="lrTb"/>
            <w:noWrap w:val="false"/>
          </w:tcPr>
          <w:p>
            <w:pPr>
              <w:rPr>
                <w:rFonts w:hint="eastAsia" w:hAnsi="宋体"/>
                <w:iCs/>
                <w:sz w:val="24"/>
              </w:rPr>
            </w:pPr>
            <w:r>
              <w:rPr>
                <w:rFonts w:hint="eastAsia" w:ascii="宋体" w:hAnsi="宋体" w:cs="宋体"/>
                <w:color w:val="auto"/>
                <w:sz w:val="24"/>
                <w:szCs w:val="24"/>
                <w:highlight w:val="none"/>
                <w:lang w:val="en-US" w:eastAsia="zh-CN"/>
              </w:rPr>
              <w:t xml:space="preserve">免费</w:t>
            </w:r>
            <w:r>
              <w:rPr>
                <w:rFonts w:hint="eastAsia" w:ascii="宋体" w:hAnsi="宋体" w:cs="宋体"/>
                <w:color w:val="auto"/>
                <w:sz w:val="24"/>
                <w:szCs w:val="24"/>
                <w:highlight w:val="none"/>
              </w:rPr>
              <w:t xml:space="preserve">质量保修期</w:t>
            </w:r>
            <w:r/>
          </w:p>
        </w:tc>
        <w:tc>
          <w:tcPr>
            <w:tcW w:w="1680" w:type="dxa"/>
            <w:vAlign w:val="center"/>
            <w:textDirection w:val="lrTb"/>
            <w:noWrap w:val="false"/>
          </w:tcPr>
          <w:p>
            <w:pPr>
              <w:rPr>
                <w:rFonts w:hint="eastAsia" w:hAnsi="宋体"/>
                <w:iCs/>
                <w:sz w:val="24"/>
              </w:rPr>
            </w:pPr>
            <w:r>
              <w:rPr>
                <w:rFonts w:hint="eastAsia" w:hAnsi="宋体"/>
                <w:iCs/>
                <w:sz w:val="24"/>
              </w:rPr>
            </w:r>
            <w:r/>
          </w:p>
        </w:tc>
        <w:tc>
          <w:tcPr>
            <w:tcW w:w="1785"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1085" w:type="dxa"/>
            <w:vAlign w:val="center"/>
            <w:textDirection w:val="lrTb"/>
            <w:noWrap w:val="false"/>
          </w:tcPr>
          <w:p>
            <w:pPr>
              <w:jc w:val="center"/>
              <w:rPr>
                <w:rFonts w:hint="eastAsia" w:hAnsi="宋体"/>
              </w:rPr>
            </w:pPr>
            <w:r>
              <w:rPr>
                <w:rFonts w:hint="eastAsia" w:hAnsi="宋体"/>
              </w:rPr>
              <w:t xml:space="preserve">3</w:t>
            </w:r>
            <w:r/>
          </w:p>
        </w:tc>
        <w:tc>
          <w:tcPr>
            <w:tcW w:w="5008" w:type="dxa"/>
            <w:vAlign w:val="center"/>
            <w:textDirection w:val="lrTb"/>
            <w:noWrap w:val="false"/>
          </w:tcPr>
          <w:p>
            <w:pPr>
              <w:rPr>
                <w:rFonts w:hint="eastAsia" w:hAnsi="宋体"/>
                <w:iCs/>
                <w:sz w:val="24"/>
              </w:rPr>
            </w:pPr>
            <w:r>
              <w:rPr>
                <w:rFonts w:hint="eastAsia" w:hAnsi="宋体"/>
                <w:iCs/>
                <w:sz w:val="24"/>
              </w:rPr>
              <w:t xml:space="preserve">付款方式</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1085" w:type="dxa"/>
            <w:vAlign w:val="center"/>
            <w:textDirection w:val="lrTb"/>
            <w:noWrap w:val="false"/>
          </w:tcPr>
          <w:p>
            <w:pPr>
              <w:jc w:val="center"/>
              <w:rPr>
                <w:rFonts w:hint="eastAsia" w:hAnsi="宋体"/>
              </w:rPr>
            </w:pPr>
            <w:r>
              <w:rPr>
                <w:rFonts w:hint="eastAsia" w:hAnsi="宋体"/>
              </w:rPr>
              <w:t xml:space="preserve">4</w:t>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lang w:val="en-US" w:eastAsia="zh-CN"/>
              </w:rPr>
              <w:t xml:space="preserve">项目</w:t>
            </w:r>
            <w:r>
              <w:rPr>
                <w:rFonts w:hint="eastAsia" w:hAnsi="宋体"/>
                <w:iCs/>
                <w:sz w:val="24"/>
              </w:rPr>
              <w:t xml:space="preserve">地点</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41"/>
        </w:trPr>
        <w:tc>
          <w:tcPr>
            <w:tcW w:w="1085" w:type="dxa"/>
            <w:vAlign w:val="center"/>
            <w:textDirection w:val="lrTb"/>
            <w:noWrap w:val="false"/>
          </w:tcPr>
          <w:p>
            <w:pPr>
              <w:jc w:val="center"/>
              <w:rPr>
                <w:rFonts w:hint="eastAsia" w:hAnsi="宋体"/>
              </w:rPr>
            </w:pPr>
            <w:r>
              <w:rPr>
                <w:rFonts w:hint="eastAsia" w:hAnsi="宋体"/>
              </w:rPr>
              <w:t xml:space="preserve">5</w:t>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1085" w:type="dxa"/>
            <w:vAlign w:val="center"/>
            <w:textDirection w:val="lrTb"/>
            <w:noWrap w:val="false"/>
          </w:tcPr>
          <w:p>
            <w:pPr>
              <w:jc w:val="center"/>
              <w:rPr>
                <w:rFonts w:hint="eastAsia" w:hAnsi="宋体"/>
              </w:rPr>
            </w:pPr>
            <w:r>
              <w:rPr>
                <w:rFonts w:hint="eastAsia" w:hAnsi="宋体"/>
              </w:rPr>
            </w:r>
            <w:r/>
          </w:p>
        </w:tc>
        <w:tc>
          <w:tcPr>
            <w:tcW w:w="5008"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rPr>
      </w:pPr>
      <w:r>
        <w:rPr>
          <w:rFonts w:cs="宋体"/>
          <w:szCs w:val="28"/>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   年  月   日</w:t>
      </w:r>
      <w:r/>
    </w:p>
    <w:p>
      <w:pPr>
        <w:ind w:left="560"/>
        <w:jc w:val="center"/>
        <w:rPr>
          <w:rFonts w:hint="eastAsia" w:ascii="宋体" w:hAnsi="宋体"/>
          <w:b/>
          <w:sz w:val="32"/>
          <w:szCs w:val="32"/>
        </w:rPr>
        <w:outlineLvl w:val="1"/>
      </w:pPr>
      <w:r>
        <w:rPr>
          <w:rFonts w:hint="eastAsia" w:ascii="宋体" w:hAnsi="宋体"/>
          <w:b/>
          <w:sz w:val="32"/>
          <w:szCs w:val="32"/>
        </w:rPr>
      </w:r>
      <w:r/>
    </w:p>
    <w:p>
      <w:pPr>
        <w:pStyle w:val="643"/>
        <w:rPr>
          <w:rFonts w:hint="eastAsia" w:hAnsi="宋体"/>
          <w:b w:val="0"/>
          <w:bCs w:val="0"/>
          <w:sz w:val="32"/>
          <w:szCs w:val="32"/>
        </w:rPr>
      </w:pPr>
      <w:r>
        <w:rPr>
          <w:rFonts w:hint="eastAsia" w:hAnsi="宋体"/>
          <w:b w:val="0"/>
          <w:bCs w:val="0"/>
          <w:sz w:val="32"/>
          <w:szCs w:val="32"/>
        </w:rPr>
      </w:r>
      <w:r/>
    </w:p>
    <w:p>
      <w:pPr>
        <w:ind w:firstLine="480"/>
        <w:jc w:val="center"/>
        <w:rPr>
          <w:color w:val="000000"/>
        </w:rPr>
      </w:pPr>
      <w:r>
        <w:rPr>
          <w:color w:val="000000"/>
        </w:rPr>
        <w:t xml:space="preserve"> </w:t>
      </w:r>
      <w:r/>
    </w:p>
    <w:p>
      <w:pPr>
        <w:pStyle w:val="852"/>
        <w:ind w:firstLine="480"/>
        <w:rPr>
          <w:rFonts w:hint="eastAsia"/>
          <w:color w:val="000000"/>
        </w:rPr>
      </w:pPr>
      <w:r>
        <w:rPr>
          <w:color w:val="000000"/>
        </w:rPr>
        <w:t xml:space="preserve"> </w:t>
      </w:r>
      <w:r/>
    </w:p>
    <w:p>
      <w:pPr>
        <w:pStyle w:val="852"/>
        <w:ind w:firstLine="480"/>
        <w:rPr>
          <w:rFonts w:hint="eastAsia"/>
          <w:color w:val="000000"/>
        </w:rPr>
      </w:pPr>
      <w:r>
        <w:rPr>
          <w:color w:val="000000"/>
        </w:rPr>
        <w:t xml:space="preserve"> </w:t>
      </w:r>
      <w:r/>
    </w:p>
    <w:p>
      <w:pPr>
        <w:pStyle w:val="852"/>
        <w:ind w:firstLine="480"/>
        <w:rPr>
          <w:rFonts w:hint="eastAsia"/>
          <w:color w:val="000000"/>
        </w:rPr>
      </w:pPr>
      <w:r>
        <w:rPr>
          <w:color w:val="000000"/>
        </w:rPr>
        <w:t xml:space="preserve"> </w:t>
      </w:r>
      <w:r/>
    </w:p>
    <w:p>
      <w:pPr>
        <w:ind w:firstLine="442"/>
        <w:jc w:val="center"/>
        <w:rPr>
          <w:color w:val="000000"/>
        </w:rPr>
      </w:pPr>
      <w:r>
        <w:rPr>
          <w:b/>
          <w:i/>
          <w:color w:val="000000"/>
          <w:u w:val="single"/>
        </w:rPr>
        <w:br w:type="page" w:clear="all"/>
      </w:r>
      <w:r>
        <w:rPr>
          <w:rFonts w:hint="eastAsia" w:ascii="黑体" w:hAnsi="黑体" w:eastAsia="黑体" w:cs="黑体"/>
          <w:i/>
          <w:color w:val="000000"/>
          <w:sz w:val="32"/>
          <w:szCs w:val="32"/>
          <w:u w:val="single"/>
        </w:rPr>
        <w:t xml:space="preserve">十六、</w:t>
      </w:r>
      <w:bookmarkStart w:id="127" w:name="OLE_LINK31"/>
      <w:r>
        <w:rPr>
          <w:rFonts w:hint="eastAsia" w:ascii="黑体" w:hAnsi="黑体" w:eastAsia="黑体" w:cs="黑体"/>
          <w:i/>
          <w:color w:val="000000"/>
          <w:sz w:val="32"/>
          <w:szCs w:val="32"/>
          <w:u w:val="single"/>
        </w:rPr>
        <w:t xml:space="preserve">开标一览表</w:t>
      </w:r>
      <w:bookmarkEnd w:id="127"/>
      <w:r/>
      <w:r/>
    </w:p>
    <w:p>
      <w:pPr>
        <w:pStyle w:val="852"/>
        <w:ind w:firstLine="480"/>
        <w:spacing w:line="280" w:lineRule="exact"/>
        <w:rPr>
          <w:rFonts w:hint="eastAsia"/>
          <w:color w:val="000000"/>
        </w:rPr>
      </w:pPr>
      <w:r>
        <w:rPr>
          <w:rFonts w:hint="eastAsia"/>
          <w:color w:val="000000"/>
        </w:rPr>
        <w:t xml:space="preserve">供应商全称（加盖CA电子签章）：</w:t>
      </w:r>
      <w:r/>
    </w:p>
    <w:p>
      <w:pPr>
        <w:pStyle w:val="852"/>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滨海县核心育种场暨生猪保供生产基地生猪疫病防控智能监控项目</w:t>
      </w:r>
      <w:r/>
    </w:p>
    <w:p>
      <w:pPr>
        <w:pStyle w:val="852"/>
        <w:ind w:firstLine="480"/>
        <w:spacing w:line="280" w:lineRule="exact"/>
        <w:rPr>
          <w:rFonts w:hint="eastAsia"/>
          <w:color w:val="000000"/>
        </w:rPr>
      </w:pPr>
      <w:r>
        <w:rPr>
          <w:rFonts w:hint="eastAsia"/>
          <w:color w:val="000000"/>
        </w:rPr>
        <w:t xml:space="preserve">招标编号：</w:t>
      </w:r>
      <w:r>
        <w:rPr>
          <w:rFonts w:hint="eastAsia"/>
          <w:color w:val="000000"/>
          <w:lang w:val="en-US" w:eastAsia="zh-CN"/>
        </w:rPr>
        <w:t xml:space="preserve">                   </w:t>
      </w:r>
      <w:r>
        <w:rPr>
          <w:rFonts w:hint="eastAsia"/>
          <w:color w:val="000000"/>
        </w:rPr>
        <w:t xml:space="preserve">     </w:t>
      </w:r>
      <w:r/>
    </w:p>
    <w:p>
      <w:pPr>
        <w:pStyle w:val="852"/>
        <w:ind w:firstLine="480"/>
        <w:spacing w:line="280" w:lineRule="exact"/>
        <w:rPr>
          <w:rFonts w:hint="eastAsia"/>
          <w:color w:val="000000"/>
        </w:rPr>
      </w:pPr>
      <w:r>
        <w:rPr>
          <w:rFonts w:hint="eastAsia"/>
          <w:color w:val="000000"/>
        </w:rPr>
        <w:t xml:space="preserve">  </w:t>
      </w:r>
      <w:r/>
    </w:p>
    <w:tbl>
      <w:tblPr>
        <w:tblStyle w:val="653"/>
        <w:tblW w:w="894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940"/>
      </w:tblGrid>
      <w:tr>
        <w:trPr>
          <w:jc w:val="cente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52"/>
              <w:rPr>
                <w:rFonts w:hint="eastAsia"/>
                <w:color w:val="000000"/>
              </w:rPr>
            </w:pPr>
            <w:r>
              <w:rPr>
                <w:rFonts w:hint="eastAsia"/>
                <w:color w:val="000000"/>
              </w:rPr>
              <w:t xml:space="preserve">投标报价：</w:t>
            </w:r>
            <w:r/>
          </w:p>
        </w:tc>
      </w:tr>
      <w:tr>
        <w:trPr>
          <w:jc w:val="cente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52"/>
              <w:rPr>
                <w:rFonts w:hint="eastAsia"/>
                <w:color w:val="000000"/>
              </w:rPr>
            </w:pPr>
            <w:r>
              <w:rPr>
                <w:rFonts w:hint="eastAsia"/>
                <w:color w:val="000000"/>
              </w:rPr>
              <w:t xml:space="preserve">小写：                     </w:t>
            </w:r>
            <w:r/>
          </w:p>
        </w:tc>
      </w:tr>
      <w:tr>
        <w:trPr>
          <w:jc w:val="cente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52"/>
              <w:rPr>
                <w:rFonts w:hint="eastAsia" w:eastAsia="宋体"/>
                <w:color w:val="000000"/>
                <w:lang w:eastAsia="zh-CN"/>
              </w:rPr>
            </w:pPr>
            <w:r>
              <w:rPr>
                <w:rFonts w:hint="eastAsia" w:ascii="宋体" w:hAnsi="宋体" w:eastAsia="宋体" w:cs="宋体"/>
                <w:color w:val="000000"/>
              </w:rPr>
              <w:t xml:space="preserve">核心产品品牌</w:t>
            </w:r>
            <w:r>
              <w:rPr>
                <w:rFonts w:hint="eastAsia" w:cs="宋体"/>
                <w:color w:val="000000"/>
                <w:lang w:eastAsia="zh-CN"/>
              </w:rPr>
              <w:t xml:space="preserve">：</w:t>
            </w:r>
            <w:r/>
          </w:p>
        </w:tc>
      </w:tr>
    </w:tbl>
    <w:p>
      <w:pPr>
        <w:pStyle w:val="852"/>
        <w:ind w:firstLine="480"/>
        <w:rPr>
          <w:rFonts w:hint="eastAsia"/>
          <w:color w:val="000000"/>
        </w:rPr>
      </w:pPr>
      <w:r>
        <w:rPr>
          <w:rFonts w:hint="eastAsia"/>
          <w:color w:val="000000"/>
        </w:rPr>
        <w:t xml:space="preserve"> 注：上表中投标报价为总报价，特此说明。</w:t>
      </w:r>
      <w:r/>
    </w:p>
    <w:p>
      <w:pPr>
        <w:pStyle w:val="852"/>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52"/>
        <w:ind w:firstLine="480"/>
        <w:jc w:val="right"/>
        <w:rPr>
          <w:rFonts w:hint="eastAsia"/>
          <w:color w:val="000000"/>
        </w:rPr>
      </w:pPr>
      <w:r>
        <w:rPr>
          <w:rFonts w:hint="eastAsia"/>
          <w:color w:val="000000"/>
        </w:rPr>
      </w:r>
      <w:r/>
    </w:p>
    <w:p>
      <w:pPr>
        <w:pStyle w:val="852"/>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1920"/>
        <w:rPr>
          <w:rFonts w:hint="eastAsia" w:ascii="黑体" w:hAnsi="黑体" w:eastAsia="黑体" w:cs="黑体"/>
          <w:i/>
          <w:color w:val="000000"/>
          <w:sz w:val="32"/>
          <w:szCs w:val="32"/>
          <w:u w:val="single"/>
        </w:rPr>
      </w:pPr>
      <w:r/>
      <w:bookmarkStart w:id="128" w:name="_Hlt26955054"/>
      <w:r/>
      <w:bookmarkEnd w:id="128"/>
      <w:r>
        <w:rPr>
          <w:rFonts w:hint="eastAsia" w:ascii="黑体" w:hAnsi="黑体" w:eastAsia="黑体" w:cs="黑体"/>
          <w:i/>
          <w:color w:val="000000"/>
          <w:sz w:val="32"/>
          <w:szCs w:val="32"/>
          <w:u w:val="single"/>
        </w:rPr>
        <w:t xml:space="preserve">十七、</w:t>
      </w:r>
      <w:bookmarkStart w:id="129" w:name="OLE_LINK32"/>
      <w:r>
        <w:rPr>
          <w:rFonts w:hint="eastAsia" w:ascii="黑体" w:hAnsi="黑体" w:eastAsia="黑体" w:cs="黑体"/>
          <w:i/>
          <w:color w:val="000000"/>
          <w:sz w:val="32"/>
          <w:szCs w:val="32"/>
          <w:u w:val="single"/>
        </w:rPr>
        <w:t xml:space="preserve">盐城市政府采购事前信用承诺书</w:t>
      </w:r>
      <w:bookmarkEnd w:id="129"/>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848"/>
        <w:ind w:firstLine="480"/>
        <w:jc w:val="left"/>
        <w:rPr>
          <w:rFonts w:hint="eastAsia" w:ascii="宋体" w:hAnsi="宋体"/>
          <w:sz w:val="24"/>
          <w:szCs w:val="21"/>
        </w:rPr>
      </w:pPr>
      <w:r>
        <w:rPr>
          <w:rFonts w:hint="eastAsia" w:ascii="宋体" w:hAnsi="宋体"/>
          <w:sz w:val="24"/>
          <w:szCs w:val="21"/>
        </w:rPr>
      </w:r>
      <w:r/>
    </w:p>
    <w:p>
      <w:pPr>
        <w:pStyle w:val="848"/>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657"/>
        <w:rPr>
          <w:color w:val="000000"/>
        </w:rPr>
      </w:pPr>
      <w:r>
        <w:rPr>
          <w:color w:val="000000"/>
        </w:rPr>
      </w:r>
      <w:r/>
    </w:p>
    <w:p>
      <w:pPr>
        <w:pStyle w:val="683"/>
        <w:ind w:firstLine="3855"/>
        <w:jc w:val="both"/>
        <w:spacing w:beforeAutospacing="0" w:afterAutospacing="0"/>
        <w:rPr>
          <w:b/>
          <w:bCs/>
          <w:color w:val="000000"/>
          <w:sz w:val="36"/>
          <w:szCs w:val="36"/>
        </w:rPr>
      </w:pPr>
      <w:r>
        <w:rPr>
          <w:rFonts w:hint="eastAsia" w:ascii="黑体" w:hAnsi="黑体" w:eastAsia="黑体" w:cs="黑体"/>
          <w:b/>
          <w:bCs/>
          <w:color w:val="000000"/>
          <w:sz w:val="32"/>
          <w:szCs w:val="32"/>
        </w:rPr>
        <w:t xml:space="preserve">十八、</w:t>
      </w:r>
      <w:bookmarkStart w:id="130" w:name="OLE_LINK33"/>
      <w:r>
        <w:rPr>
          <w:rFonts w:hint="eastAsia" w:ascii="黑体" w:hAnsi="黑体" w:eastAsia="黑体" w:cs="黑体"/>
          <w:b/>
          <w:bCs/>
          <w:color w:val="000000"/>
          <w:sz w:val="32"/>
          <w:szCs w:val="32"/>
        </w:rPr>
        <w:t xml:space="preserve">其他材料（如有）</w:t>
      </w:r>
      <w:bookmarkEnd w:id="130"/>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b/>
          <w:bCs/>
          <w:color w:val="000000"/>
          <w:sz w:val="36"/>
          <w:szCs w:val="36"/>
        </w:rPr>
      </w:r>
      <w:r/>
    </w:p>
    <w:p>
      <w:pPr>
        <w:pStyle w:val="683"/>
        <w:ind w:firstLine="4337"/>
        <w:jc w:val="both"/>
        <w:spacing w:beforeAutospacing="0" w:afterAutospacing="0"/>
        <w:rPr>
          <w:b/>
          <w:bCs/>
          <w:color w:val="000000"/>
          <w:sz w:val="36"/>
          <w:szCs w:val="36"/>
        </w:rPr>
      </w:pPr>
      <w:r>
        <w:rPr>
          <w:rFonts w:hint="eastAsia"/>
          <w:b/>
          <w:bCs/>
          <w:color w:val="000000"/>
          <w:sz w:val="36"/>
          <w:szCs w:val="36"/>
        </w:rPr>
        <w:t xml:space="preserve">质疑函范本</w:t>
      </w:r>
      <w:r/>
    </w:p>
    <w:p>
      <w:pPr>
        <w:pStyle w:val="683"/>
        <w:jc w:val="both"/>
        <w:spacing w:before="290" w:beforeAutospacing="0" w:afterAutospacing="0"/>
        <w:rPr>
          <w:bCs/>
          <w:color w:val="000000"/>
          <w:szCs w:val="24"/>
        </w:rPr>
      </w:pPr>
      <w:r>
        <w:rPr>
          <w:rFonts w:hint="eastAsia"/>
          <w:bCs/>
          <w:color w:val="000000"/>
          <w:szCs w:val="24"/>
        </w:rPr>
        <w:t xml:space="preserve">一、质疑供应商基本信息</w:t>
      </w:r>
      <w:r/>
    </w:p>
    <w:p>
      <w:pPr>
        <w:pStyle w:val="683"/>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 xml:space="preserve"> </w:t>
      </w:r>
      <w:r>
        <w:rPr>
          <w:rFonts w:hint="eastAsia"/>
          <w:bCs/>
          <w:color w:val="000000"/>
          <w:szCs w:val="24"/>
          <w:u w:val="single"/>
        </w:rPr>
        <w:tab/>
      </w:r>
      <w:r/>
    </w:p>
    <w:p>
      <w:pPr>
        <w:pStyle w:val="683"/>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683"/>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u w:val="single"/>
        </w:rPr>
      </w:pPr>
      <w:r>
        <w:rPr>
          <w:rFonts w:hint="eastAsia"/>
          <w:bCs/>
          <w:color w:val="000000"/>
          <w:szCs w:val="24"/>
        </w:rPr>
        <w:t xml:space="preserve">地址：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二、质疑项目基本情况</w:t>
      </w:r>
      <w:r/>
    </w:p>
    <w:p>
      <w:pPr>
        <w:pStyle w:val="683"/>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683"/>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683"/>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三、质疑事项具体内容</w:t>
      </w:r>
      <w:r/>
    </w:p>
    <w:p>
      <w:pPr>
        <w:pStyle w:val="683"/>
        <w:jc w:val="both"/>
        <w:spacing w:beforeAutospacing="0" w:afterAutospacing="0"/>
        <w:rPr>
          <w:bCs/>
          <w:color w:val="000000"/>
          <w:szCs w:val="24"/>
        </w:rPr>
      </w:pPr>
      <w:r>
        <w:rPr>
          <w:rFonts w:hint="eastAsia"/>
          <w:bCs/>
          <w:color w:val="000000"/>
          <w:szCs w:val="24"/>
        </w:rPr>
        <w:t xml:space="preserve">质疑事项1：</w:t>
      </w:r>
      <w:r>
        <w:rPr>
          <w:rFonts w:hint="eastAsia"/>
          <w:bCs/>
          <w:color w:val="000000"/>
          <w:szCs w:val="24"/>
          <w:u w:val="single"/>
        </w:rPr>
        <w:t xml:space="preserve">                      </w:t>
      </w:r>
      <w:r/>
    </w:p>
    <w:p>
      <w:pPr>
        <w:pStyle w:val="683"/>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质疑事项2</w:t>
      </w:r>
      <w:r/>
    </w:p>
    <w:p>
      <w:pPr>
        <w:pStyle w:val="683"/>
        <w:jc w:val="both"/>
        <w:spacing w:beforeAutospacing="0" w:afterAutospacing="0"/>
        <w:rPr>
          <w:bCs/>
          <w:color w:val="000000"/>
          <w:szCs w:val="24"/>
        </w:rPr>
      </w:pPr>
      <w:r>
        <w:rPr>
          <w:rFonts w:hint="eastAsia"/>
          <w:bCs/>
          <w:color w:val="000000"/>
          <w:szCs w:val="24"/>
        </w:rPr>
        <w:t xml:space="preserve">……</w:t>
      </w:r>
      <w:r/>
    </w:p>
    <w:p>
      <w:pPr>
        <w:pStyle w:val="683"/>
        <w:jc w:val="both"/>
        <w:spacing w:beforeAutospacing="0" w:afterAutospacing="0"/>
        <w:rPr>
          <w:bCs/>
          <w:color w:val="000000"/>
          <w:szCs w:val="24"/>
        </w:rPr>
      </w:pPr>
      <w:r>
        <w:rPr>
          <w:rFonts w:hint="eastAsia"/>
          <w:bCs/>
          <w:color w:val="000000"/>
          <w:szCs w:val="24"/>
        </w:rPr>
        <w:t xml:space="preserve">四、与质疑事项相关的质疑请求</w:t>
      </w:r>
      <w:r/>
    </w:p>
    <w:p>
      <w:pPr>
        <w:pStyle w:val="683"/>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683"/>
        <w:jc w:val="both"/>
        <w:spacing w:beforeAutospacing="0" w:afterAutospacing="0"/>
        <w:rPr>
          <w:bCs/>
          <w:color w:val="000000"/>
          <w:szCs w:val="24"/>
        </w:rPr>
      </w:pPr>
      <w:r>
        <w:rPr>
          <w:rFonts w:hint="eastAsia"/>
          <w:bCs/>
          <w:color w:val="000000"/>
          <w:szCs w:val="24"/>
        </w:rPr>
        <w:t xml:space="preserve">签字(签章)：                 公章：               日期：    </w:t>
      </w:r>
      <w:r/>
    </w:p>
    <w:p>
      <w:pPr>
        <w:pStyle w:val="683"/>
        <w:jc w:val="both"/>
        <w:spacing w:beforeAutospacing="0" w:afterAutospacing="0"/>
        <w:rPr>
          <w:bCs/>
          <w:color w:val="000000"/>
          <w:szCs w:val="24"/>
        </w:rPr>
      </w:pPr>
      <w:r>
        <w:rPr>
          <w:rFonts w:hint="eastAsia"/>
          <w:bCs/>
          <w:color w:val="000000"/>
          <w:szCs w:val="24"/>
        </w:rPr>
        <w:t xml:space="preserve">质疑函制作说明：</w:t>
      </w:r>
      <w:r/>
    </w:p>
    <w:p>
      <w:pPr>
        <w:pStyle w:val="683"/>
        <w:ind w:firstLine="480"/>
        <w:spacing w:beforeAutospacing="0" w:afterAutospacing="0"/>
        <w:widowControl/>
        <w:rPr>
          <w:bCs/>
          <w:color w:val="000000"/>
          <w:szCs w:val="24"/>
        </w:rPr>
      </w:pPr>
      <w:r>
        <w:rPr>
          <w:rFonts w:hint="eastAsia"/>
          <w:bCs/>
          <w:color w:val="000000"/>
          <w:szCs w:val="24"/>
        </w:rPr>
        <w:t xml:space="preserve">1.供应商提出质疑时，应提交质疑函和必要的证明材料。</w:t>
      </w:r>
      <w:r/>
    </w:p>
    <w:p>
      <w:pPr>
        <w:pStyle w:val="683"/>
        <w:ind w:firstLine="480"/>
        <w:spacing w:beforeAutospacing="0" w:afterAutospacing="0"/>
        <w:widowControl/>
        <w:rPr>
          <w:bCs/>
          <w:color w:val="000000"/>
          <w:szCs w:val="24"/>
        </w:rPr>
      </w:pPr>
      <w:r>
        <w:rPr>
          <w:rFonts w:hint="eastAsia"/>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3"/>
        <w:ind w:firstLine="480"/>
        <w:spacing w:beforeAutospacing="0" w:afterAutospacing="0"/>
        <w:widowControl/>
        <w:rPr>
          <w:bCs/>
          <w:color w:val="000000"/>
          <w:szCs w:val="24"/>
        </w:rPr>
      </w:pPr>
      <w:r>
        <w:rPr>
          <w:rFonts w:hint="eastAsia"/>
          <w:bCs/>
          <w:color w:val="000000"/>
          <w:szCs w:val="24"/>
        </w:rPr>
        <w:t xml:space="preserve">3.质疑供应商若对项目的某一分包进行质疑，质疑函中应列明具体分包号。</w:t>
      </w:r>
      <w:r/>
    </w:p>
    <w:p>
      <w:pPr>
        <w:pStyle w:val="683"/>
        <w:ind w:firstLine="480"/>
        <w:spacing w:beforeAutospacing="0" w:afterAutospacing="0"/>
        <w:widowControl/>
        <w:rPr>
          <w:bCs/>
          <w:color w:val="000000"/>
          <w:szCs w:val="24"/>
        </w:rPr>
      </w:pPr>
      <w:r>
        <w:rPr>
          <w:rFonts w:hint="eastAsia"/>
          <w:bCs/>
          <w:color w:val="000000"/>
          <w:szCs w:val="24"/>
        </w:rPr>
        <w:t xml:space="preserve">4.质疑函的质疑事项应具体、明确，并有必要的事实依据和法律依据。</w:t>
      </w:r>
      <w:r/>
    </w:p>
    <w:p>
      <w:pPr>
        <w:pStyle w:val="683"/>
        <w:ind w:firstLine="480"/>
        <w:spacing w:beforeAutospacing="0" w:afterAutospacing="0"/>
        <w:widowControl/>
        <w:rPr>
          <w:bCs/>
          <w:color w:val="000000"/>
          <w:szCs w:val="24"/>
        </w:rPr>
      </w:pPr>
      <w:r>
        <w:rPr>
          <w:rFonts w:hint="eastAsia"/>
          <w:bCs/>
          <w:color w:val="000000"/>
          <w:szCs w:val="24"/>
        </w:rPr>
        <w:t xml:space="preserve">5.质疑函的质疑请求应与质疑事项相关。</w:t>
      </w:r>
      <w:r/>
    </w:p>
    <w:p>
      <w:pPr>
        <w:pStyle w:val="683"/>
        <w:ind w:firstLine="480"/>
        <w:spacing w:beforeAutospacing="0" w:afterAutospacing="0"/>
        <w:widowControl/>
        <w:rPr>
          <w:bCs/>
          <w:color w:val="000000"/>
          <w:szCs w:val="24"/>
        </w:rPr>
      </w:pPr>
      <w:r>
        <w:rPr>
          <w:rFonts w:hint="eastAsia"/>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683"/>
        <w:spacing w:beforeAutospacing="0" w:afterAutospacing="0"/>
        <w:rPr>
          <w:color w:val="000000"/>
          <w:szCs w:val="28"/>
        </w:rPr>
      </w:pPr>
      <w:r>
        <w:rPr>
          <w:color w:val="000000"/>
          <w:szCs w:val="28"/>
        </w:rPr>
      </w:r>
      <w:r/>
    </w:p>
    <w:sectPr>
      <w:headerReference w:type="default" r:id="rId9"/>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等线">
    <w:panose1 w:val="02010600030101010101"/>
  </w:font>
  <w:font w:name="等线 Light">
    <w:panose1 w:val="02010600030101010101"/>
  </w:font>
  <w:font w:name="Courier New">
    <w:panose1 w:val="02070309020205020404"/>
  </w:font>
  <w:font w:name="楷体_GB2312">
    <w:panose1 w:val="02010609060101010101"/>
  </w:font>
  <w:font w:name="Calibri">
    <w:panose1 w:val="020F0502020204030204"/>
  </w:font>
  <w:font w:name="幼圆">
    <w:panose1 w:val="02010509060101010101"/>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465" w:hanging="465"/>
      </w:pPr>
      <w:rPr>
        <w:rFonts w:hint="default"/>
      </w:rPr>
    </w:lvl>
    <w:lvl w:ilvl="1">
      <w:start w:val="1"/>
      <w:numFmt w:val="decimal"/>
      <w:isLgl w:val="false"/>
      <w:suff w:val="tab"/>
      <w:lvlText w:val="%1.%2"/>
      <w:lvlJc w:val="left"/>
      <w:pPr>
        <w:ind w:left="465" w:hanging="46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9">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8"/>
    <w:lvlOverride w:ilvl="0">
      <w:lvl w:ilvl="0">
        <w:start w:val="1"/>
        <w:numFmt w:val="decimal"/>
        <w:pStyle w:val="677"/>
        <w:isLgl w:val="false"/>
        <w:suff w:val="tab"/>
        <w:lvlText w:val="第%1章"/>
        <w:lvlJc w:val="left"/>
        <w:pPr>
          <w:ind w:left="465" w:hanging="465"/>
        </w:pPr>
        <w:rPr>
          <w:rFonts w:hint="default"/>
        </w:rPr>
      </w:lvl>
    </w:lvlOverride>
    <w:lvlOverride w:ilvl="1">
      <w:lvl w:ilvl="1">
        <w:start w:val="1"/>
        <w:numFmt w:val="decimal"/>
        <w:isLgl w:val="false"/>
        <w:suff w:val="tab"/>
        <w:lvlText w:val="%1.%2"/>
        <w:lvlJc w:val="left"/>
        <w:pPr>
          <w:ind w:left="465" w:hanging="465"/>
        </w:pPr>
        <w:rPr>
          <w:rFonts w:hint="default"/>
        </w:rPr>
      </w:lvl>
    </w:lvlOverride>
    <w:lvlOverride w:ilvl="2">
      <w:lvl w:ilvl="2">
        <w:start w:val="1"/>
        <w:numFmt w:val="decimal"/>
        <w:isLgl w:val="false"/>
        <w:suff w:val="tab"/>
        <w:lvlText w:val="%1.%2.%3"/>
        <w:lvlJc w:val="left"/>
        <w:pPr>
          <w:ind w:left="720" w:hanging="720"/>
        </w:pPr>
        <w:rPr>
          <w:rFonts w:hint="default"/>
        </w:rPr>
      </w:lvl>
    </w:lvlOverride>
    <w:lvlOverride w:ilvl="3">
      <w:lvl w:ilvl="3">
        <w:start w:val="1"/>
        <w:numFmt w:val="decimal"/>
        <w:isLgl w:val="false"/>
        <w:suff w:val="tab"/>
        <w:lvlText w:val="%1.%2.%3.%4"/>
        <w:lvlJc w:val="left"/>
        <w:pPr>
          <w:ind w:left="720" w:hanging="720"/>
        </w:pPr>
        <w:rPr>
          <w:rFonts w:hint="default"/>
        </w:rPr>
      </w:lvl>
    </w:lvlOverride>
    <w:lvlOverride w:ilvl="4">
      <w:lvl w:ilvl="4">
        <w:start w:val="1"/>
        <w:numFmt w:val="decimal"/>
        <w:isLgl w:val="false"/>
        <w:suff w:val="tab"/>
        <w:lvlText w:val="%1.%2.%3.%4.%5"/>
        <w:lvlJc w:val="left"/>
        <w:pPr>
          <w:ind w:left="1080" w:hanging="1080"/>
        </w:pPr>
        <w:rPr>
          <w:rFonts w:hint="default"/>
        </w:rPr>
      </w:lvl>
    </w:lvlOverride>
    <w:lvlOverride w:ilvl="5">
      <w:lvl w:ilvl="5">
        <w:start w:val="1"/>
        <w:numFmt w:val="decimal"/>
        <w:isLgl w:val="false"/>
        <w:suff w:val="tab"/>
        <w:lvlText w:val="%1.%2.%3.%4.%5.%6"/>
        <w:lvlJc w:val="left"/>
        <w:pPr>
          <w:ind w:left="1080" w:hanging="1080"/>
        </w:pPr>
        <w:rPr>
          <w:rFonts w:hint="default"/>
        </w:rPr>
      </w:lvl>
    </w:lvlOverride>
    <w:lvlOverride w:ilvl="6">
      <w:lvl w:ilvl="6">
        <w:start w:val="1"/>
        <w:numFmt w:val="decimal"/>
        <w:isLgl w:val="false"/>
        <w:suff w:val="tab"/>
        <w:lvlText w:val="%1.%2.%3.%4.%5.%6.%7"/>
        <w:lvlJc w:val="left"/>
        <w:pPr>
          <w:ind w:left="1080" w:hanging="1080"/>
        </w:pPr>
        <w:rPr>
          <w:rFonts w:hint="default"/>
        </w:rPr>
      </w:lvl>
    </w:lvlOverride>
    <w:lvlOverride w:ilvl="7">
      <w:lvl w:ilvl="7">
        <w:start w:val="1"/>
        <w:numFmt w:val="decimal"/>
        <w:isLgl w:val="false"/>
        <w:suff w:val="tab"/>
        <w:lvlText w:val="%1.%2.%3.%4.%5.%6.%7.%8"/>
        <w:lvlJc w:val="left"/>
        <w:pPr>
          <w:ind w:left="1440" w:hanging="1440"/>
        </w:pPr>
        <w:rPr>
          <w:rFonts w:hint="default"/>
        </w:rPr>
      </w:lvl>
    </w:lvlOverride>
    <w:lvlOverride w:ilvl="8">
      <w:lvl w:ilvl="8">
        <w:start w:val="1"/>
        <w:numFmt w:val="decimal"/>
        <w:isLgl w:val="false"/>
        <w:suff w:val="tab"/>
        <w:lvlText w:val="%1.%2.%3.%4.%5.%6.%7.%8.%9"/>
        <w:lvlJc w:val="left"/>
        <w:pPr>
          <w:ind w:left="1440" w:hanging="1440"/>
        </w:pPr>
        <w:rPr>
          <w:rFonts w:hint="default"/>
        </w:rPr>
      </w:lvl>
    </w:lvlOverride>
  </w:num>
  <w:num w:numId="2">
    <w:abstractNumId w:val="9"/>
  </w:num>
  <w:num w:numId="3">
    <w:abstractNumId w:val="3"/>
  </w:num>
  <w:num w:numId="4">
    <w:abstractNumId w:val="4"/>
  </w:num>
  <w:num w:numId="5">
    <w:abstractNumId w:val="6"/>
  </w:num>
  <w:num w:numId="6">
    <w:abstractNumId w:val="2"/>
  </w:num>
  <w:num w:numId="7">
    <w:abstractNumId w:val="5"/>
  </w:num>
  <w:num w:numId="8">
    <w:abstractNumId w:val="7"/>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645"/>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84"/>
    <w:uiPriority w:val="10"/>
    <w:rPr>
      <w:sz w:val="48"/>
      <w:szCs w:val="48"/>
    </w:rPr>
  </w:style>
  <w:style w:type="character" w:styleId="36">
    <w:name w:val="Subtitle Char"/>
    <w:basedOn w:val="652"/>
    <w:link w:val="676"/>
    <w:uiPriority w:val="11"/>
    <w:rPr>
      <w:sz w:val="24"/>
      <w:szCs w:val="24"/>
    </w:rPr>
  </w:style>
  <w:style w:type="character" w:styleId="38">
    <w:name w:val="Quote Char"/>
    <w:link w:val="707"/>
    <w:uiPriority w:val="29"/>
    <w:rPr>
      <w:i/>
    </w:rPr>
  </w:style>
  <w:style w:type="character" w:styleId="40">
    <w:name w:val="Intense Quote Char"/>
    <w:link w:val="709"/>
    <w:uiPriority w:val="30"/>
    <w:rPr>
      <w:i/>
    </w:rPr>
  </w:style>
  <w:style w:type="character" w:styleId="42">
    <w:name w:val="Header Char"/>
    <w:basedOn w:val="652"/>
    <w:link w:val="673"/>
    <w:uiPriority w:val="99"/>
  </w:style>
  <w:style w:type="character" w:styleId="46">
    <w:name w:val="Caption Char"/>
    <w:basedOn w:val="659"/>
    <w:link w:val="672"/>
    <w:uiPriority w:val="99"/>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8"/>
    <w:uiPriority w:val="99"/>
    <w:rPr>
      <w:sz w:val="18"/>
    </w:rPr>
  </w:style>
  <w:style w:type="character" w:styleId="178">
    <w:name w:val="Endnote Text Char"/>
    <w:link w:val="671"/>
    <w:uiPriority w:val="99"/>
    <w:rPr>
      <w:sz w:val="20"/>
    </w:rPr>
  </w:style>
  <w:style w:type="paragraph" w:styleId="189">
    <w:name w:val="TOC Heading"/>
    <w:uiPriority w:val="39"/>
    <w:unhideWhenUsed/>
  </w:style>
  <w:style w:type="paragraph" w:styleId="642" w:default="1">
    <w:name w:val="Normal"/>
    <w:next w:val="654"/>
    <w:uiPriority w:val="0"/>
    <w:qFormat/>
    <w:pPr>
      <w:jc w:val="both"/>
      <w:widowControl w:val="off"/>
    </w:pPr>
    <w:rPr>
      <w:rFonts w:ascii="Times New Roman" w:hAnsi="Times New Roman" w:eastAsia="宋体" w:cs="Times New Roman"/>
      <w:sz w:val="28"/>
      <w:szCs w:val="22"/>
      <w:lang w:val="en-US" w:eastAsia="zh-CN" w:bidi="ar-SA"/>
    </w:rPr>
  </w:style>
  <w:style w:type="paragraph" w:styleId="643">
    <w:name w:val="Heading 1"/>
    <w:basedOn w:val="642"/>
    <w:next w:val="642"/>
    <w:link w:val="695"/>
    <w:uiPriority w:val="0"/>
    <w:qFormat/>
    <w:pPr>
      <w:keepLines/>
      <w:keepNext/>
      <w:spacing w:before="340" w:after="330" w:line="578" w:lineRule="auto"/>
      <w:outlineLvl w:val="0"/>
    </w:pPr>
    <w:rPr>
      <w:b/>
      <w:bCs/>
      <w:sz w:val="44"/>
      <w:szCs w:val="44"/>
    </w:rPr>
  </w:style>
  <w:style w:type="paragraph" w:styleId="644">
    <w:name w:val="Heading 2"/>
    <w:basedOn w:val="642"/>
    <w:next w:val="642"/>
    <w:link w:val="696"/>
    <w:uiPriority w:val="0"/>
    <w:qFormat/>
    <w:pPr>
      <w:jc w:val="center"/>
      <w:keepLines/>
      <w:keepNext/>
      <w:spacing w:before="120" w:line="300" w:lineRule="auto"/>
      <w:outlineLvl w:val="1"/>
    </w:pPr>
    <w:rPr>
      <w:rFonts w:ascii="Arial" w:hAnsi="Arial" w:eastAsia="黑体"/>
      <w:sz w:val="30"/>
    </w:rPr>
  </w:style>
  <w:style w:type="paragraph" w:styleId="645">
    <w:name w:val="Heading 3"/>
    <w:basedOn w:val="642"/>
    <w:next w:val="657"/>
    <w:link w:val="697"/>
    <w:uiPriority w:val="0"/>
    <w:qFormat/>
    <w:pPr>
      <w:ind w:firstLine="137"/>
      <w:keepLines/>
      <w:keepNext/>
      <w:spacing w:line="415" w:lineRule="auto"/>
      <w:outlineLvl w:val="2"/>
    </w:pPr>
    <w:rPr>
      <w:rFonts w:hAnsi="黑体" w:eastAsia="黑体"/>
      <w:sz w:val="24"/>
      <w:szCs w:val="20"/>
    </w:rPr>
  </w:style>
  <w:style w:type="paragraph" w:styleId="646">
    <w:name w:val="Heading 4"/>
    <w:basedOn w:val="642"/>
    <w:next w:val="657"/>
    <w:link w:val="698"/>
    <w:uiPriority w:val="0"/>
    <w:qFormat/>
    <w:pPr>
      <w:keepLines/>
      <w:keepNext/>
      <w:spacing w:before="280" w:after="290" w:line="376" w:lineRule="auto"/>
      <w:outlineLvl w:val="3"/>
    </w:pPr>
    <w:rPr>
      <w:rFonts w:ascii="Arial" w:hAnsi="Arial" w:eastAsia="黑体" w:cs="Arial"/>
      <w:b/>
      <w:bCs/>
      <w:szCs w:val="28"/>
    </w:rPr>
  </w:style>
  <w:style w:type="paragraph" w:styleId="647">
    <w:name w:val="Heading 5"/>
    <w:basedOn w:val="642"/>
    <w:next w:val="642"/>
    <w:link w:val="699"/>
    <w:uiPriority w:val="0"/>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00"/>
    <w:uiPriority w:val="0"/>
    <w:unhideWhenUsed/>
    <w:qFormat/>
    <w:pPr>
      <w:keepLines/>
      <w:keepNext/>
      <w:spacing w:before="320" w:after="200"/>
      <w:outlineLvl w:val="5"/>
    </w:pPr>
    <w:rPr>
      <w:rFonts w:ascii="Arial" w:hAnsi="Arial" w:eastAsia="Arial" w:cs="Arial"/>
      <w:b/>
      <w:bCs/>
      <w:sz w:val="22"/>
    </w:rPr>
  </w:style>
  <w:style w:type="paragraph" w:styleId="649">
    <w:name w:val="Heading 7"/>
    <w:basedOn w:val="642"/>
    <w:next w:val="642"/>
    <w:link w:val="701"/>
    <w:uiPriority w:val="0"/>
    <w:unhideWhenUsed/>
    <w:qFormat/>
    <w:pPr>
      <w:keepLines/>
      <w:keepNext/>
      <w:spacing w:before="320" w:after="200"/>
      <w:outlineLvl w:val="6"/>
    </w:pPr>
    <w:rPr>
      <w:rFonts w:ascii="Arial" w:hAnsi="Arial" w:eastAsia="Arial" w:cs="Arial"/>
      <w:b/>
      <w:bCs/>
      <w:i/>
      <w:iCs/>
      <w:sz w:val="22"/>
    </w:rPr>
  </w:style>
  <w:style w:type="paragraph" w:styleId="650">
    <w:name w:val="Heading 8"/>
    <w:basedOn w:val="642"/>
    <w:next w:val="642"/>
    <w:link w:val="702"/>
    <w:uiPriority w:val="0"/>
    <w:unhideWhenUsed/>
    <w:qFormat/>
    <w:pPr>
      <w:keepLines/>
      <w:keepNext/>
      <w:spacing w:before="320" w:after="200"/>
      <w:outlineLvl w:val="7"/>
    </w:pPr>
    <w:rPr>
      <w:rFonts w:ascii="Arial" w:hAnsi="Arial" w:eastAsia="Arial" w:cs="Arial"/>
      <w:i/>
      <w:iCs/>
      <w:sz w:val="22"/>
    </w:rPr>
  </w:style>
  <w:style w:type="paragraph" w:styleId="651">
    <w:name w:val="Heading 9"/>
    <w:basedOn w:val="642"/>
    <w:next w:val="642"/>
    <w:link w:val="703"/>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customStyle="1">
    <w:name w:val="正文首行缩进 211"/>
    <w:basedOn w:val="655"/>
    <w:uiPriority w:val="0"/>
    <w:qFormat/>
    <w:pPr>
      <w:ind w:left="420" w:firstLine="420"/>
      <w:spacing w:after="120" w:line="240" w:lineRule="auto"/>
    </w:pPr>
    <w:rPr>
      <w:rFonts w:ascii="Calibri" w:eastAsia="宋体"/>
      <w:sz w:val="28"/>
    </w:rPr>
  </w:style>
  <w:style w:type="paragraph" w:styleId="655" w:customStyle="1">
    <w:name w:val="正文文本缩进11"/>
    <w:basedOn w:val="642"/>
    <w:next w:val="656"/>
    <w:uiPriority w:val="99"/>
    <w:qFormat/>
    <w:pPr>
      <w:ind w:firstLine="600"/>
      <w:spacing w:line="360" w:lineRule="auto"/>
    </w:pPr>
    <w:rPr>
      <w:rFonts w:ascii="??_GB2312" w:eastAsia="Times New Roman"/>
      <w:sz w:val="30"/>
    </w:rPr>
  </w:style>
  <w:style w:type="paragraph" w:styleId="656" w:customStyle="1">
    <w:name w:val="寄信人地址11"/>
    <w:basedOn w:val="642"/>
    <w:uiPriority w:val="0"/>
    <w:qFormat/>
    <w:rPr>
      <w:rFonts w:ascii="Arial" w:hAnsi="Arial" w:eastAsia="宋体" w:cs="Times New Roman"/>
    </w:rPr>
  </w:style>
  <w:style w:type="paragraph" w:styleId="657">
    <w:name w:val="Normal Indent"/>
    <w:basedOn w:val="642"/>
    <w:next w:val="642"/>
    <w:uiPriority w:val="99"/>
    <w:unhideWhenUsed/>
    <w:qFormat/>
    <w:pPr>
      <w:ind w:firstLine="420"/>
      <w:jc w:val="left"/>
    </w:pPr>
    <w:rPr>
      <w:rFonts w:ascii="宋体"/>
      <w:sz w:val="24"/>
    </w:rPr>
  </w:style>
  <w:style w:type="paragraph" w:styleId="658">
    <w:name w:val="toc 7"/>
    <w:basedOn w:val="642"/>
    <w:next w:val="642"/>
    <w:uiPriority w:val="39"/>
    <w:unhideWhenUsed/>
    <w:qFormat/>
    <w:pPr>
      <w:ind w:left="1701"/>
      <w:spacing w:after="57"/>
    </w:pPr>
  </w:style>
  <w:style w:type="paragraph" w:styleId="659">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annotation text"/>
    <w:basedOn w:val="642"/>
    <w:uiPriority w:val="0"/>
    <w:unhideWhenUsed/>
    <w:qFormat/>
    <w:pPr>
      <w:jc w:val="left"/>
    </w:pPr>
  </w:style>
  <w:style w:type="paragraph" w:styleId="661">
    <w:name w:val="Body Text"/>
    <w:basedOn w:val="642"/>
    <w:next w:val="642"/>
    <w:link w:val="863"/>
    <w:uiPriority w:val="0"/>
    <w:qFormat/>
    <w:pPr>
      <w:spacing w:after="120" w:line="278" w:lineRule="auto"/>
    </w:pPr>
    <w:rPr>
      <w:rFonts w:asciiTheme="minorHAnsi" w:hAnsiTheme="minorHAnsi" w:eastAsiaTheme="minorEastAsia" w:cstheme="minorBidi"/>
      <w:sz w:val="21"/>
      <w:szCs w:val="24"/>
    </w:rPr>
  </w:style>
  <w:style w:type="paragraph" w:styleId="662">
    <w:name w:val="Body Text Indent"/>
    <w:basedOn w:val="642"/>
    <w:next w:val="663"/>
    <w:link w:val="871"/>
    <w:uiPriority w:val="99"/>
    <w:qFormat/>
    <w:pPr>
      <w:ind w:firstLine="645"/>
    </w:pPr>
    <w:rPr>
      <w:rFonts w:ascii="楷体_GB2312" w:eastAsia="楷体_GB2312"/>
      <w:sz w:val="32"/>
      <w:szCs w:val="32"/>
    </w:rPr>
  </w:style>
  <w:style w:type="paragraph" w:styleId="663">
    <w:name w:val="envelope return"/>
    <w:basedOn w:val="642"/>
    <w:uiPriority w:val="0"/>
    <w:unhideWhenUsed/>
    <w:qFormat/>
    <w:rPr>
      <w:rFonts w:ascii="Arial" w:hAnsi="Arial"/>
    </w:rPr>
  </w:style>
  <w:style w:type="paragraph" w:styleId="664">
    <w:name w:val="Block Text"/>
    <w:basedOn w:val="642"/>
    <w:uiPriority w:val="99"/>
    <w:qFormat/>
    <w:pPr>
      <w:ind w:left="1440" w:right="1440"/>
      <w:spacing w:after="120"/>
    </w:pPr>
  </w:style>
  <w:style w:type="paragraph" w:styleId="665">
    <w:name w:val="index 4"/>
    <w:basedOn w:val="642"/>
    <w:next w:val="642"/>
    <w:uiPriority w:val="99"/>
    <w:qFormat/>
    <w:pPr>
      <w:ind w:left="600"/>
    </w:pPr>
    <w:rPr>
      <w:szCs w:val="24"/>
    </w:rPr>
  </w:style>
  <w:style w:type="paragraph" w:styleId="666">
    <w:name w:val="toc 5"/>
    <w:basedOn w:val="642"/>
    <w:next w:val="642"/>
    <w:uiPriority w:val="39"/>
    <w:unhideWhenUsed/>
    <w:qFormat/>
    <w:pPr>
      <w:ind w:left="1134"/>
      <w:spacing w:after="57"/>
    </w:pPr>
  </w:style>
  <w:style w:type="paragraph" w:styleId="667">
    <w:name w:val="toc 3"/>
    <w:basedOn w:val="642"/>
    <w:next w:val="642"/>
    <w:uiPriority w:val="39"/>
    <w:unhideWhenUsed/>
    <w:qFormat/>
    <w:pPr>
      <w:ind w:left="567"/>
      <w:spacing w:after="57"/>
    </w:pPr>
  </w:style>
  <w:style w:type="paragraph" w:styleId="668">
    <w:name w:val="Plain Text"/>
    <w:basedOn w:val="642"/>
    <w:uiPriority w:val="0"/>
    <w:qFormat/>
    <w:rPr>
      <w:rFonts w:ascii="宋体" w:hAnsi="Courier New"/>
    </w:rPr>
  </w:style>
  <w:style w:type="paragraph" w:styleId="669">
    <w:name w:val="toc 8"/>
    <w:basedOn w:val="642"/>
    <w:next w:val="642"/>
    <w:uiPriority w:val="39"/>
    <w:unhideWhenUsed/>
    <w:qFormat/>
    <w:pPr>
      <w:ind w:left="1984"/>
      <w:spacing w:after="57"/>
    </w:pPr>
  </w:style>
  <w:style w:type="paragraph" w:styleId="670">
    <w:name w:val="Body Text Indent 2"/>
    <w:basedOn w:val="642"/>
    <w:link w:val="865"/>
    <w:uiPriority w:val="99"/>
    <w:semiHidden/>
    <w:unhideWhenUsed/>
    <w:qFormat/>
    <w:pPr>
      <w:ind w:left="420"/>
      <w:spacing w:after="120" w:line="480" w:lineRule="auto"/>
    </w:pPr>
  </w:style>
  <w:style w:type="paragraph" w:styleId="671">
    <w:name w:val="endnote text"/>
    <w:basedOn w:val="642"/>
    <w:link w:val="840"/>
    <w:uiPriority w:val="99"/>
    <w:semiHidden/>
    <w:unhideWhenUsed/>
    <w:qFormat/>
    <w:rPr>
      <w:sz w:val="20"/>
    </w:rPr>
  </w:style>
  <w:style w:type="paragraph" w:styleId="672">
    <w:name w:val="Footer"/>
    <w:basedOn w:val="642"/>
    <w:link w:val="713"/>
    <w:uiPriority w:val="0"/>
    <w:qFormat/>
    <w:pPr>
      <w:jc w:val="left"/>
      <w:tabs>
        <w:tab w:val="center" w:pos="4153" w:leader="none"/>
        <w:tab w:val="right" w:pos="8306" w:leader="none"/>
      </w:tabs>
    </w:pPr>
    <w:rPr>
      <w:sz w:val="18"/>
    </w:rPr>
  </w:style>
  <w:style w:type="paragraph" w:styleId="673">
    <w:name w:val="Header"/>
    <w:basedOn w:val="642"/>
    <w:link w:val="711"/>
    <w:uiPriority w:val="0"/>
    <w:qFormat/>
    <w:pPr>
      <w:jc w:val="center"/>
      <w:tabs>
        <w:tab w:val="center" w:pos="4153" w:leader="none"/>
        <w:tab w:val="right" w:pos="8306" w:leader="none"/>
      </w:tabs>
      <w:pBdr>
        <w:bottom w:val="single" w:color="000000" w:sz="6" w:space="1"/>
      </w:pBdr>
    </w:pPr>
    <w:rPr>
      <w:sz w:val="18"/>
    </w:rPr>
  </w:style>
  <w:style w:type="paragraph" w:styleId="674">
    <w:name w:val="toc 1"/>
    <w:basedOn w:val="642"/>
    <w:next w:val="642"/>
    <w:uiPriority w:val="39"/>
    <w:unhideWhenUsed/>
    <w:qFormat/>
    <w:pPr>
      <w:spacing w:after="57"/>
    </w:pPr>
  </w:style>
  <w:style w:type="paragraph" w:styleId="675">
    <w:name w:val="toc 4"/>
    <w:basedOn w:val="642"/>
    <w:next w:val="642"/>
    <w:uiPriority w:val="39"/>
    <w:unhideWhenUsed/>
    <w:qFormat/>
    <w:pPr>
      <w:ind w:left="850"/>
      <w:spacing w:after="57"/>
    </w:pPr>
  </w:style>
  <w:style w:type="paragraph" w:styleId="676">
    <w:name w:val="Subtitle"/>
    <w:basedOn w:val="642"/>
    <w:next w:val="642"/>
    <w:link w:val="706"/>
    <w:uiPriority w:val="0"/>
    <w:qFormat/>
    <w:pPr>
      <w:spacing w:before="200" w:after="200"/>
    </w:pPr>
    <w:rPr>
      <w:sz w:val="24"/>
      <w:szCs w:val="24"/>
    </w:rPr>
  </w:style>
  <w:style w:type="paragraph" w:styleId="677">
    <w:name w:val="List"/>
    <w:basedOn w:val="642"/>
    <w:uiPriority w:val="99"/>
    <w:qFormat/>
    <w:pPr>
      <w:numPr>
        <w:ilvl w:val="0"/>
        <w:numId w:val="1"/>
      </w:numPr>
      <w:spacing w:after="20" w:line="288" w:lineRule="auto"/>
      <w:tabs>
        <w:tab w:val="left" w:pos="420" w:leader="none"/>
      </w:tabs>
    </w:pPr>
    <w:rPr>
      <w:sz w:val="21"/>
      <w:szCs w:val="21"/>
      <w:lang w:val="en-GB"/>
    </w:rPr>
  </w:style>
  <w:style w:type="paragraph" w:styleId="678">
    <w:name w:val="footnote text"/>
    <w:basedOn w:val="642"/>
    <w:link w:val="839"/>
    <w:uiPriority w:val="99"/>
    <w:semiHidden/>
    <w:unhideWhenUsed/>
    <w:qFormat/>
    <w:pPr>
      <w:spacing w:after="40"/>
    </w:pPr>
    <w:rPr>
      <w:sz w:val="18"/>
    </w:rPr>
  </w:style>
  <w:style w:type="paragraph" w:styleId="679">
    <w:name w:val="toc 6"/>
    <w:basedOn w:val="642"/>
    <w:next w:val="642"/>
    <w:uiPriority w:val="39"/>
    <w:unhideWhenUsed/>
    <w:qFormat/>
    <w:pPr>
      <w:ind w:left="1417"/>
      <w:spacing w:after="57"/>
    </w:pPr>
  </w:style>
  <w:style w:type="paragraph" w:styleId="680">
    <w:name w:val="table of figures"/>
    <w:basedOn w:val="642"/>
    <w:next w:val="642"/>
    <w:uiPriority w:val="99"/>
    <w:unhideWhenUsed/>
    <w:qFormat/>
  </w:style>
  <w:style w:type="paragraph" w:styleId="681">
    <w:name w:val="toc 2"/>
    <w:basedOn w:val="642"/>
    <w:next w:val="642"/>
    <w:uiPriority w:val="39"/>
    <w:unhideWhenUsed/>
    <w:qFormat/>
    <w:pPr>
      <w:ind w:left="283"/>
      <w:spacing w:after="57"/>
    </w:pPr>
  </w:style>
  <w:style w:type="paragraph" w:styleId="682">
    <w:name w:val="toc 9"/>
    <w:basedOn w:val="642"/>
    <w:next w:val="642"/>
    <w:uiPriority w:val="39"/>
    <w:unhideWhenUsed/>
    <w:qFormat/>
    <w:pPr>
      <w:ind w:left="2268"/>
      <w:spacing w:after="57"/>
    </w:pPr>
  </w:style>
  <w:style w:type="paragraph" w:styleId="683">
    <w:name w:val="Normal (Web)"/>
    <w:basedOn w:val="642"/>
    <w:uiPriority w:val="0"/>
    <w:qFormat/>
    <w:pPr>
      <w:jc w:val="left"/>
      <w:spacing w:beforeAutospacing="1" w:afterAutospacing="1"/>
    </w:pPr>
    <w:rPr>
      <w:sz w:val="24"/>
    </w:rPr>
  </w:style>
  <w:style w:type="paragraph" w:styleId="684">
    <w:name w:val="Title"/>
    <w:basedOn w:val="642"/>
    <w:next w:val="642"/>
    <w:link w:val="705"/>
    <w:uiPriority w:val="10"/>
    <w:qFormat/>
    <w:pPr>
      <w:contextualSpacing/>
      <w:spacing w:before="300" w:after="200"/>
    </w:pPr>
    <w:rPr>
      <w:sz w:val="48"/>
      <w:szCs w:val="48"/>
    </w:rPr>
  </w:style>
  <w:style w:type="paragraph" w:styleId="685">
    <w:name w:val="Body Text First Indent"/>
    <w:basedOn w:val="661"/>
    <w:uiPriority w:val="99"/>
    <w:unhideWhenUsed/>
    <w:qFormat/>
    <w:pPr>
      <w:ind w:firstLine="420"/>
    </w:pPr>
    <w:rPr>
      <w:rFonts w:ascii="Times New Roman" w:hAnsi="Times New Roman" w:eastAsia="宋体"/>
      <w:szCs w:val="22"/>
    </w:rPr>
  </w:style>
  <w:style w:type="paragraph" w:styleId="686">
    <w:name w:val="Body Text First Indent 2"/>
    <w:basedOn w:val="662"/>
    <w:link w:val="872"/>
    <w:uiPriority w:val="99"/>
    <w:qFormat/>
    <w:pPr>
      <w:ind w:firstLine="420"/>
    </w:pPr>
  </w:style>
  <w:style w:type="table" w:styleId="68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FollowedHyperlink"/>
    <w:basedOn w:val="652"/>
    <w:uiPriority w:val="99"/>
    <w:semiHidden/>
    <w:unhideWhenUsed/>
    <w:qFormat/>
    <w:rPr>
      <w:color w:val="954f72"/>
      <w:u w:val="single"/>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段"/>
    <w:next w:val="64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3" w:customStyle="1">
    <w:name w:val="正文 A"/>
    <w:next w:val="692"/>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694" w:customStyle="1">
    <w:name w:val="标题 31"/>
    <w:basedOn w:val="642"/>
    <w:next w:val="642"/>
    <w:uiPriority w:val="0"/>
    <w:qFormat/>
    <w:pPr>
      <w:keepLines/>
      <w:keepNext/>
      <w:spacing w:before="260" w:after="260" w:line="416" w:lineRule="auto"/>
      <w:outlineLvl w:val="2"/>
    </w:pPr>
    <w:rPr>
      <w:b/>
      <w:bCs/>
      <w:sz w:val="32"/>
      <w:szCs w:val="32"/>
    </w:rPr>
  </w:style>
  <w:style w:type="character" w:styleId="695" w:customStyle="1">
    <w:name w:val="标题 1 字符"/>
    <w:link w:val="643"/>
    <w:uiPriority w:val="0"/>
    <w:qFormat/>
    <w:rPr>
      <w:rFonts w:ascii="Arial" w:hAnsi="Arial" w:eastAsia="Arial" w:cs="Arial"/>
      <w:sz w:val="40"/>
      <w:szCs w:val="40"/>
    </w:rPr>
  </w:style>
  <w:style w:type="character" w:styleId="696" w:customStyle="1">
    <w:name w:val="标题 2 字符"/>
    <w:link w:val="644"/>
    <w:uiPriority w:val="0"/>
    <w:qFormat/>
    <w:rPr>
      <w:rFonts w:ascii="Arial" w:hAnsi="Arial" w:eastAsia="Arial" w:cs="Arial"/>
      <w:sz w:val="34"/>
    </w:rPr>
  </w:style>
  <w:style w:type="character" w:styleId="697" w:customStyle="1">
    <w:name w:val="标题 3 字符"/>
    <w:link w:val="645"/>
    <w:uiPriority w:val="0"/>
    <w:qFormat/>
    <w:rPr>
      <w:rFonts w:ascii="Arial" w:hAnsi="Arial" w:eastAsia="Arial" w:cs="Arial"/>
      <w:sz w:val="30"/>
      <w:szCs w:val="30"/>
    </w:rPr>
  </w:style>
  <w:style w:type="character" w:styleId="698" w:customStyle="1">
    <w:name w:val="标题 4 字符"/>
    <w:link w:val="646"/>
    <w:uiPriority w:val="0"/>
    <w:qFormat/>
    <w:rPr>
      <w:rFonts w:ascii="Arial" w:hAnsi="Arial" w:eastAsia="Arial" w:cs="Arial"/>
      <w:b/>
      <w:bCs/>
      <w:sz w:val="26"/>
      <w:szCs w:val="26"/>
    </w:rPr>
  </w:style>
  <w:style w:type="character" w:styleId="699" w:customStyle="1">
    <w:name w:val="标题 5 字符"/>
    <w:link w:val="647"/>
    <w:uiPriority w:val="0"/>
    <w:qFormat/>
    <w:rPr>
      <w:rFonts w:ascii="Arial" w:hAnsi="Arial" w:eastAsia="Arial" w:cs="Arial"/>
      <w:b/>
      <w:bCs/>
      <w:sz w:val="24"/>
      <w:szCs w:val="24"/>
    </w:rPr>
  </w:style>
  <w:style w:type="character" w:styleId="700" w:customStyle="1">
    <w:name w:val="标题 6 字符"/>
    <w:link w:val="648"/>
    <w:uiPriority w:val="0"/>
    <w:qFormat/>
    <w:rPr>
      <w:rFonts w:ascii="Arial" w:hAnsi="Arial" w:eastAsia="Arial" w:cs="Arial"/>
      <w:b/>
      <w:bCs/>
      <w:sz w:val="22"/>
      <w:szCs w:val="22"/>
    </w:rPr>
  </w:style>
  <w:style w:type="character" w:styleId="701" w:customStyle="1">
    <w:name w:val="标题 7 字符"/>
    <w:link w:val="649"/>
    <w:uiPriority w:val="0"/>
    <w:qFormat/>
    <w:rPr>
      <w:rFonts w:ascii="Arial" w:hAnsi="Arial" w:eastAsia="Arial" w:cs="Arial"/>
      <w:b/>
      <w:bCs/>
      <w:i/>
      <w:iCs/>
      <w:sz w:val="22"/>
      <w:szCs w:val="22"/>
    </w:rPr>
  </w:style>
  <w:style w:type="character" w:styleId="702" w:customStyle="1">
    <w:name w:val="标题 8 字符"/>
    <w:link w:val="650"/>
    <w:uiPriority w:val="0"/>
    <w:qFormat/>
    <w:rPr>
      <w:rFonts w:ascii="Arial" w:hAnsi="Arial" w:eastAsia="Arial" w:cs="Arial"/>
      <w:i/>
      <w:iCs/>
      <w:sz w:val="22"/>
      <w:szCs w:val="22"/>
    </w:rPr>
  </w:style>
  <w:style w:type="character" w:styleId="703" w:customStyle="1">
    <w:name w:val="标题 9 字符"/>
    <w:link w:val="651"/>
    <w:uiPriority w:val="9"/>
    <w:qFormat/>
    <w:rPr>
      <w:rFonts w:ascii="Arial" w:hAnsi="Arial" w:eastAsia="Arial" w:cs="Arial"/>
      <w:i/>
      <w:iCs/>
      <w:sz w:val="21"/>
      <w:szCs w:val="21"/>
    </w:rPr>
  </w:style>
  <w:style w:type="paragraph" w:styleId="704">
    <w:name w:val="No Spacing"/>
    <w:uiPriority w:val="1"/>
    <w:qFormat/>
    <w:rPr>
      <w:rFonts w:ascii="Calibri" w:hAnsi="Calibri" w:eastAsia="宋体" w:cs="Times New Roman"/>
      <w:lang w:val="en-US" w:eastAsia="zh-CN" w:bidi="ar-SA"/>
    </w:rPr>
  </w:style>
  <w:style w:type="character" w:styleId="705" w:customStyle="1">
    <w:name w:val="标题 字符"/>
    <w:link w:val="684"/>
    <w:uiPriority w:val="10"/>
    <w:qFormat/>
    <w:rPr>
      <w:sz w:val="48"/>
      <w:szCs w:val="48"/>
    </w:rPr>
  </w:style>
  <w:style w:type="character" w:styleId="706" w:customStyle="1">
    <w:name w:val="副标题 字符"/>
    <w:link w:val="676"/>
    <w:uiPriority w:val="0"/>
    <w:qFormat/>
    <w:rPr>
      <w:sz w:val="24"/>
      <w:szCs w:val="24"/>
    </w:rPr>
  </w:style>
  <w:style w:type="paragraph" w:styleId="707">
    <w:name w:val="Quote"/>
    <w:basedOn w:val="642"/>
    <w:next w:val="642"/>
    <w:link w:val="708"/>
    <w:uiPriority w:val="29"/>
    <w:qFormat/>
    <w:pPr>
      <w:ind w:left="720" w:right="720"/>
    </w:pPr>
    <w:rPr>
      <w:i/>
    </w:rPr>
  </w:style>
  <w:style w:type="character" w:styleId="708" w:customStyle="1">
    <w:name w:val="引用 字符"/>
    <w:link w:val="707"/>
    <w:uiPriority w:val="29"/>
    <w:qFormat/>
    <w:rPr>
      <w:i/>
    </w:rPr>
  </w:style>
  <w:style w:type="paragraph" w:styleId="709">
    <w:name w:val="Intense Quote"/>
    <w:basedOn w:val="642"/>
    <w:next w:val="642"/>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明显引用 字符"/>
    <w:link w:val="709"/>
    <w:uiPriority w:val="30"/>
    <w:qFormat/>
    <w:rPr>
      <w:i/>
    </w:rPr>
  </w:style>
  <w:style w:type="character" w:styleId="711" w:customStyle="1">
    <w:name w:val="页眉 字符"/>
    <w:link w:val="673"/>
    <w:uiPriority w:val="0"/>
    <w:qFormat/>
  </w:style>
  <w:style w:type="character" w:styleId="712" w:customStyle="1">
    <w:name w:val="Footer Char"/>
    <w:uiPriority w:val="99"/>
    <w:qFormat/>
  </w:style>
  <w:style w:type="character" w:styleId="713" w:customStyle="1">
    <w:name w:val="页脚 字符"/>
    <w:link w:val="672"/>
    <w:uiPriority w:val="0"/>
    <w:qFormat/>
  </w:style>
  <w:style w:type="table" w:styleId="7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脚注文本 字符"/>
    <w:link w:val="678"/>
    <w:uiPriority w:val="99"/>
    <w:qFormat/>
    <w:rPr>
      <w:sz w:val="18"/>
    </w:rPr>
  </w:style>
  <w:style w:type="character" w:styleId="840" w:customStyle="1">
    <w:name w:val="尾注文本 字符"/>
    <w:link w:val="671"/>
    <w:uiPriority w:val="99"/>
    <w:qFormat/>
    <w:rPr>
      <w:sz w:val="20"/>
    </w:rPr>
  </w:style>
  <w:style w:type="paragraph" w:styleId="841" w:customStyle="1">
    <w:name w:val="TOC 标题1"/>
    <w:uiPriority w:val="39"/>
    <w:unhideWhenUsed/>
    <w:qFormat/>
    <w:rPr>
      <w:rFonts w:ascii="Calibri" w:hAnsi="Calibri" w:eastAsia="宋体" w:cs="Times New Roman"/>
      <w:lang w:val="en-US" w:eastAsia="zh-CN" w:bidi="ar-SA"/>
    </w:rPr>
  </w:style>
  <w:style w:type="paragraph" w:styleId="842" w:customStyle="1">
    <w:name w:val="正文首行缩进 21"/>
    <w:basedOn w:val="662"/>
    <w:uiPriority w:val="99"/>
    <w:qFormat/>
    <w:pPr>
      <w:ind w:firstLine="420"/>
      <w:spacing w:line="360" w:lineRule="auto"/>
    </w:pPr>
    <w:rPr>
      <w:rFonts w:ascii="宋体" w:hAnsi="宋体" w:eastAsia="宋体"/>
      <w:sz w:val="21"/>
      <w:szCs w:val="20"/>
    </w:rPr>
  </w:style>
  <w:style w:type="paragraph" w:styleId="843" w:customStyle="1">
    <w:name w:val="正文首行缩进1"/>
    <w:basedOn w:val="642"/>
    <w:next w:val="642"/>
    <w:uiPriority w:val="0"/>
    <w:qFormat/>
    <w:pPr>
      <w:ind w:firstLine="420"/>
    </w:pPr>
    <w:rPr>
      <w:sz w:val="21"/>
      <w:szCs w:val="24"/>
    </w:rPr>
  </w:style>
  <w:style w:type="paragraph" w:styleId="84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45" w:customStyle="1">
    <w:name w:val="普通正文"/>
    <w:basedOn w:val="642"/>
    <w:uiPriority w:val="99"/>
    <w:qFormat/>
    <w:pPr>
      <w:ind w:firstLine="480"/>
      <w:jc w:val="left"/>
      <w:spacing w:before="120" w:after="120" w:line="360" w:lineRule="auto"/>
    </w:pPr>
    <w:rPr>
      <w:rFonts w:ascii="Arial" w:hAnsi="Arial"/>
      <w:sz w:val="24"/>
      <w:szCs w:val="24"/>
    </w:rPr>
  </w:style>
  <w:style w:type="paragraph" w:styleId="846">
    <w:name w:val="List Paragraph"/>
    <w:basedOn w:val="642"/>
    <w:uiPriority w:val="34"/>
    <w:qFormat/>
    <w:pPr>
      <w:ind w:firstLine="420"/>
    </w:pPr>
    <w:rPr>
      <w:sz w:val="21"/>
    </w:rPr>
  </w:style>
  <w:style w:type="paragraph" w:styleId="847" w:customStyle="1">
    <w:name w:val="列出段落1"/>
    <w:basedOn w:val="642"/>
    <w:uiPriority w:val="0"/>
    <w:qFormat/>
    <w:pPr>
      <w:contextualSpacing/>
      <w:ind w:left="720"/>
      <w:jc w:val="left"/>
      <w:widowControl/>
    </w:pPr>
    <w:rPr>
      <w:sz w:val="24"/>
      <w:szCs w:val="24"/>
      <w:lang w:eastAsia="en-US" w:bidi="en-US"/>
    </w:rPr>
  </w:style>
  <w:style w:type="paragraph" w:styleId="848" w:customStyle="1">
    <w:name w:val="Char"/>
    <w:basedOn w:val="642"/>
    <w:uiPriority w:val="0"/>
    <w:qFormat/>
    <w:pPr>
      <w:ind w:firstLine="200"/>
      <w:tabs>
        <w:tab w:val="left" w:pos="360" w:leader="none"/>
      </w:tabs>
    </w:pPr>
    <w:rPr>
      <w:szCs w:val="30"/>
    </w:rPr>
  </w:style>
  <w:style w:type="paragraph" w:styleId="849" w:customStyle="1">
    <w:name w:val="纯文本1"/>
    <w:basedOn w:val="642"/>
    <w:uiPriority w:val="0"/>
    <w:qFormat/>
    <w:rPr>
      <w:rFonts w:ascii="宋体" w:hAnsi="Courier New" w:eastAsia="楷体_GB2312"/>
      <w:szCs w:val="20"/>
    </w:rPr>
  </w:style>
  <w:style w:type="character" w:styleId="850" w:customStyle="1">
    <w:name w:val="NormalCharacter1"/>
    <w:uiPriority w:val="0"/>
    <w:qFormat/>
  </w:style>
  <w:style w:type="character" w:styleId="851" w:customStyle="1">
    <w:name w:val="apple-converted-space"/>
    <w:basedOn w:val="652"/>
    <w:uiPriority w:val="0"/>
    <w:qFormat/>
  </w:style>
  <w:style w:type="paragraph" w:styleId="852" w:customStyle="1">
    <w:name w:val="普通(网站)1"/>
    <w:basedOn w:val="642"/>
    <w:uiPriority w:val="99"/>
    <w:unhideWhenUsed/>
    <w:qFormat/>
    <w:pPr>
      <w:jc w:val="left"/>
      <w:spacing w:before="100" w:beforeAutospacing="1" w:after="100" w:afterAutospacing="1"/>
      <w:widowControl/>
    </w:pPr>
    <w:rPr>
      <w:rFonts w:ascii="宋体" w:hAnsi="宋体" w:cs="宋体"/>
      <w:sz w:val="24"/>
    </w:rPr>
  </w:style>
  <w:style w:type="paragraph" w:styleId="853" w:customStyle="1">
    <w:name w:val="普通(网站)111"/>
    <w:basedOn w:val="642"/>
    <w:uiPriority w:val="0"/>
    <w:qFormat/>
    <w:pPr>
      <w:jc w:val="left"/>
      <w:spacing w:beforeAutospacing="1" w:afterAutospacing="1"/>
    </w:pPr>
    <w:rPr>
      <w:sz w:val="24"/>
    </w:rPr>
  </w:style>
  <w:style w:type="paragraph" w:styleId="854" w:customStyle="1">
    <w:name w:val="正文缩进11"/>
    <w:basedOn w:val="642"/>
    <w:uiPriority w:val="0"/>
    <w:qFormat/>
    <w:rPr>
      <w:szCs w:val="20"/>
    </w:rPr>
  </w:style>
  <w:style w:type="paragraph" w:styleId="855" w:customStyle="1">
    <w:name w:val="标题 311"/>
    <w:basedOn w:val="642"/>
    <w:next w:val="642"/>
    <w:uiPriority w:val="0"/>
    <w:qFormat/>
    <w:pPr>
      <w:keepLines/>
      <w:keepNext/>
      <w:spacing w:before="260" w:after="260" w:line="416" w:lineRule="auto"/>
      <w:outlineLvl w:val="2"/>
    </w:pPr>
    <w:rPr>
      <w:b/>
      <w:sz w:val="32"/>
      <w:szCs w:val="20"/>
    </w:rPr>
  </w:style>
  <w:style w:type="paragraph" w:styleId="856" w:customStyle="1">
    <w:name w:val="标题 211"/>
    <w:basedOn w:val="642"/>
    <w:next w:val="642"/>
    <w:uiPriority w:val="0"/>
    <w:qFormat/>
    <w:pPr>
      <w:jc w:val="center"/>
      <w:keepLines/>
      <w:keepNext/>
      <w:spacing w:before="260" w:after="260" w:line="416" w:lineRule="auto"/>
      <w:outlineLvl w:val="1"/>
    </w:pPr>
    <w:rPr>
      <w:rFonts w:ascii="Arial" w:hAnsi="Arial" w:eastAsia="幼圆"/>
      <w:b/>
      <w:sz w:val="44"/>
      <w:szCs w:val="20"/>
    </w:rPr>
  </w:style>
  <w:style w:type="paragraph" w:styleId="857" w:customStyle="1">
    <w:name w:val="文本块1"/>
    <w:basedOn w:val="642"/>
    <w:uiPriority w:val="99"/>
    <w:qFormat/>
    <w:pPr>
      <w:ind w:left="1440" w:right="1440"/>
      <w:spacing w:after="120"/>
      <w:tabs>
        <w:tab w:val="left" w:pos="9000" w:leader="none"/>
      </w:tabs>
    </w:pPr>
  </w:style>
  <w:style w:type="paragraph" w:styleId="858" w:customStyle="1">
    <w:name w:val="普通(网站)11"/>
    <w:basedOn w:val="642"/>
    <w:uiPriority w:val="0"/>
    <w:unhideWhenUsed/>
    <w:qFormat/>
    <w:pPr>
      <w:ind w:firstLine="5742"/>
      <w:jc w:val="center"/>
      <w:spacing w:before="100" w:beforeAutospacing="1" w:after="100" w:afterAutospacing="1"/>
      <w:widowControl/>
    </w:pPr>
    <w:rPr>
      <w:rFonts w:ascii="宋体" w:hAnsi="宋体"/>
      <w:b/>
      <w:sz w:val="44"/>
    </w:rPr>
  </w:style>
  <w:style w:type="character" w:styleId="859" w:customStyle="1">
    <w:name w:val="NormalCharacter11"/>
    <w:uiPriority w:val="99"/>
    <w:qFormat/>
    <w:rPr>
      <w:rFonts w:ascii="Calibri" w:hAnsi="Calibri" w:eastAsia="宋体"/>
    </w:rPr>
  </w:style>
  <w:style w:type="paragraph" w:styleId="860" w:customStyle="1">
    <w:name w:val="Heading11"/>
    <w:basedOn w:val="642"/>
    <w:uiPriority w:val="0"/>
    <w:qFormat/>
    <w:rPr>
      <w:rFonts w:ascii="等线 Light" w:eastAsia="等线 Light"/>
      <w:szCs w:val="20"/>
    </w:rPr>
  </w:style>
  <w:style w:type="paragraph" w:styleId="861" w:customStyle="1">
    <w:name w:val="正文样式"/>
    <w:basedOn w:val="642"/>
    <w:uiPriority w:val="7"/>
    <w:qFormat/>
    <w:pPr>
      <w:ind w:firstLine="480"/>
    </w:pPr>
    <w:rPr>
      <w:sz w:val="24"/>
      <w:szCs w:val="24"/>
    </w:rPr>
  </w:style>
  <w:style w:type="character" w:styleId="862" w:customStyle="1">
    <w:name w:val="NormalCharacter"/>
    <w:uiPriority w:val="0"/>
    <w:qFormat/>
  </w:style>
  <w:style w:type="character" w:styleId="863" w:customStyle="1">
    <w:name w:val="正文文本 字符"/>
    <w:basedOn w:val="652"/>
    <w:link w:val="661"/>
    <w:uiPriority w:val="0"/>
    <w:qFormat/>
    <w:rPr>
      <w:rFonts w:asciiTheme="minorHAnsi" w:hAnsiTheme="minorHAnsi" w:eastAsiaTheme="minorEastAsia" w:cstheme="minorBidi"/>
      <w:sz w:val="21"/>
      <w:szCs w:val="24"/>
    </w:rPr>
  </w:style>
  <w:style w:type="paragraph" w:styleId="864" w:customStyle="1">
    <w:name w:val="BodyText1I2"/>
    <w:basedOn w:val="642"/>
    <w:uiPriority w:val="0"/>
    <w:qFormat/>
    <w:pPr>
      <w:ind w:firstLine="420"/>
    </w:pPr>
    <w:rPr>
      <w:szCs w:val="21"/>
      <w:u w:val="single"/>
    </w:rPr>
  </w:style>
  <w:style w:type="character" w:styleId="865" w:customStyle="1">
    <w:name w:val="正文文本缩进 2 字符"/>
    <w:basedOn w:val="652"/>
    <w:link w:val="670"/>
    <w:uiPriority w:val="99"/>
    <w:semiHidden/>
    <w:qFormat/>
    <w:rPr>
      <w:rFonts w:ascii="Times New Roman" w:hAnsi="Times New Roman"/>
      <w:sz w:val="28"/>
      <w:szCs w:val="22"/>
    </w:rPr>
  </w:style>
  <w:style w:type="paragraph" w:styleId="866" w:customStyle="1">
    <w:name w:val="Body Text(ch)"/>
    <w:basedOn w:val="642"/>
    <w:next w:val="661"/>
    <w:uiPriority w:val="0"/>
    <w:qFormat/>
    <w:pPr>
      <w:spacing w:after="120"/>
    </w:pPr>
    <w:rPr>
      <w:rFonts w:ascii="宋体" w:hAnsi="Arial"/>
      <w:bCs/>
      <w:iCs/>
      <w:sz w:val="21"/>
      <w:szCs w:val="24"/>
    </w:rPr>
  </w:style>
  <w:style w:type="paragraph" w:styleId="867" w:customStyle="1">
    <w:name w:val="Plain Text1"/>
    <w:basedOn w:val="642"/>
    <w:uiPriority w:val="99"/>
    <w:qFormat/>
    <w:rPr>
      <w:rFonts w:ascii="宋体" w:hAnsi="Courier New" w:eastAsia="楷体_GB2312" w:cs="宋体"/>
      <w:sz w:val="26"/>
      <w:szCs w:val="26"/>
    </w:rPr>
  </w:style>
  <w:style w:type="paragraph" w:styleId="868" w:customStyle="1">
    <w:name w:val="纯文本2"/>
    <w:basedOn w:val="642"/>
    <w:uiPriority w:val="0"/>
    <w:qFormat/>
    <w:rPr>
      <w:rFonts w:ascii="宋体" w:hAnsi="Courier New" w:eastAsia="楷体_GB2312"/>
      <w:sz w:val="26"/>
      <w:szCs w:val="21"/>
    </w:rPr>
  </w:style>
  <w:style w:type="paragraph" w:styleId="869" w:customStyle="1">
    <w:name w:val="一级条标题"/>
    <w:basedOn w:val="870"/>
    <w:next w:val="692"/>
    <w:uiPriority w:val="0"/>
    <w:qFormat/>
    <w:pPr>
      <w:ind w:left="420"/>
      <w:spacing w:line="240" w:lineRule="auto"/>
      <w:outlineLvl w:val="2"/>
    </w:pPr>
  </w:style>
  <w:style w:type="paragraph" w:styleId="870" w:customStyle="1">
    <w:name w:val="章标题"/>
    <w:next w:val="642"/>
    <w:uiPriority w:val="0"/>
    <w:qFormat/>
    <w:pPr>
      <w:jc w:val="both"/>
      <w:spacing w:line="360" w:lineRule="auto"/>
      <w:outlineLvl w:val="1"/>
    </w:pPr>
    <w:rPr>
      <w:rFonts w:ascii="黑体" w:hAnsi="Times New Roman" w:eastAsia="黑体" w:cstheme="minorBidi"/>
      <w:sz w:val="21"/>
      <w:szCs w:val="22"/>
      <w:lang w:val="en-US" w:eastAsia="zh-CN" w:bidi="ar-SA"/>
    </w:rPr>
  </w:style>
  <w:style w:type="character" w:styleId="871" w:customStyle="1">
    <w:name w:val="正文文本缩进 字符"/>
    <w:basedOn w:val="652"/>
    <w:link w:val="662"/>
    <w:uiPriority w:val="99"/>
    <w:qFormat/>
    <w:rPr>
      <w:rFonts w:ascii="楷体_GB2312" w:hAnsi="Times New Roman" w:eastAsia="楷体_GB2312"/>
      <w:sz w:val="32"/>
      <w:szCs w:val="32"/>
    </w:rPr>
  </w:style>
  <w:style w:type="character" w:styleId="872" w:customStyle="1">
    <w:name w:val="正文文本首行缩进 2 字符"/>
    <w:basedOn w:val="871"/>
    <w:link w:val="686"/>
    <w:uiPriority w:val="99"/>
    <w:qFormat/>
    <w:rPr>
      <w:rFonts w:ascii="楷体_GB2312" w:hAnsi="Times New Roman" w:eastAsia="楷体_GB2312"/>
      <w:sz w:val="32"/>
      <w:szCs w:val="32"/>
    </w:rPr>
  </w:style>
  <w:style w:type="paragraph" w:styleId="873" w:customStyle="1">
    <w:name w:val="表正文"/>
    <w:basedOn w:val="642"/>
    <w:next w:val="642"/>
    <w:link w:val="875"/>
    <w:uiPriority w:val="0"/>
    <w:qFormat/>
    <w:pPr>
      <w:jc w:val="center"/>
    </w:pPr>
    <w:rPr>
      <w:rFonts w:ascii="宋体" w:hAnsi="宋体" w:cstheme="minorBidi"/>
      <w:sz w:val="21"/>
    </w:rPr>
  </w:style>
  <w:style w:type="paragraph" w:styleId="874" w:customStyle="1">
    <w:name w:val="表头图例"/>
    <w:basedOn w:val="642"/>
    <w:link w:val="876"/>
    <w:uiPriority w:val="0"/>
    <w:qFormat/>
    <w:pPr>
      <w:jc w:val="center"/>
      <w:keepNext/>
      <w:spacing w:line="360" w:lineRule="auto"/>
    </w:pPr>
    <w:rPr>
      <w:rFonts w:ascii="宋体" w:hAnsi="宋体" w:cstheme="minorBidi"/>
      <w:b/>
      <w:sz w:val="21"/>
    </w:rPr>
  </w:style>
  <w:style w:type="character" w:styleId="875" w:customStyle="1">
    <w:name w:val="青-表 字符"/>
    <w:basedOn w:val="652"/>
    <w:link w:val="873"/>
    <w:uiPriority w:val="0"/>
    <w:qFormat/>
    <w:rPr>
      <w:rFonts w:ascii="宋体" w:hAnsi="宋体" w:cstheme="minorBidi"/>
      <w:sz w:val="21"/>
      <w:szCs w:val="22"/>
    </w:rPr>
  </w:style>
  <w:style w:type="character" w:styleId="876" w:customStyle="1">
    <w:name w:val="青-图 字符"/>
    <w:basedOn w:val="652"/>
    <w:link w:val="874"/>
    <w:uiPriority w:val="0"/>
    <w:qFormat/>
    <w:rPr>
      <w:rFonts w:ascii="宋体" w:hAnsi="宋体" w:cstheme="minorBidi"/>
      <w:b/>
      <w:sz w:val="21"/>
      <w:szCs w:val="22"/>
    </w:rPr>
  </w:style>
  <w:style w:type="paragraph" w:styleId="877" w:customStyle="1">
    <w:name w:val="正文表格"/>
    <w:basedOn w:val="642"/>
    <w:uiPriority w:val="0"/>
    <w:qFormat/>
    <w:pPr>
      <w:ind w:firstLine="600"/>
      <w:jc w:val="left"/>
      <w:spacing w:line="360" w:lineRule="auto"/>
    </w:pPr>
    <w:rPr>
      <w:rFonts w:ascii="宋体" w:hAnsi="宋体" w:cstheme="minorBidi"/>
      <w:color w:val="000000"/>
      <w:sz w:val="24"/>
      <w:szCs w:val="21"/>
    </w:rPr>
  </w:style>
  <w:style w:type="character" w:styleId="878" w:customStyle="1">
    <w:name w:val="font21"/>
    <w:basedOn w:val="652"/>
    <w:uiPriority w:val="0"/>
    <w:qFormat/>
    <w:rPr>
      <w:rFonts w:hint="eastAsia" w:ascii="宋体" w:hAnsi="宋体" w:eastAsia="宋体" w:cs="宋体"/>
      <w:color w:val="000000"/>
      <w:sz w:val="21"/>
      <w:szCs w:val="21"/>
      <w:u w:val="none"/>
    </w:rPr>
  </w:style>
  <w:style w:type="paragraph" w:styleId="879" w:customStyle="1">
    <w:name w:val="msonormal"/>
    <w:basedOn w:val="642"/>
    <w:uiPriority w:val="0"/>
    <w:qFormat/>
    <w:pPr>
      <w:jc w:val="left"/>
      <w:spacing w:before="100" w:beforeAutospacing="1" w:after="100" w:afterAutospacing="1"/>
      <w:widowControl/>
    </w:pPr>
    <w:rPr>
      <w:rFonts w:ascii="宋体" w:hAnsi="宋体" w:cs="宋体"/>
      <w:sz w:val="24"/>
      <w:szCs w:val="24"/>
    </w:rPr>
  </w:style>
  <w:style w:type="paragraph" w:styleId="880" w:customStyle="1">
    <w:name w:val="font5"/>
    <w:basedOn w:val="642"/>
    <w:uiPriority w:val="0"/>
    <w:qFormat/>
    <w:pPr>
      <w:jc w:val="left"/>
      <w:spacing w:before="100" w:beforeAutospacing="1" w:after="100" w:afterAutospacing="1"/>
      <w:widowControl/>
    </w:pPr>
    <w:rPr>
      <w:rFonts w:ascii="等线" w:hAnsi="等线" w:eastAsia="等线" w:cs="宋体"/>
      <w:sz w:val="18"/>
      <w:szCs w:val="18"/>
    </w:rPr>
  </w:style>
  <w:style w:type="paragraph" w:styleId="881" w:customStyle="1">
    <w:name w:val="xl65"/>
    <w:basedOn w:val="642"/>
    <w:uiPriority w:val="0"/>
    <w:qFormat/>
    <w:pPr>
      <w:jc w:val="center"/>
      <w:spacing w:before="100" w:beforeAutospacing="1" w:after="100" w:afterAutospacing="1"/>
      <w:shd w:val="clear" w:color="000000" w:fill="d8d8d8"/>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2" w:customStyle="1">
    <w:name w:val="xl66"/>
    <w:basedOn w:val="642"/>
    <w:uiPriority w:val="0"/>
    <w:qFormat/>
    <w:pPr>
      <w:jc w:val="center"/>
      <w:spacing w:before="100" w:beforeAutospacing="1" w:after="100" w:afterAutospacing="1"/>
      <w:widowControl/>
    </w:pPr>
    <w:rPr>
      <w:rFonts w:ascii="宋体" w:hAnsi="宋体" w:cs="宋体"/>
      <w:sz w:val="24"/>
      <w:szCs w:val="24"/>
    </w:rPr>
  </w:style>
  <w:style w:type="paragraph" w:styleId="883" w:customStyle="1">
    <w:name w:val="xl67"/>
    <w:basedOn w:val="642"/>
    <w:uiPriority w:val="0"/>
    <w:qFormat/>
    <w:pPr>
      <w:jc w:val="center"/>
      <w:spacing w:before="100" w:beforeAutospacing="1" w:after="100" w:afterAutospacing="1"/>
      <w:shd w:val="clear" w:color="000000" w:fill="d8d8d8"/>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4" w:customStyle="1">
    <w:name w:val="xl68"/>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5" w:customStyle="1">
    <w:name w:val="xl69"/>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6" w:customStyle="1">
    <w:name w:val="xl70"/>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71"/>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888" w:customStyle="1">
    <w:name w:val="xl72"/>
    <w:basedOn w:val="642"/>
    <w:uiPriority w:val="0"/>
    <w:qFormat/>
    <w:pPr>
      <w:jc w:val="center"/>
      <w:spacing w:before="100" w:beforeAutospacing="1" w:after="100" w:afterAutospacing="1"/>
      <w:widowControl/>
    </w:pPr>
    <w:rPr>
      <w:rFonts w:ascii="宋体" w:hAnsi="宋体" w:cs="宋体"/>
      <w:sz w:val="24"/>
      <w:szCs w:val="24"/>
    </w:rPr>
  </w:style>
  <w:style w:type="character" w:styleId="889" w:customStyle="1">
    <w:name w:val="font31"/>
    <w:basedOn w:val="652"/>
    <w:uiPriority w:val="0"/>
    <w:qFormat/>
    <w:rPr>
      <w:rFonts w:hint="eastAsia" w:ascii="宋体" w:hAnsi="宋体" w:eastAsia="宋体" w:cs="宋体"/>
      <w:color w:val="000000"/>
      <w:sz w:val="18"/>
      <w:szCs w:val="18"/>
      <w:u w:val="none"/>
    </w:rPr>
  </w:style>
  <w:style w:type="character" w:styleId="890" w:customStyle="1">
    <w:name w:val="未处理的提及1"/>
    <w:basedOn w:val="652"/>
    <w:uiPriority w:val="99"/>
    <w:semiHidden/>
    <w:unhideWhenUsed/>
    <w:qFormat/>
    <w:rPr>
      <w:color w:val="605e5c"/>
      <w:shd w:val="clear" w:color="auto" w:fill="e1dfdd"/>
    </w:rPr>
  </w:style>
  <w:style w:type="paragraph" w:styleId="891" w:customStyle="1">
    <w:name w:val="标题 11"/>
    <w:next w:val="642"/>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numbering" w:styleId="18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顾女士</cp:lastModifiedBy>
  <cp:revision>30</cp:revision>
  <dcterms:created xsi:type="dcterms:W3CDTF">2025-02-25T03:48:00Z</dcterms:created>
  <dcterms:modified xsi:type="dcterms:W3CDTF">2025-03-24T09:43:04Z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3B11B0E425124BCC914F147280FCCD38_12</vt:lpwstr>
  </property>
  <property fmtid="{D5CDD505-2E9C-101B-9397-08002B2CF9AE}" pid="4" name="KSOTemplateDocerSaveRecord">
    <vt:lpwstr>eyJoZGlkIjoiZTBmNzAyNTA2NWEyNzYxMTdjNDc2YjRkNGE0NWFjZjAiLCJ1c2VySWQiOiI5MjQ4NDE4MjkifQ==</vt:lpwstr>
  </property>
</Properties>
</file>