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宋体" w:hAnsi="宋体" w:eastAsia="宋体" w:cs="Times New Roman"/>
          <w:b/>
          <w:bCs/>
          <w:color w:val="000000"/>
          <w:spacing w:val="80"/>
          <w:sz w:val="64"/>
          <w:szCs w:val="20"/>
          <w:lang w:eastAsia="zh-CN"/>
        </w:rPr>
      </w:pPr>
      <w:r>
        <w:rPr>
          <w:rFonts w:hint="eastAsia" w:ascii="宋体" w:hAnsi="宋体" w:eastAsia="宋体" w:cs="Times New Roman"/>
          <w:b/>
          <w:bCs/>
          <w:color w:val="000000"/>
          <w:spacing w:val="80"/>
          <w:sz w:val="64"/>
          <w:szCs w:val="20"/>
          <w:lang w:eastAsia="zh-CN"/>
        </w:rPr>
        <w:drawing>
          <wp:inline distT="0" distB="0" distL="114300" distR="114300">
            <wp:extent cx="5596255" cy="7913370"/>
            <wp:effectExtent l="0" t="0" r="4445" b="11430"/>
            <wp:docPr id="1" name="图片 1" descr="9022af0f92c5bd497b7de8e9c4b20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022af0f92c5bd497b7de8e9c4b20f9"/>
                    <pic:cNvPicPr>
                      <a:picLocks noChangeAspect="1"/>
                    </pic:cNvPicPr>
                  </pic:nvPicPr>
                  <pic:blipFill>
                    <a:blip r:embed="rId10"/>
                    <a:stretch>
                      <a:fillRect/>
                    </a:stretch>
                  </pic:blipFill>
                  <pic:spPr>
                    <a:xfrm>
                      <a:off x="0" y="0"/>
                      <a:ext cx="5596255" cy="7913370"/>
                    </a:xfrm>
                    <a:prstGeom prst="rect">
                      <a:avLst/>
                    </a:prstGeom>
                  </pic:spPr>
                </pic:pic>
              </a:graphicData>
            </a:graphic>
          </wp:inline>
        </w:drawing>
      </w:r>
    </w:p>
    <w:p>
      <w:pPr>
        <w:spacing w:line="360" w:lineRule="auto"/>
        <w:jc w:val="center"/>
        <w:rPr>
          <w:rFonts w:hint="eastAsia" w:ascii="宋体" w:hAnsi="宋体" w:eastAsia="宋体" w:cs="Times New Roman"/>
          <w:b/>
          <w:bCs/>
          <w:color w:val="000000"/>
          <w:spacing w:val="80"/>
          <w:sz w:val="72"/>
          <w:szCs w:val="72"/>
        </w:rPr>
      </w:pPr>
    </w:p>
    <w:p>
      <w:pPr>
        <w:spacing w:line="360" w:lineRule="auto"/>
        <w:jc w:val="center"/>
        <w:rPr>
          <w:rFonts w:hint="eastAsia" w:ascii="宋体" w:hAnsi="宋体" w:eastAsia="宋体" w:cs="Times New Roman"/>
          <w:b/>
          <w:bCs/>
          <w:color w:val="000000"/>
          <w:spacing w:val="80"/>
          <w:sz w:val="72"/>
          <w:szCs w:val="72"/>
        </w:rPr>
      </w:pPr>
      <w:r>
        <w:rPr>
          <w:rFonts w:hint="eastAsia" w:ascii="宋体" w:hAnsi="宋体" w:eastAsia="宋体" w:cs="Times New Roman"/>
          <w:b/>
          <w:bCs/>
          <w:color w:val="000000"/>
          <w:spacing w:val="80"/>
          <w:sz w:val="72"/>
          <w:szCs w:val="72"/>
        </w:rPr>
        <w:t>连云港市</w:t>
      </w:r>
      <w:r>
        <w:rPr>
          <w:rFonts w:hint="eastAsia" w:ascii="宋体" w:hAnsi="宋体" w:eastAsia="宋体" w:cs="Times New Roman"/>
          <w:b/>
          <w:bCs/>
          <w:color w:val="000000"/>
          <w:spacing w:val="80"/>
          <w:sz w:val="72"/>
          <w:szCs w:val="72"/>
          <w:lang w:val="en-US" w:eastAsia="zh-CN"/>
        </w:rPr>
        <w:t>海州区</w:t>
      </w:r>
      <w:r>
        <w:rPr>
          <w:rFonts w:hint="eastAsia" w:ascii="宋体" w:hAnsi="宋体" w:eastAsia="宋体" w:cs="Times New Roman"/>
          <w:b/>
          <w:bCs/>
          <w:color w:val="000000"/>
          <w:spacing w:val="80"/>
          <w:sz w:val="72"/>
          <w:szCs w:val="72"/>
        </w:rPr>
        <w:t>政府</w:t>
      </w:r>
    </w:p>
    <w:p>
      <w:pPr>
        <w:spacing w:line="360" w:lineRule="auto"/>
        <w:jc w:val="center"/>
        <w:rPr>
          <w:rFonts w:ascii="宋体" w:hAnsi="宋体" w:eastAsia="宋体" w:cs="Times New Roman"/>
          <w:b/>
          <w:bCs/>
          <w:color w:val="000000"/>
          <w:spacing w:val="80"/>
          <w:sz w:val="72"/>
          <w:szCs w:val="72"/>
        </w:rPr>
      </w:pPr>
      <w:r>
        <w:rPr>
          <w:rFonts w:hint="eastAsia" w:ascii="宋体" w:hAnsi="宋体" w:eastAsia="宋体" w:cs="Times New Roman"/>
          <w:b/>
          <w:bCs/>
          <w:color w:val="000000"/>
          <w:spacing w:val="80"/>
          <w:sz w:val="72"/>
          <w:szCs w:val="72"/>
        </w:rPr>
        <w:t>采购</w:t>
      </w:r>
    </w:p>
    <w:p>
      <w:pPr>
        <w:spacing w:line="360" w:lineRule="auto"/>
        <w:ind w:firstLine="947" w:firstLineChars="200"/>
        <w:rPr>
          <w:rFonts w:ascii="宋体" w:hAnsi="宋体" w:eastAsia="宋体" w:cs="Times New Roman"/>
          <w:b/>
          <w:bCs/>
          <w:color w:val="000000"/>
          <w:spacing w:val="16"/>
          <w:sz w:val="44"/>
          <w:szCs w:val="24"/>
        </w:rPr>
      </w:pPr>
    </w:p>
    <w:p>
      <w:pPr>
        <w:spacing w:line="360" w:lineRule="auto"/>
        <w:jc w:val="center"/>
        <w:rPr>
          <w:rFonts w:ascii="宋体" w:hAnsi="宋体" w:eastAsia="宋体" w:cs="Times New Roman"/>
          <w:b/>
          <w:bCs/>
          <w:color w:val="000000"/>
          <w:spacing w:val="80"/>
          <w:sz w:val="72"/>
          <w:szCs w:val="72"/>
        </w:rPr>
      </w:pPr>
      <w:r>
        <w:rPr>
          <w:rFonts w:hint="eastAsia" w:ascii="宋体" w:hAnsi="宋体" w:eastAsia="宋体" w:cs="Times New Roman"/>
          <w:b/>
          <w:bCs/>
          <w:color w:val="000000"/>
          <w:spacing w:val="80"/>
          <w:sz w:val="72"/>
          <w:szCs w:val="72"/>
        </w:rPr>
        <w:t>招标文件</w:t>
      </w:r>
    </w:p>
    <w:p>
      <w:pPr>
        <w:spacing w:line="360" w:lineRule="auto"/>
        <w:ind w:firstLine="947" w:firstLineChars="200"/>
        <w:rPr>
          <w:rFonts w:ascii="宋体" w:hAnsi="宋体" w:eastAsia="宋体" w:cs="Times New Roman"/>
          <w:b/>
          <w:bCs/>
          <w:color w:val="000000"/>
          <w:spacing w:val="16"/>
          <w:sz w:val="44"/>
          <w:szCs w:val="24"/>
        </w:rPr>
      </w:pPr>
    </w:p>
    <w:p>
      <w:pPr>
        <w:spacing w:line="360" w:lineRule="auto"/>
        <w:ind w:firstLine="947" w:firstLineChars="200"/>
        <w:rPr>
          <w:rFonts w:ascii="宋体" w:hAnsi="宋体" w:eastAsia="宋体" w:cs="Times New Roman"/>
          <w:b/>
          <w:bCs/>
          <w:color w:val="000000"/>
          <w:spacing w:val="16"/>
          <w:sz w:val="44"/>
          <w:szCs w:val="24"/>
        </w:rPr>
      </w:pPr>
    </w:p>
    <w:p>
      <w:pPr>
        <w:spacing w:line="360" w:lineRule="auto"/>
        <w:ind w:left="840" w:firstLine="611" w:firstLineChars="200"/>
        <w:rPr>
          <w:rFonts w:hint="default" w:ascii="宋体" w:hAnsi="宋体" w:eastAsia="宋体" w:cs="Times New Roman"/>
          <w:b/>
          <w:bCs/>
          <w:color w:val="000000"/>
          <w:spacing w:val="16"/>
          <w:sz w:val="44"/>
          <w:szCs w:val="24"/>
          <w:lang w:val="en-US" w:eastAsia="zh-CN"/>
        </w:rPr>
      </w:pPr>
      <w:r>
        <w:rPr>
          <w:rFonts w:hint="eastAsia" w:ascii="宋体" w:hAnsi="宋体" w:eastAsia="宋体" w:cs="Times New Roman"/>
          <w:b/>
          <w:bCs/>
          <w:color w:val="000000"/>
          <w:w w:val="95"/>
          <w:sz w:val="32"/>
          <w:szCs w:val="24"/>
        </w:rPr>
        <w:t>标段名称：</w:t>
      </w:r>
      <w:r>
        <w:rPr>
          <w:rFonts w:hint="eastAsia" w:ascii="宋体" w:hAnsi="宋体" w:eastAsia="宋体" w:cs="Times New Roman"/>
          <w:b/>
          <w:bCs/>
          <w:color w:val="000000"/>
          <w:w w:val="95"/>
          <w:sz w:val="32"/>
          <w:szCs w:val="24"/>
          <w:lang w:val="en-US" w:eastAsia="zh-CN"/>
        </w:rPr>
        <w:t>西盐河绿化提档升级工程苗木采购</w:t>
      </w:r>
    </w:p>
    <w:p>
      <w:pPr>
        <w:spacing w:line="360" w:lineRule="auto"/>
        <w:ind w:left="840" w:firstLine="611" w:firstLineChars="200"/>
        <w:rPr>
          <w:rFonts w:hint="default" w:ascii="宋体" w:hAnsi="宋体" w:eastAsia="宋体" w:cs="Times New Roman"/>
          <w:b/>
          <w:bCs/>
          <w:color w:val="000000"/>
          <w:w w:val="95"/>
          <w:sz w:val="32"/>
          <w:szCs w:val="24"/>
          <w:lang w:val="en-US" w:eastAsia="zh-CN"/>
        </w:rPr>
      </w:pPr>
      <w:r>
        <w:rPr>
          <w:rFonts w:hint="eastAsia" w:ascii="宋体" w:hAnsi="宋体" w:eastAsia="宋体" w:cs="Times New Roman"/>
          <w:b/>
          <w:bCs/>
          <w:color w:val="000000"/>
          <w:w w:val="95"/>
          <w:sz w:val="32"/>
          <w:szCs w:val="24"/>
        </w:rPr>
        <w:t>标段编号</w:t>
      </w:r>
      <w:r>
        <w:rPr>
          <w:rFonts w:hint="eastAsia" w:ascii="宋体" w:hAnsi="宋体" w:eastAsia="宋体" w:cs="Times New Roman"/>
          <w:b/>
          <w:bCs/>
          <w:color w:val="000000"/>
          <w:w w:val="95"/>
          <w:sz w:val="32"/>
          <w:szCs w:val="24"/>
          <w:lang w:val="en-US" w:eastAsia="zh-CN"/>
        </w:rPr>
        <w:t>：JSZC-320706-BHXM-G2024-0003</w:t>
      </w:r>
    </w:p>
    <w:p>
      <w:pPr>
        <w:spacing w:line="360" w:lineRule="auto"/>
        <w:rPr>
          <w:rFonts w:ascii="宋体" w:hAnsi="宋体" w:eastAsia="宋体" w:cs="Times New Roman"/>
          <w:color w:val="000000"/>
          <w:szCs w:val="24"/>
        </w:rPr>
      </w:pPr>
    </w:p>
    <w:p>
      <w:pPr>
        <w:spacing w:line="360" w:lineRule="auto"/>
        <w:ind w:right="-993" w:rightChars="-473"/>
        <w:rPr>
          <w:rFonts w:ascii="宋体" w:hAnsi="宋体" w:eastAsia="宋体" w:cs="Times New Roman"/>
          <w:color w:val="000000"/>
          <w:szCs w:val="20"/>
        </w:rPr>
      </w:pPr>
    </w:p>
    <w:p>
      <w:pPr>
        <w:adjustRightInd w:val="0"/>
        <w:spacing w:before="120" w:after="120" w:line="360" w:lineRule="auto"/>
        <w:ind w:firstLine="1280" w:firstLineChars="400"/>
        <w:textAlignment w:val="baseline"/>
        <w:rPr>
          <w:rFonts w:hint="eastAsia" w:ascii="Arial" w:hAnsi="Arial" w:eastAsia="宋体" w:cs="Times New Roman"/>
          <w:bCs/>
          <w:color w:val="000000"/>
          <w:kern w:val="0"/>
          <w:sz w:val="32"/>
          <w:szCs w:val="24"/>
          <w:lang w:eastAsia="zh-CN"/>
        </w:rPr>
      </w:pPr>
      <w:r>
        <w:rPr>
          <w:rFonts w:hint="eastAsia" w:ascii="Arial" w:hAnsi="Arial" w:eastAsia="宋体" w:cs="Times New Roman"/>
          <w:bCs/>
          <w:color w:val="000000"/>
          <w:kern w:val="0"/>
          <w:sz w:val="32"/>
          <w:szCs w:val="24"/>
        </w:rPr>
        <w:t>采   购   人：</w:t>
      </w:r>
      <w:r>
        <w:rPr>
          <w:rFonts w:hint="eastAsia" w:ascii="Arial" w:hAnsi="Arial" w:eastAsia="宋体" w:cs="Times New Roman"/>
          <w:bCs/>
          <w:color w:val="000000"/>
          <w:kern w:val="0"/>
          <w:sz w:val="32"/>
          <w:szCs w:val="24"/>
          <w:lang w:eastAsia="zh-CN"/>
        </w:rPr>
        <w:t>连云港市海州区绿化养护管理二处</w:t>
      </w:r>
    </w:p>
    <w:p>
      <w:pPr>
        <w:spacing w:line="360" w:lineRule="auto"/>
        <w:ind w:right="-993" w:rightChars="-473" w:firstLine="1280" w:firstLineChars="400"/>
        <w:jc w:val="both"/>
        <w:rPr>
          <w:rFonts w:hint="eastAsia" w:ascii="Arial" w:hAnsi="Arial" w:eastAsia="宋体" w:cs="Times New Roman"/>
          <w:bCs/>
          <w:color w:val="000000"/>
          <w:kern w:val="0"/>
          <w:sz w:val="32"/>
          <w:szCs w:val="24"/>
          <w:lang w:eastAsia="zh-CN"/>
        </w:rPr>
      </w:pPr>
      <w:r>
        <w:rPr>
          <w:rFonts w:hint="eastAsia" w:ascii="Arial" w:hAnsi="Arial" w:eastAsia="宋体" w:cs="Times New Roman"/>
          <w:bCs/>
          <w:color w:val="000000"/>
          <w:kern w:val="0"/>
          <w:sz w:val="32"/>
          <w:szCs w:val="24"/>
        </w:rPr>
        <w:t>采购代理机构：</w:t>
      </w:r>
      <w:r>
        <w:rPr>
          <w:rFonts w:hint="eastAsia" w:ascii="Arial" w:hAnsi="Arial" w:eastAsia="宋体" w:cs="Times New Roman"/>
          <w:bCs/>
          <w:color w:val="000000"/>
          <w:kern w:val="0"/>
          <w:sz w:val="32"/>
          <w:szCs w:val="24"/>
          <w:lang w:eastAsia="zh-CN"/>
        </w:rPr>
        <w:t>江苏宝宏项目管理咨询有限公司</w:t>
      </w:r>
    </w:p>
    <w:p>
      <w:pPr>
        <w:spacing w:line="360" w:lineRule="auto"/>
        <w:ind w:right="-993" w:rightChars="-473"/>
        <w:jc w:val="center"/>
        <w:rPr>
          <w:rFonts w:ascii="宋体" w:hAnsi="宋体" w:eastAsia="宋体" w:cs="Times New Roman"/>
          <w:color w:val="000000"/>
          <w:kern w:val="0"/>
          <w:sz w:val="28"/>
          <w:szCs w:val="24"/>
        </w:rPr>
      </w:pPr>
      <w:r>
        <w:rPr>
          <w:rFonts w:hint="eastAsia" w:ascii="宋体" w:hAnsi="宋体" w:eastAsia="宋体" w:cs="Times New Roman"/>
          <w:color w:val="000000"/>
          <w:kern w:val="0"/>
          <w:sz w:val="28"/>
          <w:szCs w:val="24"/>
          <w:lang w:val="en-US" w:eastAsia="zh-CN"/>
        </w:rPr>
        <w:t>2024</w:t>
      </w:r>
      <w:r>
        <w:rPr>
          <w:rFonts w:hint="eastAsia" w:ascii="宋体" w:hAnsi="宋体" w:eastAsia="宋体" w:cs="Times New Roman"/>
          <w:color w:val="000000"/>
          <w:kern w:val="0"/>
          <w:sz w:val="28"/>
          <w:szCs w:val="24"/>
        </w:rPr>
        <w:t>年</w:t>
      </w:r>
      <w:r>
        <w:rPr>
          <w:rFonts w:hint="eastAsia" w:ascii="宋体" w:hAnsi="宋体" w:eastAsia="宋体" w:cs="Times New Roman"/>
          <w:color w:val="000000"/>
          <w:kern w:val="0"/>
          <w:sz w:val="28"/>
          <w:szCs w:val="24"/>
          <w:lang w:val="en-US" w:eastAsia="zh-CN"/>
        </w:rPr>
        <w:t>4</w:t>
      </w:r>
      <w:r>
        <w:rPr>
          <w:rFonts w:hint="eastAsia" w:ascii="宋体" w:hAnsi="宋体" w:eastAsia="宋体" w:cs="Times New Roman"/>
          <w:color w:val="000000"/>
          <w:kern w:val="0"/>
          <w:sz w:val="28"/>
          <w:szCs w:val="24"/>
        </w:rPr>
        <w:t>月</w:t>
      </w:r>
    </w:p>
    <w:p>
      <w:pPr>
        <w:jc w:val="center"/>
        <w:rPr>
          <w:rFonts w:hint="eastAsia" w:ascii="宋体" w:hAnsi="宋体" w:eastAsia="宋体" w:cs="宋体"/>
          <w:b/>
          <w:bCs/>
          <w:i w:val="0"/>
          <w:iCs w:val="0"/>
          <w:color w:val="000000"/>
          <w:sz w:val="32"/>
          <w:szCs w:val="32"/>
          <w:highlight w:val="none"/>
          <w:lang w:val="en-US" w:eastAsia="zh-CN"/>
        </w:rPr>
        <w:sectPr>
          <w:headerReference r:id="rId3" w:type="default"/>
          <w:footerReference r:id="rId4" w:type="even"/>
          <w:pgSz w:w="11906" w:h="16838"/>
          <w:pgMar w:top="1440" w:right="1448" w:bottom="1440" w:left="1638" w:header="851" w:footer="992" w:gutter="0"/>
          <w:pgNumType w:start="1"/>
          <w:cols w:space="1701" w:num="1"/>
          <w:titlePg/>
          <w:docGrid w:linePitch="360" w:charSpace="0"/>
        </w:sectPr>
      </w:pPr>
      <w:r>
        <w:rPr>
          <w:rFonts w:hint="eastAsia" w:ascii="宋体" w:hAnsi="宋体" w:eastAsia="宋体" w:cs="宋体"/>
          <w:bCs/>
          <w:sz w:val="24"/>
          <w:szCs w:val="24"/>
          <w:highlight w:val="none"/>
        </w:rPr>
        <w:t>本项目技术参数、评分标准等经我单位审核，完全符合我单位要求，同意按此文件发布信息。</w:t>
      </w:r>
    </w:p>
    <w:p>
      <w:pPr>
        <w:keepNext/>
        <w:keepLines/>
        <w:adjustRightInd w:val="0"/>
        <w:spacing w:line="360" w:lineRule="auto"/>
        <w:jc w:val="center"/>
        <w:textAlignment w:val="baseline"/>
        <w:outlineLvl w:val="0"/>
        <w:rPr>
          <w:rFonts w:ascii="Times New Roman" w:hAnsi="Times New Roman" w:eastAsia="黑体" w:cs="Times New Roman"/>
          <w:b/>
          <w:kern w:val="44"/>
          <w:sz w:val="36"/>
          <w:szCs w:val="20"/>
        </w:rPr>
      </w:pPr>
      <w:bookmarkStart w:id="0" w:name="_Toc3580"/>
      <w:r>
        <w:rPr>
          <w:rFonts w:hint="eastAsia" w:ascii="Times New Roman" w:hAnsi="宋体" w:eastAsia="黑体" w:cs="Times New Roman"/>
          <w:color w:val="000000"/>
          <w:kern w:val="44"/>
          <w:sz w:val="36"/>
          <w:szCs w:val="20"/>
        </w:rPr>
        <w:t>目     录</w:t>
      </w:r>
      <w:bookmarkEnd w:id="0"/>
    </w:p>
    <w:p>
      <w:pPr>
        <w:tabs>
          <w:tab w:val="right" w:leader="dot" w:pos="9638"/>
        </w:tabs>
        <w:spacing w:line="360" w:lineRule="auto"/>
        <w:rPr>
          <w:rFonts w:ascii="Times New Roman" w:hAnsi="Times New Roman" w:eastAsia="宋体" w:cs="Times New Roman"/>
          <w:bCs/>
          <w:color w:val="000000"/>
          <w:sz w:val="28"/>
          <w:szCs w:val="28"/>
        </w:rPr>
      </w:pPr>
      <w:r>
        <w:rPr>
          <w:rFonts w:hint="eastAsia" w:ascii="Calibri" w:hAnsi="宋体" w:eastAsia="宋体" w:cs="Times New Roman"/>
          <w:b/>
          <w:bCs/>
          <w:i/>
          <w:iCs/>
          <w:color w:val="000000"/>
          <w:sz w:val="28"/>
          <w:szCs w:val="28"/>
        </w:rPr>
        <w:fldChar w:fldCharType="begin"/>
      </w:r>
      <w:r>
        <w:rPr>
          <w:rFonts w:hint="eastAsia" w:ascii="Calibri" w:hAnsi="宋体" w:eastAsia="宋体" w:cs="Times New Roman"/>
          <w:b/>
          <w:bCs/>
          <w:i/>
          <w:iCs/>
          <w:color w:val="000000"/>
          <w:sz w:val="28"/>
          <w:szCs w:val="28"/>
        </w:rPr>
        <w:instrText xml:space="preserve">TOC \o "1-1" \h \u </w:instrText>
      </w:r>
      <w:r>
        <w:rPr>
          <w:rFonts w:hint="eastAsia" w:ascii="Calibri" w:hAnsi="宋体" w:eastAsia="宋体" w:cs="Times New Roman"/>
          <w:b/>
          <w:bCs/>
          <w:i/>
          <w:iCs/>
          <w:color w:val="000000"/>
          <w:sz w:val="28"/>
          <w:szCs w:val="28"/>
        </w:rPr>
        <w:fldChar w:fldCharType="separate"/>
      </w:r>
      <w:r>
        <w:fldChar w:fldCharType="begin"/>
      </w:r>
      <w:r>
        <w:instrText xml:space="preserve"> HYPERLINK \l "_Toc15864" </w:instrText>
      </w:r>
      <w:r>
        <w:fldChar w:fldCharType="separate"/>
      </w:r>
      <w:r>
        <w:rPr>
          <w:rFonts w:ascii="Times New Roman" w:hAnsi="Times New Roman" w:eastAsia="宋体" w:cs="Times New Roman"/>
          <w:bCs/>
          <w:color w:val="000000"/>
          <w:sz w:val="28"/>
          <w:szCs w:val="28"/>
        </w:rPr>
        <w:t>第一章  投标邀请</w:t>
      </w:r>
      <w:r>
        <w:rPr>
          <w:rFonts w:ascii="Times New Roman" w:hAnsi="Times New Roman" w:eastAsia="宋体" w:cs="Times New Roman"/>
          <w:bCs/>
          <w:color w:val="000000"/>
          <w:sz w:val="28"/>
          <w:szCs w:val="28"/>
        </w:rPr>
        <w:tab/>
      </w:r>
      <w:r>
        <w:rPr>
          <w:rFonts w:ascii="Times New Roman" w:hAnsi="Times New Roman" w:eastAsia="宋体" w:cs="Times New Roman"/>
          <w:bCs/>
          <w:color w:val="000000"/>
          <w:sz w:val="28"/>
          <w:szCs w:val="28"/>
        </w:rPr>
        <w:fldChar w:fldCharType="begin"/>
      </w:r>
      <w:r>
        <w:rPr>
          <w:rFonts w:ascii="Times New Roman" w:hAnsi="Times New Roman" w:eastAsia="宋体" w:cs="Times New Roman"/>
          <w:bCs/>
          <w:color w:val="000000"/>
          <w:sz w:val="28"/>
          <w:szCs w:val="28"/>
        </w:rPr>
        <w:instrText xml:space="preserve"> PAGEREF _Toc15864 </w:instrText>
      </w:r>
      <w:r>
        <w:rPr>
          <w:rFonts w:ascii="Times New Roman" w:hAnsi="Times New Roman" w:eastAsia="宋体" w:cs="Times New Roman"/>
          <w:bCs/>
          <w:color w:val="000000"/>
          <w:sz w:val="28"/>
          <w:szCs w:val="28"/>
        </w:rPr>
        <w:fldChar w:fldCharType="separate"/>
      </w:r>
      <w:r>
        <w:rPr>
          <w:rFonts w:ascii="Times New Roman" w:hAnsi="Times New Roman" w:eastAsia="宋体" w:cs="Times New Roman"/>
          <w:bCs/>
          <w:color w:val="000000"/>
          <w:sz w:val="28"/>
          <w:szCs w:val="28"/>
        </w:rPr>
        <w:t>2</w:t>
      </w:r>
      <w:r>
        <w:rPr>
          <w:rFonts w:ascii="Times New Roman" w:hAnsi="Times New Roman" w:eastAsia="宋体" w:cs="Times New Roman"/>
          <w:bCs/>
          <w:color w:val="000000"/>
          <w:sz w:val="28"/>
          <w:szCs w:val="28"/>
        </w:rPr>
        <w:fldChar w:fldCharType="end"/>
      </w:r>
      <w:r>
        <w:rPr>
          <w:rFonts w:ascii="Times New Roman" w:hAnsi="Times New Roman" w:eastAsia="宋体" w:cs="Times New Roman"/>
          <w:bCs/>
          <w:color w:val="000000"/>
          <w:sz w:val="28"/>
          <w:szCs w:val="28"/>
        </w:rPr>
        <w:fldChar w:fldCharType="end"/>
      </w:r>
    </w:p>
    <w:p>
      <w:pPr>
        <w:tabs>
          <w:tab w:val="right" w:leader="dot" w:pos="9638"/>
        </w:tabs>
        <w:spacing w:line="360" w:lineRule="auto"/>
        <w:rPr>
          <w:rFonts w:ascii="Times New Roman" w:hAnsi="Times New Roman" w:eastAsia="宋体" w:cs="Times New Roman"/>
          <w:bCs/>
          <w:color w:val="000000"/>
          <w:sz w:val="28"/>
          <w:szCs w:val="28"/>
        </w:rPr>
      </w:pPr>
      <w:r>
        <w:fldChar w:fldCharType="begin"/>
      </w:r>
      <w:r>
        <w:instrText xml:space="preserve"> HYPERLINK \l "_Toc21118" </w:instrText>
      </w:r>
      <w:r>
        <w:fldChar w:fldCharType="separate"/>
      </w:r>
      <w:r>
        <w:rPr>
          <w:rFonts w:ascii="Times New Roman" w:hAnsi="Times New Roman" w:eastAsia="宋体" w:cs="Times New Roman"/>
          <w:bCs/>
          <w:color w:val="000000"/>
          <w:sz w:val="28"/>
          <w:szCs w:val="28"/>
        </w:rPr>
        <w:t>第二章  投标人须知</w:t>
      </w:r>
      <w:r>
        <w:rPr>
          <w:rFonts w:ascii="Times New Roman" w:hAnsi="Times New Roman" w:eastAsia="宋体" w:cs="Times New Roman"/>
          <w:bCs/>
          <w:color w:val="000000"/>
          <w:sz w:val="28"/>
          <w:szCs w:val="28"/>
        </w:rPr>
        <w:tab/>
      </w:r>
      <w:r>
        <w:rPr>
          <w:rFonts w:ascii="Times New Roman" w:hAnsi="Times New Roman" w:eastAsia="宋体" w:cs="Times New Roman"/>
          <w:bCs/>
          <w:color w:val="000000"/>
          <w:sz w:val="28"/>
          <w:szCs w:val="28"/>
        </w:rPr>
        <w:fldChar w:fldCharType="begin"/>
      </w:r>
      <w:r>
        <w:rPr>
          <w:rFonts w:ascii="Times New Roman" w:hAnsi="Times New Roman" w:eastAsia="宋体" w:cs="Times New Roman"/>
          <w:bCs/>
          <w:color w:val="000000"/>
          <w:sz w:val="28"/>
          <w:szCs w:val="28"/>
        </w:rPr>
        <w:instrText xml:space="preserve"> PAGEREF _Toc21118 </w:instrText>
      </w:r>
      <w:r>
        <w:rPr>
          <w:rFonts w:ascii="Times New Roman" w:hAnsi="Times New Roman" w:eastAsia="宋体" w:cs="Times New Roman"/>
          <w:bCs/>
          <w:color w:val="000000"/>
          <w:sz w:val="28"/>
          <w:szCs w:val="28"/>
        </w:rPr>
        <w:fldChar w:fldCharType="separate"/>
      </w:r>
      <w:r>
        <w:rPr>
          <w:rFonts w:ascii="Times New Roman" w:hAnsi="Times New Roman" w:eastAsia="宋体" w:cs="Times New Roman"/>
          <w:bCs/>
          <w:color w:val="000000"/>
          <w:sz w:val="28"/>
          <w:szCs w:val="28"/>
        </w:rPr>
        <w:t>7</w:t>
      </w:r>
      <w:r>
        <w:rPr>
          <w:rFonts w:ascii="Times New Roman" w:hAnsi="Times New Roman" w:eastAsia="宋体" w:cs="Times New Roman"/>
          <w:bCs/>
          <w:color w:val="000000"/>
          <w:sz w:val="28"/>
          <w:szCs w:val="28"/>
        </w:rPr>
        <w:fldChar w:fldCharType="end"/>
      </w:r>
      <w:r>
        <w:rPr>
          <w:rFonts w:ascii="Times New Roman" w:hAnsi="Times New Roman" w:eastAsia="宋体" w:cs="Times New Roman"/>
          <w:bCs/>
          <w:color w:val="000000"/>
          <w:sz w:val="28"/>
          <w:szCs w:val="28"/>
        </w:rPr>
        <w:fldChar w:fldCharType="end"/>
      </w:r>
    </w:p>
    <w:p>
      <w:pPr>
        <w:tabs>
          <w:tab w:val="right" w:leader="dot" w:pos="9638"/>
        </w:tabs>
        <w:spacing w:line="360" w:lineRule="auto"/>
        <w:rPr>
          <w:rFonts w:ascii="Times New Roman" w:hAnsi="Times New Roman" w:eastAsia="宋体" w:cs="Times New Roman"/>
          <w:bCs/>
          <w:color w:val="000000"/>
          <w:sz w:val="28"/>
          <w:szCs w:val="28"/>
        </w:rPr>
      </w:pPr>
      <w:r>
        <w:fldChar w:fldCharType="begin"/>
      </w:r>
      <w:r>
        <w:instrText xml:space="preserve"> HYPERLINK \l "_Toc32045" </w:instrText>
      </w:r>
      <w:r>
        <w:fldChar w:fldCharType="separate"/>
      </w:r>
      <w:r>
        <w:rPr>
          <w:rFonts w:ascii="Times New Roman" w:hAnsi="Times New Roman" w:eastAsia="宋体" w:cs="Times New Roman"/>
          <w:bCs/>
          <w:color w:val="000000"/>
          <w:sz w:val="28"/>
          <w:szCs w:val="28"/>
        </w:rPr>
        <w:t>第三章  政府采购合同格式</w:t>
      </w:r>
      <w:r>
        <w:rPr>
          <w:rFonts w:ascii="Times New Roman" w:hAnsi="Times New Roman" w:eastAsia="宋体" w:cs="Times New Roman"/>
          <w:bCs/>
          <w:color w:val="000000"/>
          <w:sz w:val="28"/>
          <w:szCs w:val="28"/>
        </w:rPr>
        <w:tab/>
      </w:r>
      <w:r>
        <w:rPr>
          <w:rFonts w:ascii="Times New Roman" w:hAnsi="Times New Roman" w:eastAsia="宋体" w:cs="Times New Roman"/>
          <w:bCs/>
          <w:color w:val="000000"/>
          <w:sz w:val="28"/>
          <w:szCs w:val="28"/>
        </w:rPr>
        <w:fldChar w:fldCharType="begin"/>
      </w:r>
      <w:r>
        <w:rPr>
          <w:rFonts w:ascii="Times New Roman" w:hAnsi="Times New Roman" w:eastAsia="宋体" w:cs="Times New Roman"/>
          <w:bCs/>
          <w:color w:val="000000"/>
          <w:sz w:val="28"/>
          <w:szCs w:val="28"/>
        </w:rPr>
        <w:instrText xml:space="preserve"> PAGEREF _Toc32045 </w:instrText>
      </w:r>
      <w:r>
        <w:rPr>
          <w:rFonts w:ascii="Times New Roman" w:hAnsi="Times New Roman" w:eastAsia="宋体" w:cs="Times New Roman"/>
          <w:bCs/>
          <w:color w:val="000000"/>
          <w:sz w:val="28"/>
          <w:szCs w:val="28"/>
        </w:rPr>
        <w:fldChar w:fldCharType="separate"/>
      </w:r>
      <w:r>
        <w:rPr>
          <w:rFonts w:ascii="Times New Roman" w:hAnsi="Times New Roman" w:eastAsia="宋体" w:cs="Times New Roman"/>
          <w:bCs/>
          <w:color w:val="000000"/>
          <w:sz w:val="28"/>
          <w:szCs w:val="28"/>
        </w:rPr>
        <w:t>21</w:t>
      </w:r>
      <w:r>
        <w:rPr>
          <w:rFonts w:ascii="Times New Roman" w:hAnsi="Times New Roman" w:eastAsia="宋体" w:cs="Times New Roman"/>
          <w:bCs/>
          <w:color w:val="000000"/>
          <w:sz w:val="28"/>
          <w:szCs w:val="28"/>
        </w:rPr>
        <w:fldChar w:fldCharType="end"/>
      </w:r>
      <w:r>
        <w:rPr>
          <w:rFonts w:ascii="Times New Roman" w:hAnsi="Times New Roman" w:eastAsia="宋体" w:cs="Times New Roman"/>
          <w:bCs/>
          <w:color w:val="000000"/>
          <w:sz w:val="28"/>
          <w:szCs w:val="28"/>
        </w:rPr>
        <w:fldChar w:fldCharType="end"/>
      </w:r>
    </w:p>
    <w:p>
      <w:pPr>
        <w:tabs>
          <w:tab w:val="right" w:leader="dot" w:pos="9638"/>
        </w:tabs>
        <w:spacing w:line="360" w:lineRule="auto"/>
        <w:rPr>
          <w:rFonts w:ascii="Times New Roman" w:hAnsi="Times New Roman" w:eastAsia="宋体" w:cs="Times New Roman"/>
          <w:bCs/>
          <w:color w:val="000000"/>
          <w:sz w:val="28"/>
          <w:szCs w:val="28"/>
        </w:rPr>
      </w:pPr>
      <w:r>
        <w:fldChar w:fldCharType="begin"/>
      </w:r>
      <w:r>
        <w:instrText xml:space="preserve"> HYPERLINK \l "_Toc841" </w:instrText>
      </w:r>
      <w:r>
        <w:fldChar w:fldCharType="separate"/>
      </w:r>
      <w:r>
        <w:rPr>
          <w:rFonts w:ascii="Times New Roman" w:hAnsi="Times New Roman" w:eastAsia="宋体" w:cs="Times New Roman"/>
          <w:bCs/>
          <w:color w:val="000000"/>
          <w:sz w:val="28"/>
          <w:szCs w:val="28"/>
        </w:rPr>
        <w:t>第四章</w:t>
      </w:r>
      <w:r>
        <w:rPr>
          <w:rFonts w:hint="eastAsia" w:ascii="Times New Roman" w:hAnsi="Times New Roman" w:eastAsia="宋体" w:cs="Times New Roman"/>
          <w:bCs/>
          <w:color w:val="000000"/>
          <w:sz w:val="28"/>
          <w:szCs w:val="28"/>
        </w:rPr>
        <w:t xml:space="preserve">  </w:t>
      </w:r>
      <w:r>
        <w:rPr>
          <w:rFonts w:ascii="Times New Roman" w:hAnsi="Times New Roman" w:eastAsia="宋体" w:cs="Times New Roman"/>
          <w:bCs/>
          <w:color w:val="000000"/>
          <w:sz w:val="28"/>
          <w:szCs w:val="28"/>
        </w:rPr>
        <w:t>投标文件格式</w:t>
      </w:r>
      <w:r>
        <w:rPr>
          <w:rFonts w:ascii="Times New Roman" w:hAnsi="Times New Roman" w:eastAsia="宋体" w:cs="Times New Roman"/>
          <w:bCs/>
          <w:color w:val="000000"/>
          <w:sz w:val="28"/>
          <w:szCs w:val="28"/>
        </w:rPr>
        <w:tab/>
      </w:r>
      <w:r>
        <w:rPr>
          <w:rFonts w:ascii="Times New Roman" w:hAnsi="Times New Roman" w:eastAsia="宋体" w:cs="Times New Roman"/>
          <w:bCs/>
          <w:color w:val="000000"/>
          <w:sz w:val="28"/>
          <w:szCs w:val="28"/>
        </w:rPr>
        <w:fldChar w:fldCharType="begin"/>
      </w:r>
      <w:r>
        <w:rPr>
          <w:rFonts w:ascii="Times New Roman" w:hAnsi="Times New Roman" w:eastAsia="宋体" w:cs="Times New Roman"/>
          <w:bCs/>
          <w:color w:val="000000"/>
          <w:sz w:val="28"/>
          <w:szCs w:val="28"/>
        </w:rPr>
        <w:instrText xml:space="preserve"> PAGEREF _Toc841 </w:instrText>
      </w:r>
      <w:r>
        <w:rPr>
          <w:rFonts w:ascii="Times New Roman" w:hAnsi="Times New Roman" w:eastAsia="宋体" w:cs="Times New Roman"/>
          <w:bCs/>
          <w:color w:val="000000"/>
          <w:sz w:val="28"/>
          <w:szCs w:val="28"/>
        </w:rPr>
        <w:fldChar w:fldCharType="separate"/>
      </w:r>
      <w:r>
        <w:rPr>
          <w:rFonts w:ascii="Times New Roman" w:hAnsi="Times New Roman" w:eastAsia="宋体" w:cs="Times New Roman"/>
          <w:bCs/>
          <w:color w:val="000000"/>
          <w:sz w:val="28"/>
          <w:szCs w:val="28"/>
        </w:rPr>
        <w:t>27</w:t>
      </w:r>
      <w:r>
        <w:rPr>
          <w:rFonts w:ascii="Times New Roman" w:hAnsi="Times New Roman" w:eastAsia="宋体" w:cs="Times New Roman"/>
          <w:bCs/>
          <w:color w:val="000000"/>
          <w:sz w:val="28"/>
          <w:szCs w:val="28"/>
        </w:rPr>
        <w:fldChar w:fldCharType="end"/>
      </w:r>
      <w:r>
        <w:rPr>
          <w:rFonts w:ascii="Times New Roman" w:hAnsi="Times New Roman" w:eastAsia="宋体" w:cs="Times New Roman"/>
          <w:bCs/>
          <w:color w:val="000000"/>
          <w:sz w:val="28"/>
          <w:szCs w:val="28"/>
        </w:rPr>
        <w:fldChar w:fldCharType="end"/>
      </w:r>
    </w:p>
    <w:p>
      <w:pPr>
        <w:tabs>
          <w:tab w:val="right" w:leader="dot" w:pos="9638"/>
        </w:tabs>
        <w:spacing w:line="360" w:lineRule="auto"/>
        <w:rPr>
          <w:rFonts w:ascii="Times New Roman" w:hAnsi="Times New Roman" w:eastAsia="宋体" w:cs="Times New Roman"/>
          <w:bCs/>
          <w:color w:val="000000"/>
          <w:sz w:val="28"/>
          <w:szCs w:val="28"/>
        </w:rPr>
      </w:pPr>
      <w:r>
        <w:fldChar w:fldCharType="begin"/>
      </w:r>
      <w:r>
        <w:instrText xml:space="preserve"> HYPERLINK \l "_Toc25008" </w:instrText>
      </w:r>
      <w:r>
        <w:fldChar w:fldCharType="separate"/>
      </w:r>
      <w:r>
        <w:rPr>
          <w:rFonts w:ascii="Times New Roman" w:hAnsi="Times New Roman" w:eastAsia="宋体" w:cs="Times New Roman"/>
          <w:bCs/>
          <w:color w:val="000000"/>
          <w:sz w:val="28"/>
          <w:szCs w:val="28"/>
        </w:rPr>
        <w:t>第五章  合同专用条款表</w:t>
      </w:r>
      <w:r>
        <w:rPr>
          <w:rFonts w:ascii="Times New Roman" w:hAnsi="Times New Roman" w:eastAsia="宋体" w:cs="Times New Roman"/>
          <w:bCs/>
          <w:color w:val="000000"/>
          <w:sz w:val="28"/>
          <w:szCs w:val="28"/>
        </w:rPr>
        <w:tab/>
      </w:r>
      <w:r>
        <w:rPr>
          <w:rFonts w:ascii="Times New Roman" w:hAnsi="Times New Roman" w:eastAsia="宋体" w:cs="Times New Roman"/>
          <w:bCs/>
          <w:color w:val="000000"/>
          <w:sz w:val="28"/>
          <w:szCs w:val="28"/>
        </w:rPr>
        <w:fldChar w:fldCharType="begin"/>
      </w:r>
      <w:r>
        <w:rPr>
          <w:rFonts w:ascii="Times New Roman" w:hAnsi="Times New Roman" w:eastAsia="宋体" w:cs="Times New Roman"/>
          <w:bCs/>
          <w:color w:val="000000"/>
          <w:sz w:val="28"/>
          <w:szCs w:val="28"/>
        </w:rPr>
        <w:instrText xml:space="preserve"> PAGEREF _Toc25008 </w:instrText>
      </w:r>
      <w:r>
        <w:rPr>
          <w:rFonts w:ascii="Times New Roman" w:hAnsi="Times New Roman" w:eastAsia="宋体" w:cs="Times New Roman"/>
          <w:bCs/>
          <w:color w:val="000000"/>
          <w:sz w:val="28"/>
          <w:szCs w:val="28"/>
        </w:rPr>
        <w:fldChar w:fldCharType="separate"/>
      </w:r>
      <w:r>
        <w:rPr>
          <w:rFonts w:ascii="Times New Roman" w:hAnsi="Times New Roman" w:eastAsia="宋体" w:cs="Times New Roman"/>
          <w:bCs/>
          <w:color w:val="000000"/>
          <w:sz w:val="28"/>
          <w:szCs w:val="28"/>
        </w:rPr>
        <w:t>43</w:t>
      </w:r>
      <w:r>
        <w:rPr>
          <w:rFonts w:ascii="Times New Roman" w:hAnsi="Times New Roman" w:eastAsia="宋体" w:cs="Times New Roman"/>
          <w:bCs/>
          <w:color w:val="000000"/>
          <w:sz w:val="28"/>
          <w:szCs w:val="28"/>
        </w:rPr>
        <w:fldChar w:fldCharType="end"/>
      </w:r>
      <w:r>
        <w:rPr>
          <w:rFonts w:ascii="Times New Roman" w:hAnsi="Times New Roman" w:eastAsia="宋体" w:cs="Times New Roman"/>
          <w:bCs/>
          <w:color w:val="000000"/>
          <w:sz w:val="28"/>
          <w:szCs w:val="28"/>
        </w:rPr>
        <w:fldChar w:fldCharType="end"/>
      </w:r>
    </w:p>
    <w:p>
      <w:pPr>
        <w:tabs>
          <w:tab w:val="right" w:leader="dot" w:pos="9638"/>
        </w:tabs>
        <w:spacing w:line="360" w:lineRule="auto"/>
        <w:rPr>
          <w:rFonts w:ascii="Times New Roman" w:hAnsi="Times New Roman" w:eastAsia="宋体" w:cs="Times New Roman"/>
          <w:bCs/>
          <w:color w:val="000000"/>
          <w:sz w:val="28"/>
          <w:szCs w:val="28"/>
        </w:rPr>
      </w:pPr>
      <w:r>
        <w:fldChar w:fldCharType="begin"/>
      </w:r>
      <w:r>
        <w:instrText xml:space="preserve"> HYPERLINK \l "_Toc10937" </w:instrText>
      </w:r>
      <w:r>
        <w:fldChar w:fldCharType="separate"/>
      </w:r>
      <w:r>
        <w:rPr>
          <w:rFonts w:ascii="Times New Roman" w:hAnsi="Times New Roman" w:eastAsia="宋体" w:cs="Times New Roman"/>
          <w:bCs/>
          <w:color w:val="000000"/>
          <w:sz w:val="28"/>
          <w:szCs w:val="28"/>
        </w:rPr>
        <w:t>第六章  项目需求</w:t>
      </w:r>
      <w:r>
        <w:rPr>
          <w:rFonts w:ascii="Times New Roman" w:hAnsi="Times New Roman" w:eastAsia="宋体" w:cs="Times New Roman"/>
          <w:bCs/>
          <w:color w:val="000000"/>
          <w:sz w:val="28"/>
          <w:szCs w:val="28"/>
        </w:rPr>
        <w:tab/>
      </w:r>
      <w:r>
        <w:rPr>
          <w:rFonts w:ascii="Times New Roman" w:hAnsi="Times New Roman" w:eastAsia="宋体" w:cs="Times New Roman"/>
          <w:bCs/>
          <w:color w:val="000000"/>
          <w:sz w:val="28"/>
          <w:szCs w:val="28"/>
        </w:rPr>
        <w:fldChar w:fldCharType="begin"/>
      </w:r>
      <w:r>
        <w:rPr>
          <w:rFonts w:ascii="Times New Roman" w:hAnsi="Times New Roman" w:eastAsia="宋体" w:cs="Times New Roman"/>
          <w:bCs/>
          <w:color w:val="000000"/>
          <w:sz w:val="28"/>
          <w:szCs w:val="28"/>
        </w:rPr>
        <w:instrText xml:space="preserve"> PAGEREF _Toc10937 </w:instrText>
      </w:r>
      <w:r>
        <w:rPr>
          <w:rFonts w:ascii="Times New Roman" w:hAnsi="Times New Roman" w:eastAsia="宋体" w:cs="Times New Roman"/>
          <w:bCs/>
          <w:color w:val="000000"/>
          <w:sz w:val="28"/>
          <w:szCs w:val="28"/>
        </w:rPr>
        <w:fldChar w:fldCharType="separate"/>
      </w:r>
      <w:r>
        <w:rPr>
          <w:rFonts w:ascii="Times New Roman" w:hAnsi="Times New Roman" w:eastAsia="宋体" w:cs="Times New Roman"/>
          <w:bCs/>
          <w:color w:val="000000"/>
          <w:sz w:val="28"/>
          <w:szCs w:val="28"/>
        </w:rPr>
        <w:t>44</w:t>
      </w:r>
      <w:r>
        <w:rPr>
          <w:rFonts w:ascii="Times New Roman" w:hAnsi="Times New Roman" w:eastAsia="宋体" w:cs="Times New Roman"/>
          <w:bCs/>
          <w:color w:val="000000"/>
          <w:sz w:val="28"/>
          <w:szCs w:val="28"/>
        </w:rPr>
        <w:fldChar w:fldCharType="end"/>
      </w:r>
      <w:r>
        <w:rPr>
          <w:rFonts w:ascii="Times New Roman" w:hAnsi="Times New Roman" w:eastAsia="宋体" w:cs="Times New Roman"/>
          <w:bCs/>
          <w:color w:val="000000"/>
          <w:sz w:val="28"/>
          <w:szCs w:val="28"/>
        </w:rPr>
        <w:fldChar w:fldCharType="end"/>
      </w:r>
    </w:p>
    <w:p>
      <w:pPr>
        <w:tabs>
          <w:tab w:val="right" w:leader="dot" w:pos="9638"/>
        </w:tabs>
        <w:spacing w:line="360" w:lineRule="auto"/>
        <w:rPr>
          <w:rFonts w:ascii="宋体" w:hAnsi="宋体" w:eastAsia="宋体" w:cs="Times New Roman"/>
          <w:color w:val="000000"/>
          <w:sz w:val="44"/>
          <w:szCs w:val="20"/>
        </w:rPr>
      </w:pPr>
      <w:r>
        <w:fldChar w:fldCharType="begin"/>
      </w:r>
      <w:r>
        <w:instrText xml:space="preserve"> HYPERLINK \l "_Toc16271" </w:instrText>
      </w:r>
      <w:r>
        <w:fldChar w:fldCharType="separate"/>
      </w:r>
      <w:r>
        <w:rPr>
          <w:rFonts w:ascii="Times New Roman" w:hAnsi="Times New Roman" w:eastAsia="宋体" w:cs="Times New Roman"/>
          <w:bCs/>
          <w:color w:val="000000"/>
          <w:sz w:val="28"/>
          <w:szCs w:val="28"/>
        </w:rPr>
        <w:t>第七章  评标办法</w:t>
      </w:r>
      <w:r>
        <w:rPr>
          <w:rFonts w:ascii="Times New Roman" w:hAnsi="Times New Roman" w:eastAsia="宋体" w:cs="Times New Roman"/>
          <w:bCs/>
          <w:color w:val="000000"/>
          <w:sz w:val="28"/>
          <w:szCs w:val="28"/>
        </w:rPr>
        <w:tab/>
      </w:r>
      <w:r>
        <w:rPr>
          <w:rFonts w:ascii="Times New Roman" w:hAnsi="Times New Roman" w:eastAsia="宋体" w:cs="Times New Roman"/>
          <w:bCs/>
          <w:color w:val="000000"/>
          <w:sz w:val="28"/>
          <w:szCs w:val="28"/>
        </w:rPr>
        <w:fldChar w:fldCharType="begin"/>
      </w:r>
      <w:r>
        <w:rPr>
          <w:rFonts w:ascii="Times New Roman" w:hAnsi="Times New Roman" w:eastAsia="宋体" w:cs="Times New Roman"/>
          <w:bCs/>
          <w:color w:val="000000"/>
          <w:sz w:val="28"/>
          <w:szCs w:val="28"/>
        </w:rPr>
        <w:instrText xml:space="preserve"> PAGEREF _Toc16271 </w:instrText>
      </w:r>
      <w:r>
        <w:rPr>
          <w:rFonts w:ascii="Times New Roman" w:hAnsi="Times New Roman" w:eastAsia="宋体" w:cs="Times New Roman"/>
          <w:bCs/>
          <w:color w:val="000000"/>
          <w:sz w:val="28"/>
          <w:szCs w:val="28"/>
        </w:rPr>
        <w:fldChar w:fldCharType="separate"/>
      </w:r>
      <w:r>
        <w:rPr>
          <w:rFonts w:ascii="Times New Roman" w:hAnsi="Times New Roman" w:eastAsia="宋体" w:cs="Times New Roman"/>
          <w:bCs/>
          <w:color w:val="000000"/>
          <w:sz w:val="28"/>
          <w:szCs w:val="28"/>
        </w:rPr>
        <w:t>47</w:t>
      </w:r>
      <w:r>
        <w:rPr>
          <w:rFonts w:ascii="Times New Roman" w:hAnsi="Times New Roman" w:eastAsia="宋体" w:cs="Times New Roman"/>
          <w:bCs/>
          <w:color w:val="000000"/>
          <w:sz w:val="28"/>
          <w:szCs w:val="28"/>
        </w:rPr>
        <w:fldChar w:fldCharType="end"/>
      </w:r>
      <w:r>
        <w:rPr>
          <w:rFonts w:ascii="Times New Roman" w:hAnsi="Times New Roman" w:eastAsia="宋体" w:cs="Times New Roman"/>
          <w:bCs/>
          <w:color w:val="000000"/>
          <w:sz w:val="28"/>
          <w:szCs w:val="28"/>
        </w:rPr>
        <w:fldChar w:fldCharType="end"/>
      </w:r>
      <w:r>
        <w:rPr>
          <w:rFonts w:hint="eastAsia" w:ascii="宋体" w:hAnsi="宋体" w:eastAsia="宋体" w:cs="Times New Roman"/>
          <w:b/>
          <w:bCs/>
          <w:color w:val="000000"/>
          <w:sz w:val="28"/>
          <w:szCs w:val="28"/>
        </w:rPr>
        <w:fldChar w:fldCharType="end"/>
      </w:r>
    </w:p>
    <w:p>
      <w:pPr>
        <w:keepNext/>
        <w:keepLines/>
        <w:adjustRightInd w:val="0"/>
        <w:spacing w:line="360" w:lineRule="auto"/>
        <w:jc w:val="center"/>
        <w:textAlignment w:val="baseline"/>
        <w:outlineLvl w:val="0"/>
        <w:rPr>
          <w:rFonts w:ascii="Times New Roman" w:hAnsi="宋体" w:eastAsia="黑体" w:cs="Times New Roman"/>
          <w:color w:val="000000"/>
          <w:kern w:val="44"/>
          <w:sz w:val="36"/>
          <w:szCs w:val="20"/>
        </w:rPr>
      </w:pPr>
      <w:bookmarkStart w:id="1" w:name="_Toc139966426"/>
      <w:bookmarkStart w:id="2" w:name="_Toc139967210"/>
      <w:r>
        <w:rPr>
          <w:rFonts w:ascii="Times New Roman" w:hAnsi="宋体" w:eastAsia="黑体" w:cs="Times New Roman"/>
          <w:color w:val="000000"/>
          <w:kern w:val="44"/>
          <w:sz w:val="36"/>
          <w:szCs w:val="20"/>
        </w:rPr>
        <w:br w:type="page"/>
      </w:r>
      <w:bookmarkStart w:id="3" w:name="_Toc15864"/>
      <w:bookmarkStart w:id="4" w:name="_Toc513622226"/>
      <w:r>
        <w:rPr>
          <w:rFonts w:hint="eastAsia" w:ascii="Times New Roman" w:hAnsi="宋体" w:eastAsia="黑体" w:cs="Times New Roman"/>
          <w:color w:val="000000"/>
          <w:kern w:val="44"/>
          <w:sz w:val="36"/>
          <w:szCs w:val="20"/>
        </w:rPr>
        <w:t>第一章  投标邀请</w:t>
      </w:r>
      <w:bookmarkEnd w:id="3"/>
      <w:bookmarkEnd w:id="4"/>
    </w:p>
    <w:p>
      <w:pPr>
        <w:spacing w:line="360" w:lineRule="auto"/>
        <w:ind w:firstLine="420" w:firstLineChars="200"/>
        <w:rPr>
          <w:rFonts w:ascii="Times New Roman" w:hAnsi="Times New Roman" w:eastAsia="宋体" w:cs="Times New Roman"/>
          <w:color w:val="000000"/>
          <w:szCs w:val="24"/>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shd w:val="clear" w:color="auto" w:fill="auto"/>
          </w:tcPr>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项目概况</w:t>
            </w:r>
          </w:p>
          <w:p>
            <w:pPr>
              <w:spacing w:line="360" w:lineRule="auto"/>
              <w:ind w:firstLine="480" w:firstLineChars="200"/>
              <w:rPr>
                <w:rFonts w:ascii="宋体" w:hAnsi="宋体" w:eastAsia="宋体" w:cs="Times New Roman"/>
                <w:color w:val="000000"/>
                <w:szCs w:val="24"/>
              </w:rPr>
            </w:pPr>
            <w:r>
              <w:rPr>
                <w:rFonts w:hint="eastAsia" w:ascii="宋体" w:hAnsi="宋体" w:eastAsia="宋体" w:cs="宋体"/>
                <w:color w:val="000000"/>
                <w:sz w:val="24"/>
                <w:szCs w:val="24"/>
                <w:highlight w:val="none"/>
                <w:u w:val="single"/>
                <w:lang w:val="en-US" w:eastAsia="zh-CN"/>
              </w:rPr>
              <w:t>西盐河绿化提档升级工程苗木采购</w:t>
            </w:r>
            <w:r>
              <w:rPr>
                <w:rFonts w:hint="eastAsia" w:ascii="宋体" w:hAnsi="宋体" w:eastAsia="宋体" w:cs="Times New Roman"/>
                <w:color w:val="000000"/>
                <w:sz w:val="24"/>
                <w:szCs w:val="24"/>
              </w:rPr>
              <w:t>招标项目的潜在投标人应在</w:t>
            </w:r>
            <w:r>
              <w:rPr>
                <w:rFonts w:hint="eastAsia" w:asciiTheme="majorEastAsia" w:hAnsiTheme="majorEastAsia" w:eastAsiaTheme="majorEastAsia" w:cstheme="minorEastAsia"/>
                <w:b/>
                <w:bCs/>
                <w:color w:val="auto"/>
                <w:kern w:val="0"/>
                <w:sz w:val="24"/>
                <w:u w:val="single"/>
                <w:lang w:bidi="ar"/>
              </w:rPr>
              <w:t>江苏政府采购网“苏采云系统”内</w:t>
            </w:r>
            <w:r>
              <w:rPr>
                <w:rFonts w:hint="eastAsia" w:ascii="宋体" w:hAnsi="宋体" w:eastAsia="宋体" w:cs="Times New Roman"/>
                <w:color w:val="000000"/>
                <w:sz w:val="24"/>
                <w:szCs w:val="24"/>
              </w:rPr>
              <w:t>获取招标文件，并于</w:t>
            </w:r>
            <w:r>
              <w:rPr>
                <w:rFonts w:hint="eastAsia" w:ascii="宋体" w:hAnsi="宋体" w:eastAsia="宋体" w:cs="Times New Roman"/>
                <w:b/>
                <w:bCs/>
                <w:sz w:val="24"/>
                <w:szCs w:val="24"/>
                <w:u w:val="single"/>
                <w:lang w:val="en-US" w:eastAsia="zh-CN"/>
              </w:rPr>
              <w:t>2024</w:t>
            </w:r>
            <w:r>
              <w:rPr>
                <w:rFonts w:hint="eastAsia" w:ascii="宋体" w:hAnsi="宋体" w:eastAsia="宋体" w:cs="Times New Roman"/>
                <w:b/>
                <w:bCs/>
                <w:sz w:val="24"/>
                <w:szCs w:val="24"/>
                <w:u w:val="single"/>
              </w:rPr>
              <w:t>年</w:t>
            </w:r>
            <w:r>
              <w:rPr>
                <w:rFonts w:hint="eastAsia" w:ascii="宋体" w:hAnsi="宋体" w:eastAsia="宋体" w:cs="Times New Roman"/>
                <w:b/>
                <w:bCs/>
                <w:sz w:val="24"/>
                <w:szCs w:val="24"/>
                <w:u w:val="single"/>
                <w:lang w:val="en-US" w:eastAsia="zh-CN"/>
              </w:rPr>
              <w:t>4</w:t>
            </w:r>
            <w:r>
              <w:rPr>
                <w:rFonts w:hint="eastAsia" w:ascii="宋体" w:hAnsi="宋体" w:eastAsia="宋体" w:cs="Times New Roman"/>
                <w:b/>
                <w:bCs/>
                <w:sz w:val="24"/>
                <w:szCs w:val="24"/>
                <w:u w:val="single"/>
              </w:rPr>
              <w:t>月</w:t>
            </w:r>
            <w:r>
              <w:rPr>
                <w:rFonts w:hint="eastAsia" w:ascii="宋体" w:hAnsi="宋体" w:eastAsia="宋体" w:cs="Times New Roman"/>
                <w:b/>
                <w:bCs/>
                <w:sz w:val="24"/>
                <w:szCs w:val="24"/>
                <w:u w:val="single"/>
                <w:lang w:val="en-US" w:eastAsia="zh-CN"/>
              </w:rPr>
              <w:t>30</w:t>
            </w:r>
            <w:r>
              <w:rPr>
                <w:rFonts w:hint="eastAsia" w:ascii="宋体" w:hAnsi="宋体" w:eastAsia="宋体" w:cs="Times New Roman"/>
                <w:b/>
                <w:bCs/>
                <w:sz w:val="24"/>
                <w:szCs w:val="24"/>
                <w:u w:val="single"/>
              </w:rPr>
              <w:t>日</w:t>
            </w:r>
            <w:r>
              <w:rPr>
                <w:rFonts w:hint="eastAsia" w:ascii="宋体" w:hAnsi="宋体" w:eastAsia="宋体" w:cs="Times New Roman"/>
                <w:b/>
                <w:bCs/>
                <w:sz w:val="24"/>
                <w:szCs w:val="24"/>
                <w:u w:val="single"/>
                <w:lang w:val="en-US" w:eastAsia="zh-CN"/>
              </w:rPr>
              <w:t>10</w:t>
            </w:r>
            <w:r>
              <w:rPr>
                <w:rFonts w:hint="eastAsia" w:ascii="宋体" w:hAnsi="宋体" w:eastAsia="宋体" w:cs="Times New Roman"/>
                <w:b/>
                <w:bCs/>
                <w:sz w:val="24"/>
                <w:szCs w:val="24"/>
                <w:u w:val="single"/>
              </w:rPr>
              <w:t>点</w:t>
            </w:r>
            <w:r>
              <w:rPr>
                <w:rFonts w:hint="eastAsia" w:ascii="宋体" w:hAnsi="宋体" w:eastAsia="宋体" w:cs="Times New Roman"/>
                <w:b/>
                <w:bCs/>
                <w:sz w:val="24"/>
                <w:szCs w:val="24"/>
                <w:u w:val="single"/>
                <w:lang w:val="en-US" w:eastAsia="zh-CN"/>
              </w:rPr>
              <w:t>30</w:t>
            </w:r>
            <w:r>
              <w:rPr>
                <w:rFonts w:hint="eastAsia" w:ascii="宋体" w:hAnsi="宋体" w:eastAsia="宋体" w:cs="Times New Roman"/>
                <w:b/>
                <w:bCs/>
                <w:sz w:val="24"/>
                <w:szCs w:val="24"/>
                <w:u w:val="single"/>
              </w:rPr>
              <w:t>分00秒</w:t>
            </w:r>
            <w:r>
              <w:rPr>
                <w:rFonts w:hint="eastAsia" w:ascii="宋体" w:hAnsi="宋体" w:eastAsia="宋体" w:cs="Times New Roman"/>
                <w:color w:val="000000"/>
                <w:sz w:val="24"/>
                <w:szCs w:val="24"/>
              </w:rPr>
              <w:t>（北京时间）前</w:t>
            </w:r>
            <w:r>
              <w:rPr>
                <w:rFonts w:hint="eastAsia" w:ascii="宋体" w:hAnsi="宋体" w:eastAsia="宋体" w:cs="Times New Roman"/>
                <w:b/>
                <w:color w:val="FF0000"/>
                <w:sz w:val="24"/>
                <w:szCs w:val="24"/>
              </w:rPr>
              <w:t>上传电子投标文件</w:t>
            </w:r>
            <w:r>
              <w:rPr>
                <w:rFonts w:hint="eastAsia" w:ascii="宋体" w:hAnsi="宋体" w:eastAsia="宋体" w:cs="Times New Roman"/>
                <w:color w:val="000000"/>
                <w:sz w:val="24"/>
                <w:szCs w:val="24"/>
              </w:rPr>
              <w:t>。</w:t>
            </w:r>
          </w:p>
        </w:tc>
      </w:tr>
    </w:tbl>
    <w:p>
      <w:pPr>
        <w:keepNext/>
        <w:spacing w:line="360" w:lineRule="auto"/>
        <w:textAlignment w:val="baseline"/>
        <w:outlineLvl w:val="1"/>
        <w:rPr>
          <w:rFonts w:hint="eastAsia" w:ascii="Times New Roman" w:hAnsi="Times New Roman" w:eastAsia="黑体" w:cs="Times New Roman"/>
          <w:b/>
          <w:color w:val="000000"/>
          <w:kern w:val="0"/>
          <w:sz w:val="28"/>
          <w:szCs w:val="20"/>
        </w:rPr>
      </w:pPr>
    </w:p>
    <w:p>
      <w:pPr>
        <w:keepNext/>
        <w:spacing w:line="360" w:lineRule="auto"/>
        <w:textAlignment w:val="baseline"/>
        <w:outlineLvl w:val="1"/>
        <w:rPr>
          <w:rFonts w:ascii="Times New Roman" w:hAnsi="Times New Roman" w:eastAsia="黑体" w:cs="Times New Roman"/>
          <w:b/>
          <w:color w:val="000000"/>
          <w:kern w:val="0"/>
          <w:sz w:val="28"/>
          <w:szCs w:val="20"/>
        </w:rPr>
      </w:pPr>
      <w:r>
        <w:rPr>
          <w:rFonts w:hint="eastAsia" w:ascii="Times New Roman" w:hAnsi="Times New Roman" w:eastAsia="黑体" w:cs="Times New Roman"/>
          <w:b/>
          <w:color w:val="000000"/>
          <w:kern w:val="0"/>
          <w:sz w:val="28"/>
          <w:szCs w:val="20"/>
        </w:rPr>
        <w:t>一、项目基本情况</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宋体" w:hAnsi="宋体" w:eastAsia="宋体" w:cs="宋体"/>
          <w:color w:val="000000"/>
          <w:sz w:val="24"/>
          <w:szCs w:val="24"/>
          <w:highlight w:val="none"/>
          <w:lang w:val="en-US" w:eastAsia="zh-CN"/>
        </w:rPr>
      </w:pPr>
      <w:r>
        <w:rPr>
          <w:rFonts w:hint="eastAsia" w:ascii="宋体" w:hAnsi="宋体" w:eastAsia="宋体" w:cs="Times New Roman"/>
          <w:color w:val="000000"/>
          <w:sz w:val="24"/>
          <w:szCs w:val="24"/>
        </w:rPr>
        <w:t>标段编号：</w:t>
      </w:r>
      <w:r>
        <w:rPr>
          <w:rFonts w:hint="eastAsia" w:ascii="宋体" w:hAnsi="宋体" w:eastAsia="宋体" w:cs="宋体"/>
          <w:color w:val="000000"/>
          <w:sz w:val="24"/>
          <w:szCs w:val="24"/>
          <w:highlight w:val="none"/>
          <w:lang w:val="en-US" w:eastAsia="zh-CN"/>
        </w:rPr>
        <w:t>JSZC-320706-BHXM-G2024-0003</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rPr>
        <w:t>标段名称：</w:t>
      </w:r>
      <w:r>
        <w:rPr>
          <w:rFonts w:hint="eastAsia" w:ascii="宋体" w:hAnsi="宋体" w:eastAsia="宋体" w:cs="宋体"/>
          <w:color w:val="000000"/>
          <w:sz w:val="24"/>
          <w:szCs w:val="24"/>
          <w:highlight w:val="none"/>
          <w:lang w:val="en-US" w:eastAsia="zh-CN"/>
        </w:rPr>
        <w:t>西盐河绿化提档升级工程苗木采购</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预算金额：</w:t>
      </w:r>
      <w:r>
        <w:rPr>
          <w:rFonts w:hint="eastAsia" w:ascii="宋体" w:hAnsi="宋体" w:eastAsia="宋体" w:cs="Times New Roman"/>
          <w:b/>
          <w:bCs/>
          <w:color w:val="auto"/>
          <w:sz w:val="24"/>
          <w:szCs w:val="24"/>
          <w:lang w:val="en-US" w:eastAsia="zh-CN"/>
        </w:rPr>
        <w:t>98万元，投标报</w:t>
      </w:r>
      <w:r>
        <w:rPr>
          <w:rFonts w:hint="eastAsia" w:ascii="宋体" w:hAnsi="宋体" w:eastAsia="宋体" w:cs="宋体"/>
          <w:b/>
          <w:bCs/>
          <w:color w:val="auto"/>
          <w:sz w:val="24"/>
          <w:szCs w:val="24"/>
          <w:highlight w:val="none"/>
          <w:lang w:val="en-US" w:eastAsia="zh-CN"/>
        </w:rPr>
        <w:t>价超过预算</w:t>
      </w:r>
      <w:r>
        <w:rPr>
          <w:rFonts w:hint="eastAsia" w:ascii="宋体" w:hAnsi="宋体" w:eastAsia="宋体" w:cs="Times New Roman"/>
          <w:b/>
          <w:bCs/>
          <w:color w:val="auto"/>
          <w:sz w:val="24"/>
          <w:szCs w:val="24"/>
        </w:rPr>
        <w:t>金额的投标无效</w:t>
      </w:r>
      <w:r>
        <w:rPr>
          <w:rFonts w:hint="eastAsia" w:ascii="宋体" w:hAnsi="宋体" w:eastAsia="宋体" w:cs="Times New Roman"/>
          <w:color w:val="000000"/>
          <w:sz w:val="24"/>
          <w:szCs w:val="24"/>
        </w:rPr>
        <w:t>。</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最高限价：98万元，投标报价超过最高限价的作无效标处理。</w:t>
      </w:r>
    </w:p>
    <w:p>
      <w:pPr>
        <w:keepNext w:val="0"/>
        <w:keepLines w:val="0"/>
        <w:pageBreakBefore w:val="0"/>
        <w:widowControl w:val="0"/>
        <w:kinsoku/>
        <w:wordWrap/>
        <w:overflowPunct/>
        <w:topLinePunct w:val="0"/>
        <w:autoSpaceDE/>
        <w:autoSpaceDN/>
        <w:bidi w:val="0"/>
        <w:spacing w:line="480" w:lineRule="exact"/>
        <w:ind w:firstLine="420"/>
        <w:textAlignment w:val="auto"/>
        <w:rPr>
          <w:rFonts w:hint="eastAsia" w:ascii="宋体" w:hAnsi="宋体" w:eastAsia="宋体" w:cs="Times New Roman"/>
          <w:color w:val="000000"/>
          <w:sz w:val="24"/>
          <w:szCs w:val="24"/>
        </w:rPr>
      </w:pPr>
      <w:r>
        <w:rPr>
          <w:rFonts w:hint="eastAsia" w:ascii="宋体" w:hAnsi="宋体" w:eastAsia="宋体" w:cs="Times New Roman"/>
          <w:color w:val="000000"/>
          <w:sz w:val="24"/>
          <w:szCs w:val="24"/>
          <w:highlight w:val="none"/>
        </w:rPr>
        <w:t>采购需求：</w:t>
      </w:r>
      <w:r>
        <w:rPr>
          <w:rFonts w:hint="eastAsia" w:ascii="宋体" w:hAnsi="宋体" w:eastAsia="宋体" w:cs="Times New Roman"/>
          <w:color w:val="000000"/>
          <w:sz w:val="24"/>
          <w:szCs w:val="24"/>
          <w:highlight w:val="none"/>
          <w:lang w:val="en-US" w:eastAsia="zh-CN"/>
        </w:rPr>
        <w:t>按照采购人及招标文件要求进行苗木采购，详见招标文件项目需求</w:t>
      </w:r>
      <w:r>
        <w:rPr>
          <w:rFonts w:hint="eastAsia" w:ascii="宋体" w:hAnsi="宋体" w:eastAsia="宋体" w:cs="Times New Roman"/>
          <w:color w:val="00000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ascii="宋体" w:hAnsi="宋体" w:eastAsia="宋体" w:cs="Times New Roman"/>
          <w:color w:val="000000"/>
          <w:sz w:val="24"/>
          <w:szCs w:val="24"/>
        </w:rPr>
      </w:pPr>
      <w:r>
        <w:rPr>
          <w:rFonts w:hint="eastAsia" w:ascii="宋体" w:hAnsi="宋体" w:eastAsia="宋体" w:cs="Times New Roman"/>
          <w:b/>
          <w:bCs/>
          <w:color w:val="000000"/>
          <w:sz w:val="24"/>
          <w:szCs w:val="24"/>
        </w:rPr>
        <w:t>对项目采购需求部分的询问、质疑请与采购人联系，由采购人负责答复。</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olor w:val="000000"/>
          <w:sz w:val="24"/>
          <w:lang w:eastAsia="zh-CN"/>
        </w:rPr>
      </w:pPr>
      <w:r>
        <w:rPr>
          <w:rFonts w:hint="eastAsia" w:ascii="宋体" w:hAnsi="宋体" w:eastAsia="宋体" w:cs="Times New Roman"/>
          <w:color w:val="000000"/>
          <w:sz w:val="24"/>
          <w:szCs w:val="24"/>
          <w:highlight w:val="none"/>
          <w:lang w:val="en-US" w:eastAsia="zh-CN"/>
        </w:rPr>
        <w:t>供货要求</w:t>
      </w:r>
      <w:r>
        <w:rPr>
          <w:rFonts w:hint="eastAsia" w:ascii="宋体" w:hAnsi="宋体" w:eastAsia="宋体" w:cs="Times New Roman"/>
          <w:color w:val="000000"/>
          <w:sz w:val="24"/>
          <w:szCs w:val="24"/>
          <w:highlight w:val="none"/>
        </w:rPr>
        <w:t>：</w:t>
      </w:r>
      <w:r>
        <w:rPr>
          <w:rFonts w:hint="eastAsia" w:ascii="宋体" w:hAnsi="宋体" w:cs="宋体"/>
          <w:color w:val="auto"/>
          <w:sz w:val="24"/>
          <w:highlight w:val="none"/>
          <w:lang w:val="en-US" w:eastAsia="zh-CN"/>
        </w:rPr>
        <w:t>接到采购方通知后的</w:t>
      </w:r>
      <w:r>
        <w:rPr>
          <w:rFonts w:hint="eastAsia" w:ascii="宋体" w:hAnsi="宋体" w:cs="宋体"/>
          <w:b/>
          <w:bCs/>
          <w:color w:val="FF0000"/>
          <w:sz w:val="24"/>
          <w:highlight w:val="none"/>
          <w:lang w:val="en-US" w:eastAsia="zh-CN"/>
        </w:rPr>
        <w:t>45日内</w:t>
      </w:r>
      <w:r>
        <w:rPr>
          <w:rFonts w:hint="eastAsia" w:ascii="宋体" w:hAnsi="宋体" w:cs="宋体"/>
          <w:color w:val="auto"/>
          <w:sz w:val="24"/>
          <w:highlight w:val="none"/>
          <w:lang w:eastAsia="zh-CN"/>
        </w:rPr>
        <w:t>将所</w:t>
      </w:r>
      <w:r>
        <w:rPr>
          <w:rFonts w:hint="eastAsia" w:ascii="宋体" w:hAnsi="宋体" w:cs="宋体"/>
          <w:sz w:val="24"/>
          <w:highlight w:val="none"/>
          <w:lang w:eastAsia="zh-CN"/>
        </w:rPr>
        <w:t>有苗木送到指定地点并放入树塘，同时负责苗木的修剪和支架支撑，以及苗木的保鲜工作（遮挡和散水）</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Times New Roman"/>
          <w:b/>
          <w:bCs/>
          <w:color w:val="000000"/>
          <w:sz w:val="24"/>
          <w:szCs w:val="24"/>
          <w:lang w:val="en-US" w:eastAsia="zh-CN"/>
        </w:rPr>
      </w:pPr>
      <w:r>
        <w:rPr>
          <w:rFonts w:hint="eastAsia" w:ascii="宋体" w:hAnsi="宋体"/>
          <w:color w:val="000000"/>
          <w:sz w:val="24"/>
          <w:lang w:val="en-US" w:eastAsia="zh-CN"/>
        </w:rPr>
        <w:t>验收标准：</w:t>
      </w:r>
      <w:r>
        <w:rPr>
          <w:rFonts w:hint="eastAsia" w:ascii="宋体" w:hAnsi="宋体" w:eastAsia="宋体" w:cs="Times New Roman"/>
          <w:b/>
          <w:bCs/>
          <w:color w:val="000000"/>
          <w:sz w:val="24"/>
          <w:szCs w:val="24"/>
        </w:rPr>
        <w:t>苗木成活率达</w:t>
      </w:r>
      <w:r>
        <w:rPr>
          <w:rFonts w:hint="eastAsia" w:ascii="宋体" w:hAnsi="宋体" w:eastAsia="宋体" w:cs="Times New Roman"/>
          <w:b/>
          <w:bCs/>
          <w:color w:val="auto"/>
          <w:sz w:val="24"/>
          <w:szCs w:val="24"/>
          <w:highlight w:val="none"/>
          <w:lang w:val="en-US" w:eastAsia="zh-CN"/>
        </w:rPr>
        <w:t>100</w:t>
      </w:r>
      <w:r>
        <w:rPr>
          <w:rFonts w:hint="eastAsia" w:ascii="宋体" w:hAnsi="宋体" w:eastAsia="宋体" w:cs="Times New Roman"/>
          <w:b/>
          <w:bCs/>
          <w:color w:val="auto"/>
          <w:sz w:val="24"/>
          <w:szCs w:val="24"/>
          <w:highlight w:val="none"/>
        </w:rPr>
        <w:t>%以上</w:t>
      </w:r>
      <w:r>
        <w:rPr>
          <w:rFonts w:hint="eastAsia" w:ascii="宋体" w:hAnsi="宋体" w:eastAsia="宋体" w:cs="Times New Roman"/>
          <w:b/>
          <w:bCs/>
          <w:color w:val="000000"/>
          <w:sz w:val="24"/>
          <w:szCs w:val="24"/>
          <w:lang w:val="en-US" w:eastAsia="zh-CN"/>
        </w:rPr>
        <w:t>；</w:t>
      </w:r>
      <w:r>
        <w:rPr>
          <w:rFonts w:hint="eastAsia" w:ascii="宋体" w:hAnsi="宋体" w:eastAsia="宋体" w:cs="Times New Roman"/>
          <w:b/>
          <w:bCs/>
          <w:color w:val="000000"/>
          <w:sz w:val="24"/>
          <w:szCs w:val="24"/>
        </w:rPr>
        <w:t>苗木品种纯正，无病虫害，无机械损伤，</w:t>
      </w:r>
      <w:r>
        <w:rPr>
          <w:rFonts w:hint="eastAsia" w:ascii="宋体" w:hAnsi="宋体" w:eastAsia="宋体" w:cs="Times New Roman"/>
          <w:b/>
          <w:bCs/>
          <w:color w:val="000000"/>
          <w:sz w:val="24"/>
          <w:szCs w:val="24"/>
          <w:lang w:val="en-US" w:eastAsia="zh-CN"/>
        </w:rPr>
        <w:t>土球符合规范要求，土球保证完整，无破损。苗木到现场后甲方根据招标文件及国家行业标准进行验收，如果苗木验收不符合要求，投标人应及时更换苗木，所需的苗木运输费、包装费、规费、税金等一切费用由投标人承担；</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ascii="宋体" w:hAnsi="宋体" w:eastAsia="宋体" w:cs="Times New Roman"/>
          <w:color w:val="000000"/>
          <w:sz w:val="24"/>
          <w:szCs w:val="24"/>
        </w:rPr>
      </w:pPr>
      <w:r>
        <w:rPr>
          <w:rFonts w:hint="eastAsia" w:ascii="宋体" w:hAnsi="宋体" w:eastAsia="宋体" w:cs="Times New Roman"/>
          <w:color w:val="000000"/>
          <w:sz w:val="24"/>
          <w:szCs w:val="24"/>
        </w:rPr>
        <w:t>本项目</w:t>
      </w:r>
      <w:r>
        <w:rPr>
          <w:rFonts w:hint="eastAsia" w:ascii="宋体" w:hAnsi="宋体" w:eastAsia="宋体" w:cs="Times New Roman"/>
          <w:sz w:val="24"/>
          <w:szCs w:val="24"/>
        </w:rPr>
        <w:t>（是/否√）</w:t>
      </w:r>
      <w:r>
        <w:rPr>
          <w:rFonts w:hint="eastAsia" w:ascii="宋体" w:hAnsi="宋体" w:eastAsia="宋体" w:cs="Times New Roman"/>
          <w:color w:val="000000"/>
          <w:sz w:val="24"/>
          <w:szCs w:val="24"/>
        </w:rPr>
        <w:t>接受联合体投标。</w:t>
      </w:r>
    </w:p>
    <w:p>
      <w:pPr>
        <w:keepNext/>
        <w:spacing w:line="360" w:lineRule="auto"/>
        <w:textAlignment w:val="baseline"/>
        <w:outlineLvl w:val="1"/>
        <w:rPr>
          <w:rFonts w:ascii="Times New Roman" w:hAnsi="Times New Roman" w:eastAsia="黑体" w:cs="Times New Roman"/>
          <w:b/>
          <w:color w:val="000000"/>
          <w:kern w:val="0"/>
          <w:sz w:val="28"/>
          <w:szCs w:val="20"/>
        </w:rPr>
      </w:pPr>
      <w:r>
        <w:rPr>
          <w:rFonts w:hint="eastAsia" w:ascii="Times New Roman" w:hAnsi="Times New Roman" w:eastAsia="黑体" w:cs="Times New Roman"/>
          <w:b/>
          <w:color w:val="000000"/>
          <w:kern w:val="0"/>
          <w:sz w:val="28"/>
          <w:szCs w:val="20"/>
        </w:rPr>
        <w:t>二、申请人的资格要求</w:t>
      </w:r>
    </w:p>
    <w:p>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1.满足《中华人民共和国政府采购法》第二十二条规定，提供下列材料：</w:t>
      </w:r>
    </w:p>
    <w:p>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（1）法人或者其他组织的营业执照等证明文件，自然人的身份证明；</w:t>
      </w:r>
    </w:p>
    <w:p>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eastAsia="宋体" w:cs="Times New Roman"/>
          <w:kern w:val="0"/>
          <w:sz w:val="24"/>
          <w:szCs w:val="24"/>
          <w:highlight w:val="none"/>
        </w:rPr>
        <w:t>202</w:t>
      </w:r>
      <w:r>
        <w:rPr>
          <w:rFonts w:hint="eastAsia" w:ascii="宋体" w:hAnsi="宋体" w:eastAsia="宋体" w:cs="Times New Roman"/>
          <w:kern w:val="0"/>
          <w:sz w:val="24"/>
          <w:szCs w:val="24"/>
          <w:highlight w:val="none"/>
          <w:lang w:val="en-US" w:eastAsia="zh-CN"/>
        </w:rPr>
        <w:t>2</w:t>
      </w:r>
      <w:r>
        <w:rPr>
          <w:rFonts w:hint="eastAsia" w:ascii="宋体" w:hAnsi="宋体" w:eastAsia="宋体" w:cs="Times New Roman"/>
          <w:kern w:val="0"/>
          <w:sz w:val="24"/>
          <w:szCs w:val="24"/>
        </w:rPr>
        <w:t>年度</w:t>
      </w:r>
      <w:r>
        <w:rPr>
          <w:rFonts w:hint="eastAsia" w:ascii="宋体" w:hAnsi="宋体" w:eastAsia="宋体" w:cs="Times New Roman"/>
          <w:kern w:val="0"/>
          <w:sz w:val="24"/>
          <w:szCs w:val="24"/>
          <w:lang w:val="en-US" w:eastAsia="zh-CN"/>
        </w:rPr>
        <w:t>或2023年度</w:t>
      </w:r>
      <w:r>
        <w:rPr>
          <w:rFonts w:hint="eastAsia" w:ascii="宋体" w:hAnsi="宋体" w:eastAsia="宋体" w:cs="Times New Roman"/>
          <w:kern w:val="0"/>
          <w:sz w:val="24"/>
          <w:szCs w:val="24"/>
        </w:rPr>
        <w:t>的财务状况报告或银行出具的资信证明（成立不满一个年度的不需提供</w:t>
      </w:r>
      <w:r>
        <w:rPr>
          <w:rFonts w:ascii="宋体" w:hAnsi="宋体" w:eastAsia="宋体" w:cs="Times New Roman"/>
          <w:kern w:val="0"/>
          <w:sz w:val="24"/>
          <w:szCs w:val="24"/>
        </w:rPr>
        <w:t>）</w:t>
      </w:r>
      <w:r>
        <w:rPr>
          <w:rFonts w:hint="eastAsia" w:ascii="宋体" w:hAnsi="宋体" w:eastAsia="宋体" w:cs="Times New Roman"/>
          <w:sz w:val="24"/>
          <w:szCs w:val="24"/>
        </w:rPr>
        <w:t>；</w:t>
      </w:r>
    </w:p>
    <w:p>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（3）依法缴纳税收和社会保障资金的相关证明材料；</w:t>
      </w:r>
    </w:p>
    <w:p>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（4）具备履行合同所必需的设备和专业技术能力的声明及证明材料；</w:t>
      </w: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（5）参加政府采购活动前三年内在经营活动中没有重大违法记录的书面声明。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480" w:lineRule="exact"/>
        <w:ind w:left="479" w:leftChars="228" w:firstLine="0" w:firstLineChars="0"/>
        <w:textAlignment w:val="auto"/>
        <w:rPr>
          <w:rFonts w:ascii="宋体" w:hAnsi="宋体" w:eastAsia="宋体" w:cs="宋体"/>
          <w:color w:val="auto"/>
          <w:sz w:val="24"/>
          <w:szCs w:val="24"/>
          <w:highlight w:val="none"/>
        </w:rPr>
      </w:pPr>
      <w:r>
        <w:rPr>
          <w:rFonts w:ascii="宋体" w:hAnsi="宋体" w:eastAsia="宋体" w:cs="宋体"/>
          <w:b/>
          <w:bCs/>
          <w:color w:val="auto"/>
          <w:sz w:val="24"/>
          <w:szCs w:val="24"/>
          <w:highlight w:val="none"/>
        </w:rPr>
        <w:t>根据连财购〔2023〕4号文件精神，第（2）、（3）项可以提供《财务状况报告及税收、社会保障资金缴纳情况承诺函》，</w:t>
      </w:r>
      <w:r>
        <w:rPr>
          <w:rFonts w:hint="eastAsia" w:ascii="宋体" w:hAnsi="宋体" w:eastAsia="宋体" w:cs="宋体"/>
          <w:b/>
          <w:bCs/>
          <w:color w:val="auto"/>
          <w:sz w:val="24"/>
          <w:szCs w:val="24"/>
          <w:highlight w:val="none"/>
        </w:rPr>
        <w:t>并上传至电子</w:t>
      </w:r>
      <w:r>
        <w:rPr>
          <w:rFonts w:hint="eastAsia" w:ascii="宋体" w:hAnsi="宋体" w:eastAsia="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rPr>
        <w:t>文件中</w:t>
      </w:r>
      <w:r>
        <w:rPr>
          <w:rFonts w:hint="eastAsia" w:ascii="宋体" w:hAnsi="宋体" w:eastAsia="宋体" w:cs="宋体"/>
          <w:b/>
          <w:bCs/>
          <w:color w:val="auto"/>
          <w:sz w:val="24"/>
          <w:szCs w:val="24"/>
          <w:highlight w:val="none"/>
          <w:lang w:eastAsia="zh-CN"/>
        </w:rPr>
        <w:t>，</w:t>
      </w:r>
      <w:r>
        <w:rPr>
          <w:rFonts w:ascii="宋体" w:hAnsi="宋体" w:eastAsia="宋体" w:cs="宋体"/>
          <w:b/>
          <w:bCs/>
          <w:color w:val="auto"/>
          <w:sz w:val="24"/>
          <w:szCs w:val="24"/>
          <w:highlight w:val="none"/>
        </w:rPr>
        <w:t>详见招标文件</w:t>
      </w:r>
      <w:r>
        <w:rPr>
          <w:rFonts w:hint="eastAsia" w:ascii="宋体" w:hAnsi="宋体" w:eastAsia="宋体" w:cs="宋体"/>
          <w:b/>
          <w:bCs/>
          <w:color w:val="auto"/>
          <w:sz w:val="24"/>
          <w:szCs w:val="24"/>
          <w:highlight w:val="none"/>
        </w:rPr>
        <w:t>第六部分</w:t>
      </w:r>
      <w:r>
        <w:rPr>
          <w:rFonts w:ascii="宋体" w:hAnsi="宋体" w:eastAsia="宋体" w:cs="宋体"/>
          <w:b/>
          <w:bCs/>
          <w:color w:val="auto"/>
          <w:sz w:val="24"/>
          <w:szCs w:val="24"/>
          <w:highlight w:val="none"/>
        </w:rPr>
        <w:t>格式</w:t>
      </w:r>
      <w:r>
        <w:rPr>
          <w:rFonts w:ascii="宋体" w:hAnsi="宋体" w:eastAsia="宋体" w:cs="宋体"/>
          <w:color w:val="auto"/>
          <w:sz w:val="24"/>
          <w:szCs w:val="24"/>
          <w:highlight w:val="none"/>
        </w:rPr>
        <w:t>。</w:t>
      </w:r>
    </w:p>
    <w:p>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eastAsia="宋体" w:cs="Times New Roman"/>
          <w:b/>
          <w:bCs/>
          <w:sz w:val="24"/>
          <w:szCs w:val="24"/>
        </w:rPr>
        <w:t>落实政府采购政策需满足的资格要求</w:t>
      </w:r>
      <w:r>
        <w:rPr>
          <w:rFonts w:hint="eastAsia" w:ascii="宋体" w:hAnsi="宋体" w:eastAsia="宋体" w:cs="Times New Roman"/>
          <w:sz w:val="24"/>
          <w:szCs w:val="24"/>
        </w:rPr>
        <w:t>：</w:t>
      </w:r>
      <w:r>
        <w:rPr>
          <w:rFonts w:hint="eastAsia" w:asciiTheme="majorEastAsia" w:hAnsiTheme="majorEastAsia" w:eastAsiaTheme="majorEastAsia" w:cstheme="minorEastAsia"/>
          <w:b/>
          <w:bCs/>
          <w:color w:val="auto"/>
          <w:kern w:val="0"/>
          <w:sz w:val="24"/>
          <w:lang w:bidi="ar"/>
        </w:rPr>
        <w:t>执行财政部、工业和信息化部关于印发《政府采购促进中小企业发展管理办法》的通知（财库〔2020〕46号）、苏财购[2022]45号，本项目专门面向中小企业采购，符合文件要求的</w:t>
      </w:r>
      <w:r>
        <w:rPr>
          <w:rFonts w:hint="eastAsia" w:asciiTheme="majorEastAsia" w:hAnsiTheme="majorEastAsia" w:eastAsiaTheme="majorEastAsia" w:cstheme="minorEastAsia"/>
          <w:b/>
          <w:bCs/>
          <w:color w:val="auto"/>
          <w:kern w:val="0"/>
          <w:sz w:val="24"/>
          <w:lang w:eastAsia="zh-CN" w:bidi="ar"/>
        </w:rPr>
        <w:t>投标人</w:t>
      </w:r>
      <w:r>
        <w:rPr>
          <w:rFonts w:hint="eastAsia" w:asciiTheme="majorEastAsia" w:hAnsiTheme="majorEastAsia" w:eastAsiaTheme="majorEastAsia" w:cstheme="minorEastAsia"/>
          <w:b/>
          <w:bCs/>
          <w:color w:val="auto"/>
          <w:kern w:val="0"/>
          <w:sz w:val="24"/>
          <w:lang w:bidi="ar"/>
        </w:rPr>
        <w:t>应提交《中小企业声明函》，并上传至电子投标文件中，详见</w:t>
      </w:r>
      <w:r>
        <w:rPr>
          <w:rFonts w:hint="eastAsia" w:asciiTheme="majorEastAsia" w:hAnsiTheme="majorEastAsia" w:eastAsiaTheme="majorEastAsia" w:cstheme="minorEastAsia"/>
          <w:b/>
          <w:bCs/>
          <w:color w:val="auto"/>
          <w:kern w:val="0"/>
          <w:sz w:val="24"/>
          <w:lang w:val="en-US" w:eastAsia="zh-CN" w:bidi="ar"/>
        </w:rPr>
        <w:t>招标</w:t>
      </w:r>
      <w:r>
        <w:rPr>
          <w:rFonts w:hint="eastAsia" w:asciiTheme="majorEastAsia" w:hAnsiTheme="majorEastAsia" w:eastAsiaTheme="majorEastAsia" w:cstheme="minorEastAsia"/>
          <w:b/>
          <w:bCs/>
          <w:color w:val="auto"/>
          <w:kern w:val="0"/>
          <w:sz w:val="24"/>
          <w:lang w:bidi="ar"/>
        </w:rPr>
        <w:t>文件</w:t>
      </w:r>
      <w:r>
        <w:rPr>
          <w:rFonts w:hint="eastAsia" w:ascii="宋体" w:hAnsi="宋体" w:eastAsia="宋体" w:cs="Times New Roman"/>
          <w:sz w:val="24"/>
          <w:szCs w:val="24"/>
        </w:rPr>
        <w:t>。</w:t>
      </w:r>
    </w:p>
    <w:p>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3.本项目的特定资格要求：无。</w:t>
      </w:r>
    </w:p>
    <w:p>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4.本项目的其他资格要求：</w:t>
      </w:r>
    </w:p>
    <w:p>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color w:val="auto"/>
          <w:kern w:val="2"/>
          <w:sz w:val="24"/>
          <w:szCs w:val="28"/>
          <w:highlight w:val="none"/>
          <w:lang w:val="en-US" w:eastAsia="zh-CN" w:bidi="ar-SA"/>
        </w:rPr>
        <w:t>资格审查现场查询时</w:t>
      </w:r>
      <w:r>
        <w:rPr>
          <w:rFonts w:hint="eastAsia" w:ascii="宋体" w:hAnsi="宋体" w:eastAsia="宋体" w:cs="Times New Roman"/>
          <w:sz w:val="24"/>
          <w:szCs w:val="24"/>
        </w:rPr>
        <w:t>，被信用中国、中国政府采购网列入失信被执行人、重大税收违法案件当事人名单、政府采购严重违法失信行为记录名单的</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，拒绝其参与政府采购活动。</w:t>
      </w:r>
    </w:p>
    <w:p>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备注：采购人或采购代理机构通过信用中国网站（www.creditchina.gov.cn）、中国政府采购网（www.ccgp.gov.cn），对</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信用记录情况进行查询，查询结果页面打印留存。</w:t>
      </w:r>
    </w:p>
    <w:p>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（2）本项目不接受进口产品（进口产品是指通过中国海关报关验放进入中国境内且产自关境外的产品），中标后不允许分包或转包。</w:t>
      </w:r>
    </w:p>
    <w:p>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5.法律法规规定的其他条件。</w:t>
      </w:r>
    </w:p>
    <w:p>
      <w:pPr>
        <w:keepNext/>
        <w:spacing w:line="360" w:lineRule="auto"/>
        <w:textAlignment w:val="baseline"/>
        <w:outlineLvl w:val="1"/>
        <w:rPr>
          <w:rFonts w:ascii="Times New Roman" w:hAnsi="Times New Roman" w:eastAsia="黑体" w:cs="Times New Roman"/>
          <w:b/>
          <w:color w:val="000000"/>
          <w:kern w:val="0"/>
          <w:sz w:val="28"/>
          <w:szCs w:val="20"/>
        </w:rPr>
      </w:pPr>
      <w:r>
        <w:rPr>
          <w:rFonts w:hint="eastAsia" w:ascii="Times New Roman" w:hAnsi="Times New Roman" w:eastAsia="黑体" w:cs="Times New Roman"/>
          <w:b/>
          <w:color w:val="000000"/>
          <w:kern w:val="0"/>
          <w:sz w:val="28"/>
          <w:szCs w:val="20"/>
        </w:rPr>
        <w:t>三、获取招标文件</w:t>
      </w:r>
    </w:p>
    <w:p>
      <w:pPr>
        <w:spacing w:line="360" w:lineRule="auto"/>
        <w:ind w:firstLine="480" w:firstLineChars="200"/>
        <w:rPr>
          <w:rFonts w:asciiTheme="majorEastAsia" w:hAnsiTheme="majorEastAsia" w:eastAsiaTheme="majorEastAsia" w:cstheme="minorEastAsia"/>
          <w:color w:val="FF0000"/>
          <w:sz w:val="24"/>
        </w:rPr>
      </w:pPr>
      <w:r>
        <w:rPr>
          <w:rFonts w:hint="eastAsia" w:asciiTheme="majorEastAsia" w:hAnsiTheme="majorEastAsia" w:eastAsiaTheme="majorEastAsia" w:cstheme="minorEastAsia"/>
          <w:color w:val="auto"/>
          <w:sz w:val="24"/>
          <w:lang w:bidi="ar"/>
        </w:rPr>
        <w:t>1.时间：</w:t>
      </w:r>
      <w:r>
        <w:rPr>
          <w:rFonts w:hint="eastAsia" w:asciiTheme="majorEastAsia" w:hAnsiTheme="majorEastAsia" w:eastAsiaTheme="majorEastAsia" w:cstheme="minorEastAsia"/>
          <w:color w:val="FF0000"/>
          <w:sz w:val="24"/>
          <w:u w:val="single"/>
          <w:lang w:bidi="ar"/>
        </w:rPr>
        <w:t>2024年</w:t>
      </w:r>
      <w:r>
        <w:rPr>
          <w:rFonts w:hint="eastAsia" w:asciiTheme="majorEastAsia" w:hAnsiTheme="majorEastAsia" w:eastAsiaTheme="majorEastAsia" w:cstheme="minorEastAsia"/>
          <w:color w:val="FF0000"/>
          <w:sz w:val="24"/>
          <w:u w:val="single"/>
          <w:lang w:val="en-US" w:eastAsia="zh-CN" w:bidi="ar"/>
        </w:rPr>
        <w:t>4</w:t>
      </w:r>
      <w:r>
        <w:rPr>
          <w:rFonts w:hint="eastAsia" w:asciiTheme="majorEastAsia" w:hAnsiTheme="majorEastAsia" w:eastAsiaTheme="majorEastAsia" w:cstheme="minorEastAsia"/>
          <w:color w:val="FF0000"/>
          <w:sz w:val="24"/>
          <w:u w:val="single"/>
          <w:lang w:bidi="ar"/>
        </w:rPr>
        <w:t>月</w:t>
      </w:r>
      <w:r>
        <w:rPr>
          <w:rFonts w:hint="eastAsia" w:asciiTheme="majorEastAsia" w:hAnsiTheme="majorEastAsia" w:eastAsiaTheme="majorEastAsia" w:cstheme="minorEastAsia"/>
          <w:color w:val="FF0000"/>
          <w:sz w:val="24"/>
          <w:u w:val="single"/>
          <w:lang w:val="en-US" w:eastAsia="zh-CN" w:bidi="ar"/>
        </w:rPr>
        <w:t>8</w:t>
      </w:r>
      <w:r>
        <w:rPr>
          <w:rFonts w:hint="eastAsia" w:asciiTheme="majorEastAsia" w:hAnsiTheme="majorEastAsia" w:eastAsiaTheme="majorEastAsia" w:cstheme="minorEastAsia"/>
          <w:color w:val="FF0000"/>
          <w:sz w:val="24"/>
          <w:u w:val="single"/>
          <w:lang w:bidi="ar"/>
        </w:rPr>
        <w:t>日</w:t>
      </w:r>
      <w:r>
        <w:rPr>
          <w:rFonts w:hint="eastAsia" w:asciiTheme="majorEastAsia" w:hAnsiTheme="majorEastAsia" w:eastAsiaTheme="majorEastAsia" w:cstheme="minorEastAsia"/>
          <w:color w:val="FF0000"/>
          <w:sz w:val="24"/>
          <w:lang w:bidi="ar"/>
        </w:rPr>
        <w:t>至</w:t>
      </w:r>
      <w:r>
        <w:rPr>
          <w:rFonts w:hint="eastAsia" w:asciiTheme="majorEastAsia" w:hAnsiTheme="majorEastAsia" w:eastAsiaTheme="majorEastAsia" w:cstheme="minorEastAsia"/>
          <w:color w:val="FF0000"/>
          <w:sz w:val="24"/>
          <w:u w:val="single"/>
          <w:lang w:bidi="ar"/>
        </w:rPr>
        <w:t>2024年</w:t>
      </w:r>
      <w:r>
        <w:rPr>
          <w:rFonts w:hint="eastAsia" w:asciiTheme="majorEastAsia" w:hAnsiTheme="majorEastAsia" w:eastAsiaTheme="majorEastAsia" w:cstheme="minorEastAsia"/>
          <w:color w:val="FF0000"/>
          <w:sz w:val="24"/>
          <w:u w:val="single"/>
          <w:lang w:val="en-US" w:eastAsia="zh-CN" w:bidi="ar"/>
        </w:rPr>
        <w:t>4</w:t>
      </w:r>
      <w:r>
        <w:rPr>
          <w:rFonts w:hint="eastAsia" w:asciiTheme="majorEastAsia" w:hAnsiTheme="majorEastAsia" w:eastAsiaTheme="majorEastAsia" w:cstheme="minorEastAsia"/>
          <w:color w:val="FF0000"/>
          <w:sz w:val="24"/>
          <w:u w:val="single"/>
          <w:lang w:bidi="ar"/>
        </w:rPr>
        <w:t>月</w:t>
      </w:r>
      <w:r>
        <w:rPr>
          <w:rFonts w:hint="eastAsia" w:asciiTheme="majorEastAsia" w:hAnsiTheme="majorEastAsia" w:eastAsiaTheme="majorEastAsia" w:cstheme="minorEastAsia"/>
          <w:color w:val="FF0000"/>
          <w:sz w:val="24"/>
          <w:u w:val="single"/>
          <w:lang w:val="en-US" w:eastAsia="zh-CN" w:bidi="ar"/>
        </w:rPr>
        <w:t>15</w:t>
      </w:r>
      <w:r>
        <w:rPr>
          <w:rFonts w:hint="eastAsia" w:asciiTheme="majorEastAsia" w:hAnsiTheme="majorEastAsia" w:eastAsiaTheme="majorEastAsia" w:cstheme="minorEastAsia"/>
          <w:color w:val="FF0000"/>
          <w:sz w:val="24"/>
          <w:u w:val="single"/>
          <w:lang w:bidi="ar"/>
        </w:rPr>
        <w:t>日</w:t>
      </w:r>
      <w:r>
        <w:rPr>
          <w:rFonts w:hint="eastAsia" w:asciiTheme="majorEastAsia" w:hAnsiTheme="majorEastAsia" w:eastAsiaTheme="majorEastAsia" w:cstheme="minorEastAsia"/>
          <w:color w:val="FF0000"/>
          <w:sz w:val="24"/>
          <w:u w:val="single"/>
          <w:lang w:val="en-US" w:eastAsia="zh-CN" w:bidi="ar"/>
        </w:rPr>
        <w:t>23</w:t>
      </w:r>
      <w:r>
        <w:rPr>
          <w:rFonts w:hint="eastAsia" w:asciiTheme="majorEastAsia" w:hAnsiTheme="majorEastAsia" w:eastAsiaTheme="majorEastAsia" w:cstheme="minorEastAsia"/>
          <w:color w:val="FF0000"/>
          <w:sz w:val="24"/>
          <w:u w:val="single"/>
          <w:lang w:bidi="ar"/>
        </w:rPr>
        <w:t>时</w:t>
      </w:r>
      <w:r>
        <w:rPr>
          <w:rFonts w:hint="eastAsia" w:asciiTheme="majorEastAsia" w:hAnsiTheme="majorEastAsia" w:eastAsiaTheme="majorEastAsia" w:cstheme="minorEastAsia"/>
          <w:color w:val="FF0000"/>
          <w:sz w:val="24"/>
          <w:u w:val="single"/>
          <w:lang w:val="en-US" w:eastAsia="zh-CN" w:bidi="ar"/>
        </w:rPr>
        <w:t>59</w:t>
      </w:r>
      <w:r>
        <w:rPr>
          <w:rFonts w:hint="eastAsia" w:asciiTheme="majorEastAsia" w:hAnsiTheme="majorEastAsia" w:eastAsiaTheme="majorEastAsia" w:cstheme="minorEastAsia"/>
          <w:color w:val="FF0000"/>
          <w:sz w:val="24"/>
          <w:u w:val="single"/>
          <w:lang w:bidi="ar"/>
        </w:rPr>
        <w:t>分(</w:t>
      </w:r>
      <w:r>
        <w:rPr>
          <w:rFonts w:hint="eastAsia" w:asciiTheme="majorEastAsia" w:hAnsiTheme="majorEastAsia" w:eastAsiaTheme="majorEastAsia" w:cstheme="minorEastAsia"/>
          <w:color w:val="FF0000"/>
          <w:sz w:val="24"/>
          <w:lang w:bidi="ar"/>
        </w:rPr>
        <w:t>北京时间)</w:t>
      </w:r>
    </w:p>
    <w:p>
      <w:pPr>
        <w:spacing w:line="360" w:lineRule="auto"/>
        <w:ind w:firstLine="480" w:firstLineChars="200"/>
        <w:jc w:val="left"/>
        <w:rPr>
          <w:rFonts w:asciiTheme="majorEastAsia" w:hAnsiTheme="majorEastAsia" w:eastAsiaTheme="majorEastAsia" w:cstheme="minorEastAsia"/>
          <w:color w:val="auto"/>
          <w:sz w:val="24"/>
        </w:rPr>
      </w:pPr>
      <w:r>
        <w:rPr>
          <w:rFonts w:hint="eastAsia" w:asciiTheme="majorEastAsia" w:hAnsiTheme="majorEastAsia" w:eastAsiaTheme="majorEastAsia" w:cstheme="minorEastAsia"/>
          <w:color w:val="auto"/>
          <w:sz w:val="24"/>
        </w:rPr>
        <w:t>2.地点：网上注册登记成功后系统内免费下载</w:t>
      </w:r>
    </w:p>
    <w:p>
      <w:pPr>
        <w:spacing w:line="360" w:lineRule="auto"/>
        <w:ind w:firstLine="480" w:firstLineChars="200"/>
        <w:jc w:val="left"/>
        <w:rPr>
          <w:rFonts w:cs="宋体" w:asciiTheme="majorEastAsia" w:hAnsiTheme="majorEastAsia" w:eastAsiaTheme="majorEastAsia"/>
          <w:color w:val="auto"/>
          <w:kern w:val="0"/>
          <w:sz w:val="24"/>
        </w:rPr>
      </w:pPr>
      <w:r>
        <w:rPr>
          <w:rFonts w:hint="eastAsia" w:asciiTheme="majorEastAsia" w:hAnsiTheme="majorEastAsia" w:eastAsiaTheme="majorEastAsia" w:cstheme="minorEastAsia"/>
          <w:color w:val="auto"/>
          <w:sz w:val="24"/>
        </w:rPr>
        <w:t>3.方式：</w:t>
      </w:r>
      <w:r>
        <w:rPr>
          <w:rFonts w:hint="eastAsia" w:cs="宋体" w:asciiTheme="majorEastAsia" w:hAnsiTheme="majorEastAsia" w:eastAsiaTheme="majorEastAsia"/>
          <w:color w:val="auto"/>
          <w:kern w:val="0"/>
          <w:sz w:val="24"/>
        </w:rPr>
        <w:t>本项目采用网上注册登记方式。</w:t>
      </w:r>
    </w:p>
    <w:p>
      <w:pPr>
        <w:adjustRightInd w:val="0"/>
        <w:snapToGrid w:val="0"/>
        <w:spacing w:line="360" w:lineRule="auto"/>
        <w:ind w:firstLine="480" w:firstLineChars="200"/>
        <w:rPr>
          <w:rFonts w:asciiTheme="majorEastAsia" w:hAnsiTheme="majorEastAsia" w:eastAsiaTheme="majorEastAsia" w:cstheme="minorEastAsia"/>
          <w:color w:val="auto"/>
          <w:kern w:val="0"/>
          <w:sz w:val="24"/>
          <w:lang w:bidi="ar"/>
        </w:rPr>
      </w:pPr>
      <w:r>
        <w:rPr>
          <w:rFonts w:hint="eastAsia" w:asciiTheme="majorEastAsia" w:hAnsiTheme="majorEastAsia" w:eastAsiaTheme="majorEastAsia" w:cstheme="minorEastAsia"/>
          <w:color w:val="auto"/>
          <w:kern w:val="0"/>
          <w:sz w:val="24"/>
          <w:lang w:bidi="ar"/>
        </w:rPr>
        <w:t>3.1 潜在</w:t>
      </w:r>
      <w:r>
        <w:rPr>
          <w:rFonts w:hint="eastAsia" w:asciiTheme="majorEastAsia" w:hAnsiTheme="majorEastAsia" w:eastAsiaTheme="majorEastAsia" w:cstheme="minorEastAsia"/>
          <w:color w:val="auto"/>
          <w:kern w:val="0"/>
          <w:sz w:val="24"/>
          <w:lang w:eastAsia="zh-CN" w:bidi="ar"/>
        </w:rPr>
        <w:t>投标人</w:t>
      </w:r>
      <w:r>
        <w:rPr>
          <w:rFonts w:hint="eastAsia" w:asciiTheme="majorEastAsia" w:hAnsiTheme="majorEastAsia" w:eastAsiaTheme="majorEastAsia" w:cstheme="minorEastAsia"/>
          <w:color w:val="auto"/>
          <w:kern w:val="0"/>
          <w:sz w:val="24"/>
          <w:lang w:bidi="ar"/>
        </w:rPr>
        <w:t>访问电子招标响应交易平台的网络地址和方法：</w:t>
      </w:r>
    </w:p>
    <w:p>
      <w:pPr>
        <w:adjustRightInd w:val="0"/>
        <w:snapToGrid w:val="0"/>
        <w:spacing w:line="360" w:lineRule="auto"/>
        <w:ind w:firstLine="480" w:firstLineChars="200"/>
        <w:rPr>
          <w:rFonts w:asciiTheme="majorEastAsia" w:hAnsiTheme="majorEastAsia" w:eastAsiaTheme="majorEastAsia" w:cstheme="minorEastAsia"/>
          <w:color w:val="auto"/>
          <w:kern w:val="0"/>
          <w:sz w:val="24"/>
          <w:lang w:bidi="ar"/>
        </w:rPr>
      </w:pPr>
      <w:r>
        <w:rPr>
          <w:rFonts w:hint="eastAsia" w:asciiTheme="majorEastAsia" w:hAnsiTheme="majorEastAsia" w:eastAsiaTheme="majorEastAsia" w:cstheme="minorEastAsia"/>
          <w:color w:val="auto"/>
          <w:kern w:val="0"/>
          <w:sz w:val="24"/>
          <w:lang w:bidi="ar"/>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w:t>
      </w:r>
      <w:r>
        <w:rPr>
          <w:rFonts w:hint="eastAsia" w:asciiTheme="majorEastAsia" w:hAnsiTheme="majorEastAsia" w:eastAsiaTheme="majorEastAsia" w:cstheme="minorEastAsia"/>
          <w:color w:val="auto"/>
          <w:kern w:val="0"/>
          <w:sz w:val="24"/>
          <w:lang w:eastAsia="zh-CN" w:bidi="ar"/>
        </w:rPr>
        <w:t>投标人</w:t>
      </w:r>
      <w:r>
        <w:rPr>
          <w:rFonts w:hint="eastAsia" w:asciiTheme="majorEastAsia" w:hAnsiTheme="majorEastAsia" w:eastAsiaTheme="majorEastAsia" w:cstheme="minorEastAsia"/>
          <w:color w:val="auto"/>
          <w:kern w:val="0"/>
          <w:sz w:val="24"/>
          <w:lang w:bidi="ar"/>
        </w:rPr>
        <w:t>操作手册》。</w:t>
      </w:r>
    </w:p>
    <w:p>
      <w:pPr>
        <w:adjustRightInd w:val="0"/>
        <w:snapToGrid w:val="0"/>
        <w:spacing w:line="360" w:lineRule="auto"/>
        <w:ind w:firstLine="480" w:firstLineChars="200"/>
        <w:rPr>
          <w:rFonts w:asciiTheme="majorEastAsia" w:hAnsiTheme="majorEastAsia" w:eastAsiaTheme="majorEastAsia" w:cstheme="minorEastAsia"/>
          <w:color w:val="auto"/>
          <w:kern w:val="0"/>
          <w:sz w:val="24"/>
          <w:lang w:bidi="ar"/>
        </w:rPr>
      </w:pPr>
      <w:r>
        <w:rPr>
          <w:rFonts w:hint="eastAsia" w:asciiTheme="majorEastAsia" w:hAnsiTheme="majorEastAsia" w:eastAsiaTheme="majorEastAsia" w:cstheme="minorEastAsia"/>
          <w:color w:val="auto"/>
          <w:kern w:val="0"/>
          <w:sz w:val="24"/>
          <w:lang w:bidi="ar"/>
        </w:rPr>
        <w:t>3.2 潜在</w:t>
      </w:r>
      <w:r>
        <w:rPr>
          <w:rFonts w:hint="eastAsia" w:asciiTheme="majorEastAsia" w:hAnsiTheme="majorEastAsia" w:eastAsiaTheme="majorEastAsia" w:cstheme="minorEastAsia"/>
          <w:color w:val="auto"/>
          <w:kern w:val="0"/>
          <w:sz w:val="24"/>
          <w:lang w:eastAsia="zh-CN" w:bidi="ar"/>
        </w:rPr>
        <w:t>投标人</w:t>
      </w:r>
      <w:r>
        <w:rPr>
          <w:rFonts w:hint="eastAsia" w:asciiTheme="majorEastAsia" w:hAnsiTheme="majorEastAsia" w:eastAsiaTheme="majorEastAsia" w:cstheme="minorEastAsia"/>
          <w:color w:val="auto"/>
          <w:kern w:val="0"/>
          <w:sz w:val="24"/>
          <w:lang w:bidi="ar"/>
        </w:rPr>
        <w:t>访问“苏采云”系统的网络地址和方法：“苏采云”系统的网址：http://jszfcg.jsczt.cn/。</w:t>
      </w:r>
    </w:p>
    <w:p>
      <w:pPr>
        <w:adjustRightInd w:val="0"/>
        <w:snapToGrid w:val="0"/>
        <w:spacing w:line="360" w:lineRule="auto"/>
        <w:ind w:firstLine="480" w:firstLineChars="200"/>
        <w:rPr>
          <w:rFonts w:asciiTheme="majorEastAsia" w:hAnsiTheme="majorEastAsia" w:eastAsiaTheme="majorEastAsia" w:cstheme="minorEastAsia"/>
          <w:color w:val="auto"/>
          <w:kern w:val="0"/>
          <w:sz w:val="24"/>
          <w:lang w:bidi="ar"/>
        </w:rPr>
      </w:pPr>
      <w:r>
        <w:rPr>
          <w:rFonts w:hint="eastAsia" w:asciiTheme="majorEastAsia" w:hAnsiTheme="majorEastAsia" w:eastAsiaTheme="majorEastAsia" w:cstheme="minorEastAsia"/>
          <w:color w:val="auto"/>
          <w:kern w:val="0"/>
          <w:sz w:val="24"/>
          <w:lang w:bidi="ar"/>
        </w:rPr>
        <w:t>3.3“CA数字证书”的获取：</w:t>
      </w:r>
    </w:p>
    <w:p>
      <w:pPr>
        <w:adjustRightInd w:val="0"/>
        <w:snapToGrid w:val="0"/>
        <w:spacing w:line="360" w:lineRule="auto"/>
        <w:ind w:firstLine="480" w:firstLineChars="200"/>
        <w:rPr>
          <w:rFonts w:asciiTheme="majorEastAsia" w:hAnsiTheme="majorEastAsia" w:eastAsiaTheme="majorEastAsia" w:cstheme="minorEastAsia"/>
          <w:color w:val="auto"/>
          <w:kern w:val="0"/>
          <w:sz w:val="24"/>
          <w:lang w:bidi="ar"/>
        </w:rPr>
      </w:pPr>
      <w:r>
        <w:rPr>
          <w:rFonts w:hint="eastAsia" w:asciiTheme="majorEastAsia" w:hAnsiTheme="majorEastAsia" w:eastAsiaTheme="majorEastAsia" w:cstheme="minorEastAsia"/>
          <w:color w:val="auto"/>
          <w:kern w:val="0"/>
          <w:sz w:val="24"/>
          <w:lang w:bidi="ar"/>
        </w:rPr>
        <w:t>响应</w:t>
      </w:r>
      <w:r>
        <w:rPr>
          <w:rFonts w:hint="eastAsia" w:asciiTheme="majorEastAsia" w:hAnsiTheme="majorEastAsia" w:eastAsiaTheme="majorEastAsia" w:cstheme="minorEastAsia"/>
          <w:color w:val="auto"/>
          <w:kern w:val="0"/>
          <w:sz w:val="24"/>
          <w:lang w:eastAsia="zh-CN" w:bidi="ar"/>
        </w:rPr>
        <w:t>投标人</w:t>
      </w:r>
      <w:r>
        <w:rPr>
          <w:rFonts w:hint="eastAsia" w:asciiTheme="majorEastAsia" w:hAnsiTheme="majorEastAsia" w:eastAsiaTheme="majorEastAsia" w:cstheme="minorEastAsia"/>
          <w:color w:val="auto"/>
          <w:kern w:val="0"/>
          <w:sz w:val="24"/>
          <w:lang w:bidi="ar"/>
        </w:rPr>
        <w:t>需办理“CA 数字证书”，CA办理指南及“苏采云”操作手册可至江苏省政府采购网―办事指南-资料下载中心下载。</w:t>
      </w:r>
    </w:p>
    <w:p>
      <w:pPr>
        <w:adjustRightInd w:val="0"/>
        <w:snapToGrid w:val="0"/>
        <w:spacing w:line="360" w:lineRule="auto"/>
        <w:rPr>
          <w:rFonts w:asciiTheme="majorEastAsia" w:hAnsiTheme="majorEastAsia" w:eastAsiaTheme="majorEastAsia" w:cstheme="minorEastAsia"/>
          <w:color w:val="auto"/>
          <w:kern w:val="0"/>
          <w:sz w:val="24"/>
          <w:lang w:bidi="ar"/>
        </w:rPr>
      </w:pPr>
      <w:r>
        <w:rPr>
          <w:rFonts w:hint="eastAsia" w:asciiTheme="majorEastAsia" w:hAnsiTheme="majorEastAsia" w:eastAsiaTheme="majorEastAsia" w:cstheme="minorEastAsia"/>
          <w:color w:val="auto"/>
          <w:kern w:val="0"/>
          <w:sz w:val="24"/>
          <w:lang w:bidi="ar"/>
        </w:rPr>
        <w:t>通过苏采云系统首页（http://jszfcg.jscz.gov.cn/）的“苏采云控件驱动下载”，选择“政务CA、方正签章控件驱动安装包及安装说明”下载安装，具体安装方法详见下载文件内的《安装说明》。</w:t>
      </w:r>
    </w:p>
    <w:p>
      <w:pPr>
        <w:adjustRightInd w:val="0"/>
        <w:snapToGrid w:val="0"/>
        <w:spacing w:line="360" w:lineRule="auto"/>
        <w:ind w:firstLine="480" w:firstLineChars="200"/>
        <w:rPr>
          <w:rFonts w:asciiTheme="majorEastAsia" w:hAnsiTheme="majorEastAsia" w:eastAsiaTheme="majorEastAsia" w:cstheme="minorEastAsia"/>
          <w:color w:val="auto"/>
          <w:kern w:val="0"/>
          <w:sz w:val="24"/>
          <w:lang w:bidi="ar"/>
        </w:rPr>
      </w:pPr>
      <w:r>
        <w:rPr>
          <w:rFonts w:hint="eastAsia" w:asciiTheme="majorEastAsia" w:hAnsiTheme="majorEastAsia" w:eastAsiaTheme="majorEastAsia" w:cstheme="minorEastAsia"/>
          <w:color w:val="auto"/>
          <w:kern w:val="0"/>
          <w:sz w:val="24"/>
          <w:lang w:bidi="ar"/>
        </w:rPr>
        <w:t>3.4 采购文件（后缀名为“.kedt”）、</w:t>
      </w:r>
      <w:r>
        <w:rPr>
          <w:rFonts w:hint="eastAsia" w:asciiTheme="majorEastAsia" w:hAnsiTheme="majorEastAsia" w:eastAsiaTheme="majorEastAsia" w:cstheme="minorEastAsia"/>
          <w:color w:val="auto"/>
          <w:kern w:val="0"/>
          <w:sz w:val="24"/>
          <w:lang w:eastAsia="zh-CN" w:bidi="ar"/>
        </w:rPr>
        <w:t>投标人</w:t>
      </w:r>
      <w:r>
        <w:rPr>
          <w:rFonts w:hint="eastAsia" w:asciiTheme="majorEastAsia" w:hAnsiTheme="majorEastAsia" w:eastAsiaTheme="majorEastAsia" w:cstheme="minorEastAsia"/>
          <w:color w:val="auto"/>
          <w:kern w:val="0"/>
          <w:sz w:val="24"/>
          <w:lang w:bidi="ar"/>
        </w:rPr>
        <w:t>操作手册及政府采购客户端工具可通过“苏采云”系统--已报名项目--报名详情页面内相应链接进行下载。</w:t>
      </w:r>
    </w:p>
    <w:p>
      <w:pPr>
        <w:adjustRightInd w:val="0"/>
        <w:snapToGrid w:val="0"/>
        <w:spacing w:line="360" w:lineRule="auto"/>
        <w:ind w:firstLine="480" w:firstLineChars="200"/>
        <w:rPr>
          <w:rFonts w:asciiTheme="majorEastAsia" w:hAnsiTheme="majorEastAsia" w:eastAsiaTheme="majorEastAsia" w:cstheme="minorEastAsia"/>
          <w:color w:val="auto"/>
          <w:kern w:val="0"/>
          <w:sz w:val="24"/>
          <w:lang w:bidi="ar"/>
        </w:rPr>
      </w:pPr>
      <w:r>
        <w:rPr>
          <w:rFonts w:hint="eastAsia" w:asciiTheme="majorEastAsia" w:hAnsiTheme="majorEastAsia" w:eastAsiaTheme="majorEastAsia" w:cstheme="minorEastAsia"/>
          <w:color w:val="auto"/>
          <w:kern w:val="0"/>
          <w:sz w:val="24"/>
          <w:lang w:bidi="ar"/>
        </w:rPr>
        <w:t>3.5 采购人或采购代理机构将数据电文形式的采购文件加载至“苏采云”系统，供潜在</w:t>
      </w:r>
      <w:r>
        <w:rPr>
          <w:rFonts w:hint="eastAsia" w:asciiTheme="majorEastAsia" w:hAnsiTheme="majorEastAsia" w:eastAsiaTheme="majorEastAsia" w:cstheme="minorEastAsia"/>
          <w:color w:val="auto"/>
          <w:kern w:val="0"/>
          <w:sz w:val="24"/>
          <w:lang w:eastAsia="zh-CN" w:bidi="ar"/>
        </w:rPr>
        <w:t>投标人</w:t>
      </w:r>
      <w:r>
        <w:rPr>
          <w:rFonts w:hint="eastAsia" w:asciiTheme="majorEastAsia" w:hAnsiTheme="majorEastAsia" w:eastAsiaTheme="majorEastAsia" w:cstheme="minorEastAsia"/>
          <w:color w:val="auto"/>
          <w:kern w:val="0"/>
          <w:sz w:val="24"/>
          <w:lang w:bidi="ar"/>
        </w:rPr>
        <w:t>下载或者查阅。</w:t>
      </w:r>
    </w:p>
    <w:p>
      <w:pPr>
        <w:adjustRightInd w:val="0"/>
        <w:snapToGrid w:val="0"/>
        <w:spacing w:line="360" w:lineRule="auto"/>
        <w:ind w:firstLine="480" w:firstLineChars="200"/>
        <w:rPr>
          <w:rFonts w:asciiTheme="majorEastAsia" w:hAnsiTheme="majorEastAsia" w:eastAsiaTheme="majorEastAsia" w:cstheme="minorEastAsia"/>
          <w:color w:val="auto"/>
          <w:kern w:val="0"/>
          <w:sz w:val="24"/>
          <w:lang w:bidi="ar"/>
        </w:rPr>
      </w:pPr>
      <w:r>
        <w:rPr>
          <w:rFonts w:hint="eastAsia" w:asciiTheme="majorEastAsia" w:hAnsiTheme="majorEastAsia" w:eastAsiaTheme="majorEastAsia" w:cstheme="minorEastAsia"/>
          <w:color w:val="auto"/>
          <w:kern w:val="0"/>
          <w:sz w:val="24"/>
          <w:lang w:bidi="ar"/>
        </w:rPr>
        <w:t>3.6 请潜在</w:t>
      </w:r>
      <w:r>
        <w:rPr>
          <w:rFonts w:hint="eastAsia" w:asciiTheme="majorEastAsia" w:hAnsiTheme="majorEastAsia" w:eastAsiaTheme="majorEastAsia" w:cstheme="minorEastAsia"/>
          <w:color w:val="auto"/>
          <w:kern w:val="0"/>
          <w:sz w:val="24"/>
          <w:lang w:eastAsia="zh-CN" w:bidi="ar"/>
        </w:rPr>
        <w:t>投标人</w:t>
      </w:r>
      <w:r>
        <w:rPr>
          <w:rFonts w:hint="eastAsia" w:asciiTheme="majorEastAsia" w:hAnsiTheme="majorEastAsia" w:eastAsiaTheme="majorEastAsia" w:cstheme="minorEastAsia"/>
          <w:color w:val="auto"/>
          <w:kern w:val="0"/>
          <w:sz w:val="24"/>
          <w:lang w:bidi="ar"/>
        </w:rPr>
        <w:t>提前安装相应的控件（详见《江苏省政府采购管理交易系统（苏采云）</w:t>
      </w:r>
      <w:r>
        <w:rPr>
          <w:rFonts w:hint="eastAsia" w:asciiTheme="majorEastAsia" w:hAnsiTheme="majorEastAsia" w:eastAsiaTheme="majorEastAsia" w:cstheme="minorEastAsia"/>
          <w:color w:val="auto"/>
          <w:kern w:val="0"/>
          <w:sz w:val="24"/>
          <w:lang w:eastAsia="zh-CN" w:bidi="ar"/>
        </w:rPr>
        <w:t>投标人</w:t>
      </w:r>
      <w:r>
        <w:rPr>
          <w:rFonts w:hint="eastAsia" w:asciiTheme="majorEastAsia" w:hAnsiTheme="majorEastAsia" w:eastAsiaTheme="majorEastAsia" w:cstheme="minorEastAsia"/>
          <w:color w:val="auto"/>
          <w:kern w:val="0"/>
          <w:sz w:val="24"/>
          <w:lang w:bidi="ar"/>
        </w:rPr>
        <w:t>操作手册》）并使用谷歌浏览器登录“苏采云”系统参与不见面开评标。</w:t>
      </w:r>
    </w:p>
    <w:p>
      <w:pPr>
        <w:spacing w:line="360" w:lineRule="auto"/>
        <w:ind w:firstLine="482" w:firstLineChars="200"/>
        <w:jc w:val="left"/>
        <w:rPr>
          <w:rFonts w:ascii="宋体" w:hAnsi="宋体" w:eastAsia="宋体" w:cs="Times New Roman"/>
          <w:sz w:val="24"/>
          <w:szCs w:val="24"/>
        </w:rPr>
      </w:pPr>
      <w:r>
        <w:rPr>
          <w:rFonts w:hint="eastAsia" w:asciiTheme="majorEastAsia" w:hAnsiTheme="majorEastAsia" w:eastAsiaTheme="majorEastAsia" w:cstheme="minorEastAsia"/>
          <w:b/>
          <w:bCs/>
          <w:color w:val="auto"/>
          <w:kern w:val="0"/>
          <w:sz w:val="24"/>
          <w:lang w:bidi="ar"/>
        </w:rPr>
        <w:t>注：如潜在</w:t>
      </w:r>
      <w:r>
        <w:rPr>
          <w:rFonts w:hint="eastAsia" w:asciiTheme="majorEastAsia" w:hAnsiTheme="majorEastAsia" w:eastAsiaTheme="majorEastAsia" w:cstheme="minorEastAsia"/>
          <w:b/>
          <w:bCs/>
          <w:color w:val="auto"/>
          <w:kern w:val="0"/>
          <w:sz w:val="24"/>
          <w:lang w:eastAsia="zh-CN" w:bidi="ar"/>
        </w:rPr>
        <w:t>投标人</w:t>
      </w:r>
      <w:r>
        <w:rPr>
          <w:rFonts w:hint="eastAsia" w:asciiTheme="majorEastAsia" w:hAnsiTheme="majorEastAsia" w:eastAsiaTheme="majorEastAsia" w:cstheme="minorEastAsia"/>
          <w:b/>
          <w:bCs/>
          <w:color w:val="auto"/>
          <w:kern w:val="0"/>
          <w:sz w:val="24"/>
          <w:lang w:bidi="ar"/>
        </w:rPr>
        <w:t>未按上述要求操作，将自行承担所产生的风险</w:t>
      </w:r>
    </w:p>
    <w:p>
      <w:pPr>
        <w:keepNext/>
        <w:spacing w:line="360" w:lineRule="auto"/>
        <w:textAlignment w:val="baseline"/>
        <w:outlineLvl w:val="1"/>
        <w:rPr>
          <w:rFonts w:ascii="Times New Roman" w:hAnsi="Times New Roman" w:eastAsia="黑体" w:cs="Times New Roman"/>
          <w:b/>
          <w:color w:val="000000"/>
          <w:kern w:val="0"/>
          <w:sz w:val="28"/>
          <w:szCs w:val="20"/>
        </w:rPr>
      </w:pPr>
      <w:r>
        <w:rPr>
          <w:rFonts w:hint="eastAsia" w:ascii="Times New Roman" w:hAnsi="Times New Roman" w:eastAsia="黑体" w:cs="Times New Roman"/>
          <w:b/>
          <w:color w:val="000000"/>
          <w:kern w:val="0"/>
          <w:sz w:val="28"/>
          <w:szCs w:val="20"/>
        </w:rPr>
        <w:t>四、提交投标文件截止时间、开标时间和地点</w:t>
      </w:r>
    </w:p>
    <w:p>
      <w:pPr>
        <w:spacing w:line="360" w:lineRule="auto"/>
        <w:ind w:firstLine="480" w:firstLineChars="200"/>
        <w:rPr>
          <w:rFonts w:asciiTheme="majorEastAsia" w:hAnsiTheme="majorEastAsia" w:eastAsiaTheme="majorEastAsia" w:cstheme="minorEastAsia"/>
          <w:color w:val="auto"/>
          <w:kern w:val="0"/>
          <w:sz w:val="24"/>
          <w:lang w:bidi="ar"/>
        </w:rPr>
      </w:pPr>
      <w:r>
        <w:rPr>
          <w:rFonts w:hint="eastAsia" w:asciiTheme="majorEastAsia" w:hAnsiTheme="majorEastAsia" w:eastAsiaTheme="majorEastAsia" w:cstheme="minorEastAsia"/>
          <w:color w:val="auto"/>
          <w:sz w:val="24"/>
          <w:lang w:bidi="ar"/>
        </w:rPr>
        <w:t>1.投标文件截止时间：</w:t>
      </w:r>
      <w:r>
        <w:rPr>
          <w:rFonts w:hint="eastAsia" w:asciiTheme="majorEastAsia" w:hAnsiTheme="majorEastAsia" w:eastAsiaTheme="majorEastAsia" w:cstheme="minorEastAsia"/>
          <w:color w:val="auto"/>
          <w:kern w:val="0"/>
          <w:sz w:val="24"/>
          <w:u w:val="single"/>
          <w:lang w:bidi="ar"/>
        </w:rPr>
        <w:t xml:space="preserve"> </w:t>
      </w:r>
      <w:r>
        <w:rPr>
          <w:rFonts w:hint="eastAsia" w:asciiTheme="majorEastAsia" w:hAnsiTheme="majorEastAsia" w:eastAsiaTheme="majorEastAsia" w:cstheme="minorEastAsia"/>
          <w:color w:val="FF0000"/>
          <w:kern w:val="0"/>
          <w:sz w:val="24"/>
          <w:u w:val="single"/>
          <w:lang w:bidi="ar"/>
        </w:rPr>
        <w:t>2024年</w:t>
      </w:r>
      <w:r>
        <w:rPr>
          <w:rFonts w:hint="eastAsia" w:asciiTheme="majorEastAsia" w:hAnsiTheme="majorEastAsia" w:eastAsiaTheme="majorEastAsia" w:cstheme="minorEastAsia"/>
          <w:color w:val="FF0000"/>
          <w:kern w:val="0"/>
          <w:sz w:val="24"/>
          <w:u w:val="single"/>
          <w:lang w:val="en-US" w:eastAsia="zh-CN" w:bidi="ar"/>
        </w:rPr>
        <w:t>4</w:t>
      </w:r>
      <w:r>
        <w:rPr>
          <w:rFonts w:hint="eastAsia" w:asciiTheme="majorEastAsia" w:hAnsiTheme="majorEastAsia" w:eastAsiaTheme="majorEastAsia" w:cstheme="minorEastAsia"/>
          <w:color w:val="FF0000"/>
          <w:kern w:val="0"/>
          <w:sz w:val="24"/>
          <w:u w:val="single"/>
          <w:lang w:bidi="ar"/>
        </w:rPr>
        <w:t>月</w:t>
      </w:r>
      <w:r>
        <w:rPr>
          <w:rFonts w:hint="eastAsia" w:asciiTheme="majorEastAsia" w:hAnsiTheme="majorEastAsia" w:eastAsiaTheme="majorEastAsia" w:cstheme="minorEastAsia"/>
          <w:color w:val="FF0000"/>
          <w:kern w:val="0"/>
          <w:sz w:val="24"/>
          <w:u w:val="single"/>
          <w:lang w:val="en-US" w:eastAsia="zh-CN" w:bidi="ar"/>
        </w:rPr>
        <w:t>30</w:t>
      </w:r>
      <w:r>
        <w:rPr>
          <w:rFonts w:hint="eastAsia" w:asciiTheme="majorEastAsia" w:hAnsiTheme="majorEastAsia" w:eastAsiaTheme="majorEastAsia" w:cstheme="minorEastAsia"/>
          <w:color w:val="FF0000"/>
          <w:kern w:val="0"/>
          <w:sz w:val="24"/>
          <w:u w:val="single"/>
          <w:lang w:bidi="ar"/>
        </w:rPr>
        <w:t>日</w:t>
      </w:r>
      <w:r>
        <w:rPr>
          <w:rFonts w:hint="eastAsia" w:asciiTheme="majorEastAsia" w:hAnsiTheme="majorEastAsia" w:eastAsiaTheme="majorEastAsia" w:cstheme="minorEastAsia"/>
          <w:color w:val="FF0000"/>
          <w:kern w:val="0"/>
          <w:sz w:val="24"/>
          <w:u w:val="single"/>
          <w:lang w:val="en-US" w:eastAsia="zh-CN" w:bidi="ar"/>
        </w:rPr>
        <w:t>上午10</w:t>
      </w:r>
      <w:r>
        <w:rPr>
          <w:rFonts w:hint="eastAsia" w:asciiTheme="majorEastAsia" w:hAnsiTheme="majorEastAsia" w:eastAsiaTheme="majorEastAsia" w:cstheme="minorEastAsia"/>
          <w:color w:val="FF0000"/>
          <w:kern w:val="0"/>
          <w:sz w:val="24"/>
          <w:u w:val="single"/>
          <w:lang w:bidi="ar"/>
        </w:rPr>
        <w:t xml:space="preserve">点 </w:t>
      </w:r>
      <w:r>
        <w:rPr>
          <w:rFonts w:hint="eastAsia" w:asciiTheme="majorEastAsia" w:hAnsiTheme="majorEastAsia" w:eastAsiaTheme="majorEastAsia" w:cstheme="minorEastAsia"/>
          <w:color w:val="FF0000"/>
          <w:kern w:val="0"/>
          <w:sz w:val="24"/>
          <w:u w:val="single"/>
          <w:lang w:val="en-US" w:eastAsia="zh-CN" w:bidi="ar"/>
        </w:rPr>
        <w:t>30</w:t>
      </w:r>
      <w:r>
        <w:rPr>
          <w:rFonts w:hint="eastAsia" w:asciiTheme="majorEastAsia" w:hAnsiTheme="majorEastAsia" w:eastAsiaTheme="majorEastAsia" w:cstheme="minorEastAsia"/>
          <w:color w:val="FF0000"/>
          <w:kern w:val="0"/>
          <w:sz w:val="24"/>
          <w:u w:val="single"/>
          <w:lang w:bidi="ar"/>
        </w:rPr>
        <w:t xml:space="preserve"> 分 00 秒</w:t>
      </w:r>
      <w:r>
        <w:rPr>
          <w:rFonts w:hint="eastAsia" w:asciiTheme="majorEastAsia" w:hAnsiTheme="majorEastAsia" w:eastAsiaTheme="majorEastAsia" w:cstheme="minorEastAsia"/>
          <w:color w:val="auto"/>
          <w:sz w:val="24"/>
          <w:lang w:bidi="ar"/>
        </w:rPr>
        <w:t>（北京时间）</w:t>
      </w:r>
      <w:r>
        <w:rPr>
          <w:rFonts w:hint="eastAsia" w:asciiTheme="majorEastAsia" w:hAnsiTheme="majorEastAsia" w:eastAsiaTheme="majorEastAsia" w:cstheme="minorEastAsia"/>
          <w:color w:val="auto"/>
          <w:kern w:val="0"/>
          <w:sz w:val="24"/>
          <w:lang w:bidi="ar"/>
        </w:rPr>
        <w:t>逾时，“苏采云”系统将拒绝接受上传响应文件电子文档。</w:t>
      </w:r>
    </w:p>
    <w:p>
      <w:pPr>
        <w:spacing w:line="360" w:lineRule="auto"/>
        <w:ind w:firstLine="480" w:firstLineChars="200"/>
        <w:jc w:val="left"/>
        <w:rPr>
          <w:rFonts w:ascii="宋体" w:hAnsi="宋体" w:eastAsia="宋体" w:cs="Times New Roman"/>
          <w:sz w:val="24"/>
          <w:szCs w:val="24"/>
        </w:rPr>
      </w:pPr>
      <w:r>
        <w:rPr>
          <w:rFonts w:hint="eastAsia" w:asciiTheme="majorEastAsia" w:hAnsiTheme="majorEastAsia" w:eastAsiaTheme="majorEastAsia" w:cstheme="minorEastAsia"/>
          <w:color w:val="auto"/>
          <w:kern w:val="0"/>
          <w:sz w:val="24"/>
          <w:lang w:bidi="ar"/>
        </w:rPr>
        <w:t>2.地点：“苏采云”系统（</w:t>
      </w:r>
      <w:r>
        <w:rPr>
          <w:rFonts w:hint="eastAsia" w:asciiTheme="majorEastAsia" w:hAnsiTheme="majorEastAsia" w:eastAsiaTheme="majorEastAsia" w:cstheme="minorEastAsia"/>
          <w:b/>
          <w:bCs/>
          <w:color w:val="auto"/>
          <w:kern w:val="0"/>
          <w:sz w:val="24"/>
          <w:lang w:bidi="ar"/>
        </w:rPr>
        <w:t>网址：http://jszfcg.jsczt.cn/</w:t>
      </w:r>
      <w:r>
        <w:rPr>
          <w:rFonts w:hint="eastAsia" w:asciiTheme="majorEastAsia" w:hAnsiTheme="majorEastAsia" w:eastAsiaTheme="majorEastAsia" w:cstheme="minorEastAsia"/>
          <w:color w:val="auto"/>
          <w:kern w:val="0"/>
          <w:sz w:val="24"/>
          <w:lang w:bidi="ar"/>
        </w:rPr>
        <w:t>）“开标大厅”</w:t>
      </w:r>
    </w:p>
    <w:p>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2.开标时间与地点</w:t>
      </w:r>
    </w:p>
    <w:p>
      <w:pPr>
        <w:adjustRightInd w:val="0"/>
        <w:snapToGrid w:val="0"/>
        <w:spacing w:line="360" w:lineRule="auto"/>
        <w:ind w:firstLine="480" w:firstLineChars="200"/>
        <w:rPr>
          <w:rFonts w:asciiTheme="majorEastAsia" w:hAnsiTheme="majorEastAsia" w:eastAsiaTheme="majorEastAsia" w:cstheme="minorEastAsia"/>
          <w:color w:val="auto"/>
          <w:sz w:val="24"/>
          <w:lang w:bidi="ar"/>
        </w:rPr>
      </w:pPr>
      <w:r>
        <w:rPr>
          <w:rFonts w:hint="eastAsia" w:asciiTheme="majorEastAsia" w:hAnsiTheme="majorEastAsia" w:eastAsiaTheme="majorEastAsia" w:cstheme="minorEastAsia"/>
          <w:color w:val="auto"/>
          <w:kern w:val="0"/>
          <w:sz w:val="24"/>
          <w:lang w:val="en-US" w:eastAsia="zh-CN" w:bidi="ar"/>
        </w:rPr>
        <w:t>2.</w:t>
      </w:r>
      <w:r>
        <w:rPr>
          <w:rFonts w:hint="eastAsia" w:asciiTheme="majorEastAsia" w:hAnsiTheme="majorEastAsia" w:eastAsiaTheme="majorEastAsia" w:cstheme="minorEastAsia"/>
          <w:color w:val="auto"/>
          <w:kern w:val="0"/>
          <w:sz w:val="24"/>
          <w:lang w:bidi="ar"/>
        </w:rPr>
        <w:t>1开标时间：</w:t>
      </w:r>
      <w:r>
        <w:rPr>
          <w:rFonts w:hint="eastAsia" w:asciiTheme="majorEastAsia" w:hAnsiTheme="majorEastAsia" w:eastAsiaTheme="majorEastAsia" w:cstheme="minorEastAsia"/>
          <w:color w:val="FF0000"/>
          <w:kern w:val="0"/>
          <w:sz w:val="24"/>
          <w:u w:val="single"/>
          <w:lang w:bidi="ar"/>
        </w:rPr>
        <w:t xml:space="preserve"> 2024年</w:t>
      </w:r>
      <w:r>
        <w:rPr>
          <w:rFonts w:hint="eastAsia" w:asciiTheme="majorEastAsia" w:hAnsiTheme="majorEastAsia" w:eastAsiaTheme="majorEastAsia" w:cstheme="minorEastAsia"/>
          <w:color w:val="FF0000"/>
          <w:kern w:val="0"/>
          <w:sz w:val="24"/>
          <w:u w:val="single"/>
          <w:lang w:val="en-US" w:eastAsia="zh-CN" w:bidi="ar"/>
        </w:rPr>
        <w:t>4</w:t>
      </w:r>
      <w:r>
        <w:rPr>
          <w:rFonts w:hint="eastAsia" w:asciiTheme="majorEastAsia" w:hAnsiTheme="majorEastAsia" w:eastAsiaTheme="majorEastAsia" w:cstheme="minorEastAsia"/>
          <w:color w:val="FF0000"/>
          <w:kern w:val="0"/>
          <w:sz w:val="24"/>
          <w:u w:val="single"/>
          <w:lang w:bidi="ar"/>
        </w:rPr>
        <w:t>月</w:t>
      </w:r>
      <w:r>
        <w:rPr>
          <w:rFonts w:hint="eastAsia" w:asciiTheme="majorEastAsia" w:hAnsiTheme="majorEastAsia" w:eastAsiaTheme="majorEastAsia" w:cstheme="minorEastAsia"/>
          <w:color w:val="FF0000"/>
          <w:kern w:val="0"/>
          <w:sz w:val="24"/>
          <w:u w:val="single"/>
          <w:lang w:val="en-US" w:eastAsia="zh-CN" w:bidi="ar"/>
        </w:rPr>
        <w:t>30</w:t>
      </w:r>
      <w:r>
        <w:rPr>
          <w:rFonts w:hint="eastAsia" w:asciiTheme="majorEastAsia" w:hAnsiTheme="majorEastAsia" w:eastAsiaTheme="majorEastAsia" w:cstheme="minorEastAsia"/>
          <w:color w:val="FF0000"/>
          <w:kern w:val="0"/>
          <w:sz w:val="24"/>
          <w:u w:val="single"/>
          <w:lang w:bidi="ar"/>
        </w:rPr>
        <w:t>日</w:t>
      </w:r>
      <w:r>
        <w:rPr>
          <w:rFonts w:hint="eastAsia" w:asciiTheme="majorEastAsia" w:hAnsiTheme="majorEastAsia" w:eastAsiaTheme="majorEastAsia" w:cstheme="minorEastAsia"/>
          <w:color w:val="FF0000"/>
          <w:kern w:val="0"/>
          <w:sz w:val="24"/>
          <w:u w:val="single"/>
          <w:lang w:val="en-US" w:eastAsia="zh-CN" w:bidi="ar"/>
        </w:rPr>
        <w:t>上午10</w:t>
      </w:r>
      <w:r>
        <w:rPr>
          <w:rFonts w:hint="eastAsia" w:asciiTheme="majorEastAsia" w:hAnsiTheme="majorEastAsia" w:eastAsiaTheme="majorEastAsia" w:cstheme="minorEastAsia"/>
          <w:color w:val="FF0000"/>
          <w:kern w:val="0"/>
          <w:sz w:val="24"/>
          <w:u w:val="single"/>
          <w:lang w:bidi="ar"/>
        </w:rPr>
        <w:t>点</w:t>
      </w:r>
      <w:r>
        <w:rPr>
          <w:rFonts w:hint="eastAsia" w:asciiTheme="majorEastAsia" w:hAnsiTheme="majorEastAsia" w:eastAsiaTheme="majorEastAsia" w:cstheme="minorEastAsia"/>
          <w:color w:val="FF0000"/>
          <w:kern w:val="0"/>
          <w:sz w:val="24"/>
          <w:u w:val="single"/>
          <w:lang w:val="en-US" w:eastAsia="zh-CN" w:bidi="ar"/>
        </w:rPr>
        <w:t>30</w:t>
      </w:r>
      <w:r>
        <w:rPr>
          <w:rFonts w:hint="eastAsia" w:asciiTheme="majorEastAsia" w:hAnsiTheme="majorEastAsia" w:eastAsiaTheme="majorEastAsia" w:cstheme="minorEastAsia"/>
          <w:color w:val="FF0000"/>
          <w:kern w:val="0"/>
          <w:sz w:val="24"/>
          <w:u w:val="single"/>
          <w:lang w:bidi="ar"/>
        </w:rPr>
        <w:t>分 00 秒</w:t>
      </w:r>
      <w:r>
        <w:rPr>
          <w:rFonts w:hint="eastAsia" w:asciiTheme="majorEastAsia" w:hAnsiTheme="majorEastAsia" w:eastAsiaTheme="majorEastAsia" w:cstheme="minorEastAsia"/>
          <w:color w:val="FF0000"/>
          <w:sz w:val="24"/>
          <w:lang w:bidi="ar"/>
        </w:rPr>
        <w:t>（北京时间）</w:t>
      </w:r>
    </w:p>
    <w:p>
      <w:pPr>
        <w:adjustRightInd w:val="0"/>
        <w:snapToGrid w:val="0"/>
        <w:spacing w:line="360" w:lineRule="auto"/>
        <w:ind w:firstLine="480" w:firstLineChars="200"/>
        <w:rPr>
          <w:rFonts w:asciiTheme="majorEastAsia" w:hAnsiTheme="majorEastAsia" w:eastAsiaTheme="majorEastAsia" w:cstheme="minorEastAsia"/>
          <w:color w:val="auto"/>
          <w:sz w:val="24"/>
          <w:lang w:bidi="ar"/>
        </w:rPr>
      </w:pPr>
      <w:r>
        <w:rPr>
          <w:rFonts w:hint="eastAsia" w:asciiTheme="majorEastAsia" w:hAnsiTheme="majorEastAsia" w:eastAsiaTheme="majorEastAsia" w:cstheme="minorEastAsia"/>
          <w:color w:val="auto"/>
          <w:sz w:val="24"/>
          <w:lang w:bidi="ar"/>
        </w:rPr>
        <w:t>2</w:t>
      </w:r>
      <w:r>
        <w:rPr>
          <w:rFonts w:hint="eastAsia" w:asciiTheme="majorEastAsia" w:hAnsiTheme="majorEastAsia" w:eastAsiaTheme="majorEastAsia" w:cstheme="minorEastAsia"/>
          <w:color w:val="auto"/>
          <w:sz w:val="24"/>
          <w:lang w:val="en-US" w:eastAsia="zh-CN" w:bidi="ar"/>
        </w:rPr>
        <w:t>.2</w:t>
      </w:r>
      <w:r>
        <w:rPr>
          <w:rFonts w:hint="eastAsia" w:asciiTheme="majorEastAsia" w:hAnsiTheme="majorEastAsia" w:eastAsiaTheme="majorEastAsia" w:cstheme="minorEastAsia"/>
          <w:color w:val="auto"/>
          <w:sz w:val="24"/>
          <w:lang w:bidi="ar"/>
        </w:rPr>
        <w:t>地点：“苏采云”系统（</w:t>
      </w:r>
      <w:r>
        <w:rPr>
          <w:rFonts w:hint="eastAsia" w:asciiTheme="majorEastAsia" w:hAnsiTheme="majorEastAsia" w:eastAsiaTheme="majorEastAsia" w:cstheme="minorEastAsia"/>
          <w:b/>
          <w:bCs/>
          <w:color w:val="auto"/>
          <w:sz w:val="24"/>
          <w:lang w:bidi="ar"/>
        </w:rPr>
        <w:t>网址：http://jszfcg.jsczt.cn/</w:t>
      </w:r>
      <w:r>
        <w:rPr>
          <w:rFonts w:hint="eastAsia" w:asciiTheme="majorEastAsia" w:hAnsiTheme="majorEastAsia" w:eastAsiaTheme="majorEastAsia" w:cstheme="minorEastAsia"/>
          <w:color w:val="auto"/>
          <w:sz w:val="24"/>
          <w:lang w:bidi="ar"/>
        </w:rPr>
        <w:t>）“开标大厅”</w:t>
      </w:r>
    </w:p>
    <w:p>
      <w:pPr>
        <w:adjustRightInd w:val="0"/>
        <w:snapToGrid w:val="0"/>
        <w:spacing w:line="360" w:lineRule="auto"/>
        <w:ind w:firstLine="480" w:firstLineChars="200"/>
        <w:rPr>
          <w:rFonts w:asciiTheme="majorEastAsia" w:hAnsiTheme="majorEastAsia" w:eastAsiaTheme="majorEastAsia" w:cstheme="minorEastAsia"/>
          <w:color w:val="auto"/>
          <w:sz w:val="24"/>
          <w:lang w:bidi="ar"/>
        </w:rPr>
      </w:pPr>
      <w:r>
        <w:rPr>
          <w:rFonts w:hint="eastAsia" w:asciiTheme="majorEastAsia" w:hAnsiTheme="majorEastAsia" w:eastAsiaTheme="majorEastAsia" w:cstheme="minorEastAsia"/>
          <w:color w:val="auto"/>
          <w:sz w:val="24"/>
          <w:lang w:val="en-US" w:eastAsia="zh-CN" w:bidi="ar"/>
        </w:rPr>
        <w:t>2.</w:t>
      </w:r>
      <w:r>
        <w:rPr>
          <w:rFonts w:hint="eastAsia" w:asciiTheme="majorEastAsia" w:hAnsiTheme="majorEastAsia" w:eastAsiaTheme="majorEastAsia" w:cstheme="minorEastAsia"/>
          <w:color w:val="auto"/>
          <w:sz w:val="24"/>
          <w:lang w:bidi="ar"/>
        </w:rPr>
        <w:t>3响应文件的解密：开标当天各</w:t>
      </w:r>
      <w:r>
        <w:rPr>
          <w:rFonts w:hint="eastAsia" w:asciiTheme="majorEastAsia" w:hAnsiTheme="majorEastAsia" w:eastAsiaTheme="majorEastAsia" w:cstheme="minorEastAsia"/>
          <w:color w:val="auto"/>
          <w:sz w:val="24"/>
          <w:lang w:eastAsia="zh-CN" w:bidi="ar"/>
        </w:rPr>
        <w:t>投标人</w:t>
      </w:r>
      <w:r>
        <w:rPr>
          <w:rFonts w:hint="eastAsia" w:asciiTheme="majorEastAsia" w:hAnsiTheme="majorEastAsia" w:eastAsiaTheme="majorEastAsia" w:cstheme="minorEastAsia"/>
          <w:color w:val="auto"/>
          <w:sz w:val="24"/>
          <w:lang w:bidi="ar"/>
        </w:rPr>
        <w:t>及时登录不见面开标大厅，响应文件递交截止时间后，采购人将在系统内公布</w:t>
      </w:r>
      <w:r>
        <w:rPr>
          <w:rFonts w:hint="eastAsia" w:asciiTheme="majorEastAsia" w:hAnsiTheme="majorEastAsia" w:eastAsiaTheme="majorEastAsia" w:cstheme="minorEastAsia"/>
          <w:color w:val="auto"/>
          <w:sz w:val="24"/>
          <w:lang w:eastAsia="zh-CN" w:bidi="ar"/>
        </w:rPr>
        <w:t>投标人</w:t>
      </w:r>
      <w:r>
        <w:rPr>
          <w:rFonts w:hint="eastAsia" w:asciiTheme="majorEastAsia" w:hAnsiTheme="majorEastAsia" w:eastAsiaTheme="majorEastAsia" w:cstheme="minorEastAsia"/>
          <w:color w:val="auto"/>
          <w:sz w:val="24"/>
          <w:lang w:bidi="ar"/>
        </w:rPr>
        <w:t>名单，然后通过开标会议区发出响应文件解密的指令，投标</w:t>
      </w:r>
      <w:r>
        <w:rPr>
          <w:rFonts w:hint="eastAsia" w:asciiTheme="majorEastAsia" w:hAnsiTheme="majorEastAsia" w:eastAsiaTheme="majorEastAsia" w:cstheme="minorEastAsia"/>
          <w:color w:val="auto"/>
          <w:sz w:val="24"/>
          <w:lang w:eastAsia="zh-CN" w:bidi="ar"/>
        </w:rPr>
        <w:t>投标人</w:t>
      </w:r>
      <w:r>
        <w:rPr>
          <w:rFonts w:hint="eastAsia" w:asciiTheme="majorEastAsia" w:hAnsiTheme="majorEastAsia" w:eastAsiaTheme="majorEastAsia" w:cstheme="minorEastAsia"/>
          <w:color w:val="auto"/>
          <w:sz w:val="24"/>
          <w:lang w:bidi="ar"/>
        </w:rPr>
        <w:t>在开标室按规定时间自行实施远程解密，</w:t>
      </w:r>
      <w:r>
        <w:rPr>
          <w:rFonts w:hint="eastAsia" w:asciiTheme="majorEastAsia" w:hAnsiTheme="majorEastAsia" w:eastAsiaTheme="majorEastAsia" w:cstheme="minorEastAsia"/>
          <w:b/>
          <w:bCs/>
          <w:color w:val="auto"/>
          <w:sz w:val="24"/>
          <w:lang w:bidi="ar"/>
        </w:rPr>
        <w:t>投标</w:t>
      </w:r>
      <w:r>
        <w:rPr>
          <w:rFonts w:hint="eastAsia" w:asciiTheme="majorEastAsia" w:hAnsiTheme="majorEastAsia" w:eastAsiaTheme="majorEastAsia" w:cstheme="minorEastAsia"/>
          <w:b/>
          <w:bCs/>
          <w:color w:val="auto"/>
          <w:sz w:val="24"/>
          <w:lang w:eastAsia="zh-CN" w:bidi="ar"/>
        </w:rPr>
        <w:t>投标人</w:t>
      </w:r>
      <w:r>
        <w:rPr>
          <w:rFonts w:hint="eastAsia" w:asciiTheme="majorEastAsia" w:hAnsiTheme="majorEastAsia" w:eastAsiaTheme="majorEastAsia" w:cstheme="minorEastAsia"/>
          <w:b/>
          <w:bCs/>
          <w:color w:val="auto"/>
          <w:sz w:val="24"/>
          <w:lang w:bidi="ar"/>
        </w:rPr>
        <w:t>解密限定在开标后30分钟之内完成。</w:t>
      </w:r>
      <w:r>
        <w:rPr>
          <w:rFonts w:hint="eastAsia" w:asciiTheme="majorEastAsia" w:hAnsiTheme="majorEastAsia" w:eastAsiaTheme="majorEastAsia" w:cstheme="minorEastAsia"/>
          <w:color w:val="auto"/>
          <w:sz w:val="24"/>
          <w:lang w:bidi="ar"/>
        </w:rPr>
        <w:t>因投标</w:t>
      </w:r>
      <w:r>
        <w:rPr>
          <w:rFonts w:hint="eastAsia" w:asciiTheme="majorEastAsia" w:hAnsiTheme="majorEastAsia" w:eastAsiaTheme="majorEastAsia" w:cstheme="minorEastAsia"/>
          <w:color w:val="auto"/>
          <w:sz w:val="24"/>
          <w:lang w:eastAsia="zh-CN" w:bidi="ar"/>
        </w:rPr>
        <w:t>投标人</w:t>
      </w:r>
      <w:r>
        <w:rPr>
          <w:rFonts w:hint="eastAsia" w:asciiTheme="majorEastAsia" w:hAnsiTheme="majorEastAsia" w:eastAsiaTheme="majorEastAsia" w:cstheme="minorEastAsia"/>
          <w:color w:val="auto"/>
          <w:sz w:val="24"/>
          <w:lang w:bidi="ar"/>
        </w:rPr>
        <w:t>网络与电源不稳定、未按操作手册要求配置软硬件、解密锁发生故障或用错、故意不在要求时限内完成解密等自身原因，导致响应文件在规定时间内未能解密、解密失败或解密超时，视为投标</w:t>
      </w:r>
      <w:r>
        <w:rPr>
          <w:rFonts w:hint="eastAsia" w:asciiTheme="majorEastAsia" w:hAnsiTheme="majorEastAsia" w:eastAsiaTheme="majorEastAsia" w:cstheme="minorEastAsia"/>
          <w:color w:val="auto"/>
          <w:sz w:val="24"/>
          <w:lang w:eastAsia="zh-CN" w:bidi="ar"/>
        </w:rPr>
        <w:t>投标人</w:t>
      </w:r>
      <w:r>
        <w:rPr>
          <w:rFonts w:hint="eastAsia" w:asciiTheme="majorEastAsia" w:hAnsiTheme="majorEastAsia" w:eastAsiaTheme="majorEastAsia" w:cstheme="minorEastAsia"/>
          <w:color w:val="auto"/>
          <w:sz w:val="24"/>
          <w:lang w:bidi="ar"/>
        </w:rPr>
        <w:t>撤销其响应文件，系统内响应文件将被退回；因采购人（或采购代理机构）原因或网上招投标平台发生故障，导致无法按时完成响应文件解密或开、评标工作无法进行的，可根据实际情况相应延迟解密时间或调整开、评标时间。</w:t>
      </w:r>
    </w:p>
    <w:p>
      <w:pPr>
        <w:keepNext/>
        <w:spacing w:line="360" w:lineRule="auto"/>
        <w:textAlignment w:val="baseline"/>
        <w:outlineLvl w:val="1"/>
        <w:rPr>
          <w:rFonts w:ascii="Times New Roman" w:hAnsi="Times New Roman" w:eastAsia="黑体" w:cs="Times New Roman"/>
          <w:b/>
          <w:color w:val="000000"/>
          <w:kern w:val="0"/>
          <w:sz w:val="28"/>
          <w:szCs w:val="20"/>
        </w:rPr>
      </w:pPr>
      <w:r>
        <w:rPr>
          <w:rFonts w:hint="eastAsia" w:ascii="Times New Roman" w:hAnsi="Times New Roman" w:eastAsia="黑体" w:cs="Times New Roman"/>
          <w:b/>
          <w:color w:val="000000"/>
          <w:kern w:val="0"/>
          <w:sz w:val="28"/>
          <w:szCs w:val="20"/>
        </w:rPr>
        <w:t>五、公告期限</w:t>
      </w:r>
    </w:p>
    <w:p>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自本公告发布之日起5个工作日。</w:t>
      </w:r>
    </w:p>
    <w:p>
      <w:pPr>
        <w:keepNext/>
        <w:spacing w:line="360" w:lineRule="auto"/>
        <w:textAlignment w:val="baseline"/>
        <w:outlineLvl w:val="1"/>
        <w:rPr>
          <w:rFonts w:ascii="Times New Roman" w:hAnsi="Times New Roman" w:eastAsia="黑体" w:cs="Times New Roman"/>
          <w:b/>
          <w:color w:val="000000"/>
          <w:kern w:val="0"/>
          <w:sz w:val="28"/>
          <w:szCs w:val="20"/>
        </w:rPr>
      </w:pPr>
      <w:r>
        <w:rPr>
          <w:rFonts w:hint="eastAsia" w:ascii="Times New Roman" w:hAnsi="Times New Roman" w:eastAsia="黑体" w:cs="Times New Roman"/>
          <w:b/>
          <w:color w:val="000000"/>
          <w:kern w:val="0"/>
          <w:sz w:val="28"/>
          <w:szCs w:val="20"/>
        </w:rPr>
        <w:t>六、其他补充事宜</w:t>
      </w:r>
    </w:p>
    <w:p>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本次公开招标不收取投标保证金。</w:t>
      </w:r>
    </w:p>
    <w:p>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2.本招标文件中标注★的款项为实质性响应要求和条件，如不满足将按无效响应处理。</w:t>
      </w:r>
    </w:p>
    <w:p>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3.无论出于何种原因，采购人在采购活动开始前可对采购文件进行修改、补充或变更，其内容作为采购文件的重要组成部分，请各</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关注</w:t>
      </w:r>
      <w:r>
        <w:rPr>
          <w:rFonts w:hint="eastAsia" w:ascii="宋体" w:hAnsi="宋体" w:eastAsia="宋体" w:cs="Times New Roman"/>
          <w:b/>
          <w:bCs/>
          <w:sz w:val="24"/>
          <w:szCs w:val="24"/>
          <w:lang w:val="en-US" w:eastAsia="zh-CN"/>
        </w:rPr>
        <w:t>江苏省政府采购网</w:t>
      </w:r>
      <w:r>
        <w:rPr>
          <w:rFonts w:hint="eastAsia" w:ascii="宋体" w:hAnsi="宋体" w:eastAsia="宋体" w:cs="Times New Roman"/>
          <w:sz w:val="24"/>
          <w:szCs w:val="24"/>
        </w:rPr>
        <w:t>。若因</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自身原因未及时关注本项目有关修改、补充或变更信息，导致投标文件编制或提交失误，由此造成的一切损失由</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 xml:space="preserve">自行承担。  </w:t>
      </w:r>
    </w:p>
    <w:p>
      <w:pPr>
        <w:keepNext/>
        <w:spacing w:line="360" w:lineRule="auto"/>
        <w:textAlignment w:val="baseline"/>
        <w:outlineLvl w:val="1"/>
        <w:rPr>
          <w:rFonts w:ascii="Times New Roman" w:hAnsi="Times New Roman" w:eastAsia="黑体" w:cs="Times New Roman"/>
          <w:b/>
          <w:color w:val="000000"/>
          <w:kern w:val="0"/>
          <w:sz w:val="28"/>
          <w:szCs w:val="20"/>
        </w:rPr>
      </w:pPr>
      <w:r>
        <w:rPr>
          <w:rFonts w:hint="eastAsia" w:ascii="Times New Roman" w:hAnsi="Times New Roman" w:eastAsia="黑体" w:cs="Times New Roman"/>
          <w:b/>
          <w:color w:val="000000"/>
          <w:kern w:val="0"/>
          <w:sz w:val="28"/>
          <w:szCs w:val="20"/>
        </w:rPr>
        <w:t>七、对本次招标提出询问，请按以下方式联系。</w:t>
      </w:r>
    </w:p>
    <w:p>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1.采购人信息</w:t>
      </w:r>
    </w:p>
    <w:p>
      <w:pPr>
        <w:spacing w:line="360" w:lineRule="auto"/>
        <w:ind w:firstLine="480" w:firstLineChars="200"/>
        <w:jc w:val="left"/>
        <w:rPr>
          <w:rFonts w:hint="eastAsia" w:ascii="宋体" w:hAnsi="宋体" w:eastAsia="宋体" w:cs="Times New Roman"/>
          <w:sz w:val="24"/>
          <w:szCs w:val="24"/>
          <w:lang w:eastAsia="zh-CN"/>
        </w:rPr>
      </w:pPr>
      <w:r>
        <w:rPr>
          <w:rFonts w:hint="eastAsia" w:ascii="宋体" w:hAnsi="宋体" w:eastAsia="宋体" w:cs="Times New Roman"/>
          <w:sz w:val="24"/>
          <w:szCs w:val="24"/>
        </w:rPr>
        <w:t>名    称：</w:t>
      </w:r>
      <w:r>
        <w:rPr>
          <w:rFonts w:hint="eastAsia" w:ascii="宋体" w:hAnsi="宋体" w:eastAsia="宋体" w:cs="Times New Roman"/>
          <w:sz w:val="24"/>
          <w:szCs w:val="24"/>
          <w:lang w:eastAsia="zh-CN"/>
        </w:rPr>
        <w:t>连云港市海州区绿化养护管理二处</w:t>
      </w:r>
    </w:p>
    <w:p>
      <w:pPr>
        <w:spacing w:line="360" w:lineRule="auto"/>
        <w:ind w:firstLine="480" w:firstLineChars="200"/>
        <w:jc w:val="left"/>
        <w:rPr>
          <w:rFonts w:hint="eastAsia" w:ascii="宋体" w:hAnsi="宋体" w:eastAsia="宋体" w:cs="Times New Roman"/>
          <w:sz w:val="24"/>
          <w:szCs w:val="24"/>
          <w:lang w:eastAsia="zh-CN"/>
        </w:rPr>
      </w:pPr>
      <w:r>
        <w:rPr>
          <w:rFonts w:hint="eastAsia" w:ascii="宋体" w:hAnsi="宋体" w:eastAsia="宋体" w:cs="Times New Roman"/>
          <w:sz w:val="24"/>
          <w:szCs w:val="24"/>
        </w:rPr>
        <w:t>地    址：海州区海宁西路98号</w:t>
      </w:r>
    </w:p>
    <w:p>
      <w:pPr>
        <w:spacing w:line="360" w:lineRule="auto"/>
        <w:ind w:firstLine="480" w:firstLineChars="200"/>
        <w:jc w:val="left"/>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rPr>
        <w:t>联系方式</w:t>
      </w:r>
      <w:r>
        <w:rPr>
          <w:rFonts w:hint="eastAsia" w:ascii="宋体" w:hAnsi="宋体" w:eastAsia="宋体" w:cs="Times New Roman"/>
          <w:sz w:val="24"/>
          <w:szCs w:val="24"/>
          <w:lang w:eastAsia="zh-CN"/>
        </w:rPr>
        <w:t>：</w:t>
      </w:r>
      <w:r>
        <w:rPr>
          <w:rFonts w:hint="eastAsia" w:ascii="宋体" w:hAnsi="宋体" w:eastAsia="宋体" w:cs="Times New Roman"/>
          <w:sz w:val="24"/>
          <w:szCs w:val="24"/>
          <w:highlight w:val="none"/>
          <w:lang w:val="en-US" w:eastAsia="zh-CN"/>
        </w:rPr>
        <w:t xml:space="preserve">卢兵      </w:t>
      </w:r>
      <w:r>
        <w:rPr>
          <w:rFonts w:hint="eastAsia" w:ascii="宋体" w:hAnsi="宋体" w:eastAsia="宋体" w:cs="Times New Roman"/>
          <w:sz w:val="24"/>
          <w:szCs w:val="24"/>
          <w:highlight w:val="none"/>
          <w:lang w:eastAsia="zh-CN"/>
        </w:rPr>
        <w:t xml:space="preserve">  联系方式：</w:t>
      </w:r>
      <w:r>
        <w:rPr>
          <w:rFonts w:hint="eastAsia" w:ascii="宋体" w:hAnsi="宋体" w:eastAsia="宋体" w:cs="Times New Roman"/>
          <w:sz w:val="24"/>
          <w:szCs w:val="24"/>
          <w:highlight w:val="none"/>
          <w:lang w:val="en-US" w:eastAsia="zh-CN"/>
        </w:rPr>
        <w:t>13805135702</w:t>
      </w:r>
    </w:p>
    <w:p>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2.采购代理机构信息</w:t>
      </w:r>
    </w:p>
    <w:p>
      <w:pPr>
        <w:spacing w:line="360" w:lineRule="auto"/>
        <w:ind w:firstLine="480" w:firstLineChars="200"/>
        <w:jc w:val="left"/>
        <w:rPr>
          <w:rFonts w:hint="eastAsia" w:ascii="宋体" w:hAnsi="宋体" w:eastAsia="宋体" w:cs="Times New Roman"/>
          <w:sz w:val="24"/>
          <w:szCs w:val="24"/>
          <w:lang w:eastAsia="zh-CN"/>
        </w:rPr>
      </w:pPr>
      <w:r>
        <w:rPr>
          <w:rFonts w:hint="eastAsia" w:ascii="宋体" w:hAnsi="宋体" w:eastAsia="宋体" w:cs="Times New Roman"/>
          <w:sz w:val="24"/>
          <w:szCs w:val="24"/>
        </w:rPr>
        <w:t>名    称：</w:t>
      </w:r>
      <w:r>
        <w:rPr>
          <w:rFonts w:hint="eastAsia" w:ascii="宋体" w:hAnsi="宋体" w:eastAsia="宋体" w:cs="Times New Roman"/>
          <w:sz w:val="24"/>
          <w:szCs w:val="24"/>
          <w:lang w:eastAsia="zh-CN"/>
        </w:rPr>
        <w:t>江苏宝宏项目管理咨询有限公司</w:t>
      </w:r>
    </w:p>
    <w:p>
      <w:pPr>
        <w:spacing w:line="360" w:lineRule="auto"/>
        <w:ind w:firstLine="480" w:firstLineChars="200"/>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rPr>
        <w:t>地    址：</w:t>
      </w:r>
      <w:r>
        <w:rPr>
          <w:rFonts w:hint="eastAsia" w:ascii="宋体" w:hAnsi="宋体" w:eastAsia="宋体" w:cs="Times New Roman"/>
          <w:sz w:val="24"/>
          <w:szCs w:val="24"/>
          <w:lang w:val="en-US" w:eastAsia="zh-CN"/>
        </w:rPr>
        <w:t>连云港海州区朐凤路116号</w:t>
      </w:r>
    </w:p>
    <w:p>
      <w:pPr>
        <w:spacing w:line="360" w:lineRule="auto"/>
        <w:ind w:firstLine="480" w:firstLineChars="200"/>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rPr>
        <w:t>联系方式：</w:t>
      </w:r>
      <w:r>
        <w:rPr>
          <w:rFonts w:hint="eastAsia" w:ascii="宋体" w:hAnsi="宋体" w:eastAsia="宋体" w:cs="Times New Roman"/>
          <w:sz w:val="24"/>
          <w:szCs w:val="24"/>
          <w:lang w:val="en-US" w:eastAsia="zh-CN"/>
        </w:rPr>
        <w:t>孙工  18936670014</w:t>
      </w:r>
    </w:p>
    <w:p>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3.项目联系方式</w:t>
      </w:r>
    </w:p>
    <w:p>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项目联系人：</w:t>
      </w:r>
      <w:r>
        <w:rPr>
          <w:rFonts w:hint="eastAsia" w:ascii="宋体" w:hAnsi="宋体" w:eastAsia="宋体" w:cs="Times New Roman"/>
          <w:sz w:val="24"/>
          <w:szCs w:val="24"/>
          <w:lang w:val="en-US" w:eastAsia="zh-CN"/>
        </w:rPr>
        <w:t>孙工</w:t>
      </w:r>
    </w:p>
    <w:p>
      <w:pPr>
        <w:spacing w:line="360" w:lineRule="auto"/>
        <w:ind w:firstLine="480" w:firstLineChars="200"/>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rPr>
        <w:t>电      话：</w:t>
      </w:r>
      <w:r>
        <w:rPr>
          <w:rFonts w:hint="eastAsia" w:ascii="宋体" w:hAnsi="宋体" w:eastAsia="宋体" w:cs="Times New Roman"/>
          <w:sz w:val="24"/>
          <w:szCs w:val="24"/>
          <w:lang w:val="en-US" w:eastAsia="zh-CN"/>
        </w:rPr>
        <w:t>18936670014</w:t>
      </w:r>
    </w:p>
    <w:p>
      <w:pPr>
        <w:keepNext/>
        <w:spacing w:line="360" w:lineRule="auto"/>
        <w:textAlignment w:val="baseline"/>
        <w:outlineLvl w:val="1"/>
        <w:rPr>
          <w:rFonts w:ascii="Times New Roman" w:hAnsi="Times New Roman" w:eastAsia="黑体" w:cs="Times New Roman"/>
          <w:b/>
          <w:color w:val="000000"/>
          <w:kern w:val="0"/>
          <w:sz w:val="28"/>
          <w:szCs w:val="20"/>
        </w:rPr>
      </w:pPr>
      <w:r>
        <w:rPr>
          <w:rFonts w:hint="eastAsia" w:ascii="Times New Roman" w:hAnsi="Times New Roman" w:eastAsia="黑体" w:cs="Times New Roman"/>
          <w:b/>
          <w:color w:val="000000"/>
          <w:kern w:val="0"/>
          <w:sz w:val="28"/>
          <w:szCs w:val="20"/>
        </w:rPr>
        <w:t>八、电子招投标说明</w:t>
      </w:r>
    </w:p>
    <w:p>
      <w:pPr>
        <w:widowControl/>
        <w:spacing w:line="360" w:lineRule="auto"/>
        <w:ind w:firstLine="480" w:firstLineChars="200"/>
        <w:jc w:val="left"/>
        <w:rPr>
          <w:rFonts w:cs="Times New Roman" w:asciiTheme="majorEastAsia" w:hAnsiTheme="majorEastAsia" w:eastAsiaTheme="majorEastAsia"/>
          <w:b/>
          <w:bCs/>
          <w:color w:val="auto"/>
          <w:kern w:val="0"/>
          <w:sz w:val="24"/>
        </w:rPr>
      </w:pPr>
      <w:r>
        <w:rPr>
          <w:rFonts w:hint="eastAsia" w:cs="Times New Roman" w:asciiTheme="majorEastAsia" w:hAnsiTheme="majorEastAsia" w:eastAsiaTheme="majorEastAsia"/>
          <w:color w:val="auto"/>
          <w:kern w:val="0"/>
          <w:sz w:val="24"/>
        </w:rPr>
        <w:t>1.根据省财政厅《关于更换全省政府采购交易系统C A数字证书和电子签章的通知》（苏财购〔2023〕101号），</w:t>
      </w:r>
      <w:r>
        <w:rPr>
          <w:rFonts w:hint="eastAsia" w:cs="Times New Roman" w:asciiTheme="majorEastAsia" w:hAnsiTheme="majorEastAsia" w:eastAsiaTheme="majorEastAsia"/>
          <w:b/>
          <w:bCs/>
          <w:color w:val="auto"/>
          <w:kern w:val="0"/>
          <w:sz w:val="24"/>
        </w:rPr>
        <w:t>“苏采云”政府采购交易系统（以下简称苏采云系统）</w:t>
      </w:r>
      <w:r>
        <w:rPr>
          <w:rFonts w:hint="eastAsia" w:cs="Times New Roman" w:asciiTheme="majorEastAsia" w:hAnsiTheme="majorEastAsia" w:eastAsiaTheme="majorEastAsia"/>
          <w:color w:val="auto"/>
          <w:kern w:val="0"/>
          <w:sz w:val="24"/>
        </w:rPr>
        <w:t>的CA数字证书、电子签章已更换为江苏省电子政务证书认证中心C A和方正国际软件（北京）有限公司电子签章。如果投标人通过苏采云系统参与政府采购项目，需要更换CA数字证书和电子签章。具体办理指南和操作手册见链接：</w:t>
      </w:r>
      <w:r>
        <w:rPr>
          <w:rFonts w:hint="eastAsia" w:cs="Times New Roman" w:asciiTheme="majorEastAsia" w:hAnsiTheme="majorEastAsia" w:eastAsiaTheme="majorEastAsia"/>
          <w:b/>
          <w:bCs/>
          <w:color w:val="auto"/>
          <w:kern w:val="0"/>
          <w:sz w:val="24"/>
        </w:rPr>
        <w:t>http://www.ccgp-jiangsu.gov.cn/jiangsu/zlxz/ee/ee3a4bc5a3454aa2b0d9312230633ce9.html。</w:t>
      </w:r>
    </w:p>
    <w:p>
      <w:pPr>
        <w:widowControl/>
        <w:spacing w:line="360" w:lineRule="auto"/>
        <w:ind w:firstLine="480" w:firstLineChars="200"/>
        <w:jc w:val="left"/>
        <w:rPr>
          <w:rFonts w:cs="Times New Roman" w:asciiTheme="majorEastAsia" w:hAnsiTheme="majorEastAsia" w:eastAsiaTheme="majorEastAsia"/>
          <w:color w:val="auto"/>
          <w:kern w:val="0"/>
          <w:sz w:val="24"/>
        </w:rPr>
      </w:pPr>
      <w:r>
        <w:rPr>
          <w:rFonts w:hint="eastAsia" w:cs="Times New Roman" w:asciiTheme="majorEastAsia" w:hAnsiTheme="majorEastAsia" w:eastAsiaTheme="majorEastAsia"/>
          <w:color w:val="auto"/>
          <w:kern w:val="0"/>
          <w:sz w:val="24"/>
        </w:rPr>
        <w:t>领取CA和办理电子签章，具体联系方式见《苏采云系统</w:t>
      </w:r>
      <w:r>
        <w:rPr>
          <w:rFonts w:hint="eastAsia" w:cs="Times New Roman" w:asciiTheme="majorEastAsia" w:hAnsiTheme="majorEastAsia" w:eastAsiaTheme="majorEastAsia"/>
          <w:color w:val="auto"/>
          <w:kern w:val="0"/>
          <w:sz w:val="24"/>
          <w:lang w:eastAsia="zh-CN"/>
        </w:rPr>
        <w:t>投标人</w:t>
      </w:r>
      <w:r>
        <w:rPr>
          <w:rFonts w:hint="eastAsia" w:cs="Times New Roman" w:asciiTheme="majorEastAsia" w:hAnsiTheme="majorEastAsia" w:eastAsiaTheme="majorEastAsia"/>
          <w:color w:val="auto"/>
          <w:kern w:val="0"/>
          <w:sz w:val="24"/>
        </w:rPr>
        <w:t>操作手册》（以下简称《操作手册》）、进行注册并按《操作手册》要求制作、上传电子投标文件。</w:t>
      </w:r>
    </w:p>
    <w:p>
      <w:pPr>
        <w:widowControl/>
        <w:numPr>
          <w:ilvl w:val="0"/>
          <w:numId w:val="2"/>
        </w:numPr>
        <w:spacing w:line="360" w:lineRule="auto"/>
        <w:ind w:firstLine="480" w:firstLineChars="200"/>
        <w:jc w:val="left"/>
        <w:rPr>
          <w:rFonts w:cs="Times New Roman" w:asciiTheme="majorEastAsia" w:hAnsiTheme="majorEastAsia" w:eastAsiaTheme="majorEastAsia"/>
          <w:color w:val="auto"/>
          <w:kern w:val="0"/>
          <w:sz w:val="24"/>
        </w:rPr>
      </w:pPr>
      <w:r>
        <w:rPr>
          <w:rFonts w:hint="eastAsia" w:cs="Times New Roman" w:asciiTheme="majorEastAsia" w:hAnsiTheme="majorEastAsia" w:eastAsiaTheme="majorEastAsia"/>
          <w:color w:val="auto"/>
          <w:kern w:val="0"/>
          <w:sz w:val="24"/>
        </w:rPr>
        <w:t>有关本次招标的事项若存在变动或修改，敬请及时关注在“江苏政府采购网”发布的更正公告。若因</w:t>
      </w:r>
      <w:r>
        <w:rPr>
          <w:rFonts w:hint="eastAsia" w:cs="Times New Roman" w:asciiTheme="majorEastAsia" w:hAnsiTheme="majorEastAsia" w:eastAsiaTheme="majorEastAsia"/>
          <w:color w:val="auto"/>
          <w:kern w:val="0"/>
          <w:sz w:val="24"/>
          <w:lang w:eastAsia="zh-CN"/>
        </w:rPr>
        <w:t>投标人</w:t>
      </w:r>
      <w:r>
        <w:rPr>
          <w:rFonts w:hint="eastAsia" w:cs="Times New Roman" w:asciiTheme="majorEastAsia" w:hAnsiTheme="majorEastAsia" w:eastAsiaTheme="majorEastAsia"/>
          <w:color w:val="auto"/>
          <w:kern w:val="0"/>
          <w:sz w:val="24"/>
        </w:rPr>
        <w:t>自身原因未及时关注本项目有关修改、补充或变更信息，导致响应文件编制或提交失误，由此造成的一切损失由</w:t>
      </w:r>
      <w:r>
        <w:rPr>
          <w:rFonts w:hint="eastAsia" w:cs="Times New Roman" w:asciiTheme="majorEastAsia" w:hAnsiTheme="majorEastAsia" w:eastAsiaTheme="majorEastAsia"/>
          <w:color w:val="auto"/>
          <w:kern w:val="0"/>
          <w:sz w:val="24"/>
          <w:lang w:eastAsia="zh-CN"/>
        </w:rPr>
        <w:t>投标人</w:t>
      </w:r>
      <w:r>
        <w:rPr>
          <w:rFonts w:hint="eastAsia" w:cs="Times New Roman" w:asciiTheme="majorEastAsia" w:hAnsiTheme="majorEastAsia" w:eastAsiaTheme="majorEastAsia"/>
          <w:color w:val="auto"/>
          <w:kern w:val="0"/>
          <w:sz w:val="24"/>
        </w:rPr>
        <w:t>自行承担。</w:t>
      </w:r>
    </w:p>
    <w:p>
      <w:pPr>
        <w:widowControl/>
        <w:numPr>
          <w:ilvl w:val="0"/>
          <w:numId w:val="2"/>
        </w:numPr>
        <w:spacing w:line="360" w:lineRule="auto"/>
        <w:ind w:firstLine="482" w:firstLineChars="200"/>
        <w:jc w:val="left"/>
        <w:rPr>
          <w:rFonts w:cs="Times New Roman" w:asciiTheme="majorEastAsia" w:hAnsiTheme="majorEastAsia" w:eastAsiaTheme="majorEastAsia"/>
          <w:color w:val="auto"/>
          <w:kern w:val="0"/>
          <w:sz w:val="24"/>
        </w:rPr>
      </w:pPr>
      <w:r>
        <w:rPr>
          <w:rFonts w:hint="eastAsia" w:cs="Times New Roman" w:asciiTheme="majorEastAsia" w:hAnsiTheme="majorEastAsia" w:eastAsiaTheme="majorEastAsia"/>
          <w:b/>
          <w:bCs/>
          <w:color w:val="auto"/>
          <w:kern w:val="0"/>
          <w:sz w:val="24"/>
          <w:lang w:val="en-US" w:eastAsia="zh-CN"/>
        </w:rPr>
        <w:t>苏采云系统投标文件格式与招标文件不一致时，投标人应按招标文件的投标文件格式另外制作一份电子投标文件上传于苏采云系统中</w:t>
      </w:r>
      <w:r>
        <w:rPr>
          <w:rFonts w:hint="eastAsia" w:cs="Times New Roman" w:asciiTheme="majorEastAsia" w:hAnsiTheme="majorEastAsia" w:eastAsiaTheme="majorEastAsia"/>
          <w:color w:val="auto"/>
          <w:kern w:val="0"/>
          <w:sz w:val="24"/>
          <w:lang w:val="en-US" w:eastAsia="zh-CN"/>
        </w:rPr>
        <w:t>。</w:t>
      </w:r>
    </w:p>
    <w:p>
      <w:pPr>
        <w:widowControl/>
        <w:spacing w:line="360" w:lineRule="auto"/>
        <w:jc w:val="left"/>
        <w:rPr>
          <w:rFonts w:cs="Times New Roman" w:asciiTheme="majorEastAsia" w:hAnsiTheme="majorEastAsia" w:eastAsiaTheme="majorEastAsia"/>
          <w:color w:val="auto"/>
          <w:kern w:val="0"/>
          <w:sz w:val="24"/>
        </w:rPr>
      </w:pPr>
    </w:p>
    <w:p>
      <w:pPr>
        <w:spacing w:line="360" w:lineRule="auto"/>
        <w:ind w:firstLine="480" w:firstLineChars="200"/>
        <w:jc w:val="righ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江苏宝宏项目管理咨询有限公司</w:t>
      </w:r>
    </w:p>
    <w:p>
      <w:pPr>
        <w:spacing w:line="360" w:lineRule="auto"/>
        <w:ind w:firstLine="480" w:firstLineChars="200"/>
        <w:jc w:val="right"/>
        <w:rPr>
          <w:rFonts w:ascii="宋体" w:hAnsi="宋体" w:eastAsia="宋体" w:cs="宋体"/>
          <w:color w:val="000000"/>
          <w:szCs w:val="24"/>
        </w:rPr>
      </w:pPr>
      <w:r>
        <w:rPr>
          <w:rFonts w:hint="eastAsia" w:ascii="宋体" w:hAnsi="宋体" w:eastAsia="宋体" w:cs="宋体"/>
          <w:color w:val="000000"/>
          <w:sz w:val="24"/>
          <w:szCs w:val="24"/>
          <w:lang w:val="en-US" w:eastAsia="zh-CN"/>
        </w:rPr>
        <w:t>2024</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日</w:t>
      </w:r>
    </w:p>
    <w:p>
      <w:pPr>
        <w:keepNext/>
        <w:keepLines/>
        <w:adjustRightInd w:val="0"/>
        <w:spacing w:line="360" w:lineRule="auto"/>
        <w:jc w:val="center"/>
        <w:textAlignment w:val="baseline"/>
        <w:outlineLvl w:val="0"/>
        <w:rPr>
          <w:rFonts w:ascii="Times New Roman" w:hAnsi="Times New Roman" w:eastAsia="黑体" w:cs="Times New Roman"/>
          <w:b/>
          <w:color w:val="000000"/>
          <w:kern w:val="44"/>
          <w:sz w:val="36"/>
          <w:szCs w:val="36"/>
        </w:rPr>
      </w:pPr>
      <w:r>
        <w:rPr>
          <w:rFonts w:ascii="Times New Roman" w:hAnsi="Times New Roman" w:eastAsia="黑体" w:cs="Times New Roman"/>
          <w:b/>
          <w:kern w:val="44"/>
          <w:sz w:val="36"/>
          <w:szCs w:val="20"/>
        </w:rPr>
        <w:br w:type="page"/>
      </w:r>
      <w:bookmarkStart w:id="5" w:name="_Toc513622227"/>
      <w:bookmarkStart w:id="6" w:name="_Toc21118"/>
      <w:r>
        <w:rPr>
          <w:rFonts w:hint="eastAsia" w:ascii="Times New Roman" w:hAnsi="宋体" w:eastAsia="黑体" w:cs="Times New Roman"/>
          <w:color w:val="000000"/>
          <w:kern w:val="44"/>
          <w:sz w:val="36"/>
          <w:szCs w:val="20"/>
        </w:rPr>
        <w:t>第二章  投标人须知</w:t>
      </w:r>
      <w:bookmarkEnd w:id="1"/>
      <w:bookmarkEnd w:id="2"/>
      <w:bookmarkEnd w:id="5"/>
      <w:bookmarkEnd w:id="6"/>
    </w:p>
    <w:p>
      <w:pPr>
        <w:keepNext/>
        <w:spacing w:line="360" w:lineRule="auto"/>
        <w:textAlignment w:val="baseline"/>
        <w:outlineLvl w:val="1"/>
        <w:rPr>
          <w:rFonts w:ascii="Times New Roman" w:hAnsi="Times New Roman" w:eastAsia="黑体" w:cs="Times New Roman"/>
          <w:b/>
          <w:color w:val="000000"/>
          <w:kern w:val="0"/>
          <w:sz w:val="28"/>
          <w:szCs w:val="20"/>
        </w:rPr>
      </w:pPr>
      <w:r>
        <w:rPr>
          <w:rFonts w:hint="eastAsia" w:ascii="Times New Roman" w:hAnsi="Times New Roman" w:eastAsia="黑体" w:cs="Times New Roman"/>
          <w:b/>
          <w:color w:val="000000"/>
          <w:kern w:val="0"/>
          <w:sz w:val="28"/>
          <w:szCs w:val="20"/>
        </w:rPr>
        <w:t>一、总则</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 采购人、项目（标段）名称及编号，详见第一章“投标邀请”。</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 采购预算</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2.1 本项目的采购预算，详见第一章“投标邀请”。</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3. 资金来源</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3.1 “投标邀请”中所述的采购人已获得一笔政府采购资金，用于采购第六章“项目需求”所列内容。</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4. 采购方式</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4.1 本项目采用</w:t>
      </w:r>
      <w:r>
        <w:rPr>
          <w:rFonts w:hint="eastAsia" w:ascii="宋体" w:hAnsi="宋体" w:eastAsia="宋体" w:cs="Times New Roman"/>
          <w:b/>
          <w:bCs/>
          <w:color w:val="000000"/>
          <w:sz w:val="24"/>
          <w:szCs w:val="24"/>
        </w:rPr>
        <w:t>公开招标</w:t>
      </w:r>
      <w:r>
        <w:rPr>
          <w:rFonts w:hint="eastAsia" w:ascii="宋体" w:hAnsi="宋体" w:eastAsia="宋体" w:cs="Times New Roman"/>
          <w:color w:val="000000"/>
          <w:sz w:val="24"/>
          <w:szCs w:val="24"/>
        </w:rPr>
        <w:t>采购方式，招标、投标、开标、评标和中标结果发布全程电子化。</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5. 合格的投标人</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5.1 投标人应符合第一章“投标邀请”中规定的条件，</w:t>
      </w:r>
      <w:r>
        <w:rPr>
          <w:rFonts w:hint="eastAsia" w:ascii="宋体" w:hAnsi="宋体" w:eastAsia="宋体" w:cs="Times New Roman"/>
          <w:b/>
          <w:bCs/>
          <w:color w:val="000000"/>
          <w:sz w:val="24"/>
          <w:szCs w:val="24"/>
        </w:rPr>
        <w:t>否则投标无效</w:t>
      </w:r>
      <w:r>
        <w:rPr>
          <w:rFonts w:hint="eastAsia" w:ascii="宋体" w:hAnsi="宋体" w:eastAsia="宋体" w:cs="Times New Roman"/>
          <w:color w:val="000000"/>
          <w:sz w:val="24"/>
          <w:szCs w:val="24"/>
        </w:rPr>
        <w:t>。</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5.2 投标人不得直接或间接地与为本次采购的标的进行设计、编制规范和其他文件的咨询公司、采购（代理）机构或其附属机构有任何关联。 </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5.3 银行、保险、石油石化、电力、电信等特殊行业法人的分支机构（不具有独立的法人资格）参加本项目政府采购活动的，应当提供总公司出具的愿为其参与本项目政府采购活动以及履约行为承担民事责任的承诺书（或授权书）。</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5.4 符合上述条件的投标人应承担投标及履约过程应承担的全部责任与义务。</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6. 投标费用</w:t>
      </w:r>
    </w:p>
    <w:p>
      <w:pPr>
        <w:spacing w:line="360" w:lineRule="auto"/>
        <w:ind w:firstLine="480" w:firstLineChars="20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6.1 不论投标结果如何，投标人均应自行承担所有与编写和提交投标文件有关的全部费用。</w:t>
      </w:r>
    </w:p>
    <w:p>
      <w:pPr>
        <w:spacing w:line="360" w:lineRule="auto"/>
        <w:ind w:firstLine="480"/>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lang w:val="en-US" w:eastAsia="zh-CN"/>
        </w:rPr>
        <w:t>本次招标</w:t>
      </w:r>
      <w:r>
        <w:rPr>
          <w:rFonts w:hint="eastAsia" w:ascii="宋体" w:hAnsi="宋体" w:eastAsia="宋体" w:cs="宋体"/>
          <w:i w:val="0"/>
          <w:iCs w:val="0"/>
          <w:color w:val="000000"/>
          <w:sz w:val="24"/>
          <w:highlight w:val="none"/>
        </w:rPr>
        <w:t>采购代理机构和采购人不收取采购文件工本费。</w:t>
      </w:r>
    </w:p>
    <w:p>
      <w:pPr>
        <w:spacing w:line="360" w:lineRule="auto"/>
        <w:ind w:firstLine="482"/>
        <w:rPr>
          <w:rFonts w:hint="eastAsia" w:ascii="宋体" w:hAnsi="宋体" w:eastAsia="宋体" w:cs="宋体"/>
          <w:i w:val="0"/>
          <w:iCs w:val="0"/>
          <w:color w:val="000000"/>
          <w:sz w:val="24"/>
          <w:highlight w:val="none"/>
        </w:rPr>
      </w:pPr>
      <w:r>
        <w:rPr>
          <w:rFonts w:hint="eastAsia" w:ascii="宋体" w:hAnsi="宋体" w:eastAsia="宋体" w:cs="宋体"/>
          <w:b/>
          <w:bCs/>
          <w:i w:val="0"/>
          <w:iCs w:val="0"/>
          <w:color w:val="000000"/>
          <w:sz w:val="24"/>
          <w:highlight w:val="none"/>
        </w:rPr>
        <w:t>代理服务费：本项目代理服务费按</w:t>
      </w:r>
      <w:r>
        <w:rPr>
          <w:rFonts w:hint="eastAsia" w:ascii="宋体" w:hAnsi="宋体" w:eastAsia="宋体" w:cs="宋体"/>
          <w:b/>
          <w:bCs/>
          <w:i w:val="0"/>
          <w:iCs w:val="0"/>
          <w:color w:val="000000"/>
          <w:sz w:val="24"/>
          <w:highlight w:val="none"/>
          <w:lang w:val="en-US" w:eastAsia="zh-CN"/>
        </w:rPr>
        <w:t>计价格</w:t>
      </w:r>
      <w:r>
        <w:rPr>
          <w:rFonts w:hint="eastAsia" w:ascii="宋体" w:hAnsi="宋体" w:eastAsia="宋体" w:cs="宋体"/>
          <w:b/>
          <w:bCs/>
          <w:i w:val="0"/>
          <w:iCs w:val="0"/>
          <w:color w:val="000000"/>
          <w:sz w:val="24"/>
          <w:highlight w:val="none"/>
        </w:rPr>
        <w:t>[</w:t>
      </w:r>
      <w:r>
        <w:rPr>
          <w:rFonts w:hint="eastAsia" w:ascii="宋体" w:hAnsi="宋体" w:eastAsia="宋体" w:cs="宋体"/>
          <w:b/>
          <w:bCs/>
          <w:i w:val="0"/>
          <w:iCs w:val="0"/>
          <w:color w:val="000000"/>
          <w:sz w:val="24"/>
          <w:highlight w:val="none"/>
          <w:lang w:val="en-US" w:eastAsia="zh-CN"/>
        </w:rPr>
        <w:t>2002</w:t>
      </w:r>
      <w:r>
        <w:rPr>
          <w:rFonts w:hint="eastAsia" w:ascii="宋体" w:hAnsi="宋体" w:eastAsia="宋体" w:cs="宋体"/>
          <w:b/>
          <w:bCs/>
          <w:i w:val="0"/>
          <w:iCs w:val="0"/>
          <w:color w:val="000000"/>
          <w:sz w:val="24"/>
          <w:highlight w:val="none"/>
        </w:rPr>
        <w:t>]</w:t>
      </w:r>
      <w:r>
        <w:rPr>
          <w:rFonts w:hint="eastAsia" w:ascii="宋体" w:hAnsi="宋体" w:eastAsia="宋体" w:cs="宋体"/>
          <w:b/>
          <w:bCs/>
          <w:i w:val="0"/>
          <w:iCs w:val="0"/>
          <w:color w:val="000000"/>
          <w:sz w:val="24"/>
          <w:highlight w:val="none"/>
          <w:lang w:val="en-US" w:eastAsia="zh-CN"/>
        </w:rPr>
        <w:t>1980</w:t>
      </w:r>
      <w:r>
        <w:rPr>
          <w:rFonts w:hint="eastAsia" w:ascii="宋体" w:hAnsi="宋体" w:eastAsia="宋体" w:cs="宋体"/>
          <w:b/>
          <w:bCs/>
          <w:i w:val="0"/>
          <w:iCs w:val="0"/>
          <w:color w:val="000000"/>
          <w:sz w:val="24"/>
          <w:highlight w:val="none"/>
        </w:rPr>
        <w:t>号文规定的服务类收费标准的</w:t>
      </w:r>
      <w:r>
        <w:rPr>
          <w:rFonts w:hint="eastAsia" w:ascii="宋体" w:hAnsi="宋体" w:eastAsia="宋体" w:cs="宋体"/>
          <w:b/>
          <w:bCs/>
          <w:i w:val="0"/>
          <w:iCs w:val="0"/>
          <w:color w:val="000000"/>
          <w:sz w:val="24"/>
          <w:highlight w:val="none"/>
          <w:lang w:val="en-US" w:eastAsia="zh-CN"/>
        </w:rPr>
        <w:t>55</w:t>
      </w:r>
      <w:r>
        <w:rPr>
          <w:rFonts w:hint="eastAsia" w:ascii="宋体" w:hAnsi="宋体" w:eastAsia="宋体" w:cs="宋体"/>
          <w:b/>
          <w:bCs/>
          <w:i w:val="0"/>
          <w:iCs w:val="0"/>
          <w:color w:val="000000"/>
          <w:sz w:val="24"/>
          <w:highlight w:val="none"/>
        </w:rPr>
        <w:t>%计取，上述费用由</w:t>
      </w:r>
      <w:r>
        <w:rPr>
          <w:rFonts w:hint="eastAsia" w:ascii="宋体" w:hAnsi="宋体" w:eastAsia="宋体" w:cs="宋体"/>
          <w:b/>
          <w:bCs/>
          <w:i w:val="0"/>
          <w:iCs w:val="0"/>
          <w:color w:val="000000"/>
          <w:sz w:val="24"/>
          <w:highlight w:val="none"/>
          <w:lang w:val="en-US" w:eastAsia="zh-CN"/>
        </w:rPr>
        <w:t>投标人</w:t>
      </w:r>
      <w:r>
        <w:rPr>
          <w:rFonts w:hint="eastAsia" w:ascii="宋体" w:hAnsi="宋体" w:eastAsia="宋体" w:cs="宋体"/>
          <w:b/>
          <w:bCs/>
          <w:i w:val="0"/>
          <w:iCs w:val="0"/>
          <w:color w:val="000000"/>
          <w:sz w:val="24"/>
          <w:highlight w:val="none"/>
        </w:rPr>
        <w:t>综合考虑在</w:t>
      </w:r>
      <w:r>
        <w:rPr>
          <w:rFonts w:hint="eastAsia" w:ascii="宋体" w:hAnsi="宋体" w:eastAsia="宋体" w:cs="宋体"/>
          <w:b/>
          <w:bCs/>
          <w:i w:val="0"/>
          <w:iCs w:val="0"/>
          <w:color w:val="000000"/>
          <w:sz w:val="24"/>
          <w:highlight w:val="none"/>
          <w:lang w:val="en-US" w:eastAsia="zh-CN"/>
        </w:rPr>
        <w:t>投标</w:t>
      </w:r>
      <w:r>
        <w:rPr>
          <w:rFonts w:hint="eastAsia" w:ascii="宋体" w:hAnsi="宋体" w:eastAsia="宋体" w:cs="宋体"/>
          <w:b/>
          <w:bCs/>
          <w:i w:val="0"/>
          <w:iCs w:val="0"/>
          <w:color w:val="000000"/>
          <w:sz w:val="24"/>
          <w:highlight w:val="none"/>
        </w:rPr>
        <w:t>报价中，领取中标通知书时一次性支付，不得单列。</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7.</w:t>
      </w:r>
      <w:r>
        <w:rPr>
          <w:rFonts w:ascii="宋体" w:hAnsi="宋体" w:eastAsia="宋体" w:cs="Times New Roman"/>
          <w:color w:val="000000"/>
          <w:sz w:val="24"/>
          <w:szCs w:val="24"/>
        </w:rPr>
        <w:t xml:space="preserve"> 质疑</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7.1 </w:t>
      </w:r>
      <w:r>
        <w:rPr>
          <w:rFonts w:ascii="宋体" w:hAnsi="宋体" w:eastAsia="宋体" w:cs="Times New Roman"/>
          <w:color w:val="000000"/>
          <w:sz w:val="24"/>
          <w:szCs w:val="24"/>
        </w:rPr>
        <w:t>质疑的提出</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7.1.1 提出质疑的</w:t>
      </w:r>
      <w:r>
        <w:rPr>
          <w:rFonts w:hint="eastAsia" w:ascii="宋体" w:hAnsi="宋体" w:eastAsia="宋体" w:cs="Times New Roman"/>
          <w:color w:val="000000"/>
          <w:sz w:val="24"/>
          <w:szCs w:val="24"/>
          <w:lang w:eastAsia="zh-CN"/>
        </w:rPr>
        <w:t>投标人</w:t>
      </w:r>
      <w:r>
        <w:rPr>
          <w:rFonts w:hint="eastAsia" w:ascii="宋体" w:hAnsi="宋体" w:eastAsia="宋体" w:cs="Times New Roman"/>
          <w:color w:val="000000"/>
          <w:sz w:val="24"/>
          <w:szCs w:val="24"/>
        </w:rPr>
        <w:t>应当是参与所质疑项目采购活动的</w:t>
      </w:r>
      <w:r>
        <w:rPr>
          <w:rFonts w:hint="eastAsia" w:ascii="宋体" w:hAnsi="宋体" w:eastAsia="宋体" w:cs="Times New Roman"/>
          <w:color w:val="000000"/>
          <w:sz w:val="24"/>
          <w:szCs w:val="24"/>
          <w:lang w:eastAsia="zh-CN"/>
        </w:rPr>
        <w:t>投标人</w:t>
      </w:r>
      <w:r>
        <w:rPr>
          <w:rFonts w:hint="eastAsia" w:ascii="宋体" w:hAnsi="宋体" w:eastAsia="宋体" w:cs="Times New Roman"/>
          <w:color w:val="000000"/>
          <w:sz w:val="24"/>
          <w:szCs w:val="24"/>
        </w:rPr>
        <w:t>。</w:t>
      </w:r>
    </w:p>
    <w:p>
      <w:pPr>
        <w:spacing w:line="360" w:lineRule="auto"/>
        <w:ind w:firstLine="480" w:firstLineChars="200"/>
        <w:rPr>
          <w:rFonts w:ascii="宋体" w:hAnsi="宋体" w:eastAsia="宋体" w:cs="Times New Roman"/>
          <w:b/>
          <w:color w:val="000000"/>
          <w:sz w:val="24"/>
          <w:szCs w:val="24"/>
        </w:rPr>
      </w:pPr>
      <w:r>
        <w:rPr>
          <w:rFonts w:hint="eastAsia" w:ascii="宋体" w:hAnsi="宋体" w:eastAsia="宋体" w:cs="Times New Roman"/>
          <w:color w:val="000000"/>
          <w:sz w:val="24"/>
          <w:szCs w:val="24"/>
        </w:rPr>
        <w:t>7.1.2</w:t>
      </w:r>
      <w:r>
        <w:rPr>
          <w:rFonts w:hint="eastAsia" w:ascii="宋体" w:hAnsi="宋体" w:eastAsia="宋体" w:cs="Times New Roman"/>
          <w:color w:val="000000"/>
          <w:sz w:val="24"/>
          <w:szCs w:val="24"/>
          <w:lang w:eastAsia="zh-CN"/>
        </w:rPr>
        <w:t>投标人</w:t>
      </w:r>
      <w:r>
        <w:rPr>
          <w:rFonts w:hint="eastAsia" w:ascii="宋体" w:hAnsi="宋体" w:eastAsia="宋体" w:cs="Times New Roman"/>
          <w:color w:val="000000"/>
          <w:sz w:val="24"/>
          <w:szCs w:val="24"/>
        </w:rPr>
        <w:t>认为招标文件、采购过程、中标结果使自己的权益受到损害的，可以在知道或者应知其权益受到损害之日（获取招标文件之日、中标公告发布之日）起七个工作日内以书面形式向采购人、</w:t>
      </w:r>
      <w:r>
        <w:rPr>
          <w:rFonts w:hint="eastAsia" w:ascii="宋体" w:hAnsi="宋体" w:eastAsia="宋体" w:cs="Times New Roman"/>
          <w:color w:val="FF0000"/>
          <w:sz w:val="24"/>
          <w:szCs w:val="24"/>
          <w:lang w:eastAsia="zh-CN"/>
        </w:rPr>
        <w:t>江苏宝宏项目管理咨询有限公司</w:t>
      </w:r>
      <w:r>
        <w:rPr>
          <w:rFonts w:hint="eastAsia" w:ascii="宋体" w:hAnsi="宋体" w:eastAsia="宋体" w:cs="Times New Roman"/>
          <w:color w:val="000000"/>
          <w:sz w:val="24"/>
          <w:szCs w:val="24"/>
        </w:rPr>
        <w:t>（以下简称</w:t>
      </w:r>
      <w:r>
        <w:rPr>
          <w:rFonts w:hint="eastAsia" w:ascii="宋体" w:hAnsi="宋体" w:eastAsia="宋体" w:cs="Times New Roman"/>
          <w:color w:val="000000"/>
          <w:sz w:val="24"/>
          <w:szCs w:val="24"/>
          <w:lang w:eastAsia="zh-CN"/>
        </w:rPr>
        <w:t>代理</w:t>
      </w:r>
      <w:r>
        <w:rPr>
          <w:rFonts w:hint="eastAsia" w:ascii="宋体" w:hAnsi="宋体" w:eastAsia="宋体" w:cs="Times New Roman"/>
          <w:color w:val="000000"/>
          <w:sz w:val="24"/>
          <w:szCs w:val="24"/>
        </w:rPr>
        <w:t>机构）提出质疑。</w:t>
      </w:r>
      <w:r>
        <w:rPr>
          <w:rFonts w:hint="eastAsia" w:ascii="宋体" w:hAnsi="宋体" w:eastAsia="宋体" w:cs="Times New Roman"/>
          <w:color w:val="000000"/>
          <w:sz w:val="24"/>
          <w:szCs w:val="24"/>
          <w:lang w:eastAsia="zh-CN"/>
        </w:rPr>
        <w:t>投标人</w:t>
      </w:r>
      <w:r>
        <w:rPr>
          <w:rFonts w:hint="eastAsia" w:ascii="宋体" w:hAnsi="宋体" w:eastAsia="宋体" w:cs="Times New Roman"/>
          <w:color w:val="000000"/>
          <w:sz w:val="24"/>
          <w:szCs w:val="24"/>
        </w:rPr>
        <w:t>应当在法定质疑期内一次性提出针对同一采购程序环节的质疑。</w:t>
      </w:r>
      <w:r>
        <w:rPr>
          <w:rFonts w:hint="eastAsia" w:ascii="宋体" w:hAnsi="宋体" w:eastAsia="宋体" w:cs="Times New Roman"/>
          <w:b/>
          <w:bCs/>
          <w:color w:val="000000"/>
          <w:sz w:val="24"/>
          <w:szCs w:val="24"/>
        </w:rPr>
        <w:t>未依照采购公告要求获取招标文件的</w:t>
      </w:r>
      <w:r>
        <w:rPr>
          <w:rFonts w:hint="eastAsia" w:ascii="宋体" w:hAnsi="宋体" w:eastAsia="宋体" w:cs="Times New Roman"/>
          <w:b/>
          <w:bCs/>
          <w:color w:val="000000"/>
          <w:sz w:val="24"/>
          <w:szCs w:val="24"/>
          <w:lang w:eastAsia="zh-CN"/>
        </w:rPr>
        <w:t>投标人</w:t>
      </w:r>
      <w:r>
        <w:rPr>
          <w:rFonts w:hint="eastAsia" w:ascii="宋体" w:hAnsi="宋体" w:eastAsia="宋体" w:cs="Times New Roman"/>
          <w:b/>
          <w:bCs/>
          <w:color w:val="000000"/>
          <w:sz w:val="24"/>
          <w:szCs w:val="24"/>
        </w:rPr>
        <w:t>，视为未参与该项目的采购活动，不具备对该招标文件提出质疑的法定权利。</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7.1.3 </w:t>
      </w:r>
      <w:r>
        <w:rPr>
          <w:rFonts w:ascii="宋体" w:hAnsi="宋体" w:eastAsia="宋体" w:cs="Times New Roman"/>
          <w:color w:val="000000"/>
          <w:sz w:val="24"/>
          <w:szCs w:val="24"/>
        </w:rPr>
        <w:t>提出质疑时，必须坚持“谁主张，谁举证”“实事求是”的原则，不能臆测。属于须由法定部门调查、侦查或先行作出相关认定的事项，质疑</w:t>
      </w:r>
      <w:r>
        <w:rPr>
          <w:rFonts w:hint="eastAsia" w:ascii="宋体" w:hAnsi="宋体" w:eastAsia="宋体" w:cs="Times New Roman"/>
          <w:color w:val="000000"/>
          <w:sz w:val="24"/>
          <w:szCs w:val="24"/>
          <w:lang w:eastAsia="zh-CN"/>
        </w:rPr>
        <w:t>投标人</w:t>
      </w:r>
      <w:r>
        <w:rPr>
          <w:rFonts w:ascii="宋体" w:hAnsi="宋体" w:eastAsia="宋体" w:cs="Times New Roman"/>
          <w:color w:val="000000"/>
          <w:sz w:val="24"/>
          <w:szCs w:val="24"/>
        </w:rPr>
        <w:t>应当依法申请具有法定职权的部门查清、认定，并将相关结果提供给</w:t>
      </w:r>
      <w:r>
        <w:rPr>
          <w:rFonts w:hint="eastAsia" w:ascii="宋体" w:hAnsi="宋体" w:eastAsia="宋体" w:cs="Times New Roman"/>
          <w:color w:val="000000"/>
          <w:sz w:val="24"/>
          <w:szCs w:val="24"/>
        </w:rPr>
        <w:t>采购人、</w:t>
      </w:r>
      <w:r>
        <w:rPr>
          <w:rFonts w:hint="eastAsia" w:ascii="宋体" w:hAnsi="宋体" w:eastAsia="宋体" w:cs="Times New Roman"/>
          <w:color w:val="000000"/>
          <w:sz w:val="24"/>
          <w:szCs w:val="24"/>
          <w:lang w:eastAsia="zh-CN"/>
        </w:rPr>
        <w:t>代理</w:t>
      </w:r>
      <w:r>
        <w:rPr>
          <w:rFonts w:hint="eastAsia" w:ascii="宋体" w:hAnsi="宋体" w:eastAsia="宋体" w:cs="Times New Roman"/>
          <w:color w:val="000000"/>
          <w:sz w:val="24"/>
          <w:szCs w:val="24"/>
        </w:rPr>
        <w:t>机构</w:t>
      </w:r>
      <w:r>
        <w:rPr>
          <w:rFonts w:ascii="宋体" w:hAnsi="宋体" w:eastAsia="宋体" w:cs="Times New Roman"/>
          <w:color w:val="000000"/>
          <w:sz w:val="24"/>
          <w:szCs w:val="24"/>
        </w:rPr>
        <w:t>。</w:t>
      </w:r>
      <w:r>
        <w:rPr>
          <w:rFonts w:hint="eastAsia" w:ascii="宋体" w:hAnsi="宋体" w:eastAsia="宋体" w:cs="Times New Roman"/>
          <w:color w:val="000000"/>
          <w:sz w:val="24"/>
          <w:szCs w:val="24"/>
        </w:rPr>
        <w:t>采购人、</w:t>
      </w:r>
      <w:r>
        <w:rPr>
          <w:rFonts w:hint="eastAsia" w:ascii="宋体" w:hAnsi="宋体" w:eastAsia="宋体" w:cs="Times New Roman"/>
          <w:color w:val="000000"/>
          <w:sz w:val="24"/>
          <w:szCs w:val="24"/>
          <w:lang w:eastAsia="zh-CN"/>
        </w:rPr>
        <w:t>代理</w:t>
      </w:r>
      <w:r>
        <w:rPr>
          <w:rFonts w:hint="eastAsia" w:ascii="宋体" w:hAnsi="宋体" w:eastAsia="宋体" w:cs="Times New Roman"/>
          <w:color w:val="000000"/>
          <w:sz w:val="24"/>
          <w:szCs w:val="24"/>
        </w:rPr>
        <w:t>机构</w:t>
      </w:r>
      <w:r>
        <w:rPr>
          <w:rFonts w:ascii="宋体" w:hAnsi="宋体" w:eastAsia="宋体" w:cs="Times New Roman"/>
          <w:color w:val="000000"/>
          <w:sz w:val="24"/>
          <w:szCs w:val="24"/>
        </w:rPr>
        <w:t>不具有法定调查、认定权限。</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7.1.4 </w:t>
      </w:r>
      <w:r>
        <w:rPr>
          <w:rFonts w:hint="eastAsia" w:ascii="宋体" w:hAnsi="宋体" w:eastAsia="宋体" w:cs="Times New Roman"/>
          <w:b/>
          <w:color w:val="000000"/>
          <w:sz w:val="24"/>
          <w:szCs w:val="24"/>
        </w:rPr>
        <w:t>质疑函的接收方式为</w:t>
      </w:r>
      <w:r>
        <w:rPr>
          <w:rFonts w:hint="eastAsia" w:ascii="宋体" w:hAnsi="宋体" w:eastAsia="宋体" w:cs="Times New Roman"/>
          <w:b/>
          <w:color w:val="000000"/>
          <w:sz w:val="24"/>
          <w:szCs w:val="24"/>
          <w:lang w:eastAsia="zh-CN"/>
        </w:rPr>
        <w:t>投标人</w:t>
      </w:r>
      <w:r>
        <w:rPr>
          <w:rFonts w:hint="eastAsia" w:ascii="宋体" w:hAnsi="宋体" w:eastAsia="宋体" w:cs="Times New Roman"/>
          <w:b/>
          <w:color w:val="000000"/>
          <w:sz w:val="24"/>
          <w:szCs w:val="24"/>
        </w:rPr>
        <w:t>书面原件提交</w:t>
      </w:r>
      <w:r>
        <w:rPr>
          <w:rFonts w:hint="eastAsia" w:ascii="宋体" w:hAnsi="宋体" w:eastAsia="宋体" w:cs="Times New Roman"/>
          <w:color w:val="000000"/>
          <w:sz w:val="24"/>
          <w:szCs w:val="24"/>
        </w:rPr>
        <w:t>。联系部门、联系电话和通讯地址详见第一章“投标邀请”。</w:t>
      </w:r>
      <w:r>
        <w:rPr>
          <w:rFonts w:ascii="宋体" w:hAnsi="宋体" w:eastAsia="宋体" w:cs="Times New Roman"/>
          <w:color w:val="000000"/>
          <w:sz w:val="24"/>
          <w:szCs w:val="24"/>
        </w:rPr>
        <w:t>质疑实行实名制，不得进行虚假、恶意质疑。</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7.1.5 质疑函应当使用范本（详见连云港市政府采购交易平台-监管信息-意见反馈）。</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lang w:eastAsia="zh-CN"/>
        </w:rPr>
        <w:t>投标人</w:t>
      </w:r>
      <w:r>
        <w:rPr>
          <w:rFonts w:hint="eastAsia" w:ascii="宋体" w:hAnsi="宋体" w:eastAsia="宋体" w:cs="Times New Roman"/>
          <w:color w:val="000000"/>
          <w:sz w:val="24"/>
          <w:szCs w:val="24"/>
        </w:rPr>
        <w:t>提出质疑</w:t>
      </w:r>
      <w:r>
        <w:rPr>
          <w:rFonts w:hint="eastAsia" w:ascii="宋体" w:hAnsi="宋体" w:eastAsia="宋体" w:cs="Times New Roman"/>
          <w:b/>
          <w:color w:val="000000"/>
          <w:sz w:val="24"/>
          <w:szCs w:val="24"/>
        </w:rPr>
        <w:t>应当提交质疑函和必要的证明材料</w:t>
      </w:r>
      <w:r>
        <w:rPr>
          <w:rFonts w:hint="eastAsia" w:ascii="宋体" w:hAnsi="宋体" w:eastAsia="宋体" w:cs="Times New Roman"/>
          <w:color w:val="000000"/>
          <w:sz w:val="24"/>
          <w:szCs w:val="24"/>
        </w:rPr>
        <w:t>，应当包括下列内容：</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w:t>
      </w:r>
      <w:r>
        <w:rPr>
          <w:rFonts w:hint="eastAsia" w:ascii="宋体" w:hAnsi="宋体" w:eastAsia="宋体" w:cs="Times New Roman"/>
          <w:color w:val="000000"/>
          <w:sz w:val="24"/>
          <w:szCs w:val="24"/>
          <w:lang w:eastAsia="zh-CN"/>
        </w:rPr>
        <w:t>投标人</w:t>
      </w:r>
      <w:r>
        <w:rPr>
          <w:rFonts w:hint="eastAsia" w:ascii="宋体" w:hAnsi="宋体" w:eastAsia="宋体" w:cs="Times New Roman"/>
          <w:color w:val="000000"/>
          <w:sz w:val="24"/>
          <w:szCs w:val="24"/>
        </w:rPr>
        <w:t>的姓名或者名称、地址、邮编、联系人及联系电话；</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w:t>
      </w:r>
      <w:r>
        <w:rPr>
          <w:rFonts w:hint="eastAsia" w:ascii="宋体" w:hAnsi="宋体" w:eastAsia="宋体" w:cs="Times New Roman"/>
          <w:color w:val="000000"/>
          <w:sz w:val="24"/>
          <w:szCs w:val="24"/>
        </w:rPr>
        <w:t>质疑项目的名称、编号；</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w:t>
      </w:r>
      <w:r>
        <w:rPr>
          <w:rFonts w:hint="eastAsia" w:ascii="宋体" w:hAnsi="宋体" w:eastAsia="宋体" w:cs="Times New Roman"/>
          <w:color w:val="000000"/>
          <w:sz w:val="24"/>
          <w:szCs w:val="24"/>
        </w:rPr>
        <w:t>具体、明确的质疑事项和与质疑事项相关的请求；</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（4</w:t>
      </w:r>
      <w:r>
        <w:rPr>
          <w:rFonts w:ascii="宋体" w:hAnsi="宋体" w:eastAsia="宋体" w:cs="Times New Roman"/>
          <w:color w:val="000000"/>
          <w:sz w:val="24"/>
          <w:szCs w:val="24"/>
        </w:rPr>
        <w:t>）</w:t>
      </w:r>
      <w:r>
        <w:rPr>
          <w:rFonts w:hint="eastAsia" w:ascii="宋体" w:hAnsi="宋体" w:eastAsia="宋体" w:cs="Times New Roman"/>
          <w:color w:val="000000"/>
          <w:sz w:val="24"/>
          <w:szCs w:val="24"/>
        </w:rPr>
        <w:t>事实依据；</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（5</w:t>
      </w:r>
      <w:r>
        <w:rPr>
          <w:rFonts w:ascii="宋体" w:hAnsi="宋体" w:eastAsia="宋体" w:cs="Times New Roman"/>
          <w:color w:val="000000"/>
          <w:sz w:val="24"/>
          <w:szCs w:val="24"/>
        </w:rPr>
        <w:t>）</w:t>
      </w:r>
      <w:r>
        <w:rPr>
          <w:rFonts w:hint="eastAsia" w:ascii="宋体" w:hAnsi="宋体" w:eastAsia="宋体" w:cs="Times New Roman"/>
          <w:color w:val="000000"/>
          <w:sz w:val="24"/>
          <w:szCs w:val="24"/>
        </w:rPr>
        <w:t>必要的法律依据；</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（6</w:t>
      </w:r>
      <w:r>
        <w:rPr>
          <w:rFonts w:ascii="宋体" w:hAnsi="宋体" w:eastAsia="宋体" w:cs="Times New Roman"/>
          <w:color w:val="000000"/>
          <w:sz w:val="24"/>
          <w:szCs w:val="24"/>
        </w:rPr>
        <w:t>）</w:t>
      </w:r>
      <w:r>
        <w:rPr>
          <w:rFonts w:hint="eastAsia" w:ascii="宋体" w:hAnsi="宋体" w:eastAsia="宋体" w:cs="Times New Roman"/>
          <w:color w:val="000000"/>
          <w:sz w:val="24"/>
          <w:szCs w:val="24"/>
        </w:rPr>
        <w:t>提出质疑的日期；</w:t>
      </w:r>
    </w:p>
    <w:p>
      <w:pPr>
        <w:spacing w:line="360" w:lineRule="auto"/>
        <w:ind w:firstLine="480" w:firstLineChars="200"/>
        <w:rPr>
          <w:rFonts w:ascii="宋体" w:hAnsi="宋体" w:eastAsia="宋体" w:cs="Times New Roman"/>
          <w:b/>
          <w:color w:val="000000"/>
          <w:sz w:val="24"/>
          <w:szCs w:val="24"/>
        </w:rPr>
      </w:pPr>
      <w:r>
        <w:rPr>
          <w:rFonts w:hint="eastAsia" w:ascii="宋体" w:hAnsi="宋体" w:eastAsia="宋体" w:cs="Times New Roman"/>
          <w:color w:val="000000"/>
          <w:sz w:val="24"/>
          <w:szCs w:val="24"/>
        </w:rPr>
        <w:t>（7</w:t>
      </w:r>
      <w:r>
        <w:rPr>
          <w:rFonts w:ascii="宋体" w:hAnsi="宋体" w:eastAsia="宋体" w:cs="Times New Roman"/>
          <w:color w:val="000000"/>
          <w:sz w:val="24"/>
          <w:szCs w:val="24"/>
        </w:rPr>
        <w:t>）</w:t>
      </w:r>
      <w:r>
        <w:rPr>
          <w:rFonts w:hint="eastAsia" w:ascii="宋体" w:hAnsi="宋体" w:eastAsia="宋体" w:cs="Times New Roman"/>
          <w:b/>
          <w:color w:val="000000"/>
          <w:sz w:val="24"/>
          <w:szCs w:val="24"/>
        </w:rPr>
        <w:t>必要的证明材料；</w:t>
      </w:r>
    </w:p>
    <w:p>
      <w:pPr>
        <w:spacing w:line="360" w:lineRule="auto"/>
        <w:ind w:firstLine="480" w:firstLineChars="200"/>
        <w:rPr>
          <w:rFonts w:ascii="宋体" w:hAnsi="宋体" w:eastAsia="宋体" w:cs="Times New Roman"/>
          <w:b/>
          <w:color w:val="000000"/>
          <w:sz w:val="24"/>
          <w:szCs w:val="24"/>
        </w:rPr>
      </w:pPr>
      <w:r>
        <w:rPr>
          <w:rFonts w:hint="eastAsia" w:ascii="宋体" w:hAnsi="宋体" w:eastAsia="宋体" w:cs="Times New Roman"/>
          <w:color w:val="000000"/>
          <w:sz w:val="24"/>
          <w:szCs w:val="24"/>
        </w:rPr>
        <w:t>（8）采购文件(交易文件)下载回执函；</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（9</w:t>
      </w:r>
      <w:r>
        <w:rPr>
          <w:rFonts w:ascii="宋体" w:hAnsi="宋体" w:eastAsia="宋体" w:cs="Times New Roman"/>
          <w:color w:val="000000"/>
          <w:sz w:val="24"/>
          <w:szCs w:val="24"/>
        </w:rPr>
        <w:t>）</w:t>
      </w:r>
      <w:r>
        <w:rPr>
          <w:rFonts w:hint="eastAsia" w:ascii="宋体" w:hAnsi="宋体" w:eastAsia="宋体" w:cs="Times New Roman"/>
          <w:color w:val="000000"/>
          <w:sz w:val="24"/>
          <w:szCs w:val="24"/>
        </w:rPr>
        <w:t>营业执照复印件及法定代表人授权委托书、法定代表人身份证复印件、委托代理人身份证复印件。</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lang w:eastAsia="zh-CN"/>
        </w:rPr>
        <w:t>投标人</w:t>
      </w:r>
      <w:r>
        <w:rPr>
          <w:rFonts w:hint="eastAsia" w:ascii="宋体" w:hAnsi="宋体" w:eastAsia="宋体" w:cs="Times New Roman"/>
          <w:color w:val="000000"/>
          <w:sz w:val="24"/>
          <w:szCs w:val="24"/>
        </w:rPr>
        <w:t>为自然人的，应当由本人签字；</w:t>
      </w:r>
      <w:r>
        <w:rPr>
          <w:rFonts w:hint="eastAsia" w:ascii="宋体" w:hAnsi="宋体" w:eastAsia="宋体" w:cs="Times New Roman"/>
          <w:color w:val="000000"/>
          <w:sz w:val="24"/>
          <w:szCs w:val="24"/>
          <w:lang w:eastAsia="zh-CN"/>
        </w:rPr>
        <w:t>投标人</w:t>
      </w:r>
      <w:r>
        <w:rPr>
          <w:rFonts w:hint="eastAsia" w:ascii="宋体" w:hAnsi="宋体" w:eastAsia="宋体" w:cs="Times New Roman"/>
          <w:color w:val="000000"/>
          <w:sz w:val="24"/>
          <w:szCs w:val="24"/>
        </w:rPr>
        <w:t>为法人或者其他组织的，应当由法定代表人、主要负责人，或者其授权代理人签字或者盖章，并加盖单位公章。</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7.2 </w:t>
      </w:r>
      <w:r>
        <w:rPr>
          <w:rFonts w:ascii="宋体" w:hAnsi="宋体" w:eastAsia="宋体" w:cs="Times New Roman"/>
          <w:color w:val="000000"/>
          <w:sz w:val="24"/>
          <w:szCs w:val="24"/>
        </w:rPr>
        <w:t>质疑函的受理和答复</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7.2.1 </w:t>
      </w:r>
      <w:r>
        <w:rPr>
          <w:rFonts w:ascii="宋体" w:hAnsi="宋体" w:eastAsia="宋体" w:cs="Times New Roman"/>
          <w:color w:val="000000"/>
          <w:sz w:val="24"/>
          <w:szCs w:val="24"/>
        </w:rPr>
        <w:t>质疑</w:t>
      </w:r>
      <w:r>
        <w:rPr>
          <w:rFonts w:hint="eastAsia" w:ascii="宋体" w:hAnsi="宋体" w:eastAsia="宋体" w:cs="Times New Roman"/>
          <w:color w:val="000000"/>
          <w:sz w:val="24"/>
          <w:szCs w:val="24"/>
          <w:lang w:eastAsia="zh-CN"/>
        </w:rPr>
        <w:t>投标人</w:t>
      </w:r>
      <w:r>
        <w:rPr>
          <w:rFonts w:ascii="宋体" w:hAnsi="宋体" w:eastAsia="宋体" w:cs="Times New Roman"/>
          <w:color w:val="000000"/>
          <w:sz w:val="24"/>
          <w:szCs w:val="24"/>
        </w:rPr>
        <w:t>应</w:t>
      </w:r>
      <w:r>
        <w:rPr>
          <w:rFonts w:hint="eastAsia" w:ascii="宋体" w:hAnsi="宋体" w:eastAsia="宋体" w:cs="Times New Roman"/>
          <w:color w:val="000000"/>
          <w:sz w:val="24"/>
          <w:szCs w:val="24"/>
        </w:rPr>
        <w:t>当</w:t>
      </w:r>
      <w:r>
        <w:rPr>
          <w:rFonts w:ascii="宋体" w:hAnsi="宋体" w:eastAsia="宋体" w:cs="Times New Roman"/>
          <w:color w:val="000000"/>
          <w:sz w:val="24"/>
          <w:szCs w:val="24"/>
        </w:rPr>
        <w:t>保证其提出的质疑事项及必要</w:t>
      </w:r>
      <w:r>
        <w:rPr>
          <w:rFonts w:hint="eastAsia" w:ascii="宋体" w:hAnsi="宋体" w:eastAsia="宋体" w:cs="Times New Roman"/>
          <w:color w:val="000000"/>
          <w:sz w:val="24"/>
          <w:szCs w:val="24"/>
        </w:rPr>
        <w:t>的</w:t>
      </w:r>
      <w:r>
        <w:rPr>
          <w:rFonts w:ascii="宋体" w:hAnsi="宋体" w:eastAsia="宋体" w:cs="Times New Roman"/>
          <w:color w:val="000000"/>
          <w:sz w:val="24"/>
          <w:szCs w:val="24"/>
        </w:rPr>
        <w:t>证明材料的真实性及来源的合法性，并承担相应的法律责任。</w:t>
      </w:r>
      <w:r>
        <w:rPr>
          <w:rFonts w:ascii="宋体" w:hAnsi="宋体" w:eastAsia="宋体" w:cs="Times New Roman"/>
          <w:b/>
          <w:color w:val="000000"/>
          <w:sz w:val="24"/>
          <w:szCs w:val="24"/>
        </w:rPr>
        <w:t>对不能提供必要</w:t>
      </w:r>
      <w:r>
        <w:rPr>
          <w:rFonts w:hint="eastAsia" w:ascii="宋体" w:hAnsi="宋体" w:eastAsia="宋体" w:cs="Times New Roman"/>
          <w:b/>
          <w:color w:val="000000"/>
          <w:sz w:val="24"/>
          <w:szCs w:val="24"/>
        </w:rPr>
        <w:t>的</w:t>
      </w:r>
      <w:r>
        <w:rPr>
          <w:rFonts w:ascii="宋体" w:hAnsi="宋体" w:eastAsia="宋体" w:cs="Times New Roman"/>
          <w:b/>
          <w:color w:val="000000"/>
          <w:sz w:val="24"/>
          <w:szCs w:val="24"/>
        </w:rPr>
        <w:t>证明材料的、涉及商业秘密的、非书面原件形式的、匿名的质疑函将不予受理</w:t>
      </w:r>
      <w:r>
        <w:rPr>
          <w:rFonts w:ascii="宋体" w:hAnsi="宋体" w:eastAsia="宋体" w:cs="Times New Roman"/>
          <w:color w:val="000000"/>
          <w:sz w:val="24"/>
          <w:szCs w:val="24"/>
        </w:rPr>
        <w:t>。必要</w:t>
      </w:r>
      <w:r>
        <w:rPr>
          <w:rFonts w:hint="eastAsia" w:ascii="宋体" w:hAnsi="宋体" w:eastAsia="宋体" w:cs="Times New Roman"/>
          <w:color w:val="000000"/>
          <w:sz w:val="24"/>
          <w:szCs w:val="24"/>
        </w:rPr>
        <w:t>的</w:t>
      </w:r>
      <w:r>
        <w:rPr>
          <w:rFonts w:ascii="宋体" w:hAnsi="宋体" w:eastAsia="宋体" w:cs="Times New Roman"/>
          <w:color w:val="000000"/>
          <w:sz w:val="24"/>
          <w:szCs w:val="24"/>
        </w:rPr>
        <w:t>证明材料要具备客观性、关联性、合法性，无法查实的</w:t>
      </w:r>
      <w:r>
        <w:rPr>
          <w:rFonts w:hint="eastAsia" w:ascii="宋体" w:hAnsi="宋体" w:eastAsia="宋体" w:cs="Times New Roman"/>
          <w:color w:val="000000"/>
          <w:sz w:val="24"/>
          <w:szCs w:val="24"/>
        </w:rPr>
        <w:t>（</w:t>
      </w:r>
      <w:r>
        <w:rPr>
          <w:rFonts w:ascii="宋体" w:hAnsi="宋体" w:eastAsia="宋体" w:cs="Times New Roman"/>
          <w:color w:val="000000"/>
          <w:sz w:val="24"/>
          <w:szCs w:val="24"/>
        </w:rPr>
        <w:t>如宣传册、媒体报道、猜测、推理等</w:t>
      </w:r>
      <w:r>
        <w:rPr>
          <w:rFonts w:hint="eastAsia" w:ascii="宋体" w:hAnsi="宋体" w:eastAsia="宋体" w:cs="Times New Roman"/>
          <w:color w:val="000000"/>
          <w:sz w:val="24"/>
          <w:szCs w:val="24"/>
        </w:rPr>
        <w:t>）</w:t>
      </w:r>
      <w:r>
        <w:rPr>
          <w:rFonts w:ascii="宋体" w:hAnsi="宋体" w:eastAsia="宋体" w:cs="Times New Roman"/>
          <w:color w:val="000000"/>
          <w:sz w:val="24"/>
          <w:szCs w:val="24"/>
        </w:rPr>
        <w:t>不能作为证明材料。</w:t>
      </w:r>
      <w:r>
        <w:rPr>
          <w:rFonts w:hint="eastAsia" w:ascii="宋体" w:hAnsi="宋体" w:eastAsia="宋体" w:cs="Times New Roman"/>
          <w:color w:val="000000"/>
          <w:sz w:val="24"/>
          <w:szCs w:val="24"/>
        </w:rPr>
        <w:t>采购人、</w:t>
      </w:r>
      <w:r>
        <w:rPr>
          <w:rFonts w:hint="eastAsia" w:ascii="宋体" w:hAnsi="宋体" w:eastAsia="宋体" w:cs="Times New Roman"/>
          <w:color w:val="000000"/>
          <w:sz w:val="24"/>
          <w:szCs w:val="24"/>
          <w:lang w:eastAsia="zh-CN"/>
        </w:rPr>
        <w:t>代理</w:t>
      </w:r>
      <w:r>
        <w:rPr>
          <w:rFonts w:hint="eastAsia" w:ascii="宋体" w:hAnsi="宋体" w:eastAsia="宋体" w:cs="Times New Roman"/>
          <w:color w:val="000000"/>
          <w:sz w:val="24"/>
          <w:szCs w:val="24"/>
        </w:rPr>
        <w:t>机构</w:t>
      </w:r>
      <w:r>
        <w:rPr>
          <w:rFonts w:ascii="宋体" w:hAnsi="宋体" w:eastAsia="宋体" w:cs="Times New Roman"/>
          <w:color w:val="000000"/>
          <w:sz w:val="24"/>
          <w:szCs w:val="24"/>
        </w:rPr>
        <w:t>不负责搜集必要</w:t>
      </w:r>
      <w:r>
        <w:rPr>
          <w:rFonts w:hint="eastAsia" w:ascii="宋体" w:hAnsi="宋体" w:eastAsia="宋体" w:cs="Times New Roman"/>
          <w:color w:val="000000"/>
          <w:sz w:val="24"/>
          <w:szCs w:val="24"/>
        </w:rPr>
        <w:t>的</w:t>
      </w:r>
      <w:r>
        <w:rPr>
          <w:rFonts w:ascii="宋体" w:hAnsi="宋体" w:eastAsia="宋体" w:cs="Times New Roman"/>
          <w:color w:val="000000"/>
          <w:sz w:val="24"/>
          <w:szCs w:val="24"/>
        </w:rPr>
        <w:t>证明材料等工作。</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7.2.2 </w:t>
      </w:r>
      <w:r>
        <w:rPr>
          <w:rFonts w:ascii="宋体" w:hAnsi="宋体" w:eastAsia="宋体" w:cs="Times New Roman"/>
          <w:color w:val="000000"/>
          <w:sz w:val="24"/>
          <w:szCs w:val="24"/>
        </w:rPr>
        <w:t>对符合质疑要求的，</w:t>
      </w:r>
      <w:r>
        <w:rPr>
          <w:rFonts w:hint="eastAsia" w:ascii="宋体" w:hAnsi="宋体" w:eastAsia="宋体" w:cs="Times New Roman"/>
          <w:color w:val="000000"/>
          <w:sz w:val="24"/>
          <w:szCs w:val="24"/>
        </w:rPr>
        <w:t>采购人、</w:t>
      </w:r>
      <w:r>
        <w:rPr>
          <w:rFonts w:hint="eastAsia" w:ascii="宋体" w:hAnsi="宋体" w:eastAsia="宋体" w:cs="Times New Roman"/>
          <w:color w:val="000000"/>
          <w:sz w:val="24"/>
          <w:szCs w:val="24"/>
          <w:lang w:eastAsia="zh-CN"/>
        </w:rPr>
        <w:t>代理</w:t>
      </w:r>
      <w:r>
        <w:rPr>
          <w:rFonts w:hint="eastAsia" w:ascii="宋体" w:hAnsi="宋体" w:eastAsia="宋体" w:cs="Times New Roman"/>
          <w:color w:val="000000"/>
          <w:sz w:val="24"/>
          <w:szCs w:val="24"/>
        </w:rPr>
        <w:t>机构接收</w:t>
      </w:r>
      <w:r>
        <w:rPr>
          <w:rFonts w:ascii="宋体" w:hAnsi="宋体" w:eastAsia="宋体" w:cs="Times New Roman"/>
          <w:color w:val="000000"/>
          <w:sz w:val="24"/>
          <w:szCs w:val="24"/>
        </w:rPr>
        <w:t>并登记《质疑函登记表》。在处理过程中，发现需要质疑</w:t>
      </w:r>
      <w:r>
        <w:rPr>
          <w:rFonts w:hint="eastAsia" w:ascii="宋体" w:hAnsi="宋体" w:eastAsia="宋体" w:cs="Times New Roman"/>
          <w:color w:val="000000"/>
          <w:sz w:val="24"/>
          <w:szCs w:val="24"/>
          <w:lang w:eastAsia="zh-CN"/>
        </w:rPr>
        <w:t>投标人</w:t>
      </w:r>
      <w:r>
        <w:rPr>
          <w:rFonts w:ascii="宋体" w:hAnsi="宋体" w:eastAsia="宋体" w:cs="Times New Roman"/>
          <w:color w:val="000000"/>
          <w:sz w:val="24"/>
          <w:szCs w:val="24"/>
        </w:rPr>
        <w:t>进一步补充必要</w:t>
      </w:r>
      <w:r>
        <w:rPr>
          <w:rFonts w:hint="eastAsia" w:ascii="宋体" w:hAnsi="宋体" w:eastAsia="宋体" w:cs="Times New Roman"/>
          <w:color w:val="000000"/>
          <w:sz w:val="24"/>
          <w:szCs w:val="24"/>
        </w:rPr>
        <w:t>的</w:t>
      </w:r>
      <w:r>
        <w:rPr>
          <w:rFonts w:ascii="宋体" w:hAnsi="宋体" w:eastAsia="宋体" w:cs="Times New Roman"/>
          <w:color w:val="000000"/>
          <w:sz w:val="24"/>
          <w:szCs w:val="24"/>
        </w:rPr>
        <w:t>证明材料的，质疑</w:t>
      </w:r>
      <w:r>
        <w:rPr>
          <w:rFonts w:hint="eastAsia" w:ascii="宋体" w:hAnsi="宋体" w:eastAsia="宋体" w:cs="Times New Roman"/>
          <w:color w:val="000000"/>
          <w:sz w:val="24"/>
          <w:szCs w:val="24"/>
          <w:lang w:eastAsia="zh-CN"/>
        </w:rPr>
        <w:t>投标人</w:t>
      </w:r>
      <w:r>
        <w:rPr>
          <w:rFonts w:hint="eastAsia" w:ascii="宋体" w:hAnsi="宋体" w:eastAsia="宋体" w:cs="Times New Roman"/>
          <w:color w:val="000000"/>
          <w:sz w:val="24"/>
          <w:szCs w:val="24"/>
        </w:rPr>
        <w:t>应</w:t>
      </w:r>
      <w:r>
        <w:rPr>
          <w:rFonts w:ascii="宋体" w:hAnsi="宋体" w:eastAsia="宋体" w:cs="Times New Roman"/>
          <w:color w:val="000000"/>
          <w:sz w:val="24"/>
          <w:szCs w:val="24"/>
        </w:rPr>
        <w:t>在法定的时间内提供，质疑答复时间相应顺延。质疑</w:t>
      </w:r>
      <w:r>
        <w:rPr>
          <w:rFonts w:hint="eastAsia" w:ascii="宋体" w:hAnsi="宋体" w:eastAsia="宋体" w:cs="Times New Roman"/>
          <w:color w:val="000000"/>
          <w:sz w:val="24"/>
          <w:szCs w:val="24"/>
          <w:lang w:eastAsia="zh-CN"/>
        </w:rPr>
        <w:t>投标人</w:t>
      </w:r>
      <w:r>
        <w:rPr>
          <w:rFonts w:ascii="宋体" w:hAnsi="宋体" w:eastAsia="宋体" w:cs="Times New Roman"/>
          <w:color w:val="000000"/>
          <w:sz w:val="24"/>
          <w:szCs w:val="24"/>
        </w:rPr>
        <w:t>不能按时提供必要</w:t>
      </w:r>
      <w:r>
        <w:rPr>
          <w:rFonts w:hint="eastAsia" w:ascii="宋体" w:hAnsi="宋体" w:eastAsia="宋体" w:cs="Times New Roman"/>
          <w:color w:val="000000"/>
          <w:sz w:val="24"/>
          <w:szCs w:val="24"/>
        </w:rPr>
        <w:t>的</w:t>
      </w:r>
      <w:r>
        <w:rPr>
          <w:rFonts w:ascii="宋体" w:hAnsi="宋体" w:eastAsia="宋体" w:cs="Times New Roman"/>
          <w:color w:val="000000"/>
          <w:sz w:val="24"/>
          <w:szCs w:val="24"/>
        </w:rPr>
        <w:t>证明材料的，视同放弃质疑。</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7.2.3 </w:t>
      </w:r>
      <w:r>
        <w:rPr>
          <w:rFonts w:ascii="宋体" w:hAnsi="宋体" w:eastAsia="宋体" w:cs="Times New Roman"/>
          <w:color w:val="000000"/>
          <w:sz w:val="24"/>
          <w:szCs w:val="24"/>
        </w:rPr>
        <w:t>对不符合质疑要求的，</w:t>
      </w:r>
      <w:r>
        <w:rPr>
          <w:rFonts w:hint="eastAsia" w:ascii="宋体" w:hAnsi="宋体" w:eastAsia="宋体" w:cs="Times New Roman"/>
          <w:color w:val="000000"/>
          <w:sz w:val="24"/>
          <w:szCs w:val="24"/>
        </w:rPr>
        <w:t>采购人、</w:t>
      </w:r>
      <w:r>
        <w:rPr>
          <w:rFonts w:hint="eastAsia" w:ascii="宋体" w:hAnsi="宋体" w:eastAsia="宋体" w:cs="Times New Roman"/>
          <w:color w:val="000000"/>
          <w:sz w:val="24"/>
          <w:szCs w:val="24"/>
          <w:lang w:eastAsia="zh-CN"/>
        </w:rPr>
        <w:t>代理</w:t>
      </w:r>
      <w:r>
        <w:rPr>
          <w:rFonts w:hint="eastAsia" w:ascii="宋体" w:hAnsi="宋体" w:eastAsia="宋体" w:cs="Times New Roman"/>
          <w:color w:val="000000"/>
          <w:sz w:val="24"/>
          <w:szCs w:val="24"/>
        </w:rPr>
        <w:t>机构</w:t>
      </w:r>
      <w:r>
        <w:rPr>
          <w:rFonts w:ascii="宋体" w:hAnsi="宋体" w:eastAsia="宋体" w:cs="Times New Roman"/>
          <w:color w:val="000000"/>
          <w:sz w:val="24"/>
          <w:szCs w:val="24"/>
        </w:rPr>
        <w:t>有权要求其补充必要</w:t>
      </w:r>
      <w:r>
        <w:rPr>
          <w:rFonts w:hint="eastAsia" w:ascii="宋体" w:hAnsi="宋体" w:eastAsia="宋体" w:cs="Times New Roman"/>
          <w:color w:val="000000"/>
          <w:sz w:val="24"/>
          <w:szCs w:val="24"/>
        </w:rPr>
        <w:t>的</w:t>
      </w:r>
      <w:r>
        <w:rPr>
          <w:rFonts w:ascii="宋体" w:hAnsi="宋体" w:eastAsia="宋体" w:cs="Times New Roman"/>
          <w:color w:val="000000"/>
          <w:sz w:val="24"/>
          <w:szCs w:val="24"/>
        </w:rPr>
        <w:t>证明材料，质疑</w:t>
      </w:r>
      <w:r>
        <w:rPr>
          <w:rFonts w:hint="eastAsia" w:ascii="宋体" w:hAnsi="宋体" w:eastAsia="宋体" w:cs="Times New Roman"/>
          <w:color w:val="000000"/>
          <w:sz w:val="24"/>
          <w:szCs w:val="24"/>
          <w:lang w:eastAsia="zh-CN"/>
        </w:rPr>
        <w:t>投标人</w:t>
      </w:r>
      <w:r>
        <w:rPr>
          <w:rFonts w:ascii="宋体" w:hAnsi="宋体" w:eastAsia="宋体" w:cs="Times New Roman"/>
          <w:color w:val="000000"/>
          <w:sz w:val="24"/>
          <w:szCs w:val="24"/>
        </w:rPr>
        <w:t>未在法定的时间内提供补充必要</w:t>
      </w:r>
      <w:r>
        <w:rPr>
          <w:rFonts w:hint="eastAsia" w:ascii="宋体" w:hAnsi="宋体" w:eastAsia="宋体" w:cs="Times New Roman"/>
          <w:color w:val="000000"/>
          <w:sz w:val="24"/>
          <w:szCs w:val="24"/>
        </w:rPr>
        <w:t>的</w:t>
      </w:r>
      <w:r>
        <w:rPr>
          <w:rFonts w:ascii="宋体" w:hAnsi="宋体" w:eastAsia="宋体" w:cs="Times New Roman"/>
          <w:color w:val="000000"/>
          <w:sz w:val="24"/>
          <w:szCs w:val="24"/>
        </w:rPr>
        <w:t>证明材料的，视同放弃质疑。</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7.2.4 采购人、</w:t>
      </w:r>
      <w:r>
        <w:rPr>
          <w:rFonts w:hint="eastAsia" w:ascii="宋体" w:hAnsi="宋体" w:eastAsia="宋体" w:cs="Times New Roman"/>
          <w:color w:val="000000"/>
          <w:sz w:val="24"/>
          <w:szCs w:val="24"/>
          <w:lang w:eastAsia="zh-CN"/>
        </w:rPr>
        <w:t>代理</w:t>
      </w:r>
      <w:r>
        <w:rPr>
          <w:rFonts w:hint="eastAsia" w:ascii="宋体" w:hAnsi="宋体" w:eastAsia="宋体" w:cs="Times New Roman"/>
          <w:color w:val="000000"/>
          <w:sz w:val="24"/>
          <w:szCs w:val="24"/>
        </w:rPr>
        <w:t>机构</w:t>
      </w:r>
      <w:r>
        <w:rPr>
          <w:rFonts w:ascii="宋体" w:hAnsi="宋体" w:eastAsia="宋体" w:cs="Times New Roman"/>
          <w:color w:val="000000"/>
          <w:sz w:val="24"/>
          <w:szCs w:val="24"/>
        </w:rPr>
        <w:t>负责将质疑</w:t>
      </w:r>
      <w:r>
        <w:rPr>
          <w:rFonts w:hint="eastAsia" w:ascii="宋体" w:hAnsi="宋体" w:eastAsia="宋体" w:cs="Times New Roman"/>
          <w:color w:val="000000"/>
          <w:sz w:val="24"/>
          <w:szCs w:val="24"/>
          <w:lang w:eastAsia="zh-CN"/>
        </w:rPr>
        <w:t>投标人</w:t>
      </w:r>
      <w:r>
        <w:rPr>
          <w:rFonts w:ascii="宋体" w:hAnsi="宋体" w:eastAsia="宋体" w:cs="Times New Roman"/>
          <w:color w:val="000000"/>
          <w:sz w:val="24"/>
          <w:szCs w:val="24"/>
        </w:rPr>
        <w:t>提出的质疑函及</w:t>
      </w:r>
      <w:r>
        <w:rPr>
          <w:rFonts w:hint="eastAsia" w:ascii="宋体" w:hAnsi="宋体" w:eastAsia="宋体" w:cs="Times New Roman"/>
          <w:color w:val="000000"/>
          <w:sz w:val="24"/>
          <w:szCs w:val="24"/>
        </w:rPr>
        <w:t>相关</w:t>
      </w:r>
      <w:r>
        <w:rPr>
          <w:rFonts w:ascii="宋体" w:hAnsi="宋体" w:eastAsia="宋体" w:cs="Times New Roman"/>
          <w:color w:val="000000"/>
          <w:sz w:val="24"/>
          <w:szCs w:val="24"/>
        </w:rPr>
        <w:t>材料提供给评审委员会协助答复，并将答复意见回复质疑</w:t>
      </w:r>
      <w:r>
        <w:rPr>
          <w:rFonts w:hint="eastAsia" w:ascii="宋体" w:hAnsi="宋体" w:eastAsia="宋体" w:cs="Times New Roman"/>
          <w:color w:val="000000"/>
          <w:sz w:val="24"/>
          <w:szCs w:val="24"/>
          <w:lang w:eastAsia="zh-CN"/>
        </w:rPr>
        <w:t>投标人</w:t>
      </w:r>
      <w:r>
        <w:rPr>
          <w:rFonts w:ascii="宋体" w:hAnsi="宋体" w:eastAsia="宋体" w:cs="Times New Roman"/>
          <w:color w:val="000000"/>
          <w:sz w:val="24"/>
          <w:szCs w:val="24"/>
        </w:rPr>
        <w:t>。必要时，可向被质疑</w:t>
      </w:r>
      <w:r>
        <w:rPr>
          <w:rFonts w:hint="eastAsia" w:ascii="宋体" w:hAnsi="宋体" w:eastAsia="宋体" w:cs="Times New Roman"/>
          <w:color w:val="000000"/>
          <w:sz w:val="24"/>
          <w:szCs w:val="24"/>
          <w:lang w:eastAsia="zh-CN"/>
        </w:rPr>
        <w:t>投标人</w:t>
      </w:r>
      <w:r>
        <w:rPr>
          <w:rFonts w:ascii="宋体" w:hAnsi="宋体" w:eastAsia="宋体" w:cs="Times New Roman"/>
          <w:color w:val="000000"/>
          <w:sz w:val="24"/>
          <w:szCs w:val="24"/>
        </w:rPr>
        <w:t>转发《质疑函》及</w:t>
      </w:r>
      <w:r>
        <w:rPr>
          <w:rFonts w:hint="eastAsia" w:ascii="宋体" w:hAnsi="宋体" w:eastAsia="宋体" w:cs="Times New Roman"/>
          <w:color w:val="000000"/>
          <w:sz w:val="24"/>
          <w:szCs w:val="24"/>
        </w:rPr>
        <w:t>相关</w:t>
      </w:r>
      <w:r>
        <w:rPr>
          <w:rFonts w:ascii="宋体" w:hAnsi="宋体" w:eastAsia="宋体" w:cs="Times New Roman"/>
          <w:color w:val="000000"/>
          <w:sz w:val="24"/>
          <w:szCs w:val="24"/>
        </w:rPr>
        <w:t>材料。被质疑</w:t>
      </w:r>
      <w:r>
        <w:rPr>
          <w:rFonts w:hint="eastAsia" w:ascii="宋体" w:hAnsi="宋体" w:eastAsia="宋体" w:cs="Times New Roman"/>
          <w:color w:val="000000"/>
          <w:sz w:val="24"/>
          <w:szCs w:val="24"/>
          <w:lang w:eastAsia="zh-CN"/>
        </w:rPr>
        <w:t>投标人</w:t>
      </w:r>
      <w:r>
        <w:rPr>
          <w:rFonts w:ascii="宋体" w:hAnsi="宋体" w:eastAsia="宋体" w:cs="Times New Roman"/>
          <w:color w:val="000000"/>
          <w:sz w:val="24"/>
          <w:szCs w:val="24"/>
        </w:rPr>
        <w:t>应当在要求的时间内，以书面形式作出说明并提交</w:t>
      </w:r>
      <w:r>
        <w:rPr>
          <w:rFonts w:hint="eastAsia" w:ascii="宋体" w:hAnsi="宋体" w:eastAsia="宋体" w:cs="Times New Roman"/>
          <w:color w:val="000000"/>
          <w:sz w:val="24"/>
          <w:szCs w:val="24"/>
        </w:rPr>
        <w:t>相关</w:t>
      </w:r>
      <w:r>
        <w:rPr>
          <w:rFonts w:ascii="宋体" w:hAnsi="宋体" w:eastAsia="宋体" w:cs="Times New Roman"/>
          <w:color w:val="000000"/>
          <w:sz w:val="24"/>
          <w:szCs w:val="24"/>
        </w:rPr>
        <w:t>材料。</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7.3 </w:t>
      </w:r>
      <w:r>
        <w:rPr>
          <w:rFonts w:ascii="宋体" w:hAnsi="宋体" w:eastAsia="宋体" w:cs="Times New Roman"/>
          <w:color w:val="000000"/>
          <w:sz w:val="24"/>
          <w:szCs w:val="24"/>
        </w:rPr>
        <w:t>质疑处理</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7.3.1 </w:t>
      </w:r>
      <w:r>
        <w:rPr>
          <w:rFonts w:ascii="宋体" w:hAnsi="宋体" w:eastAsia="宋体" w:cs="Times New Roman"/>
          <w:color w:val="000000"/>
          <w:sz w:val="24"/>
          <w:szCs w:val="24"/>
        </w:rPr>
        <w:t>质疑</w:t>
      </w:r>
      <w:r>
        <w:rPr>
          <w:rFonts w:hint="eastAsia" w:ascii="宋体" w:hAnsi="宋体" w:eastAsia="宋体" w:cs="Times New Roman"/>
          <w:color w:val="000000"/>
          <w:sz w:val="24"/>
          <w:szCs w:val="24"/>
          <w:lang w:eastAsia="zh-CN"/>
        </w:rPr>
        <w:t>投标人</w:t>
      </w:r>
      <w:r>
        <w:rPr>
          <w:rFonts w:hint="eastAsia" w:ascii="宋体" w:hAnsi="宋体" w:eastAsia="宋体" w:cs="Times New Roman"/>
          <w:color w:val="000000"/>
          <w:sz w:val="24"/>
          <w:szCs w:val="24"/>
        </w:rPr>
        <w:t>未按照法定程序进行质疑投诉的，</w:t>
      </w:r>
      <w:r>
        <w:rPr>
          <w:rFonts w:ascii="宋体" w:hAnsi="宋体" w:eastAsia="宋体" w:cs="Times New Roman"/>
          <w:color w:val="000000"/>
          <w:sz w:val="24"/>
          <w:szCs w:val="24"/>
        </w:rPr>
        <w:t>视为一般失信行为。</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7.3.2 </w:t>
      </w:r>
      <w:r>
        <w:rPr>
          <w:rFonts w:ascii="宋体" w:hAnsi="宋体" w:eastAsia="宋体" w:cs="Times New Roman"/>
          <w:color w:val="000000"/>
          <w:sz w:val="24"/>
          <w:szCs w:val="24"/>
        </w:rPr>
        <w:t>质疑</w:t>
      </w:r>
      <w:r>
        <w:rPr>
          <w:rFonts w:hint="eastAsia" w:ascii="宋体" w:hAnsi="宋体" w:eastAsia="宋体" w:cs="Times New Roman"/>
          <w:color w:val="000000"/>
          <w:sz w:val="24"/>
          <w:szCs w:val="24"/>
          <w:lang w:eastAsia="zh-CN"/>
        </w:rPr>
        <w:t>投标人</w:t>
      </w:r>
      <w:r>
        <w:rPr>
          <w:rFonts w:hint="eastAsia" w:ascii="宋体" w:hAnsi="宋体" w:eastAsia="宋体" w:cs="Times New Roman"/>
          <w:color w:val="000000"/>
          <w:sz w:val="24"/>
          <w:szCs w:val="24"/>
        </w:rPr>
        <w:t>不配合或者采用不正当手段干扰政府采购质疑、投诉处理工作</w:t>
      </w:r>
      <w:r>
        <w:rPr>
          <w:rFonts w:ascii="宋体" w:hAnsi="宋体" w:eastAsia="宋体" w:cs="Times New Roman"/>
          <w:color w:val="000000"/>
          <w:sz w:val="24"/>
          <w:szCs w:val="24"/>
        </w:rPr>
        <w:t>的，视为一般失信行为。</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7.3.3 </w:t>
      </w:r>
      <w:r>
        <w:rPr>
          <w:rFonts w:ascii="宋体" w:hAnsi="宋体" w:eastAsia="宋体" w:cs="Times New Roman"/>
          <w:color w:val="000000"/>
          <w:sz w:val="24"/>
          <w:szCs w:val="24"/>
        </w:rPr>
        <w:t>质疑</w:t>
      </w:r>
      <w:r>
        <w:rPr>
          <w:rFonts w:hint="eastAsia" w:ascii="宋体" w:hAnsi="宋体" w:eastAsia="宋体" w:cs="Times New Roman"/>
          <w:color w:val="000000"/>
          <w:sz w:val="24"/>
          <w:szCs w:val="24"/>
          <w:lang w:eastAsia="zh-CN"/>
        </w:rPr>
        <w:t>投标人</w:t>
      </w:r>
      <w:r>
        <w:rPr>
          <w:rFonts w:hint="eastAsia" w:ascii="宋体" w:hAnsi="宋体" w:eastAsia="宋体" w:cs="Times New Roman"/>
          <w:color w:val="000000"/>
          <w:sz w:val="24"/>
          <w:szCs w:val="24"/>
        </w:rPr>
        <w:t>投诉受理期间，就同一事项多头举报，干扰财政部门投诉处理</w:t>
      </w:r>
      <w:r>
        <w:rPr>
          <w:rFonts w:ascii="宋体" w:hAnsi="宋体" w:eastAsia="宋体" w:cs="Times New Roman"/>
          <w:color w:val="000000"/>
          <w:sz w:val="24"/>
          <w:szCs w:val="24"/>
        </w:rPr>
        <w:t>的，视为一般失信行为。</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7.3.4 </w:t>
      </w:r>
      <w:r>
        <w:rPr>
          <w:rFonts w:ascii="宋体" w:hAnsi="宋体" w:eastAsia="宋体" w:cs="Times New Roman"/>
          <w:color w:val="000000"/>
          <w:sz w:val="24"/>
          <w:szCs w:val="24"/>
        </w:rPr>
        <w:t>质疑</w:t>
      </w:r>
      <w:r>
        <w:rPr>
          <w:rFonts w:hint="eastAsia" w:ascii="宋体" w:hAnsi="宋体" w:eastAsia="宋体" w:cs="Times New Roman"/>
          <w:color w:val="000000"/>
          <w:sz w:val="24"/>
          <w:szCs w:val="24"/>
          <w:lang w:eastAsia="zh-CN"/>
        </w:rPr>
        <w:t>投标人</w:t>
      </w:r>
      <w:r>
        <w:rPr>
          <w:rFonts w:hint="eastAsia" w:ascii="宋体" w:hAnsi="宋体" w:eastAsia="宋体" w:cs="Times New Roman"/>
          <w:color w:val="000000"/>
          <w:sz w:val="24"/>
          <w:szCs w:val="24"/>
        </w:rPr>
        <w:t>在全国范围12个月内三次以上质疑查无实据</w:t>
      </w:r>
      <w:r>
        <w:rPr>
          <w:rFonts w:ascii="宋体" w:hAnsi="宋体" w:eastAsia="宋体" w:cs="Times New Roman"/>
          <w:color w:val="000000"/>
          <w:sz w:val="24"/>
          <w:szCs w:val="24"/>
        </w:rPr>
        <w:t>的，视为一般失信行为。</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7.3.5 </w:t>
      </w:r>
      <w:r>
        <w:rPr>
          <w:rFonts w:ascii="宋体" w:hAnsi="宋体" w:eastAsia="宋体" w:cs="Times New Roman"/>
          <w:color w:val="000000"/>
          <w:sz w:val="24"/>
          <w:szCs w:val="24"/>
        </w:rPr>
        <w:t>质疑</w:t>
      </w:r>
      <w:r>
        <w:rPr>
          <w:rFonts w:hint="eastAsia" w:ascii="宋体" w:hAnsi="宋体" w:eastAsia="宋体" w:cs="Times New Roman"/>
          <w:color w:val="000000"/>
          <w:sz w:val="24"/>
          <w:szCs w:val="24"/>
          <w:lang w:eastAsia="zh-CN"/>
        </w:rPr>
        <w:t>投标人</w:t>
      </w:r>
      <w:r>
        <w:rPr>
          <w:rFonts w:hint="eastAsia" w:ascii="宋体" w:hAnsi="宋体" w:eastAsia="宋体" w:cs="Times New Roman"/>
          <w:color w:val="000000"/>
          <w:sz w:val="24"/>
          <w:szCs w:val="24"/>
        </w:rPr>
        <w:t>采用捏造事实、提供虚假材料或者以非法手段取得证明材料等方式进行虚假、恶意投诉</w:t>
      </w:r>
      <w:r>
        <w:rPr>
          <w:rFonts w:ascii="宋体" w:hAnsi="宋体" w:eastAsia="宋体" w:cs="Times New Roman"/>
          <w:color w:val="000000"/>
          <w:sz w:val="24"/>
          <w:szCs w:val="24"/>
        </w:rPr>
        <w:t>的，视为</w:t>
      </w:r>
      <w:r>
        <w:rPr>
          <w:rFonts w:hint="eastAsia" w:ascii="宋体" w:hAnsi="宋体" w:eastAsia="宋体" w:cs="Times New Roman"/>
          <w:color w:val="000000"/>
          <w:sz w:val="24"/>
          <w:szCs w:val="24"/>
        </w:rPr>
        <w:t>严重失信行为</w:t>
      </w:r>
      <w:r>
        <w:rPr>
          <w:rFonts w:ascii="宋体" w:hAnsi="宋体" w:eastAsia="宋体" w:cs="Times New Roman"/>
          <w:color w:val="000000"/>
          <w:sz w:val="24"/>
          <w:szCs w:val="24"/>
        </w:rPr>
        <w:t>。</w:t>
      </w:r>
      <w:r>
        <w:rPr>
          <w:rFonts w:hint="eastAsia" w:ascii="宋体" w:hAnsi="宋体" w:eastAsia="宋体" w:cs="Times New Roman"/>
          <w:color w:val="000000"/>
          <w:sz w:val="24"/>
          <w:szCs w:val="24"/>
        </w:rPr>
        <w:t>（证据来源的合法性存在明显疑问，投诉人无法证明其取得方式合法的，视为以非法手段取得证明材料）</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7.3.6 </w:t>
      </w:r>
      <w:r>
        <w:rPr>
          <w:rFonts w:ascii="宋体" w:hAnsi="宋体" w:eastAsia="宋体" w:cs="Times New Roman"/>
          <w:color w:val="000000"/>
          <w:sz w:val="24"/>
          <w:szCs w:val="24"/>
        </w:rPr>
        <w:t>质疑</w:t>
      </w:r>
      <w:r>
        <w:rPr>
          <w:rFonts w:hint="eastAsia" w:ascii="宋体" w:hAnsi="宋体" w:eastAsia="宋体" w:cs="Times New Roman"/>
          <w:color w:val="000000"/>
          <w:sz w:val="24"/>
          <w:szCs w:val="24"/>
          <w:lang w:eastAsia="zh-CN"/>
        </w:rPr>
        <w:t>投标人</w:t>
      </w:r>
      <w:r>
        <w:rPr>
          <w:rFonts w:hint="eastAsia" w:ascii="宋体" w:hAnsi="宋体" w:eastAsia="宋体" w:cs="Times New Roman"/>
          <w:color w:val="000000"/>
          <w:sz w:val="24"/>
          <w:szCs w:val="24"/>
        </w:rPr>
        <w:t>在全国范围12个月内三次以上投诉查无实据</w:t>
      </w:r>
      <w:r>
        <w:rPr>
          <w:rFonts w:ascii="宋体" w:hAnsi="宋体" w:eastAsia="宋体" w:cs="Times New Roman"/>
          <w:color w:val="000000"/>
          <w:sz w:val="24"/>
          <w:szCs w:val="24"/>
        </w:rPr>
        <w:t>的，视为</w:t>
      </w:r>
      <w:r>
        <w:rPr>
          <w:rFonts w:hint="eastAsia" w:ascii="宋体" w:hAnsi="宋体" w:eastAsia="宋体" w:cs="Times New Roman"/>
          <w:color w:val="000000"/>
          <w:sz w:val="24"/>
          <w:szCs w:val="24"/>
        </w:rPr>
        <w:t>严重失信行为</w:t>
      </w:r>
      <w:r>
        <w:rPr>
          <w:rFonts w:ascii="宋体" w:hAnsi="宋体" w:eastAsia="宋体" w:cs="Times New Roman"/>
          <w:color w:val="000000"/>
          <w:sz w:val="24"/>
          <w:szCs w:val="24"/>
        </w:rPr>
        <w:t>。</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7.4 未尽事宜，依照有关法律、法规执行。</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8. 投诉</w:t>
      </w:r>
    </w:p>
    <w:p>
      <w:pPr>
        <w:spacing w:line="360" w:lineRule="auto"/>
        <w:ind w:firstLine="480" w:firstLineChars="200"/>
        <w:rPr>
          <w:rFonts w:ascii="宋体" w:hAnsi="宋体" w:eastAsia="宋体" w:cs="Times New Roman"/>
          <w:bCs/>
          <w:color w:val="000000"/>
          <w:sz w:val="24"/>
          <w:szCs w:val="24"/>
        </w:rPr>
      </w:pPr>
      <w:r>
        <w:rPr>
          <w:rFonts w:hint="eastAsia" w:ascii="宋体" w:hAnsi="宋体" w:eastAsia="宋体" w:cs="Times New Roman"/>
          <w:color w:val="000000"/>
          <w:sz w:val="24"/>
          <w:szCs w:val="24"/>
        </w:rPr>
        <w:t>8.1 投诉事项依照有关法律、法规执行。</w:t>
      </w:r>
    </w:p>
    <w:p>
      <w:pPr>
        <w:keepNext/>
        <w:spacing w:line="360" w:lineRule="auto"/>
        <w:textAlignment w:val="baseline"/>
        <w:outlineLvl w:val="1"/>
        <w:rPr>
          <w:rFonts w:ascii="Times New Roman" w:hAnsi="Times New Roman" w:eastAsia="黑体" w:cs="Times New Roman"/>
          <w:b/>
          <w:color w:val="000000"/>
          <w:kern w:val="0"/>
          <w:sz w:val="28"/>
          <w:szCs w:val="20"/>
        </w:rPr>
      </w:pPr>
      <w:r>
        <w:rPr>
          <w:rFonts w:hint="eastAsia" w:ascii="Times New Roman" w:hAnsi="Times New Roman" w:eastAsia="黑体" w:cs="Times New Roman"/>
          <w:b/>
          <w:color w:val="000000"/>
          <w:kern w:val="0"/>
          <w:sz w:val="28"/>
          <w:szCs w:val="20"/>
        </w:rPr>
        <w:t>二、招标文件</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9. 招标文件构成</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9.1 要求提供的货物、招标过程及合同条款在招标文件中均有说明，招标文件分为七章，各章的内容如下：</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第一章  投标邀请</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第二章  投标人须知</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第三章  政府采购合同格式</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第四章  投标文件格式</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第五章  合同专用条款表</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第六章  项目需求</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第七章  评标办法</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10. 招标文件的澄清或修改</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10.1 采购人或者</w:t>
      </w:r>
      <w:r>
        <w:rPr>
          <w:rFonts w:hint="eastAsia" w:ascii="宋体" w:hAnsi="宋体" w:eastAsia="宋体" w:cs="Times New Roman"/>
          <w:color w:val="000000"/>
          <w:sz w:val="24"/>
          <w:szCs w:val="24"/>
          <w:lang w:eastAsia="zh-CN"/>
        </w:rPr>
        <w:t>代理</w:t>
      </w:r>
      <w:r>
        <w:rPr>
          <w:rFonts w:hint="eastAsia" w:ascii="宋体" w:hAnsi="宋体" w:eastAsia="宋体" w:cs="Times New Roman"/>
          <w:color w:val="000000"/>
          <w:sz w:val="24"/>
          <w:szCs w:val="24"/>
        </w:rPr>
        <w:t>机构可以对已发出的招标文件、资格预审文件、投标邀请书进行必要的澄清或者修改，但不得改变采购标的和资格条件。澄清或者修改应当在原公告发布媒体上发布公告。澄清或者修改的内容为招标文件、资格预审文件、投标邀请书的组成部分。</w:t>
      </w:r>
    </w:p>
    <w:p>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000000"/>
          <w:sz w:val="24"/>
          <w:szCs w:val="24"/>
        </w:rPr>
        <w:t>10.2 澄清或者修改的内容可能影响投标文件编制的，采购人或者</w:t>
      </w:r>
      <w:r>
        <w:rPr>
          <w:rFonts w:hint="eastAsia" w:ascii="宋体" w:hAnsi="宋体" w:eastAsia="宋体" w:cs="Times New Roman"/>
          <w:color w:val="000000"/>
          <w:sz w:val="24"/>
          <w:szCs w:val="24"/>
          <w:lang w:eastAsia="zh-CN"/>
        </w:rPr>
        <w:t>代理</w:t>
      </w:r>
      <w:r>
        <w:rPr>
          <w:rFonts w:hint="eastAsia" w:ascii="宋体" w:hAnsi="宋体" w:eastAsia="宋体" w:cs="Times New Roman"/>
          <w:color w:val="000000"/>
          <w:sz w:val="24"/>
          <w:szCs w:val="24"/>
        </w:rPr>
        <w:t>机构应当在投标截止时间至少15日前</w:t>
      </w:r>
      <w:r>
        <w:rPr>
          <w:rFonts w:hint="eastAsia" w:ascii="宋体" w:hAnsi="宋体" w:eastAsia="宋体" w:cs="Times New Roman"/>
          <w:color w:val="auto"/>
          <w:sz w:val="24"/>
          <w:szCs w:val="24"/>
        </w:rPr>
        <w:t>，在</w:t>
      </w:r>
      <w:r>
        <w:rPr>
          <w:rFonts w:hint="eastAsia" w:asciiTheme="majorEastAsia" w:hAnsiTheme="majorEastAsia" w:eastAsiaTheme="majorEastAsia" w:cstheme="minorEastAsia"/>
          <w:color w:val="auto"/>
          <w:kern w:val="0"/>
          <w:sz w:val="24"/>
          <w:lang w:bidi="ar"/>
        </w:rPr>
        <w:t>“苏采云”系统</w:t>
      </w:r>
      <w:r>
        <w:rPr>
          <w:rFonts w:hint="eastAsia" w:ascii="宋体" w:hAnsi="宋体" w:eastAsia="宋体" w:cs="Times New Roman"/>
          <w:color w:val="auto"/>
          <w:sz w:val="24"/>
          <w:szCs w:val="24"/>
        </w:rPr>
        <w:t>发布公告形式通知所有获取招标文件的潜在投标人；不足15日的，采购人或者</w:t>
      </w:r>
      <w:r>
        <w:rPr>
          <w:rFonts w:hint="eastAsia" w:ascii="宋体" w:hAnsi="宋体" w:eastAsia="宋体" w:cs="Times New Roman"/>
          <w:color w:val="auto"/>
          <w:sz w:val="24"/>
          <w:szCs w:val="24"/>
          <w:lang w:eastAsia="zh-CN"/>
        </w:rPr>
        <w:t>代理</w:t>
      </w:r>
      <w:r>
        <w:rPr>
          <w:rFonts w:hint="eastAsia" w:ascii="宋体" w:hAnsi="宋体" w:eastAsia="宋体" w:cs="Times New Roman"/>
          <w:color w:val="auto"/>
          <w:sz w:val="24"/>
          <w:szCs w:val="24"/>
        </w:rPr>
        <w:t>机构应当顺延提交投标文件的截止时间。</w:t>
      </w:r>
    </w:p>
    <w:p>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10.3 澄清或者修改的内容可能影响资格预审申请文件编制的，采购人或者</w:t>
      </w:r>
      <w:r>
        <w:rPr>
          <w:rFonts w:hint="eastAsia" w:ascii="宋体" w:hAnsi="宋体" w:eastAsia="宋体" w:cs="Times New Roman"/>
          <w:color w:val="auto"/>
          <w:sz w:val="24"/>
          <w:szCs w:val="24"/>
          <w:lang w:eastAsia="zh-CN"/>
        </w:rPr>
        <w:t>代理</w:t>
      </w:r>
      <w:r>
        <w:rPr>
          <w:rFonts w:hint="eastAsia" w:ascii="宋体" w:hAnsi="宋体" w:eastAsia="宋体" w:cs="Times New Roman"/>
          <w:color w:val="auto"/>
          <w:sz w:val="24"/>
          <w:szCs w:val="24"/>
        </w:rPr>
        <w:t>机构应当在提交资格预审申请文件截止时间至少3日前，以在</w:t>
      </w:r>
      <w:r>
        <w:rPr>
          <w:rFonts w:hint="eastAsia" w:asciiTheme="majorEastAsia" w:hAnsiTheme="majorEastAsia" w:eastAsiaTheme="majorEastAsia" w:cstheme="minorEastAsia"/>
          <w:color w:val="auto"/>
          <w:kern w:val="0"/>
          <w:sz w:val="24"/>
          <w:lang w:bidi="ar"/>
        </w:rPr>
        <w:t>“苏采云”系统</w:t>
      </w:r>
      <w:r>
        <w:rPr>
          <w:rFonts w:hint="eastAsia" w:ascii="宋体" w:hAnsi="宋体" w:eastAsia="宋体" w:cs="Times New Roman"/>
          <w:color w:val="auto"/>
          <w:sz w:val="24"/>
          <w:szCs w:val="24"/>
        </w:rPr>
        <w:t>上发布公告形式通知所有获取资格预审文件的潜在投标人；不足3日的，采购人或者</w:t>
      </w:r>
      <w:r>
        <w:rPr>
          <w:rFonts w:hint="eastAsia" w:ascii="宋体" w:hAnsi="宋体" w:eastAsia="宋体" w:cs="Times New Roman"/>
          <w:color w:val="auto"/>
          <w:sz w:val="24"/>
          <w:szCs w:val="24"/>
          <w:lang w:eastAsia="zh-CN"/>
        </w:rPr>
        <w:t>代理</w:t>
      </w:r>
      <w:r>
        <w:rPr>
          <w:rFonts w:hint="eastAsia" w:ascii="宋体" w:hAnsi="宋体" w:eastAsia="宋体" w:cs="Times New Roman"/>
          <w:color w:val="auto"/>
          <w:sz w:val="24"/>
          <w:szCs w:val="24"/>
        </w:rPr>
        <w:t>机构应当顺延提交资格预审申请文件的截止时间。</w:t>
      </w:r>
    </w:p>
    <w:p>
      <w:pPr>
        <w:keepNext/>
        <w:spacing w:line="360" w:lineRule="auto"/>
        <w:textAlignment w:val="baseline"/>
        <w:outlineLvl w:val="1"/>
        <w:rPr>
          <w:rFonts w:ascii="Times New Roman" w:hAnsi="Times New Roman" w:eastAsia="黑体" w:cs="Times New Roman"/>
          <w:b/>
          <w:color w:val="000000"/>
          <w:kern w:val="0"/>
          <w:sz w:val="28"/>
          <w:szCs w:val="20"/>
        </w:rPr>
      </w:pPr>
      <w:r>
        <w:rPr>
          <w:rFonts w:hint="eastAsia" w:ascii="Times New Roman" w:hAnsi="Times New Roman" w:eastAsia="黑体" w:cs="Times New Roman"/>
          <w:b/>
          <w:color w:val="000000"/>
          <w:kern w:val="0"/>
          <w:sz w:val="28"/>
          <w:szCs w:val="20"/>
        </w:rPr>
        <w:t>三、投标文件的编制</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11. 投标文件编写注意事项</w:t>
      </w:r>
    </w:p>
    <w:p>
      <w:pPr>
        <w:spacing w:line="360" w:lineRule="auto"/>
        <w:ind w:firstLine="480" w:firstLineChars="200"/>
        <w:rPr>
          <w:rFonts w:ascii="宋体" w:hAnsi="宋体" w:eastAsia="宋体" w:cs="Times New Roman"/>
          <w:bCs/>
          <w:color w:val="000000"/>
          <w:sz w:val="24"/>
          <w:szCs w:val="24"/>
        </w:rPr>
      </w:pPr>
      <w:r>
        <w:rPr>
          <w:rFonts w:hint="eastAsia" w:ascii="宋体" w:hAnsi="宋体" w:eastAsia="宋体" w:cs="Times New Roman"/>
          <w:color w:val="000000"/>
          <w:sz w:val="24"/>
          <w:szCs w:val="24"/>
        </w:rPr>
        <w:t>11.1 投标人应当仔细阅读招标文件的所有内容，在完全了解招标的内容、技术性能要求和商务条件后，按照招标文件的要求编制投标文件。投标文件应当对招标文件提出的要求和条件作出明确响应，并保证所提供的全部资料的真实性，否则作</w:t>
      </w:r>
      <w:r>
        <w:rPr>
          <w:rFonts w:hint="eastAsia" w:ascii="宋体" w:hAnsi="宋体" w:eastAsia="宋体" w:cs="Times New Roman"/>
          <w:b/>
          <w:bCs/>
          <w:color w:val="000000"/>
          <w:sz w:val="24"/>
          <w:szCs w:val="24"/>
        </w:rPr>
        <w:t>无效响应处理</w:t>
      </w:r>
      <w:r>
        <w:rPr>
          <w:rFonts w:hint="eastAsia" w:ascii="宋体" w:hAnsi="宋体" w:eastAsia="宋体" w:cs="Times New Roman"/>
          <w:color w:val="000000"/>
          <w:sz w:val="24"/>
          <w:szCs w:val="24"/>
        </w:rPr>
        <w:t>。</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11.2 对招标文件提出的实质性要求和条件作出响应是指投标人必须对招标文件中标明实质性要求和条件的技术参数及性能配置、数量、价格、售后服务、合同主要条款及其它要求等内容</w:t>
      </w:r>
      <w:r>
        <w:rPr>
          <w:rFonts w:hint="eastAsia" w:ascii="宋体" w:hAnsi="宋体" w:eastAsia="宋体" w:cs="Times New Roman"/>
          <w:b/>
          <w:bCs/>
          <w:color w:val="000000"/>
          <w:sz w:val="24"/>
          <w:szCs w:val="24"/>
        </w:rPr>
        <w:t>作出满足或者优于原要求和条件的响应</w:t>
      </w:r>
      <w:r>
        <w:rPr>
          <w:rFonts w:hint="eastAsia" w:ascii="宋体" w:hAnsi="宋体" w:eastAsia="宋体" w:cs="Times New Roman"/>
          <w:color w:val="000000"/>
          <w:sz w:val="24"/>
          <w:szCs w:val="24"/>
        </w:rPr>
        <w:t>。</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11.3 </w:t>
      </w:r>
      <w:r>
        <w:rPr>
          <w:rFonts w:hint="eastAsia" w:ascii="宋体" w:hAnsi="宋体" w:eastAsia="宋体" w:cs="Times New Roman"/>
          <w:b/>
          <w:bCs/>
          <w:color w:val="000000"/>
          <w:sz w:val="24"/>
          <w:szCs w:val="24"/>
        </w:rPr>
        <w:t>招标文件中标注★号的部分为实质性要求和条件</w:t>
      </w:r>
      <w:r>
        <w:rPr>
          <w:rFonts w:hint="eastAsia" w:ascii="宋体" w:hAnsi="宋体" w:eastAsia="宋体" w:cs="Times New Roman"/>
          <w:color w:val="000000"/>
          <w:sz w:val="24"/>
          <w:szCs w:val="24"/>
        </w:rPr>
        <w:t>。</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12. 投标的语言及计量单位</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12.1 投标人的投标文件以及投标人与</w:t>
      </w:r>
      <w:r>
        <w:rPr>
          <w:rFonts w:hint="eastAsia" w:ascii="宋体" w:hAnsi="宋体" w:eastAsia="宋体" w:cs="Times New Roman"/>
          <w:color w:val="000000"/>
          <w:sz w:val="24"/>
          <w:szCs w:val="24"/>
          <w:lang w:eastAsia="zh-CN"/>
        </w:rPr>
        <w:t>代理</w:t>
      </w:r>
      <w:r>
        <w:rPr>
          <w:rFonts w:hint="eastAsia" w:ascii="宋体" w:hAnsi="宋体" w:eastAsia="宋体" w:cs="Times New Roman"/>
          <w:color w:val="000000"/>
          <w:sz w:val="24"/>
          <w:szCs w:val="24"/>
        </w:rPr>
        <w:t>机构就有关投标的所有来往函电统一使用中文（特别规定除外），既有中文也有外文的，以中文意义为准。</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12.2 投标文件中使用的计量单位除招标文件中有特殊规定外，一律使用中国法定计量单位。</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13. 投标报价</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13.1 投标报价指货物的报价和标准附件、备品备件、专用工具、运输、装卸、验收合格所需的各种费用及必要的保险费用和各项税金等所有费用的总和。投标报价为现场交货价，投标报价必须含以下部分：</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（1）投标的货物总价；</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（2）货物的标准附件、备品备件、专用工具、运输、装卸等各种费用；</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（3）必要的保险费用和各项税金；</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（4）投标总价要求包含安装维保费用。</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13.2 投标人可就第六章“项目需求”中的某个分标货物内容作完整唯一报价，也可就所有分标或某几个分标货物内容分别作完整唯一报价。</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14. 投标货币</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14.1 投标应以人民币报价。</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15. 投标文件有效期</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15.1 本项目投标文件有效期为：投标文件接收截止时间结束后60天内，投标文件有效期不符合招标文件要求的，该投标人投标无效。</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15.2 在特殊情况下，</w:t>
      </w:r>
      <w:r>
        <w:rPr>
          <w:rFonts w:hint="eastAsia" w:ascii="宋体" w:hAnsi="宋体" w:eastAsia="宋体" w:cs="Times New Roman"/>
          <w:color w:val="000000"/>
          <w:sz w:val="24"/>
          <w:szCs w:val="24"/>
          <w:lang w:eastAsia="zh-CN"/>
        </w:rPr>
        <w:t>代理</w:t>
      </w:r>
      <w:r>
        <w:rPr>
          <w:rFonts w:hint="eastAsia" w:ascii="宋体" w:hAnsi="宋体" w:eastAsia="宋体" w:cs="Times New Roman"/>
          <w:color w:val="000000"/>
          <w:sz w:val="24"/>
          <w:szCs w:val="24"/>
        </w:rPr>
        <w:t>机构可与投标人协商延长投标文件的有效期，这种要求与答复均应以书面形式提交。</w:t>
      </w:r>
    </w:p>
    <w:p>
      <w:pPr>
        <w:spacing w:line="360" w:lineRule="auto"/>
        <w:ind w:firstLine="480" w:firstLineChars="200"/>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rPr>
        <w:t>16. 投标保证金</w:t>
      </w: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lang w:val="en-US" w:eastAsia="zh-CN"/>
        </w:rPr>
        <w:t>本项目不收取投标保证金）</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16.1 招标文件约定收取投标保证金的，投标人应</w:t>
      </w:r>
      <w:r>
        <w:rPr>
          <w:rFonts w:hint="eastAsia" w:ascii="宋体" w:hAnsi="宋体" w:eastAsia="宋体" w:cs="Times New Roman"/>
          <w:b/>
          <w:color w:val="000000"/>
          <w:sz w:val="24"/>
          <w:szCs w:val="24"/>
        </w:rPr>
        <w:t>在投标文件递交截止时间前</w:t>
      </w:r>
      <w:r>
        <w:rPr>
          <w:rFonts w:hint="eastAsia" w:ascii="宋体" w:hAnsi="宋体" w:eastAsia="宋体" w:cs="Times New Roman"/>
          <w:color w:val="000000"/>
          <w:sz w:val="24"/>
          <w:szCs w:val="24"/>
        </w:rPr>
        <w:t>按要求交纳。</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16.2 投标保证金到账凭证</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电汇、网银等方式：转账成功页面截图，电子件上传。</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现金解款单方式：转账凭证（红联+蓝联）与投标人银行开户许可证电子件上传。</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16.3 办理投标保证金手续时，请注明标段编号。</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16.4 未中标</w:t>
      </w:r>
      <w:r>
        <w:rPr>
          <w:rFonts w:hint="eastAsia" w:ascii="宋体" w:hAnsi="宋体" w:eastAsia="宋体" w:cs="Times New Roman"/>
          <w:color w:val="000000"/>
          <w:sz w:val="24"/>
          <w:szCs w:val="24"/>
          <w:lang w:eastAsia="zh-CN"/>
        </w:rPr>
        <w:t>投标人</w:t>
      </w:r>
      <w:r>
        <w:rPr>
          <w:rFonts w:hint="eastAsia" w:ascii="宋体" w:hAnsi="宋体" w:eastAsia="宋体" w:cs="Times New Roman"/>
          <w:color w:val="000000"/>
          <w:sz w:val="24"/>
          <w:szCs w:val="24"/>
        </w:rPr>
        <w:t>的投标保证金，将在中标通知书发出后五个工作日内由</w:t>
      </w:r>
      <w:r>
        <w:rPr>
          <w:rFonts w:hint="eastAsia" w:ascii="宋体" w:hAnsi="宋体" w:eastAsia="宋体" w:cs="Times New Roman"/>
          <w:color w:val="000000"/>
          <w:sz w:val="24"/>
          <w:szCs w:val="24"/>
          <w:lang w:eastAsia="zh-CN"/>
        </w:rPr>
        <w:t>代理</w:t>
      </w:r>
      <w:r>
        <w:rPr>
          <w:rFonts w:hint="eastAsia" w:ascii="宋体" w:hAnsi="宋体" w:eastAsia="宋体" w:cs="Times New Roman"/>
          <w:color w:val="000000"/>
          <w:sz w:val="24"/>
          <w:szCs w:val="24"/>
        </w:rPr>
        <w:t>机构无息退还；中标</w:t>
      </w:r>
      <w:r>
        <w:rPr>
          <w:rFonts w:hint="eastAsia" w:ascii="宋体" w:hAnsi="宋体" w:eastAsia="宋体" w:cs="Times New Roman"/>
          <w:color w:val="000000"/>
          <w:sz w:val="24"/>
          <w:szCs w:val="24"/>
          <w:lang w:eastAsia="zh-CN"/>
        </w:rPr>
        <w:t>投标人</w:t>
      </w:r>
      <w:r>
        <w:rPr>
          <w:rFonts w:hint="eastAsia" w:ascii="宋体" w:hAnsi="宋体" w:eastAsia="宋体" w:cs="Times New Roman"/>
          <w:color w:val="000000"/>
          <w:sz w:val="24"/>
          <w:szCs w:val="24"/>
        </w:rPr>
        <w:t>的投标保证金自合同签订之日后五个工作日内由</w:t>
      </w:r>
      <w:r>
        <w:rPr>
          <w:rFonts w:hint="eastAsia" w:ascii="宋体" w:hAnsi="宋体" w:eastAsia="宋体" w:cs="Times New Roman"/>
          <w:color w:val="000000"/>
          <w:sz w:val="24"/>
          <w:szCs w:val="24"/>
          <w:lang w:eastAsia="zh-CN"/>
        </w:rPr>
        <w:t>代理</w:t>
      </w:r>
      <w:r>
        <w:rPr>
          <w:rFonts w:hint="eastAsia" w:ascii="宋体" w:hAnsi="宋体" w:eastAsia="宋体" w:cs="Times New Roman"/>
          <w:color w:val="000000"/>
          <w:sz w:val="24"/>
          <w:szCs w:val="24"/>
        </w:rPr>
        <w:t>机构无息退还。</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16.5 涉及质疑和投诉的</w:t>
      </w:r>
      <w:r>
        <w:rPr>
          <w:rFonts w:hint="eastAsia" w:ascii="宋体" w:hAnsi="宋体" w:eastAsia="宋体" w:cs="Times New Roman"/>
          <w:color w:val="000000"/>
          <w:sz w:val="24"/>
          <w:szCs w:val="24"/>
          <w:lang w:eastAsia="zh-CN"/>
        </w:rPr>
        <w:t>投标人</w:t>
      </w:r>
      <w:r>
        <w:rPr>
          <w:rFonts w:hint="eastAsia" w:ascii="宋体" w:hAnsi="宋体" w:eastAsia="宋体" w:cs="Times New Roman"/>
          <w:color w:val="000000"/>
          <w:sz w:val="24"/>
          <w:szCs w:val="24"/>
        </w:rPr>
        <w:t>，在质疑和投诉调查处理结束前其投标保证金暂不退还。</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16.6 下列情况发生时，投标保证金将由</w:t>
      </w:r>
      <w:r>
        <w:rPr>
          <w:rFonts w:hint="eastAsia" w:ascii="宋体" w:hAnsi="宋体" w:eastAsia="宋体" w:cs="Times New Roman"/>
          <w:color w:val="000000"/>
          <w:sz w:val="24"/>
          <w:szCs w:val="24"/>
          <w:lang w:eastAsia="zh-CN"/>
        </w:rPr>
        <w:t>代理</w:t>
      </w:r>
      <w:r>
        <w:rPr>
          <w:rFonts w:hint="eastAsia" w:ascii="宋体" w:hAnsi="宋体" w:eastAsia="宋体" w:cs="Times New Roman"/>
          <w:color w:val="000000"/>
          <w:sz w:val="24"/>
          <w:szCs w:val="24"/>
        </w:rPr>
        <w:t>机构全部扣除：</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（1）投标人在开标后要求撤回投标的；</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（2）中标人未按规定的时间、地点与采购人签订合同的；</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（3）法律法规规定的其他情形。</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16.7 本项目投标保证金要求详见第一章“投标邀请”。</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17. 投标文件制作工具</w:t>
      </w:r>
    </w:p>
    <w:p>
      <w:pPr>
        <w:spacing w:line="360" w:lineRule="auto"/>
        <w:ind w:firstLine="480" w:firstLineChars="200"/>
        <w:rPr>
          <w:rFonts w:hint="eastAsia" w:ascii="宋体" w:hAnsi="宋体" w:cs="Times New Roman" w:eastAsiaTheme="majorEastAsia"/>
          <w:color w:val="auto"/>
          <w:sz w:val="24"/>
          <w:szCs w:val="24"/>
          <w:lang w:val="en-US" w:eastAsia="zh-CN"/>
        </w:rPr>
      </w:pPr>
      <w:r>
        <w:rPr>
          <w:rFonts w:hint="eastAsia" w:ascii="宋体" w:hAnsi="宋体" w:eastAsia="宋体" w:cs="Times New Roman"/>
          <w:color w:val="000000"/>
          <w:sz w:val="24"/>
          <w:szCs w:val="24"/>
        </w:rPr>
        <w:t xml:space="preserve">17.1 </w:t>
      </w:r>
      <w:r>
        <w:rPr>
          <w:rFonts w:hint="eastAsia" w:ascii="宋体" w:hAnsi="宋体" w:eastAsia="宋体" w:cs="Times New Roman"/>
          <w:b/>
          <w:bCs/>
          <w:color w:val="auto"/>
          <w:sz w:val="24"/>
          <w:szCs w:val="24"/>
        </w:rPr>
        <w:t>投标人必须</w:t>
      </w:r>
      <w:r>
        <w:rPr>
          <w:rFonts w:cs="宋体" w:asciiTheme="majorEastAsia" w:hAnsiTheme="majorEastAsia" w:eastAsiaTheme="majorEastAsia"/>
          <w:b/>
          <w:bCs/>
          <w:color w:val="auto"/>
          <w:kern w:val="0"/>
          <w:sz w:val="24"/>
          <w:lang w:bidi="ar"/>
        </w:rPr>
        <w:t>通过“苏采云”系统提交数据电文形式的响应文件（即电子投标），“苏采云”系统自动接收</w:t>
      </w:r>
      <w:r>
        <w:rPr>
          <w:rFonts w:hint="eastAsia" w:cs="宋体" w:asciiTheme="majorEastAsia" w:hAnsiTheme="majorEastAsia" w:eastAsiaTheme="majorEastAsia"/>
          <w:color w:val="auto"/>
          <w:kern w:val="0"/>
          <w:sz w:val="24"/>
          <w:lang w:val="en-US" w:eastAsia="zh-CN" w:bidi="ar"/>
        </w:rPr>
        <w:t>；</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18. 投标文件构成</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投标人编制的投标文件应包括</w:t>
      </w:r>
      <w:r>
        <w:rPr>
          <w:rFonts w:hint="eastAsia" w:ascii="宋体" w:hAnsi="宋体" w:eastAsia="宋体" w:cs="Times New Roman"/>
          <w:b/>
          <w:color w:val="000000"/>
          <w:sz w:val="24"/>
          <w:szCs w:val="24"/>
        </w:rPr>
        <w:t>商务文件、技术文件、评审因素所需材料和其他材料</w:t>
      </w:r>
      <w:r>
        <w:rPr>
          <w:rFonts w:hint="eastAsia" w:ascii="宋体" w:hAnsi="宋体" w:eastAsia="宋体" w:cs="Times New Roman"/>
          <w:color w:val="000000"/>
          <w:sz w:val="24"/>
          <w:szCs w:val="24"/>
        </w:rPr>
        <w:t>等内容，相关文件的提交如未特别注明可提供扫描件。</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18.1 </w:t>
      </w:r>
      <w:r>
        <w:rPr>
          <w:rFonts w:hint="eastAsia" w:ascii="宋体" w:hAnsi="宋体" w:eastAsia="宋体" w:cs="Times New Roman"/>
          <w:b/>
          <w:color w:val="000000"/>
          <w:sz w:val="24"/>
          <w:szCs w:val="24"/>
        </w:rPr>
        <w:t>投标文件格式：</w:t>
      </w:r>
    </w:p>
    <w:p>
      <w:pPr>
        <w:spacing w:line="360" w:lineRule="auto"/>
        <w:ind w:firstLine="480" w:firstLineChars="200"/>
        <w:rPr>
          <w:rFonts w:ascii="Times New Roman" w:hAnsi="Times New Roman" w:eastAsia="宋体" w:cs="Times New Roman"/>
          <w:szCs w:val="24"/>
        </w:rPr>
      </w:pPr>
      <w:r>
        <w:rPr>
          <w:rFonts w:hint="eastAsia" w:ascii="宋体" w:hAnsi="宋体" w:eastAsia="宋体" w:cs="Times New Roman"/>
          <w:color w:val="000000"/>
          <w:sz w:val="24"/>
          <w:szCs w:val="24"/>
        </w:rPr>
        <w:t>填写投标人名称、投标人地址、法定代表人、委托代理人、日期等内容。</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18.2 </w:t>
      </w:r>
      <w:r>
        <w:rPr>
          <w:rFonts w:hint="eastAsia" w:ascii="宋体" w:hAnsi="宋体" w:eastAsia="宋体" w:cs="Times New Roman"/>
          <w:b/>
          <w:color w:val="000000"/>
          <w:sz w:val="24"/>
          <w:szCs w:val="24"/>
        </w:rPr>
        <w:t>商务文件：（政府采购政策有关材料可选提交；委托代理时必须提交法定代表人授权委托书，否则投标无效；其他文件必须提交，否则投标无效）</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（1）响应函：请按给定格式及要求填写。</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（2）开标一览表：请按给定格式及要求填写。</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（3）报价明细表：请按第四章“投标文件格式”提供的“报价明细表”格式及要求填写。</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（4）政府采购政策：中小企业声明函、残疾人福利性单位声明函及省级以上监狱管理局、戒毒管理局（含新疆生产建设兵团）出具的属于监狱企业的证明文件，填报要求详见“八、政策功能”。</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（5）资格审查材料：</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单位基本信息、财务状况报告；税收证明、社保证明请上传依法缴纳税收和社会保障资金的相关材料；具备履行合同所必需的设备和专业技术能力的证明材料、参加政府采购活动前3年内在经营活动中没有重大违法记录的书面声明，请按给定的格式填写；具备法律、行政法规规定的其他条件的证明材料，如有请提供；其他资格审查材料要求，详见第一章“投标要求”“二、申请人的资格要求”。</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（6）法定代表人授权委托书：请按给定格式及要求填写。</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（7）商务条款偏离表：请按给定格式及要求，并根据投标人投标承诺的商务条件与“合同条款”“合同专用条款表”“项目需求”等的差异填写。</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（8）售后服务承诺书：请按给定格式及要求填写。</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18</w:t>
      </w:r>
      <w:r>
        <w:rPr>
          <w:rFonts w:ascii="宋体" w:hAnsi="宋体" w:eastAsia="宋体" w:cs="Times New Roman"/>
          <w:color w:val="000000"/>
          <w:sz w:val="24"/>
          <w:szCs w:val="24"/>
        </w:rPr>
        <w:t>.</w:t>
      </w:r>
      <w:r>
        <w:rPr>
          <w:rFonts w:hint="eastAsia" w:ascii="宋体" w:hAnsi="宋体" w:eastAsia="宋体" w:cs="Times New Roman"/>
          <w:color w:val="000000"/>
          <w:sz w:val="24"/>
          <w:szCs w:val="24"/>
        </w:rPr>
        <w:t xml:space="preserve">3 </w:t>
      </w:r>
      <w:r>
        <w:rPr>
          <w:rFonts w:hint="eastAsia" w:ascii="宋体" w:hAnsi="宋体" w:eastAsia="宋体" w:cs="Times New Roman"/>
          <w:b/>
          <w:color w:val="000000"/>
          <w:sz w:val="24"/>
          <w:szCs w:val="24"/>
        </w:rPr>
        <w:t>技术文件：（以下文件必须提交，否则该投标人投标无效）</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（1）技术标：可以但不限于技术方案、产品技术资料、招标文件规定的其他文件等，格式自定。</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（2）技术规格偏离表：按第四章“投标文件格式”提供的“技术规格偏离表”的格式及要求，根据投标人投标的货物与“项目需求”相关技术规格要求的差异填写。</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（3）项目需求响应：格式自定。</w:t>
      </w:r>
    </w:p>
    <w:p>
      <w:pPr>
        <w:spacing w:line="360" w:lineRule="auto"/>
        <w:ind w:firstLine="480" w:firstLineChars="200"/>
        <w:rPr>
          <w:rFonts w:ascii="宋体" w:hAnsi="宋体" w:eastAsia="宋体" w:cs="Times New Roman"/>
          <w:b/>
          <w:sz w:val="24"/>
          <w:szCs w:val="24"/>
        </w:rPr>
      </w:pPr>
      <w:r>
        <w:rPr>
          <w:rFonts w:hint="eastAsia" w:ascii="宋体" w:hAnsi="宋体" w:eastAsia="宋体" w:cs="Times New Roman"/>
          <w:color w:val="000000"/>
          <w:sz w:val="24"/>
          <w:szCs w:val="24"/>
        </w:rPr>
        <w:t>18</w:t>
      </w:r>
      <w:r>
        <w:rPr>
          <w:rFonts w:ascii="宋体" w:hAnsi="宋体" w:eastAsia="宋体" w:cs="Times New Roman"/>
          <w:color w:val="000000"/>
          <w:sz w:val="24"/>
          <w:szCs w:val="24"/>
        </w:rPr>
        <w:t>.</w:t>
      </w:r>
      <w:r>
        <w:rPr>
          <w:rFonts w:hint="eastAsia" w:ascii="宋体" w:hAnsi="宋体" w:eastAsia="宋体" w:cs="Times New Roman"/>
          <w:sz w:val="24"/>
          <w:szCs w:val="24"/>
        </w:rPr>
        <w:t>4</w:t>
      </w:r>
      <w:r>
        <w:rPr>
          <w:rFonts w:hint="eastAsia" w:ascii="宋体" w:hAnsi="宋体" w:eastAsia="宋体" w:cs="Times New Roman"/>
          <w:color w:val="000000"/>
          <w:sz w:val="24"/>
          <w:szCs w:val="24"/>
        </w:rPr>
        <w:t xml:space="preserve"> </w:t>
      </w:r>
      <w:r>
        <w:rPr>
          <w:rFonts w:hint="eastAsia" w:ascii="宋体" w:hAnsi="宋体" w:eastAsia="宋体" w:cs="Times New Roman"/>
          <w:b/>
          <w:sz w:val="24"/>
          <w:szCs w:val="24"/>
        </w:rPr>
        <w:t>评审因素所需材料：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如有，请按招标文件要求提供。</w:t>
      </w:r>
    </w:p>
    <w:p>
      <w:pPr>
        <w:spacing w:line="360" w:lineRule="auto"/>
        <w:ind w:firstLine="480" w:firstLineChars="200"/>
        <w:rPr>
          <w:rFonts w:ascii="宋体" w:hAnsi="宋体" w:eastAsia="宋体" w:cs="Times New Roman"/>
          <w:b/>
          <w:sz w:val="24"/>
          <w:szCs w:val="24"/>
        </w:rPr>
      </w:pPr>
      <w:r>
        <w:rPr>
          <w:rFonts w:hint="eastAsia" w:ascii="宋体" w:hAnsi="宋体" w:eastAsia="宋体" w:cs="Times New Roman"/>
          <w:color w:val="000000"/>
          <w:sz w:val="24"/>
          <w:szCs w:val="24"/>
        </w:rPr>
        <w:t>18</w:t>
      </w:r>
      <w:r>
        <w:rPr>
          <w:rFonts w:ascii="宋体" w:hAnsi="宋体" w:eastAsia="宋体" w:cs="Times New Roman"/>
          <w:color w:val="000000"/>
          <w:sz w:val="24"/>
          <w:szCs w:val="24"/>
        </w:rPr>
        <w:t>.</w:t>
      </w:r>
      <w:r>
        <w:rPr>
          <w:rFonts w:hint="eastAsia" w:ascii="宋体" w:hAnsi="宋体" w:eastAsia="宋体" w:cs="Times New Roman"/>
          <w:sz w:val="24"/>
          <w:szCs w:val="24"/>
        </w:rPr>
        <w:t xml:space="preserve">5 </w:t>
      </w:r>
      <w:r>
        <w:rPr>
          <w:rFonts w:hint="eastAsia" w:ascii="宋体" w:hAnsi="宋体" w:eastAsia="宋体" w:cs="Times New Roman"/>
          <w:b/>
          <w:sz w:val="24"/>
          <w:szCs w:val="24"/>
        </w:rPr>
        <w:t>其他材料：</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sz w:val="24"/>
          <w:szCs w:val="24"/>
        </w:rPr>
        <w:t>如有，请按招标文件要求提供。</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19. 生成投标文件</w:t>
      </w:r>
    </w:p>
    <w:p>
      <w:pPr>
        <w:spacing w:line="360" w:lineRule="auto"/>
        <w:ind w:firstLine="480" w:firstLineChars="200"/>
        <w:rPr>
          <w:rFonts w:ascii="宋体" w:hAnsi="宋体" w:eastAsia="宋体" w:cs="Times New Roman"/>
          <w:b/>
          <w:bCs/>
          <w:color w:val="000000"/>
          <w:sz w:val="24"/>
          <w:szCs w:val="24"/>
        </w:rPr>
      </w:pPr>
      <w:r>
        <w:rPr>
          <w:rFonts w:hint="eastAsia" w:ascii="宋体" w:hAnsi="宋体" w:eastAsia="宋体" w:cs="Times New Roman"/>
          <w:color w:val="000000"/>
          <w:sz w:val="24"/>
          <w:szCs w:val="24"/>
        </w:rPr>
        <w:t>19.1 投标文件应由</w:t>
      </w:r>
      <w:r>
        <w:rPr>
          <w:rFonts w:hint="eastAsia" w:ascii="宋体" w:hAnsi="宋体" w:eastAsia="宋体" w:cs="Times New Roman"/>
          <w:b/>
          <w:color w:val="000000"/>
          <w:sz w:val="24"/>
          <w:szCs w:val="24"/>
        </w:rPr>
        <w:t>法定代表人或其委托代理人</w:t>
      </w:r>
      <w:r>
        <w:rPr>
          <w:rFonts w:hint="eastAsia" w:ascii="宋体" w:hAnsi="宋体" w:eastAsia="宋体" w:cs="Times New Roman"/>
          <w:b/>
          <w:bCs/>
          <w:color w:val="000000"/>
          <w:sz w:val="24"/>
          <w:szCs w:val="24"/>
        </w:rPr>
        <w:t>在凡规定签章处逐一签字或盖章并加盖投标人公章（相关内容可以打印、签字、盖章后扫描电子件）或</w:t>
      </w:r>
      <w:r>
        <w:rPr>
          <w:rFonts w:hint="eastAsia" w:ascii="宋体" w:hAnsi="宋体" w:eastAsia="宋体" w:cs="Times New Roman"/>
          <w:b/>
          <w:color w:val="000000"/>
          <w:sz w:val="24"/>
          <w:szCs w:val="24"/>
        </w:rPr>
        <w:t>使用电子签章</w:t>
      </w:r>
      <w:r>
        <w:rPr>
          <w:rFonts w:hint="eastAsia" w:ascii="宋体" w:hAnsi="宋体" w:eastAsia="宋体" w:cs="Times New Roman"/>
          <w:color w:val="000000"/>
          <w:sz w:val="24"/>
          <w:szCs w:val="24"/>
        </w:rPr>
        <w:t>，本招标文件所表述的公章是指刻有投标人法定名称的印章，不包括合同、财务、税务、发票等形式的业务专用章。</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19.2 电子投标文件不得涂改、行间插字或删除，如出现上述情况应重新编制。</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19.3 投标文件制作工具生成内容相同、加密与未加密两个版本电子投标文件，加密版本用于提交上传</w:t>
      </w:r>
      <w:r>
        <w:rPr>
          <w:rFonts w:ascii="宋体" w:hAnsi="宋体" w:eastAsia="宋体" w:cs="Times New Roman"/>
          <w:color w:val="000000"/>
          <w:sz w:val="24"/>
          <w:szCs w:val="24"/>
        </w:rPr>
        <w:t>，未加密版本用于特殊情况处理。</w:t>
      </w:r>
    </w:p>
    <w:p>
      <w:pPr>
        <w:keepNext/>
        <w:spacing w:line="360" w:lineRule="auto"/>
        <w:textAlignment w:val="baseline"/>
        <w:outlineLvl w:val="1"/>
        <w:rPr>
          <w:rFonts w:ascii="Times New Roman" w:hAnsi="Times New Roman" w:eastAsia="黑体" w:cs="Times New Roman"/>
          <w:b/>
          <w:color w:val="000000"/>
          <w:kern w:val="0"/>
          <w:sz w:val="28"/>
          <w:szCs w:val="20"/>
        </w:rPr>
      </w:pPr>
      <w:r>
        <w:rPr>
          <w:rFonts w:hint="eastAsia" w:ascii="Times New Roman" w:hAnsi="Times New Roman" w:eastAsia="黑体" w:cs="Times New Roman"/>
          <w:b/>
          <w:color w:val="000000"/>
          <w:kern w:val="0"/>
          <w:sz w:val="28"/>
          <w:szCs w:val="20"/>
        </w:rPr>
        <w:t>四、投标文件及样品的提交</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20. 投标文件的上传、修改和撤回</w:t>
      </w:r>
    </w:p>
    <w:p>
      <w:pPr>
        <w:spacing w:line="360" w:lineRule="auto"/>
        <w:ind w:firstLine="480" w:firstLineChars="200"/>
        <w:rPr>
          <w:rFonts w:hint="eastAsia" w:ascii="宋体" w:hAnsi="宋体" w:eastAsia="宋体" w:cs="Times New Roman"/>
          <w:color w:val="FF0000"/>
          <w:sz w:val="24"/>
          <w:szCs w:val="24"/>
        </w:rPr>
      </w:pPr>
      <w:r>
        <w:rPr>
          <w:rFonts w:hint="eastAsia" w:ascii="宋体" w:hAnsi="宋体" w:eastAsia="宋体" w:cs="Times New Roman"/>
          <w:color w:val="000000"/>
          <w:sz w:val="24"/>
          <w:szCs w:val="24"/>
        </w:rPr>
        <w:t xml:space="preserve">20.1 </w:t>
      </w:r>
      <w:r>
        <w:rPr>
          <w:rFonts w:hint="eastAsia" w:ascii="宋体" w:hAnsi="宋体" w:eastAsia="宋体" w:cs="Times New Roman"/>
          <w:b/>
          <w:bCs/>
          <w:color w:val="auto"/>
          <w:sz w:val="24"/>
          <w:szCs w:val="24"/>
          <w:lang w:eastAsia="zh-CN"/>
        </w:rPr>
        <w:t>投标人</w:t>
      </w:r>
      <w:r>
        <w:rPr>
          <w:rFonts w:hint="eastAsia" w:ascii="宋体" w:hAnsi="宋体" w:eastAsia="宋体" w:cs="Times New Roman"/>
          <w:b/>
          <w:bCs/>
          <w:color w:val="auto"/>
          <w:sz w:val="24"/>
          <w:szCs w:val="24"/>
        </w:rPr>
        <w:t>应当通过“苏采云”系统提交数据电文形式的响应文件（即电子投标），“苏采云”系统自动接收。说明：电子响应文件应由其法定代表人或法定代表人授权代表在规定的网上投标时间内，凭CA证书登录“苏采云”系统在线编制响应文件（电子数据），并在投标截止时间之前上传投标响应文件。</w:t>
      </w:r>
      <w:r>
        <w:rPr>
          <w:rFonts w:hint="eastAsia" w:ascii="宋体" w:hAnsi="宋体" w:eastAsia="宋体" w:cs="Times New Roman"/>
          <w:b/>
          <w:bCs/>
          <w:color w:val="auto"/>
          <w:sz w:val="24"/>
          <w:szCs w:val="24"/>
          <w:lang w:eastAsia="zh-CN"/>
        </w:rPr>
        <w:t>投标人</w:t>
      </w:r>
      <w:r>
        <w:rPr>
          <w:rFonts w:hint="eastAsia" w:ascii="宋体" w:hAnsi="宋体" w:eastAsia="宋体" w:cs="Times New Roman"/>
          <w:b/>
          <w:bCs/>
          <w:color w:val="auto"/>
          <w:sz w:val="24"/>
          <w:szCs w:val="24"/>
        </w:rPr>
        <w:t>应在达到开标时间后，使用CA数字证书解密各自投标响应文件</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20.2 投标人在上传投标文件后可以对其修改或撤回，但这种修改或撤回，必须在规定的投标截止时间前。</w:t>
      </w:r>
    </w:p>
    <w:p>
      <w:pPr>
        <w:spacing w:line="360" w:lineRule="auto"/>
        <w:ind w:firstLine="480" w:firstLineChars="200"/>
        <w:rPr>
          <w:rFonts w:ascii="Times New Roman" w:hAnsi="Times New Roman" w:eastAsia="宋体" w:cs="Times New Roman"/>
          <w:szCs w:val="24"/>
        </w:rPr>
      </w:pPr>
      <w:r>
        <w:rPr>
          <w:rFonts w:hint="eastAsia" w:ascii="宋体" w:hAnsi="宋体" w:eastAsia="宋体" w:cs="Times New Roman"/>
          <w:color w:val="000000"/>
          <w:sz w:val="24"/>
          <w:szCs w:val="24"/>
        </w:rPr>
        <w:t>20.</w:t>
      </w:r>
      <w:r>
        <w:rPr>
          <w:rFonts w:hint="eastAsia" w:ascii="宋体" w:hAnsi="宋体" w:eastAsia="宋体" w:cs="Times New Roman"/>
          <w:color w:val="000000"/>
          <w:sz w:val="24"/>
          <w:szCs w:val="24"/>
          <w:lang w:val="en-US" w:eastAsia="zh-CN"/>
        </w:rPr>
        <w:t>3</w:t>
      </w:r>
      <w:r>
        <w:rPr>
          <w:rFonts w:hint="eastAsia" w:ascii="宋体" w:hAnsi="宋体" w:eastAsia="宋体" w:cs="Times New Roman"/>
          <w:color w:val="000000"/>
          <w:sz w:val="24"/>
          <w:szCs w:val="24"/>
        </w:rPr>
        <w:t xml:space="preserve"> 投标人不得在投标截止时间后修改投标文件，也不得在投标截止时间起至投标有效期满前撤回投标文件。</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21. 提交投标样品截止时间和地点</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21.1 采购项目需要提交样品的，投标人应当于招标文件规定的样品接收截止</w:t>
      </w:r>
      <w:r>
        <w:rPr>
          <w:rFonts w:hint="eastAsia" w:ascii="宋体" w:hAnsi="宋体" w:eastAsia="宋体" w:cs="Times New Roman"/>
          <w:bCs/>
          <w:color w:val="000000"/>
          <w:sz w:val="24"/>
          <w:szCs w:val="24"/>
        </w:rPr>
        <w:t>时间前将样品送达指定地点并登记完毕，</w:t>
      </w:r>
      <w:r>
        <w:rPr>
          <w:rFonts w:hint="eastAsia" w:ascii="宋体" w:hAnsi="宋体" w:eastAsia="宋体" w:cs="Times New Roman"/>
          <w:b/>
          <w:bCs/>
          <w:color w:val="000000"/>
          <w:sz w:val="24"/>
          <w:szCs w:val="24"/>
        </w:rPr>
        <w:t>否则不予接收</w:t>
      </w:r>
      <w:r>
        <w:rPr>
          <w:rFonts w:hint="eastAsia" w:ascii="宋体" w:hAnsi="宋体" w:eastAsia="宋体" w:cs="Times New Roman"/>
          <w:color w:val="000000"/>
          <w:sz w:val="24"/>
          <w:szCs w:val="24"/>
        </w:rPr>
        <w:t>。</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21.2 中标人提供的样品由采购人封存、保管，作为履约验收的参考。未中标人提供的样品，投标人应在中标结果公布后两个工作日内领回，否则按无主物品处理。</w:t>
      </w:r>
    </w:p>
    <w:p>
      <w:pPr>
        <w:keepNext/>
        <w:spacing w:line="360" w:lineRule="auto"/>
        <w:textAlignment w:val="baseline"/>
        <w:outlineLvl w:val="1"/>
        <w:rPr>
          <w:rFonts w:ascii="Times New Roman" w:hAnsi="Times New Roman" w:eastAsia="黑体" w:cs="Times New Roman"/>
          <w:b/>
          <w:color w:val="000000"/>
          <w:kern w:val="0"/>
          <w:sz w:val="28"/>
          <w:szCs w:val="20"/>
        </w:rPr>
      </w:pPr>
      <w:r>
        <w:rPr>
          <w:rFonts w:hint="eastAsia" w:ascii="Times New Roman" w:hAnsi="Times New Roman" w:eastAsia="黑体" w:cs="Times New Roman"/>
          <w:b/>
          <w:color w:val="000000"/>
          <w:kern w:val="0"/>
          <w:sz w:val="28"/>
          <w:szCs w:val="20"/>
        </w:rPr>
        <w:t>五、开标与评标</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22. 开标</w:t>
      </w:r>
    </w:p>
    <w:p>
      <w:pPr>
        <w:spacing w:line="360" w:lineRule="auto"/>
        <w:ind w:firstLine="480" w:firstLineChars="200"/>
        <w:jc w:val="left"/>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 xml:space="preserve">22.1 </w:t>
      </w:r>
      <w:r>
        <w:rPr>
          <w:rFonts w:hint="eastAsia" w:ascii="宋体" w:hAnsi="宋体" w:eastAsia="宋体" w:cs="Times New Roman"/>
          <w:color w:val="000000"/>
          <w:sz w:val="24"/>
          <w:szCs w:val="24"/>
          <w:lang w:eastAsia="zh-CN"/>
        </w:rPr>
        <w:t>代理</w:t>
      </w:r>
      <w:r>
        <w:rPr>
          <w:rFonts w:hint="eastAsia" w:ascii="宋体" w:hAnsi="宋体" w:eastAsia="宋体" w:cs="Times New Roman"/>
          <w:color w:val="000000"/>
          <w:sz w:val="24"/>
          <w:szCs w:val="24"/>
        </w:rPr>
        <w:t>机构将在第一章“投标邀请”规定的时间和地点进行开标，</w:t>
      </w:r>
    </w:p>
    <w:p>
      <w:pPr>
        <w:spacing w:line="360" w:lineRule="auto"/>
        <w:ind w:firstLine="480"/>
        <w:rPr>
          <w:rFonts w:hint="eastAsia" w:ascii="宋体" w:hAnsi="宋体" w:eastAsia="宋体" w:cs="宋体"/>
          <w:b/>
          <w:bCs/>
          <w:i w:val="0"/>
          <w:iCs w:val="0"/>
          <w:color w:val="auto"/>
          <w:sz w:val="24"/>
          <w:highlight w:val="none"/>
          <w:lang w:eastAsia="zh-CN"/>
        </w:rPr>
      </w:pPr>
      <w:r>
        <w:rPr>
          <w:rFonts w:hint="eastAsia" w:ascii="宋体" w:hAnsi="宋体" w:eastAsia="宋体" w:cs="宋体"/>
          <w:b/>
          <w:bCs/>
          <w:i w:val="0"/>
          <w:iCs w:val="0"/>
          <w:color w:val="auto"/>
          <w:sz w:val="24"/>
          <w:highlight w:val="none"/>
        </w:rPr>
        <w:t>1、</w:t>
      </w:r>
      <w:r>
        <w:rPr>
          <w:rFonts w:hint="eastAsia" w:ascii="宋体" w:hAnsi="宋体" w:eastAsia="宋体" w:cs="宋体"/>
          <w:b/>
          <w:bCs/>
          <w:i w:val="0"/>
          <w:iCs w:val="0"/>
          <w:color w:val="auto"/>
          <w:sz w:val="24"/>
          <w:highlight w:val="none"/>
          <w:lang w:eastAsia="zh-CN"/>
        </w:rPr>
        <w:t>采购代理机构将在招标公告中规定的时间和地点组织公开开标。投标人应当按照《操作手册》规定，参加开标活动和在苏采云系统规定的时间内对投标文件进行解密。</w:t>
      </w:r>
    </w:p>
    <w:p>
      <w:pPr>
        <w:spacing w:line="360" w:lineRule="auto"/>
        <w:ind w:firstLine="480"/>
        <w:rPr>
          <w:rFonts w:hint="eastAsia" w:ascii="宋体" w:hAnsi="宋体" w:eastAsia="宋体" w:cs="宋体"/>
          <w:b/>
          <w:bCs/>
          <w:i w:val="0"/>
          <w:iCs w:val="0"/>
          <w:color w:val="auto"/>
          <w:sz w:val="24"/>
          <w:highlight w:val="none"/>
          <w:lang w:eastAsia="zh-CN"/>
        </w:rPr>
      </w:pPr>
      <w:r>
        <w:rPr>
          <w:rFonts w:hint="eastAsia" w:ascii="宋体" w:hAnsi="宋体" w:eastAsia="宋体" w:cs="宋体"/>
          <w:b/>
          <w:bCs/>
          <w:i w:val="0"/>
          <w:iCs w:val="0"/>
          <w:color w:val="auto"/>
          <w:sz w:val="24"/>
          <w:highlight w:val="none"/>
          <w:lang w:val="en-US" w:eastAsia="zh-CN"/>
        </w:rPr>
        <w:t>2、</w:t>
      </w:r>
      <w:r>
        <w:rPr>
          <w:rFonts w:hint="eastAsia" w:ascii="宋体" w:hAnsi="宋体" w:eastAsia="宋体" w:cs="宋体"/>
          <w:b/>
          <w:bCs/>
          <w:i w:val="0"/>
          <w:iCs w:val="0"/>
          <w:color w:val="auto"/>
          <w:sz w:val="24"/>
          <w:highlight w:val="none"/>
          <w:lang w:eastAsia="zh-CN"/>
        </w:rPr>
        <w:t>开标仪式由采购代理机构组织。苏采云系统将自动对项目进行开标，并宣布各投标人名称和投标价格。</w:t>
      </w:r>
    </w:p>
    <w:p>
      <w:pPr>
        <w:spacing w:line="360" w:lineRule="auto"/>
        <w:ind w:firstLine="480"/>
        <w:rPr>
          <w:rFonts w:hint="eastAsia" w:ascii="宋体" w:hAnsi="宋体" w:eastAsia="宋体" w:cs="宋体"/>
          <w:b/>
          <w:bCs/>
          <w:i w:val="0"/>
          <w:iCs w:val="0"/>
          <w:color w:val="auto"/>
          <w:sz w:val="24"/>
          <w:highlight w:val="none"/>
          <w:lang w:eastAsia="zh-CN"/>
        </w:rPr>
      </w:pPr>
      <w:r>
        <w:rPr>
          <w:rFonts w:hint="eastAsia" w:ascii="宋体" w:hAnsi="宋体" w:eastAsia="宋体" w:cs="宋体"/>
          <w:b/>
          <w:bCs/>
          <w:i w:val="0"/>
          <w:iCs w:val="0"/>
          <w:color w:val="auto"/>
          <w:sz w:val="24"/>
          <w:highlight w:val="none"/>
          <w:lang w:val="en-US" w:eastAsia="zh-CN"/>
        </w:rPr>
        <w:t>3、</w:t>
      </w:r>
      <w:r>
        <w:rPr>
          <w:rFonts w:hint="eastAsia" w:ascii="宋体" w:hAnsi="宋体" w:eastAsia="宋体" w:cs="宋体"/>
          <w:b/>
          <w:bCs/>
          <w:i w:val="0"/>
          <w:iCs w:val="0"/>
          <w:color w:val="auto"/>
          <w:sz w:val="24"/>
          <w:highlight w:val="none"/>
          <w:lang w:eastAsia="zh-CN"/>
        </w:rPr>
        <w:t>投标人在开标过程中涉及到的投标文件解密、开标结果确认等工作，应按照《操作手册》规定执行。</w:t>
      </w:r>
    </w:p>
    <w:p>
      <w:pPr>
        <w:spacing w:line="360" w:lineRule="auto"/>
        <w:ind w:firstLine="480"/>
        <w:rPr>
          <w:rFonts w:hint="eastAsia" w:ascii="宋体" w:hAnsi="宋体" w:eastAsia="宋体" w:cs="宋体"/>
          <w:b/>
          <w:bCs/>
          <w:i w:val="0"/>
          <w:iCs w:val="0"/>
          <w:color w:val="auto"/>
          <w:sz w:val="24"/>
          <w:highlight w:val="none"/>
        </w:rPr>
      </w:pPr>
      <w:r>
        <w:rPr>
          <w:rFonts w:hint="eastAsia" w:ascii="宋体" w:hAnsi="宋体" w:eastAsia="宋体" w:cs="宋体"/>
          <w:b/>
          <w:bCs/>
          <w:i w:val="0"/>
          <w:iCs w:val="0"/>
          <w:color w:val="auto"/>
          <w:sz w:val="24"/>
          <w:highlight w:val="none"/>
          <w:lang w:val="en-US" w:eastAsia="zh-CN"/>
        </w:rPr>
        <w:t>4、</w:t>
      </w:r>
      <w:r>
        <w:rPr>
          <w:rFonts w:hint="eastAsia" w:ascii="宋体" w:hAnsi="宋体" w:eastAsia="宋体" w:cs="宋体"/>
          <w:b/>
          <w:bCs/>
          <w:i w:val="0"/>
          <w:iCs w:val="0"/>
          <w:color w:val="auto"/>
          <w:sz w:val="24"/>
          <w:highlight w:val="none"/>
          <w:lang w:eastAsia="zh-CN"/>
        </w:rPr>
        <w:t>投标人如果对开标过程和开标记录有疑义，应当根据《操作手册》规定提出，如苏采云系统中《开标记录表》宣布后5分钟内未提出的，视同认可开标结果。</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22.2 开标程序：</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（1）开标会由</w:t>
      </w:r>
      <w:r>
        <w:rPr>
          <w:rFonts w:hint="eastAsia" w:ascii="宋体" w:hAnsi="宋体" w:eastAsia="宋体" w:cs="Times New Roman"/>
          <w:color w:val="000000"/>
          <w:sz w:val="24"/>
          <w:szCs w:val="24"/>
          <w:lang w:eastAsia="zh-CN"/>
        </w:rPr>
        <w:t>代理</w:t>
      </w:r>
      <w:r>
        <w:rPr>
          <w:rFonts w:hint="eastAsia" w:ascii="宋体" w:hAnsi="宋体" w:eastAsia="宋体" w:cs="Times New Roman"/>
          <w:color w:val="000000"/>
          <w:sz w:val="24"/>
          <w:szCs w:val="24"/>
        </w:rPr>
        <w:t>机构主持，主持人宣布开标会议开始；</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（2）投标人解密投标文件；</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（3）唱标及勘误：唱标时将当众宣读每份电子投标文件中“开标一览表”的各项内容以及</w:t>
      </w:r>
      <w:r>
        <w:rPr>
          <w:rFonts w:hint="eastAsia" w:ascii="宋体" w:hAnsi="宋体" w:eastAsia="宋体" w:cs="Times New Roman"/>
          <w:color w:val="000000"/>
          <w:sz w:val="24"/>
          <w:szCs w:val="24"/>
          <w:lang w:eastAsia="zh-CN"/>
        </w:rPr>
        <w:t>代理</w:t>
      </w:r>
      <w:r>
        <w:rPr>
          <w:rFonts w:hint="eastAsia" w:ascii="宋体" w:hAnsi="宋体" w:eastAsia="宋体" w:cs="Times New Roman"/>
          <w:color w:val="000000"/>
          <w:sz w:val="24"/>
          <w:szCs w:val="24"/>
        </w:rPr>
        <w:t>机构认为有必要宣读的其他内容，唱标顺序按开标系统投标人先后顺序进行；</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（4）宣布评标期间的有关事项；</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（5）开标会议结束。</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22.3 </w:t>
      </w:r>
      <w:r>
        <w:rPr>
          <w:rFonts w:hint="eastAsia" w:ascii="宋体" w:hAnsi="宋体" w:eastAsia="宋体" w:cs="Times New Roman"/>
          <w:color w:val="000000"/>
          <w:sz w:val="24"/>
          <w:szCs w:val="24"/>
          <w:lang w:eastAsia="zh-CN"/>
        </w:rPr>
        <w:t>代理</w:t>
      </w:r>
      <w:r>
        <w:rPr>
          <w:rFonts w:hint="eastAsia" w:ascii="宋体" w:hAnsi="宋体" w:eastAsia="宋体" w:cs="Times New Roman"/>
          <w:color w:val="000000"/>
          <w:sz w:val="24"/>
          <w:szCs w:val="24"/>
        </w:rPr>
        <w:t>机构将做开标记录（包括投标人名称、投标总报价、分标报价、交货期等）。</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22.4 开标结束后，采购人依法对投标人的资格进行审查。</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23. 评标</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23.1 成立评标委员会。评标委员会由</w:t>
      </w:r>
      <w:r>
        <w:rPr>
          <w:rFonts w:hint="eastAsia" w:ascii="宋体" w:hAnsi="宋体" w:eastAsia="宋体" w:cs="Times New Roman"/>
          <w:b/>
          <w:bCs/>
          <w:color w:val="000000"/>
          <w:sz w:val="24"/>
          <w:szCs w:val="24"/>
        </w:rPr>
        <w:t>采购人代表和评审专家</w:t>
      </w:r>
      <w:r>
        <w:rPr>
          <w:rFonts w:hint="eastAsia" w:ascii="宋体" w:hAnsi="宋体" w:eastAsia="宋体" w:cs="Times New Roman"/>
          <w:color w:val="000000"/>
          <w:sz w:val="24"/>
          <w:szCs w:val="24"/>
        </w:rPr>
        <w:t>组成。</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23.2 评标的方式。本采购项目采用不公开方式评标，评标的依据为招标文件和投标文件。</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23.3 </w:t>
      </w:r>
      <w:r>
        <w:rPr>
          <w:rFonts w:hint="eastAsia" w:ascii="宋体" w:hAnsi="宋体" w:eastAsia="宋体" w:cs="Times New Roman"/>
          <w:bCs/>
          <w:color w:val="000000"/>
          <w:sz w:val="24"/>
          <w:szCs w:val="24"/>
        </w:rPr>
        <w:t>评标工作程序</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（1）评标委员会负责具体评标事务，并独立履行下列职责：</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①</w:t>
      </w:r>
      <w:r>
        <w:rPr>
          <w:rFonts w:ascii="宋体" w:hAnsi="宋体" w:eastAsia="宋体" w:cs="Times New Roman"/>
          <w:color w:val="000000"/>
          <w:sz w:val="24"/>
          <w:szCs w:val="24"/>
        </w:rPr>
        <w:t>审查、评价投标文件是否符合招标文件的商务、技术等实质性要求；</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②</w:t>
      </w:r>
      <w:r>
        <w:rPr>
          <w:rFonts w:ascii="宋体" w:hAnsi="宋体" w:eastAsia="宋体" w:cs="Times New Roman"/>
          <w:color w:val="000000"/>
          <w:sz w:val="24"/>
          <w:szCs w:val="24"/>
        </w:rPr>
        <w:t>要求投标人对投标文件有关事项作出澄清或者说明；</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③</w:t>
      </w:r>
      <w:r>
        <w:rPr>
          <w:rFonts w:ascii="宋体" w:hAnsi="宋体" w:eastAsia="宋体" w:cs="Times New Roman"/>
          <w:color w:val="000000"/>
          <w:sz w:val="24"/>
          <w:szCs w:val="24"/>
        </w:rPr>
        <w:t>对投标文件进行比较和评价</w:t>
      </w:r>
      <w:r>
        <w:rPr>
          <w:rFonts w:hint="eastAsia" w:ascii="宋体" w:hAnsi="宋体" w:eastAsia="宋体" w:cs="Times New Roman"/>
          <w:color w:val="000000"/>
          <w:sz w:val="24"/>
          <w:szCs w:val="24"/>
        </w:rPr>
        <w:t>（对商务、技术及其他内容的比较和评价结束前，评标委员会不得比较和评价投标报价）</w:t>
      </w:r>
      <w:r>
        <w:rPr>
          <w:rFonts w:ascii="宋体" w:hAnsi="宋体" w:eastAsia="宋体" w:cs="Times New Roman"/>
          <w:color w:val="000000"/>
          <w:sz w:val="24"/>
          <w:szCs w:val="24"/>
        </w:rPr>
        <w:t>；</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④</w:t>
      </w:r>
      <w:r>
        <w:rPr>
          <w:rFonts w:ascii="宋体" w:hAnsi="宋体" w:eastAsia="宋体" w:cs="Times New Roman"/>
          <w:color w:val="000000"/>
          <w:sz w:val="24"/>
          <w:szCs w:val="24"/>
        </w:rPr>
        <w:t>确定中标候选人名单，以及根据采购人授权直接确定中标人；</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⑤</w:t>
      </w:r>
      <w:r>
        <w:rPr>
          <w:rFonts w:ascii="宋体" w:hAnsi="宋体" w:eastAsia="宋体" w:cs="Times New Roman"/>
          <w:color w:val="000000"/>
          <w:sz w:val="24"/>
          <w:szCs w:val="24"/>
        </w:rPr>
        <w:t>向采购人、</w:t>
      </w:r>
      <w:r>
        <w:rPr>
          <w:rFonts w:hint="eastAsia" w:ascii="宋体" w:hAnsi="宋体" w:eastAsia="宋体" w:cs="Times New Roman"/>
          <w:color w:val="000000"/>
          <w:sz w:val="24"/>
          <w:szCs w:val="24"/>
          <w:lang w:eastAsia="zh-CN"/>
        </w:rPr>
        <w:t>代理</w:t>
      </w:r>
      <w:r>
        <w:rPr>
          <w:rFonts w:ascii="宋体" w:hAnsi="宋体" w:eastAsia="宋体" w:cs="Times New Roman"/>
          <w:color w:val="000000"/>
          <w:sz w:val="24"/>
          <w:szCs w:val="24"/>
        </w:rPr>
        <w:t>机构或者有关部门报告评标中发现的违法行为；</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⑥</w:t>
      </w:r>
      <w:r>
        <w:rPr>
          <w:rFonts w:ascii="宋体" w:hAnsi="宋体" w:eastAsia="宋体" w:cs="Times New Roman"/>
          <w:color w:val="000000"/>
          <w:sz w:val="24"/>
          <w:szCs w:val="24"/>
        </w:rPr>
        <w:t>编写评标报告</w:t>
      </w:r>
      <w:r>
        <w:rPr>
          <w:rFonts w:hint="eastAsia" w:ascii="宋体" w:hAnsi="宋体" w:eastAsia="宋体" w:cs="Times New Roman"/>
          <w:color w:val="000000"/>
          <w:sz w:val="24"/>
          <w:szCs w:val="24"/>
        </w:rPr>
        <w:t>。</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（2）评标委员会对符合资格的投标人的投标文件进行符合性审查，以确定其是否满足招标文件的实质性要求。</w:t>
      </w:r>
    </w:p>
    <w:p>
      <w:pPr>
        <w:spacing w:line="360" w:lineRule="auto"/>
        <w:ind w:firstLine="482" w:firstLineChars="200"/>
        <w:jc w:val="left"/>
        <w:rPr>
          <w:rFonts w:ascii="宋体" w:hAnsi="宋体" w:eastAsia="宋体" w:cs="Times New Roman"/>
          <w:color w:val="000000"/>
          <w:sz w:val="24"/>
          <w:szCs w:val="24"/>
        </w:rPr>
      </w:pPr>
      <w:r>
        <w:rPr>
          <w:rFonts w:hint="eastAsia" w:ascii="宋体" w:hAnsi="宋体" w:eastAsia="宋体" w:cs="Times New Roman"/>
          <w:b/>
          <w:color w:val="000000"/>
          <w:sz w:val="24"/>
          <w:szCs w:val="24"/>
        </w:rPr>
        <w:t>符合性检查</w:t>
      </w:r>
      <w:r>
        <w:rPr>
          <w:rFonts w:hint="eastAsia" w:ascii="宋体" w:hAnsi="宋体" w:eastAsia="宋体" w:cs="Times New Roman"/>
          <w:color w:val="000000"/>
          <w:sz w:val="24"/>
          <w:szCs w:val="24"/>
        </w:rPr>
        <w:t>：依据招标文件的规定，从投标文件的有效性、完整性和对招标文件的响应程度进行审查，以确定是否对招标文件的实质性要求作出响应。未实质性响应招标文件的投标文件按投标无效处理。</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评标委员会首先审查每份投标文件是否实质性响应了招标文件的要求。实质性响应的投标文件是与招标文件要求的全部实质性条款、条件和规格相符</w:t>
      </w:r>
      <w:r>
        <w:rPr>
          <w:rFonts w:ascii="宋体" w:hAnsi="宋体" w:eastAsia="宋体" w:cs="Times New Roman"/>
          <w:color w:val="000000"/>
          <w:sz w:val="24"/>
          <w:szCs w:val="24"/>
        </w:rPr>
        <w:t>且其余非实质性技术及商务条款</w:t>
      </w:r>
      <w:r>
        <w:rPr>
          <w:rFonts w:hint="eastAsia" w:ascii="宋体" w:hAnsi="宋体" w:eastAsia="宋体" w:cs="Times New Roman"/>
          <w:color w:val="000000"/>
          <w:sz w:val="24"/>
          <w:szCs w:val="24"/>
        </w:rPr>
        <w:t>没有重大偏离或保留。</w:t>
      </w:r>
    </w:p>
    <w:p>
      <w:pPr>
        <w:spacing w:line="360" w:lineRule="auto"/>
        <w:ind w:firstLine="482" w:firstLineChars="200"/>
        <w:jc w:val="left"/>
        <w:rPr>
          <w:rFonts w:ascii="宋体" w:hAnsi="宋体" w:eastAsia="宋体" w:cs="Times New Roman"/>
          <w:color w:val="000000"/>
          <w:sz w:val="24"/>
          <w:szCs w:val="24"/>
        </w:rPr>
      </w:pPr>
      <w:r>
        <w:rPr>
          <w:rFonts w:ascii="宋体" w:hAnsi="宋体" w:eastAsia="宋体" w:cs="Times New Roman"/>
          <w:b/>
          <w:color w:val="000000"/>
          <w:sz w:val="24"/>
          <w:szCs w:val="24"/>
        </w:rPr>
        <w:t>所谓重大偏离或保留</w:t>
      </w:r>
      <w:r>
        <w:rPr>
          <w:rFonts w:ascii="宋体" w:hAnsi="宋体" w:eastAsia="宋体" w:cs="Times New Roman"/>
          <w:color w:val="000000"/>
          <w:sz w:val="24"/>
          <w:szCs w:val="24"/>
        </w:rPr>
        <w:t>，是指与</w:t>
      </w:r>
      <w:r>
        <w:rPr>
          <w:rFonts w:hint="eastAsia" w:ascii="宋体" w:hAnsi="宋体" w:eastAsia="宋体" w:cs="Times New Roman"/>
          <w:color w:val="000000"/>
          <w:sz w:val="24"/>
          <w:szCs w:val="24"/>
        </w:rPr>
        <w:t>招标</w:t>
      </w:r>
      <w:r>
        <w:rPr>
          <w:rFonts w:ascii="宋体" w:hAnsi="宋体" w:eastAsia="宋体" w:cs="Times New Roman"/>
          <w:color w:val="000000"/>
          <w:sz w:val="24"/>
          <w:szCs w:val="24"/>
        </w:rPr>
        <w:t>文件规定的主要技术指标或重要的商务条款或除上述以外的多项指标要求存在负偏离，或者在实质上与</w:t>
      </w:r>
      <w:r>
        <w:rPr>
          <w:rFonts w:hint="eastAsia" w:ascii="宋体" w:hAnsi="宋体" w:eastAsia="宋体" w:cs="Times New Roman"/>
          <w:color w:val="000000"/>
          <w:sz w:val="24"/>
          <w:szCs w:val="24"/>
        </w:rPr>
        <w:t>招标</w:t>
      </w:r>
      <w:r>
        <w:rPr>
          <w:rFonts w:ascii="宋体" w:hAnsi="宋体" w:eastAsia="宋体" w:cs="Times New Roman"/>
          <w:color w:val="000000"/>
          <w:sz w:val="24"/>
          <w:szCs w:val="24"/>
        </w:rPr>
        <w:t>文件不一致，而且限制了合同中</w:t>
      </w:r>
      <w:r>
        <w:rPr>
          <w:rFonts w:hint="eastAsia" w:ascii="宋体" w:hAnsi="宋体" w:eastAsia="宋体" w:cs="Times New Roman"/>
          <w:color w:val="000000"/>
          <w:sz w:val="24"/>
          <w:szCs w:val="24"/>
        </w:rPr>
        <w:t>采购人和见证方</w:t>
      </w:r>
      <w:r>
        <w:rPr>
          <w:rFonts w:ascii="宋体" w:hAnsi="宋体" w:eastAsia="宋体" w:cs="Times New Roman"/>
          <w:color w:val="000000"/>
          <w:sz w:val="24"/>
          <w:szCs w:val="24"/>
        </w:rPr>
        <w:t>的权利或</w:t>
      </w:r>
      <w:r>
        <w:rPr>
          <w:rFonts w:hint="eastAsia" w:ascii="宋体" w:hAnsi="宋体" w:eastAsia="宋体" w:cs="Times New Roman"/>
          <w:color w:val="000000"/>
          <w:sz w:val="24"/>
          <w:szCs w:val="24"/>
          <w:lang w:eastAsia="zh-CN"/>
        </w:rPr>
        <w:t>投标人</w:t>
      </w:r>
      <w:r>
        <w:rPr>
          <w:rFonts w:ascii="宋体" w:hAnsi="宋体" w:eastAsia="宋体" w:cs="Times New Roman"/>
          <w:color w:val="000000"/>
          <w:sz w:val="24"/>
          <w:szCs w:val="24"/>
        </w:rPr>
        <w:t>的义务，保留或给予纠正这些偏离的机会将会对其他实质性响应要求的</w:t>
      </w:r>
      <w:r>
        <w:rPr>
          <w:rFonts w:hint="eastAsia" w:ascii="宋体" w:hAnsi="宋体" w:eastAsia="宋体" w:cs="Times New Roman"/>
          <w:color w:val="000000"/>
          <w:sz w:val="24"/>
          <w:szCs w:val="24"/>
          <w:lang w:eastAsia="zh-CN"/>
        </w:rPr>
        <w:t>投标人</w:t>
      </w:r>
      <w:r>
        <w:rPr>
          <w:rFonts w:ascii="宋体" w:hAnsi="宋体" w:eastAsia="宋体" w:cs="Times New Roman"/>
          <w:color w:val="000000"/>
          <w:sz w:val="24"/>
          <w:szCs w:val="24"/>
        </w:rPr>
        <w:t>的竞争地位产生不公正的影响。重大偏离的认定需经过</w:t>
      </w:r>
      <w:r>
        <w:rPr>
          <w:rFonts w:hint="eastAsia" w:ascii="宋体" w:hAnsi="宋体" w:eastAsia="宋体" w:cs="Times New Roman"/>
          <w:color w:val="000000"/>
          <w:sz w:val="24"/>
          <w:szCs w:val="24"/>
        </w:rPr>
        <w:t>评标委员会</w:t>
      </w:r>
      <w:r>
        <w:rPr>
          <w:rFonts w:ascii="宋体" w:hAnsi="宋体" w:eastAsia="宋体" w:cs="Times New Roman"/>
          <w:color w:val="000000"/>
          <w:sz w:val="24"/>
          <w:szCs w:val="24"/>
        </w:rPr>
        <w:t>2/3及以上成员的认定。</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评标委员会决定投标文件的响应性仅基于投标文件本身的内容，而不寻求外部证据。</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评标委员会将拒绝被确定为非实质性响应的投标人，投标人不能通过修正或撤销不符之处而使其投标成为实质性响应的投标。</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3）澄清有关问题。对投标文件中含义不明确、同类问题表述不一致或者有明显文字和计算错误的内容，评标委员会应当以书面形式（从评标系统发起）要求投标人作出必要的澄清、说明或者补正。投标人的澄清、说明或者补正采用书面形式，通过连云港市公共资源电子交易系统作出，使用CA数字证书签章后提交，并不得超出投标文件的范围或者改变投标文件的实质性内容。投标人的澄清文件是投标文件的组成部分。</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23.4 评标过程的保密</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开标后，直到授予投标人合同止，凡是属于审查、澄清、评审和比较的有关资料以及授标建议等均不得向投标人或其他无关的人员透露。投标人在评标过程中，所进行的力图影响评标结果的不公正活动，可能导致其投标被拒绝。</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24. 投标文件报价出现前后不一致的，按照下列规定修正：</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投标文件中开标一览表</w:t>
      </w:r>
      <w:r>
        <w:rPr>
          <w:rFonts w:hint="eastAsia" w:ascii="宋体" w:hAnsi="宋体" w:eastAsia="宋体" w:cs="Times New Roman"/>
          <w:color w:val="000000"/>
          <w:sz w:val="24"/>
          <w:szCs w:val="24"/>
        </w:rPr>
        <w:t>（</w:t>
      </w:r>
      <w:r>
        <w:rPr>
          <w:rFonts w:ascii="宋体" w:hAnsi="宋体" w:eastAsia="宋体" w:cs="Times New Roman"/>
          <w:color w:val="000000"/>
          <w:sz w:val="24"/>
          <w:szCs w:val="24"/>
        </w:rPr>
        <w:t>报价表</w:t>
      </w:r>
      <w:r>
        <w:rPr>
          <w:rFonts w:hint="eastAsia" w:ascii="宋体" w:hAnsi="宋体" w:eastAsia="宋体" w:cs="Times New Roman"/>
          <w:color w:val="000000"/>
          <w:sz w:val="24"/>
          <w:szCs w:val="24"/>
        </w:rPr>
        <w:t>）</w:t>
      </w:r>
      <w:r>
        <w:rPr>
          <w:rFonts w:ascii="宋体" w:hAnsi="宋体" w:eastAsia="宋体" w:cs="Times New Roman"/>
          <w:color w:val="000000"/>
          <w:sz w:val="24"/>
          <w:szCs w:val="24"/>
        </w:rPr>
        <w:t>内容与投标文件中相应内容不一致的，以开标一览表</w:t>
      </w:r>
      <w:r>
        <w:rPr>
          <w:rFonts w:hint="eastAsia" w:ascii="宋体" w:hAnsi="宋体" w:eastAsia="宋体" w:cs="Times New Roman"/>
          <w:color w:val="000000"/>
          <w:sz w:val="24"/>
          <w:szCs w:val="24"/>
        </w:rPr>
        <w:t>（</w:t>
      </w:r>
      <w:r>
        <w:rPr>
          <w:rFonts w:ascii="宋体" w:hAnsi="宋体" w:eastAsia="宋体" w:cs="Times New Roman"/>
          <w:color w:val="000000"/>
          <w:sz w:val="24"/>
          <w:szCs w:val="24"/>
        </w:rPr>
        <w:t>报价表</w:t>
      </w:r>
      <w:r>
        <w:rPr>
          <w:rFonts w:hint="eastAsia" w:ascii="宋体" w:hAnsi="宋体" w:eastAsia="宋体" w:cs="Times New Roman"/>
          <w:color w:val="000000"/>
          <w:sz w:val="24"/>
          <w:szCs w:val="24"/>
        </w:rPr>
        <w:t>）</w:t>
      </w:r>
      <w:r>
        <w:rPr>
          <w:rFonts w:ascii="宋体" w:hAnsi="宋体" w:eastAsia="宋体" w:cs="Times New Roman"/>
          <w:color w:val="000000"/>
          <w:sz w:val="24"/>
          <w:szCs w:val="24"/>
        </w:rPr>
        <w:t>为准；</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大写金额和小写金额不一致的，以大写金额为准；</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单价金额小数点或者百分比有明显错位的，以开标一览表的总价为准，并修改单价；</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（4）</w:t>
      </w:r>
      <w:r>
        <w:rPr>
          <w:rFonts w:ascii="宋体" w:hAnsi="宋体" w:eastAsia="宋体" w:cs="Times New Roman"/>
          <w:color w:val="000000"/>
          <w:sz w:val="24"/>
          <w:szCs w:val="24"/>
        </w:rPr>
        <w:t>总价金额与按单价汇总金额不一致的，以单价金额计算结果为准。</w:t>
      </w:r>
    </w:p>
    <w:p>
      <w:pPr>
        <w:spacing w:line="360" w:lineRule="auto"/>
        <w:ind w:firstLine="480" w:firstLineChars="200"/>
        <w:jc w:val="left"/>
        <w:rPr>
          <w:rFonts w:ascii="宋体" w:hAnsi="宋体" w:eastAsia="宋体" w:cs="Times New Roman"/>
          <w:color w:val="000000"/>
          <w:sz w:val="24"/>
          <w:szCs w:val="24"/>
        </w:rPr>
      </w:pPr>
      <w:r>
        <w:rPr>
          <w:rFonts w:ascii="宋体" w:hAnsi="宋体" w:eastAsia="宋体" w:cs="Times New Roman"/>
          <w:color w:val="000000"/>
          <w:sz w:val="24"/>
          <w:szCs w:val="24"/>
        </w:rPr>
        <w:t>同时出现两种以上不一致的，按照前款规定的顺序修正。修正后的报价</w:t>
      </w:r>
      <w:r>
        <w:rPr>
          <w:rFonts w:hint="eastAsia" w:ascii="宋体" w:hAnsi="宋体" w:eastAsia="宋体" w:cs="Times New Roman"/>
          <w:color w:val="000000"/>
          <w:sz w:val="24"/>
          <w:szCs w:val="24"/>
        </w:rPr>
        <w:t>按照政府采购有关规定</w:t>
      </w:r>
      <w:r>
        <w:rPr>
          <w:rFonts w:ascii="宋体" w:hAnsi="宋体" w:eastAsia="宋体" w:cs="Times New Roman"/>
          <w:color w:val="000000"/>
          <w:sz w:val="24"/>
          <w:szCs w:val="24"/>
        </w:rPr>
        <w:t>经投标人确认后产生约束力，投标人不确认的，其投标无效。</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25. </w:t>
      </w:r>
      <w:r>
        <w:rPr>
          <w:rFonts w:hint="eastAsia" w:ascii="宋体" w:hAnsi="宋体" w:eastAsia="宋体" w:cs="Times New Roman"/>
          <w:b/>
          <w:color w:val="000000"/>
          <w:sz w:val="24"/>
          <w:szCs w:val="24"/>
        </w:rPr>
        <w:t>投标人有下列情况之一的，投标无效：</w:t>
      </w:r>
    </w:p>
    <w:p>
      <w:pPr>
        <w:spacing w:line="360" w:lineRule="auto"/>
        <w:ind w:firstLine="480" w:firstLineChars="200"/>
        <w:jc w:val="left"/>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rPr>
        <w:t>（1）未按照招标文件的规定提交投标保证金的；</w:t>
      </w: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lang w:val="en-US" w:eastAsia="zh-CN"/>
        </w:rPr>
        <w:t>本条不适用）</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（2）投标文件未按招标文件要求编制、签署、盖章的；</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（3）不具备招标文件中规定的资格要求的；</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（4）报价超过招标文件中规定的预算金额或者最高限价的；</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（5）投标文件含有采购人不能接受的附加条件的；</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（6）未按招标文件要求提供电子投标文件或者电子投标文件未能解密（指投标人自身原因）且按照招标文件明确的投标文件解密失败后补救方案（仅现场开标适用）补救不成功的；</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（7）投标人提交的电子投标文件、投标文件备份U盘（仅现场开标适用）均因其自身原因出现问题导致无法电子评标的；</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（8）法律、法规和招标文件规定的其他无效情形。</w:t>
      </w:r>
    </w:p>
    <w:p>
      <w:pPr>
        <w:spacing w:line="360" w:lineRule="auto"/>
        <w:ind w:firstLine="480" w:firstLineChars="200"/>
        <w:jc w:val="left"/>
        <w:rPr>
          <w:rFonts w:ascii="宋体" w:hAnsi="宋体" w:eastAsia="宋体" w:cs="Times New Roman"/>
          <w:b/>
          <w:color w:val="000000"/>
          <w:sz w:val="24"/>
          <w:szCs w:val="24"/>
        </w:rPr>
      </w:pPr>
      <w:r>
        <w:rPr>
          <w:rFonts w:hint="eastAsia" w:ascii="宋体" w:hAnsi="宋体" w:eastAsia="宋体" w:cs="Times New Roman"/>
          <w:color w:val="000000"/>
          <w:sz w:val="24"/>
          <w:szCs w:val="24"/>
        </w:rPr>
        <w:t xml:space="preserve">26. </w:t>
      </w:r>
      <w:r>
        <w:rPr>
          <w:rFonts w:ascii="宋体" w:hAnsi="宋体" w:eastAsia="宋体" w:cs="Times New Roman"/>
          <w:b/>
          <w:color w:val="000000"/>
          <w:sz w:val="24"/>
          <w:szCs w:val="24"/>
        </w:rPr>
        <w:t>有下列情形之一的，视为投标人串通投标，其投标无效：</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不同投标人的投标文件由同一单位或者个人编制；</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不同投标人委托同一单位或者个人办理投标事宜；</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不同投标人的投标文件载明的项目管理成员或者联系人员为同一人；</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（4）</w:t>
      </w:r>
      <w:r>
        <w:rPr>
          <w:rFonts w:ascii="宋体" w:hAnsi="宋体" w:eastAsia="宋体" w:cs="Times New Roman"/>
          <w:color w:val="000000"/>
          <w:sz w:val="24"/>
          <w:szCs w:val="24"/>
        </w:rPr>
        <w:t>不同投标人的投标文件异常一致或者投标报价呈规律性差异；</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（5）</w:t>
      </w:r>
      <w:r>
        <w:rPr>
          <w:rFonts w:ascii="宋体" w:hAnsi="宋体" w:eastAsia="宋体" w:cs="Times New Roman"/>
          <w:color w:val="000000"/>
          <w:sz w:val="24"/>
          <w:szCs w:val="24"/>
        </w:rPr>
        <w:t>不同投标人的投标文件相互混装；</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（6）</w:t>
      </w:r>
      <w:r>
        <w:rPr>
          <w:rFonts w:ascii="宋体" w:hAnsi="宋体" w:eastAsia="宋体" w:cs="Times New Roman"/>
          <w:color w:val="000000"/>
          <w:sz w:val="24"/>
          <w:szCs w:val="24"/>
        </w:rPr>
        <w:t>不同投标人的投标保证金从同一单位或者个人的账户转出。</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27. </w:t>
      </w:r>
      <w:r>
        <w:rPr>
          <w:rFonts w:hint="eastAsia" w:ascii="宋体" w:hAnsi="宋体" w:eastAsia="宋体" w:cs="Times New Roman"/>
          <w:b/>
          <w:color w:val="000000"/>
          <w:sz w:val="24"/>
          <w:szCs w:val="24"/>
        </w:rPr>
        <w:t>在招标采购中，出现下列情形之一的，应予废标：</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（1）符合专业条件的</w:t>
      </w:r>
      <w:r>
        <w:rPr>
          <w:rFonts w:hint="eastAsia" w:ascii="宋体" w:hAnsi="宋体" w:eastAsia="宋体" w:cs="Times New Roman"/>
          <w:color w:val="000000"/>
          <w:sz w:val="24"/>
          <w:szCs w:val="24"/>
          <w:lang w:eastAsia="zh-CN"/>
        </w:rPr>
        <w:t>投标人</w:t>
      </w:r>
      <w:r>
        <w:rPr>
          <w:rFonts w:hint="eastAsia" w:ascii="宋体" w:hAnsi="宋体" w:eastAsia="宋体" w:cs="Times New Roman"/>
          <w:color w:val="000000"/>
          <w:sz w:val="24"/>
          <w:szCs w:val="24"/>
        </w:rPr>
        <w:t>或者对招标文件作实质响应的</w:t>
      </w:r>
      <w:r>
        <w:rPr>
          <w:rFonts w:hint="eastAsia" w:ascii="宋体" w:hAnsi="宋体" w:eastAsia="宋体" w:cs="Times New Roman"/>
          <w:color w:val="000000"/>
          <w:sz w:val="24"/>
          <w:szCs w:val="24"/>
          <w:lang w:eastAsia="zh-CN"/>
        </w:rPr>
        <w:t>投标人</w:t>
      </w:r>
      <w:r>
        <w:rPr>
          <w:rFonts w:hint="eastAsia" w:ascii="宋体" w:hAnsi="宋体" w:eastAsia="宋体" w:cs="Times New Roman"/>
          <w:color w:val="000000"/>
          <w:sz w:val="24"/>
          <w:szCs w:val="24"/>
        </w:rPr>
        <w:t>不足3家的；</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（2）出现影响采购公正的违法、违规行为的；</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（3）投标人的报价均超过了采购预算（最高限价），采购人不能支付的；</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（4）因重大变故，采购任务取消的。</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28. 评标原则、评标办法和特殊情况处理</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28.1 评标原则</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评标委员会应当公平、公正、客观，不带任何倾向性和启发性；不得向外界透露任何与评标有关的内容；任何单位和个人不得干扰、影响评标的正常进行；评标委员会及有关工作人员不得私下与</w:t>
      </w:r>
      <w:r>
        <w:rPr>
          <w:rFonts w:hint="eastAsia" w:ascii="宋体" w:hAnsi="宋体" w:eastAsia="宋体" w:cs="Times New Roman"/>
          <w:color w:val="000000"/>
          <w:sz w:val="24"/>
          <w:szCs w:val="24"/>
          <w:lang w:eastAsia="zh-CN"/>
        </w:rPr>
        <w:t>投标人</w:t>
      </w:r>
      <w:r>
        <w:rPr>
          <w:rFonts w:hint="eastAsia" w:ascii="宋体" w:hAnsi="宋体" w:eastAsia="宋体" w:cs="Times New Roman"/>
          <w:color w:val="000000"/>
          <w:sz w:val="24"/>
          <w:szCs w:val="24"/>
        </w:rPr>
        <w:t>接触。</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28.2 评标办法</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详见第七章“评标办法”。</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28.3 现场开标特殊情况处理（采用不见面交易方式招标的本条款不适用）</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因“开评标系统”自身故障，开标活动无法正常进行时，将使用投标文件备份U盘继续进行开标活动。</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“开评标系统”自身故障是指非投标人原因造成所有投标人电子投标文件均无法解密的情形，部分投标文件无法解密的，不适用本条款。</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对于不同载体的投标文件，开标、评标及认定顺序为电子投标文件、投标备份U盘，前项不能读取的可按后项评审。</w:t>
      </w:r>
    </w:p>
    <w:p>
      <w:pPr>
        <w:keepNext/>
        <w:spacing w:line="360" w:lineRule="auto"/>
        <w:textAlignment w:val="baseline"/>
        <w:outlineLvl w:val="1"/>
        <w:rPr>
          <w:rFonts w:ascii="Times New Roman" w:hAnsi="Times New Roman" w:eastAsia="黑体" w:cs="Times New Roman"/>
          <w:b/>
          <w:color w:val="000000"/>
          <w:kern w:val="0"/>
          <w:sz w:val="28"/>
          <w:szCs w:val="20"/>
        </w:rPr>
      </w:pPr>
      <w:r>
        <w:rPr>
          <w:rFonts w:hint="eastAsia" w:ascii="Times New Roman" w:hAnsi="Times New Roman" w:eastAsia="黑体" w:cs="Times New Roman"/>
          <w:b/>
          <w:color w:val="000000"/>
          <w:kern w:val="0"/>
          <w:sz w:val="28"/>
          <w:szCs w:val="20"/>
        </w:rPr>
        <w:t>六、中标结果</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29. 中标人的确定</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29.1 评标委员会按照评审得分由高到低顺序推荐3名中标候选人。</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29.2 根据采购人的授权，由评标委员会直接确定排名第一的中标候选人为中标人。</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30. 中标通知书</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30.1 中标人确定后，中标结果由</w:t>
      </w:r>
      <w:r>
        <w:rPr>
          <w:rFonts w:hint="eastAsia" w:ascii="宋体" w:hAnsi="宋体" w:eastAsia="宋体" w:cs="Times New Roman"/>
          <w:color w:val="000000"/>
          <w:sz w:val="24"/>
          <w:szCs w:val="24"/>
          <w:lang w:eastAsia="zh-CN"/>
        </w:rPr>
        <w:t>代理</w:t>
      </w:r>
      <w:r>
        <w:rPr>
          <w:rFonts w:hint="eastAsia" w:ascii="宋体" w:hAnsi="宋体" w:eastAsia="宋体" w:cs="Times New Roman"/>
          <w:color w:val="000000"/>
          <w:sz w:val="24"/>
          <w:szCs w:val="24"/>
        </w:rPr>
        <w:t>机构公告，中标公告期限为1个工作日。</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30.2 在公告中标结果的同时，由</w:t>
      </w:r>
      <w:r>
        <w:rPr>
          <w:rFonts w:hint="eastAsia" w:ascii="宋体" w:hAnsi="宋体" w:eastAsia="宋体" w:cs="Times New Roman"/>
          <w:color w:val="000000"/>
          <w:sz w:val="24"/>
          <w:szCs w:val="24"/>
          <w:lang w:eastAsia="zh-CN"/>
        </w:rPr>
        <w:t>代理</w:t>
      </w:r>
      <w:r>
        <w:rPr>
          <w:rFonts w:hint="eastAsia" w:ascii="宋体" w:hAnsi="宋体" w:eastAsia="宋体" w:cs="Times New Roman"/>
          <w:color w:val="000000"/>
          <w:sz w:val="24"/>
          <w:szCs w:val="24"/>
        </w:rPr>
        <w:t>机构向中标人发出中标通知书，</w:t>
      </w:r>
      <w:r>
        <w:rPr>
          <w:rFonts w:hint="eastAsia" w:ascii="宋体" w:hAnsi="宋体" w:eastAsia="宋体" w:cs="Times New Roman"/>
          <w:b/>
          <w:color w:val="auto"/>
          <w:sz w:val="24"/>
          <w:szCs w:val="24"/>
        </w:rPr>
        <w:t>中标</w:t>
      </w:r>
      <w:r>
        <w:rPr>
          <w:rFonts w:hint="eastAsia" w:ascii="宋体" w:hAnsi="宋体" w:eastAsia="宋体" w:cs="Times New Roman"/>
          <w:b/>
          <w:color w:val="auto"/>
          <w:sz w:val="24"/>
          <w:szCs w:val="24"/>
          <w:lang w:eastAsia="zh-CN"/>
        </w:rPr>
        <w:t>投标人</w:t>
      </w:r>
      <w:r>
        <w:rPr>
          <w:rFonts w:hint="eastAsia" w:ascii="宋体" w:hAnsi="宋体" w:eastAsia="宋体" w:cs="Times New Roman"/>
          <w:b/>
          <w:color w:val="auto"/>
          <w:sz w:val="24"/>
          <w:szCs w:val="24"/>
        </w:rPr>
        <w:t>在领取中标通知书时，需提供</w:t>
      </w:r>
      <w:r>
        <w:rPr>
          <w:rFonts w:hint="eastAsia" w:ascii="宋体" w:hAnsi="宋体" w:eastAsia="宋体" w:cs="Times New Roman"/>
          <w:b/>
          <w:color w:val="auto"/>
          <w:sz w:val="24"/>
          <w:szCs w:val="24"/>
          <w:lang w:eastAsia="zh-CN"/>
        </w:rPr>
        <w:t>三</w:t>
      </w:r>
      <w:r>
        <w:rPr>
          <w:rFonts w:hint="eastAsia" w:ascii="宋体" w:hAnsi="宋体" w:eastAsia="宋体" w:cs="Times New Roman"/>
          <w:b/>
          <w:color w:val="auto"/>
          <w:sz w:val="24"/>
          <w:szCs w:val="24"/>
        </w:rPr>
        <w:t>份</w:t>
      </w:r>
      <w:r>
        <w:rPr>
          <w:rFonts w:hint="eastAsia" w:ascii="宋体" w:hAnsi="宋体" w:eastAsia="宋体" w:cs="Times New Roman"/>
          <w:b/>
          <w:color w:val="auto"/>
          <w:sz w:val="24"/>
          <w:szCs w:val="24"/>
          <w:lang w:eastAsia="zh-CN"/>
        </w:rPr>
        <w:t>（一正二副）</w:t>
      </w:r>
      <w:r>
        <w:rPr>
          <w:rFonts w:hint="eastAsia" w:ascii="宋体" w:hAnsi="宋体" w:eastAsia="宋体" w:cs="Times New Roman"/>
          <w:b/>
          <w:color w:val="auto"/>
          <w:sz w:val="24"/>
          <w:szCs w:val="24"/>
        </w:rPr>
        <w:t>与电子投标文件一致的纸质打印投标文件</w:t>
      </w:r>
      <w:r>
        <w:rPr>
          <w:rFonts w:hint="eastAsia" w:ascii="宋体" w:hAnsi="宋体" w:eastAsia="宋体" w:cs="Times New Roman"/>
          <w:color w:val="auto"/>
          <w:sz w:val="24"/>
          <w:szCs w:val="24"/>
        </w:rPr>
        <w:t>；</w:t>
      </w:r>
      <w:r>
        <w:rPr>
          <w:rFonts w:hint="eastAsia" w:ascii="宋体" w:hAnsi="宋体" w:eastAsia="宋体" w:cs="Times New Roman"/>
          <w:color w:val="000000"/>
          <w:sz w:val="24"/>
          <w:szCs w:val="24"/>
        </w:rPr>
        <w:t>对未通过资格审查的投标人，应当告知其未通过的原因；采用综合评分法评审的，还应当告知未中标人本人的评审得分与排序。</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30.3 </w:t>
      </w:r>
      <w:r>
        <w:rPr>
          <w:rFonts w:hint="eastAsia" w:ascii="宋体" w:hAnsi="宋体" w:eastAsia="宋体" w:cs="Times New Roman"/>
          <w:color w:val="000000"/>
          <w:sz w:val="24"/>
          <w:szCs w:val="24"/>
          <w:lang w:eastAsia="zh-CN"/>
        </w:rPr>
        <w:t>代理</w:t>
      </w:r>
      <w:r>
        <w:rPr>
          <w:rFonts w:hint="eastAsia" w:ascii="宋体" w:hAnsi="宋体" w:eastAsia="宋体" w:cs="Times New Roman"/>
          <w:color w:val="000000"/>
          <w:sz w:val="24"/>
          <w:szCs w:val="24"/>
        </w:rPr>
        <w:t>机构无义务向未中标投标人解释落标原因和退回投标文件。</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31. 签订合同</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31.1 中标人收到中标通知书后，应当按招标文件、投标文件及有关澄清承诺书的要求与采购人在三十日内签订合同，并送交</w:t>
      </w:r>
      <w:r>
        <w:rPr>
          <w:rFonts w:hint="eastAsia" w:ascii="宋体" w:hAnsi="宋体" w:eastAsia="宋体" w:cs="Times New Roman"/>
          <w:color w:val="000000"/>
          <w:sz w:val="24"/>
          <w:szCs w:val="24"/>
          <w:lang w:eastAsia="zh-CN"/>
        </w:rPr>
        <w:t>代理</w:t>
      </w:r>
      <w:r>
        <w:rPr>
          <w:rFonts w:hint="eastAsia" w:ascii="宋体" w:hAnsi="宋体" w:eastAsia="宋体" w:cs="Times New Roman"/>
          <w:color w:val="000000"/>
          <w:sz w:val="24"/>
          <w:szCs w:val="24"/>
        </w:rPr>
        <w:t>机构见证，否则，财政部门将延期支付合同款，直至停止采购资金计划执行。采购人在采购合同签订之日起七个工作日内送一份至政府采购监督管理部门备案。</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31.2 中标人因不可抗力或者自身原因不能履行政府采购合同的，按政府采购有关法律法规执行。</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32. 履约保证金及质保金</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32.1 履约保证金的数额不得超过政府采购合同金额的10%。中标人应当以支票、汇票、本票或者金融机构、担保机构出具的保函等非现金形式在合同签订前提交。</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32.2 中标人违约的，采购人将按照合同约定扣除其全部或部分履约保证金。如中标人违约给采购人造成的损失超过履约保证金的，应当依法赔偿超过部分的损失。</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32.3 履约保证金自合同生效之日起至合同约定的中标人主要义务履行完毕止，采购人应当按合同约定及时退还履约保证金。</w:t>
      </w:r>
    </w:p>
    <w:p>
      <w:pPr>
        <w:spacing w:line="360" w:lineRule="auto"/>
        <w:ind w:firstLine="480" w:firstLineChars="200"/>
        <w:jc w:val="left"/>
        <w:rPr>
          <w:rFonts w:ascii="Times New Roman" w:hAnsi="Times New Roman" w:eastAsia="宋体" w:cs="Times New Roman"/>
          <w:sz w:val="24"/>
          <w:szCs w:val="24"/>
        </w:rPr>
      </w:pPr>
      <w:r>
        <w:rPr>
          <w:rFonts w:hint="eastAsia" w:ascii="宋体" w:hAnsi="宋体" w:eastAsia="宋体" w:cs="Times New Roman"/>
          <w:color w:val="000000"/>
          <w:sz w:val="24"/>
          <w:szCs w:val="24"/>
        </w:rPr>
        <w:t>32.4 本项目履约保证金要求详见招标文件第五章“合同专用条款表”。</w:t>
      </w:r>
      <w:r>
        <w:rPr>
          <w:rFonts w:hint="eastAsia" w:ascii="Times New Roman" w:hAnsi="Times New Roman" w:eastAsia="宋体" w:cs="Times New Roman"/>
          <w:sz w:val="24"/>
          <w:szCs w:val="24"/>
        </w:rPr>
        <w:t xml:space="preserve"> </w:t>
      </w:r>
    </w:p>
    <w:p>
      <w:pPr>
        <w:spacing w:line="360" w:lineRule="auto"/>
        <w:ind w:firstLine="480" w:firstLineChars="200"/>
        <w:jc w:val="left"/>
        <w:rPr>
          <w:rFonts w:ascii="宋体" w:hAnsi="宋体" w:eastAsia="宋体" w:cs="Times New Roman"/>
          <w:bCs/>
          <w:color w:val="000000"/>
          <w:sz w:val="24"/>
          <w:szCs w:val="24"/>
        </w:rPr>
      </w:pPr>
      <w:r>
        <w:rPr>
          <w:rFonts w:hint="eastAsia" w:ascii="宋体" w:hAnsi="宋体" w:eastAsia="宋体" w:cs="Times New Roman"/>
          <w:color w:val="000000"/>
          <w:sz w:val="24"/>
          <w:szCs w:val="24"/>
        </w:rPr>
        <w:t>32.5 采购人与中标人应按第五章“合同专用条款表”约定质保金，质保期内中标人提供的标的性能、质量和服务符合合同约定，经验收合格，质保期满后该款如数退还（不计利息）。</w:t>
      </w:r>
    </w:p>
    <w:p>
      <w:pPr>
        <w:keepNext/>
        <w:spacing w:line="360" w:lineRule="auto"/>
        <w:textAlignment w:val="baseline"/>
        <w:outlineLvl w:val="1"/>
        <w:rPr>
          <w:rFonts w:ascii="Times New Roman" w:hAnsi="Times New Roman" w:eastAsia="黑体" w:cs="Times New Roman"/>
          <w:b/>
          <w:color w:val="000000"/>
          <w:kern w:val="0"/>
          <w:sz w:val="28"/>
          <w:szCs w:val="20"/>
        </w:rPr>
      </w:pPr>
      <w:r>
        <w:rPr>
          <w:rFonts w:hint="eastAsia" w:ascii="Times New Roman" w:hAnsi="Times New Roman" w:eastAsia="黑体" w:cs="Times New Roman"/>
          <w:b/>
          <w:color w:val="000000"/>
          <w:kern w:val="0"/>
          <w:sz w:val="28"/>
          <w:szCs w:val="20"/>
        </w:rPr>
        <w:t>七、其他事项</w:t>
      </w:r>
    </w:p>
    <w:p>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33. 采购代理服务费</w:t>
      </w:r>
    </w:p>
    <w:p>
      <w:pPr>
        <w:spacing w:line="360" w:lineRule="auto"/>
        <w:ind w:firstLine="480" w:firstLineChars="200"/>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rPr>
        <w:t xml:space="preserve">33.1 </w:t>
      </w:r>
      <w:r>
        <w:rPr>
          <w:rFonts w:hint="eastAsia" w:ascii="Times New Roman" w:hAnsi="Times New Roman" w:eastAsia="宋体" w:cs="Times New Roman"/>
          <w:b/>
          <w:bCs/>
          <w:color w:val="000000"/>
          <w:sz w:val="24"/>
          <w:szCs w:val="24"/>
          <w:lang w:val="en-US" w:eastAsia="zh-CN"/>
        </w:rPr>
        <w:t>招标代理服务费参照计价格【2002】1980号文收费标准55%计取，由中标人支付</w:t>
      </w:r>
      <w:r>
        <w:rPr>
          <w:rFonts w:hint="eastAsia" w:ascii="Times New Roman" w:hAnsi="Times New Roman" w:eastAsia="宋体" w:cs="Times New Roman"/>
          <w:color w:val="000000"/>
          <w:sz w:val="24"/>
          <w:szCs w:val="24"/>
          <w:lang w:val="en-US" w:eastAsia="zh-CN"/>
        </w:rPr>
        <w:t>。</w:t>
      </w:r>
    </w:p>
    <w:p>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34. 解释权</w:t>
      </w:r>
    </w:p>
    <w:p>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34.1 本招标文件根据《中华人民共和国政府采购法》《中华人民共和国政府采购法实施条例》《政府采购货物和服务招标投标管理办法》及相关法律法规编制，解释权归</w:t>
      </w:r>
      <w:r>
        <w:rPr>
          <w:rFonts w:hint="eastAsia" w:ascii="Times New Roman" w:hAnsi="Times New Roman" w:eastAsia="宋体" w:cs="Times New Roman"/>
          <w:color w:val="000000"/>
          <w:sz w:val="24"/>
          <w:szCs w:val="24"/>
          <w:lang w:eastAsia="zh-CN"/>
        </w:rPr>
        <w:t>代理</w:t>
      </w:r>
      <w:r>
        <w:rPr>
          <w:rFonts w:hint="eastAsia" w:ascii="Times New Roman" w:hAnsi="Times New Roman" w:eastAsia="宋体" w:cs="Times New Roman"/>
          <w:color w:val="000000"/>
          <w:sz w:val="24"/>
          <w:szCs w:val="24"/>
        </w:rPr>
        <w:t>机构。</w:t>
      </w:r>
    </w:p>
    <w:p>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35. 有关事宜</w:t>
      </w:r>
    </w:p>
    <w:p>
      <w:pPr>
        <w:spacing w:line="360" w:lineRule="auto"/>
        <w:ind w:firstLine="480" w:firstLineChars="200"/>
        <w:rPr>
          <w:rFonts w:ascii="Times New Roman" w:hAnsi="宋体" w:eastAsia="宋体" w:cs="Times New Roman"/>
          <w:color w:val="000000"/>
          <w:sz w:val="24"/>
          <w:szCs w:val="24"/>
        </w:rPr>
      </w:pPr>
      <w:r>
        <w:rPr>
          <w:rFonts w:hint="eastAsia" w:ascii="Times New Roman" w:hAnsi="Times New Roman" w:eastAsia="宋体" w:cs="Times New Roman"/>
          <w:color w:val="000000"/>
          <w:sz w:val="24"/>
          <w:szCs w:val="24"/>
        </w:rPr>
        <w:t>35.1 所有与本招标文件有关的函电和通讯地址见第一章“投标邀请”。</w:t>
      </w:r>
    </w:p>
    <w:p>
      <w:pPr>
        <w:keepNext/>
        <w:spacing w:line="360" w:lineRule="auto"/>
        <w:textAlignment w:val="baseline"/>
        <w:outlineLvl w:val="1"/>
        <w:rPr>
          <w:rFonts w:ascii="Times New Roman" w:hAnsi="Times New Roman" w:eastAsia="黑体" w:cs="Times New Roman"/>
          <w:b/>
          <w:color w:val="000000"/>
          <w:kern w:val="0"/>
          <w:sz w:val="28"/>
          <w:szCs w:val="20"/>
        </w:rPr>
      </w:pPr>
      <w:r>
        <w:rPr>
          <w:rFonts w:hint="eastAsia" w:ascii="Times New Roman" w:hAnsi="Times New Roman" w:eastAsia="黑体" w:cs="Times New Roman"/>
          <w:b/>
          <w:color w:val="000000"/>
          <w:kern w:val="0"/>
          <w:sz w:val="28"/>
          <w:szCs w:val="20"/>
        </w:rPr>
        <w:t>八、政策功能</w:t>
      </w:r>
    </w:p>
    <w:p>
      <w:pPr>
        <w:widowControl/>
        <w:spacing w:line="360" w:lineRule="auto"/>
        <w:ind w:firstLine="480" w:firstLineChars="200"/>
        <w:jc w:val="left"/>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rPr>
        <w:t xml:space="preserve">36. </w:t>
      </w:r>
      <w:r>
        <w:rPr>
          <w:rFonts w:hint="eastAsia" w:ascii="Times New Roman" w:hAnsi="Times New Roman" w:eastAsia="宋体" w:cs="Times New Roman"/>
          <w:color w:val="000000"/>
          <w:sz w:val="24"/>
          <w:szCs w:val="24"/>
          <w:lang w:val="en-US" w:eastAsia="zh-CN"/>
        </w:rPr>
        <w:t>政策功能</w:t>
      </w:r>
    </w:p>
    <w:p>
      <w:pPr>
        <w:widowControl/>
        <w:spacing w:line="360" w:lineRule="auto"/>
        <w:ind w:firstLine="480" w:firstLineChars="200"/>
        <w:jc w:val="left"/>
        <w:rPr>
          <w:rFonts w:cs="宋体" w:asciiTheme="majorEastAsia" w:hAnsiTheme="majorEastAsia" w:eastAsiaTheme="majorEastAsia"/>
          <w:color w:val="auto"/>
          <w:kern w:val="0"/>
          <w:sz w:val="24"/>
          <w:lang w:bidi="ar"/>
        </w:rPr>
      </w:pPr>
      <w:r>
        <w:rPr>
          <w:rFonts w:hint="eastAsia" w:ascii="Times New Roman" w:hAnsi="Times New Roman" w:eastAsia="宋体" w:cs="Times New Roman"/>
          <w:color w:val="000000"/>
          <w:sz w:val="24"/>
          <w:szCs w:val="24"/>
          <w:lang w:val="en-US" w:eastAsia="zh-CN"/>
        </w:rPr>
        <w:t>36.1</w:t>
      </w:r>
      <w:r>
        <w:rPr>
          <w:rFonts w:hint="eastAsia" w:cs="宋体" w:asciiTheme="majorEastAsia" w:hAnsiTheme="majorEastAsia" w:eastAsiaTheme="majorEastAsia"/>
          <w:color w:val="auto"/>
          <w:kern w:val="0"/>
          <w:sz w:val="24"/>
          <w:lang w:bidi="ar"/>
        </w:rPr>
        <w:t>本项目面向中小企业采购：</w:t>
      </w:r>
    </w:p>
    <w:p>
      <w:pPr>
        <w:widowControl/>
        <w:spacing w:line="360" w:lineRule="auto"/>
        <w:ind w:firstLine="480" w:firstLineChars="200"/>
        <w:jc w:val="left"/>
        <w:rPr>
          <w:rFonts w:cs="宋体" w:asciiTheme="majorEastAsia" w:hAnsiTheme="majorEastAsia" w:eastAsiaTheme="majorEastAsia"/>
          <w:color w:val="auto"/>
          <w:kern w:val="0"/>
          <w:sz w:val="24"/>
          <w:lang w:bidi="ar"/>
        </w:rPr>
      </w:pPr>
      <w:r>
        <w:rPr>
          <w:rFonts w:hint="eastAsia" w:cs="宋体" w:asciiTheme="majorEastAsia" w:hAnsiTheme="majorEastAsia" w:eastAsiaTheme="majorEastAsia"/>
          <w:color w:val="auto"/>
          <w:kern w:val="0"/>
          <w:sz w:val="24"/>
          <w:lang w:bidi="ar"/>
        </w:rPr>
        <w:t>1.本项目执行财政部、工业和信息化部关于印发《政府采购促进中小企业发展管理办法》的通知（财库〔2020〕46 号）、《关于印发中小企业划型标准规定的通知》（工信部联企业〔2011〕300 号）、《财政部 司法部关于政府采购支持监狱企业发展有关问题的通知》（财库〔2014〕68 号）、《关于促进残疾人就业政府采购政策的通知》（财库〔2017〕141 号）的规定。</w:t>
      </w:r>
    </w:p>
    <w:p>
      <w:pPr>
        <w:widowControl/>
        <w:spacing w:line="360" w:lineRule="auto"/>
        <w:ind w:firstLine="480" w:firstLineChars="200"/>
        <w:jc w:val="left"/>
        <w:rPr>
          <w:rFonts w:cs="宋体" w:asciiTheme="majorEastAsia" w:hAnsiTheme="majorEastAsia" w:eastAsiaTheme="majorEastAsia"/>
          <w:color w:val="auto"/>
          <w:kern w:val="0"/>
          <w:sz w:val="24"/>
          <w:lang w:bidi="ar"/>
        </w:rPr>
      </w:pPr>
      <w:r>
        <w:rPr>
          <w:rFonts w:hint="eastAsia" w:cs="宋体" w:asciiTheme="majorEastAsia" w:hAnsiTheme="majorEastAsia" w:eastAsiaTheme="majorEastAsia"/>
          <w:color w:val="auto"/>
          <w:kern w:val="0"/>
          <w:sz w:val="24"/>
          <w:lang w:bidi="ar"/>
        </w:rPr>
        <w:t>2.根据财政部、工业和信息化部关于印发《政府采购促进中小企业发展管理办法》 的通知（财库〔2020〕46 号），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widowControl/>
        <w:spacing w:line="360" w:lineRule="auto"/>
        <w:ind w:firstLine="482" w:firstLineChars="200"/>
        <w:jc w:val="left"/>
        <w:rPr>
          <w:rFonts w:cs="宋体" w:asciiTheme="majorEastAsia" w:hAnsiTheme="majorEastAsia" w:eastAsiaTheme="majorEastAsia"/>
          <w:color w:val="auto"/>
          <w:kern w:val="0"/>
          <w:sz w:val="24"/>
          <w:lang w:bidi="ar"/>
        </w:rPr>
      </w:pPr>
      <w:r>
        <w:rPr>
          <w:rFonts w:hint="eastAsia" w:cs="宋体" w:asciiTheme="majorEastAsia" w:hAnsiTheme="majorEastAsia" w:eastAsiaTheme="majorEastAsia"/>
          <w:b/>
          <w:bCs/>
          <w:color w:val="auto"/>
          <w:kern w:val="0"/>
          <w:sz w:val="24"/>
          <w:lang w:bidi="ar"/>
        </w:rPr>
        <w:t>中小企业参加政府采购活动，应当出具本办法规定的《中小企业声明函》，否则不得享受相关中小企业扶持政策</w:t>
      </w:r>
      <w:r>
        <w:rPr>
          <w:rFonts w:hint="eastAsia" w:cs="宋体" w:asciiTheme="majorEastAsia" w:hAnsiTheme="majorEastAsia" w:eastAsiaTheme="majorEastAsia"/>
          <w:color w:val="auto"/>
          <w:kern w:val="0"/>
          <w:sz w:val="24"/>
          <w:lang w:bidi="ar"/>
        </w:rPr>
        <w:t>。</w:t>
      </w:r>
    </w:p>
    <w:p>
      <w:pPr>
        <w:widowControl/>
        <w:spacing w:line="360" w:lineRule="auto"/>
        <w:ind w:firstLine="480" w:firstLineChars="200"/>
        <w:jc w:val="left"/>
        <w:rPr>
          <w:rFonts w:cs="宋体" w:asciiTheme="majorEastAsia" w:hAnsiTheme="majorEastAsia" w:eastAsiaTheme="majorEastAsia"/>
          <w:color w:val="auto"/>
          <w:kern w:val="0"/>
          <w:sz w:val="24"/>
          <w:lang w:bidi="ar"/>
        </w:rPr>
      </w:pPr>
      <w:r>
        <w:rPr>
          <w:rFonts w:hint="eastAsia" w:cs="宋体" w:asciiTheme="majorEastAsia" w:hAnsiTheme="majorEastAsia" w:eastAsiaTheme="majorEastAsia"/>
          <w:color w:val="auto"/>
          <w:kern w:val="0"/>
          <w:sz w:val="24"/>
          <w:lang w:bidi="ar"/>
        </w:rPr>
        <w:t>3.</w:t>
      </w:r>
      <w:r>
        <w:rPr>
          <w:rFonts w:hint="eastAsia" w:cs="宋体" w:asciiTheme="majorEastAsia" w:hAnsiTheme="majorEastAsia" w:eastAsiaTheme="majorEastAsia"/>
          <w:color w:val="auto"/>
          <w:kern w:val="0"/>
          <w:sz w:val="24"/>
          <w:lang w:eastAsia="zh-CN" w:bidi="ar"/>
        </w:rPr>
        <w:t>投标人</w:t>
      </w:r>
      <w:r>
        <w:rPr>
          <w:rFonts w:hint="eastAsia" w:cs="宋体" w:asciiTheme="majorEastAsia" w:hAnsiTheme="majorEastAsia" w:eastAsiaTheme="majorEastAsia"/>
          <w:color w:val="auto"/>
          <w:kern w:val="0"/>
          <w:sz w:val="24"/>
          <w:lang w:bidi="ar"/>
        </w:rPr>
        <w:t>为残疾人福利性单位且提供的货物全部由残疾人福利性单位制造的，符合财 库〔2017〕141 号文件规定条件的残疾人福利性单位视同小型、微型企业，提供《残疾人福利性单位声明函》。</w:t>
      </w:r>
    </w:p>
    <w:p>
      <w:pPr>
        <w:widowControl/>
        <w:spacing w:line="360" w:lineRule="auto"/>
        <w:ind w:firstLine="480" w:firstLineChars="200"/>
        <w:jc w:val="left"/>
        <w:rPr>
          <w:rFonts w:cs="宋体" w:asciiTheme="majorEastAsia" w:hAnsiTheme="majorEastAsia" w:eastAsiaTheme="majorEastAsia"/>
          <w:color w:val="auto"/>
          <w:kern w:val="0"/>
          <w:sz w:val="24"/>
          <w:lang w:bidi="ar"/>
        </w:rPr>
      </w:pPr>
      <w:r>
        <w:rPr>
          <w:rFonts w:hint="eastAsia" w:cs="宋体" w:asciiTheme="majorEastAsia" w:hAnsiTheme="majorEastAsia" w:eastAsiaTheme="majorEastAsia"/>
          <w:color w:val="auto"/>
          <w:kern w:val="0"/>
          <w:sz w:val="24"/>
          <w:lang w:bidi="ar"/>
        </w:rPr>
        <w:t>4.</w:t>
      </w:r>
      <w:r>
        <w:rPr>
          <w:rFonts w:hint="eastAsia" w:cs="宋体" w:asciiTheme="majorEastAsia" w:hAnsiTheme="majorEastAsia" w:eastAsiaTheme="majorEastAsia"/>
          <w:color w:val="auto"/>
          <w:kern w:val="0"/>
          <w:sz w:val="24"/>
          <w:lang w:eastAsia="zh-CN" w:bidi="ar"/>
        </w:rPr>
        <w:t>投标人</w:t>
      </w:r>
      <w:r>
        <w:rPr>
          <w:rFonts w:hint="eastAsia" w:cs="宋体" w:asciiTheme="majorEastAsia" w:hAnsiTheme="majorEastAsia" w:eastAsiaTheme="majorEastAsia"/>
          <w:color w:val="auto"/>
          <w:kern w:val="0"/>
          <w:sz w:val="24"/>
          <w:lang w:bidi="ar"/>
        </w:rPr>
        <w:t xml:space="preserve">为监狱企业或提供的货物由监狱企业制造的，提供省级以上监狱管理局、戒毒管理局（含新疆生产建设兵团）出具的属于监狱企业的证明文件。根据《财政部司法部关于政府采购支持监狱企业发展有关问题的通知》（财库〔2014〕68 号），监狱企业视同小微企业，享受政府采购支持政策。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pPr>
        <w:pStyle w:val="75"/>
        <w:ind w:firstLine="480"/>
        <w:rPr>
          <w:color w:val="auto"/>
        </w:rPr>
      </w:pPr>
      <w:r>
        <w:rPr>
          <w:rFonts w:hint="eastAsia"/>
          <w:color w:val="auto"/>
        </w:rPr>
        <w:t>监狱企业参加政府采购活动时，提供由省级以上监狱管理局、戒毒管理局（含新疆生产建设兵团）出具的属于监狱企业的证明文件。</w:t>
      </w:r>
      <w:r>
        <w:rPr>
          <w:rFonts w:hint="eastAsia"/>
          <w:color w:val="auto"/>
          <w:lang w:eastAsia="zh-CN"/>
        </w:rPr>
        <w:t>投标人</w:t>
      </w:r>
      <w:r>
        <w:rPr>
          <w:rFonts w:hint="eastAsia"/>
          <w:color w:val="auto"/>
        </w:rPr>
        <w:t>按照本办法规定提供声明函内容不实的，属于提供虚假材料谋取中标依照《中华人民共和国政府采购法》等国家有关规定追究相应责任。</w:t>
      </w:r>
    </w:p>
    <w:p>
      <w:pPr>
        <w:pStyle w:val="75"/>
        <w:ind w:firstLine="480"/>
        <w:rPr>
          <w:color w:val="auto"/>
        </w:rPr>
      </w:pPr>
      <w:r>
        <w:rPr>
          <w:rFonts w:hint="eastAsia"/>
          <w:color w:val="auto"/>
        </w:rPr>
        <w:t>5.在政府采购活动中，</w:t>
      </w:r>
      <w:r>
        <w:rPr>
          <w:rFonts w:hint="eastAsia"/>
          <w:color w:val="auto"/>
          <w:lang w:eastAsia="zh-CN"/>
        </w:rPr>
        <w:t>投标人</w:t>
      </w:r>
      <w:r>
        <w:rPr>
          <w:rFonts w:hint="eastAsia"/>
          <w:color w:val="auto"/>
        </w:rPr>
        <w:t>提供的货物、工程或者服务符合下列情形的，享受本办法规定的中小企业扶持政策：</w:t>
      </w:r>
    </w:p>
    <w:p>
      <w:pPr>
        <w:pStyle w:val="75"/>
        <w:ind w:firstLine="480"/>
        <w:rPr>
          <w:color w:val="auto"/>
        </w:rPr>
      </w:pPr>
      <w:r>
        <w:rPr>
          <w:rFonts w:hint="eastAsia"/>
          <w:color w:val="auto"/>
        </w:rPr>
        <w:t>（一）在货物采购项目中，货物由中小企业制造，即货物由中小企业生产且使用该中小企业商号或者注册商标；</w:t>
      </w:r>
    </w:p>
    <w:p>
      <w:pPr>
        <w:pStyle w:val="75"/>
        <w:ind w:firstLine="480"/>
        <w:rPr>
          <w:color w:val="auto"/>
        </w:rPr>
      </w:pPr>
      <w:r>
        <w:rPr>
          <w:rFonts w:hint="eastAsia"/>
          <w:color w:val="auto"/>
        </w:rPr>
        <w:t>（二）在工程采购项目中，工程由中小企业承建，即工程施工单位为中小企业；</w:t>
      </w:r>
    </w:p>
    <w:p>
      <w:pPr>
        <w:pStyle w:val="75"/>
        <w:ind w:firstLine="480"/>
        <w:rPr>
          <w:color w:val="auto"/>
        </w:rPr>
      </w:pPr>
      <w:r>
        <w:rPr>
          <w:rFonts w:hint="eastAsia"/>
          <w:color w:val="auto"/>
        </w:rPr>
        <w:t>（三）在服务采购项目中，服务由中小企业承接，即提供服务的人员为中小企业依照 《中华人民共和国劳动合同法》订立劳动合同的从业人员。 在货物采购项目中，</w:t>
      </w:r>
      <w:r>
        <w:rPr>
          <w:rFonts w:hint="eastAsia"/>
          <w:color w:val="auto"/>
          <w:lang w:eastAsia="zh-CN"/>
        </w:rPr>
        <w:t>投标人</w:t>
      </w:r>
      <w:r>
        <w:rPr>
          <w:rFonts w:hint="eastAsia"/>
          <w:color w:val="auto"/>
        </w:rPr>
        <w:t>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pPr>
        <w:pStyle w:val="75"/>
        <w:ind w:firstLine="480"/>
        <w:rPr>
          <w:color w:val="auto"/>
        </w:rPr>
      </w:pPr>
      <w:r>
        <w:rPr>
          <w:rFonts w:hint="eastAsia"/>
          <w:color w:val="auto"/>
        </w:rPr>
        <w:t>以上规定未尽事项，按《政府采购促进中小企业发展管理办法》等有关制度规定执行。</w:t>
      </w:r>
    </w:p>
    <w:p>
      <w:pPr>
        <w:pStyle w:val="75"/>
        <w:ind w:firstLine="480"/>
        <w:rPr>
          <w:color w:val="auto"/>
        </w:rPr>
      </w:pPr>
      <w:r>
        <w:rPr>
          <w:rFonts w:hint="eastAsia"/>
          <w:color w:val="auto"/>
        </w:rPr>
        <w:t>6.《中小企业声明函》等相关资料应上传至电子投标文件中，否则不予认可。</w:t>
      </w:r>
    </w:p>
    <w:p>
      <w:pPr>
        <w:pStyle w:val="75"/>
        <w:ind w:firstLine="480"/>
        <w:rPr>
          <w:color w:val="auto"/>
        </w:rPr>
      </w:pPr>
      <w:r>
        <w:rPr>
          <w:rFonts w:hint="eastAsia"/>
          <w:color w:val="auto"/>
        </w:rPr>
        <w:t>7.本项目属性为工程类，采购标的对应的中小企业划分标准所属行业为建筑业。</w:t>
      </w:r>
    </w:p>
    <w:p>
      <w:pPr>
        <w:pStyle w:val="75"/>
        <w:ind w:firstLine="480"/>
        <w:rPr>
          <w:color w:val="auto"/>
        </w:rPr>
      </w:pPr>
      <w:r>
        <w:rPr>
          <w:rFonts w:hint="eastAsia"/>
          <w:b/>
          <w:bCs/>
          <w:color w:val="auto"/>
          <w:lang w:val="en-US" w:eastAsia="zh-CN"/>
        </w:rPr>
        <w:t>36.</w:t>
      </w:r>
      <w:r>
        <w:rPr>
          <w:rFonts w:hint="eastAsia"/>
          <w:b/>
          <w:bCs/>
          <w:color w:val="auto"/>
        </w:rPr>
        <w:t>2</w:t>
      </w:r>
      <w:r>
        <w:rPr>
          <w:rFonts w:hint="eastAsia"/>
          <w:b/>
          <w:bCs/>
          <w:color w:val="auto"/>
          <w:lang w:val="en-US" w:eastAsia="zh-CN"/>
        </w:rPr>
        <w:t xml:space="preserve">  </w:t>
      </w:r>
      <w:r>
        <w:rPr>
          <w:rFonts w:hint="eastAsia"/>
          <w:b/>
          <w:bCs/>
          <w:color w:val="auto"/>
        </w:rPr>
        <w:t>支持绿色发展</w:t>
      </w:r>
    </w:p>
    <w:p>
      <w:pPr>
        <w:pStyle w:val="75"/>
        <w:ind w:firstLine="480"/>
        <w:rPr>
          <w:color w:val="auto"/>
        </w:rPr>
      </w:pPr>
      <w:r>
        <w:rPr>
          <w:rFonts w:hint="eastAsia"/>
          <w:color w:val="auto"/>
        </w:rPr>
        <w:t>1.本项目执行《关于印发环境标志产品政府采购品目清单的通知》（财库〔2019〕18 号）、《关于印发节能产品政府采购品目清单的通知》（财库〔2019〕19 号）等有关规定，采购人拟采购的产品属于品目清单范围的，采购人及其委托的集采机构将依据国家确定的认证机构出具的、处于有效期之内的节能产品、环境标志产品认证证书，对获得证书的产品实施政府优先采购或强制采购。投标人须按招标文件要求提供相关产品认证证书。</w:t>
      </w:r>
    </w:p>
    <w:p>
      <w:pPr>
        <w:pStyle w:val="75"/>
        <w:ind w:firstLine="480"/>
        <w:rPr>
          <w:color w:val="auto"/>
        </w:rPr>
      </w:pPr>
      <w:r>
        <w:rPr>
          <w:rFonts w:hint="eastAsia"/>
          <w:color w:val="auto"/>
        </w:rPr>
        <w:t>2.为助力打好污染防治攻坚战，严格执行绿色采购需求标准。推广使用绿色包装，政府采购货物、工程和服务项目中涉及商品包装、快递包装、绿色数据中心的，投标人提供产品及相关快递服务的具体包装等要求要参考《商品包装政府采购需求标准（试行）》、《快递包装政府采购需求标准（试行）》、《绿色数据中心政府采购需求标准（试行）》。</w:t>
      </w:r>
    </w:p>
    <w:p>
      <w:pPr>
        <w:pStyle w:val="44"/>
        <w:keepNext w:val="0"/>
        <w:keepLines w:val="0"/>
        <w:pageBreakBefore w:val="0"/>
        <w:widowControl w:val="0"/>
        <w:kinsoku/>
        <w:wordWrap/>
        <w:overflowPunct/>
        <w:topLinePunct w:val="0"/>
        <w:bidi w:val="0"/>
        <w:snapToGrid/>
        <w:spacing w:line="480" w:lineRule="exact"/>
        <w:ind w:firstLine="480" w:firstLineChars="200"/>
        <w:textAlignment w:val="auto"/>
        <w:rPr>
          <w:rFonts w:hint="eastAsia" w:ascii="宋体" w:hAnsi="Times New Roman" w:eastAsia="宋体" w:cs="Times New Roman"/>
          <w:color w:val="auto"/>
          <w:kern w:val="0"/>
          <w:sz w:val="24"/>
          <w:szCs w:val="22"/>
          <w:lang w:val="en-US" w:eastAsia="zh-CN" w:bidi="ar-SA"/>
        </w:rPr>
      </w:pPr>
      <w:r>
        <w:rPr>
          <w:rFonts w:hint="eastAsia" w:ascii="宋体" w:hAnsi="Times New Roman" w:eastAsia="宋体" w:cs="Times New Roman"/>
          <w:color w:val="auto"/>
          <w:kern w:val="0"/>
          <w:sz w:val="24"/>
          <w:szCs w:val="22"/>
          <w:lang w:val="en-US" w:eastAsia="zh-CN" w:bidi="ar-SA"/>
        </w:rPr>
        <w:t>3.落实挥发性有机化合物（VOCs）治理要求，政府采购项目中涉及涂料、胶黏剂、油墨、清洗剂等挥发性有机物产品的，属于强制性标准的，投标人须执行国家和我省 VOCs含量限制标准；投标人优先使用低挥发性原辅材料，将使用低 VOCs 含量的涂料、胶黏剂等纳入政府采购合同条款。</w:t>
      </w:r>
    </w:p>
    <w:p>
      <w:pPr>
        <w:keepNext/>
        <w:keepLines/>
        <w:adjustRightInd w:val="0"/>
        <w:spacing w:line="360" w:lineRule="auto"/>
        <w:jc w:val="center"/>
        <w:textAlignment w:val="baseline"/>
        <w:outlineLvl w:val="0"/>
        <w:rPr>
          <w:rFonts w:ascii="Times New Roman" w:hAnsi="Times New Roman" w:eastAsia="黑体" w:cs="Times New Roman"/>
          <w:b/>
          <w:kern w:val="44"/>
          <w:sz w:val="36"/>
          <w:szCs w:val="20"/>
        </w:rPr>
      </w:pPr>
      <w:r>
        <w:rPr>
          <w:rFonts w:ascii="宋体" w:hAnsi="Times New Roman" w:eastAsia="黑体" w:cs="Times New Roman"/>
          <w:b/>
          <w:kern w:val="44"/>
          <w:sz w:val="36"/>
          <w:szCs w:val="20"/>
        </w:rPr>
        <w:br w:type="page"/>
      </w:r>
      <w:bookmarkStart w:id="7" w:name="_Toc513622228"/>
      <w:bookmarkStart w:id="8" w:name="_Toc32045"/>
      <w:bookmarkStart w:id="9" w:name="_Toc139966427"/>
      <w:bookmarkStart w:id="10" w:name="_Toc139967211"/>
      <w:r>
        <w:rPr>
          <w:rFonts w:hint="eastAsia" w:ascii="Times New Roman" w:hAnsi="宋体" w:eastAsia="黑体" w:cs="Times New Roman"/>
          <w:color w:val="000000"/>
          <w:kern w:val="44"/>
          <w:sz w:val="36"/>
          <w:szCs w:val="20"/>
        </w:rPr>
        <w:t>第三章  政府采购合同格式</w:t>
      </w:r>
      <w:bookmarkEnd w:id="7"/>
      <w:bookmarkEnd w:id="8"/>
      <w:bookmarkEnd w:id="9"/>
      <w:bookmarkEnd w:id="10"/>
    </w:p>
    <w:p>
      <w:pPr>
        <w:spacing w:line="360" w:lineRule="auto"/>
        <w:ind w:firstLine="880" w:firstLineChars="200"/>
        <w:rPr>
          <w:rFonts w:ascii="宋体" w:hAnsi="宋体" w:eastAsia="宋体" w:cs="Times New Roman"/>
          <w:color w:val="000000"/>
          <w:sz w:val="44"/>
          <w:szCs w:val="24"/>
        </w:rPr>
      </w:pPr>
    </w:p>
    <w:p>
      <w:pPr>
        <w:spacing w:line="360" w:lineRule="auto"/>
        <w:ind w:firstLine="880" w:firstLineChars="200"/>
        <w:rPr>
          <w:rFonts w:ascii="宋体" w:hAnsi="宋体" w:eastAsia="宋体" w:cs="Times New Roman"/>
          <w:color w:val="000000"/>
          <w:sz w:val="44"/>
          <w:szCs w:val="24"/>
        </w:rPr>
      </w:pPr>
    </w:p>
    <w:p>
      <w:pPr>
        <w:spacing w:line="360" w:lineRule="auto"/>
        <w:ind w:firstLine="880" w:firstLineChars="200"/>
        <w:rPr>
          <w:rFonts w:ascii="宋体" w:hAnsi="宋体" w:eastAsia="宋体" w:cs="Times New Roman"/>
          <w:color w:val="000000"/>
          <w:sz w:val="44"/>
          <w:szCs w:val="24"/>
        </w:rPr>
      </w:pPr>
    </w:p>
    <w:p>
      <w:pPr>
        <w:spacing w:line="360" w:lineRule="auto"/>
        <w:ind w:firstLine="880" w:firstLineChars="200"/>
        <w:rPr>
          <w:rFonts w:ascii="宋体" w:hAnsi="宋体" w:eastAsia="宋体" w:cs="Times New Roman"/>
          <w:color w:val="000000"/>
          <w:sz w:val="44"/>
          <w:szCs w:val="24"/>
        </w:rPr>
      </w:pPr>
    </w:p>
    <w:p>
      <w:pPr>
        <w:spacing w:line="360" w:lineRule="auto"/>
        <w:ind w:firstLine="2078" w:firstLineChars="398"/>
        <w:rPr>
          <w:rFonts w:ascii="宋体" w:hAnsi="宋体" w:eastAsia="宋体" w:cs="Times New Roman"/>
          <w:b/>
          <w:bCs/>
          <w:color w:val="000000"/>
          <w:sz w:val="52"/>
          <w:szCs w:val="24"/>
        </w:rPr>
      </w:pPr>
      <w:r>
        <w:rPr>
          <w:rFonts w:hint="eastAsia" w:ascii="宋体" w:hAnsi="宋体" w:eastAsia="宋体" w:cs="Times New Roman"/>
          <w:b/>
          <w:bCs/>
          <w:color w:val="000000"/>
          <w:sz w:val="52"/>
          <w:szCs w:val="24"/>
        </w:rPr>
        <w:t>连 云 港 市 政 府 采 购</w:t>
      </w:r>
    </w:p>
    <w:p>
      <w:pPr>
        <w:spacing w:line="360" w:lineRule="auto"/>
        <w:ind w:firstLine="420" w:firstLineChars="200"/>
        <w:rPr>
          <w:rFonts w:ascii="宋体" w:hAnsi="宋体" w:eastAsia="宋体" w:cs="Times New Roman"/>
          <w:color w:val="000000"/>
          <w:szCs w:val="24"/>
        </w:rPr>
      </w:pPr>
    </w:p>
    <w:p>
      <w:pPr>
        <w:spacing w:line="360" w:lineRule="auto"/>
        <w:ind w:firstLine="883" w:firstLineChars="200"/>
        <w:jc w:val="center"/>
        <w:rPr>
          <w:rFonts w:ascii="宋体" w:hAnsi="宋体" w:eastAsia="宋体" w:cs="Times New Roman"/>
          <w:b/>
          <w:bCs/>
          <w:color w:val="000000"/>
          <w:sz w:val="44"/>
          <w:szCs w:val="24"/>
        </w:rPr>
      </w:pPr>
      <w:r>
        <w:rPr>
          <w:rFonts w:hint="eastAsia" w:ascii="宋体" w:hAnsi="宋体" w:eastAsia="宋体" w:cs="Times New Roman"/>
          <w:b/>
          <w:bCs/>
          <w:color w:val="000000"/>
          <w:sz w:val="44"/>
          <w:szCs w:val="24"/>
          <w:u w:val="single"/>
        </w:rPr>
        <w:t xml:space="preserve">                    </w:t>
      </w:r>
      <w:r>
        <w:rPr>
          <w:rFonts w:hint="eastAsia" w:ascii="宋体" w:hAnsi="宋体" w:eastAsia="宋体" w:cs="Times New Roman"/>
          <w:b/>
          <w:bCs/>
          <w:color w:val="000000"/>
          <w:sz w:val="44"/>
          <w:szCs w:val="24"/>
        </w:rPr>
        <w:t>合同</w:t>
      </w:r>
    </w:p>
    <w:p>
      <w:pPr>
        <w:spacing w:line="360" w:lineRule="auto"/>
        <w:ind w:firstLine="420" w:firstLineChars="200"/>
        <w:rPr>
          <w:rFonts w:ascii="宋体" w:hAnsi="宋体" w:eastAsia="宋体" w:cs="Times New Roman"/>
          <w:color w:val="000000"/>
          <w:szCs w:val="24"/>
        </w:rPr>
      </w:pPr>
    </w:p>
    <w:p>
      <w:pPr>
        <w:spacing w:line="360" w:lineRule="auto"/>
        <w:ind w:firstLine="3507" w:firstLineChars="794"/>
        <w:rPr>
          <w:rFonts w:ascii="宋体" w:hAnsi="宋体" w:eastAsia="宋体" w:cs="Times New Roman"/>
          <w:b/>
          <w:bCs/>
          <w:color w:val="000000"/>
          <w:sz w:val="44"/>
          <w:szCs w:val="24"/>
        </w:rPr>
      </w:pPr>
    </w:p>
    <w:p>
      <w:pPr>
        <w:spacing w:line="360" w:lineRule="auto"/>
        <w:ind w:firstLine="3507" w:firstLineChars="794"/>
        <w:rPr>
          <w:rFonts w:ascii="宋体" w:hAnsi="宋体" w:eastAsia="宋体" w:cs="Times New Roman"/>
          <w:b/>
          <w:bCs/>
          <w:color w:val="000000"/>
          <w:sz w:val="44"/>
          <w:szCs w:val="24"/>
        </w:rPr>
      </w:pPr>
    </w:p>
    <w:p>
      <w:pPr>
        <w:spacing w:line="360" w:lineRule="auto"/>
        <w:ind w:firstLine="3507" w:firstLineChars="794"/>
        <w:rPr>
          <w:rFonts w:ascii="宋体" w:hAnsi="宋体" w:eastAsia="宋体" w:cs="Times New Roman"/>
          <w:b/>
          <w:bCs/>
          <w:color w:val="000000"/>
          <w:sz w:val="44"/>
          <w:szCs w:val="24"/>
        </w:rPr>
      </w:pPr>
    </w:p>
    <w:p>
      <w:pPr>
        <w:spacing w:line="360" w:lineRule="auto"/>
        <w:ind w:firstLine="1802" w:firstLineChars="408"/>
        <w:rPr>
          <w:rFonts w:ascii="宋体" w:hAnsi="宋体" w:eastAsia="宋体" w:cs="Times New Roman"/>
          <w:b/>
          <w:bCs/>
          <w:color w:val="000000"/>
          <w:sz w:val="44"/>
          <w:szCs w:val="44"/>
        </w:rPr>
      </w:pPr>
      <w:r>
        <w:rPr>
          <w:rFonts w:hint="eastAsia" w:ascii="宋体" w:hAnsi="宋体" w:eastAsia="宋体" w:cs="Times New Roman"/>
          <w:b/>
          <w:bCs/>
          <w:color w:val="000000"/>
          <w:sz w:val="44"/>
          <w:szCs w:val="44"/>
        </w:rPr>
        <w:t>合同编号：</w:t>
      </w:r>
    </w:p>
    <w:p>
      <w:pPr>
        <w:spacing w:line="360" w:lineRule="auto"/>
        <w:ind w:firstLine="880" w:firstLineChars="200"/>
        <w:rPr>
          <w:rFonts w:ascii="宋体" w:hAnsi="宋体" w:eastAsia="宋体" w:cs="Times New Roman"/>
          <w:color w:val="000000"/>
          <w:sz w:val="44"/>
          <w:szCs w:val="24"/>
        </w:rPr>
      </w:pPr>
    </w:p>
    <w:p>
      <w:pPr>
        <w:spacing w:line="360" w:lineRule="auto"/>
        <w:ind w:firstLine="880" w:firstLineChars="200"/>
        <w:rPr>
          <w:rFonts w:ascii="宋体" w:hAnsi="宋体" w:eastAsia="宋体" w:cs="Times New Roman"/>
          <w:color w:val="000000"/>
          <w:sz w:val="44"/>
          <w:szCs w:val="24"/>
        </w:rPr>
      </w:pPr>
    </w:p>
    <w:p>
      <w:pPr>
        <w:spacing w:line="360" w:lineRule="auto"/>
        <w:ind w:firstLine="880" w:firstLineChars="200"/>
        <w:rPr>
          <w:rFonts w:ascii="宋体" w:hAnsi="宋体" w:eastAsia="宋体" w:cs="Times New Roman"/>
          <w:color w:val="000000"/>
          <w:sz w:val="44"/>
          <w:szCs w:val="24"/>
        </w:rPr>
      </w:pPr>
    </w:p>
    <w:p>
      <w:pPr>
        <w:spacing w:line="360" w:lineRule="auto"/>
        <w:ind w:firstLine="1758" w:firstLineChars="398"/>
        <w:rPr>
          <w:rFonts w:ascii="宋体" w:hAnsi="宋体" w:eastAsia="宋体" w:cs="Times New Roman"/>
          <w:b/>
          <w:bCs/>
          <w:color w:val="000000"/>
          <w:sz w:val="44"/>
          <w:szCs w:val="24"/>
        </w:rPr>
      </w:pPr>
      <w:r>
        <w:rPr>
          <w:rFonts w:hint="eastAsia" w:ascii="宋体" w:hAnsi="宋体" w:eastAsia="宋体" w:cs="Times New Roman"/>
          <w:b/>
          <w:bCs/>
          <w:color w:val="000000"/>
          <w:sz w:val="44"/>
          <w:szCs w:val="24"/>
        </w:rPr>
        <w:t>采购人：</w:t>
      </w:r>
    </w:p>
    <w:p>
      <w:pPr>
        <w:spacing w:line="360" w:lineRule="auto"/>
        <w:ind w:firstLine="1758" w:firstLineChars="398"/>
        <w:rPr>
          <w:rFonts w:ascii="宋体" w:hAnsi="宋体" w:eastAsia="宋体" w:cs="Times New Roman"/>
          <w:b/>
          <w:bCs/>
          <w:color w:val="000000"/>
          <w:sz w:val="44"/>
          <w:szCs w:val="24"/>
        </w:rPr>
      </w:pPr>
      <w:r>
        <w:rPr>
          <w:rFonts w:hint="eastAsia" w:ascii="宋体" w:hAnsi="宋体" w:eastAsia="宋体" w:cs="Times New Roman"/>
          <w:b/>
          <w:bCs/>
          <w:color w:val="000000"/>
          <w:sz w:val="44"/>
          <w:szCs w:val="24"/>
        </w:rPr>
        <w:t>中标人：</w:t>
      </w:r>
    </w:p>
    <w:p>
      <w:pPr>
        <w:spacing w:line="360" w:lineRule="auto"/>
        <w:ind w:firstLine="420" w:firstLineChars="200"/>
        <w:rPr>
          <w:rFonts w:ascii="宋体" w:hAnsi="宋体" w:eastAsia="宋体" w:cs="Times New Roman"/>
          <w:color w:val="000000"/>
          <w:szCs w:val="24"/>
        </w:rPr>
      </w:pPr>
    </w:p>
    <w:p>
      <w:pPr>
        <w:spacing w:line="360" w:lineRule="auto"/>
        <w:ind w:firstLine="420" w:firstLineChars="200"/>
        <w:rPr>
          <w:rFonts w:ascii="宋体" w:hAnsi="宋体" w:eastAsia="宋体" w:cs="Times New Roman"/>
          <w:color w:val="000000"/>
          <w:szCs w:val="24"/>
        </w:rPr>
      </w:pPr>
    </w:p>
    <w:p>
      <w:pPr>
        <w:spacing w:line="360" w:lineRule="auto"/>
        <w:ind w:firstLine="420" w:firstLineChars="200"/>
        <w:rPr>
          <w:rFonts w:ascii="宋体" w:hAnsi="宋体" w:eastAsia="宋体" w:cs="Times New Roman"/>
          <w:color w:val="000000"/>
          <w:szCs w:val="24"/>
        </w:rPr>
      </w:pPr>
    </w:p>
    <w:p>
      <w:pPr>
        <w:spacing w:line="360" w:lineRule="auto"/>
        <w:ind w:firstLine="560" w:firstLineChars="200"/>
        <w:rPr>
          <w:rFonts w:ascii="宋体" w:hAnsi="宋体" w:eastAsia="宋体" w:cs="Times New Roman"/>
          <w:color w:val="000000"/>
          <w:sz w:val="28"/>
          <w:szCs w:val="24"/>
        </w:rPr>
      </w:pPr>
    </w:p>
    <w:p>
      <w:pPr>
        <w:spacing w:line="360" w:lineRule="auto"/>
        <w:ind w:left="359" w:leftChars="171" w:firstLine="227" w:firstLineChars="71"/>
        <w:jc w:val="center"/>
        <w:rPr>
          <w:rFonts w:ascii="宋体" w:hAnsi="宋体" w:eastAsia="宋体" w:cs="Times New Roman"/>
          <w:color w:val="000000"/>
          <w:sz w:val="32"/>
          <w:szCs w:val="32"/>
        </w:rPr>
      </w:pPr>
      <w:r>
        <w:rPr>
          <w:rFonts w:hint="eastAsia" w:ascii="宋体" w:hAnsi="宋体" w:eastAsia="宋体" w:cs="Times New Roman"/>
          <w:color w:val="000000"/>
          <w:sz w:val="32"/>
          <w:szCs w:val="32"/>
        </w:rPr>
        <w:t>目  录</w:t>
      </w:r>
    </w:p>
    <w:p>
      <w:pPr>
        <w:tabs>
          <w:tab w:val="left" w:pos="1170"/>
        </w:tabs>
        <w:spacing w:line="360" w:lineRule="auto"/>
        <w:ind w:left="359" w:leftChars="171" w:firstLine="198" w:firstLineChars="71"/>
        <w:rPr>
          <w:rFonts w:ascii="宋体" w:hAnsi="宋体" w:eastAsia="宋体" w:cs="Times New Roman"/>
          <w:color w:val="000000"/>
          <w:sz w:val="28"/>
          <w:szCs w:val="24"/>
        </w:rPr>
      </w:pPr>
      <w:r>
        <w:rPr>
          <w:rFonts w:ascii="宋体" w:hAnsi="宋体" w:eastAsia="宋体" w:cs="Times New Roman"/>
          <w:color w:val="000000"/>
          <w:sz w:val="28"/>
          <w:szCs w:val="24"/>
        </w:rPr>
        <w:tab/>
      </w:r>
    </w:p>
    <w:p>
      <w:pPr>
        <w:numPr>
          <w:ilvl w:val="0"/>
          <w:numId w:val="3"/>
        </w:numPr>
        <w:spacing w:line="360" w:lineRule="auto"/>
        <w:ind w:left="357" w:firstLine="560" w:firstLineChars="200"/>
        <w:rPr>
          <w:rFonts w:ascii="宋体" w:hAnsi="宋体" w:eastAsia="宋体" w:cs="Times New Roman"/>
          <w:color w:val="000000"/>
          <w:sz w:val="28"/>
          <w:szCs w:val="24"/>
        </w:rPr>
      </w:pPr>
      <w:r>
        <w:rPr>
          <w:rFonts w:hint="eastAsia" w:ascii="宋体" w:hAnsi="宋体" w:eastAsia="宋体" w:cs="Times New Roman"/>
          <w:color w:val="000000"/>
          <w:sz w:val="28"/>
          <w:szCs w:val="24"/>
        </w:rPr>
        <w:t>合同书</w:t>
      </w:r>
    </w:p>
    <w:p>
      <w:pPr>
        <w:numPr>
          <w:ilvl w:val="0"/>
          <w:numId w:val="3"/>
        </w:numPr>
        <w:spacing w:line="360" w:lineRule="auto"/>
        <w:ind w:left="357" w:firstLine="560" w:firstLineChars="200"/>
        <w:rPr>
          <w:rFonts w:ascii="宋体" w:hAnsi="宋体" w:eastAsia="宋体" w:cs="Times New Roman"/>
          <w:color w:val="000000"/>
          <w:sz w:val="28"/>
          <w:szCs w:val="24"/>
        </w:rPr>
      </w:pPr>
      <w:r>
        <w:rPr>
          <w:rFonts w:hint="eastAsia" w:ascii="宋体" w:hAnsi="宋体" w:eastAsia="宋体" w:cs="Times New Roman"/>
          <w:color w:val="000000"/>
          <w:sz w:val="28"/>
          <w:szCs w:val="24"/>
        </w:rPr>
        <w:t>中标通知书</w:t>
      </w:r>
    </w:p>
    <w:p>
      <w:pPr>
        <w:numPr>
          <w:ilvl w:val="0"/>
          <w:numId w:val="3"/>
        </w:numPr>
        <w:spacing w:line="360" w:lineRule="auto"/>
        <w:ind w:left="357" w:firstLine="560" w:firstLineChars="200"/>
        <w:rPr>
          <w:rFonts w:ascii="宋体" w:hAnsi="宋体" w:eastAsia="宋体" w:cs="Times New Roman"/>
          <w:color w:val="000000"/>
          <w:sz w:val="28"/>
          <w:szCs w:val="24"/>
        </w:rPr>
      </w:pPr>
      <w:r>
        <w:rPr>
          <w:rFonts w:hint="eastAsia" w:ascii="宋体" w:hAnsi="宋体" w:eastAsia="宋体" w:cs="Times New Roman"/>
          <w:color w:val="000000"/>
          <w:sz w:val="28"/>
          <w:szCs w:val="24"/>
        </w:rPr>
        <w:t>履约保证金交纳证明</w:t>
      </w:r>
    </w:p>
    <w:p>
      <w:pPr>
        <w:numPr>
          <w:ilvl w:val="0"/>
          <w:numId w:val="3"/>
        </w:numPr>
        <w:spacing w:line="360" w:lineRule="auto"/>
        <w:ind w:left="357" w:firstLine="560" w:firstLineChars="200"/>
        <w:rPr>
          <w:rFonts w:ascii="宋体" w:hAnsi="宋体" w:eastAsia="宋体" w:cs="Times New Roman"/>
          <w:color w:val="000000"/>
          <w:sz w:val="28"/>
          <w:szCs w:val="24"/>
        </w:rPr>
      </w:pPr>
      <w:r>
        <w:rPr>
          <w:rFonts w:hint="eastAsia" w:ascii="宋体" w:hAnsi="宋体" w:eastAsia="宋体" w:cs="Times New Roman"/>
          <w:color w:val="000000"/>
          <w:sz w:val="28"/>
          <w:szCs w:val="24"/>
        </w:rPr>
        <w:t>招标文件项目需求</w:t>
      </w:r>
    </w:p>
    <w:p>
      <w:pPr>
        <w:numPr>
          <w:ilvl w:val="0"/>
          <w:numId w:val="3"/>
        </w:numPr>
        <w:spacing w:line="360" w:lineRule="auto"/>
        <w:ind w:left="357" w:firstLine="560" w:firstLineChars="200"/>
        <w:rPr>
          <w:rFonts w:ascii="宋体" w:hAnsi="宋体" w:eastAsia="宋体" w:cs="Times New Roman"/>
          <w:color w:val="000000"/>
          <w:sz w:val="28"/>
          <w:szCs w:val="24"/>
        </w:rPr>
      </w:pPr>
      <w:r>
        <w:rPr>
          <w:rFonts w:hint="eastAsia" w:ascii="宋体" w:hAnsi="宋体" w:eastAsia="宋体" w:cs="Times New Roman"/>
          <w:color w:val="000000"/>
          <w:sz w:val="28"/>
          <w:szCs w:val="24"/>
        </w:rPr>
        <w:t>项目更改及补充文件</w:t>
      </w:r>
    </w:p>
    <w:p>
      <w:pPr>
        <w:numPr>
          <w:ilvl w:val="0"/>
          <w:numId w:val="3"/>
        </w:numPr>
        <w:spacing w:line="360" w:lineRule="auto"/>
        <w:ind w:firstLine="560" w:firstLineChars="200"/>
        <w:rPr>
          <w:rFonts w:ascii="宋体" w:hAnsi="宋体" w:eastAsia="宋体" w:cs="Times New Roman"/>
          <w:color w:val="000000"/>
          <w:sz w:val="28"/>
          <w:szCs w:val="24"/>
        </w:rPr>
      </w:pPr>
      <w:r>
        <w:rPr>
          <w:rFonts w:hint="eastAsia" w:ascii="宋体" w:hAnsi="宋体" w:eastAsia="宋体" w:cs="Times New Roman"/>
          <w:color w:val="000000"/>
          <w:sz w:val="28"/>
          <w:szCs w:val="24"/>
        </w:rPr>
        <w:t>投标报价表</w:t>
      </w:r>
    </w:p>
    <w:p>
      <w:pPr>
        <w:numPr>
          <w:ilvl w:val="0"/>
          <w:numId w:val="3"/>
        </w:numPr>
        <w:spacing w:line="360" w:lineRule="auto"/>
        <w:ind w:firstLine="560" w:firstLineChars="200"/>
        <w:rPr>
          <w:rFonts w:ascii="宋体" w:hAnsi="宋体" w:eastAsia="宋体" w:cs="Times New Roman"/>
          <w:color w:val="000000"/>
          <w:sz w:val="28"/>
          <w:szCs w:val="24"/>
        </w:rPr>
      </w:pPr>
      <w:r>
        <w:rPr>
          <w:rFonts w:hint="eastAsia" w:ascii="宋体" w:hAnsi="宋体" w:eastAsia="宋体" w:cs="Times New Roman"/>
          <w:color w:val="000000"/>
          <w:sz w:val="28"/>
          <w:szCs w:val="24"/>
        </w:rPr>
        <w:t>商务条款偏离表、技术规格偏离表</w:t>
      </w:r>
    </w:p>
    <w:p>
      <w:pPr>
        <w:numPr>
          <w:ilvl w:val="0"/>
          <w:numId w:val="3"/>
        </w:numPr>
        <w:spacing w:line="360" w:lineRule="auto"/>
        <w:ind w:firstLine="560" w:firstLineChars="200"/>
        <w:rPr>
          <w:rFonts w:ascii="宋体" w:hAnsi="宋体" w:eastAsia="宋体" w:cs="Times New Roman"/>
          <w:color w:val="000000"/>
          <w:sz w:val="28"/>
          <w:szCs w:val="24"/>
        </w:rPr>
      </w:pPr>
      <w:r>
        <w:rPr>
          <w:rFonts w:hint="eastAsia" w:ascii="宋体" w:hAnsi="宋体" w:eastAsia="宋体" w:cs="Times New Roman"/>
          <w:color w:val="000000"/>
          <w:sz w:val="28"/>
          <w:szCs w:val="24"/>
        </w:rPr>
        <w:t>中标</w:t>
      </w:r>
      <w:r>
        <w:rPr>
          <w:rFonts w:hint="eastAsia" w:ascii="宋体" w:hAnsi="宋体" w:eastAsia="宋体" w:cs="Times New Roman"/>
          <w:color w:val="000000"/>
          <w:sz w:val="28"/>
          <w:szCs w:val="24"/>
          <w:lang w:eastAsia="zh-CN"/>
        </w:rPr>
        <w:t>投标人</w:t>
      </w:r>
      <w:r>
        <w:rPr>
          <w:rFonts w:hint="eastAsia" w:ascii="宋体" w:hAnsi="宋体" w:eastAsia="宋体" w:cs="Times New Roman"/>
          <w:color w:val="000000"/>
          <w:sz w:val="28"/>
          <w:szCs w:val="24"/>
        </w:rPr>
        <w:t>澄清函</w:t>
      </w:r>
    </w:p>
    <w:p>
      <w:pPr>
        <w:spacing w:line="360" w:lineRule="auto"/>
        <w:ind w:firstLine="560" w:firstLineChars="200"/>
        <w:rPr>
          <w:rFonts w:ascii="宋体" w:hAnsi="宋体" w:eastAsia="宋体" w:cs="Times New Roman"/>
          <w:sz w:val="24"/>
          <w:szCs w:val="24"/>
        </w:rPr>
      </w:pPr>
      <w:r>
        <w:rPr>
          <w:rFonts w:ascii="Times New Roman" w:hAnsi="Times New Roman" w:eastAsia="宋体" w:cs="Times New Roman"/>
          <w:sz w:val="28"/>
          <w:szCs w:val="24"/>
        </w:rPr>
        <w:br w:type="page"/>
      </w:r>
    </w:p>
    <w:p>
      <w:pPr>
        <w:spacing w:line="560" w:lineRule="exact"/>
        <w:jc w:val="left"/>
        <w:rPr>
          <w:rFonts w:hint="eastAsia" w:ascii="Times New Roman" w:hAnsi="Times New Roman" w:eastAsia="宋体" w:cs="Times New Roman"/>
          <w:b/>
          <w:sz w:val="32"/>
          <w:szCs w:val="32"/>
        </w:rPr>
      </w:pPr>
      <w:r>
        <w:rPr>
          <w:rFonts w:hint="eastAsia" w:ascii="宋体" w:hAnsi="宋体" w:eastAsia="宋体" w:cs="宋体"/>
          <w:b/>
          <w:bCs w:val="0"/>
          <w:i w:val="0"/>
          <w:iCs w:val="0"/>
          <w:color w:val="auto"/>
          <w:sz w:val="24"/>
          <w:highlight w:val="none"/>
        </w:rPr>
        <w:t>以下为中标后签订本项目合同的通用条款，</w:t>
      </w:r>
      <w:r>
        <w:rPr>
          <w:rFonts w:hint="eastAsia" w:ascii="宋体" w:hAnsi="宋体" w:eastAsia="宋体" w:cs="宋体"/>
          <w:b/>
          <w:bCs w:val="0"/>
          <w:i w:val="0"/>
          <w:iCs w:val="0"/>
          <w:color w:val="auto"/>
          <w:sz w:val="24"/>
          <w:highlight w:val="none"/>
          <w:lang w:eastAsia="zh-CN"/>
        </w:rPr>
        <w:t>中标人</w:t>
      </w:r>
      <w:r>
        <w:rPr>
          <w:rFonts w:hint="eastAsia" w:ascii="宋体" w:hAnsi="宋体" w:eastAsia="宋体" w:cs="宋体"/>
          <w:b/>
          <w:bCs w:val="0"/>
          <w:i w:val="0"/>
          <w:iCs w:val="0"/>
          <w:color w:val="auto"/>
          <w:sz w:val="24"/>
          <w:highlight w:val="none"/>
        </w:rPr>
        <w:t>不得提出实质性的修改，关于专用条款将由采购人与</w:t>
      </w:r>
      <w:r>
        <w:rPr>
          <w:rFonts w:hint="eastAsia" w:ascii="宋体" w:hAnsi="宋体" w:eastAsia="宋体" w:cs="宋体"/>
          <w:b/>
          <w:bCs w:val="0"/>
          <w:i w:val="0"/>
          <w:iCs w:val="0"/>
          <w:color w:val="auto"/>
          <w:sz w:val="24"/>
          <w:highlight w:val="none"/>
          <w:lang w:eastAsia="zh-CN"/>
        </w:rPr>
        <w:t>中标人</w:t>
      </w:r>
      <w:r>
        <w:rPr>
          <w:rFonts w:hint="eastAsia" w:ascii="宋体" w:hAnsi="宋体" w:eastAsia="宋体" w:cs="宋体"/>
          <w:b/>
          <w:bCs w:val="0"/>
          <w:i w:val="0"/>
          <w:iCs w:val="0"/>
          <w:color w:val="auto"/>
          <w:sz w:val="24"/>
          <w:highlight w:val="none"/>
        </w:rPr>
        <w:t>结合本项目具体情况协商后签订。</w:t>
      </w:r>
    </w:p>
    <w:p>
      <w:pPr>
        <w:spacing w:line="560" w:lineRule="exact"/>
        <w:jc w:val="center"/>
        <w:rPr>
          <w:rFonts w:ascii="黑体" w:hAnsi="黑体" w:eastAsia="黑体" w:cs="Times New Roman"/>
          <w:bCs/>
          <w:szCs w:val="24"/>
        </w:rPr>
      </w:pPr>
      <w:r>
        <w:rPr>
          <w:rFonts w:hint="eastAsia" w:ascii="Times New Roman" w:hAnsi="Times New Roman" w:eastAsia="宋体" w:cs="Times New Roman"/>
          <w:b/>
          <w:sz w:val="32"/>
          <w:szCs w:val="32"/>
        </w:rPr>
        <w:t>连云港市政府采购合同</w:t>
      </w:r>
    </w:p>
    <w:p>
      <w:pPr>
        <w:spacing w:line="360" w:lineRule="auto"/>
        <w:ind w:firstLine="643" w:firstLineChars="200"/>
        <w:jc w:val="center"/>
        <w:rPr>
          <w:rFonts w:ascii="宋体" w:hAnsi="宋体" w:eastAsia="宋体" w:cs="Times New Roman"/>
          <w:b/>
          <w:color w:val="000000"/>
          <w:sz w:val="32"/>
          <w:szCs w:val="20"/>
        </w:rPr>
      </w:pPr>
    </w:p>
    <w:p>
      <w:pPr>
        <w:spacing w:line="360" w:lineRule="auto"/>
        <w:ind w:firstLine="480" w:firstLineChars="200"/>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rPr>
        <w:t>甲方：</w:t>
      </w:r>
      <w:r>
        <w:rPr>
          <w:rFonts w:hint="eastAsia" w:ascii="宋体" w:hAnsi="宋体" w:eastAsia="宋体" w:cs="Times New Roman"/>
          <w:color w:val="000000"/>
          <w:sz w:val="24"/>
          <w:szCs w:val="24"/>
          <w:lang w:eastAsia="zh-CN"/>
        </w:rPr>
        <w:t>连云港市海州区绿化养护管理二处</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乙方：</w:t>
      </w:r>
      <w:r>
        <w:rPr>
          <w:rFonts w:ascii="宋体" w:hAnsi="宋体" w:eastAsia="宋体" w:cs="Times New Roman"/>
          <w:sz w:val="24"/>
          <w:szCs w:val="24"/>
        </w:rPr>
        <w:t>（卖方）_________</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见证方：</w:t>
      </w:r>
      <w:r>
        <w:rPr>
          <w:rFonts w:hint="eastAsia" w:ascii="宋体" w:hAnsi="宋体" w:eastAsia="宋体" w:cs="Times New Roman"/>
          <w:color w:val="000000"/>
          <w:sz w:val="24"/>
          <w:szCs w:val="24"/>
          <w:lang w:eastAsia="zh-CN"/>
        </w:rPr>
        <w:t>江苏宝宏项目管理咨询有限公司</w:t>
      </w:r>
    </w:p>
    <w:p>
      <w:pPr>
        <w:spacing w:line="360" w:lineRule="auto"/>
        <w:ind w:firstLine="480" w:firstLineChars="200"/>
        <w:rPr>
          <w:rFonts w:ascii="宋体" w:hAnsi="宋体" w:eastAsia="宋体" w:cs="Times New Roman"/>
          <w:b/>
          <w:color w:val="000000"/>
          <w:sz w:val="24"/>
          <w:szCs w:val="24"/>
        </w:rPr>
      </w:pPr>
      <w:r>
        <w:rPr>
          <w:rFonts w:hint="eastAsia" w:ascii="宋体" w:hAnsi="宋体" w:eastAsia="宋体" w:cs="Times New Roman"/>
          <w:color w:val="000000"/>
          <w:sz w:val="24"/>
          <w:szCs w:val="24"/>
        </w:rPr>
        <w:t>甲、乙双方根据</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年</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月</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日</w:t>
      </w:r>
      <w:r>
        <w:rPr>
          <w:rFonts w:hint="eastAsia" w:ascii="宋体" w:hAnsi="宋体" w:eastAsia="宋体" w:cs="Times New Roman"/>
          <w:color w:val="000000"/>
          <w:sz w:val="24"/>
          <w:szCs w:val="24"/>
          <w:u w:val="single"/>
          <w:lang w:val="en-US" w:eastAsia="zh-CN"/>
        </w:rPr>
        <w:t xml:space="preserve">                </w:t>
      </w:r>
      <w:r>
        <w:rPr>
          <w:rFonts w:ascii="宋体" w:hAnsi="宋体" w:eastAsia="宋体" w:cs="Times New Roman"/>
          <w:color w:val="000000"/>
          <w:sz w:val="24"/>
          <w:szCs w:val="24"/>
        </w:rPr>
        <w:t>项目（标段编号：</w:t>
      </w:r>
      <w:r>
        <w:rPr>
          <w:rFonts w:hint="eastAsia" w:ascii="宋体" w:hAnsi="宋体" w:eastAsia="宋体" w:cs="Times New Roman"/>
          <w:color w:val="000000"/>
          <w:sz w:val="24"/>
          <w:szCs w:val="24"/>
          <w:u w:val="single"/>
          <w:lang w:val="en-US" w:eastAsia="zh-CN"/>
        </w:rPr>
        <w:t xml:space="preserve">               </w:t>
      </w:r>
      <w:r>
        <w:rPr>
          <w:rFonts w:ascii="宋体" w:hAnsi="宋体" w:eastAsia="宋体" w:cs="Times New Roman"/>
          <w:color w:val="000000"/>
          <w:sz w:val="24"/>
          <w:szCs w:val="24"/>
        </w:rPr>
        <w:t>）</w:t>
      </w:r>
      <w:r>
        <w:rPr>
          <w:rFonts w:hint="eastAsia" w:ascii="宋体" w:hAnsi="宋体" w:eastAsia="宋体" w:cs="Times New Roman"/>
          <w:color w:val="000000"/>
          <w:sz w:val="24"/>
          <w:szCs w:val="24"/>
        </w:rPr>
        <w:t>的采购结果</w:t>
      </w:r>
      <w:r>
        <w:rPr>
          <w:rFonts w:ascii="宋体" w:hAnsi="宋体" w:eastAsia="宋体" w:cs="Times New Roman"/>
          <w:color w:val="000000"/>
          <w:sz w:val="24"/>
          <w:szCs w:val="24"/>
        </w:rPr>
        <w:t>，签订本合同。</w:t>
      </w:r>
    </w:p>
    <w:p>
      <w:pPr>
        <w:spacing w:line="360" w:lineRule="auto"/>
        <w:ind w:firstLine="482" w:firstLineChars="200"/>
        <w:rPr>
          <w:rFonts w:ascii="宋体" w:hAnsi="宋体" w:eastAsia="宋体" w:cs="Times New Roman"/>
          <w:b/>
          <w:color w:val="000000"/>
          <w:sz w:val="24"/>
          <w:szCs w:val="24"/>
        </w:rPr>
      </w:pPr>
    </w:p>
    <w:p>
      <w:pPr>
        <w:spacing w:line="360" w:lineRule="auto"/>
        <w:ind w:firstLine="482" w:firstLineChars="200"/>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一、货物内容</w:t>
      </w:r>
    </w:p>
    <w:p>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1.1 货物名称：</w:t>
      </w:r>
    </w:p>
    <w:p>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1.2 型号规格：</w:t>
      </w:r>
    </w:p>
    <w:p>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1.3 技术参数：</w:t>
      </w:r>
    </w:p>
    <w:p>
      <w:pPr>
        <w:spacing w:line="360" w:lineRule="auto"/>
        <w:ind w:firstLine="480" w:firstLineChars="200"/>
        <w:rPr>
          <w:rFonts w:ascii="Times New Roman" w:hAnsi="宋体" w:eastAsia="宋体" w:cs="Times New Roman"/>
          <w:b/>
          <w:color w:val="000000"/>
          <w:sz w:val="24"/>
          <w:szCs w:val="24"/>
        </w:rPr>
      </w:pPr>
      <w:r>
        <w:rPr>
          <w:rFonts w:hint="eastAsia" w:ascii="Times New Roman" w:hAnsi="Times New Roman" w:eastAsia="宋体" w:cs="Times New Roman"/>
          <w:color w:val="000000"/>
          <w:sz w:val="24"/>
          <w:szCs w:val="24"/>
        </w:rPr>
        <w:t>1.4 数量（单位）：</w:t>
      </w:r>
    </w:p>
    <w:p>
      <w:pPr>
        <w:spacing w:line="360" w:lineRule="auto"/>
        <w:ind w:firstLine="482" w:firstLineChars="200"/>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二、合同金额</w:t>
      </w:r>
    </w:p>
    <w:p>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2.1 本合同金额为（大写）：</w:t>
      </w:r>
      <w:r>
        <w:rPr>
          <w:rFonts w:ascii="Times New Roman" w:hAnsi="Times New Roman" w:eastAsia="宋体" w:cs="Times New Roman"/>
          <w:color w:val="000000"/>
          <w:sz w:val="24"/>
          <w:szCs w:val="24"/>
        </w:rPr>
        <w:t>_______________</w:t>
      </w:r>
      <w:r>
        <w:rPr>
          <w:rFonts w:hint="eastAsia" w:ascii="Times New Roman" w:hAnsi="Times New Roman" w:eastAsia="宋体" w:cs="Times New Roman"/>
          <w:color w:val="000000"/>
          <w:sz w:val="24"/>
          <w:szCs w:val="24"/>
        </w:rPr>
        <w:t>元（¥</w:t>
      </w:r>
      <w:r>
        <w:rPr>
          <w:rFonts w:ascii="Times New Roman" w:hAnsi="Times New Roman" w:eastAsia="宋体" w:cs="Times New Roman"/>
          <w:color w:val="000000"/>
          <w:sz w:val="24"/>
          <w:szCs w:val="24"/>
        </w:rPr>
        <w:t>_____________</w:t>
      </w:r>
      <w:r>
        <w:rPr>
          <w:rFonts w:hint="eastAsia" w:ascii="Times New Roman" w:hAnsi="Times New Roman" w:eastAsia="宋体" w:cs="Times New Roman"/>
          <w:color w:val="000000"/>
          <w:sz w:val="24"/>
          <w:szCs w:val="24"/>
        </w:rPr>
        <w:t>）人民币。</w:t>
      </w:r>
    </w:p>
    <w:p>
      <w:pPr>
        <w:spacing w:line="360" w:lineRule="auto"/>
        <w:ind w:firstLine="480" w:firstLineChars="200"/>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（详见投标报价表）</w:t>
      </w:r>
    </w:p>
    <w:p>
      <w:pPr>
        <w:spacing w:line="360" w:lineRule="auto"/>
        <w:ind w:firstLine="482" w:firstLineChars="200"/>
        <w:rPr>
          <w:rFonts w:hint="eastAsia" w:ascii="Times New Roman" w:hAnsi="Times New Roman" w:eastAsia="宋体" w:cs="Times New Roman"/>
          <w:color w:val="000000"/>
          <w:sz w:val="24"/>
          <w:szCs w:val="24"/>
        </w:rPr>
      </w:pPr>
      <w:r>
        <w:rPr>
          <w:rFonts w:hint="eastAsia" w:cs="宋体" w:asciiTheme="majorEastAsia" w:hAnsiTheme="majorEastAsia" w:eastAsiaTheme="majorEastAsia"/>
          <w:b/>
          <w:bCs/>
          <w:color w:val="auto"/>
          <w:kern w:val="0"/>
          <w:sz w:val="24"/>
          <w:highlight w:val="none"/>
          <w:lang w:bidi="ar"/>
        </w:rPr>
        <w:t>本项目投标报价采用</w:t>
      </w:r>
      <w:r>
        <w:rPr>
          <w:rFonts w:hint="eastAsia" w:cs="宋体" w:asciiTheme="majorEastAsia" w:hAnsiTheme="majorEastAsia" w:eastAsiaTheme="majorEastAsia"/>
          <w:b/>
          <w:bCs/>
          <w:color w:val="auto"/>
          <w:kern w:val="0"/>
          <w:sz w:val="24"/>
          <w:highlight w:val="none"/>
          <w:lang w:val="en-US" w:eastAsia="zh-CN" w:bidi="ar"/>
        </w:rPr>
        <w:t>固定</w:t>
      </w:r>
      <w:r>
        <w:rPr>
          <w:rFonts w:hint="eastAsia" w:cs="宋体" w:asciiTheme="majorEastAsia" w:hAnsiTheme="majorEastAsia" w:eastAsiaTheme="majorEastAsia"/>
          <w:b/>
          <w:bCs/>
          <w:color w:val="auto"/>
          <w:kern w:val="0"/>
          <w:sz w:val="24"/>
          <w:highlight w:val="none"/>
          <w:lang w:bidi="ar"/>
        </w:rPr>
        <w:t>全费用单价计价法</w:t>
      </w:r>
      <w:r>
        <w:rPr>
          <w:rFonts w:hint="eastAsia" w:cs="宋体" w:asciiTheme="majorEastAsia" w:hAnsiTheme="majorEastAsia" w:eastAsiaTheme="majorEastAsia"/>
          <w:b/>
          <w:bCs/>
          <w:color w:val="auto"/>
          <w:kern w:val="0"/>
          <w:sz w:val="24"/>
          <w:highlight w:val="none"/>
          <w:lang w:eastAsia="zh-CN" w:bidi="ar"/>
        </w:rPr>
        <w:t>，</w:t>
      </w:r>
      <w:r>
        <w:rPr>
          <w:rFonts w:hint="eastAsia" w:cs="宋体" w:asciiTheme="majorEastAsia" w:hAnsiTheme="majorEastAsia" w:eastAsiaTheme="majorEastAsia"/>
          <w:b/>
          <w:bCs/>
          <w:color w:val="auto"/>
          <w:kern w:val="0"/>
          <w:sz w:val="24"/>
          <w:highlight w:val="none"/>
          <w:lang w:val="en-US" w:eastAsia="zh-CN" w:bidi="ar"/>
        </w:rPr>
        <w:t>投标单位</w:t>
      </w:r>
      <w:r>
        <w:rPr>
          <w:rFonts w:hint="eastAsia" w:cs="宋体" w:asciiTheme="majorEastAsia" w:hAnsiTheme="majorEastAsia" w:eastAsiaTheme="majorEastAsia"/>
          <w:b/>
          <w:bCs/>
          <w:color w:val="auto"/>
          <w:kern w:val="0"/>
          <w:sz w:val="24"/>
          <w:highlight w:val="none"/>
          <w:lang w:bidi="ar"/>
        </w:rPr>
        <w:t>应充分考虑施工期间各类</w:t>
      </w:r>
      <w:r>
        <w:rPr>
          <w:rFonts w:hint="eastAsia" w:cs="宋体" w:asciiTheme="majorEastAsia" w:hAnsiTheme="majorEastAsia" w:eastAsiaTheme="majorEastAsia"/>
          <w:b/>
          <w:bCs/>
          <w:color w:val="auto"/>
          <w:kern w:val="0"/>
          <w:sz w:val="24"/>
          <w:highlight w:val="none"/>
          <w:lang w:val="en-US" w:eastAsia="zh-CN" w:bidi="ar"/>
        </w:rPr>
        <w:t>苗木</w:t>
      </w:r>
      <w:r>
        <w:rPr>
          <w:rFonts w:hint="eastAsia" w:cs="宋体" w:asciiTheme="majorEastAsia" w:hAnsiTheme="majorEastAsia" w:eastAsiaTheme="majorEastAsia"/>
          <w:b/>
          <w:bCs/>
          <w:color w:val="auto"/>
          <w:kern w:val="0"/>
          <w:sz w:val="24"/>
          <w:highlight w:val="none"/>
          <w:lang w:bidi="ar"/>
        </w:rPr>
        <w:t>的市场风险和政策性调整确定风险系数计入总报价，今后不作调整。设计变更和采购人要求变动的内容除外。</w:t>
      </w:r>
      <w:r>
        <w:rPr>
          <w:rFonts w:hint="eastAsia" w:cs="宋体" w:asciiTheme="majorEastAsia" w:hAnsiTheme="majorEastAsia" w:eastAsiaTheme="majorEastAsia"/>
          <w:b/>
          <w:bCs/>
          <w:color w:val="auto"/>
          <w:kern w:val="0"/>
          <w:sz w:val="24"/>
          <w:highlight w:val="none"/>
          <w:lang w:val="en-US" w:eastAsia="zh-CN" w:bidi="ar"/>
        </w:rPr>
        <w:t>实际结算时，单价固定不变，苗木数量按实际结算。</w:t>
      </w:r>
    </w:p>
    <w:p>
      <w:pPr>
        <w:spacing w:line="360" w:lineRule="auto"/>
        <w:ind w:firstLine="482" w:firstLineChars="200"/>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三、技术资料</w:t>
      </w:r>
    </w:p>
    <w:p>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3.1 乙方应按招标文件规定的时间向甲方提供使用货物的有关技术资料。</w:t>
      </w:r>
    </w:p>
    <w:p>
      <w:pPr>
        <w:spacing w:line="360" w:lineRule="auto"/>
        <w:ind w:firstLine="480" w:firstLineChars="200"/>
        <w:rPr>
          <w:rFonts w:ascii="Times New Roman" w:hAnsi="宋体" w:eastAsia="宋体" w:cs="Times New Roman"/>
          <w:color w:val="000000"/>
          <w:sz w:val="24"/>
          <w:szCs w:val="24"/>
        </w:rPr>
      </w:pPr>
      <w:r>
        <w:rPr>
          <w:rFonts w:hint="eastAsia" w:ascii="Times New Roman" w:hAnsi="Times New Roman" w:eastAsia="宋体" w:cs="Times New Roman"/>
          <w:color w:val="000000"/>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pacing w:line="360" w:lineRule="auto"/>
        <w:ind w:firstLine="482" w:firstLineChars="200"/>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四、知识产权</w:t>
      </w:r>
    </w:p>
    <w:p>
      <w:pPr>
        <w:spacing w:line="360" w:lineRule="auto"/>
        <w:ind w:firstLine="480" w:firstLineChars="200"/>
        <w:rPr>
          <w:rFonts w:ascii="Times New Roman" w:hAnsi="宋体" w:eastAsia="宋体" w:cs="Times New Roman"/>
          <w:color w:val="000000"/>
          <w:sz w:val="24"/>
          <w:szCs w:val="24"/>
        </w:rPr>
      </w:pPr>
      <w:r>
        <w:rPr>
          <w:rFonts w:hint="eastAsia" w:ascii="Times New Roman" w:hAnsi="宋体" w:eastAsia="宋体" w:cs="Times New Roman"/>
          <w:color w:val="000000"/>
          <w:sz w:val="24"/>
          <w:szCs w:val="24"/>
        </w:rPr>
        <w:t>4.1 乙方应保证所提供的货物或其任何一部分均不会侵犯任何第三方的专利权、商标权或著作权</w:t>
      </w:r>
      <w:r>
        <w:rPr>
          <w:rFonts w:hint="eastAsia" w:ascii="Times New Roman" w:hAnsi="宋体" w:eastAsia="宋体" w:cs="Times New Roman"/>
          <w:b/>
          <w:bCs/>
          <w:color w:val="000000"/>
          <w:sz w:val="24"/>
          <w:szCs w:val="24"/>
        </w:rPr>
        <w:t>。</w:t>
      </w:r>
    </w:p>
    <w:p>
      <w:pPr>
        <w:spacing w:line="360" w:lineRule="auto"/>
        <w:ind w:firstLine="482" w:firstLineChars="200"/>
        <w:rPr>
          <w:rFonts w:ascii="宋体" w:hAnsi="宋体" w:eastAsia="宋体" w:cs="Times New Roman"/>
          <w:color w:val="000000"/>
          <w:sz w:val="24"/>
          <w:szCs w:val="24"/>
          <w:u w:val="single"/>
        </w:rPr>
      </w:pPr>
      <w:r>
        <w:rPr>
          <w:rFonts w:hint="eastAsia" w:ascii="宋体" w:hAnsi="宋体" w:eastAsia="宋体" w:cs="Times New Roman"/>
          <w:b/>
          <w:color w:val="000000"/>
          <w:sz w:val="24"/>
          <w:szCs w:val="24"/>
        </w:rPr>
        <w:t>五、无产权瑕疵条款</w:t>
      </w:r>
    </w:p>
    <w:p>
      <w:pPr>
        <w:spacing w:line="360" w:lineRule="auto"/>
        <w:ind w:firstLine="480" w:firstLineChars="200"/>
        <w:rPr>
          <w:rFonts w:ascii="Times New Roman" w:hAnsi="宋体" w:eastAsia="宋体" w:cs="Times New Roman"/>
          <w:b/>
          <w:color w:val="000000"/>
          <w:sz w:val="24"/>
          <w:szCs w:val="24"/>
        </w:rPr>
      </w:pPr>
      <w:r>
        <w:rPr>
          <w:rFonts w:hint="eastAsia" w:ascii="Times New Roman" w:hAnsi="Times New Roman" w:eastAsia="宋体" w:cs="Times New Roman"/>
          <w:color w:val="000000"/>
          <w:sz w:val="24"/>
          <w:szCs w:val="24"/>
        </w:rPr>
        <w:t>5.1 乙方保证所交付的货物的所有权完全属于乙方且无任何抵押、查封等产权瑕疵。如乙方所交货物有产权瑕疵的，视为乙方违约，按照本合同第13条第3款的约定处理。但在已经全部支付完合同款后才发现有产权瑕疵的，除了支付违约金，乙方还应负担由此而产生的一切损失。</w:t>
      </w:r>
    </w:p>
    <w:p>
      <w:pPr>
        <w:spacing w:line="360" w:lineRule="auto"/>
        <w:ind w:firstLine="482" w:firstLineChars="200"/>
        <w:rPr>
          <w:rFonts w:hint="eastAsia"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六、履约保证金</w:t>
      </w:r>
    </w:p>
    <w:p>
      <w:pPr>
        <w:spacing w:line="360" w:lineRule="auto"/>
        <w:ind w:firstLine="480" w:firstLineChars="200"/>
        <w:rPr>
          <w:rFonts w:hint="eastAsia" w:ascii="Times New Roman" w:hAnsi="Times New Roman" w:eastAsia="宋体" w:cs="Times New Roman"/>
          <w:b w:val="0"/>
          <w:bCs w:val="0"/>
          <w:color w:val="000000"/>
          <w:sz w:val="24"/>
          <w:szCs w:val="24"/>
          <w:lang w:eastAsia="zh-CN"/>
        </w:rPr>
      </w:pPr>
      <w:r>
        <w:rPr>
          <w:rFonts w:hint="eastAsia" w:ascii="Times New Roman" w:hAnsi="Times New Roman" w:eastAsia="宋体" w:cs="Times New Roman"/>
          <w:b w:val="0"/>
          <w:bCs w:val="0"/>
          <w:color w:val="000000"/>
          <w:sz w:val="24"/>
          <w:szCs w:val="24"/>
          <w:lang w:val="en-US" w:eastAsia="zh-CN"/>
        </w:rPr>
        <w:t xml:space="preserve">6.1 </w:t>
      </w:r>
      <w:r>
        <w:rPr>
          <w:rFonts w:hint="eastAsia" w:ascii="Times New Roman" w:hAnsi="Times New Roman" w:eastAsia="宋体" w:cs="Times New Roman"/>
          <w:b w:val="0"/>
          <w:bCs w:val="0"/>
          <w:color w:val="000000"/>
          <w:sz w:val="24"/>
          <w:szCs w:val="24"/>
          <w:lang w:eastAsia="zh-CN"/>
        </w:rPr>
        <w:t>本项目不收取</w:t>
      </w:r>
      <w:r>
        <w:rPr>
          <w:rFonts w:hint="eastAsia" w:ascii="Times New Roman" w:hAnsi="Times New Roman" w:eastAsia="宋体" w:cs="Times New Roman"/>
          <w:b w:val="0"/>
          <w:bCs w:val="0"/>
          <w:color w:val="000000"/>
          <w:sz w:val="24"/>
          <w:szCs w:val="24"/>
        </w:rPr>
        <w:t>履约保证金</w:t>
      </w:r>
    </w:p>
    <w:p>
      <w:pPr>
        <w:spacing w:line="360" w:lineRule="auto"/>
        <w:ind w:firstLine="482" w:firstLineChars="200"/>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七、质保期和质保金</w:t>
      </w:r>
    </w:p>
    <w:p>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7.1 质保期</w:t>
      </w:r>
      <w:r>
        <w:rPr>
          <w:rFonts w:hint="eastAsia"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rPr>
        <w:t>年（自交货验收合格之日起计）。</w:t>
      </w:r>
    </w:p>
    <w:p>
      <w:pPr>
        <w:spacing w:line="360" w:lineRule="auto"/>
        <w:ind w:firstLine="482" w:firstLineChars="200"/>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八、交货期、交货方式及交货地点</w:t>
      </w:r>
    </w:p>
    <w:p>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8.1 交货期：</w:t>
      </w:r>
      <w:r>
        <w:rPr>
          <w:rFonts w:hint="eastAsia"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rPr>
        <w:t>。</w:t>
      </w:r>
    </w:p>
    <w:p>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8.2 交货方式：</w:t>
      </w:r>
      <w:r>
        <w:rPr>
          <w:rFonts w:hint="eastAsia"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rPr>
        <w:t>。</w:t>
      </w:r>
    </w:p>
    <w:p>
      <w:pPr>
        <w:spacing w:line="360" w:lineRule="auto"/>
        <w:ind w:firstLine="480" w:firstLineChars="200"/>
        <w:rPr>
          <w:rFonts w:ascii="Times New Roman" w:hAnsi="宋体" w:eastAsia="宋体" w:cs="Times New Roman"/>
          <w:b/>
          <w:color w:val="000000"/>
          <w:sz w:val="24"/>
          <w:szCs w:val="24"/>
        </w:rPr>
      </w:pPr>
      <w:r>
        <w:rPr>
          <w:rFonts w:hint="eastAsia" w:ascii="Times New Roman" w:hAnsi="Times New Roman" w:eastAsia="宋体" w:cs="Times New Roman"/>
          <w:color w:val="000000"/>
          <w:sz w:val="24"/>
          <w:szCs w:val="24"/>
        </w:rPr>
        <w:t>8.3 交货地点：</w:t>
      </w:r>
      <w:r>
        <w:rPr>
          <w:rFonts w:hint="eastAsia"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rPr>
        <w:t>。</w:t>
      </w:r>
    </w:p>
    <w:p>
      <w:pPr>
        <w:spacing w:line="360" w:lineRule="auto"/>
        <w:ind w:firstLine="482" w:firstLineChars="200"/>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九、合同款支付</w:t>
      </w:r>
    </w:p>
    <w:p>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9.1 付款方式：</w:t>
      </w:r>
      <w:r>
        <w:rPr>
          <w:rFonts w:hint="eastAsia"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rPr>
        <w:t>。</w:t>
      </w:r>
    </w:p>
    <w:p>
      <w:pPr>
        <w:spacing w:line="360" w:lineRule="auto"/>
        <w:ind w:firstLine="480" w:firstLineChars="200"/>
        <w:rPr>
          <w:rFonts w:ascii="Times New Roman" w:hAnsi="宋体" w:eastAsia="宋体" w:cs="Times New Roman"/>
          <w:bCs/>
          <w:color w:val="000000"/>
          <w:sz w:val="24"/>
          <w:szCs w:val="24"/>
        </w:rPr>
      </w:pPr>
      <w:r>
        <w:rPr>
          <w:rFonts w:hint="eastAsia" w:ascii="Times New Roman" w:hAnsi="Times New Roman" w:eastAsia="宋体" w:cs="Times New Roman"/>
          <w:color w:val="000000"/>
          <w:sz w:val="24"/>
          <w:szCs w:val="24"/>
        </w:rPr>
        <w:t>9.2 当采购数量与实际使用数量不一致时，乙方根据实际使用量提供产品和服务，合同的最终结算金额按实际使用量乘以中标单价进行计算。</w:t>
      </w:r>
    </w:p>
    <w:p>
      <w:pPr>
        <w:spacing w:line="360" w:lineRule="auto"/>
        <w:ind w:firstLine="482" w:firstLineChars="200"/>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十、质量保证及售后服务</w:t>
      </w:r>
    </w:p>
    <w:p>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10.1 乙方应按招标文件规定的货物性能、技术要求、质量标准向甲方提供未经使用的全新产品。</w:t>
      </w:r>
    </w:p>
    <w:p>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10.2 乙方提供的货物在质保期内因货物本身的质量问题发生故障，乙方应负责免费更换。对达不到技术要求者，根据实际情况，经双方协商，可按以下办法处理：</w:t>
      </w:r>
    </w:p>
    <w:p>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（1）更换：由乙方承担所发生的全部费用。</w:t>
      </w:r>
    </w:p>
    <w:p>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（2）贬值处理：由甲乙双方合议定价。</w:t>
      </w:r>
    </w:p>
    <w:p>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（3）退货处理：乙方应退还甲方支付的合同款，同时应承担该货物的直接费用（运输、保险、检验、合同款利息及银行手续费等）。</w:t>
      </w:r>
    </w:p>
    <w:p>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10.3 测试要求：乙方安装后现场测试，提供测试报告，甲方验收签字确认。</w:t>
      </w:r>
    </w:p>
    <w:p>
      <w:pPr>
        <w:spacing w:line="360" w:lineRule="auto"/>
        <w:ind w:firstLine="482" w:firstLineChars="200"/>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十一、验收</w:t>
      </w:r>
    </w:p>
    <w:p>
      <w:pPr>
        <w:widowControl w:val="0"/>
        <w:kinsoku/>
        <w:autoSpaceDE/>
        <w:autoSpaceDN/>
        <w:adjustRightInd/>
        <w:snapToGrid/>
        <w:spacing w:line="360" w:lineRule="auto"/>
        <w:ind w:firstLine="480" w:firstLineChars="200"/>
        <w:jc w:val="both"/>
        <w:textAlignment w:val="auto"/>
        <w:rPr>
          <w:rFonts w:hint="eastAsia" w:ascii="Times New Roman" w:hAnsi="Times New Roman" w:eastAsia="宋体" w:cs="Times New Roman"/>
          <w:snapToGrid/>
          <w:color w:val="000000"/>
          <w:kern w:val="2"/>
          <w:sz w:val="24"/>
          <w:szCs w:val="24"/>
          <w:lang w:eastAsia="zh-CN"/>
        </w:rPr>
      </w:pPr>
      <w:r>
        <w:rPr>
          <w:rFonts w:hint="eastAsia" w:ascii="Times New Roman" w:hAnsi="Times New Roman" w:eastAsia="宋体" w:cs="Times New Roman"/>
          <w:snapToGrid/>
          <w:color w:val="000000"/>
          <w:kern w:val="2"/>
          <w:sz w:val="24"/>
          <w:szCs w:val="24"/>
          <w:lang w:val="en-US" w:eastAsia="zh-CN"/>
        </w:rPr>
        <w:t>11.1</w:t>
      </w:r>
      <w:r>
        <w:rPr>
          <w:rFonts w:hint="eastAsia" w:ascii="Times New Roman" w:hAnsi="Times New Roman" w:eastAsia="宋体" w:cs="Times New Roman"/>
          <w:snapToGrid/>
          <w:color w:val="000000"/>
          <w:kern w:val="2"/>
          <w:sz w:val="24"/>
          <w:szCs w:val="24"/>
          <w:lang w:eastAsia="zh-CN"/>
        </w:rPr>
        <w:t>甲方在验收中，如发现有与合同规定不符的，应在3天内向乙方提出书面意见，不签发验收单。乙方在接到甲方书面意见后，应在2天内予以处理。</w:t>
      </w:r>
    </w:p>
    <w:p>
      <w:pPr>
        <w:spacing w:line="360" w:lineRule="auto"/>
        <w:ind w:firstLine="480" w:firstLineChars="200"/>
        <w:rPr>
          <w:rFonts w:hint="default" w:ascii="Times New Roman" w:hAnsi="宋体" w:eastAsia="宋体" w:cs="Times New Roman"/>
          <w:b/>
          <w:color w:val="FF0000"/>
          <w:sz w:val="24"/>
          <w:szCs w:val="24"/>
          <w:lang w:val="en-US"/>
        </w:rPr>
      </w:pPr>
      <w:r>
        <w:rPr>
          <w:rFonts w:hint="eastAsia" w:ascii="Times New Roman" w:hAnsi="Times New Roman" w:eastAsia="宋体" w:cs="Times New Roman"/>
          <w:snapToGrid/>
          <w:color w:val="000000"/>
          <w:kern w:val="2"/>
          <w:sz w:val="24"/>
          <w:szCs w:val="24"/>
          <w:lang w:val="en-US" w:eastAsia="zh-CN"/>
        </w:rPr>
        <w:t>11.2</w:t>
      </w:r>
      <w:r>
        <w:rPr>
          <w:rFonts w:hint="eastAsia" w:ascii="Times New Roman" w:hAnsi="Times New Roman" w:eastAsia="宋体" w:cs="Times New Roman"/>
          <w:snapToGrid/>
          <w:color w:val="000000"/>
          <w:kern w:val="2"/>
          <w:sz w:val="24"/>
          <w:szCs w:val="24"/>
          <w:lang w:eastAsia="zh-CN"/>
        </w:rPr>
        <w:t>验收标准：</w:t>
      </w:r>
      <w:r>
        <w:rPr>
          <w:rFonts w:hint="eastAsia" w:ascii="宋体" w:hAnsi="宋体" w:eastAsia="宋体" w:cs="Times New Roman"/>
          <w:b/>
          <w:bCs/>
          <w:color w:val="000000"/>
          <w:sz w:val="24"/>
          <w:szCs w:val="24"/>
        </w:rPr>
        <w:t>苗木成活率达</w:t>
      </w:r>
      <w:r>
        <w:rPr>
          <w:rFonts w:hint="eastAsia" w:ascii="宋体" w:hAnsi="宋体" w:eastAsia="宋体" w:cs="Times New Roman"/>
          <w:b/>
          <w:bCs/>
          <w:color w:val="auto"/>
          <w:sz w:val="24"/>
          <w:szCs w:val="24"/>
          <w:highlight w:val="none"/>
          <w:lang w:val="en-US" w:eastAsia="zh-CN"/>
        </w:rPr>
        <w:t>100</w:t>
      </w:r>
      <w:r>
        <w:rPr>
          <w:rFonts w:hint="eastAsia" w:ascii="宋体" w:hAnsi="宋体" w:eastAsia="宋体" w:cs="Times New Roman"/>
          <w:b/>
          <w:bCs/>
          <w:color w:val="auto"/>
          <w:sz w:val="24"/>
          <w:szCs w:val="24"/>
          <w:highlight w:val="none"/>
        </w:rPr>
        <w:t>%以上</w:t>
      </w:r>
      <w:r>
        <w:rPr>
          <w:rFonts w:hint="eastAsia" w:ascii="宋体" w:hAnsi="宋体" w:eastAsia="宋体" w:cs="Times New Roman"/>
          <w:b/>
          <w:bCs/>
          <w:color w:val="000000"/>
          <w:sz w:val="24"/>
          <w:szCs w:val="24"/>
          <w:lang w:val="en-US" w:eastAsia="zh-CN"/>
        </w:rPr>
        <w:t>；</w:t>
      </w:r>
      <w:r>
        <w:rPr>
          <w:rFonts w:hint="eastAsia" w:ascii="宋体" w:hAnsi="宋体" w:eastAsia="宋体" w:cs="Times New Roman"/>
          <w:b/>
          <w:bCs/>
          <w:color w:val="000000"/>
          <w:sz w:val="24"/>
          <w:szCs w:val="24"/>
        </w:rPr>
        <w:t>苗木品种纯正，无病虫害，无机械损伤，</w:t>
      </w:r>
      <w:r>
        <w:rPr>
          <w:rFonts w:hint="eastAsia" w:ascii="宋体" w:hAnsi="宋体" w:eastAsia="宋体" w:cs="Times New Roman"/>
          <w:b/>
          <w:bCs/>
          <w:color w:val="000000"/>
          <w:sz w:val="24"/>
          <w:szCs w:val="24"/>
          <w:lang w:val="en-US" w:eastAsia="zh-CN"/>
        </w:rPr>
        <w:t>土球符合规范要求，土球保证完整，无破损。苗木到现场后甲方根据招标文件及国家行业标准进行验收，如果苗木验收不符合要求，投标人应及时更换苗木，所需的苗木运输费、包装费、规费、税金等一切费用由投标人承担</w:t>
      </w:r>
    </w:p>
    <w:p>
      <w:pPr>
        <w:spacing w:line="360" w:lineRule="auto"/>
        <w:ind w:firstLine="482" w:firstLineChars="200"/>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十二、货物包装、发运及运输</w:t>
      </w:r>
    </w:p>
    <w:p>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12.1 乙方应在货物发运前对其进行满足运输距离、防潮、防震、防锈和防破损装卸等要求包装，以保证货物安全运达甲方指定地点。</w:t>
      </w:r>
    </w:p>
    <w:p>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12.2 使用说明书、质量检验证明书、随配附件和工具以及清单一并附于货物内。</w:t>
      </w:r>
    </w:p>
    <w:p>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12.3 乙方在货物发运手续办理完毕后24小时内或货到甲方48小时前通知甲方，以准备接货。</w:t>
      </w:r>
    </w:p>
    <w:p>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12.4 货物在交付甲方前发生的风险均由乙方负责。</w:t>
      </w:r>
    </w:p>
    <w:p>
      <w:pPr>
        <w:spacing w:line="360" w:lineRule="auto"/>
        <w:ind w:firstLine="480" w:firstLineChars="200"/>
        <w:rPr>
          <w:rFonts w:ascii="Times New Roman" w:hAnsi="宋体" w:eastAsia="宋体" w:cs="Times New Roman"/>
          <w:b/>
          <w:color w:val="000000"/>
          <w:sz w:val="24"/>
          <w:szCs w:val="24"/>
        </w:rPr>
      </w:pPr>
      <w:r>
        <w:rPr>
          <w:rFonts w:hint="eastAsia" w:ascii="Times New Roman" w:hAnsi="Times New Roman" w:eastAsia="宋体" w:cs="Times New Roman"/>
          <w:color w:val="000000"/>
          <w:sz w:val="24"/>
          <w:szCs w:val="24"/>
        </w:rPr>
        <w:t>12.5 货物在规定的交付期限内由乙方送达甲方指定的地点视为交付，乙方同时需通知甲方货物已送达。</w:t>
      </w:r>
    </w:p>
    <w:p>
      <w:pPr>
        <w:spacing w:line="360" w:lineRule="auto"/>
        <w:ind w:firstLine="482" w:firstLineChars="200"/>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十三、违约责任</w:t>
      </w:r>
    </w:p>
    <w:p>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13.1 甲方无正当理由拒收货物的，甲方向乙方偿付拒收合同款总值的百分之五违约金。</w:t>
      </w:r>
    </w:p>
    <w:p>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13.2 甲方无故逾期验收和办理合同款支付手续的，甲方应按逾期付款总额每日千分之五向乙方支付违约金。</w:t>
      </w:r>
    </w:p>
    <w:p>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 xml:space="preserve">13.3 乙方逾期交付货物的，乙方应按逾期交货总额每日千分之五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13.4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spacing w:line="360" w:lineRule="auto"/>
        <w:ind w:firstLine="482" w:firstLineChars="200"/>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十四、不可抗力事件处理</w:t>
      </w:r>
    </w:p>
    <w:p>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14.1 在合同有效期内，任何一方因不可抗力事件导致不能履行合同，则合同履行期可延长，其延长期与不可抗力影响期相同。</w:t>
      </w:r>
    </w:p>
    <w:p>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14.2 不可抗力事件发生后，应立即通知对方，并寄送有关权威机构出具的证明。</w:t>
      </w:r>
    </w:p>
    <w:p>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14.3 不可抗力事件延续120天以上，双方应通过友好协商，确定是否继续履行合同。</w:t>
      </w:r>
    </w:p>
    <w:p>
      <w:pPr>
        <w:spacing w:line="360" w:lineRule="auto"/>
        <w:ind w:firstLine="482" w:firstLineChars="200"/>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十五、争议解决</w:t>
      </w:r>
    </w:p>
    <w:p>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15.1 双方在执行合同中所发生的一切争议，应通过协商解决。如协商不成，按下列第</w:t>
      </w:r>
      <w:r>
        <w:rPr>
          <w:rFonts w:hint="eastAsia" w:ascii="Times New Roman" w:hAnsi="Times New Roman" w:eastAsia="宋体" w:cs="Times New Roman"/>
          <w:color w:val="000000"/>
          <w:sz w:val="24"/>
          <w:szCs w:val="24"/>
          <w:u w:val="single"/>
        </w:rPr>
        <w:t>（1）</w:t>
      </w:r>
      <w:r>
        <w:rPr>
          <w:rFonts w:hint="eastAsia" w:ascii="Times New Roman" w:hAnsi="Times New Roman" w:eastAsia="宋体" w:cs="Times New Roman"/>
          <w:color w:val="000000"/>
          <w:sz w:val="24"/>
          <w:szCs w:val="24"/>
        </w:rPr>
        <w:t>种方式解决：</w:t>
      </w:r>
    </w:p>
    <w:p>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（1）向连云港仲裁委员会申请仲裁。</w:t>
      </w:r>
    </w:p>
    <w:p>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（2）向合同签订地法院起诉，合同签订地在此约定为连云港市。</w:t>
      </w:r>
    </w:p>
    <w:p>
      <w:pPr>
        <w:spacing w:line="360" w:lineRule="auto"/>
        <w:ind w:firstLine="482" w:firstLineChars="200"/>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十六、合同生效及其它</w:t>
      </w:r>
    </w:p>
    <w:p>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16.1 合同经双方法定代表人或授权委托代理人签字并加盖单位公章后生效。</w:t>
      </w:r>
    </w:p>
    <w:p>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16.2 下述合同附件为本合同不可分割的部分并与本合同具有同等效力：</w:t>
      </w:r>
    </w:p>
    <w:p>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（1）供货清单和分项价格表</w:t>
      </w:r>
    </w:p>
    <w:p>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（2）技术规格</w:t>
      </w:r>
    </w:p>
    <w:p>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（3）乙方报价函的内容及其澄清内容</w:t>
      </w:r>
    </w:p>
    <w:p>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（4）其他与本合同相关的资料</w:t>
      </w:r>
    </w:p>
    <w:p>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（5）本合同适用的特殊条款</w:t>
      </w:r>
    </w:p>
    <w:p>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16.3 本合同未尽事宜，遵照《中华人民共和国民法典》有关条文执行。</w:t>
      </w:r>
    </w:p>
    <w:p>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16.4 本合同正本一式四份，具有同等法律效力，甲乙双方、见证方各执一份，采购人报一份至政府采购监督管理部门。</w:t>
      </w:r>
    </w:p>
    <w:p>
      <w:pPr>
        <w:snapToGrid w:val="0"/>
        <w:spacing w:line="360" w:lineRule="auto"/>
        <w:ind w:firstLine="360" w:firstLineChars="150"/>
        <w:jc w:val="left"/>
        <w:rPr>
          <w:rFonts w:ascii="宋体" w:hAnsi="宋体" w:eastAsia="宋体" w:cs="Times New Roman"/>
          <w:sz w:val="24"/>
          <w:szCs w:val="24"/>
        </w:rPr>
      </w:pPr>
    </w:p>
    <w:p>
      <w:pPr>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 xml:space="preserve">甲方：                                  乙方：                     </w:t>
      </w:r>
    </w:p>
    <w:p>
      <w:pPr>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 xml:space="preserve">地址：                                  地址：                     </w:t>
      </w:r>
    </w:p>
    <w:p>
      <w:pPr>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 xml:space="preserve">法定代表人：                            法定代表人：               </w:t>
      </w:r>
    </w:p>
    <w:p>
      <w:pPr>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 xml:space="preserve">委托代理人：                            委托代理人：           </w:t>
      </w:r>
    </w:p>
    <w:p>
      <w:pPr>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 xml:space="preserve">电话：                                  电话：                     </w:t>
      </w:r>
    </w:p>
    <w:p>
      <w:pPr>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 xml:space="preserve">传真：                                  传真：                     </w:t>
      </w:r>
    </w:p>
    <w:p>
      <w:pPr>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签订日期：      年  月  日</w:t>
      </w:r>
    </w:p>
    <w:p>
      <w:pPr>
        <w:snapToGrid w:val="0"/>
        <w:spacing w:line="360" w:lineRule="auto"/>
        <w:ind w:firstLine="360" w:firstLineChars="150"/>
        <w:jc w:val="left"/>
        <w:rPr>
          <w:rFonts w:ascii="宋体" w:hAnsi="宋体" w:eastAsia="宋体" w:cs="Times New Roman"/>
          <w:sz w:val="24"/>
          <w:szCs w:val="24"/>
        </w:rPr>
      </w:pPr>
    </w:p>
    <w:p>
      <w:pPr>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见 证 方：</w:t>
      </w:r>
      <w:r>
        <w:rPr>
          <w:rFonts w:hint="eastAsia" w:ascii="宋体" w:hAnsi="宋体" w:eastAsia="宋体" w:cs="Times New Roman"/>
          <w:sz w:val="24"/>
          <w:szCs w:val="24"/>
          <w:lang w:eastAsia="zh-CN"/>
        </w:rPr>
        <w:t>江苏宝宏项目管理咨询有限公司</w:t>
      </w:r>
      <w:r>
        <w:rPr>
          <w:rFonts w:hint="eastAsia" w:ascii="宋体" w:hAnsi="宋体" w:eastAsia="宋体" w:cs="Times New Roman"/>
          <w:sz w:val="24"/>
          <w:szCs w:val="24"/>
        </w:rPr>
        <w:t xml:space="preserve">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见证日期：      年  月  日</w:t>
      </w:r>
    </w:p>
    <w:p>
      <w:pPr>
        <w:keepNext/>
        <w:keepLines/>
        <w:pageBreakBefore w:val="0"/>
        <w:widowControl w:val="0"/>
        <w:kinsoku/>
        <w:wordWrap/>
        <w:overflowPunct/>
        <w:topLinePunct w:val="0"/>
        <w:autoSpaceDE/>
        <w:autoSpaceDN/>
        <w:bidi w:val="0"/>
        <w:adjustRightInd w:val="0"/>
        <w:snapToGrid/>
        <w:spacing w:line="480" w:lineRule="exact"/>
        <w:jc w:val="center"/>
        <w:textAlignment w:val="baseline"/>
        <w:outlineLvl w:val="0"/>
        <w:rPr>
          <w:rFonts w:hint="eastAsia" w:ascii="Times New Roman" w:hAnsi="宋体" w:eastAsia="黑体" w:cs="Times New Roman"/>
          <w:color w:val="000000"/>
          <w:kern w:val="44"/>
          <w:sz w:val="36"/>
          <w:szCs w:val="20"/>
        </w:rPr>
      </w:pPr>
      <w:bookmarkStart w:id="11" w:name="_Toc139967212"/>
      <w:bookmarkStart w:id="12" w:name="_Toc841"/>
      <w:bookmarkStart w:id="13" w:name="_Toc139966428"/>
      <w:bookmarkStart w:id="14" w:name="_Toc513622229"/>
    </w:p>
    <w:p>
      <w:pPr>
        <w:keepNext/>
        <w:keepLines/>
        <w:pageBreakBefore w:val="0"/>
        <w:widowControl w:val="0"/>
        <w:kinsoku/>
        <w:wordWrap/>
        <w:overflowPunct/>
        <w:topLinePunct w:val="0"/>
        <w:autoSpaceDE/>
        <w:autoSpaceDN/>
        <w:bidi w:val="0"/>
        <w:adjustRightInd w:val="0"/>
        <w:snapToGrid/>
        <w:spacing w:line="480" w:lineRule="exact"/>
        <w:jc w:val="center"/>
        <w:textAlignment w:val="baseline"/>
        <w:outlineLvl w:val="0"/>
        <w:rPr>
          <w:rFonts w:ascii="Times New Roman" w:hAnsi="宋体" w:eastAsia="黑体" w:cs="Times New Roman"/>
          <w:color w:val="000000"/>
          <w:kern w:val="44"/>
          <w:sz w:val="36"/>
          <w:szCs w:val="20"/>
        </w:rPr>
      </w:pPr>
      <w:r>
        <w:rPr>
          <w:rFonts w:hint="eastAsia" w:ascii="Times New Roman" w:hAnsi="宋体" w:eastAsia="黑体" w:cs="Times New Roman"/>
          <w:color w:val="000000"/>
          <w:kern w:val="44"/>
          <w:sz w:val="36"/>
          <w:szCs w:val="20"/>
        </w:rPr>
        <w:t>第四章  投标文件格式</w:t>
      </w:r>
      <w:bookmarkEnd w:id="11"/>
      <w:bookmarkEnd w:id="12"/>
      <w:bookmarkEnd w:id="13"/>
      <w:bookmarkEnd w:id="14"/>
    </w:p>
    <w:p>
      <w:pPr>
        <w:spacing w:line="360" w:lineRule="auto"/>
        <w:ind w:firstLine="1044" w:firstLineChars="200"/>
        <w:jc w:val="center"/>
        <w:rPr>
          <w:rFonts w:ascii="宋体" w:hAnsi="宋体" w:eastAsia="宋体" w:cs="Times New Roman"/>
          <w:b/>
          <w:color w:val="000000"/>
          <w:sz w:val="52"/>
          <w:szCs w:val="52"/>
        </w:rPr>
      </w:pPr>
    </w:p>
    <w:p>
      <w:pPr>
        <w:spacing w:line="360" w:lineRule="auto"/>
        <w:jc w:val="center"/>
        <w:rPr>
          <w:rFonts w:ascii="宋体" w:hAnsi="宋体" w:eastAsia="宋体" w:cs="Times New Roman"/>
          <w:b/>
          <w:color w:val="000000"/>
          <w:sz w:val="52"/>
          <w:szCs w:val="52"/>
        </w:rPr>
      </w:pPr>
      <w:r>
        <w:rPr>
          <w:rFonts w:hint="eastAsia" w:ascii="宋体" w:hAnsi="宋体" w:eastAsia="宋体" w:cs="Times New Roman"/>
          <w:b/>
          <w:color w:val="000000"/>
          <w:sz w:val="52"/>
          <w:szCs w:val="52"/>
        </w:rPr>
        <w:t>连 云 港 市 政 府 采 购</w:t>
      </w:r>
    </w:p>
    <w:p>
      <w:pPr>
        <w:spacing w:line="360" w:lineRule="auto"/>
        <w:jc w:val="center"/>
        <w:rPr>
          <w:rFonts w:ascii="宋体" w:hAnsi="宋体" w:eastAsia="宋体" w:cs="Times New Roman"/>
          <w:b/>
          <w:color w:val="000000"/>
          <w:sz w:val="72"/>
          <w:szCs w:val="21"/>
        </w:rPr>
      </w:pPr>
      <w:r>
        <w:rPr>
          <w:rFonts w:hint="eastAsia" w:ascii="宋体" w:hAnsi="宋体" w:eastAsia="宋体" w:cs="Times New Roman"/>
          <w:b/>
          <w:color w:val="000000"/>
          <w:sz w:val="72"/>
          <w:szCs w:val="21"/>
        </w:rPr>
        <w:t>投标文件</w:t>
      </w:r>
    </w:p>
    <w:p>
      <w:pPr>
        <w:spacing w:line="360" w:lineRule="auto"/>
        <w:ind w:firstLine="643" w:firstLineChars="200"/>
        <w:jc w:val="center"/>
        <w:rPr>
          <w:rFonts w:ascii="宋体" w:hAnsi="宋体" w:eastAsia="宋体" w:cs="Times New Roman"/>
          <w:b/>
          <w:color w:val="000000"/>
          <w:sz w:val="32"/>
          <w:szCs w:val="32"/>
        </w:rPr>
      </w:pPr>
    </w:p>
    <w:p>
      <w:pPr>
        <w:spacing w:line="360" w:lineRule="auto"/>
        <w:ind w:firstLine="1084" w:firstLineChars="300"/>
        <w:rPr>
          <w:rFonts w:ascii="宋体" w:hAnsi="宋体" w:eastAsia="宋体" w:cs="Times New Roman"/>
          <w:b/>
          <w:color w:val="000000"/>
          <w:sz w:val="36"/>
          <w:szCs w:val="21"/>
        </w:rPr>
      </w:pPr>
    </w:p>
    <w:p>
      <w:pPr>
        <w:autoSpaceDE w:val="0"/>
        <w:autoSpaceDN w:val="0"/>
        <w:adjustRightInd w:val="0"/>
        <w:jc w:val="left"/>
        <w:rPr>
          <w:rFonts w:ascii="MS Mincho" w:hAnsi="Calibri" w:eastAsia="宋体" w:cs="Times New Roman"/>
          <w:color w:val="000000"/>
          <w:szCs w:val="24"/>
        </w:rPr>
      </w:pPr>
    </w:p>
    <w:p>
      <w:pPr>
        <w:autoSpaceDE w:val="0"/>
        <w:autoSpaceDN w:val="0"/>
        <w:adjustRightInd w:val="0"/>
        <w:jc w:val="left"/>
        <w:rPr>
          <w:rFonts w:ascii="MS Mincho" w:hAnsi="Calibri" w:eastAsia="宋体" w:cs="Times New Roman"/>
          <w:color w:val="000000"/>
          <w:szCs w:val="24"/>
        </w:rPr>
      </w:pPr>
    </w:p>
    <w:p>
      <w:pPr>
        <w:spacing w:line="360" w:lineRule="auto"/>
        <w:ind w:firstLine="1084" w:firstLineChars="300"/>
        <w:rPr>
          <w:rFonts w:ascii="宋体" w:hAnsi="宋体" w:eastAsia="宋体" w:cs="Times New Roman"/>
          <w:b/>
          <w:color w:val="000000"/>
          <w:sz w:val="36"/>
          <w:szCs w:val="21"/>
        </w:rPr>
      </w:pPr>
    </w:p>
    <w:p>
      <w:pPr>
        <w:spacing w:line="360" w:lineRule="auto"/>
        <w:ind w:firstLine="1084" w:firstLineChars="300"/>
        <w:rPr>
          <w:rFonts w:hint="default" w:ascii="宋体" w:hAnsi="宋体" w:eastAsia="宋体" w:cs="Times New Roman"/>
          <w:b/>
          <w:color w:val="000000"/>
          <w:sz w:val="36"/>
          <w:szCs w:val="24"/>
          <w:lang w:val="en-US" w:eastAsia="zh-CN"/>
        </w:rPr>
      </w:pPr>
      <w:r>
        <w:rPr>
          <w:rFonts w:hint="eastAsia" w:ascii="宋体" w:hAnsi="宋体" w:eastAsia="宋体" w:cs="Times New Roman"/>
          <w:b/>
          <w:color w:val="000000"/>
          <w:sz w:val="36"/>
          <w:szCs w:val="24"/>
        </w:rPr>
        <w:t>标 段 名 称：</w:t>
      </w:r>
      <w:r>
        <w:rPr>
          <w:rFonts w:hint="eastAsia" w:ascii="宋体" w:hAnsi="宋体" w:eastAsia="宋体" w:cs="Times New Roman"/>
          <w:b/>
          <w:color w:val="000000"/>
          <w:sz w:val="36"/>
          <w:szCs w:val="24"/>
          <w:lang w:val="en-US" w:eastAsia="zh-CN"/>
        </w:rPr>
        <w:t>西盐河绿化提档升级工程苗木采购</w:t>
      </w:r>
    </w:p>
    <w:p>
      <w:pPr>
        <w:spacing w:line="360" w:lineRule="auto"/>
        <w:ind w:firstLine="1084" w:firstLineChars="300"/>
        <w:rPr>
          <w:rFonts w:ascii="宋体" w:hAnsi="宋体" w:eastAsia="宋体" w:cs="Times New Roman"/>
          <w:b/>
          <w:color w:val="000000"/>
          <w:sz w:val="36"/>
          <w:szCs w:val="24"/>
        </w:rPr>
      </w:pPr>
      <w:r>
        <w:rPr>
          <w:rFonts w:hint="eastAsia" w:ascii="宋体" w:hAnsi="宋体" w:eastAsia="宋体" w:cs="Times New Roman"/>
          <w:b/>
          <w:color w:val="000000"/>
          <w:sz w:val="36"/>
          <w:szCs w:val="24"/>
        </w:rPr>
        <w:t>标 段 编 号：</w:t>
      </w:r>
    </w:p>
    <w:p>
      <w:pPr>
        <w:spacing w:line="360" w:lineRule="auto"/>
        <w:ind w:firstLine="1084" w:firstLineChars="300"/>
        <w:rPr>
          <w:rFonts w:ascii="宋体" w:hAnsi="宋体" w:eastAsia="宋体" w:cs="Times New Roman"/>
          <w:b/>
          <w:color w:val="000000"/>
          <w:sz w:val="36"/>
          <w:szCs w:val="24"/>
        </w:rPr>
      </w:pPr>
    </w:p>
    <w:p>
      <w:pPr>
        <w:spacing w:line="360" w:lineRule="auto"/>
        <w:ind w:firstLine="1084" w:firstLineChars="300"/>
        <w:rPr>
          <w:rFonts w:ascii="宋体" w:hAnsi="宋体" w:eastAsia="宋体" w:cs="Times New Roman"/>
          <w:b/>
          <w:color w:val="000000"/>
          <w:sz w:val="36"/>
          <w:szCs w:val="24"/>
        </w:rPr>
      </w:pPr>
      <w:r>
        <w:rPr>
          <w:rFonts w:hint="eastAsia" w:ascii="宋体" w:hAnsi="宋体" w:eastAsia="宋体" w:cs="Times New Roman"/>
          <w:b/>
          <w:color w:val="000000"/>
          <w:sz w:val="36"/>
          <w:szCs w:val="24"/>
        </w:rPr>
        <w:t>投标人名称：</w:t>
      </w:r>
    </w:p>
    <w:p>
      <w:pPr>
        <w:spacing w:line="360" w:lineRule="auto"/>
        <w:ind w:firstLine="1084" w:firstLineChars="300"/>
        <w:rPr>
          <w:rFonts w:ascii="宋体" w:hAnsi="宋体" w:eastAsia="宋体" w:cs="Times New Roman"/>
          <w:b/>
          <w:color w:val="000000"/>
          <w:sz w:val="36"/>
          <w:szCs w:val="24"/>
        </w:rPr>
      </w:pPr>
      <w:r>
        <w:rPr>
          <w:rFonts w:hint="eastAsia" w:ascii="宋体" w:hAnsi="宋体" w:eastAsia="宋体" w:cs="Times New Roman"/>
          <w:b/>
          <w:color w:val="000000"/>
          <w:sz w:val="36"/>
          <w:szCs w:val="24"/>
        </w:rPr>
        <w:t xml:space="preserve">投标人地址： </w:t>
      </w:r>
    </w:p>
    <w:p>
      <w:pPr>
        <w:spacing w:line="360" w:lineRule="auto"/>
        <w:ind w:firstLine="1084" w:firstLineChars="300"/>
        <w:rPr>
          <w:rFonts w:ascii="宋体" w:hAnsi="宋体" w:eastAsia="宋体" w:cs="Times New Roman"/>
          <w:b/>
          <w:color w:val="000000"/>
          <w:sz w:val="36"/>
          <w:szCs w:val="24"/>
        </w:rPr>
      </w:pPr>
      <w:r>
        <w:rPr>
          <w:rFonts w:hint="eastAsia" w:ascii="宋体" w:hAnsi="宋体" w:eastAsia="宋体" w:cs="Times New Roman"/>
          <w:b/>
          <w:color w:val="000000"/>
          <w:sz w:val="36"/>
          <w:szCs w:val="24"/>
        </w:rPr>
        <w:t>法定代表人：</w:t>
      </w:r>
    </w:p>
    <w:p>
      <w:pPr>
        <w:spacing w:line="360" w:lineRule="auto"/>
        <w:ind w:firstLine="1084" w:firstLineChars="300"/>
        <w:rPr>
          <w:rFonts w:ascii="宋体" w:hAnsi="宋体" w:eastAsia="宋体" w:cs="Times New Roman"/>
          <w:b/>
          <w:color w:val="000000"/>
          <w:sz w:val="36"/>
          <w:szCs w:val="24"/>
        </w:rPr>
      </w:pPr>
      <w:r>
        <w:rPr>
          <w:rFonts w:hint="eastAsia" w:ascii="宋体" w:hAnsi="宋体" w:eastAsia="宋体" w:cs="Times New Roman"/>
          <w:b/>
          <w:color w:val="000000"/>
          <w:sz w:val="36"/>
          <w:szCs w:val="24"/>
        </w:rPr>
        <w:t>委托代理人（委托代理时填写）：</w:t>
      </w:r>
    </w:p>
    <w:p>
      <w:pPr>
        <w:spacing w:line="360" w:lineRule="auto"/>
        <w:ind w:firstLine="1084" w:firstLineChars="300"/>
        <w:rPr>
          <w:rFonts w:ascii="宋体" w:hAnsi="宋体" w:eastAsia="宋体" w:cs="Times New Roman"/>
          <w:b/>
          <w:color w:val="000000"/>
          <w:sz w:val="36"/>
          <w:szCs w:val="24"/>
        </w:rPr>
      </w:pPr>
      <w:r>
        <w:rPr>
          <w:rFonts w:hint="eastAsia" w:ascii="宋体" w:hAnsi="宋体" w:eastAsia="宋体" w:cs="Times New Roman"/>
          <w:b/>
          <w:color w:val="000000"/>
          <w:sz w:val="36"/>
          <w:szCs w:val="24"/>
        </w:rPr>
        <w:t>日      期：</w:t>
      </w:r>
    </w:p>
    <w:p>
      <w:pPr>
        <w:keepNext/>
        <w:spacing w:line="360" w:lineRule="auto"/>
        <w:textAlignment w:val="baseline"/>
        <w:outlineLvl w:val="1"/>
        <w:rPr>
          <w:rFonts w:ascii="宋体" w:hAnsi="宋体" w:eastAsia="宋体" w:cs="Times New Roman"/>
          <w:color w:val="000000"/>
          <w:kern w:val="0"/>
          <w:sz w:val="24"/>
          <w:szCs w:val="24"/>
        </w:rPr>
      </w:pPr>
      <w:r>
        <w:rPr>
          <w:rFonts w:ascii="Times New Roman" w:hAnsi="宋体" w:eastAsia="黑体" w:cs="Times New Roman"/>
          <w:b/>
          <w:color w:val="000000"/>
          <w:kern w:val="0"/>
          <w:sz w:val="36"/>
          <w:szCs w:val="20"/>
        </w:rPr>
        <w:br w:type="page"/>
      </w:r>
      <w:bookmarkStart w:id="15" w:name="_Toc139967215"/>
      <w:bookmarkStart w:id="16" w:name="_Toc139966431"/>
      <w:r>
        <w:rPr>
          <w:rFonts w:hint="eastAsia" w:ascii="宋体" w:hAnsi="宋体" w:eastAsia="宋体" w:cs="Times New Roman"/>
          <w:color w:val="000000"/>
          <w:kern w:val="0"/>
          <w:sz w:val="24"/>
          <w:szCs w:val="24"/>
        </w:rPr>
        <w:t>格式1、响应函</w:t>
      </w:r>
    </w:p>
    <w:p>
      <w:pPr>
        <w:jc w:val="center"/>
        <w:rPr>
          <w:rFonts w:ascii="黑体" w:hAnsi="黑体" w:eastAsia="黑体" w:cs="宋体"/>
          <w:bCs/>
          <w:sz w:val="36"/>
          <w:szCs w:val="28"/>
        </w:rPr>
      </w:pPr>
      <w:r>
        <w:rPr>
          <w:rFonts w:hint="eastAsia" w:ascii="黑体" w:hAnsi="黑体" w:eastAsia="黑体" w:cs="宋体"/>
          <w:bCs/>
          <w:sz w:val="36"/>
          <w:szCs w:val="28"/>
        </w:rPr>
        <w:t>响应函</w:t>
      </w:r>
    </w:p>
    <w:p>
      <w:pPr>
        <w:spacing w:line="480" w:lineRule="exact"/>
        <w:rPr>
          <w:rFonts w:hint="eastAsia" w:ascii="宋体" w:hAnsi="宋体" w:eastAsia="宋体" w:cs="Times New Roman"/>
          <w:color w:val="000000"/>
          <w:szCs w:val="24"/>
          <w:lang w:eastAsia="zh-CN"/>
        </w:rPr>
      </w:pPr>
      <w:r>
        <w:rPr>
          <w:rFonts w:hint="eastAsia" w:ascii="宋体" w:hAnsi="宋体" w:eastAsia="宋体" w:cs="Times New Roman"/>
          <w:color w:val="000000"/>
          <w:szCs w:val="24"/>
        </w:rPr>
        <w:t>致：</w:t>
      </w:r>
      <w:r>
        <w:rPr>
          <w:rFonts w:hint="eastAsia" w:ascii="宋体" w:hAnsi="宋体" w:eastAsia="宋体" w:cs="Times New Roman"/>
          <w:color w:val="000000"/>
          <w:szCs w:val="24"/>
          <w:lang w:eastAsia="zh-CN"/>
        </w:rPr>
        <w:t>连云港市海州区绿化养护管理二处</w:t>
      </w:r>
    </w:p>
    <w:p>
      <w:pPr>
        <w:spacing w:line="480" w:lineRule="exact"/>
        <w:ind w:firstLine="420" w:firstLineChars="200"/>
        <w:rPr>
          <w:rFonts w:ascii="宋体" w:hAnsi="宋体" w:eastAsia="宋体" w:cs="Times New Roman"/>
          <w:color w:val="000000"/>
          <w:szCs w:val="24"/>
        </w:rPr>
      </w:pPr>
      <w:r>
        <w:rPr>
          <w:rFonts w:hint="eastAsia" w:ascii="宋体" w:hAnsi="宋体" w:eastAsia="宋体" w:cs="Times New Roman"/>
          <w:color w:val="000000"/>
          <w:szCs w:val="24"/>
        </w:rPr>
        <w:t>根据贵方</w:t>
      </w:r>
      <w:r>
        <w:rPr>
          <w:rFonts w:hint="eastAsia" w:ascii="宋体" w:hAnsi="宋体" w:eastAsia="宋体" w:cs="Times New Roman"/>
          <w:color w:val="000000"/>
          <w:szCs w:val="24"/>
          <w:u w:val="single"/>
        </w:rPr>
        <w:t xml:space="preserve">     </w:t>
      </w:r>
      <w:r>
        <w:rPr>
          <w:rFonts w:hint="eastAsia" w:ascii="宋体" w:hAnsi="宋体" w:eastAsia="宋体" w:cs="Times New Roman"/>
          <w:color w:val="000000"/>
          <w:szCs w:val="24"/>
        </w:rPr>
        <w:t>标段（标段编号：</w:t>
      </w:r>
      <w:r>
        <w:rPr>
          <w:rFonts w:hint="eastAsia" w:ascii="宋体" w:hAnsi="宋体" w:eastAsia="宋体" w:cs="Times New Roman"/>
          <w:color w:val="000000"/>
          <w:szCs w:val="24"/>
          <w:u w:val="single"/>
        </w:rPr>
        <w:t xml:space="preserve">     </w:t>
      </w:r>
      <w:r>
        <w:rPr>
          <w:rFonts w:hint="eastAsia" w:ascii="宋体" w:hAnsi="宋体" w:eastAsia="宋体" w:cs="Times New Roman"/>
          <w:color w:val="000000"/>
          <w:szCs w:val="24"/>
        </w:rPr>
        <w:t>）采购文件，正式授权下述签字人</w:t>
      </w:r>
      <w:r>
        <w:rPr>
          <w:rFonts w:hint="eastAsia" w:ascii="宋体" w:hAnsi="宋体" w:eastAsia="宋体" w:cs="Times New Roman"/>
          <w:color w:val="000000"/>
          <w:szCs w:val="24"/>
          <w:u w:val="single"/>
        </w:rPr>
        <w:t xml:space="preserve">     </w:t>
      </w:r>
      <w:r>
        <w:rPr>
          <w:rFonts w:hint="eastAsia" w:ascii="宋体" w:hAnsi="宋体" w:eastAsia="宋体" w:cs="Times New Roman"/>
          <w:color w:val="000000"/>
          <w:szCs w:val="24"/>
        </w:rPr>
        <w:t>全权代表</w:t>
      </w:r>
      <w:r>
        <w:rPr>
          <w:rFonts w:hint="eastAsia" w:ascii="宋体" w:hAnsi="宋体" w:eastAsia="宋体" w:cs="Times New Roman"/>
          <w:color w:val="000000"/>
          <w:szCs w:val="24"/>
          <w:u w:val="single"/>
        </w:rPr>
        <w:t xml:space="preserve">     </w:t>
      </w:r>
      <w:r>
        <w:rPr>
          <w:rFonts w:hint="eastAsia" w:ascii="宋体" w:hAnsi="宋体" w:eastAsia="宋体" w:cs="Times New Roman"/>
          <w:color w:val="000000"/>
          <w:szCs w:val="24"/>
        </w:rPr>
        <w:t>参加贵方组织的采购活动，按照采购文件要求提交响应文件。</w:t>
      </w:r>
    </w:p>
    <w:p>
      <w:pPr>
        <w:spacing w:line="480" w:lineRule="exact"/>
        <w:ind w:firstLine="420" w:firstLineChars="200"/>
        <w:rPr>
          <w:rFonts w:ascii="宋体" w:hAnsi="宋体" w:eastAsia="宋体" w:cs="Times New Roman"/>
          <w:color w:val="000000"/>
          <w:szCs w:val="24"/>
        </w:rPr>
      </w:pPr>
      <w:r>
        <w:rPr>
          <w:rFonts w:hint="eastAsia" w:ascii="宋体" w:hAnsi="宋体" w:eastAsia="宋体" w:cs="Times New Roman"/>
          <w:color w:val="000000"/>
          <w:szCs w:val="24"/>
        </w:rPr>
        <w:t>据此函，签字人兹宣布同意如下：</w:t>
      </w:r>
    </w:p>
    <w:p>
      <w:pPr>
        <w:spacing w:line="480" w:lineRule="exact"/>
        <w:ind w:firstLine="420" w:firstLineChars="200"/>
        <w:rPr>
          <w:rFonts w:ascii="宋体" w:hAnsi="宋体" w:eastAsia="宋体" w:cs="Times New Roman"/>
          <w:color w:val="000000"/>
          <w:szCs w:val="24"/>
        </w:rPr>
      </w:pPr>
      <w:r>
        <w:rPr>
          <w:rFonts w:hint="eastAsia" w:ascii="宋体" w:hAnsi="宋体" w:eastAsia="宋体" w:cs="Times New Roman"/>
          <w:color w:val="000000"/>
          <w:szCs w:val="24"/>
        </w:rPr>
        <w:t>1.按采购文件项目需求提交响应报价，报价、交货期等详见开标一览表。</w:t>
      </w:r>
    </w:p>
    <w:p>
      <w:pPr>
        <w:spacing w:line="480" w:lineRule="exact"/>
        <w:ind w:firstLine="420" w:firstLineChars="200"/>
        <w:rPr>
          <w:rFonts w:ascii="宋体" w:hAnsi="宋体" w:eastAsia="宋体" w:cs="Times New Roman"/>
          <w:color w:val="000000"/>
          <w:szCs w:val="24"/>
        </w:rPr>
      </w:pPr>
      <w:r>
        <w:rPr>
          <w:rFonts w:hint="eastAsia" w:ascii="宋体" w:hAnsi="宋体" w:eastAsia="宋体" w:cs="Times New Roman"/>
          <w:color w:val="000000"/>
          <w:szCs w:val="24"/>
        </w:rPr>
        <w:t>2.我方同意在本标段采购文件中规定的响应文件递交截止之日起60天内遵守本响应文件中的承诺且在此期限期满之前均具有约束力。</w:t>
      </w:r>
    </w:p>
    <w:p>
      <w:pPr>
        <w:spacing w:line="480" w:lineRule="exact"/>
        <w:ind w:firstLine="420" w:firstLineChars="200"/>
        <w:rPr>
          <w:rFonts w:ascii="宋体" w:hAnsi="宋体" w:eastAsia="宋体" w:cs="Times New Roman"/>
          <w:color w:val="000000"/>
          <w:szCs w:val="24"/>
        </w:rPr>
      </w:pPr>
      <w:r>
        <w:rPr>
          <w:rFonts w:hint="eastAsia" w:ascii="宋体" w:hAnsi="宋体" w:eastAsia="宋体" w:cs="Times New Roman"/>
          <w:color w:val="000000"/>
          <w:szCs w:val="24"/>
        </w:rPr>
        <w:t>3.我方承诺已经具备《中华人民共和国政府采购法》中规定的参加政府采购活动的</w:t>
      </w:r>
      <w:r>
        <w:rPr>
          <w:rFonts w:hint="eastAsia" w:ascii="宋体" w:hAnsi="宋体" w:eastAsia="宋体" w:cs="Times New Roman"/>
          <w:color w:val="000000"/>
          <w:szCs w:val="24"/>
          <w:lang w:eastAsia="zh-CN"/>
        </w:rPr>
        <w:t>投标人</w:t>
      </w:r>
      <w:r>
        <w:rPr>
          <w:rFonts w:hint="eastAsia" w:ascii="宋体" w:hAnsi="宋体" w:eastAsia="宋体" w:cs="Times New Roman"/>
          <w:color w:val="000000"/>
          <w:szCs w:val="24"/>
        </w:rPr>
        <w:t>应当具备的条件：</w:t>
      </w:r>
    </w:p>
    <w:p>
      <w:pPr>
        <w:spacing w:line="480" w:lineRule="exact"/>
        <w:ind w:firstLine="420" w:firstLineChars="200"/>
        <w:rPr>
          <w:rFonts w:ascii="宋体" w:hAnsi="宋体" w:eastAsia="宋体" w:cs="Times New Roman"/>
          <w:color w:val="000000"/>
          <w:szCs w:val="24"/>
        </w:rPr>
      </w:pPr>
      <w:r>
        <w:rPr>
          <w:rFonts w:hint="eastAsia" w:ascii="宋体" w:hAnsi="宋体" w:eastAsia="宋体" w:cs="Times New Roman"/>
          <w:color w:val="000000"/>
          <w:szCs w:val="24"/>
        </w:rPr>
        <w:t>(1)具有独立承担民事责任的能力；</w:t>
      </w:r>
    </w:p>
    <w:p>
      <w:pPr>
        <w:spacing w:line="480" w:lineRule="exact"/>
        <w:ind w:firstLine="420" w:firstLineChars="200"/>
        <w:rPr>
          <w:rFonts w:ascii="宋体" w:hAnsi="宋体" w:eastAsia="宋体" w:cs="Times New Roman"/>
          <w:color w:val="000000"/>
          <w:szCs w:val="24"/>
        </w:rPr>
      </w:pPr>
      <w:r>
        <w:rPr>
          <w:rFonts w:hint="eastAsia" w:ascii="宋体" w:hAnsi="宋体" w:eastAsia="宋体" w:cs="Times New Roman"/>
          <w:color w:val="000000"/>
          <w:szCs w:val="24"/>
        </w:rPr>
        <w:t>(2)具有良好的商业信誉和健全的财务会计制度；</w:t>
      </w:r>
    </w:p>
    <w:p>
      <w:pPr>
        <w:spacing w:line="480" w:lineRule="exact"/>
        <w:ind w:firstLine="420" w:firstLineChars="200"/>
        <w:rPr>
          <w:rFonts w:ascii="宋体" w:hAnsi="宋体" w:eastAsia="宋体" w:cs="Times New Roman"/>
          <w:color w:val="000000"/>
          <w:szCs w:val="24"/>
        </w:rPr>
      </w:pPr>
      <w:r>
        <w:rPr>
          <w:rFonts w:hint="eastAsia" w:ascii="宋体" w:hAnsi="宋体" w:eastAsia="宋体" w:cs="Times New Roman"/>
          <w:color w:val="000000"/>
          <w:szCs w:val="24"/>
        </w:rPr>
        <w:t>(3)具有履行合同所必需的设备和专业技术能力；</w:t>
      </w:r>
    </w:p>
    <w:p>
      <w:pPr>
        <w:spacing w:line="480" w:lineRule="exact"/>
        <w:ind w:firstLine="420" w:firstLineChars="200"/>
        <w:rPr>
          <w:rFonts w:ascii="宋体" w:hAnsi="宋体" w:eastAsia="宋体" w:cs="Times New Roman"/>
          <w:color w:val="000000"/>
          <w:szCs w:val="24"/>
        </w:rPr>
      </w:pPr>
      <w:r>
        <w:rPr>
          <w:rFonts w:hint="eastAsia" w:ascii="宋体" w:hAnsi="宋体" w:eastAsia="宋体" w:cs="Times New Roman"/>
          <w:color w:val="000000"/>
          <w:szCs w:val="24"/>
        </w:rPr>
        <w:t>(4)有依法缴纳税收和社会保障资金的良好记录；</w:t>
      </w:r>
    </w:p>
    <w:p>
      <w:pPr>
        <w:spacing w:line="480" w:lineRule="exact"/>
        <w:ind w:firstLine="420" w:firstLineChars="200"/>
        <w:rPr>
          <w:rFonts w:ascii="宋体" w:hAnsi="宋体" w:eastAsia="宋体" w:cs="Times New Roman"/>
          <w:color w:val="000000"/>
          <w:szCs w:val="24"/>
        </w:rPr>
      </w:pPr>
      <w:r>
        <w:rPr>
          <w:rFonts w:hint="eastAsia" w:ascii="宋体" w:hAnsi="宋体" w:eastAsia="宋体" w:cs="Times New Roman"/>
          <w:color w:val="000000"/>
          <w:szCs w:val="24"/>
        </w:rPr>
        <w:t>(5)参加此项采购活动前三年内，在经营活动中没有重大违法记录。</w:t>
      </w:r>
    </w:p>
    <w:p>
      <w:pPr>
        <w:spacing w:line="480" w:lineRule="exact"/>
        <w:ind w:firstLine="420" w:firstLineChars="200"/>
        <w:rPr>
          <w:rFonts w:ascii="宋体" w:hAnsi="宋体" w:eastAsia="宋体" w:cs="Times New Roman"/>
          <w:color w:val="000000"/>
          <w:szCs w:val="24"/>
        </w:rPr>
      </w:pPr>
      <w:r>
        <w:rPr>
          <w:rFonts w:hint="eastAsia" w:ascii="宋体" w:hAnsi="宋体" w:eastAsia="宋体" w:cs="Times New Roman"/>
          <w:color w:val="000000"/>
          <w:szCs w:val="24"/>
        </w:rPr>
        <w:t>4.我方根据采购文件的规定，承担完成合同的责任和义务。</w:t>
      </w:r>
    </w:p>
    <w:p>
      <w:pPr>
        <w:spacing w:line="480" w:lineRule="exact"/>
        <w:ind w:firstLine="420" w:firstLineChars="200"/>
        <w:rPr>
          <w:rFonts w:ascii="宋体" w:hAnsi="宋体" w:eastAsia="宋体" w:cs="Times New Roman"/>
          <w:color w:val="000000"/>
          <w:szCs w:val="24"/>
        </w:rPr>
      </w:pPr>
      <w:r>
        <w:rPr>
          <w:rFonts w:hint="eastAsia" w:ascii="宋体" w:hAnsi="宋体" w:eastAsia="宋体" w:cs="Times New Roman"/>
          <w:color w:val="000000"/>
          <w:szCs w:val="24"/>
        </w:rPr>
        <w:t>5.我方已详细审核采购文件，我方知道必须放弃提出含糊不清或误解问题的权利。</w:t>
      </w:r>
    </w:p>
    <w:p>
      <w:pPr>
        <w:spacing w:line="480" w:lineRule="exact"/>
        <w:ind w:firstLine="420" w:firstLineChars="200"/>
        <w:rPr>
          <w:rFonts w:ascii="宋体" w:hAnsi="宋体" w:eastAsia="宋体" w:cs="Times New Roman"/>
          <w:color w:val="000000"/>
          <w:szCs w:val="24"/>
        </w:rPr>
      </w:pPr>
      <w:r>
        <w:rPr>
          <w:rFonts w:hint="eastAsia" w:ascii="宋体" w:hAnsi="宋体" w:eastAsia="宋体" w:cs="Times New Roman"/>
          <w:color w:val="000000"/>
          <w:szCs w:val="24"/>
        </w:rPr>
        <w:t>6.如果在响应文件有效期内撤回或者有其他违约行为，我方的保证金可被贵方全部或部分没收。</w:t>
      </w:r>
    </w:p>
    <w:p>
      <w:pPr>
        <w:spacing w:line="480" w:lineRule="exact"/>
        <w:ind w:firstLine="420" w:firstLineChars="200"/>
        <w:rPr>
          <w:rFonts w:ascii="宋体" w:hAnsi="宋体" w:eastAsia="宋体" w:cs="Times New Roman"/>
          <w:color w:val="000000"/>
          <w:szCs w:val="24"/>
        </w:rPr>
      </w:pPr>
      <w:r>
        <w:rPr>
          <w:rFonts w:hint="eastAsia" w:ascii="宋体" w:hAnsi="宋体" w:eastAsia="宋体" w:cs="Times New Roman"/>
          <w:color w:val="000000"/>
          <w:szCs w:val="24"/>
        </w:rPr>
        <w:t>7.同意应贵方要求提供与本次采购活动有关的任何数据或资料。</w:t>
      </w:r>
    </w:p>
    <w:p>
      <w:pPr>
        <w:spacing w:line="480" w:lineRule="exact"/>
        <w:ind w:firstLine="420" w:firstLineChars="200"/>
        <w:rPr>
          <w:rFonts w:ascii="宋体" w:hAnsi="宋体" w:eastAsia="宋体" w:cs="Times New Roman"/>
          <w:color w:val="000000"/>
          <w:szCs w:val="24"/>
        </w:rPr>
      </w:pPr>
      <w:r>
        <w:rPr>
          <w:rFonts w:hint="eastAsia" w:ascii="宋体" w:hAnsi="宋体" w:eastAsia="宋体" w:cs="Times New Roman"/>
          <w:color w:val="000000"/>
          <w:szCs w:val="24"/>
        </w:rPr>
        <w:t>8.我方完全理解，最低报价不是中标的唯一条件。</w:t>
      </w:r>
    </w:p>
    <w:p>
      <w:pPr>
        <w:spacing w:line="480" w:lineRule="exact"/>
        <w:ind w:firstLine="420" w:firstLineChars="200"/>
        <w:rPr>
          <w:rFonts w:ascii="宋体" w:hAnsi="宋体" w:eastAsia="宋体" w:cs="Times New Roman"/>
          <w:color w:val="000000"/>
          <w:szCs w:val="24"/>
        </w:rPr>
      </w:pPr>
      <w:r>
        <w:rPr>
          <w:rFonts w:hint="eastAsia" w:ascii="宋体" w:hAnsi="宋体" w:eastAsia="宋体" w:cs="Times New Roman"/>
          <w:color w:val="000000"/>
          <w:szCs w:val="24"/>
        </w:rPr>
        <w:t>9.若贵方需要，我方愿意提供我方作出的一切承诺的证明材料。</w:t>
      </w:r>
    </w:p>
    <w:p>
      <w:pPr>
        <w:spacing w:line="480" w:lineRule="exact"/>
        <w:ind w:firstLine="420" w:firstLineChars="200"/>
        <w:rPr>
          <w:rFonts w:ascii="宋体" w:hAnsi="宋体" w:eastAsia="宋体" w:cs="Times New Roman"/>
          <w:color w:val="000000"/>
          <w:szCs w:val="24"/>
        </w:rPr>
      </w:pPr>
      <w:r>
        <w:rPr>
          <w:rFonts w:hint="eastAsia" w:ascii="宋体" w:hAnsi="宋体" w:eastAsia="宋体" w:cs="Times New Roman"/>
          <w:color w:val="000000"/>
          <w:szCs w:val="24"/>
        </w:rPr>
        <w:t>10.我方将严格遵守《中华人民共和国政府采购法》第七十七条规定，</w:t>
      </w:r>
      <w:r>
        <w:rPr>
          <w:rFonts w:hint="eastAsia" w:ascii="宋体" w:hAnsi="宋体" w:eastAsia="宋体" w:cs="Times New Roman"/>
          <w:color w:val="000000"/>
          <w:szCs w:val="24"/>
          <w:lang w:eastAsia="zh-CN"/>
        </w:rPr>
        <w:t>投标人</w:t>
      </w:r>
      <w:r>
        <w:rPr>
          <w:rFonts w:hint="eastAsia" w:ascii="宋体" w:hAnsi="宋体" w:eastAsia="宋体" w:cs="Times New Roman"/>
          <w:color w:val="000000"/>
          <w:szCs w:val="24"/>
        </w:rPr>
        <w:t>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pPr>
        <w:spacing w:line="480" w:lineRule="exact"/>
        <w:ind w:firstLine="420" w:firstLineChars="200"/>
        <w:rPr>
          <w:rFonts w:ascii="宋体" w:hAnsi="宋体" w:eastAsia="宋体" w:cs="Times New Roman"/>
          <w:color w:val="000000"/>
          <w:szCs w:val="24"/>
        </w:rPr>
      </w:pPr>
      <w:r>
        <w:rPr>
          <w:rFonts w:hint="eastAsia" w:ascii="宋体" w:hAnsi="宋体" w:eastAsia="宋体" w:cs="Times New Roman"/>
          <w:color w:val="000000"/>
          <w:szCs w:val="24"/>
        </w:rPr>
        <w:t>(1)提供虚假材料谋取中标</w:t>
      </w:r>
      <w:bookmarkStart w:id="25" w:name="_GoBack"/>
      <w:bookmarkEnd w:id="25"/>
      <w:r>
        <w:rPr>
          <w:rFonts w:hint="eastAsia" w:ascii="宋体" w:hAnsi="宋体" w:eastAsia="宋体" w:cs="Times New Roman"/>
          <w:color w:val="000000"/>
          <w:szCs w:val="24"/>
        </w:rPr>
        <w:t>的；</w:t>
      </w:r>
    </w:p>
    <w:p>
      <w:pPr>
        <w:spacing w:line="480" w:lineRule="exact"/>
        <w:ind w:firstLine="420" w:firstLineChars="200"/>
        <w:rPr>
          <w:rFonts w:ascii="宋体" w:hAnsi="宋体" w:eastAsia="宋体" w:cs="Times New Roman"/>
          <w:color w:val="000000"/>
          <w:szCs w:val="24"/>
        </w:rPr>
      </w:pPr>
      <w:r>
        <w:rPr>
          <w:rFonts w:hint="eastAsia" w:ascii="宋体" w:hAnsi="宋体" w:eastAsia="宋体" w:cs="Times New Roman"/>
          <w:color w:val="000000"/>
          <w:szCs w:val="24"/>
        </w:rPr>
        <w:t>(2)采取不正当手段诋毁、排挤其他</w:t>
      </w:r>
      <w:r>
        <w:rPr>
          <w:rFonts w:hint="eastAsia" w:ascii="宋体" w:hAnsi="宋体" w:eastAsia="宋体" w:cs="Times New Roman"/>
          <w:color w:val="000000"/>
          <w:szCs w:val="24"/>
          <w:lang w:eastAsia="zh-CN"/>
        </w:rPr>
        <w:t>投标人</w:t>
      </w:r>
      <w:r>
        <w:rPr>
          <w:rFonts w:hint="eastAsia" w:ascii="宋体" w:hAnsi="宋体" w:eastAsia="宋体" w:cs="Times New Roman"/>
          <w:color w:val="000000"/>
          <w:szCs w:val="24"/>
        </w:rPr>
        <w:t>的；</w:t>
      </w:r>
    </w:p>
    <w:p>
      <w:pPr>
        <w:spacing w:line="480" w:lineRule="exact"/>
        <w:ind w:firstLine="420" w:firstLineChars="200"/>
        <w:rPr>
          <w:rFonts w:ascii="宋体" w:hAnsi="宋体" w:eastAsia="宋体" w:cs="Times New Roman"/>
          <w:color w:val="000000"/>
          <w:szCs w:val="24"/>
        </w:rPr>
      </w:pPr>
      <w:r>
        <w:rPr>
          <w:rFonts w:hint="eastAsia" w:ascii="宋体" w:hAnsi="宋体" w:eastAsia="宋体" w:cs="Times New Roman"/>
          <w:color w:val="000000"/>
          <w:szCs w:val="24"/>
        </w:rPr>
        <w:t>(3)与采购人、其他</w:t>
      </w:r>
      <w:r>
        <w:rPr>
          <w:rFonts w:hint="eastAsia" w:ascii="宋体" w:hAnsi="宋体" w:eastAsia="宋体" w:cs="Times New Roman"/>
          <w:color w:val="000000"/>
          <w:szCs w:val="24"/>
          <w:lang w:eastAsia="zh-CN"/>
        </w:rPr>
        <w:t>投标人</w:t>
      </w:r>
      <w:r>
        <w:rPr>
          <w:rFonts w:hint="eastAsia" w:ascii="宋体" w:hAnsi="宋体" w:eastAsia="宋体" w:cs="Times New Roman"/>
          <w:color w:val="000000"/>
          <w:szCs w:val="24"/>
        </w:rPr>
        <w:t>或者采购代理机构恶意串通的；</w:t>
      </w:r>
    </w:p>
    <w:p>
      <w:pPr>
        <w:spacing w:line="480" w:lineRule="exact"/>
        <w:ind w:firstLine="420" w:firstLineChars="200"/>
        <w:rPr>
          <w:rFonts w:ascii="宋体" w:hAnsi="宋体" w:eastAsia="宋体" w:cs="Times New Roman"/>
          <w:color w:val="000000"/>
          <w:szCs w:val="24"/>
        </w:rPr>
      </w:pPr>
      <w:r>
        <w:rPr>
          <w:rFonts w:hint="eastAsia" w:ascii="宋体" w:hAnsi="宋体" w:eastAsia="宋体" w:cs="Times New Roman"/>
          <w:color w:val="000000"/>
          <w:szCs w:val="24"/>
        </w:rPr>
        <w:t>(4)向采购人、采购代理机构行贿或者提供其他不正当利益的；</w:t>
      </w:r>
    </w:p>
    <w:p>
      <w:pPr>
        <w:spacing w:line="480" w:lineRule="exact"/>
        <w:ind w:firstLine="420" w:firstLineChars="200"/>
        <w:rPr>
          <w:rFonts w:ascii="宋体" w:hAnsi="宋体" w:eastAsia="宋体" w:cs="Times New Roman"/>
          <w:color w:val="000000"/>
          <w:szCs w:val="24"/>
        </w:rPr>
      </w:pPr>
      <w:r>
        <w:rPr>
          <w:rFonts w:hint="eastAsia" w:ascii="宋体" w:hAnsi="宋体" w:eastAsia="宋体" w:cs="Times New Roman"/>
          <w:color w:val="000000"/>
          <w:szCs w:val="24"/>
        </w:rPr>
        <w:t>(5)在招标采购过程中与采购人进行协商谈判的；</w:t>
      </w:r>
    </w:p>
    <w:p>
      <w:pPr>
        <w:spacing w:line="480" w:lineRule="exact"/>
        <w:ind w:firstLine="420" w:firstLineChars="200"/>
        <w:rPr>
          <w:rFonts w:ascii="宋体" w:hAnsi="宋体" w:eastAsia="宋体" w:cs="Times New Roman"/>
          <w:color w:val="000000"/>
          <w:szCs w:val="24"/>
        </w:rPr>
      </w:pPr>
      <w:r>
        <w:rPr>
          <w:rFonts w:hint="eastAsia" w:ascii="宋体" w:hAnsi="宋体" w:eastAsia="宋体" w:cs="Times New Roman"/>
          <w:color w:val="000000"/>
          <w:szCs w:val="24"/>
        </w:rPr>
        <w:t>(6)拒绝有关部门监督检查或提供虚假情况的。</w:t>
      </w:r>
    </w:p>
    <w:p>
      <w:pPr>
        <w:spacing w:line="480" w:lineRule="exact"/>
        <w:ind w:firstLine="420" w:firstLineChars="200"/>
        <w:rPr>
          <w:rFonts w:ascii="宋体" w:hAnsi="宋体" w:eastAsia="宋体" w:cs="Times New Roman"/>
          <w:color w:val="000000"/>
          <w:szCs w:val="24"/>
        </w:rPr>
      </w:pPr>
      <w:r>
        <w:rPr>
          <w:rFonts w:ascii="宋体" w:hAnsi="宋体" w:eastAsia="宋体" w:cs="Times New Roman"/>
          <w:color w:val="000000"/>
          <w:szCs w:val="24"/>
        </w:rPr>
        <w:t xml:space="preserve"> </w:t>
      </w:r>
    </w:p>
    <w:p>
      <w:pPr>
        <w:spacing w:line="480" w:lineRule="exact"/>
        <w:ind w:firstLine="420" w:firstLineChars="200"/>
        <w:rPr>
          <w:rFonts w:ascii="宋体" w:hAnsi="宋体" w:eastAsia="宋体" w:cs="Times New Roman"/>
          <w:color w:val="000000"/>
          <w:szCs w:val="24"/>
        </w:rPr>
      </w:pPr>
      <w:r>
        <w:rPr>
          <w:rFonts w:hint="eastAsia" w:ascii="宋体" w:hAnsi="宋体" w:eastAsia="宋体" w:cs="Times New Roman"/>
          <w:color w:val="000000"/>
          <w:szCs w:val="24"/>
        </w:rPr>
        <w:t>法定代表人或其委托代理人签字（或盖章）： 　　</w:t>
      </w:r>
    </w:p>
    <w:p>
      <w:pPr>
        <w:spacing w:line="480" w:lineRule="exact"/>
        <w:ind w:firstLine="420" w:firstLineChars="200"/>
        <w:rPr>
          <w:rFonts w:ascii="宋体" w:hAnsi="宋体" w:eastAsia="宋体" w:cs="Times New Roman"/>
          <w:color w:val="000000"/>
          <w:szCs w:val="24"/>
        </w:rPr>
      </w:pPr>
      <w:r>
        <w:rPr>
          <w:rFonts w:hint="eastAsia" w:ascii="宋体" w:hAnsi="宋体" w:eastAsia="宋体" w:cs="Times New Roman"/>
          <w:color w:val="000000"/>
          <w:szCs w:val="24"/>
          <w:lang w:eastAsia="zh-CN"/>
        </w:rPr>
        <w:t>投标人</w:t>
      </w:r>
      <w:r>
        <w:rPr>
          <w:rFonts w:hint="eastAsia" w:ascii="宋体" w:hAnsi="宋体" w:eastAsia="宋体" w:cs="Times New Roman"/>
          <w:color w:val="000000"/>
          <w:szCs w:val="24"/>
        </w:rPr>
        <w:t xml:space="preserve">公章： </w:t>
      </w:r>
    </w:p>
    <w:p>
      <w:pPr>
        <w:spacing w:line="480" w:lineRule="exact"/>
        <w:ind w:firstLine="420" w:firstLineChars="200"/>
        <w:rPr>
          <w:rFonts w:ascii="宋体" w:hAnsi="宋体" w:eastAsia="宋体" w:cs="Times New Roman"/>
          <w:color w:val="000000"/>
          <w:szCs w:val="24"/>
        </w:rPr>
      </w:pPr>
      <w:r>
        <w:rPr>
          <w:rFonts w:hint="eastAsia" w:ascii="宋体" w:hAnsi="宋体" w:eastAsia="宋体" w:cs="Times New Roman"/>
          <w:color w:val="000000"/>
          <w:szCs w:val="24"/>
        </w:rPr>
        <w:t xml:space="preserve">日期： </w:t>
      </w:r>
    </w:p>
    <w:p>
      <w:pPr>
        <w:spacing w:line="480" w:lineRule="exact"/>
        <w:ind w:firstLine="420" w:firstLineChars="200"/>
        <w:rPr>
          <w:rFonts w:ascii="宋体" w:hAnsi="宋体" w:eastAsia="宋体" w:cs="Times New Roman"/>
          <w:color w:val="000000"/>
          <w:szCs w:val="24"/>
        </w:rPr>
      </w:pPr>
      <w:r>
        <w:rPr>
          <w:rFonts w:ascii="宋体" w:hAnsi="宋体" w:eastAsia="宋体" w:cs="Times New Roman"/>
          <w:color w:val="000000"/>
          <w:szCs w:val="24"/>
        </w:rPr>
        <w:t xml:space="preserve"> </w:t>
      </w:r>
    </w:p>
    <w:p>
      <w:pPr>
        <w:spacing w:line="480" w:lineRule="exact"/>
        <w:ind w:firstLine="420" w:firstLineChars="200"/>
        <w:rPr>
          <w:rFonts w:ascii="宋体" w:hAnsi="宋体" w:eastAsia="宋体" w:cs="宋体"/>
          <w:color w:val="000000"/>
          <w:kern w:val="0"/>
          <w:sz w:val="36"/>
          <w:szCs w:val="36"/>
          <w:lang w:val="zh-CN"/>
        </w:rPr>
      </w:pPr>
      <w:r>
        <w:rPr>
          <w:rFonts w:hint="eastAsia" w:ascii="宋体" w:hAnsi="宋体" w:eastAsia="宋体" w:cs="Times New Roman"/>
          <w:color w:val="000000"/>
          <w:szCs w:val="24"/>
        </w:rPr>
        <w:t>注：未按照本响应函的格式要求填写的，将造成非实质响应，从而导致该</w:t>
      </w:r>
      <w:r>
        <w:rPr>
          <w:rFonts w:hint="eastAsia" w:ascii="宋体" w:hAnsi="宋体" w:eastAsia="宋体" w:cs="Times New Roman"/>
          <w:color w:val="000000"/>
          <w:szCs w:val="24"/>
          <w:lang w:eastAsia="zh-CN"/>
        </w:rPr>
        <w:t>投标人</w:t>
      </w:r>
      <w:r>
        <w:rPr>
          <w:rFonts w:hint="eastAsia" w:ascii="宋体" w:hAnsi="宋体" w:eastAsia="宋体" w:cs="Times New Roman"/>
          <w:color w:val="000000"/>
          <w:szCs w:val="24"/>
        </w:rPr>
        <w:t>响应无效。</w:t>
      </w:r>
    </w:p>
    <w:p>
      <w:pPr>
        <w:keepNext/>
        <w:spacing w:line="360" w:lineRule="auto"/>
        <w:textAlignment w:val="baseline"/>
        <w:outlineLvl w:val="1"/>
        <w:rPr>
          <w:rFonts w:ascii="Times New Roman" w:hAnsi="Times New Roman" w:eastAsia="黑体" w:cs="Times New Roman"/>
          <w:b/>
          <w:kern w:val="0"/>
          <w:sz w:val="28"/>
          <w:szCs w:val="20"/>
        </w:rPr>
      </w:pPr>
      <w:r>
        <w:rPr>
          <w:rFonts w:ascii="Times New Roman" w:hAnsi="Times New Roman" w:eastAsia="黑体" w:cs="Times New Roman"/>
          <w:kern w:val="0"/>
          <w:sz w:val="28"/>
          <w:szCs w:val="20"/>
        </w:rPr>
        <w:br w:type="page"/>
      </w:r>
      <w:r>
        <w:rPr>
          <w:rFonts w:hint="eastAsia" w:ascii="宋体" w:hAnsi="宋体" w:eastAsia="宋体" w:cs="Times New Roman"/>
          <w:color w:val="000000"/>
          <w:kern w:val="0"/>
          <w:sz w:val="24"/>
          <w:szCs w:val="24"/>
        </w:rPr>
        <w:t>格式2、开标一览表</w:t>
      </w:r>
    </w:p>
    <w:p>
      <w:pPr>
        <w:jc w:val="center"/>
        <w:rPr>
          <w:rFonts w:ascii="黑体" w:hAnsi="黑体" w:eastAsia="黑体" w:cs="宋体"/>
          <w:bCs/>
          <w:sz w:val="36"/>
          <w:szCs w:val="28"/>
        </w:rPr>
      </w:pPr>
      <w:r>
        <w:rPr>
          <w:rFonts w:hint="eastAsia" w:ascii="黑体" w:hAnsi="黑体" w:eastAsia="黑体" w:cs="宋体"/>
          <w:bCs/>
          <w:sz w:val="36"/>
          <w:szCs w:val="28"/>
        </w:rPr>
        <w:t>开标一览表</w:t>
      </w:r>
    </w:p>
    <w:p>
      <w:pPr>
        <w:autoSpaceDE w:val="0"/>
        <w:autoSpaceDN w:val="0"/>
        <w:adjustRightInd w:val="0"/>
        <w:spacing w:line="360" w:lineRule="auto"/>
        <w:ind w:firstLine="720" w:firstLineChars="300"/>
        <w:jc w:val="left"/>
        <w:rPr>
          <w:rFonts w:hint="eastAsia" w:ascii="宋体" w:hAnsi="宋体" w:eastAsia="宋体" w:cs="方正仿宋_GBK"/>
          <w:color w:val="000000"/>
          <w:sz w:val="24"/>
          <w:szCs w:val="24"/>
        </w:rPr>
      </w:pPr>
      <w:r>
        <w:rPr>
          <w:rFonts w:hint="eastAsia" w:ascii="宋体" w:hAnsi="宋体" w:eastAsia="宋体" w:cs="方正仿宋_GBK"/>
          <w:color w:val="000000"/>
          <w:sz w:val="24"/>
          <w:szCs w:val="24"/>
        </w:rPr>
        <w:t>标段编号：</w:t>
      </w:r>
    </w:p>
    <w:p>
      <w:pPr>
        <w:autoSpaceDE w:val="0"/>
        <w:autoSpaceDN w:val="0"/>
        <w:adjustRightInd w:val="0"/>
        <w:spacing w:line="360" w:lineRule="auto"/>
        <w:ind w:firstLine="720" w:firstLineChars="300"/>
        <w:jc w:val="left"/>
        <w:rPr>
          <w:rFonts w:hint="default" w:ascii="宋体" w:hAnsi="宋体" w:eastAsia="宋体" w:cs="Times New Roman"/>
          <w:bCs/>
          <w:color w:val="000000"/>
          <w:sz w:val="24"/>
          <w:szCs w:val="24"/>
          <w:lang w:val="en-US" w:eastAsia="zh-CN"/>
        </w:rPr>
      </w:pPr>
      <w:r>
        <w:rPr>
          <w:rFonts w:hint="eastAsia" w:ascii="宋体" w:hAnsi="宋体" w:eastAsia="宋体" w:cs="方正仿宋_GBK"/>
          <w:color w:val="000000"/>
          <w:sz w:val="24"/>
          <w:szCs w:val="24"/>
        </w:rPr>
        <w:t>标段名称：</w:t>
      </w:r>
      <w:r>
        <w:rPr>
          <w:rFonts w:hint="eastAsia" w:ascii="宋体" w:hAnsi="宋体" w:eastAsia="宋体" w:cs="宋体"/>
          <w:color w:val="000000"/>
          <w:sz w:val="24"/>
          <w:szCs w:val="24"/>
          <w:highlight w:val="none"/>
          <w:lang w:val="en-US" w:eastAsia="zh-CN"/>
        </w:rPr>
        <w:t>西盐河绿化提档升级工程苗木采购</w:t>
      </w:r>
    </w:p>
    <w:p>
      <w:pPr>
        <w:autoSpaceDE w:val="0"/>
        <w:autoSpaceDN w:val="0"/>
        <w:adjustRightInd w:val="0"/>
        <w:jc w:val="left"/>
        <w:rPr>
          <w:rFonts w:ascii="MS Mincho" w:hAnsi="Calibri" w:eastAsia="宋体" w:cs="Times New Roman"/>
          <w:color w:val="000000"/>
          <w:sz w:val="24"/>
          <w:szCs w:val="24"/>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3"/>
        <w:gridCol w:w="3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jc w:val="center"/>
        </w:trPr>
        <w:tc>
          <w:tcPr>
            <w:tcW w:w="3653" w:type="dxa"/>
            <w:vAlign w:val="center"/>
          </w:tcPr>
          <w:p>
            <w:pPr>
              <w:spacing w:line="360" w:lineRule="auto"/>
              <w:jc w:val="center"/>
              <w:rPr>
                <w:rFonts w:ascii="宋体" w:hAnsi="宋体" w:eastAsia="宋体" w:cs="Times New Roman"/>
                <w:bCs/>
                <w:color w:val="000000"/>
                <w:sz w:val="28"/>
                <w:szCs w:val="28"/>
              </w:rPr>
            </w:pPr>
            <w:r>
              <w:rPr>
                <w:rFonts w:ascii="宋体" w:hAnsi="宋体" w:eastAsia="宋体" w:cs="Times New Roman"/>
                <w:bCs/>
                <w:color w:val="000000"/>
                <w:sz w:val="28"/>
                <w:szCs w:val="28"/>
              </w:rPr>
              <w:t>标题</w:t>
            </w:r>
          </w:p>
        </w:tc>
        <w:tc>
          <w:tcPr>
            <w:tcW w:w="3651" w:type="dxa"/>
            <w:vAlign w:val="center"/>
          </w:tcPr>
          <w:p>
            <w:pPr>
              <w:spacing w:line="360" w:lineRule="auto"/>
              <w:jc w:val="center"/>
              <w:rPr>
                <w:rFonts w:ascii="宋体" w:hAnsi="宋体" w:eastAsia="宋体" w:cs="Times New Roman"/>
                <w:color w:val="000000"/>
                <w:sz w:val="28"/>
                <w:szCs w:val="28"/>
              </w:rPr>
            </w:pPr>
            <w:r>
              <w:rPr>
                <w:rFonts w:ascii="宋体" w:hAnsi="宋体" w:eastAsia="宋体" w:cs="Times New Roman"/>
                <w:color w:val="000000"/>
                <w:sz w:val="28"/>
                <w:szCs w:val="2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jc w:val="center"/>
        </w:trPr>
        <w:tc>
          <w:tcPr>
            <w:tcW w:w="3653" w:type="dxa"/>
            <w:vAlign w:val="center"/>
          </w:tcPr>
          <w:p>
            <w:pPr>
              <w:spacing w:line="360" w:lineRule="auto"/>
              <w:jc w:val="center"/>
              <w:rPr>
                <w:rFonts w:ascii="宋体" w:hAnsi="宋体" w:eastAsia="宋体" w:cs="Times New Roman"/>
                <w:bCs/>
                <w:color w:val="000000"/>
                <w:sz w:val="28"/>
                <w:szCs w:val="28"/>
              </w:rPr>
            </w:pPr>
            <w:r>
              <w:rPr>
                <w:rFonts w:ascii="宋体" w:hAnsi="宋体" w:eastAsia="宋体" w:cs="Times New Roman"/>
                <w:bCs/>
                <w:color w:val="000000"/>
                <w:sz w:val="28"/>
                <w:szCs w:val="28"/>
              </w:rPr>
              <w:t>投标报价</w:t>
            </w:r>
          </w:p>
        </w:tc>
        <w:tc>
          <w:tcPr>
            <w:tcW w:w="3651" w:type="dxa"/>
            <w:vAlign w:val="center"/>
          </w:tcPr>
          <w:p>
            <w:pPr>
              <w:spacing w:line="360" w:lineRule="auto"/>
              <w:jc w:val="center"/>
              <w:rPr>
                <w:rFonts w:ascii="宋体" w:hAnsi="宋体" w:eastAsia="宋体"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jc w:val="center"/>
        </w:trPr>
        <w:tc>
          <w:tcPr>
            <w:tcW w:w="3653" w:type="dxa"/>
            <w:vAlign w:val="center"/>
          </w:tcPr>
          <w:p>
            <w:pPr>
              <w:spacing w:line="360" w:lineRule="auto"/>
              <w:jc w:val="center"/>
              <w:rPr>
                <w:rFonts w:ascii="宋体" w:hAnsi="宋体" w:eastAsia="宋体" w:cs="Times New Roman"/>
                <w:bCs/>
                <w:color w:val="000000"/>
                <w:sz w:val="28"/>
                <w:szCs w:val="28"/>
              </w:rPr>
            </w:pPr>
            <w:r>
              <w:rPr>
                <w:rFonts w:ascii="宋体" w:hAnsi="宋体" w:eastAsia="宋体" w:cs="Times New Roman"/>
                <w:bCs/>
                <w:color w:val="000000"/>
                <w:sz w:val="28"/>
                <w:szCs w:val="28"/>
              </w:rPr>
              <w:t>交货期</w:t>
            </w:r>
          </w:p>
        </w:tc>
        <w:tc>
          <w:tcPr>
            <w:tcW w:w="3651" w:type="dxa"/>
            <w:vAlign w:val="center"/>
          </w:tcPr>
          <w:p>
            <w:pPr>
              <w:spacing w:line="360" w:lineRule="auto"/>
              <w:jc w:val="center"/>
              <w:rPr>
                <w:rFonts w:ascii="宋体" w:hAnsi="宋体" w:eastAsia="宋体" w:cs="Times New Roman"/>
                <w:color w:val="000000"/>
                <w:sz w:val="28"/>
                <w:szCs w:val="28"/>
              </w:rPr>
            </w:pPr>
          </w:p>
        </w:tc>
      </w:tr>
    </w:tbl>
    <w:p>
      <w:pPr>
        <w:autoSpaceDE w:val="0"/>
        <w:autoSpaceDN w:val="0"/>
        <w:adjustRightInd w:val="0"/>
        <w:spacing w:line="360" w:lineRule="auto"/>
        <w:ind w:firstLine="420" w:firstLineChars="200"/>
        <w:jc w:val="left"/>
        <w:rPr>
          <w:rFonts w:ascii="宋体" w:hAnsi="宋体" w:eastAsia="宋体" w:cs="Times New Roman"/>
          <w:bCs/>
          <w:color w:val="000000"/>
          <w:szCs w:val="24"/>
        </w:rPr>
      </w:pPr>
    </w:p>
    <w:p>
      <w:pPr>
        <w:autoSpaceDE w:val="0"/>
        <w:autoSpaceDN w:val="0"/>
        <w:adjustRightInd w:val="0"/>
        <w:spacing w:line="360" w:lineRule="auto"/>
        <w:ind w:firstLine="420" w:firstLineChars="200"/>
        <w:jc w:val="left"/>
        <w:rPr>
          <w:rFonts w:ascii="宋体" w:hAnsi="宋体" w:eastAsia="宋体" w:cs="Times New Roman"/>
          <w:bCs/>
          <w:color w:val="000000"/>
          <w:szCs w:val="24"/>
        </w:rPr>
      </w:pPr>
    </w:p>
    <w:p>
      <w:pPr>
        <w:autoSpaceDE w:val="0"/>
        <w:autoSpaceDN w:val="0"/>
        <w:adjustRightInd w:val="0"/>
        <w:spacing w:line="360" w:lineRule="auto"/>
        <w:ind w:firstLine="420" w:firstLineChars="200"/>
        <w:jc w:val="left"/>
        <w:rPr>
          <w:rFonts w:ascii="宋体" w:hAnsi="宋体" w:eastAsia="宋体" w:cs="Times New Roman"/>
          <w:bCs/>
          <w:color w:val="000000"/>
          <w:szCs w:val="24"/>
        </w:rPr>
      </w:pPr>
    </w:p>
    <w:p>
      <w:pPr>
        <w:spacing w:line="360" w:lineRule="auto"/>
        <w:ind w:firstLine="420" w:firstLineChars="200"/>
        <w:rPr>
          <w:rFonts w:ascii="Times New Roman" w:hAnsi="Times New Roman" w:eastAsia="宋体" w:cs="Times New Roman"/>
          <w:color w:val="000000"/>
          <w:szCs w:val="24"/>
        </w:rPr>
      </w:pPr>
    </w:p>
    <w:p>
      <w:pPr>
        <w:spacing w:line="360" w:lineRule="auto"/>
        <w:ind w:firstLine="420" w:firstLineChars="200"/>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投标人（盖章）：</w:t>
      </w:r>
    </w:p>
    <w:p>
      <w:pPr>
        <w:spacing w:line="360" w:lineRule="auto"/>
        <w:ind w:firstLine="420" w:firstLineChars="200"/>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法定代表人或委托代理人（签字或盖章）：</w:t>
      </w:r>
    </w:p>
    <w:p>
      <w:pPr>
        <w:spacing w:line="360" w:lineRule="auto"/>
        <w:ind w:firstLine="420" w:firstLineChars="200"/>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日期：    年     月     日</w:t>
      </w:r>
    </w:p>
    <w:p>
      <w:pPr>
        <w:spacing w:line="360" w:lineRule="auto"/>
        <w:ind w:firstLine="420" w:firstLineChars="200"/>
        <w:rPr>
          <w:rFonts w:ascii="Times New Roman" w:hAnsi="Times New Roman" w:eastAsia="宋体" w:cs="Times New Roman"/>
          <w:color w:val="000000"/>
          <w:szCs w:val="24"/>
        </w:rPr>
      </w:pPr>
    </w:p>
    <w:p>
      <w:pPr>
        <w:keepNext/>
        <w:spacing w:line="360" w:lineRule="auto"/>
        <w:textAlignment w:val="baseline"/>
        <w:outlineLvl w:val="1"/>
        <w:rPr>
          <w:rFonts w:ascii="Times New Roman" w:hAnsi="宋体" w:eastAsia="黑体" w:cs="Times New Roman"/>
          <w:color w:val="000000"/>
          <w:kern w:val="0"/>
          <w:sz w:val="32"/>
          <w:szCs w:val="20"/>
        </w:rPr>
      </w:pPr>
      <w:r>
        <w:rPr>
          <w:rFonts w:hint="eastAsia" w:ascii="Times New Roman" w:hAnsi="宋体" w:eastAsia="黑体" w:cs="Times New Roman"/>
          <w:color w:val="000000"/>
          <w:kern w:val="0"/>
          <w:sz w:val="32"/>
          <w:szCs w:val="20"/>
        </w:rPr>
        <w:br w:type="page"/>
      </w:r>
      <w:r>
        <w:rPr>
          <w:rFonts w:hint="eastAsia" w:ascii="宋体" w:hAnsi="宋体" w:eastAsia="宋体" w:cs="Times New Roman"/>
          <w:color w:val="000000"/>
          <w:kern w:val="0"/>
          <w:sz w:val="24"/>
          <w:szCs w:val="24"/>
        </w:rPr>
        <w:t>格式3、报价明细表</w:t>
      </w:r>
    </w:p>
    <w:p>
      <w:pPr>
        <w:jc w:val="center"/>
        <w:rPr>
          <w:rFonts w:ascii="黑体" w:hAnsi="黑体" w:eastAsia="黑体" w:cs="宋体"/>
          <w:bCs/>
          <w:sz w:val="36"/>
          <w:szCs w:val="28"/>
        </w:rPr>
      </w:pPr>
      <w:r>
        <w:rPr>
          <w:rFonts w:hint="eastAsia" w:ascii="黑体" w:hAnsi="黑体" w:eastAsia="黑体" w:cs="宋体"/>
          <w:bCs/>
          <w:sz w:val="36"/>
          <w:szCs w:val="28"/>
        </w:rPr>
        <w:t>报价明细表</w:t>
      </w:r>
    </w:p>
    <w:p>
      <w:pPr>
        <w:autoSpaceDE w:val="0"/>
        <w:autoSpaceDN w:val="0"/>
        <w:adjustRightInd w:val="0"/>
        <w:spacing w:line="360" w:lineRule="auto"/>
        <w:jc w:val="left"/>
        <w:rPr>
          <w:rFonts w:hint="eastAsia" w:ascii="宋体" w:hAnsi="宋体" w:eastAsia="宋体" w:cs="方正仿宋_GBK"/>
          <w:color w:val="000000"/>
          <w:sz w:val="24"/>
          <w:szCs w:val="24"/>
        </w:rPr>
      </w:pPr>
      <w:r>
        <w:rPr>
          <w:rFonts w:hint="eastAsia" w:ascii="宋体" w:hAnsi="宋体" w:eastAsia="宋体" w:cs="方正仿宋_GBK"/>
          <w:color w:val="000000"/>
          <w:sz w:val="24"/>
          <w:szCs w:val="24"/>
        </w:rPr>
        <w:t>标段名称：</w:t>
      </w:r>
      <w:r>
        <w:rPr>
          <w:rFonts w:hint="eastAsia" w:ascii="宋体" w:hAnsi="宋体" w:eastAsia="宋体" w:cs="宋体"/>
          <w:color w:val="000000"/>
          <w:sz w:val="24"/>
          <w:szCs w:val="24"/>
          <w:highlight w:val="none"/>
          <w:lang w:val="en-US" w:eastAsia="zh-CN"/>
        </w:rPr>
        <w:t>西盐河绿化提档升级工程苗木采购</w:t>
      </w:r>
      <w:r>
        <w:rPr>
          <w:rFonts w:hint="eastAsia" w:ascii="宋体" w:hAnsi="宋体" w:eastAsia="宋体" w:cs="方正仿宋_GBK"/>
          <w:color w:val="000000"/>
          <w:sz w:val="24"/>
          <w:szCs w:val="24"/>
          <w:lang w:val="en-US" w:eastAsia="zh-CN"/>
        </w:rPr>
        <w:t xml:space="preserve">      </w:t>
      </w:r>
      <w:r>
        <w:rPr>
          <w:rFonts w:hint="eastAsia" w:ascii="宋体" w:hAnsi="宋体" w:eastAsia="宋体" w:cs="方正仿宋_GBK"/>
          <w:color w:val="000000"/>
          <w:sz w:val="24"/>
          <w:szCs w:val="24"/>
        </w:rPr>
        <w:t xml:space="preserve">                      </w:t>
      </w:r>
    </w:p>
    <w:p>
      <w:pPr>
        <w:autoSpaceDE w:val="0"/>
        <w:autoSpaceDN w:val="0"/>
        <w:adjustRightInd w:val="0"/>
        <w:spacing w:line="360" w:lineRule="auto"/>
        <w:jc w:val="left"/>
        <w:rPr>
          <w:rFonts w:ascii="宋体" w:hAnsi="宋体" w:eastAsia="宋体" w:cs="Times New Roman"/>
          <w:bCs/>
          <w:color w:val="000000"/>
          <w:sz w:val="24"/>
          <w:szCs w:val="24"/>
        </w:rPr>
      </w:pPr>
      <w:r>
        <w:rPr>
          <w:rFonts w:hint="eastAsia" w:ascii="宋体" w:hAnsi="宋体" w:eastAsia="宋体" w:cs="方正仿宋_GBK"/>
          <w:color w:val="000000"/>
          <w:sz w:val="24"/>
          <w:szCs w:val="24"/>
        </w:rPr>
        <w:t>标段编号：</w:t>
      </w:r>
    </w:p>
    <w:tbl>
      <w:tblPr>
        <w:tblStyle w:val="28"/>
        <w:tblW w:w="10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1010"/>
        <w:gridCol w:w="1914"/>
        <w:gridCol w:w="1080"/>
        <w:gridCol w:w="1323"/>
        <w:gridCol w:w="1351"/>
        <w:gridCol w:w="1010"/>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363" w:type="dxa"/>
            <w:vAlign w:val="center"/>
          </w:tcPr>
          <w:p>
            <w:pPr>
              <w:jc w:val="center"/>
              <w:rPr>
                <w:rFonts w:hint="default"/>
                <w:vertAlign w:val="baseline"/>
                <w:lang w:val="en-US" w:eastAsia="zh-CN"/>
              </w:rPr>
            </w:pPr>
            <w:r>
              <w:rPr>
                <w:rFonts w:hint="eastAsia"/>
                <w:vertAlign w:val="baseline"/>
                <w:lang w:val="en-US" w:eastAsia="zh-CN"/>
              </w:rPr>
              <w:t>苗木品种</w:t>
            </w:r>
          </w:p>
        </w:tc>
        <w:tc>
          <w:tcPr>
            <w:tcW w:w="2924" w:type="dxa"/>
            <w:gridSpan w:val="2"/>
            <w:vAlign w:val="center"/>
          </w:tcPr>
          <w:p>
            <w:pPr>
              <w:jc w:val="center"/>
              <w:rPr>
                <w:rFonts w:hint="default"/>
                <w:vertAlign w:val="baseline"/>
                <w:lang w:val="en-US" w:eastAsia="zh-CN"/>
              </w:rPr>
            </w:pPr>
            <w:r>
              <w:rPr>
                <w:rFonts w:hint="eastAsia"/>
                <w:vertAlign w:val="baseline"/>
                <w:lang w:val="en-US" w:eastAsia="zh-CN"/>
              </w:rPr>
              <w:t>规格</w:t>
            </w:r>
          </w:p>
        </w:tc>
        <w:tc>
          <w:tcPr>
            <w:tcW w:w="1080" w:type="dxa"/>
            <w:vAlign w:val="center"/>
          </w:tcPr>
          <w:p>
            <w:pPr>
              <w:jc w:val="center"/>
              <w:rPr>
                <w:rFonts w:hint="eastAsia" w:eastAsiaTheme="minorEastAsia"/>
                <w:vertAlign w:val="baseline"/>
                <w:lang w:val="en-US" w:eastAsia="zh-CN"/>
              </w:rPr>
            </w:pPr>
            <w:r>
              <w:rPr>
                <w:rFonts w:hint="eastAsia"/>
                <w:vertAlign w:val="baseline"/>
                <w:lang w:val="en-US" w:eastAsia="zh-CN"/>
              </w:rPr>
              <w:t>数量</w:t>
            </w:r>
          </w:p>
        </w:tc>
        <w:tc>
          <w:tcPr>
            <w:tcW w:w="1323" w:type="dxa"/>
            <w:vAlign w:val="center"/>
          </w:tcPr>
          <w:p>
            <w:pPr>
              <w:jc w:val="center"/>
              <w:rPr>
                <w:rFonts w:hint="eastAsia"/>
                <w:vertAlign w:val="baseline"/>
                <w:lang w:val="en-US" w:eastAsia="zh-CN"/>
              </w:rPr>
            </w:pPr>
            <w:r>
              <w:rPr>
                <w:rFonts w:hint="eastAsia"/>
                <w:vertAlign w:val="baseline"/>
                <w:lang w:val="en-US" w:eastAsia="zh-CN"/>
              </w:rPr>
              <w:t>单价（元）</w:t>
            </w:r>
          </w:p>
        </w:tc>
        <w:tc>
          <w:tcPr>
            <w:tcW w:w="1351" w:type="dxa"/>
            <w:vAlign w:val="center"/>
          </w:tcPr>
          <w:p>
            <w:pPr>
              <w:jc w:val="center"/>
              <w:rPr>
                <w:rFonts w:hint="default"/>
                <w:vertAlign w:val="baseline"/>
                <w:lang w:val="en-US" w:eastAsia="zh-CN"/>
              </w:rPr>
            </w:pPr>
            <w:r>
              <w:rPr>
                <w:rFonts w:hint="eastAsia"/>
                <w:vertAlign w:val="baseline"/>
                <w:lang w:val="en-US" w:eastAsia="zh-CN"/>
              </w:rPr>
              <w:t>合计（元）</w:t>
            </w:r>
          </w:p>
        </w:tc>
        <w:tc>
          <w:tcPr>
            <w:tcW w:w="1010" w:type="dxa"/>
            <w:vAlign w:val="center"/>
          </w:tcPr>
          <w:p>
            <w:pPr>
              <w:jc w:val="center"/>
              <w:rPr>
                <w:rFonts w:hint="default"/>
                <w:vertAlign w:val="baseline"/>
                <w:lang w:val="en-US" w:eastAsia="zh-CN"/>
              </w:rPr>
            </w:pPr>
            <w:r>
              <w:rPr>
                <w:rFonts w:hint="eastAsia"/>
                <w:vertAlign w:val="baseline"/>
                <w:lang w:val="en-US" w:eastAsia="zh-CN"/>
              </w:rPr>
              <w:t>制造商</w:t>
            </w:r>
          </w:p>
        </w:tc>
        <w:tc>
          <w:tcPr>
            <w:tcW w:w="1010" w:type="dxa"/>
            <w:vAlign w:val="center"/>
          </w:tcPr>
          <w:p>
            <w:pPr>
              <w:jc w:val="center"/>
              <w:rPr>
                <w:rFonts w:hint="eastAsia"/>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363" w:type="dxa"/>
            <w:vAlign w:val="center"/>
          </w:tcPr>
          <w:p>
            <w:pPr>
              <w:jc w:val="center"/>
              <w:rPr>
                <w:rFonts w:hint="default"/>
                <w:vertAlign w:val="baseline"/>
                <w:lang w:val="en-US" w:eastAsia="zh-CN"/>
              </w:rPr>
            </w:pPr>
            <w:r>
              <w:rPr>
                <w:rFonts w:hint="eastAsia"/>
                <w:vertAlign w:val="baseline"/>
                <w:lang w:val="en-US" w:eastAsia="zh-CN"/>
              </w:rPr>
              <w:t>娜塔栎</w:t>
            </w:r>
          </w:p>
        </w:tc>
        <w:tc>
          <w:tcPr>
            <w:tcW w:w="2924" w:type="dxa"/>
            <w:gridSpan w:val="2"/>
            <w:vAlign w:val="center"/>
          </w:tcPr>
          <w:p>
            <w:pPr>
              <w:jc w:val="left"/>
              <w:rPr>
                <w:rFonts w:hint="eastAsia" w:ascii="宋体" w:hAnsi="宋体" w:cs="宋体" w:eastAsiaTheme="minorEastAsia"/>
                <w:color w:val="000000"/>
                <w:kern w:val="0"/>
                <w:sz w:val="18"/>
                <w:szCs w:val="18"/>
                <w:lang w:val="en-US" w:eastAsia="zh-CN"/>
              </w:rPr>
            </w:pPr>
            <w:r>
              <w:rPr>
                <w:rFonts w:hint="eastAsia" w:ascii="宋体" w:hAnsi="宋体" w:cs="宋体"/>
                <w:color w:val="000000"/>
                <w:kern w:val="0"/>
                <w:sz w:val="18"/>
                <w:szCs w:val="18"/>
              </w:rPr>
              <w:t>1、乔木种类：</w:t>
            </w:r>
            <w:r>
              <w:rPr>
                <w:rFonts w:hint="eastAsia" w:ascii="宋体" w:hAnsi="宋体" w:cs="宋体"/>
                <w:color w:val="000000"/>
                <w:kern w:val="0"/>
                <w:sz w:val="18"/>
                <w:szCs w:val="18"/>
                <w:lang w:val="en-US" w:eastAsia="zh-CN"/>
              </w:rPr>
              <w:t>娜塔栎</w:t>
            </w:r>
          </w:p>
          <w:p>
            <w:pPr>
              <w:jc w:val="left"/>
              <w:rPr>
                <w:rFonts w:hint="eastAsia" w:ascii="宋体" w:hAnsi="宋体" w:cs="宋体" w:eastAsiaTheme="minorEastAsia"/>
                <w:color w:val="000000"/>
                <w:kern w:val="0"/>
                <w:sz w:val="18"/>
                <w:szCs w:val="18"/>
                <w:lang w:eastAsia="zh-CN"/>
              </w:rPr>
            </w:pPr>
            <w:r>
              <w:rPr>
                <w:rFonts w:hint="eastAsia" w:ascii="宋体" w:hAnsi="宋体" w:cs="宋体"/>
                <w:color w:val="000000"/>
                <w:kern w:val="0"/>
                <w:sz w:val="18"/>
                <w:szCs w:val="18"/>
              </w:rPr>
              <w:t>2、乔木规格：胸径12cm，冠幅&gt;3.0m，树高6.0-7.0m，分</w:t>
            </w:r>
            <w:r>
              <w:rPr>
                <w:rFonts w:hint="eastAsia" w:ascii="宋体" w:hAnsi="宋体" w:cs="宋体"/>
                <w:color w:val="000000"/>
                <w:kern w:val="0"/>
                <w:sz w:val="18"/>
                <w:szCs w:val="18"/>
                <w:lang w:val="en-US" w:eastAsia="zh-CN"/>
              </w:rPr>
              <w:t>枝</w:t>
            </w:r>
            <w:r>
              <w:rPr>
                <w:rFonts w:hint="eastAsia" w:ascii="宋体" w:hAnsi="宋体" w:cs="宋体"/>
                <w:color w:val="000000"/>
                <w:sz w:val="18"/>
              </w:rPr>
              <w:t>点范围2.</w:t>
            </w:r>
            <w:r>
              <w:rPr>
                <w:rFonts w:hint="eastAsia" w:ascii="宋体" w:hAnsi="宋体" w:cs="宋体"/>
                <w:color w:val="000000"/>
                <w:sz w:val="18"/>
                <w:u w:val="none"/>
              </w:rPr>
              <w:t>2-2.5</w:t>
            </w:r>
            <w:r>
              <w:rPr>
                <w:rFonts w:hint="eastAsia" w:ascii="宋体" w:hAnsi="宋体" w:cs="宋体"/>
                <w:color w:val="000000"/>
                <w:kern w:val="0"/>
                <w:sz w:val="18"/>
                <w:szCs w:val="18"/>
              </w:rPr>
              <w:t>m</w:t>
            </w:r>
          </w:p>
          <w:p>
            <w:pPr>
              <w:jc w:val="left"/>
              <w:rPr>
                <w:rFonts w:hint="eastAsia" w:ascii="宋体" w:hAnsi="宋体" w:cs="宋体" w:eastAsiaTheme="minorEastAsia"/>
                <w:color w:val="000000"/>
                <w:kern w:val="0"/>
                <w:sz w:val="18"/>
                <w:szCs w:val="18"/>
                <w:lang w:eastAsia="zh-CN"/>
              </w:rPr>
            </w:pPr>
            <w:r>
              <w:rPr>
                <w:rFonts w:hint="eastAsia" w:ascii="宋体" w:hAnsi="宋体" w:cs="宋体"/>
                <w:color w:val="000000"/>
                <w:kern w:val="0"/>
                <w:sz w:val="18"/>
                <w:szCs w:val="18"/>
              </w:rPr>
              <w:t>3、树形：饱满不偏冠</w:t>
            </w:r>
          </w:p>
          <w:p>
            <w:pPr>
              <w:jc w:val="left"/>
              <w:rPr>
                <w:rFonts w:hint="eastAsia"/>
                <w:vertAlign w:val="baseline"/>
                <w:lang w:val="en-US" w:eastAsia="zh-CN"/>
              </w:rPr>
            </w:pP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rPr>
              <w:t>、苗木规格均为栽植修剪后规格</w:t>
            </w:r>
          </w:p>
        </w:tc>
        <w:tc>
          <w:tcPr>
            <w:tcW w:w="1080" w:type="dxa"/>
            <w:vAlign w:val="center"/>
          </w:tcPr>
          <w:p>
            <w:pPr>
              <w:jc w:val="center"/>
              <w:rPr>
                <w:rFonts w:hint="default"/>
                <w:vertAlign w:val="baseline"/>
                <w:lang w:val="en-US" w:eastAsia="zh-CN"/>
              </w:rPr>
            </w:pPr>
            <w:r>
              <w:rPr>
                <w:rFonts w:hint="eastAsia"/>
                <w:vertAlign w:val="baseline"/>
                <w:lang w:val="en-US" w:eastAsia="zh-CN"/>
              </w:rPr>
              <w:t>423株</w:t>
            </w:r>
          </w:p>
        </w:tc>
        <w:tc>
          <w:tcPr>
            <w:tcW w:w="1323" w:type="dxa"/>
            <w:vAlign w:val="center"/>
          </w:tcPr>
          <w:p>
            <w:pPr>
              <w:jc w:val="center"/>
              <w:rPr>
                <w:rFonts w:hint="default"/>
                <w:vertAlign w:val="baseline"/>
                <w:lang w:val="en-US" w:eastAsia="zh-CN"/>
              </w:rPr>
            </w:pPr>
          </w:p>
        </w:tc>
        <w:tc>
          <w:tcPr>
            <w:tcW w:w="1351" w:type="dxa"/>
            <w:vAlign w:val="center"/>
          </w:tcPr>
          <w:p>
            <w:pPr>
              <w:jc w:val="center"/>
              <w:rPr>
                <w:rFonts w:hint="default"/>
                <w:vertAlign w:val="baseline"/>
                <w:lang w:val="en-US" w:eastAsia="zh-CN"/>
              </w:rPr>
            </w:pPr>
          </w:p>
        </w:tc>
        <w:tc>
          <w:tcPr>
            <w:tcW w:w="1010" w:type="dxa"/>
            <w:vAlign w:val="center"/>
          </w:tcPr>
          <w:p>
            <w:pPr>
              <w:jc w:val="center"/>
              <w:rPr>
                <w:rFonts w:hint="eastAsia"/>
                <w:vertAlign w:val="baseline"/>
                <w:lang w:val="en-US" w:eastAsia="zh-CN"/>
              </w:rPr>
            </w:pPr>
          </w:p>
        </w:tc>
        <w:tc>
          <w:tcPr>
            <w:tcW w:w="1010" w:type="dxa"/>
            <w:vAlign w:val="center"/>
          </w:tcPr>
          <w:p>
            <w:pPr>
              <w:jc w:val="center"/>
              <w:rPr>
                <w:rFonts w:hint="eastAsia"/>
                <w:vertAlign w:val="baseline"/>
                <w:lang w:val="en-US" w:eastAsia="zh-CN"/>
              </w:rPr>
            </w:pPr>
            <w:r>
              <w:rPr>
                <w:rFonts w:hint="eastAsia"/>
                <w:vertAlign w:val="baseline"/>
                <w:lang w:val="en-US" w:eastAsia="zh-CN"/>
              </w:rPr>
              <w:t>到场价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363" w:type="dxa"/>
            <w:vAlign w:val="center"/>
          </w:tcPr>
          <w:p>
            <w:pPr>
              <w:jc w:val="center"/>
              <w:rPr>
                <w:rFonts w:hint="default"/>
                <w:vertAlign w:val="baseline"/>
                <w:lang w:val="en-US" w:eastAsia="zh-CN"/>
              </w:rPr>
            </w:pPr>
            <w:r>
              <w:rPr>
                <w:rFonts w:hint="eastAsia"/>
                <w:vertAlign w:val="baseline"/>
                <w:lang w:val="en-US" w:eastAsia="zh-CN"/>
              </w:rPr>
              <w:t>红叶石楠树</w:t>
            </w:r>
          </w:p>
        </w:tc>
        <w:tc>
          <w:tcPr>
            <w:tcW w:w="2924" w:type="dxa"/>
            <w:gridSpan w:val="2"/>
            <w:vAlign w:val="center"/>
          </w:tcPr>
          <w:p>
            <w:pPr>
              <w:widowControl/>
              <w:jc w:val="left"/>
              <w:rPr>
                <w:rFonts w:hint="eastAsia" w:ascii="宋体" w:hAnsi="宋体" w:cs="宋体" w:eastAsiaTheme="minorEastAsia"/>
                <w:color w:val="000000"/>
                <w:kern w:val="0"/>
                <w:sz w:val="18"/>
                <w:szCs w:val="18"/>
                <w:lang w:eastAsia="zh-CN"/>
              </w:rPr>
            </w:pPr>
            <w:r>
              <w:rPr>
                <w:rFonts w:hint="eastAsia" w:ascii="宋体" w:hAnsi="宋体" w:cs="宋体"/>
                <w:color w:val="000000"/>
                <w:kern w:val="0"/>
                <w:sz w:val="18"/>
                <w:szCs w:val="18"/>
              </w:rPr>
              <w:t>1、灌木种类：红叶石楠树</w:t>
            </w:r>
          </w:p>
          <w:p>
            <w:pPr>
              <w:widowControl/>
              <w:jc w:val="left"/>
              <w:rPr>
                <w:rFonts w:hint="eastAsia" w:ascii="宋体" w:hAnsi="宋体" w:cs="宋体" w:eastAsiaTheme="minorEastAsia"/>
                <w:color w:val="000000"/>
                <w:kern w:val="0"/>
                <w:sz w:val="18"/>
                <w:szCs w:val="18"/>
                <w:lang w:eastAsia="zh-CN"/>
              </w:rPr>
            </w:pPr>
            <w:r>
              <w:rPr>
                <w:rFonts w:hint="eastAsia" w:ascii="宋体" w:hAnsi="宋体" w:cs="宋体"/>
                <w:color w:val="000000"/>
                <w:kern w:val="0"/>
                <w:sz w:val="18"/>
                <w:szCs w:val="18"/>
              </w:rPr>
              <w:t>2、灌木规格：地径</w:t>
            </w:r>
            <w:r>
              <w:rPr>
                <w:rFonts w:hint="eastAsia" w:ascii="宋体" w:hAnsi="宋体" w:cs="宋体"/>
                <w:color w:val="000000"/>
                <w:kern w:val="0"/>
                <w:sz w:val="18"/>
                <w:szCs w:val="18"/>
                <w:lang w:val="en-US" w:eastAsia="zh-CN"/>
              </w:rPr>
              <w:t>8</w:t>
            </w:r>
            <w:r>
              <w:rPr>
                <w:rFonts w:hint="eastAsia" w:ascii="宋体" w:hAnsi="宋体" w:cs="宋体"/>
                <w:color w:val="000000"/>
                <w:kern w:val="0"/>
                <w:sz w:val="18"/>
                <w:szCs w:val="18"/>
              </w:rPr>
              <w:t>cm</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冠幅&gt;</w:t>
            </w:r>
            <w:r>
              <w:rPr>
                <w:rFonts w:hint="eastAsia" w:ascii="宋体" w:hAnsi="宋体" w:cs="宋体"/>
                <w:color w:val="000000"/>
                <w:kern w:val="0"/>
                <w:sz w:val="18"/>
                <w:szCs w:val="18"/>
                <w:lang w:val="en-US" w:eastAsia="zh-CN"/>
              </w:rPr>
              <w:t>2</w:t>
            </w:r>
            <w:r>
              <w:rPr>
                <w:rFonts w:hint="eastAsia" w:ascii="宋体" w:hAnsi="宋体" w:cs="宋体"/>
                <w:color w:val="000000"/>
                <w:kern w:val="0"/>
                <w:sz w:val="18"/>
                <w:szCs w:val="18"/>
              </w:rPr>
              <w:t>m，</w:t>
            </w:r>
            <w:r>
              <w:rPr>
                <w:rFonts w:hint="eastAsia" w:ascii="宋体" w:hAnsi="宋体" w:cs="宋体"/>
                <w:color w:val="000000"/>
                <w:kern w:val="0"/>
                <w:sz w:val="18"/>
                <w:szCs w:val="18"/>
                <w:lang w:val="en-US" w:eastAsia="zh-CN"/>
              </w:rPr>
              <w:t>株</w:t>
            </w:r>
            <w:r>
              <w:rPr>
                <w:rFonts w:hint="eastAsia" w:ascii="宋体" w:hAnsi="宋体" w:cs="宋体"/>
                <w:color w:val="000000"/>
                <w:kern w:val="0"/>
                <w:sz w:val="18"/>
                <w:szCs w:val="18"/>
              </w:rPr>
              <w:t>高&gt;</w:t>
            </w:r>
            <w:r>
              <w:rPr>
                <w:rFonts w:hint="eastAsia" w:ascii="宋体" w:hAnsi="宋体" w:cs="宋体"/>
                <w:color w:val="000000"/>
                <w:kern w:val="0"/>
                <w:sz w:val="18"/>
                <w:szCs w:val="18"/>
                <w:lang w:val="en-US" w:eastAsia="zh-CN"/>
              </w:rPr>
              <w:t>3.5</w:t>
            </w:r>
            <w:r>
              <w:rPr>
                <w:rFonts w:hint="eastAsia" w:ascii="宋体" w:hAnsi="宋体" w:cs="宋体"/>
                <w:color w:val="000000"/>
                <w:kern w:val="0"/>
                <w:sz w:val="18"/>
                <w:szCs w:val="18"/>
              </w:rPr>
              <w:t>m，分</w:t>
            </w:r>
            <w:r>
              <w:rPr>
                <w:rFonts w:hint="eastAsia" w:ascii="宋体" w:hAnsi="宋体" w:cs="宋体"/>
                <w:color w:val="000000"/>
                <w:kern w:val="0"/>
                <w:sz w:val="18"/>
                <w:szCs w:val="18"/>
                <w:lang w:val="en-US" w:eastAsia="zh-CN"/>
              </w:rPr>
              <w:t>枝</w:t>
            </w:r>
            <w:r>
              <w:rPr>
                <w:rFonts w:hint="eastAsia" w:ascii="宋体" w:hAnsi="宋体" w:cs="宋体"/>
                <w:color w:val="000000"/>
                <w:kern w:val="0"/>
                <w:sz w:val="18"/>
                <w:szCs w:val="18"/>
              </w:rPr>
              <w:t>点</w:t>
            </w:r>
            <w:r>
              <w:rPr>
                <w:rFonts w:hint="eastAsia" w:ascii="宋体" w:hAnsi="宋体" w:cs="宋体"/>
                <w:color w:val="000000"/>
                <w:kern w:val="0"/>
                <w:sz w:val="18"/>
                <w:szCs w:val="18"/>
                <w:lang w:val="en-US" w:eastAsia="zh-CN"/>
              </w:rPr>
              <w:t>1.8</w:t>
            </w:r>
            <w:r>
              <w:rPr>
                <w:rFonts w:hint="eastAsia" w:ascii="宋体" w:hAnsi="宋体" w:cs="宋体"/>
                <w:color w:val="000000"/>
                <w:kern w:val="0"/>
                <w:sz w:val="18"/>
                <w:szCs w:val="18"/>
              </w:rPr>
              <w:t>m</w:t>
            </w:r>
          </w:p>
          <w:p>
            <w:pPr>
              <w:widowControl/>
              <w:jc w:val="left"/>
              <w:rPr>
                <w:rFonts w:hint="eastAsia" w:ascii="宋体" w:hAnsi="宋体" w:cs="宋体" w:eastAsiaTheme="minorEastAsia"/>
                <w:color w:val="000000"/>
                <w:kern w:val="0"/>
                <w:sz w:val="18"/>
                <w:szCs w:val="18"/>
                <w:lang w:eastAsia="zh-CN"/>
              </w:rPr>
            </w:pPr>
            <w:r>
              <w:rPr>
                <w:rFonts w:hint="eastAsia" w:ascii="宋体" w:hAnsi="宋体" w:cs="宋体"/>
                <w:color w:val="000000"/>
                <w:kern w:val="0"/>
                <w:sz w:val="18"/>
                <w:szCs w:val="18"/>
              </w:rPr>
              <w:t>3、树形：饱满不偏冠</w:t>
            </w:r>
          </w:p>
          <w:p>
            <w:pPr>
              <w:widowControl/>
              <w:jc w:val="left"/>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rPr>
              <w:t>、苗木规格均为栽植修剪后规格</w:t>
            </w:r>
          </w:p>
        </w:tc>
        <w:tc>
          <w:tcPr>
            <w:tcW w:w="1080" w:type="dxa"/>
            <w:vAlign w:val="center"/>
          </w:tcPr>
          <w:p>
            <w:pPr>
              <w:jc w:val="center"/>
              <w:rPr>
                <w:rFonts w:hint="default"/>
                <w:vertAlign w:val="baseline"/>
                <w:lang w:val="en-US" w:eastAsia="zh-CN"/>
              </w:rPr>
            </w:pPr>
            <w:r>
              <w:rPr>
                <w:rFonts w:hint="eastAsia"/>
                <w:vertAlign w:val="baseline"/>
                <w:lang w:val="en-US" w:eastAsia="zh-CN"/>
              </w:rPr>
              <w:t>323株</w:t>
            </w:r>
          </w:p>
        </w:tc>
        <w:tc>
          <w:tcPr>
            <w:tcW w:w="1323" w:type="dxa"/>
            <w:vAlign w:val="center"/>
          </w:tcPr>
          <w:p>
            <w:pPr>
              <w:jc w:val="center"/>
              <w:rPr>
                <w:rFonts w:hint="default"/>
                <w:vertAlign w:val="baseline"/>
                <w:lang w:val="en-US" w:eastAsia="zh-CN"/>
              </w:rPr>
            </w:pPr>
          </w:p>
        </w:tc>
        <w:tc>
          <w:tcPr>
            <w:tcW w:w="1351" w:type="dxa"/>
            <w:vAlign w:val="center"/>
          </w:tcPr>
          <w:p>
            <w:pPr>
              <w:jc w:val="center"/>
              <w:rPr>
                <w:rFonts w:hint="default"/>
                <w:vertAlign w:val="baseline"/>
                <w:lang w:val="en-US" w:eastAsia="zh-CN"/>
              </w:rPr>
            </w:pPr>
          </w:p>
        </w:tc>
        <w:tc>
          <w:tcPr>
            <w:tcW w:w="1010" w:type="dxa"/>
            <w:vAlign w:val="center"/>
          </w:tcPr>
          <w:p>
            <w:pPr>
              <w:jc w:val="center"/>
              <w:rPr>
                <w:rFonts w:hint="eastAsia"/>
                <w:vertAlign w:val="baseline"/>
                <w:lang w:val="en-US" w:eastAsia="zh-CN"/>
              </w:rPr>
            </w:pPr>
          </w:p>
        </w:tc>
        <w:tc>
          <w:tcPr>
            <w:tcW w:w="1010" w:type="dxa"/>
            <w:vAlign w:val="center"/>
          </w:tcPr>
          <w:p>
            <w:pPr>
              <w:jc w:val="center"/>
              <w:rPr>
                <w:rFonts w:hint="eastAsia"/>
                <w:vertAlign w:val="baseline"/>
                <w:lang w:val="en-US" w:eastAsia="zh-CN"/>
              </w:rPr>
            </w:pPr>
            <w:r>
              <w:rPr>
                <w:rFonts w:hint="eastAsia"/>
                <w:vertAlign w:val="baseline"/>
                <w:lang w:val="en-US" w:eastAsia="zh-CN"/>
              </w:rPr>
              <w:t>到场价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363" w:type="dxa"/>
            <w:vAlign w:val="center"/>
          </w:tcPr>
          <w:p>
            <w:pPr>
              <w:jc w:val="center"/>
              <w:rPr>
                <w:rFonts w:hint="default"/>
                <w:vertAlign w:val="baseline"/>
                <w:lang w:val="en-US" w:eastAsia="zh-CN"/>
              </w:rPr>
            </w:pPr>
            <w:r>
              <w:rPr>
                <w:rFonts w:hint="eastAsia"/>
                <w:vertAlign w:val="baseline"/>
                <w:lang w:val="en-US" w:eastAsia="zh-CN"/>
              </w:rPr>
              <w:t>樱花</w:t>
            </w:r>
          </w:p>
        </w:tc>
        <w:tc>
          <w:tcPr>
            <w:tcW w:w="2924" w:type="dxa"/>
            <w:gridSpan w:val="2"/>
            <w:vAlign w:val="center"/>
          </w:tcPr>
          <w:p>
            <w:pPr>
              <w:widowControl/>
              <w:jc w:val="left"/>
              <w:rPr>
                <w:rFonts w:hint="eastAsia" w:ascii="宋体" w:hAnsi="宋体" w:cs="宋体" w:eastAsiaTheme="minorEastAsia"/>
                <w:color w:val="000000"/>
                <w:sz w:val="18"/>
                <w:lang w:val="en-US" w:eastAsia="zh-CN" w:bidi="ar-SA"/>
              </w:rPr>
            </w:pPr>
            <w:r>
              <w:rPr>
                <w:rFonts w:hint="eastAsia" w:ascii="宋体" w:hAnsi="宋体" w:cs="宋体"/>
                <w:color w:val="000000"/>
                <w:kern w:val="0"/>
                <w:sz w:val="18"/>
                <w:szCs w:val="18"/>
              </w:rPr>
              <w:t>1、灌木种类：早樱</w:t>
            </w:r>
            <w:r>
              <w:rPr>
                <w:rFonts w:hint="eastAsia" w:ascii="宋体" w:hAnsi="宋体" w:cs="宋体"/>
                <w:color w:val="000000"/>
                <w:sz w:val="18"/>
                <w:u w:val="none"/>
              </w:rPr>
              <w:t>--染井吉野</w:t>
            </w:r>
          </w:p>
          <w:p>
            <w:pPr>
              <w:widowControl/>
              <w:jc w:val="left"/>
              <w:rPr>
                <w:rFonts w:hint="eastAsia" w:ascii="宋体" w:hAnsi="宋体" w:cs="宋体" w:eastAsiaTheme="minorEastAsia"/>
                <w:color w:val="000000"/>
                <w:kern w:val="0"/>
                <w:sz w:val="18"/>
                <w:szCs w:val="18"/>
                <w:lang w:eastAsia="zh-CN"/>
              </w:rPr>
            </w:pPr>
            <w:r>
              <w:rPr>
                <w:rFonts w:hint="eastAsia" w:ascii="宋体" w:hAnsi="宋体" w:cs="宋体"/>
                <w:color w:val="000000"/>
                <w:kern w:val="0"/>
                <w:sz w:val="18"/>
                <w:szCs w:val="18"/>
              </w:rPr>
              <w:t>2、灌木规格：地径</w:t>
            </w:r>
            <w:r>
              <w:rPr>
                <w:rFonts w:hint="eastAsia" w:ascii="宋体" w:hAnsi="宋体" w:cs="宋体"/>
                <w:color w:val="000000"/>
                <w:kern w:val="0"/>
                <w:sz w:val="18"/>
                <w:szCs w:val="18"/>
                <w:lang w:val="en-US" w:eastAsia="zh-CN"/>
              </w:rPr>
              <w:t>8</w:t>
            </w:r>
            <w:r>
              <w:rPr>
                <w:rFonts w:hint="eastAsia" w:ascii="宋体" w:hAnsi="宋体" w:cs="宋体"/>
                <w:color w:val="000000"/>
                <w:kern w:val="0"/>
                <w:sz w:val="18"/>
                <w:szCs w:val="18"/>
              </w:rPr>
              <w:t>cm，冠幅&gt;2.2m，</w:t>
            </w:r>
            <w:r>
              <w:rPr>
                <w:rFonts w:hint="eastAsia" w:ascii="宋体" w:hAnsi="宋体" w:cs="宋体"/>
                <w:color w:val="000000"/>
                <w:kern w:val="0"/>
                <w:sz w:val="18"/>
                <w:szCs w:val="18"/>
                <w:lang w:val="en-US" w:eastAsia="zh-CN"/>
              </w:rPr>
              <w:t>株</w:t>
            </w:r>
            <w:r>
              <w:rPr>
                <w:rFonts w:hint="eastAsia" w:ascii="宋体" w:hAnsi="宋体" w:cs="宋体"/>
                <w:color w:val="000000"/>
                <w:kern w:val="0"/>
                <w:sz w:val="18"/>
                <w:szCs w:val="18"/>
              </w:rPr>
              <w:t>高&gt;</w:t>
            </w:r>
            <w:r>
              <w:rPr>
                <w:rFonts w:hint="eastAsia" w:ascii="宋体" w:hAnsi="宋体" w:cs="宋体"/>
                <w:color w:val="000000"/>
                <w:kern w:val="0"/>
                <w:sz w:val="18"/>
                <w:szCs w:val="18"/>
                <w:lang w:val="en-US" w:eastAsia="zh-CN"/>
              </w:rPr>
              <w:t>3</w:t>
            </w:r>
            <w:r>
              <w:rPr>
                <w:rFonts w:hint="eastAsia" w:ascii="宋体" w:hAnsi="宋体" w:cs="宋体"/>
                <w:color w:val="000000"/>
                <w:kern w:val="0"/>
                <w:sz w:val="18"/>
                <w:szCs w:val="18"/>
              </w:rPr>
              <w:t>m，分</w:t>
            </w:r>
            <w:r>
              <w:rPr>
                <w:rFonts w:hint="eastAsia" w:ascii="宋体" w:hAnsi="宋体" w:cs="宋体"/>
                <w:color w:val="000000"/>
                <w:kern w:val="0"/>
                <w:sz w:val="18"/>
                <w:szCs w:val="18"/>
                <w:lang w:val="en-US" w:eastAsia="zh-CN"/>
              </w:rPr>
              <w:t>枝</w:t>
            </w:r>
            <w:r>
              <w:rPr>
                <w:rFonts w:hint="eastAsia" w:ascii="宋体" w:hAnsi="宋体" w:cs="宋体"/>
                <w:color w:val="000000"/>
                <w:kern w:val="0"/>
                <w:sz w:val="18"/>
                <w:szCs w:val="18"/>
              </w:rPr>
              <w:t>点</w:t>
            </w:r>
            <w:r>
              <w:rPr>
                <w:rFonts w:hint="eastAsia" w:ascii="宋体" w:hAnsi="宋体" w:cs="宋体"/>
                <w:color w:val="000000"/>
                <w:kern w:val="0"/>
                <w:sz w:val="18"/>
                <w:szCs w:val="18"/>
                <w:lang w:val="en-US" w:eastAsia="zh-CN"/>
              </w:rPr>
              <w:t>1.8-2</w:t>
            </w:r>
            <w:r>
              <w:rPr>
                <w:rFonts w:hint="eastAsia" w:ascii="宋体" w:hAnsi="宋体" w:cs="宋体"/>
                <w:color w:val="000000"/>
                <w:kern w:val="0"/>
                <w:sz w:val="18"/>
                <w:szCs w:val="18"/>
              </w:rPr>
              <w:t>m</w:t>
            </w:r>
          </w:p>
          <w:p>
            <w:pPr>
              <w:widowControl/>
              <w:jc w:val="left"/>
              <w:rPr>
                <w:rFonts w:hint="eastAsia" w:ascii="宋体" w:hAnsi="宋体" w:cs="宋体" w:eastAsiaTheme="minorEastAsia"/>
                <w:color w:val="000000"/>
                <w:sz w:val="18"/>
                <w:lang w:val="en-US" w:eastAsia="zh-CN" w:bidi="ar-SA"/>
              </w:rPr>
            </w:pPr>
            <w:r>
              <w:rPr>
                <w:rFonts w:hint="eastAsia" w:ascii="宋体" w:hAnsi="宋体" w:cs="宋体"/>
                <w:color w:val="000000"/>
                <w:kern w:val="0"/>
                <w:sz w:val="18"/>
                <w:szCs w:val="18"/>
              </w:rPr>
              <w:t>3、树形：饱满不偏冠</w:t>
            </w:r>
          </w:p>
          <w:p>
            <w:pPr>
              <w:widowControl/>
              <w:jc w:val="left"/>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rPr>
              <w:t>、苗木规格均为栽植修剪后规格</w:t>
            </w:r>
          </w:p>
        </w:tc>
        <w:tc>
          <w:tcPr>
            <w:tcW w:w="1080" w:type="dxa"/>
            <w:vAlign w:val="center"/>
          </w:tcPr>
          <w:p>
            <w:pPr>
              <w:jc w:val="center"/>
              <w:rPr>
                <w:rFonts w:hint="default"/>
                <w:vertAlign w:val="baseline"/>
                <w:lang w:val="en-US" w:eastAsia="zh-CN"/>
              </w:rPr>
            </w:pPr>
            <w:r>
              <w:rPr>
                <w:rFonts w:hint="eastAsia"/>
                <w:vertAlign w:val="baseline"/>
                <w:lang w:val="en-US" w:eastAsia="zh-CN"/>
              </w:rPr>
              <w:t>323株</w:t>
            </w:r>
          </w:p>
        </w:tc>
        <w:tc>
          <w:tcPr>
            <w:tcW w:w="1323" w:type="dxa"/>
            <w:vAlign w:val="center"/>
          </w:tcPr>
          <w:p>
            <w:pPr>
              <w:jc w:val="center"/>
              <w:rPr>
                <w:rFonts w:hint="default"/>
                <w:vertAlign w:val="baseline"/>
                <w:lang w:val="en-US" w:eastAsia="zh-CN"/>
              </w:rPr>
            </w:pPr>
          </w:p>
        </w:tc>
        <w:tc>
          <w:tcPr>
            <w:tcW w:w="1351" w:type="dxa"/>
            <w:vAlign w:val="center"/>
          </w:tcPr>
          <w:p>
            <w:pPr>
              <w:jc w:val="center"/>
              <w:rPr>
                <w:rFonts w:hint="default"/>
                <w:vertAlign w:val="baseline"/>
                <w:lang w:val="en-US" w:eastAsia="zh-CN"/>
              </w:rPr>
            </w:pPr>
          </w:p>
        </w:tc>
        <w:tc>
          <w:tcPr>
            <w:tcW w:w="1010" w:type="dxa"/>
            <w:vAlign w:val="center"/>
          </w:tcPr>
          <w:p>
            <w:pPr>
              <w:jc w:val="center"/>
              <w:rPr>
                <w:rFonts w:hint="eastAsia"/>
                <w:vertAlign w:val="baseline"/>
                <w:lang w:val="en-US" w:eastAsia="zh-CN"/>
              </w:rPr>
            </w:pPr>
          </w:p>
        </w:tc>
        <w:tc>
          <w:tcPr>
            <w:tcW w:w="1010" w:type="dxa"/>
            <w:vAlign w:val="center"/>
          </w:tcPr>
          <w:p>
            <w:pPr>
              <w:jc w:val="center"/>
              <w:rPr>
                <w:rFonts w:hint="eastAsia"/>
                <w:vertAlign w:val="baseline"/>
                <w:lang w:val="en-US" w:eastAsia="zh-CN"/>
              </w:rPr>
            </w:pPr>
            <w:r>
              <w:rPr>
                <w:rFonts w:hint="eastAsia"/>
                <w:vertAlign w:val="baseline"/>
                <w:lang w:val="en-US" w:eastAsia="zh-CN"/>
              </w:rPr>
              <w:t>到场价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363" w:type="dxa"/>
            <w:vAlign w:val="center"/>
          </w:tcPr>
          <w:p>
            <w:pPr>
              <w:jc w:val="center"/>
              <w:rPr>
                <w:rFonts w:hint="default"/>
                <w:vertAlign w:val="baseline"/>
                <w:lang w:val="en-US" w:eastAsia="zh-CN"/>
              </w:rPr>
            </w:pPr>
            <w:r>
              <w:rPr>
                <w:rFonts w:hint="eastAsia"/>
                <w:vertAlign w:val="baseline"/>
                <w:lang w:val="en-US" w:eastAsia="zh-CN"/>
              </w:rPr>
              <w:t>红叶石楠</w:t>
            </w:r>
          </w:p>
        </w:tc>
        <w:tc>
          <w:tcPr>
            <w:tcW w:w="2924" w:type="dxa"/>
            <w:gridSpan w:val="2"/>
            <w:vAlign w:val="center"/>
          </w:tcPr>
          <w:p>
            <w:pPr>
              <w:jc w:val="left"/>
              <w:rPr>
                <w:rFonts w:hint="eastAsia" w:ascii="宋体" w:hAnsi="宋体" w:cs="宋体" w:eastAsiaTheme="minorEastAsia"/>
                <w:color w:val="000000"/>
                <w:kern w:val="0"/>
                <w:sz w:val="18"/>
                <w:szCs w:val="18"/>
                <w:lang w:val="en-US" w:eastAsia="zh-CN"/>
              </w:rPr>
            </w:pPr>
            <w:r>
              <w:rPr>
                <w:rFonts w:hint="eastAsia" w:ascii="宋体" w:hAnsi="宋体" w:cs="宋体"/>
                <w:color w:val="000000"/>
                <w:kern w:val="0"/>
                <w:sz w:val="18"/>
                <w:szCs w:val="18"/>
              </w:rPr>
              <w:t>1、绿篱种类：</w:t>
            </w:r>
            <w:r>
              <w:rPr>
                <w:rFonts w:hint="eastAsia" w:ascii="宋体" w:hAnsi="宋体" w:cs="宋体"/>
                <w:color w:val="000000"/>
                <w:kern w:val="0"/>
                <w:sz w:val="18"/>
                <w:szCs w:val="18"/>
                <w:lang w:val="en-US" w:eastAsia="zh-CN"/>
              </w:rPr>
              <w:t>红叶石楠</w:t>
            </w:r>
          </w:p>
          <w:p>
            <w:pPr>
              <w:jc w:val="left"/>
              <w:rPr>
                <w:rFonts w:hint="eastAsia" w:ascii="宋体" w:hAnsi="宋体" w:cs="宋体" w:eastAsiaTheme="minorEastAsia"/>
                <w:color w:val="000000"/>
                <w:kern w:val="0"/>
                <w:sz w:val="18"/>
                <w:szCs w:val="18"/>
                <w:lang w:eastAsia="zh-CN"/>
              </w:rPr>
            </w:pPr>
            <w:r>
              <w:rPr>
                <w:rFonts w:hint="eastAsia" w:ascii="宋体" w:hAnsi="宋体" w:cs="宋体"/>
                <w:color w:val="000000"/>
                <w:kern w:val="0"/>
                <w:sz w:val="18"/>
                <w:szCs w:val="18"/>
              </w:rPr>
              <w:t>2、绿篱规格：丛高0.3-0.4m，冠幅0.</w:t>
            </w:r>
            <w:r>
              <w:rPr>
                <w:rFonts w:hint="eastAsia" w:ascii="宋体" w:hAnsi="宋体" w:cs="宋体"/>
                <w:color w:val="000000"/>
                <w:kern w:val="0"/>
                <w:sz w:val="18"/>
                <w:szCs w:val="18"/>
                <w:lang w:val="en-US" w:eastAsia="zh-CN"/>
              </w:rPr>
              <w:t>25</w:t>
            </w:r>
            <w:r>
              <w:rPr>
                <w:rFonts w:hint="eastAsia" w:ascii="宋体" w:hAnsi="宋体" w:cs="宋体"/>
                <w:color w:val="000000"/>
                <w:kern w:val="0"/>
                <w:sz w:val="18"/>
                <w:szCs w:val="18"/>
              </w:rPr>
              <w:t>-0.</w:t>
            </w:r>
            <w:r>
              <w:rPr>
                <w:rFonts w:hint="eastAsia" w:ascii="宋体" w:hAnsi="宋体" w:cs="宋体"/>
                <w:color w:val="000000"/>
                <w:kern w:val="0"/>
                <w:sz w:val="18"/>
                <w:szCs w:val="18"/>
                <w:lang w:val="en-US" w:eastAsia="zh-CN"/>
              </w:rPr>
              <w:t>3</w:t>
            </w:r>
            <w:r>
              <w:rPr>
                <w:rFonts w:hint="eastAsia" w:ascii="宋体" w:hAnsi="宋体" w:cs="宋体"/>
                <w:color w:val="000000"/>
                <w:kern w:val="0"/>
                <w:sz w:val="18"/>
                <w:szCs w:val="18"/>
              </w:rPr>
              <w:t>m，分枝数</w:t>
            </w:r>
            <w:r>
              <w:rPr>
                <w:rFonts w:hint="eastAsia" w:ascii="宋体" w:hAnsi="宋体" w:cs="宋体"/>
                <w:color w:val="000000"/>
                <w:kern w:val="0"/>
                <w:sz w:val="18"/>
                <w:szCs w:val="18"/>
                <w:lang w:val="en-US" w:eastAsia="zh-CN"/>
              </w:rPr>
              <w:t>3-4</w:t>
            </w:r>
            <w:r>
              <w:rPr>
                <w:rFonts w:hint="eastAsia" w:ascii="宋体" w:hAnsi="宋体" w:cs="宋体"/>
                <w:color w:val="000000"/>
                <w:kern w:val="0"/>
                <w:sz w:val="18"/>
                <w:szCs w:val="18"/>
              </w:rPr>
              <w:t>，栽植密度36株/m2，两年生</w:t>
            </w:r>
          </w:p>
          <w:p>
            <w:pPr>
              <w:jc w:val="left"/>
              <w:rPr>
                <w:rFonts w:hint="eastAsia"/>
                <w:vertAlign w:val="baseline"/>
                <w:lang w:val="en-US" w:eastAsia="zh-CN"/>
              </w:rPr>
            </w:pPr>
            <w:r>
              <w:rPr>
                <w:rFonts w:hint="eastAsia" w:ascii="宋体" w:hAnsi="宋体" w:cs="宋体"/>
                <w:color w:val="000000"/>
                <w:kern w:val="0"/>
                <w:sz w:val="18"/>
                <w:szCs w:val="18"/>
                <w:lang w:val="en-US" w:eastAsia="zh-CN"/>
              </w:rPr>
              <w:t>3</w:t>
            </w:r>
            <w:r>
              <w:rPr>
                <w:rFonts w:hint="eastAsia" w:ascii="宋体" w:hAnsi="宋体" w:cs="宋体"/>
                <w:color w:val="000000"/>
                <w:kern w:val="0"/>
                <w:sz w:val="18"/>
                <w:szCs w:val="18"/>
              </w:rPr>
              <w:t>、苗木规格均为栽植修剪后规格</w:t>
            </w:r>
          </w:p>
        </w:tc>
        <w:tc>
          <w:tcPr>
            <w:tcW w:w="1080" w:type="dxa"/>
            <w:vAlign w:val="center"/>
          </w:tcPr>
          <w:p>
            <w:pPr>
              <w:jc w:val="center"/>
              <w:rPr>
                <w:rFonts w:hint="default"/>
                <w:vertAlign w:val="baseline"/>
                <w:lang w:val="en-US" w:eastAsia="zh-CN"/>
              </w:rPr>
            </w:pPr>
            <w:r>
              <w:rPr>
                <w:rFonts w:hint="eastAsia"/>
                <w:vertAlign w:val="baseline"/>
                <w:lang w:val="en-US" w:eastAsia="zh-CN"/>
              </w:rPr>
              <w:t>4700㎡</w:t>
            </w:r>
          </w:p>
        </w:tc>
        <w:tc>
          <w:tcPr>
            <w:tcW w:w="1323" w:type="dxa"/>
            <w:vAlign w:val="center"/>
          </w:tcPr>
          <w:p>
            <w:pPr>
              <w:jc w:val="center"/>
              <w:rPr>
                <w:rFonts w:hint="default"/>
                <w:vertAlign w:val="baseline"/>
                <w:lang w:val="en-US" w:eastAsia="zh-CN"/>
              </w:rPr>
            </w:pPr>
          </w:p>
        </w:tc>
        <w:tc>
          <w:tcPr>
            <w:tcW w:w="1351" w:type="dxa"/>
            <w:vAlign w:val="center"/>
          </w:tcPr>
          <w:p>
            <w:pPr>
              <w:jc w:val="center"/>
              <w:rPr>
                <w:rFonts w:hint="default"/>
                <w:vertAlign w:val="baseline"/>
                <w:lang w:val="en-US" w:eastAsia="zh-CN"/>
              </w:rPr>
            </w:pPr>
          </w:p>
        </w:tc>
        <w:tc>
          <w:tcPr>
            <w:tcW w:w="1010" w:type="dxa"/>
            <w:vAlign w:val="center"/>
          </w:tcPr>
          <w:p>
            <w:pPr>
              <w:jc w:val="center"/>
              <w:rPr>
                <w:rFonts w:hint="eastAsia"/>
                <w:vertAlign w:val="baseline"/>
                <w:lang w:val="en-US" w:eastAsia="zh-CN"/>
              </w:rPr>
            </w:pPr>
          </w:p>
        </w:tc>
        <w:tc>
          <w:tcPr>
            <w:tcW w:w="1010" w:type="dxa"/>
            <w:vAlign w:val="center"/>
          </w:tcPr>
          <w:p>
            <w:pPr>
              <w:jc w:val="center"/>
              <w:rPr>
                <w:rFonts w:hint="eastAsia"/>
                <w:vertAlign w:val="baseline"/>
                <w:lang w:val="en-US" w:eastAsia="zh-CN"/>
              </w:rPr>
            </w:pPr>
            <w:r>
              <w:rPr>
                <w:rFonts w:hint="eastAsia"/>
                <w:vertAlign w:val="baseline"/>
                <w:lang w:val="en-US" w:eastAsia="zh-CN"/>
              </w:rPr>
              <w:t>大杯苗，到场价</w:t>
            </w:r>
          </w:p>
        </w:tc>
      </w:tr>
      <w:tr>
        <w:tblPrEx>
          <w:tblCellMar>
            <w:top w:w="0" w:type="dxa"/>
            <w:left w:w="108" w:type="dxa"/>
            <w:bottom w:w="0" w:type="dxa"/>
            <w:right w:w="108" w:type="dxa"/>
          </w:tblCellMar>
        </w:tblPrEx>
        <w:trPr>
          <w:trHeight w:val="721" w:hRule="atLeast"/>
          <w:jc w:val="center"/>
        </w:trPr>
        <w:tc>
          <w:tcPr>
            <w:tcW w:w="1363" w:type="dxa"/>
            <w:vAlign w:val="center"/>
          </w:tcPr>
          <w:p>
            <w:pPr>
              <w:jc w:val="center"/>
              <w:rPr>
                <w:rFonts w:hint="eastAsia"/>
                <w:vertAlign w:val="baseline"/>
                <w:lang w:val="en-US" w:eastAsia="zh-CN"/>
              </w:rPr>
            </w:pPr>
            <w:r>
              <w:rPr>
                <w:rFonts w:hint="eastAsia"/>
                <w:vertAlign w:val="baseline"/>
                <w:lang w:val="en-US" w:eastAsia="zh-CN"/>
              </w:rPr>
              <w:t>金森女贞</w:t>
            </w:r>
          </w:p>
        </w:tc>
        <w:tc>
          <w:tcPr>
            <w:tcW w:w="2924" w:type="dxa"/>
            <w:gridSpan w:val="2"/>
            <w:vAlign w:val="center"/>
          </w:tcPr>
          <w:p>
            <w:pPr>
              <w:jc w:val="left"/>
              <w:rPr>
                <w:rFonts w:hint="eastAsia" w:ascii="宋体" w:hAnsi="宋体" w:cs="宋体" w:eastAsiaTheme="minorEastAsia"/>
                <w:color w:val="000000"/>
                <w:kern w:val="0"/>
                <w:sz w:val="18"/>
                <w:szCs w:val="18"/>
                <w:lang w:eastAsia="zh-CN"/>
              </w:rPr>
            </w:pPr>
            <w:r>
              <w:rPr>
                <w:rFonts w:hint="eastAsia" w:ascii="宋体" w:hAnsi="宋体" w:cs="宋体"/>
                <w:color w:val="000000"/>
                <w:kern w:val="0"/>
                <w:sz w:val="18"/>
                <w:szCs w:val="18"/>
              </w:rPr>
              <w:t>1、绿篱种类：金森女贞</w:t>
            </w:r>
          </w:p>
          <w:p>
            <w:pPr>
              <w:jc w:val="left"/>
              <w:rPr>
                <w:rFonts w:hint="eastAsia" w:ascii="宋体" w:hAnsi="宋体" w:cs="宋体" w:eastAsiaTheme="minorEastAsia"/>
                <w:color w:val="000000"/>
                <w:kern w:val="0"/>
                <w:sz w:val="18"/>
                <w:szCs w:val="18"/>
                <w:lang w:eastAsia="zh-CN"/>
              </w:rPr>
            </w:pPr>
            <w:r>
              <w:rPr>
                <w:rFonts w:hint="eastAsia" w:ascii="宋体" w:hAnsi="宋体" w:cs="宋体"/>
                <w:color w:val="000000"/>
                <w:kern w:val="0"/>
                <w:sz w:val="18"/>
                <w:szCs w:val="18"/>
              </w:rPr>
              <w:t>2、绿篱规格：丛高0.</w:t>
            </w:r>
            <w:r>
              <w:rPr>
                <w:rFonts w:hint="eastAsia" w:ascii="宋体" w:hAnsi="宋体" w:cs="宋体"/>
                <w:color w:val="000000"/>
                <w:kern w:val="0"/>
                <w:sz w:val="18"/>
                <w:szCs w:val="18"/>
                <w:lang w:val="en-US" w:eastAsia="zh-CN"/>
              </w:rPr>
              <w:t>3</w:t>
            </w:r>
            <w:r>
              <w:rPr>
                <w:rFonts w:hint="eastAsia" w:ascii="宋体" w:hAnsi="宋体" w:cs="宋体"/>
                <w:color w:val="000000"/>
                <w:kern w:val="0"/>
                <w:sz w:val="18"/>
                <w:szCs w:val="18"/>
              </w:rPr>
              <w:t>-0.</w:t>
            </w: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rPr>
              <w:t>m，冠幅0.</w:t>
            </w:r>
            <w:r>
              <w:rPr>
                <w:rFonts w:hint="eastAsia" w:ascii="宋体" w:hAnsi="宋体" w:cs="宋体"/>
                <w:color w:val="000000"/>
                <w:kern w:val="0"/>
                <w:sz w:val="18"/>
                <w:szCs w:val="18"/>
                <w:lang w:val="en-US" w:eastAsia="zh-CN"/>
              </w:rPr>
              <w:t>25</w:t>
            </w:r>
            <w:r>
              <w:rPr>
                <w:rFonts w:hint="eastAsia" w:ascii="宋体" w:hAnsi="宋体" w:cs="宋体"/>
                <w:color w:val="000000"/>
                <w:kern w:val="0"/>
                <w:sz w:val="18"/>
                <w:szCs w:val="18"/>
              </w:rPr>
              <w:t>-0.</w:t>
            </w:r>
            <w:r>
              <w:rPr>
                <w:rFonts w:hint="eastAsia" w:ascii="宋体" w:hAnsi="宋体" w:cs="宋体"/>
                <w:color w:val="000000"/>
                <w:kern w:val="0"/>
                <w:sz w:val="18"/>
                <w:szCs w:val="18"/>
                <w:lang w:val="en-US" w:eastAsia="zh-CN"/>
              </w:rPr>
              <w:t>3</w:t>
            </w:r>
            <w:r>
              <w:rPr>
                <w:rFonts w:hint="eastAsia" w:ascii="宋体" w:hAnsi="宋体" w:cs="宋体"/>
                <w:color w:val="000000"/>
                <w:kern w:val="0"/>
                <w:sz w:val="18"/>
                <w:szCs w:val="18"/>
              </w:rPr>
              <w:t>m，分枝数</w:t>
            </w:r>
            <w:r>
              <w:rPr>
                <w:rFonts w:hint="eastAsia" w:ascii="宋体" w:hAnsi="宋体" w:cs="宋体"/>
                <w:color w:val="000000"/>
                <w:kern w:val="0"/>
                <w:sz w:val="18"/>
                <w:szCs w:val="18"/>
                <w:lang w:val="en-US" w:eastAsia="zh-CN"/>
              </w:rPr>
              <w:t>3-</w:t>
            </w:r>
            <w:r>
              <w:rPr>
                <w:rFonts w:hint="eastAsia" w:ascii="宋体" w:hAnsi="宋体" w:cs="宋体"/>
                <w:color w:val="000000"/>
                <w:kern w:val="0"/>
                <w:sz w:val="18"/>
                <w:szCs w:val="18"/>
              </w:rPr>
              <w:t>5，栽植密度36株/m2，两年生</w:t>
            </w:r>
          </w:p>
          <w:p>
            <w:pPr>
              <w:jc w:val="left"/>
              <w:rPr>
                <w:rFonts w:hint="eastAsia"/>
                <w:vertAlign w:val="baseline"/>
                <w:lang w:val="en-US" w:eastAsia="zh-CN"/>
              </w:rPr>
            </w:pPr>
            <w:r>
              <w:rPr>
                <w:rFonts w:hint="eastAsia" w:ascii="宋体" w:hAnsi="宋体" w:cs="宋体"/>
                <w:color w:val="000000"/>
                <w:kern w:val="0"/>
                <w:sz w:val="18"/>
                <w:szCs w:val="18"/>
                <w:lang w:val="en-US" w:eastAsia="zh-CN"/>
              </w:rPr>
              <w:t>3</w:t>
            </w:r>
            <w:r>
              <w:rPr>
                <w:rFonts w:hint="eastAsia" w:ascii="宋体" w:hAnsi="宋体" w:cs="宋体"/>
                <w:color w:val="000000"/>
                <w:kern w:val="0"/>
                <w:sz w:val="18"/>
                <w:szCs w:val="18"/>
              </w:rPr>
              <w:t>、苗木规格均为栽植修剪后规格</w:t>
            </w:r>
          </w:p>
        </w:tc>
        <w:tc>
          <w:tcPr>
            <w:tcW w:w="1080" w:type="dxa"/>
            <w:vAlign w:val="center"/>
          </w:tcPr>
          <w:p>
            <w:pPr>
              <w:jc w:val="center"/>
              <w:rPr>
                <w:rFonts w:hint="default"/>
                <w:vertAlign w:val="baseline"/>
                <w:lang w:val="en-US" w:eastAsia="zh-CN"/>
              </w:rPr>
            </w:pPr>
            <w:r>
              <w:rPr>
                <w:rFonts w:hint="eastAsia"/>
                <w:vertAlign w:val="baseline"/>
                <w:lang w:val="en-US" w:eastAsia="zh-CN"/>
              </w:rPr>
              <w:t>4700㎡</w:t>
            </w:r>
          </w:p>
        </w:tc>
        <w:tc>
          <w:tcPr>
            <w:tcW w:w="1323" w:type="dxa"/>
            <w:vAlign w:val="center"/>
          </w:tcPr>
          <w:p>
            <w:pPr>
              <w:jc w:val="center"/>
              <w:rPr>
                <w:rFonts w:hint="eastAsia"/>
                <w:vertAlign w:val="baseline"/>
                <w:lang w:val="en-US" w:eastAsia="zh-CN"/>
              </w:rPr>
            </w:pPr>
          </w:p>
        </w:tc>
        <w:tc>
          <w:tcPr>
            <w:tcW w:w="1351" w:type="dxa"/>
            <w:vAlign w:val="center"/>
          </w:tcPr>
          <w:p>
            <w:pPr>
              <w:jc w:val="center"/>
              <w:rPr>
                <w:rFonts w:hint="default"/>
                <w:vertAlign w:val="baseline"/>
                <w:lang w:val="en-US" w:eastAsia="zh-CN"/>
              </w:rPr>
            </w:pPr>
          </w:p>
        </w:tc>
        <w:tc>
          <w:tcPr>
            <w:tcW w:w="1010" w:type="dxa"/>
            <w:vAlign w:val="center"/>
          </w:tcPr>
          <w:p>
            <w:pPr>
              <w:jc w:val="center"/>
              <w:rPr>
                <w:rFonts w:hint="eastAsia"/>
                <w:vertAlign w:val="baseline"/>
                <w:lang w:val="en-US" w:eastAsia="zh-CN"/>
              </w:rPr>
            </w:pPr>
          </w:p>
        </w:tc>
        <w:tc>
          <w:tcPr>
            <w:tcW w:w="1010" w:type="dxa"/>
            <w:vAlign w:val="center"/>
          </w:tcPr>
          <w:p>
            <w:pPr>
              <w:jc w:val="center"/>
              <w:rPr>
                <w:rFonts w:hint="eastAsia"/>
                <w:vertAlign w:val="baseline"/>
                <w:lang w:val="en-US" w:eastAsia="zh-CN"/>
              </w:rPr>
            </w:pPr>
            <w:r>
              <w:rPr>
                <w:rFonts w:hint="eastAsia"/>
                <w:vertAlign w:val="baseline"/>
                <w:lang w:val="en-US" w:eastAsia="zh-CN"/>
              </w:rPr>
              <w:t>大杯苗，到场价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2373" w:type="dxa"/>
            <w:gridSpan w:val="2"/>
            <w:vAlign w:val="center"/>
          </w:tcPr>
          <w:p>
            <w:pPr>
              <w:jc w:val="center"/>
              <w:rPr>
                <w:rFonts w:hint="eastAsia"/>
                <w:vertAlign w:val="baseline"/>
                <w:lang w:val="en-US" w:eastAsia="zh-CN"/>
              </w:rPr>
            </w:pPr>
            <w:r>
              <w:rPr>
                <w:rFonts w:hint="eastAsia"/>
                <w:vertAlign w:val="baseline"/>
                <w:lang w:val="en-US" w:eastAsia="zh-CN"/>
              </w:rPr>
              <w:t>总价：</w:t>
            </w:r>
          </w:p>
        </w:tc>
        <w:tc>
          <w:tcPr>
            <w:tcW w:w="7688" w:type="dxa"/>
            <w:gridSpan w:val="6"/>
            <w:vAlign w:val="center"/>
          </w:tcPr>
          <w:p>
            <w:pPr>
              <w:jc w:val="center"/>
              <w:rPr>
                <w:rFonts w:hint="default"/>
                <w:vertAlign w:val="baseline"/>
                <w:lang w:val="en-US" w:eastAsia="zh-CN"/>
              </w:rPr>
            </w:pPr>
            <w:r>
              <w:rPr>
                <w:rFonts w:hint="eastAsia"/>
                <w:vertAlign w:val="baseline"/>
                <w:lang w:val="en-US" w:eastAsia="zh-CN"/>
              </w:rPr>
              <w:t>元</w:t>
            </w:r>
          </w:p>
        </w:tc>
      </w:tr>
    </w:tbl>
    <w:p>
      <w:pPr>
        <w:spacing w:line="360" w:lineRule="auto"/>
        <w:jc w:val="right"/>
        <w:rPr>
          <w:rFonts w:ascii="Times New Roman" w:hAnsi="Times New Roman" w:eastAsia="宋体" w:cs="Times New Roman"/>
          <w:color w:val="000000"/>
          <w:szCs w:val="24"/>
        </w:rPr>
      </w:pPr>
      <w:r>
        <w:rPr>
          <w:rFonts w:hint="eastAsia" w:ascii="宋体" w:hAnsi="宋体" w:eastAsia="宋体" w:cs="Times New Roman"/>
          <w:color w:val="000000"/>
          <w:szCs w:val="24"/>
        </w:rPr>
        <w:t>单位：元</w:t>
      </w:r>
    </w:p>
    <w:p>
      <w:pPr>
        <w:spacing w:line="360" w:lineRule="auto"/>
        <w:ind w:firstLine="420" w:firstLineChars="200"/>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投标人（盖章）：</w:t>
      </w:r>
    </w:p>
    <w:p>
      <w:pPr>
        <w:spacing w:line="360" w:lineRule="auto"/>
        <w:ind w:firstLine="420" w:firstLineChars="200"/>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法定代表人或委托代理人（签字或盖章）：</w:t>
      </w:r>
    </w:p>
    <w:p>
      <w:pPr>
        <w:spacing w:line="360" w:lineRule="auto"/>
        <w:ind w:firstLine="420" w:firstLineChars="200"/>
        <w:rPr>
          <w:rFonts w:ascii="宋体" w:hAnsi="宋体" w:eastAsia="宋体" w:cs="Times New Roman"/>
          <w:color w:val="000000"/>
          <w:szCs w:val="20"/>
        </w:rPr>
      </w:pPr>
      <w:r>
        <w:rPr>
          <w:rFonts w:hint="eastAsia" w:ascii="Times New Roman" w:hAnsi="Times New Roman" w:eastAsia="宋体" w:cs="Times New Roman"/>
          <w:color w:val="000000"/>
          <w:szCs w:val="24"/>
        </w:rPr>
        <w:t>日期：    年     月     日</w:t>
      </w:r>
    </w:p>
    <w:p>
      <w:pPr>
        <w:spacing w:line="360" w:lineRule="auto"/>
        <w:ind w:firstLine="420" w:firstLineChars="200"/>
        <w:rPr>
          <w:rFonts w:ascii="宋体" w:hAnsi="宋体" w:eastAsia="宋体" w:cs="Times New Roman"/>
          <w:color w:val="000000"/>
          <w:szCs w:val="24"/>
        </w:rPr>
      </w:pPr>
      <w:r>
        <w:rPr>
          <w:rFonts w:hint="eastAsia" w:ascii="宋体" w:hAnsi="宋体" w:eastAsia="宋体" w:cs="Times New Roman"/>
          <w:color w:val="000000"/>
          <w:szCs w:val="24"/>
        </w:rPr>
        <w:t>填报说明：</w:t>
      </w:r>
    </w:p>
    <w:p>
      <w:pPr>
        <w:spacing w:line="360" w:lineRule="auto"/>
        <w:ind w:firstLine="420" w:firstLineChars="200"/>
        <w:rPr>
          <w:rFonts w:ascii="宋体" w:hAnsi="宋体" w:eastAsia="宋体" w:cs="Times New Roman"/>
          <w:color w:val="000000"/>
          <w:szCs w:val="24"/>
        </w:rPr>
      </w:pPr>
      <w:r>
        <w:rPr>
          <w:rFonts w:hint="eastAsia" w:ascii="宋体" w:hAnsi="宋体" w:eastAsia="宋体" w:cs="Times New Roman"/>
          <w:color w:val="000000"/>
          <w:szCs w:val="24"/>
        </w:rPr>
        <w:t>1、“制造商企业类型”栏填写内容为“大型”“中型”“小型”“微型”“监狱企业”或“残疾人福利性单位”。如</w:t>
      </w:r>
      <w:r>
        <w:rPr>
          <w:rFonts w:hint="eastAsia" w:ascii="宋体" w:hAnsi="宋体" w:eastAsia="宋体" w:cs="Times New Roman"/>
          <w:color w:val="000000"/>
          <w:szCs w:val="24"/>
          <w:lang w:eastAsia="zh-CN"/>
        </w:rPr>
        <w:t>投标人</w:t>
      </w:r>
      <w:r>
        <w:rPr>
          <w:rFonts w:hint="eastAsia" w:ascii="宋体" w:hAnsi="宋体" w:eastAsia="宋体" w:cs="Times New Roman"/>
          <w:color w:val="000000"/>
          <w:szCs w:val="24"/>
        </w:rPr>
        <w:t>提供的货物制造商全部为小型企业、微型企业的，提供《中小企业声明函》（见格式）；</w:t>
      </w:r>
      <w:r>
        <w:rPr>
          <w:rFonts w:hint="eastAsia" w:ascii="宋体" w:hAnsi="宋体" w:eastAsia="宋体" w:cs="Times New Roman"/>
          <w:color w:val="000000"/>
          <w:szCs w:val="24"/>
          <w:lang w:eastAsia="zh-CN"/>
        </w:rPr>
        <w:t>投标人</w:t>
      </w:r>
      <w:r>
        <w:rPr>
          <w:rFonts w:hint="eastAsia" w:ascii="宋体" w:hAnsi="宋体" w:eastAsia="宋体" w:cs="Times New Roman"/>
          <w:color w:val="000000"/>
          <w:szCs w:val="24"/>
        </w:rPr>
        <w:t>为残疾人福利性单位且提供的货物全部由残疾人福利性单位制造的，提供《残疾人福利性单位声明函》（见格式）；</w:t>
      </w:r>
      <w:r>
        <w:rPr>
          <w:rFonts w:hint="eastAsia" w:ascii="宋体" w:hAnsi="宋体" w:eastAsia="宋体" w:cs="Times New Roman"/>
          <w:color w:val="000000"/>
          <w:szCs w:val="24"/>
          <w:lang w:eastAsia="zh-CN"/>
        </w:rPr>
        <w:t>投标人</w:t>
      </w:r>
      <w:r>
        <w:rPr>
          <w:rFonts w:hint="eastAsia" w:ascii="宋体" w:hAnsi="宋体" w:eastAsia="宋体" w:cs="Times New Roman"/>
          <w:color w:val="000000"/>
          <w:szCs w:val="24"/>
        </w:rPr>
        <w:t>为监狱企业或提供的货物由监狱企业制造的，提供由省级以上监狱管理局、戒毒管理局(含新疆生产建设兵团)出具的属于监狱企业的证明文件。否则不享受扶持政策。</w:t>
      </w:r>
    </w:p>
    <w:p>
      <w:pPr>
        <w:spacing w:line="360" w:lineRule="auto"/>
        <w:ind w:firstLine="420" w:firstLineChars="200"/>
        <w:rPr>
          <w:rFonts w:ascii="宋体" w:hAnsi="宋体" w:eastAsia="宋体" w:cs="Times New Roman"/>
          <w:color w:val="000000"/>
          <w:szCs w:val="24"/>
        </w:rPr>
      </w:pPr>
      <w:r>
        <w:rPr>
          <w:rFonts w:hint="eastAsia" w:ascii="宋体" w:hAnsi="宋体" w:eastAsia="宋体" w:cs="Times New Roman"/>
          <w:color w:val="000000"/>
          <w:szCs w:val="24"/>
        </w:rPr>
        <w:t>2、以上总价包含货物费用、运杂费、安装施工费、集成费、税金和其他费用。</w:t>
      </w:r>
    </w:p>
    <w:p>
      <w:pPr>
        <w:spacing w:line="360" w:lineRule="auto"/>
        <w:ind w:firstLine="420" w:firstLineChars="200"/>
        <w:rPr>
          <w:rFonts w:ascii="宋体" w:hAnsi="宋体" w:eastAsia="宋体" w:cs="Times New Roman"/>
          <w:color w:val="000000"/>
          <w:szCs w:val="24"/>
        </w:rPr>
      </w:pPr>
      <w:r>
        <w:rPr>
          <w:rFonts w:hint="eastAsia" w:ascii="宋体" w:hAnsi="宋体" w:eastAsia="宋体" w:cs="Times New Roman"/>
          <w:color w:val="000000"/>
          <w:szCs w:val="24"/>
        </w:rPr>
        <w:t>3、请</w:t>
      </w:r>
      <w:r>
        <w:rPr>
          <w:rFonts w:hint="eastAsia" w:ascii="宋体" w:hAnsi="宋体" w:eastAsia="宋体" w:cs="Times New Roman"/>
          <w:color w:val="000000"/>
          <w:szCs w:val="24"/>
          <w:lang w:eastAsia="zh-CN"/>
        </w:rPr>
        <w:t>投标人</w:t>
      </w:r>
      <w:r>
        <w:rPr>
          <w:rFonts w:hint="eastAsia" w:ascii="宋体" w:hAnsi="宋体" w:eastAsia="宋体" w:cs="Times New Roman"/>
          <w:color w:val="000000"/>
          <w:szCs w:val="24"/>
        </w:rPr>
        <w:t>正确填写本表，所填内容将作为评审的依据，其内容应与对应的证明资料相符。</w:t>
      </w:r>
    </w:p>
    <w:p>
      <w:pPr>
        <w:spacing w:line="360" w:lineRule="auto"/>
        <w:ind w:firstLine="420" w:firstLineChars="200"/>
        <w:rPr>
          <w:rFonts w:ascii="宋体" w:hAnsi="宋体" w:eastAsia="宋体" w:cs="Times New Roman"/>
          <w:b/>
          <w:bCs/>
          <w:color w:val="000000"/>
          <w:szCs w:val="20"/>
        </w:rPr>
      </w:pPr>
      <w:r>
        <w:rPr>
          <w:rFonts w:hint="eastAsia" w:ascii="宋体" w:hAnsi="宋体" w:eastAsia="宋体" w:cs="Times New Roman"/>
          <w:color w:val="000000"/>
          <w:szCs w:val="24"/>
        </w:rPr>
        <w:t>4、本表中事项填写不得有缺失，请如实填写，行数或事项不够，可自行增加。</w:t>
      </w:r>
    </w:p>
    <w:p>
      <w:pPr>
        <w:keepNext/>
        <w:spacing w:line="360" w:lineRule="auto"/>
        <w:textAlignment w:val="baseline"/>
        <w:outlineLvl w:val="1"/>
        <w:rPr>
          <w:rFonts w:ascii="Times New Roman" w:hAnsi="Times New Roman" w:eastAsia="黑体" w:cs="Times New Roman"/>
          <w:b/>
          <w:color w:val="000000"/>
          <w:kern w:val="0"/>
          <w:sz w:val="28"/>
          <w:szCs w:val="20"/>
        </w:rPr>
      </w:pPr>
      <w:r>
        <w:rPr>
          <w:rFonts w:ascii="Times New Roman" w:hAnsi="Times New Roman" w:eastAsia="黑体" w:cs="Times New Roman"/>
          <w:kern w:val="0"/>
          <w:sz w:val="28"/>
          <w:szCs w:val="20"/>
        </w:rPr>
        <w:br w:type="page"/>
      </w:r>
      <w:r>
        <w:rPr>
          <w:rFonts w:hint="eastAsia" w:ascii="宋体" w:hAnsi="宋体" w:eastAsia="宋体" w:cs="Times New Roman"/>
          <w:color w:val="000000"/>
          <w:kern w:val="0"/>
          <w:sz w:val="24"/>
          <w:szCs w:val="24"/>
        </w:rPr>
        <w:t>格式4、中小企业声明函</w:t>
      </w:r>
    </w:p>
    <w:p>
      <w:pPr>
        <w:spacing w:line="360" w:lineRule="auto"/>
        <w:jc w:val="center"/>
        <w:rPr>
          <w:rFonts w:ascii="黑体" w:hAnsi="黑体" w:eastAsia="黑体" w:cs="宋体"/>
          <w:bCs/>
          <w:sz w:val="36"/>
          <w:szCs w:val="28"/>
        </w:rPr>
      </w:pPr>
      <w:r>
        <w:rPr>
          <w:rFonts w:hint="eastAsia" w:ascii="黑体" w:hAnsi="黑体" w:eastAsia="黑体" w:cs="宋体"/>
          <w:bCs/>
          <w:sz w:val="36"/>
          <w:szCs w:val="28"/>
        </w:rPr>
        <w:t>中小企业声明函</w:t>
      </w:r>
    </w:p>
    <w:p>
      <w:pPr>
        <w:autoSpaceDE w:val="0"/>
        <w:autoSpaceDN w:val="0"/>
        <w:adjustRightInd w:val="0"/>
        <w:jc w:val="left"/>
        <w:rPr>
          <w:rFonts w:ascii="MS Mincho" w:hAnsi="Calibri" w:eastAsia="宋体" w:cs="Times New Roman"/>
          <w:color w:val="000000"/>
          <w:szCs w:val="24"/>
        </w:rPr>
      </w:pPr>
    </w:p>
    <w:p>
      <w:pPr>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本公司郑重声明，根据《政府采购促进中小企业发展管理办法》（财库﹝2020﹞46号）的规定，本公司参加</w:t>
      </w:r>
      <w:r>
        <w:rPr>
          <w:rFonts w:ascii="宋体" w:hAnsi="宋体" w:eastAsia="宋体" w:cs="Times New Roman"/>
          <w:sz w:val="24"/>
          <w:szCs w:val="24"/>
          <w:u w:val="single"/>
        </w:rPr>
        <w:t>（单位名称）</w:t>
      </w:r>
      <w:r>
        <w:rPr>
          <w:rFonts w:ascii="宋体" w:hAnsi="宋体" w:eastAsia="宋体" w:cs="Times New Roman"/>
          <w:sz w:val="24"/>
          <w:szCs w:val="24"/>
        </w:rPr>
        <w:t>的</w:t>
      </w:r>
      <w:r>
        <w:rPr>
          <w:rFonts w:ascii="宋体" w:hAnsi="宋体" w:eastAsia="宋体" w:cs="Times New Roman"/>
          <w:sz w:val="24"/>
          <w:szCs w:val="24"/>
          <w:u w:val="single"/>
        </w:rPr>
        <w:t>（项目名称）</w:t>
      </w:r>
      <w:r>
        <w:rPr>
          <w:rFonts w:ascii="宋体" w:hAnsi="宋体" w:eastAsia="宋体" w:cs="Times New Roman"/>
          <w:sz w:val="24"/>
          <w:szCs w:val="24"/>
        </w:rPr>
        <w:t>采购活动，提供的货物全部由符合政策要求的中小企业制造。相关企业的具体情况如下：</w:t>
      </w:r>
    </w:p>
    <w:p>
      <w:pPr>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 xml:space="preserve"> 1. </w:t>
      </w:r>
      <w:r>
        <w:rPr>
          <w:rFonts w:ascii="宋体" w:hAnsi="宋体" w:eastAsia="宋体" w:cs="Times New Roman"/>
          <w:sz w:val="24"/>
          <w:szCs w:val="24"/>
          <w:u w:val="single"/>
        </w:rPr>
        <w:t>（</w:t>
      </w:r>
      <w:r>
        <w:rPr>
          <w:rFonts w:hint="eastAsia" w:ascii="宋体" w:hAnsi="宋体" w:eastAsia="宋体" w:cs="Times New Roman"/>
          <w:sz w:val="24"/>
          <w:szCs w:val="24"/>
          <w:u w:val="single"/>
        </w:rPr>
        <w:t>货物</w:t>
      </w:r>
      <w:r>
        <w:rPr>
          <w:rFonts w:ascii="宋体" w:hAnsi="宋体" w:eastAsia="宋体" w:cs="Times New Roman"/>
          <w:sz w:val="24"/>
          <w:szCs w:val="24"/>
          <w:u w:val="single"/>
        </w:rPr>
        <w:t xml:space="preserve">名称） </w:t>
      </w:r>
      <w:r>
        <w:rPr>
          <w:rFonts w:ascii="宋体" w:hAnsi="宋体" w:eastAsia="宋体" w:cs="Times New Roman"/>
          <w:sz w:val="24"/>
          <w:szCs w:val="24"/>
        </w:rPr>
        <w:t>，属于</w:t>
      </w:r>
      <w:r>
        <w:rPr>
          <w:rFonts w:ascii="宋体" w:hAnsi="宋体" w:eastAsia="宋体" w:cs="Times New Roman"/>
          <w:sz w:val="24"/>
          <w:szCs w:val="24"/>
          <w:u w:val="single"/>
        </w:rPr>
        <w:t xml:space="preserve">（采购文件中明确的所属行业） </w:t>
      </w:r>
      <w:r>
        <w:rPr>
          <w:rFonts w:ascii="宋体" w:hAnsi="宋体" w:eastAsia="宋体" w:cs="Times New Roman"/>
          <w:sz w:val="24"/>
          <w:szCs w:val="24"/>
        </w:rPr>
        <w:t>行业；制造商为</w:t>
      </w:r>
      <w:r>
        <w:rPr>
          <w:rFonts w:ascii="宋体" w:hAnsi="宋体" w:eastAsia="宋体" w:cs="Times New Roman"/>
          <w:sz w:val="24"/>
          <w:szCs w:val="24"/>
          <w:u w:val="single"/>
        </w:rPr>
        <w:t>（企业名称）</w:t>
      </w:r>
      <w:r>
        <w:rPr>
          <w:rFonts w:ascii="宋体" w:hAnsi="宋体" w:eastAsia="宋体" w:cs="Times New Roman"/>
          <w:sz w:val="24"/>
          <w:szCs w:val="24"/>
        </w:rPr>
        <w:t>，从业人员</w:t>
      </w:r>
      <w:r>
        <w:rPr>
          <w:rFonts w:ascii="宋体" w:hAnsi="宋体" w:eastAsia="宋体" w:cs="Times New Roman"/>
          <w:sz w:val="24"/>
          <w:szCs w:val="24"/>
          <w:u w:val="single"/>
        </w:rPr>
        <w:t xml:space="preserve">   </w:t>
      </w:r>
      <w:r>
        <w:rPr>
          <w:rFonts w:ascii="宋体" w:hAnsi="宋体" w:eastAsia="宋体" w:cs="Times New Roman"/>
          <w:sz w:val="24"/>
          <w:szCs w:val="24"/>
        </w:rPr>
        <w:t>人，营业收入为</w:t>
      </w:r>
      <w:r>
        <w:rPr>
          <w:rFonts w:ascii="宋体" w:hAnsi="宋体" w:eastAsia="宋体" w:cs="Times New Roman"/>
          <w:sz w:val="24"/>
          <w:szCs w:val="24"/>
          <w:u w:val="single"/>
        </w:rPr>
        <w:t xml:space="preserve">   </w:t>
      </w:r>
      <w:r>
        <w:rPr>
          <w:rFonts w:ascii="宋体" w:hAnsi="宋体" w:eastAsia="宋体" w:cs="Times New Roman"/>
          <w:sz w:val="24"/>
          <w:szCs w:val="24"/>
        </w:rPr>
        <w:t>万元，资产总额为</w:t>
      </w:r>
      <w:r>
        <w:rPr>
          <w:rFonts w:ascii="宋体" w:hAnsi="宋体" w:eastAsia="宋体" w:cs="Times New Roman"/>
          <w:sz w:val="24"/>
          <w:szCs w:val="24"/>
          <w:u w:val="single"/>
        </w:rPr>
        <w:t xml:space="preserve">   </w:t>
      </w:r>
      <w:r>
        <w:rPr>
          <w:rFonts w:ascii="宋体" w:hAnsi="宋体" w:eastAsia="宋体" w:cs="Times New Roman"/>
          <w:sz w:val="24"/>
          <w:szCs w:val="24"/>
        </w:rPr>
        <w:t>万元，属于</w:t>
      </w:r>
      <w:r>
        <w:rPr>
          <w:rFonts w:ascii="宋体" w:hAnsi="宋体" w:eastAsia="宋体" w:cs="Times New Roman"/>
          <w:sz w:val="24"/>
          <w:szCs w:val="24"/>
          <w:u w:val="single"/>
        </w:rPr>
        <w:t>（</w:t>
      </w:r>
      <w:r>
        <w:rPr>
          <w:rFonts w:hint="eastAsia" w:ascii="宋体" w:hAnsi="宋体" w:eastAsia="宋体" w:cs="Times New Roman"/>
          <w:sz w:val="24"/>
          <w:szCs w:val="24"/>
          <w:u w:val="single"/>
        </w:rPr>
        <w:t>中型企业、</w:t>
      </w:r>
      <w:r>
        <w:rPr>
          <w:rFonts w:ascii="宋体" w:hAnsi="宋体" w:eastAsia="宋体" w:cs="Times New Roman"/>
          <w:sz w:val="24"/>
          <w:szCs w:val="24"/>
          <w:u w:val="single"/>
        </w:rPr>
        <w:t>小型企业、微型企业）</w:t>
      </w:r>
      <w:r>
        <w:rPr>
          <w:rFonts w:ascii="宋体" w:hAnsi="宋体" w:eastAsia="宋体" w:cs="Times New Roman"/>
          <w:sz w:val="24"/>
          <w:szCs w:val="24"/>
        </w:rPr>
        <w:t xml:space="preserve">； </w:t>
      </w:r>
    </w:p>
    <w:p>
      <w:pPr>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 xml:space="preserve">2. </w:t>
      </w:r>
      <w:r>
        <w:rPr>
          <w:rFonts w:ascii="宋体" w:hAnsi="宋体" w:eastAsia="宋体" w:cs="Times New Roman"/>
          <w:sz w:val="24"/>
          <w:szCs w:val="24"/>
          <w:u w:val="single"/>
        </w:rPr>
        <w:t>（</w:t>
      </w:r>
      <w:r>
        <w:rPr>
          <w:rFonts w:hint="eastAsia" w:ascii="宋体" w:hAnsi="宋体" w:eastAsia="宋体" w:cs="Times New Roman"/>
          <w:sz w:val="24"/>
          <w:szCs w:val="24"/>
          <w:u w:val="single"/>
        </w:rPr>
        <w:t>货物</w:t>
      </w:r>
      <w:r>
        <w:rPr>
          <w:rFonts w:ascii="宋体" w:hAnsi="宋体" w:eastAsia="宋体" w:cs="Times New Roman"/>
          <w:sz w:val="24"/>
          <w:szCs w:val="24"/>
          <w:u w:val="single"/>
        </w:rPr>
        <w:t xml:space="preserve">名称） </w:t>
      </w:r>
      <w:r>
        <w:rPr>
          <w:rFonts w:ascii="宋体" w:hAnsi="宋体" w:eastAsia="宋体" w:cs="Times New Roman"/>
          <w:sz w:val="24"/>
          <w:szCs w:val="24"/>
        </w:rPr>
        <w:t>，属于</w:t>
      </w:r>
      <w:r>
        <w:rPr>
          <w:rFonts w:ascii="宋体" w:hAnsi="宋体" w:eastAsia="宋体" w:cs="Times New Roman"/>
          <w:sz w:val="24"/>
          <w:szCs w:val="24"/>
          <w:u w:val="single"/>
        </w:rPr>
        <w:t xml:space="preserve">（采购文件中明确的所属行业） </w:t>
      </w:r>
      <w:r>
        <w:rPr>
          <w:rFonts w:ascii="宋体" w:hAnsi="宋体" w:eastAsia="宋体" w:cs="Times New Roman"/>
          <w:sz w:val="24"/>
          <w:szCs w:val="24"/>
        </w:rPr>
        <w:t>行业；制造商为</w:t>
      </w:r>
      <w:r>
        <w:rPr>
          <w:rFonts w:ascii="宋体" w:hAnsi="宋体" w:eastAsia="宋体" w:cs="Times New Roman"/>
          <w:sz w:val="24"/>
          <w:szCs w:val="24"/>
          <w:u w:val="single"/>
        </w:rPr>
        <w:t>（企业名称）</w:t>
      </w:r>
      <w:r>
        <w:rPr>
          <w:rFonts w:ascii="宋体" w:hAnsi="宋体" w:eastAsia="宋体" w:cs="Times New Roman"/>
          <w:sz w:val="24"/>
          <w:szCs w:val="24"/>
        </w:rPr>
        <w:t>，从业人员</w:t>
      </w:r>
      <w:r>
        <w:rPr>
          <w:rFonts w:ascii="宋体" w:hAnsi="宋体" w:eastAsia="宋体" w:cs="Times New Roman"/>
          <w:sz w:val="24"/>
          <w:szCs w:val="24"/>
          <w:u w:val="single"/>
        </w:rPr>
        <w:t xml:space="preserve">   </w:t>
      </w:r>
      <w:r>
        <w:rPr>
          <w:rFonts w:ascii="宋体" w:hAnsi="宋体" w:eastAsia="宋体" w:cs="Times New Roman"/>
          <w:sz w:val="24"/>
          <w:szCs w:val="24"/>
        </w:rPr>
        <w:t>人，营业收入为</w:t>
      </w:r>
      <w:r>
        <w:rPr>
          <w:rFonts w:ascii="宋体" w:hAnsi="宋体" w:eastAsia="宋体" w:cs="Times New Roman"/>
          <w:sz w:val="24"/>
          <w:szCs w:val="24"/>
          <w:u w:val="single"/>
        </w:rPr>
        <w:t xml:space="preserve">   </w:t>
      </w:r>
      <w:r>
        <w:rPr>
          <w:rFonts w:ascii="宋体" w:hAnsi="宋体" w:eastAsia="宋体" w:cs="Times New Roman"/>
          <w:sz w:val="24"/>
          <w:szCs w:val="24"/>
        </w:rPr>
        <w:t>万元，资产总额为</w:t>
      </w:r>
      <w:r>
        <w:rPr>
          <w:rFonts w:ascii="宋体" w:hAnsi="宋体" w:eastAsia="宋体" w:cs="Times New Roman"/>
          <w:sz w:val="24"/>
          <w:szCs w:val="24"/>
          <w:u w:val="single"/>
        </w:rPr>
        <w:t xml:space="preserve">   </w:t>
      </w:r>
      <w:r>
        <w:rPr>
          <w:rFonts w:ascii="宋体" w:hAnsi="宋体" w:eastAsia="宋体" w:cs="Times New Roman"/>
          <w:sz w:val="24"/>
          <w:szCs w:val="24"/>
        </w:rPr>
        <w:t>万元，属于</w:t>
      </w:r>
      <w:r>
        <w:rPr>
          <w:rFonts w:ascii="宋体" w:hAnsi="宋体" w:eastAsia="宋体" w:cs="Times New Roman"/>
          <w:sz w:val="24"/>
          <w:szCs w:val="24"/>
          <w:u w:val="single"/>
        </w:rPr>
        <w:t>（</w:t>
      </w:r>
      <w:r>
        <w:rPr>
          <w:rFonts w:hint="eastAsia" w:ascii="宋体" w:hAnsi="宋体" w:eastAsia="宋体" w:cs="Times New Roman"/>
          <w:sz w:val="24"/>
          <w:szCs w:val="24"/>
          <w:u w:val="single"/>
        </w:rPr>
        <w:t>中型企业、</w:t>
      </w:r>
      <w:r>
        <w:rPr>
          <w:rFonts w:ascii="宋体" w:hAnsi="宋体" w:eastAsia="宋体" w:cs="Times New Roman"/>
          <w:sz w:val="24"/>
          <w:szCs w:val="24"/>
          <w:u w:val="single"/>
        </w:rPr>
        <w:t>小型企业、微型企业）</w:t>
      </w:r>
      <w:r>
        <w:rPr>
          <w:rFonts w:ascii="宋体" w:hAnsi="宋体" w:eastAsia="宋体" w:cs="Times New Roman"/>
          <w:sz w:val="24"/>
          <w:szCs w:val="24"/>
        </w:rPr>
        <w:t>；</w:t>
      </w:r>
    </w:p>
    <w:p>
      <w:pPr>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 xml:space="preserve"> …… </w:t>
      </w:r>
    </w:p>
    <w:p>
      <w:pPr>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 xml:space="preserve">以上企业，不属于大企业的分支机构，不存在控股股东为大企业的情形，也不存在与大企业的负责人为同一人的情形。 </w:t>
      </w:r>
    </w:p>
    <w:p>
      <w:pPr>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 xml:space="preserve">本企业对上述声明内容的真实性负责。如有虚假，将依法承担相应责任。 </w:t>
      </w:r>
    </w:p>
    <w:p>
      <w:pPr>
        <w:snapToGrid w:val="0"/>
        <w:spacing w:line="360" w:lineRule="auto"/>
        <w:ind w:firstLine="480" w:firstLineChars="200"/>
        <w:rPr>
          <w:rFonts w:ascii="宋体" w:hAnsi="宋体" w:eastAsia="宋体" w:cs="Times New Roman"/>
          <w:sz w:val="24"/>
          <w:szCs w:val="24"/>
        </w:rPr>
      </w:pPr>
    </w:p>
    <w:p>
      <w:pPr>
        <w:snapToGrid w:val="0"/>
        <w:spacing w:line="360" w:lineRule="auto"/>
        <w:ind w:right="480" w:firstLine="4920" w:firstLineChars="2050"/>
        <w:rPr>
          <w:rFonts w:ascii="宋体" w:hAnsi="宋体" w:eastAsia="宋体" w:cs="Times New Roman"/>
          <w:sz w:val="24"/>
          <w:szCs w:val="24"/>
        </w:rPr>
      </w:pPr>
    </w:p>
    <w:p>
      <w:pPr>
        <w:snapToGrid w:val="0"/>
        <w:spacing w:line="360" w:lineRule="auto"/>
        <w:ind w:right="480" w:firstLine="4920" w:firstLineChars="2050"/>
        <w:rPr>
          <w:rFonts w:ascii="宋体" w:hAnsi="宋体" w:eastAsia="宋体" w:cs="Times New Roman"/>
          <w:sz w:val="24"/>
          <w:szCs w:val="24"/>
        </w:rPr>
      </w:pPr>
      <w:r>
        <w:rPr>
          <w:rFonts w:ascii="宋体" w:hAnsi="宋体" w:eastAsia="宋体" w:cs="Times New Roman"/>
          <w:sz w:val="24"/>
          <w:szCs w:val="24"/>
        </w:rPr>
        <w:t xml:space="preserve">企业名称（盖章）： </w:t>
      </w:r>
    </w:p>
    <w:p>
      <w:pPr>
        <w:snapToGrid w:val="0"/>
        <w:spacing w:line="360" w:lineRule="auto"/>
        <w:ind w:right="480" w:firstLine="4920" w:firstLineChars="2050"/>
        <w:rPr>
          <w:rFonts w:ascii="宋体" w:hAnsi="宋体" w:eastAsia="宋体" w:cs="Times New Roman"/>
          <w:sz w:val="24"/>
          <w:szCs w:val="24"/>
        </w:rPr>
      </w:pPr>
      <w:r>
        <w:rPr>
          <w:rFonts w:ascii="宋体" w:hAnsi="宋体" w:eastAsia="宋体" w:cs="Times New Roman"/>
          <w:sz w:val="24"/>
          <w:szCs w:val="24"/>
        </w:rPr>
        <w:t>日 期：</w:t>
      </w:r>
      <w:r>
        <w:rPr>
          <w:rFonts w:hint="eastAsia" w:ascii="宋体" w:hAnsi="宋体" w:eastAsia="宋体" w:cs="Times New Roman"/>
          <w:sz w:val="24"/>
          <w:szCs w:val="24"/>
        </w:rPr>
        <w:t xml:space="preserve">   年   月   日</w:t>
      </w:r>
    </w:p>
    <w:p>
      <w:pPr>
        <w:snapToGrid w:val="0"/>
        <w:spacing w:line="360" w:lineRule="auto"/>
        <w:ind w:right="480" w:firstLine="482" w:firstLineChars="200"/>
        <w:rPr>
          <w:rFonts w:ascii="宋体" w:hAnsi="宋体" w:eastAsia="宋体" w:cs="Times New Roman"/>
          <w:b/>
          <w:sz w:val="24"/>
          <w:szCs w:val="24"/>
        </w:rPr>
      </w:pPr>
    </w:p>
    <w:p>
      <w:pPr>
        <w:snapToGrid w:val="0"/>
        <w:spacing w:line="360" w:lineRule="auto"/>
        <w:ind w:right="480" w:firstLine="482" w:firstLineChars="200"/>
        <w:rPr>
          <w:rFonts w:ascii="宋体" w:hAnsi="宋体" w:eastAsia="宋体" w:cs="Times New Roman"/>
          <w:b/>
          <w:sz w:val="24"/>
          <w:szCs w:val="24"/>
        </w:rPr>
      </w:pPr>
    </w:p>
    <w:p>
      <w:pPr>
        <w:snapToGrid w:val="0"/>
        <w:spacing w:line="360" w:lineRule="auto"/>
        <w:ind w:right="480" w:firstLine="482" w:firstLineChars="200"/>
        <w:rPr>
          <w:rFonts w:ascii="宋体" w:hAnsi="宋体" w:eastAsia="宋体" w:cs="Times New Roman"/>
          <w:b/>
          <w:sz w:val="24"/>
          <w:szCs w:val="24"/>
        </w:rPr>
      </w:pPr>
    </w:p>
    <w:p>
      <w:pPr>
        <w:snapToGrid w:val="0"/>
        <w:spacing w:line="360" w:lineRule="auto"/>
        <w:ind w:right="480" w:firstLine="482" w:firstLineChars="200"/>
        <w:rPr>
          <w:rFonts w:ascii="宋体" w:hAnsi="宋体" w:eastAsia="宋体" w:cs="Times New Roman"/>
          <w:b/>
          <w:sz w:val="24"/>
          <w:szCs w:val="24"/>
        </w:rPr>
      </w:pPr>
    </w:p>
    <w:p>
      <w:pPr>
        <w:snapToGrid w:val="0"/>
        <w:spacing w:line="360" w:lineRule="auto"/>
        <w:ind w:right="480" w:firstLine="480" w:firstLineChars="200"/>
        <w:rPr>
          <w:rFonts w:ascii="宋体" w:hAnsi="宋体" w:eastAsia="宋体" w:cs="Times New Roman"/>
          <w:sz w:val="24"/>
          <w:szCs w:val="24"/>
        </w:rPr>
      </w:pPr>
      <w:r>
        <w:rPr>
          <w:rFonts w:hint="eastAsia" w:ascii="宋体" w:hAnsi="宋体" w:eastAsia="宋体" w:cs="Times New Roman"/>
          <w:sz w:val="24"/>
          <w:szCs w:val="24"/>
        </w:rPr>
        <w:t>填报说明：</w:t>
      </w:r>
    </w:p>
    <w:p>
      <w:pPr>
        <w:snapToGrid w:val="0"/>
        <w:spacing w:line="360" w:lineRule="auto"/>
        <w:ind w:right="480" w:firstLine="480" w:firstLineChars="200"/>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从业人员、营业收入、资产总额填报</w:t>
      </w:r>
      <w:r>
        <w:rPr>
          <w:rFonts w:hint="eastAsia" w:ascii="宋体" w:hAnsi="宋体" w:eastAsia="宋体" w:cs="Times New Roman"/>
          <w:sz w:val="24"/>
          <w:szCs w:val="24"/>
          <w:lang w:val="en-US" w:eastAsia="zh-CN"/>
        </w:rPr>
        <w:t>2022</w:t>
      </w:r>
      <w:r>
        <w:rPr>
          <w:rFonts w:hint="eastAsia" w:ascii="宋体" w:hAnsi="宋体" w:eastAsia="宋体" w:cs="Times New Roman"/>
          <w:sz w:val="24"/>
          <w:szCs w:val="24"/>
        </w:rPr>
        <w:t>或</w:t>
      </w:r>
      <w:r>
        <w:rPr>
          <w:rFonts w:hint="eastAsia" w:ascii="宋体" w:hAnsi="宋体" w:eastAsia="宋体" w:cs="Times New Roman"/>
          <w:sz w:val="24"/>
          <w:szCs w:val="24"/>
          <w:lang w:val="en-US" w:eastAsia="zh-CN"/>
        </w:rPr>
        <w:t>2023</w:t>
      </w:r>
      <w:r>
        <w:rPr>
          <w:rFonts w:hint="eastAsia" w:ascii="宋体" w:hAnsi="宋体" w:eastAsia="宋体" w:cs="Times New Roman"/>
          <w:sz w:val="24"/>
          <w:szCs w:val="24"/>
        </w:rPr>
        <w:t>年度</w:t>
      </w:r>
      <w:r>
        <w:rPr>
          <w:rFonts w:ascii="宋体" w:hAnsi="宋体" w:eastAsia="宋体" w:cs="Times New Roman"/>
          <w:sz w:val="24"/>
          <w:szCs w:val="24"/>
        </w:rPr>
        <w:t>数据，新成立企业可不填报。</w:t>
      </w:r>
    </w:p>
    <w:p>
      <w:pPr>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2、请</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如实填写，所填内容将作为评审的依据。其内容填写须与报价明细表一致，如填写不完整或不一致，将不享受扶持政策。</w:t>
      </w:r>
    </w:p>
    <w:p>
      <w:pPr>
        <w:snapToGrid w:val="0"/>
        <w:spacing w:line="360" w:lineRule="auto"/>
        <w:ind w:firstLine="480" w:firstLineChars="200"/>
        <w:rPr>
          <w:rFonts w:ascii="宋体" w:hAnsi="宋体" w:eastAsia="宋体" w:cs="Times New Roman"/>
          <w:b/>
          <w:color w:val="000000"/>
          <w:sz w:val="24"/>
          <w:szCs w:val="24"/>
        </w:rPr>
      </w:pPr>
      <w:r>
        <w:rPr>
          <w:rFonts w:hint="eastAsia" w:ascii="宋体" w:hAnsi="宋体" w:eastAsia="宋体" w:cs="Times New Roman"/>
          <w:sz w:val="24"/>
          <w:szCs w:val="24"/>
        </w:rPr>
        <w:t>3、中标</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的《中小企业声明函》随中标结果公开。</w:t>
      </w:r>
    </w:p>
    <w:p>
      <w:pPr>
        <w:keepNext/>
        <w:spacing w:line="360" w:lineRule="auto"/>
        <w:textAlignment w:val="baseline"/>
        <w:outlineLvl w:val="1"/>
        <w:rPr>
          <w:rFonts w:ascii="Times New Roman" w:hAnsi="Times New Roman" w:eastAsia="黑体" w:cs="Times New Roman"/>
          <w:b/>
          <w:kern w:val="0"/>
          <w:sz w:val="28"/>
          <w:szCs w:val="20"/>
        </w:rPr>
      </w:pPr>
      <w:r>
        <w:rPr>
          <w:rFonts w:hint="eastAsia" w:ascii="宋体" w:hAnsi="宋体" w:eastAsia="宋体" w:cs="Times New Roman"/>
          <w:color w:val="000000"/>
          <w:kern w:val="0"/>
          <w:sz w:val="24"/>
          <w:szCs w:val="24"/>
        </w:rPr>
        <w:t>格式5、残疾人福利性企业声明函</w:t>
      </w:r>
    </w:p>
    <w:p>
      <w:pPr>
        <w:spacing w:line="360" w:lineRule="auto"/>
        <w:jc w:val="center"/>
        <w:rPr>
          <w:rFonts w:ascii="黑体" w:hAnsi="黑体" w:eastAsia="黑体" w:cs="宋体"/>
          <w:bCs/>
          <w:sz w:val="36"/>
          <w:szCs w:val="28"/>
        </w:rPr>
      </w:pPr>
      <w:r>
        <w:rPr>
          <w:rFonts w:hint="eastAsia" w:ascii="黑体" w:hAnsi="黑体" w:eastAsia="黑体" w:cs="宋体"/>
          <w:bCs/>
          <w:sz w:val="36"/>
          <w:szCs w:val="28"/>
        </w:rPr>
        <w:t>残疾人福利性单位声明函</w:t>
      </w:r>
    </w:p>
    <w:p>
      <w:pPr>
        <w:autoSpaceDE w:val="0"/>
        <w:autoSpaceDN w:val="0"/>
        <w:adjustRightInd w:val="0"/>
        <w:jc w:val="left"/>
        <w:rPr>
          <w:rFonts w:ascii="MS Mincho" w:hAnsi="Calibri" w:eastAsia="宋体" w:cs="Times New Roman"/>
          <w:color w:val="000000"/>
          <w:szCs w:val="24"/>
        </w:rPr>
      </w:pPr>
    </w:p>
    <w:p>
      <w:pPr>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相关企业的具体情况如下：</w:t>
      </w:r>
    </w:p>
    <w:p>
      <w:pPr>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1. </w:t>
      </w:r>
      <w:r>
        <w:rPr>
          <w:rFonts w:hint="eastAsia" w:ascii="宋体" w:hAnsi="宋体" w:eastAsia="宋体" w:cs="Times New Roman"/>
          <w:sz w:val="24"/>
          <w:szCs w:val="24"/>
          <w:u w:val="single"/>
        </w:rPr>
        <w:t>（货物名称）</w:t>
      </w:r>
      <w:r>
        <w:rPr>
          <w:rFonts w:hint="eastAsia" w:ascii="宋体" w:hAnsi="宋体" w:eastAsia="宋体" w:cs="Times New Roman"/>
          <w:sz w:val="24"/>
          <w:szCs w:val="24"/>
        </w:rPr>
        <w:t xml:space="preserve"> ，制造商为</w:t>
      </w:r>
      <w:r>
        <w:rPr>
          <w:rFonts w:hint="eastAsia" w:ascii="宋体" w:hAnsi="宋体" w:eastAsia="宋体" w:cs="Times New Roman"/>
          <w:sz w:val="24"/>
          <w:szCs w:val="24"/>
          <w:u w:val="single"/>
        </w:rPr>
        <w:t>　（企业名称）　</w:t>
      </w:r>
      <w:r>
        <w:rPr>
          <w:rFonts w:hint="eastAsia" w:ascii="宋体" w:hAnsi="宋体" w:eastAsia="宋体" w:cs="Times New Roman"/>
          <w:sz w:val="24"/>
          <w:szCs w:val="24"/>
        </w:rPr>
        <w:t xml:space="preserve">，属于残疾人福利性单位； </w:t>
      </w:r>
    </w:p>
    <w:p>
      <w:pPr>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2. </w:t>
      </w:r>
      <w:r>
        <w:rPr>
          <w:rFonts w:hint="eastAsia" w:ascii="宋体" w:hAnsi="宋体" w:eastAsia="宋体" w:cs="Times New Roman"/>
          <w:sz w:val="24"/>
          <w:szCs w:val="24"/>
          <w:u w:val="single"/>
        </w:rPr>
        <w:t>（货物名称）</w:t>
      </w:r>
      <w:r>
        <w:rPr>
          <w:rFonts w:hint="eastAsia" w:ascii="宋体" w:hAnsi="宋体" w:eastAsia="宋体" w:cs="Times New Roman"/>
          <w:sz w:val="24"/>
          <w:szCs w:val="24"/>
        </w:rPr>
        <w:t xml:space="preserve"> ，制造商为</w:t>
      </w:r>
      <w:r>
        <w:rPr>
          <w:rFonts w:hint="eastAsia" w:ascii="宋体" w:hAnsi="宋体" w:eastAsia="宋体" w:cs="Times New Roman"/>
          <w:sz w:val="24"/>
          <w:szCs w:val="24"/>
          <w:u w:val="single"/>
        </w:rPr>
        <w:t>　（企业名称）　</w:t>
      </w:r>
      <w:r>
        <w:rPr>
          <w:rFonts w:hint="eastAsia" w:ascii="宋体" w:hAnsi="宋体" w:eastAsia="宋体" w:cs="Times New Roman"/>
          <w:sz w:val="24"/>
          <w:szCs w:val="24"/>
        </w:rPr>
        <w:t>，属于残疾人福利性单位；</w:t>
      </w:r>
    </w:p>
    <w:p>
      <w:pPr>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 …… </w:t>
      </w:r>
    </w:p>
    <w:p>
      <w:pPr>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本企业对上述声明内容的真实性负责。如有虚假，将依法承担相应责任。</w:t>
      </w:r>
    </w:p>
    <w:p>
      <w:pPr>
        <w:snapToGrid w:val="0"/>
        <w:spacing w:line="360" w:lineRule="auto"/>
        <w:ind w:firstLine="480" w:firstLineChars="200"/>
        <w:rPr>
          <w:rFonts w:ascii="宋体" w:hAnsi="宋体" w:eastAsia="宋体" w:cs="Times New Roman"/>
          <w:sz w:val="24"/>
          <w:szCs w:val="24"/>
        </w:rPr>
      </w:pPr>
    </w:p>
    <w:p>
      <w:pPr>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企业名称(盖章)：</w:t>
      </w:r>
    </w:p>
    <w:p>
      <w:pPr>
        <w:spacing w:line="588" w:lineRule="exact"/>
        <w:ind w:firstLine="480" w:firstLineChars="200"/>
        <w:rPr>
          <w:rFonts w:ascii="Times New Roman" w:hAnsi="Times New Roman" w:eastAsia="宋体" w:cs="Times New Roman"/>
          <w:b/>
          <w:sz w:val="22"/>
          <w:szCs w:val="21"/>
        </w:rPr>
      </w:pPr>
      <w:r>
        <w:rPr>
          <w:rFonts w:hint="eastAsia" w:ascii="宋体" w:hAnsi="宋体" w:eastAsia="宋体" w:cs="Times New Roman"/>
          <w:sz w:val="24"/>
          <w:szCs w:val="24"/>
        </w:rPr>
        <w:t>　　　　　　　　　　　　　　　　　　日期：   年   月   日</w:t>
      </w:r>
    </w:p>
    <w:p>
      <w:pPr>
        <w:snapToGrid w:val="0"/>
        <w:spacing w:line="360" w:lineRule="auto"/>
        <w:ind w:firstLine="442" w:firstLineChars="200"/>
        <w:rPr>
          <w:rFonts w:ascii="Times New Roman" w:hAnsi="Times New Roman" w:eastAsia="宋体" w:cs="Times New Roman"/>
          <w:b/>
          <w:sz w:val="22"/>
          <w:szCs w:val="21"/>
        </w:rPr>
      </w:pPr>
    </w:p>
    <w:p>
      <w:pPr>
        <w:snapToGrid w:val="0"/>
        <w:spacing w:line="360" w:lineRule="auto"/>
        <w:ind w:firstLine="442" w:firstLineChars="200"/>
        <w:rPr>
          <w:rFonts w:ascii="Times New Roman" w:hAnsi="Times New Roman" w:eastAsia="宋体" w:cs="Times New Roman"/>
          <w:b/>
          <w:sz w:val="22"/>
          <w:szCs w:val="21"/>
        </w:rPr>
      </w:pPr>
    </w:p>
    <w:p>
      <w:pPr>
        <w:snapToGrid w:val="0"/>
        <w:spacing w:line="360" w:lineRule="auto"/>
        <w:ind w:firstLine="442" w:firstLineChars="200"/>
        <w:rPr>
          <w:rFonts w:ascii="Times New Roman" w:hAnsi="Times New Roman" w:eastAsia="宋体" w:cs="Times New Roman"/>
          <w:b/>
          <w:sz w:val="22"/>
          <w:szCs w:val="21"/>
        </w:rPr>
      </w:pPr>
    </w:p>
    <w:p>
      <w:pPr>
        <w:snapToGrid w:val="0"/>
        <w:spacing w:line="360" w:lineRule="auto"/>
        <w:ind w:firstLine="442" w:firstLineChars="200"/>
        <w:rPr>
          <w:rFonts w:ascii="Times New Roman" w:hAnsi="Times New Roman" w:eastAsia="宋体" w:cs="Times New Roman"/>
          <w:b/>
          <w:sz w:val="22"/>
          <w:szCs w:val="21"/>
        </w:rPr>
      </w:pPr>
    </w:p>
    <w:p>
      <w:pPr>
        <w:snapToGrid w:val="0"/>
        <w:spacing w:line="360" w:lineRule="auto"/>
        <w:ind w:firstLine="442" w:firstLineChars="200"/>
        <w:rPr>
          <w:rFonts w:ascii="Times New Roman" w:hAnsi="Times New Roman" w:eastAsia="宋体" w:cs="Times New Roman"/>
          <w:b/>
          <w:sz w:val="22"/>
          <w:szCs w:val="21"/>
        </w:rPr>
      </w:pPr>
    </w:p>
    <w:p>
      <w:pPr>
        <w:snapToGrid w:val="0"/>
        <w:spacing w:line="360" w:lineRule="auto"/>
        <w:ind w:firstLine="442" w:firstLineChars="200"/>
        <w:rPr>
          <w:rFonts w:ascii="Times New Roman" w:hAnsi="Times New Roman" w:eastAsia="宋体" w:cs="Times New Roman"/>
          <w:b/>
          <w:sz w:val="22"/>
          <w:szCs w:val="21"/>
        </w:rPr>
      </w:pPr>
    </w:p>
    <w:p>
      <w:pPr>
        <w:snapToGrid w:val="0"/>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填报说明：</w:t>
      </w:r>
    </w:p>
    <w:p>
      <w:pPr>
        <w:snapToGrid w:val="0"/>
        <w:spacing w:line="360" w:lineRule="auto"/>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1、请</w:t>
      </w:r>
      <w:r>
        <w:rPr>
          <w:rFonts w:hint="eastAsia" w:ascii="宋体" w:hAnsi="宋体" w:eastAsia="宋体" w:cs="Times New Roman"/>
          <w:bCs/>
          <w:sz w:val="24"/>
          <w:szCs w:val="24"/>
          <w:lang w:eastAsia="zh-CN"/>
        </w:rPr>
        <w:t>投标人</w:t>
      </w:r>
      <w:r>
        <w:rPr>
          <w:rFonts w:hint="eastAsia" w:ascii="宋体" w:hAnsi="宋体" w:eastAsia="宋体" w:cs="Times New Roman"/>
          <w:bCs/>
          <w:sz w:val="24"/>
          <w:szCs w:val="24"/>
        </w:rPr>
        <w:t>如实填写，所填内容将作为评审的依据。</w:t>
      </w:r>
      <w:r>
        <w:rPr>
          <w:rFonts w:hint="eastAsia" w:ascii="宋体" w:hAnsi="宋体" w:eastAsia="宋体" w:cs="Times New Roman"/>
          <w:sz w:val="24"/>
          <w:szCs w:val="24"/>
        </w:rPr>
        <w:t>其内容填写须与报价明细表一致，如填写不完整或不一致，将不享受扶</w:t>
      </w:r>
      <w:r>
        <w:rPr>
          <w:rFonts w:hint="eastAsia" w:ascii="宋体" w:hAnsi="宋体" w:eastAsia="宋体" w:cs="Times New Roman"/>
          <w:bCs/>
          <w:sz w:val="24"/>
          <w:szCs w:val="24"/>
        </w:rPr>
        <w:t>持政策。</w:t>
      </w:r>
    </w:p>
    <w:p>
      <w:pPr>
        <w:spacing w:line="360" w:lineRule="auto"/>
        <w:ind w:firstLine="480" w:firstLineChars="200"/>
        <w:jc w:val="left"/>
        <w:rPr>
          <w:rFonts w:ascii="Times New Roman" w:hAnsi="Times New Roman" w:eastAsia="宋体" w:cs="Times New Roman"/>
          <w:sz w:val="24"/>
          <w:szCs w:val="24"/>
        </w:rPr>
      </w:pPr>
      <w:r>
        <w:rPr>
          <w:rFonts w:hint="eastAsia" w:ascii="宋体" w:hAnsi="宋体" w:eastAsia="宋体" w:cs="Times New Roman"/>
          <w:bCs/>
          <w:sz w:val="24"/>
          <w:szCs w:val="24"/>
        </w:rPr>
        <w:t>2、中标</w:t>
      </w:r>
      <w:r>
        <w:rPr>
          <w:rFonts w:hint="eastAsia" w:ascii="宋体" w:hAnsi="宋体" w:eastAsia="宋体" w:cs="Times New Roman"/>
          <w:bCs/>
          <w:sz w:val="24"/>
          <w:szCs w:val="24"/>
          <w:lang w:eastAsia="zh-CN"/>
        </w:rPr>
        <w:t>投标人</w:t>
      </w:r>
      <w:r>
        <w:rPr>
          <w:rFonts w:hint="eastAsia" w:ascii="宋体" w:hAnsi="宋体" w:eastAsia="宋体" w:cs="Times New Roman"/>
          <w:bCs/>
          <w:sz w:val="24"/>
          <w:szCs w:val="24"/>
        </w:rPr>
        <w:t>的《残疾人福利性单位声明函》随中标结果公开。</w:t>
      </w:r>
    </w:p>
    <w:p>
      <w:pPr>
        <w:keepNext/>
        <w:spacing w:line="360" w:lineRule="auto"/>
        <w:textAlignment w:val="baseline"/>
        <w:outlineLvl w:val="1"/>
        <w:rPr>
          <w:rFonts w:ascii="Times New Roman" w:hAnsi="Times New Roman" w:eastAsia="黑体" w:cs="Times New Roman"/>
          <w:b/>
          <w:color w:val="000000"/>
          <w:kern w:val="0"/>
          <w:sz w:val="28"/>
          <w:szCs w:val="20"/>
        </w:rPr>
      </w:pPr>
      <w:r>
        <w:rPr>
          <w:rFonts w:ascii="Times New Roman" w:hAnsi="Times New Roman" w:eastAsia="黑体" w:cs="Times New Roman"/>
          <w:b/>
          <w:kern w:val="0"/>
          <w:sz w:val="28"/>
          <w:szCs w:val="20"/>
        </w:rPr>
        <w:br w:type="page"/>
      </w:r>
      <w:r>
        <w:rPr>
          <w:rFonts w:hint="eastAsia" w:ascii="宋体" w:hAnsi="宋体" w:eastAsia="宋体" w:cs="Times New Roman"/>
          <w:color w:val="000000"/>
          <w:kern w:val="0"/>
          <w:sz w:val="24"/>
          <w:szCs w:val="24"/>
        </w:rPr>
        <w:t>格式6、具备履行合同所必需的设备和专业技术能力的声明及证明材料</w:t>
      </w:r>
    </w:p>
    <w:p>
      <w:pPr>
        <w:autoSpaceDE w:val="0"/>
        <w:autoSpaceDN w:val="0"/>
        <w:adjustRightInd w:val="0"/>
        <w:jc w:val="left"/>
        <w:rPr>
          <w:rFonts w:ascii="MS Mincho" w:hAnsi="Calibri" w:eastAsia="宋体" w:cs="Times New Roman"/>
          <w:color w:val="000000"/>
          <w:szCs w:val="24"/>
        </w:rPr>
      </w:pPr>
    </w:p>
    <w:p>
      <w:pPr>
        <w:spacing w:line="360" w:lineRule="auto"/>
        <w:jc w:val="center"/>
        <w:rPr>
          <w:rFonts w:ascii="黑体" w:hAnsi="黑体" w:eastAsia="黑体" w:cs="宋体"/>
          <w:bCs/>
          <w:sz w:val="36"/>
          <w:szCs w:val="28"/>
        </w:rPr>
      </w:pPr>
      <w:r>
        <w:rPr>
          <w:rFonts w:hint="eastAsia" w:ascii="黑体" w:hAnsi="黑体" w:eastAsia="黑体" w:cs="宋体"/>
          <w:bCs/>
          <w:sz w:val="36"/>
          <w:szCs w:val="28"/>
        </w:rPr>
        <w:t>具备履行合同所必需的设备和专业技术能力的声明</w:t>
      </w:r>
    </w:p>
    <w:p>
      <w:pPr>
        <w:spacing w:line="360" w:lineRule="auto"/>
        <w:rPr>
          <w:rFonts w:ascii="Times New Roman" w:hAnsi="Times New Roman" w:eastAsia="宋体" w:cs="Times New Roman"/>
          <w:color w:val="000000"/>
          <w:sz w:val="24"/>
          <w:szCs w:val="24"/>
        </w:rPr>
      </w:pPr>
    </w:p>
    <w:p>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u w:val="single"/>
        </w:rPr>
        <w:t>（</w:t>
      </w:r>
      <w:r>
        <w:rPr>
          <w:rFonts w:hint="eastAsia" w:ascii="Times New Roman" w:hAnsi="Times New Roman" w:eastAsia="宋体" w:cs="Times New Roman"/>
          <w:color w:val="000000"/>
          <w:sz w:val="24"/>
          <w:szCs w:val="24"/>
          <w:u w:val="single"/>
          <w:lang w:eastAsia="zh-CN"/>
        </w:rPr>
        <w:t>投标人</w:t>
      </w:r>
      <w:r>
        <w:rPr>
          <w:rFonts w:hint="eastAsia" w:ascii="Times New Roman" w:hAnsi="Times New Roman" w:eastAsia="宋体" w:cs="Times New Roman"/>
          <w:color w:val="000000"/>
          <w:sz w:val="24"/>
          <w:szCs w:val="24"/>
          <w:u w:val="single"/>
        </w:rPr>
        <w:t>名称）</w:t>
      </w:r>
      <w:r>
        <w:rPr>
          <w:rFonts w:hint="eastAsia" w:ascii="Times New Roman" w:hAnsi="Times New Roman" w:eastAsia="宋体" w:cs="Times New Roman"/>
          <w:color w:val="000000"/>
          <w:sz w:val="24"/>
          <w:szCs w:val="24"/>
        </w:rPr>
        <w:t>郑重声明：我单位具备履行本项采购合同所必需的设备和专业技术能力，为履行本项采购合同我单位具备如下主要设备和主要专业技术能力：</w:t>
      </w:r>
    </w:p>
    <w:p>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主要设备有：</w:t>
      </w:r>
      <w:r>
        <w:rPr>
          <w:rFonts w:hint="eastAsia"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rPr>
        <w:t>。</w:t>
      </w:r>
    </w:p>
    <w:p>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主要专业技术能力有：</w:t>
      </w:r>
      <w:r>
        <w:rPr>
          <w:rFonts w:hint="eastAsia"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rPr>
        <w:t>。</w:t>
      </w:r>
    </w:p>
    <w:p>
      <w:pPr>
        <w:spacing w:line="360" w:lineRule="auto"/>
        <w:ind w:firstLine="482" w:firstLineChars="200"/>
        <w:rPr>
          <w:rFonts w:ascii="Times New Roman" w:hAnsi="Times New Roman" w:eastAsia="宋体" w:cs="Times New Roman"/>
          <w:b/>
          <w:color w:val="000000"/>
          <w:sz w:val="24"/>
          <w:szCs w:val="24"/>
        </w:rPr>
      </w:pPr>
      <w:r>
        <w:rPr>
          <w:rFonts w:hint="eastAsia" w:ascii="Times New Roman" w:hAnsi="Times New Roman" w:eastAsia="宋体" w:cs="Times New Roman"/>
          <w:b/>
          <w:color w:val="000000"/>
          <w:sz w:val="24"/>
          <w:szCs w:val="24"/>
        </w:rPr>
        <w:t>注：须附证明材料。</w:t>
      </w:r>
    </w:p>
    <w:p>
      <w:pPr>
        <w:spacing w:line="360" w:lineRule="auto"/>
        <w:ind w:firstLine="480" w:firstLineChars="200"/>
        <w:rPr>
          <w:rFonts w:ascii="Times New Roman" w:hAnsi="Times New Roman" w:eastAsia="宋体" w:cs="Times New Roman"/>
          <w:color w:val="000000"/>
          <w:sz w:val="24"/>
          <w:szCs w:val="24"/>
        </w:rPr>
      </w:pPr>
    </w:p>
    <w:p>
      <w:pPr>
        <w:spacing w:line="360" w:lineRule="auto"/>
        <w:ind w:firstLine="480" w:firstLineChars="200"/>
        <w:rPr>
          <w:rFonts w:ascii="Times New Roman" w:hAnsi="Times New Roman" w:eastAsia="宋体" w:cs="Times New Roman"/>
          <w:color w:val="000000"/>
          <w:sz w:val="24"/>
          <w:szCs w:val="24"/>
        </w:rPr>
      </w:pPr>
    </w:p>
    <w:p>
      <w:pPr>
        <w:spacing w:line="360" w:lineRule="auto"/>
        <w:ind w:firstLine="5400" w:firstLineChars="225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声明人（盖章）：</w:t>
      </w:r>
    </w:p>
    <w:p>
      <w:pPr>
        <w:spacing w:line="360" w:lineRule="auto"/>
        <w:ind w:firstLine="5400" w:firstLineChars="225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日期：  年   月  日</w:t>
      </w:r>
    </w:p>
    <w:p>
      <w:pPr>
        <w:spacing w:line="460" w:lineRule="exact"/>
        <w:ind w:firstLine="422" w:firstLineChars="200"/>
        <w:rPr>
          <w:rFonts w:ascii="Times New Roman" w:hAnsi="Times New Roman" w:eastAsia="宋体" w:cs="Times New Roman"/>
          <w:b/>
          <w:color w:val="000000"/>
          <w:szCs w:val="24"/>
        </w:rPr>
      </w:pPr>
    </w:p>
    <w:p>
      <w:pPr>
        <w:spacing w:line="460" w:lineRule="exact"/>
        <w:ind w:firstLine="422" w:firstLineChars="200"/>
        <w:rPr>
          <w:rFonts w:ascii="Times New Roman" w:hAnsi="Times New Roman" w:eastAsia="宋体" w:cs="Times New Roman"/>
          <w:b/>
          <w:color w:val="000000"/>
          <w:szCs w:val="24"/>
        </w:rPr>
      </w:pPr>
    </w:p>
    <w:p>
      <w:pPr>
        <w:spacing w:line="460" w:lineRule="exact"/>
        <w:ind w:firstLine="422" w:firstLineChars="200"/>
        <w:rPr>
          <w:rFonts w:ascii="Times New Roman" w:hAnsi="Times New Roman" w:eastAsia="宋体" w:cs="Times New Roman"/>
          <w:b/>
          <w:color w:val="000000"/>
          <w:szCs w:val="24"/>
        </w:rPr>
      </w:pPr>
    </w:p>
    <w:p>
      <w:pPr>
        <w:spacing w:line="460" w:lineRule="exact"/>
        <w:ind w:firstLine="422" w:firstLineChars="200"/>
        <w:rPr>
          <w:rFonts w:ascii="Times New Roman" w:hAnsi="Times New Roman" w:eastAsia="宋体" w:cs="Times New Roman"/>
          <w:b/>
          <w:color w:val="000000"/>
          <w:szCs w:val="24"/>
        </w:rPr>
      </w:pPr>
    </w:p>
    <w:p>
      <w:pPr>
        <w:keepNext/>
        <w:spacing w:line="360" w:lineRule="auto"/>
        <w:textAlignment w:val="baseline"/>
        <w:outlineLvl w:val="1"/>
        <w:rPr>
          <w:rFonts w:ascii="Times New Roman" w:hAnsi="Times New Roman" w:eastAsia="黑体" w:cs="Times New Roman"/>
          <w:b/>
          <w:color w:val="000000"/>
          <w:kern w:val="0"/>
          <w:sz w:val="28"/>
          <w:szCs w:val="20"/>
        </w:rPr>
      </w:pPr>
      <w:r>
        <w:rPr>
          <w:rFonts w:ascii="Times New Roman" w:hAnsi="Times New Roman" w:eastAsia="黑体" w:cs="Times New Roman"/>
          <w:kern w:val="0"/>
          <w:sz w:val="28"/>
          <w:szCs w:val="20"/>
        </w:rPr>
        <w:br w:type="page"/>
      </w:r>
      <w:r>
        <w:rPr>
          <w:rFonts w:hint="eastAsia" w:ascii="宋体" w:hAnsi="宋体" w:eastAsia="宋体" w:cs="Times New Roman"/>
          <w:color w:val="000000"/>
          <w:kern w:val="0"/>
          <w:sz w:val="24"/>
          <w:szCs w:val="24"/>
        </w:rPr>
        <w:t>格式7、参加政府采购活动前 3 年内在经营活动中没有重大违法记录的书面声明</w:t>
      </w:r>
    </w:p>
    <w:p>
      <w:pPr>
        <w:spacing w:line="360" w:lineRule="auto"/>
        <w:ind w:firstLine="420" w:firstLineChars="200"/>
        <w:rPr>
          <w:rFonts w:ascii="Times New Roman" w:hAnsi="Times New Roman" w:eastAsia="宋体" w:cs="Times New Roman"/>
          <w:szCs w:val="24"/>
        </w:rPr>
      </w:pPr>
    </w:p>
    <w:p>
      <w:pPr>
        <w:spacing w:line="360" w:lineRule="auto"/>
        <w:jc w:val="center"/>
        <w:rPr>
          <w:rFonts w:ascii="黑体" w:hAnsi="黑体" w:eastAsia="黑体" w:cs="宋体"/>
          <w:bCs/>
          <w:sz w:val="36"/>
          <w:szCs w:val="28"/>
        </w:rPr>
      </w:pPr>
      <w:r>
        <w:rPr>
          <w:rFonts w:hint="eastAsia" w:ascii="黑体" w:hAnsi="黑体" w:eastAsia="黑体" w:cs="宋体"/>
          <w:bCs/>
          <w:sz w:val="36"/>
          <w:szCs w:val="28"/>
        </w:rPr>
        <w:t>声  明</w:t>
      </w:r>
    </w:p>
    <w:p>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我公司郑重声明：参加本次政府采购活动前 3 年内，我公司在经营活动中没有因违法经营受到刑事处罚或者责令停产停业、吊销许可证或者执照、较大数额罚款等行政处罚。</w:t>
      </w:r>
    </w:p>
    <w:p>
      <w:pPr>
        <w:spacing w:line="360" w:lineRule="auto"/>
        <w:ind w:firstLine="480" w:firstLineChars="200"/>
        <w:rPr>
          <w:rFonts w:ascii="宋体" w:hAnsi="宋体" w:eastAsia="宋体" w:cs="Times New Roman"/>
          <w:bCs/>
          <w:color w:val="000000"/>
          <w:sz w:val="24"/>
          <w:szCs w:val="24"/>
        </w:rPr>
      </w:pPr>
    </w:p>
    <w:p>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投标人（盖章）：</w:t>
      </w:r>
    </w:p>
    <w:p>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法定代表人或委托代理人（签字或盖章）：</w:t>
      </w:r>
    </w:p>
    <w:p>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日期：    年     月     日</w:t>
      </w:r>
    </w:p>
    <w:p>
      <w:pPr>
        <w:keepNext/>
        <w:spacing w:line="360" w:lineRule="auto"/>
        <w:textAlignment w:val="baseline"/>
        <w:outlineLvl w:val="1"/>
        <w:rPr>
          <w:rFonts w:ascii="Times New Roman" w:hAnsi="Times New Roman" w:eastAsia="宋体" w:cs="Times New Roman"/>
          <w:b/>
          <w:kern w:val="0"/>
          <w:sz w:val="28"/>
          <w:szCs w:val="20"/>
        </w:rPr>
      </w:pPr>
      <w:r>
        <w:rPr>
          <w:rFonts w:ascii="Times New Roman" w:hAnsi="Times New Roman" w:eastAsia="黑体" w:cs="Times New Roman"/>
          <w:b/>
          <w:kern w:val="0"/>
          <w:sz w:val="28"/>
          <w:szCs w:val="20"/>
        </w:rPr>
        <w:br w:type="page"/>
      </w:r>
      <w:r>
        <w:rPr>
          <w:rFonts w:hint="eastAsia" w:ascii="宋体" w:hAnsi="宋体" w:eastAsia="宋体" w:cs="Times New Roman"/>
          <w:color w:val="000000"/>
          <w:kern w:val="0"/>
          <w:sz w:val="24"/>
          <w:szCs w:val="24"/>
        </w:rPr>
        <w:t>格式8、法定代表人授权委托书</w:t>
      </w:r>
    </w:p>
    <w:p>
      <w:pPr>
        <w:spacing w:line="360" w:lineRule="auto"/>
        <w:ind w:firstLine="720" w:firstLineChars="200"/>
        <w:jc w:val="center"/>
        <w:rPr>
          <w:rFonts w:ascii="黑体" w:hAnsi="黑体" w:eastAsia="黑体" w:cs="宋体"/>
          <w:bCs/>
          <w:sz w:val="36"/>
          <w:szCs w:val="28"/>
        </w:rPr>
      </w:pPr>
    </w:p>
    <w:p>
      <w:pPr>
        <w:spacing w:line="360" w:lineRule="auto"/>
        <w:ind w:firstLine="720" w:firstLineChars="200"/>
        <w:jc w:val="center"/>
        <w:rPr>
          <w:rFonts w:ascii="黑体" w:hAnsi="黑体" w:eastAsia="黑体" w:cs="宋体"/>
          <w:bCs/>
          <w:sz w:val="36"/>
          <w:szCs w:val="28"/>
        </w:rPr>
      </w:pPr>
      <w:r>
        <w:rPr>
          <w:rFonts w:hint="eastAsia" w:ascii="黑体" w:hAnsi="黑体" w:eastAsia="黑体" w:cs="宋体"/>
          <w:bCs/>
          <w:sz w:val="36"/>
          <w:szCs w:val="28"/>
        </w:rPr>
        <w:t>法定代表人授权委托书</w:t>
      </w:r>
    </w:p>
    <w:p>
      <w:pPr>
        <w:spacing w:line="500" w:lineRule="exact"/>
        <w:ind w:firstLine="420" w:firstLineChars="200"/>
        <w:rPr>
          <w:rFonts w:ascii="宋体" w:hAnsi="Courier New" w:eastAsia="宋体" w:cs="Times New Roman"/>
          <w:szCs w:val="20"/>
        </w:rPr>
      </w:pPr>
    </w:p>
    <w:p>
      <w:pPr>
        <w:spacing w:line="360" w:lineRule="auto"/>
        <w:rPr>
          <w:rFonts w:ascii="Times New Roman" w:hAnsi="Times New Roman" w:eastAsia="宋体" w:cs="Times New Roman"/>
          <w:b/>
          <w:bCs/>
          <w:sz w:val="24"/>
          <w:szCs w:val="24"/>
        </w:rPr>
      </w:pPr>
      <w:r>
        <w:rPr>
          <w:rFonts w:hint="eastAsia" w:ascii="宋体" w:hAnsi="Courier New" w:eastAsia="宋体" w:cs="Times New Roman"/>
          <w:sz w:val="24"/>
          <w:szCs w:val="24"/>
          <w:lang w:eastAsia="zh-CN"/>
        </w:rPr>
        <w:t>连云港市海州区绿化养护管理二处</w:t>
      </w:r>
      <w:r>
        <w:rPr>
          <w:rFonts w:hint="eastAsia" w:ascii="Times New Roman" w:hAnsi="Times New Roman" w:eastAsia="宋体" w:cs="Times New Roman"/>
          <w:sz w:val="24"/>
          <w:szCs w:val="24"/>
        </w:rPr>
        <w:t>：</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本授权书声明：注册于</w:t>
      </w:r>
      <w:r>
        <w:rPr>
          <w:rFonts w:hint="eastAsia" w:ascii="Times New Roman" w:hAnsi="Times New Roman" w:eastAsia="宋体" w:cs="Times New Roman"/>
          <w:sz w:val="24"/>
          <w:szCs w:val="24"/>
          <w:u w:val="single"/>
        </w:rPr>
        <w:t xml:space="preserve">  （委托单位全称） </w:t>
      </w:r>
      <w:r>
        <w:rPr>
          <w:rFonts w:hint="eastAsia" w:ascii="Times New Roman" w:hAnsi="Times New Roman" w:eastAsia="宋体" w:cs="Times New Roman"/>
          <w:sz w:val="24"/>
          <w:szCs w:val="24"/>
        </w:rPr>
        <w:t>的法定代表人</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代表本公司授权</w:t>
      </w:r>
      <w:r>
        <w:rPr>
          <w:rFonts w:hint="eastAsia" w:ascii="Times New Roman" w:hAnsi="Times New Roman" w:eastAsia="宋体" w:cs="Times New Roman"/>
          <w:sz w:val="24"/>
          <w:szCs w:val="24"/>
          <w:u w:val="single"/>
        </w:rPr>
        <w:t>（姓名和职务）</w:t>
      </w:r>
      <w:r>
        <w:rPr>
          <w:rFonts w:hint="eastAsia" w:ascii="Times New Roman" w:hAnsi="Times New Roman" w:eastAsia="宋体" w:cs="Times New Roman"/>
          <w:sz w:val="24"/>
          <w:szCs w:val="24"/>
        </w:rPr>
        <w:t>为本公司合法代理人，就贵方组织的有</w:t>
      </w:r>
      <w:r>
        <w:rPr>
          <w:rFonts w:hint="eastAsia" w:ascii="Times New Roman" w:hAnsi="Times New Roman" w:eastAsia="宋体" w:cs="Times New Roman"/>
          <w:sz w:val="24"/>
          <w:szCs w:val="24"/>
          <w:lang w:val="en-US" w:eastAsia="zh-CN"/>
        </w:rPr>
        <w:t>关</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rPr>
        <w:t>项目（标段编号：</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）的招标采购及合同签订、执行、完成，以本单位名义处理一切与之有关的事务。</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本授权书于</w:t>
      </w:r>
      <w:r>
        <w:rPr>
          <w:rFonts w:hint="eastAsia" w:ascii="宋体" w:hAnsi="Courier New" w:eastAsia="宋体" w:cs="Times New Roman"/>
          <w:spacing w:val="10"/>
          <w:sz w:val="24"/>
          <w:szCs w:val="24"/>
          <w:u w:val="single"/>
        </w:rPr>
        <w:t xml:space="preserve">     </w:t>
      </w:r>
      <w:r>
        <w:rPr>
          <w:rFonts w:hint="eastAsia" w:ascii="Times New Roman" w:hAnsi="Times New Roman" w:eastAsia="宋体" w:cs="Times New Roman"/>
          <w:sz w:val="24"/>
          <w:szCs w:val="24"/>
        </w:rPr>
        <w:t>年</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月</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日签字（或盖章）生效，特此声明。</w:t>
      </w:r>
    </w:p>
    <w:p>
      <w:pPr>
        <w:spacing w:line="360" w:lineRule="auto"/>
        <w:ind w:firstLine="480" w:firstLineChars="200"/>
        <w:rPr>
          <w:rFonts w:ascii="Times New Roman" w:hAnsi="Times New Roman" w:eastAsia="宋体" w:cs="Times New Roman"/>
          <w:sz w:val="24"/>
          <w:szCs w:val="24"/>
        </w:rPr>
      </w:pP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委托单位（盖章）：                      法定代表人（签字或盖章）：</w:t>
      </w:r>
    </w:p>
    <w:p>
      <w:pPr>
        <w:spacing w:line="360" w:lineRule="auto"/>
        <w:ind w:firstLine="480" w:firstLineChars="200"/>
        <w:rPr>
          <w:rFonts w:ascii="Times New Roman" w:hAnsi="Times New Roman" w:eastAsia="宋体" w:cs="Times New Roman"/>
          <w:sz w:val="24"/>
          <w:szCs w:val="24"/>
        </w:rPr>
      </w:pP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签发日期：</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年</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月</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日</w:t>
      </w:r>
    </w:p>
    <w:p>
      <w:pPr>
        <w:spacing w:line="360" w:lineRule="auto"/>
        <w:ind w:firstLine="482" w:firstLineChars="200"/>
        <w:rPr>
          <w:rFonts w:ascii="Times New Roman" w:hAnsi="Times New Roman" w:eastAsia="宋体" w:cs="Times New Roman"/>
          <w:b/>
          <w:sz w:val="24"/>
          <w:szCs w:val="24"/>
        </w:rPr>
      </w:pPr>
      <w:r>
        <w:rPr>
          <w:rFonts w:hint="eastAsia" w:ascii="宋体" w:hAnsi="Courier New" w:eastAsia="宋体" w:cs="Times New Roman"/>
          <w:b/>
          <w:sz w:val="24"/>
          <w:szCs w:val="24"/>
        </w:rPr>
        <w:t>附法定代表人与委托代理人身份证明正反面电子件。</w:t>
      </w:r>
    </w:p>
    <w:p>
      <w:pPr>
        <w:spacing w:line="360" w:lineRule="auto"/>
        <w:ind w:firstLine="480" w:firstLineChars="200"/>
        <w:rPr>
          <w:rFonts w:ascii="Times New Roman" w:hAnsi="Times New Roman" w:eastAsia="宋体" w:cs="Times New Roman"/>
          <w:sz w:val="24"/>
          <w:szCs w:val="24"/>
        </w:rPr>
      </w:pPr>
    </w:p>
    <w:p>
      <w:pPr>
        <w:spacing w:line="360" w:lineRule="auto"/>
        <w:ind w:firstLine="480" w:firstLineChars="200"/>
        <w:rPr>
          <w:rFonts w:ascii="Times New Roman" w:hAnsi="Times New Roman" w:eastAsia="宋体" w:cs="Times New Roman"/>
          <w:sz w:val="24"/>
          <w:szCs w:val="24"/>
        </w:rPr>
      </w:pPr>
    </w:p>
    <w:p>
      <w:pPr>
        <w:spacing w:line="360" w:lineRule="auto"/>
        <w:ind w:firstLine="480" w:firstLineChars="200"/>
        <w:rPr>
          <w:rFonts w:ascii="Times New Roman" w:hAnsi="Times New Roman" w:eastAsia="宋体" w:cs="Times New Roman"/>
          <w:sz w:val="24"/>
          <w:szCs w:val="24"/>
        </w:rPr>
      </w:pPr>
    </w:p>
    <w:p>
      <w:pPr>
        <w:spacing w:line="360" w:lineRule="auto"/>
        <w:ind w:firstLine="480" w:firstLineChars="200"/>
        <w:rPr>
          <w:rFonts w:ascii="Times New Roman" w:hAnsi="Times New Roman" w:eastAsia="宋体" w:cs="Times New Roman"/>
          <w:sz w:val="24"/>
          <w:szCs w:val="24"/>
        </w:rPr>
      </w:pP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说明：</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1．委托书内容填写应当明确、文字工整清楚，涂改无效。</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2．委托书不得转借、转让、买卖。</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3．委托代理人根据授权范围，以委托单位的名义签订合同，并将此委托书提交给对方作为合同附件。</w:t>
      </w:r>
    </w:p>
    <w:p>
      <w:pPr>
        <w:widowControl/>
        <w:spacing w:line="360" w:lineRule="auto"/>
        <w:ind w:firstLine="480" w:firstLineChars="200"/>
        <w:jc w:val="center"/>
        <w:rPr>
          <w:rFonts w:hint="eastAsia" w:ascii="宋体" w:hAnsi="宋体" w:eastAsia="宋体" w:cs="Times New Roman"/>
          <w:color w:val="000000"/>
          <w:kern w:val="0"/>
          <w:sz w:val="24"/>
          <w:szCs w:val="24"/>
        </w:rPr>
      </w:pPr>
    </w:p>
    <w:p>
      <w:pPr>
        <w:widowControl/>
        <w:spacing w:line="360" w:lineRule="auto"/>
        <w:ind w:firstLine="480" w:firstLineChars="200"/>
        <w:jc w:val="center"/>
        <w:rPr>
          <w:rFonts w:hint="eastAsia" w:ascii="宋体" w:hAnsi="宋体" w:eastAsia="宋体" w:cs="Times New Roman"/>
          <w:color w:val="000000"/>
          <w:kern w:val="0"/>
          <w:sz w:val="24"/>
          <w:szCs w:val="24"/>
        </w:rPr>
      </w:pPr>
    </w:p>
    <w:p>
      <w:pPr>
        <w:widowControl/>
        <w:spacing w:line="360" w:lineRule="auto"/>
        <w:ind w:firstLine="480" w:firstLineChars="200"/>
        <w:jc w:val="center"/>
        <w:rPr>
          <w:rFonts w:hint="eastAsia" w:ascii="宋体" w:hAnsi="宋体" w:eastAsia="宋体" w:cs="Times New Roman"/>
          <w:color w:val="000000"/>
          <w:kern w:val="0"/>
          <w:sz w:val="24"/>
          <w:szCs w:val="24"/>
        </w:rPr>
      </w:pPr>
    </w:p>
    <w:p>
      <w:pPr>
        <w:widowControl/>
        <w:spacing w:line="360" w:lineRule="auto"/>
        <w:ind w:firstLine="480" w:firstLineChars="200"/>
        <w:jc w:val="center"/>
        <w:rPr>
          <w:rFonts w:hint="eastAsia" w:ascii="宋体" w:hAnsi="宋体" w:eastAsia="宋体" w:cs="Times New Roman"/>
          <w:color w:val="000000"/>
          <w:kern w:val="0"/>
          <w:sz w:val="24"/>
          <w:szCs w:val="24"/>
        </w:rPr>
      </w:pPr>
    </w:p>
    <w:p>
      <w:pPr>
        <w:widowControl/>
        <w:spacing w:line="360" w:lineRule="auto"/>
        <w:ind w:firstLine="480" w:firstLineChars="200"/>
        <w:jc w:val="center"/>
        <w:rPr>
          <w:rFonts w:hint="eastAsia" w:ascii="宋体" w:hAnsi="宋体" w:eastAsia="宋体" w:cs="Times New Roman"/>
          <w:color w:val="000000"/>
          <w:kern w:val="0"/>
          <w:sz w:val="24"/>
          <w:szCs w:val="24"/>
        </w:rPr>
      </w:pPr>
    </w:p>
    <w:p>
      <w:pPr>
        <w:widowControl/>
        <w:spacing w:line="360" w:lineRule="auto"/>
        <w:jc w:val="both"/>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rPr>
        <w:t>格式</w:t>
      </w:r>
      <w:r>
        <w:rPr>
          <w:rFonts w:hint="eastAsia" w:ascii="宋体" w:hAnsi="宋体" w:eastAsia="宋体" w:cs="Times New Roman"/>
          <w:color w:val="000000"/>
          <w:kern w:val="0"/>
          <w:sz w:val="24"/>
          <w:szCs w:val="24"/>
          <w:lang w:val="en-US" w:eastAsia="zh-CN"/>
        </w:rPr>
        <w:t>9</w:t>
      </w:r>
      <w:r>
        <w:rPr>
          <w:rFonts w:hint="eastAsia" w:ascii="宋体" w:hAnsi="宋体" w:eastAsia="宋体" w:cs="Times New Roman"/>
          <w:color w:val="000000"/>
          <w:kern w:val="0"/>
          <w:sz w:val="24"/>
          <w:szCs w:val="24"/>
        </w:rPr>
        <w:t>、财务状况报告及税收、社会保障资金缴纳情况承诺函托书</w:t>
      </w:r>
    </w:p>
    <w:p>
      <w:pPr>
        <w:keepNext/>
        <w:spacing w:line="360" w:lineRule="auto"/>
        <w:textAlignment w:val="baseline"/>
        <w:outlineLvl w:val="1"/>
        <w:rPr>
          <w:rFonts w:hint="eastAsia" w:ascii="Times New Roman" w:hAnsi="Times New Roman" w:eastAsia="黑体" w:cs="Times New Roman"/>
          <w:b/>
          <w:color w:val="000000"/>
          <w:kern w:val="0"/>
          <w:sz w:val="28"/>
          <w:szCs w:val="20"/>
        </w:rPr>
      </w:pPr>
    </w:p>
    <w:p>
      <w:pPr>
        <w:widowControl/>
        <w:spacing w:line="360" w:lineRule="auto"/>
        <w:ind w:firstLine="622" w:firstLineChars="200"/>
        <w:jc w:val="center"/>
        <w:rPr>
          <w:rFonts w:cs="宋体" w:asciiTheme="majorEastAsia" w:hAnsiTheme="majorEastAsia" w:eastAsiaTheme="majorEastAsia"/>
          <w:b/>
          <w:kern w:val="0"/>
          <w:sz w:val="31"/>
          <w:szCs w:val="31"/>
          <w:lang w:bidi="ar"/>
        </w:rPr>
      </w:pPr>
      <w:r>
        <w:rPr>
          <w:rFonts w:hint="eastAsia" w:cs="宋体" w:asciiTheme="majorEastAsia" w:hAnsiTheme="majorEastAsia" w:eastAsiaTheme="majorEastAsia"/>
          <w:b/>
          <w:kern w:val="0"/>
          <w:sz w:val="31"/>
          <w:szCs w:val="31"/>
          <w:lang w:bidi="ar"/>
        </w:rPr>
        <w:t>财务状况报告及税收、社会保障资金</w:t>
      </w:r>
    </w:p>
    <w:p>
      <w:pPr>
        <w:widowControl/>
        <w:spacing w:line="360" w:lineRule="auto"/>
        <w:ind w:firstLine="622" w:firstLineChars="200"/>
        <w:jc w:val="center"/>
        <w:rPr>
          <w:rFonts w:cs="宋体" w:asciiTheme="majorEastAsia" w:hAnsiTheme="majorEastAsia" w:eastAsiaTheme="majorEastAsia"/>
          <w:b/>
          <w:kern w:val="0"/>
          <w:sz w:val="31"/>
          <w:szCs w:val="31"/>
          <w:lang w:bidi="ar"/>
        </w:rPr>
      </w:pPr>
      <w:r>
        <w:rPr>
          <w:rFonts w:hint="eastAsia" w:cs="宋体" w:asciiTheme="majorEastAsia" w:hAnsiTheme="majorEastAsia" w:eastAsiaTheme="majorEastAsia"/>
          <w:b/>
          <w:kern w:val="0"/>
          <w:sz w:val="31"/>
          <w:szCs w:val="31"/>
          <w:lang w:bidi="ar"/>
        </w:rPr>
        <w:t>缴纳情况承诺函</w:t>
      </w:r>
    </w:p>
    <w:p>
      <w:pPr>
        <w:spacing w:line="560" w:lineRule="exact"/>
        <w:rPr>
          <w:rFonts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采购人名称    </w:t>
      </w:r>
    </w:p>
    <w:p>
      <w:pPr>
        <w:spacing w:line="560" w:lineRule="exact"/>
        <w:ind w:firstLine="480" w:firstLineChars="200"/>
        <w:rPr>
          <w:rFonts w:ascii="宋体" w:hAnsi="宋体" w:eastAsia="宋体" w:cs="宋体"/>
          <w:sz w:val="24"/>
        </w:rPr>
      </w:pPr>
      <w:r>
        <w:rPr>
          <w:rFonts w:hint="eastAsia" w:ascii="宋体" w:hAnsi="宋体" w:eastAsia="宋体" w:cs="宋体"/>
          <w:sz w:val="24"/>
        </w:rPr>
        <w:t>我方</w:t>
      </w:r>
      <w:r>
        <w:rPr>
          <w:rFonts w:hint="eastAsia" w:ascii="宋体" w:hAnsi="宋体" w:eastAsia="宋体" w:cs="宋体"/>
          <w:sz w:val="24"/>
          <w:u w:val="single"/>
          <w:lang w:eastAsia="zh-CN"/>
        </w:rPr>
        <w:t>投标人</w:t>
      </w:r>
      <w:r>
        <w:rPr>
          <w:rFonts w:hint="eastAsia" w:ascii="宋体" w:hAnsi="宋体" w:eastAsia="宋体" w:cs="宋体"/>
          <w:sz w:val="24"/>
          <w:u w:val="single"/>
        </w:rPr>
        <w:t>名称</w:t>
      </w:r>
      <w:r>
        <w:rPr>
          <w:rFonts w:hint="eastAsia" w:ascii="宋体" w:hAnsi="宋体" w:eastAsia="宋体" w:cs="宋体"/>
          <w:sz w:val="24"/>
        </w:rPr>
        <w:t>参加</w:t>
      </w:r>
      <w:r>
        <w:rPr>
          <w:rFonts w:hint="eastAsia" w:ascii="宋体" w:hAnsi="宋体" w:eastAsia="宋体" w:cs="宋体"/>
          <w:sz w:val="24"/>
          <w:u w:val="single"/>
        </w:rPr>
        <w:t>项目名称</w:t>
      </w:r>
      <w:r>
        <w:rPr>
          <w:rFonts w:hint="eastAsia" w:ascii="宋体" w:hAnsi="宋体" w:eastAsia="宋体" w:cs="宋体"/>
          <w:sz w:val="24"/>
        </w:rPr>
        <w:t>（项目编号：</w:t>
      </w:r>
      <w:r>
        <w:rPr>
          <w:rFonts w:hint="eastAsia" w:ascii="宋体" w:hAnsi="宋体" w:eastAsia="宋体" w:cs="宋体"/>
          <w:sz w:val="24"/>
          <w:u w:val="single"/>
        </w:rPr>
        <w:t>项目编号</w:t>
      </w:r>
      <w:r>
        <w:rPr>
          <w:rFonts w:hint="eastAsia" w:ascii="宋体" w:hAnsi="宋体" w:eastAsia="宋体" w:cs="宋体"/>
          <w:sz w:val="24"/>
        </w:rPr>
        <w:t>）采购，根据《</w:t>
      </w:r>
      <w:r>
        <w:rPr>
          <w:rStyle w:val="30"/>
          <w:rFonts w:hint="eastAsia" w:ascii="宋体" w:hAnsi="宋体" w:eastAsia="宋体" w:cs="宋体"/>
          <w:b w:val="0"/>
          <w:color w:val="000000"/>
          <w:sz w:val="24"/>
        </w:rPr>
        <w:t>关于简化政府采购</w:t>
      </w:r>
      <w:r>
        <w:rPr>
          <w:rStyle w:val="30"/>
          <w:rFonts w:hint="eastAsia" w:ascii="宋体" w:hAnsi="宋体" w:eastAsia="宋体" w:cs="宋体"/>
          <w:b w:val="0"/>
          <w:color w:val="000000"/>
          <w:sz w:val="24"/>
          <w:lang w:eastAsia="zh-CN"/>
        </w:rPr>
        <w:t>投标人</w:t>
      </w:r>
      <w:r>
        <w:rPr>
          <w:rStyle w:val="30"/>
          <w:rFonts w:hint="eastAsia" w:ascii="宋体" w:hAnsi="宋体" w:eastAsia="宋体" w:cs="宋体"/>
          <w:b w:val="0"/>
          <w:color w:val="000000"/>
          <w:sz w:val="24"/>
        </w:rPr>
        <w:t>资格审查有关事项的通知</w:t>
      </w:r>
      <w:r>
        <w:rPr>
          <w:rFonts w:hint="eastAsia" w:ascii="宋体" w:hAnsi="宋体" w:eastAsia="宋体" w:cs="宋体"/>
          <w:sz w:val="24"/>
        </w:rPr>
        <w:t>》（连财购〔2023〕4号），我方承诺具备</w:t>
      </w:r>
      <w:r>
        <w:rPr>
          <w:rFonts w:hint="eastAsia" w:ascii="宋体" w:hAnsi="宋体" w:eastAsia="宋体" w:cs="宋体"/>
          <w:color w:val="000000"/>
          <w:sz w:val="24"/>
        </w:rPr>
        <w:t>《中华人民共和国政府采购法》第二十二条第（二）、第（四）项，《中华人民共和国政府采购法实施条例》第十七条第（二）项规定条件的，</w:t>
      </w:r>
      <w:r>
        <w:rPr>
          <w:rFonts w:hint="eastAsia" w:ascii="宋体" w:hAnsi="宋体" w:eastAsia="宋体" w:cs="宋体"/>
          <w:sz w:val="24"/>
        </w:rPr>
        <w:t>具体包括：</w:t>
      </w:r>
    </w:p>
    <w:p>
      <w:pPr>
        <w:spacing w:line="560" w:lineRule="exact"/>
        <w:ind w:left="360" w:firstLine="240" w:firstLineChars="100"/>
        <w:rPr>
          <w:rFonts w:ascii="宋体" w:hAnsi="宋体" w:eastAsia="宋体" w:cs="宋体"/>
          <w:sz w:val="24"/>
        </w:rPr>
      </w:pPr>
      <w:r>
        <w:rPr>
          <w:rFonts w:hint="eastAsia" w:ascii="宋体" w:hAnsi="宋体" w:eastAsia="宋体" w:cs="宋体"/>
          <w:sz w:val="24"/>
        </w:rPr>
        <w:t>（1）具有良好的商业信誉和健全的财务会计制度（财务状况报告）；</w:t>
      </w:r>
    </w:p>
    <w:p>
      <w:pPr>
        <w:spacing w:line="560" w:lineRule="exact"/>
        <w:ind w:left="360" w:firstLine="240" w:firstLineChars="100"/>
        <w:rPr>
          <w:rFonts w:ascii="宋体" w:hAnsi="宋体" w:eastAsia="宋体" w:cs="宋体"/>
          <w:sz w:val="24"/>
        </w:rPr>
      </w:pPr>
      <w:r>
        <w:rPr>
          <w:rFonts w:hint="eastAsia" w:ascii="宋体" w:hAnsi="宋体" w:eastAsia="宋体" w:cs="宋体"/>
          <w:sz w:val="24"/>
        </w:rPr>
        <w:t>（2）有依法缴纳税收和社会保障资金的良好记录。</w:t>
      </w:r>
    </w:p>
    <w:p>
      <w:pPr>
        <w:widowControl/>
        <w:spacing w:line="560" w:lineRule="exact"/>
        <w:ind w:firstLine="480" w:firstLineChars="200"/>
        <w:jc w:val="left"/>
        <w:rPr>
          <w:rFonts w:ascii="宋体" w:hAnsi="宋体" w:eastAsia="宋体" w:cs="宋体"/>
          <w:sz w:val="24"/>
        </w:rPr>
      </w:pPr>
      <w:r>
        <w:rPr>
          <w:rFonts w:hint="eastAsia" w:ascii="宋体" w:hAnsi="宋体" w:eastAsia="宋体" w:cs="宋体"/>
          <w:sz w:val="24"/>
        </w:rPr>
        <w:t>我方对上述承诺的真实性负责，如有虚假，将依法承担提供虚假材料谋取中标责任，同时同意有关主管部门将相关失信信息记入公共信用信息系统并在相关政府门户网站公开。</w:t>
      </w:r>
    </w:p>
    <w:p>
      <w:pPr>
        <w:widowControl/>
        <w:spacing w:line="560" w:lineRule="exact"/>
        <w:ind w:firstLine="480" w:firstLineChars="200"/>
        <w:jc w:val="left"/>
        <w:rPr>
          <w:rFonts w:ascii="宋体" w:hAnsi="宋体" w:eastAsia="宋体" w:cs="宋体"/>
          <w:sz w:val="24"/>
        </w:rPr>
      </w:pPr>
      <w:r>
        <w:rPr>
          <w:rFonts w:hint="eastAsia" w:ascii="宋体" w:hAnsi="宋体" w:eastAsia="宋体" w:cs="宋体"/>
          <w:sz w:val="24"/>
        </w:rPr>
        <w:t>特此承诺</w:t>
      </w:r>
    </w:p>
    <w:p>
      <w:pPr>
        <w:spacing w:line="560" w:lineRule="exact"/>
        <w:ind w:left="360" w:firstLine="405"/>
        <w:rPr>
          <w:rFonts w:ascii="宋体" w:hAnsi="宋体" w:eastAsia="宋体" w:cs="宋体"/>
          <w:sz w:val="24"/>
        </w:rPr>
      </w:pPr>
    </w:p>
    <w:p>
      <w:pPr>
        <w:spacing w:line="560" w:lineRule="exact"/>
        <w:ind w:left="360" w:firstLine="405"/>
        <w:rPr>
          <w:rFonts w:ascii="宋体" w:hAnsi="宋体" w:eastAsia="宋体" w:cs="宋体"/>
          <w:sz w:val="24"/>
        </w:rPr>
      </w:pPr>
    </w:p>
    <w:p>
      <w:pPr>
        <w:spacing w:line="560" w:lineRule="exact"/>
        <w:ind w:left="360" w:firstLine="405"/>
        <w:rPr>
          <w:rFonts w:ascii="宋体" w:hAnsi="宋体" w:eastAsia="宋体" w:cs="宋体"/>
          <w:sz w:val="24"/>
        </w:rPr>
      </w:pPr>
      <w:r>
        <w:rPr>
          <w:rFonts w:hint="eastAsia" w:ascii="宋体" w:hAnsi="宋体" w:eastAsia="宋体" w:cs="宋体"/>
          <w:sz w:val="24"/>
          <w:lang w:eastAsia="zh-CN"/>
        </w:rPr>
        <w:t>投标人</w:t>
      </w:r>
      <w:r>
        <w:rPr>
          <w:rFonts w:hint="eastAsia" w:ascii="宋体" w:hAnsi="宋体" w:eastAsia="宋体" w:cs="宋体"/>
          <w:sz w:val="24"/>
        </w:rPr>
        <w:t xml:space="preserve">（公章）：          </w:t>
      </w:r>
    </w:p>
    <w:p>
      <w:pPr>
        <w:spacing w:line="560" w:lineRule="exact"/>
        <w:ind w:left="360" w:firstLine="405"/>
        <w:rPr>
          <w:rFonts w:ascii="宋体" w:hAnsi="宋体" w:eastAsia="宋体" w:cs="宋体"/>
          <w:sz w:val="24"/>
        </w:rPr>
      </w:pPr>
    </w:p>
    <w:p>
      <w:pPr>
        <w:spacing w:line="560" w:lineRule="exact"/>
        <w:ind w:left="360" w:firstLine="405"/>
        <w:rPr>
          <w:rFonts w:ascii="宋体" w:hAnsi="宋体" w:eastAsia="宋体" w:cs="宋体"/>
          <w:sz w:val="24"/>
        </w:rPr>
      </w:pPr>
      <w:r>
        <w:rPr>
          <w:rFonts w:hint="eastAsia" w:ascii="宋体" w:hAnsi="宋体" w:eastAsia="宋体" w:cs="宋体"/>
          <w:sz w:val="24"/>
        </w:rPr>
        <w:t>法定代表人或其委托代理人（签名或签章）：</w:t>
      </w:r>
    </w:p>
    <w:p>
      <w:pPr>
        <w:spacing w:line="560" w:lineRule="exact"/>
        <w:ind w:left="360" w:firstLine="405"/>
        <w:rPr>
          <w:rFonts w:ascii="宋体" w:hAnsi="宋体" w:eastAsia="宋体" w:cs="宋体"/>
          <w:sz w:val="24"/>
        </w:rPr>
      </w:pPr>
    </w:p>
    <w:p>
      <w:pPr>
        <w:spacing w:line="560" w:lineRule="exact"/>
        <w:ind w:left="360" w:firstLine="405"/>
        <w:rPr>
          <w:rFonts w:ascii="宋体" w:hAnsi="宋体" w:eastAsia="宋体" w:cs="宋体"/>
          <w:sz w:val="24"/>
        </w:rPr>
      </w:pPr>
      <w:r>
        <w:rPr>
          <w:rFonts w:hint="eastAsia" w:ascii="宋体" w:hAnsi="宋体" w:eastAsia="宋体" w:cs="宋体"/>
          <w:sz w:val="24"/>
        </w:rPr>
        <w:t>日期：</w:t>
      </w:r>
    </w:p>
    <w:p>
      <w:pPr>
        <w:widowControl/>
        <w:jc w:val="left"/>
        <w:rPr>
          <w:rFonts w:cs="Times New Roman" w:asciiTheme="majorEastAsia" w:hAnsiTheme="majorEastAsia" w:eastAsiaTheme="majorEastAsia"/>
          <w:kern w:val="0"/>
          <w:sz w:val="24"/>
          <w:szCs w:val="22"/>
        </w:rPr>
      </w:pPr>
    </w:p>
    <w:p>
      <w:pPr>
        <w:widowControl/>
        <w:spacing w:line="360" w:lineRule="auto"/>
        <w:ind w:firstLine="622" w:firstLineChars="200"/>
        <w:jc w:val="left"/>
        <w:rPr>
          <w:rFonts w:cs="宋体" w:asciiTheme="majorEastAsia" w:hAnsiTheme="majorEastAsia" w:eastAsiaTheme="majorEastAsia"/>
          <w:b/>
          <w:kern w:val="0"/>
          <w:sz w:val="31"/>
          <w:szCs w:val="31"/>
          <w:lang w:bidi="ar"/>
        </w:rPr>
      </w:pPr>
    </w:p>
    <w:p>
      <w:pPr>
        <w:pStyle w:val="92"/>
      </w:pPr>
    </w:p>
    <w:p>
      <w:pPr>
        <w:widowControl/>
        <w:spacing w:line="360" w:lineRule="auto"/>
        <w:ind w:firstLine="622" w:firstLineChars="200"/>
        <w:jc w:val="left"/>
        <w:rPr>
          <w:rFonts w:cs="宋体" w:asciiTheme="majorEastAsia" w:hAnsiTheme="majorEastAsia" w:eastAsiaTheme="majorEastAsia"/>
          <w:b/>
          <w:kern w:val="0"/>
          <w:sz w:val="31"/>
          <w:szCs w:val="31"/>
          <w:lang w:bidi="ar"/>
        </w:rPr>
      </w:pPr>
    </w:p>
    <w:p>
      <w:pPr>
        <w:keepNext/>
        <w:spacing w:line="360" w:lineRule="auto"/>
        <w:textAlignment w:val="baseline"/>
        <w:outlineLvl w:val="1"/>
        <w:rPr>
          <w:rFonts w:ascii="Times New Roman" w:hAnsi="Times New Roman" w:eastAsia="黑体" w:cs="Times New Roman"/>
          <w:bCs/>
          <w:color w:val="000000"/>
          <w:kern w:val="0"/>
          <w:sz w:val="32"/>
          <w:szCs w:val="21"/>
        </w:rPr>
      </w:pPr>
      <w:r>
        <w:rPr>
          <w:rFonts w:hint="eastAsia" w:ascii="Times New Roman" w:hAnsi="Times New Roman" w:eastAsia="黑体" w:cs="Times New Roman"/>
          <w:b/>
          <w:color w:val="000000"/>
          <w:kern w:val="0"/>
          <w:sz w:val="28"/>
          <w:szCs w:val="20"/>
        </w:rPr>
        <w:br w:type="page"/>
      </w:r>
      <w:r>
        <w:rPr>
          <w:rFonts w:hint="eastAsia" w:ascii="宋体" w:hAnsi="宋体" w:eastAsia="宋体" w:cs="Times New Roman"/>
          <w:color w:val="000000"/>
          <w:kern w:val="0"/>
          <w:sz w:val="24"/>
          <w:szCs w:val="24"/>
        </w:rPr>
        <w:t>格式</w:t>
      </w:r>
      <w:r>
        <w:rPr>
          <w:rFonts w:hint="eastAsia" w:ascii="宋体" w:hAnsi="宋体" w:eastAsia="宋体" w:cs="Times New Roman"/>
          <w:color w:val="000000"/>
          <w:kern w:val="0"/>
          <w:sz w:val="24"/>
          <w:szCs w:val="24"/>
          <w:lang w:val="en-US" w:eastAsia="zh-CN"/>
        </w:rPr>
        <w:t>10</w:t>
      </w:r>
      <w:r>
        <w:rPr>
          <w:rFonts w:hint="eastAsia" w:ascii="宋体" w:hAnsi="宋体" w:eastAsia="宋体" w:cs="Times New Roman"/>
          <w:color w:val="000000"/>
          <w:kern w:val="0"/>
          <w:sz w:val="24"/>
          <w:szCs w:val="24"/>
        </w:rPr>
        <w:t>、商务条款偏离表</w:t>
      </w:r>
    </w:p>
    <w:p>
      <w:pPr>
        <w:spacing w:line="360" w:lineRule="auto"/>
        <w:jc w:val="center"/>
        <w:rPr>
          <w:rFonts w:ascii="黑体" w:hAnsi="黑体" w:eastAsia="黑体" w:cs="宋体"/>
          <w:bCs/>
          <w:sz w:val="36"/>
          <w:szCs w:val="28"/>
        </w:rPr>
      </w:pPr>
      <w:r>
        <w:rPr>
          <w:rFonts w:hint="eastAsia" w:ascii="黑体" w:hAnsi="黑体" w:eastAsia="黑体" w:cs="宋体"/>
          <w:bCs/>
          <w:sz w:val="36"/>
          <w:szCs w:val="28"/>
        </w:rPr>
        <w:t>商务条款偏离表</w:t>
      </w:r>
    </w:p>
    <w:p>
      <w:pPr>
        <w:spacing w:line="360" w:lineRule="auto"/>
        <w:ind w:firstLine="480" w:firstLineChars="200"/>
        <w:rPr>
          <w:rFonts w:ascii="宋体" w:hAnsi="宋体" w:eastAsia="宋体" w:cs="Times New Roman"/>
          <w:b/>
          <w:bCs/>
          <w:color w:val="000000"/>
          <w:sz w:val="24"/>
          <w:szCs w:val="24"/>
        </w:rPr>
      </w:pPr>
      <w:r>
        <w:rPr>
          <w:rFonts w:hint="eastAsia" w:ascii="宋体" w:hAnsi="宋体" w:eastAsia="宋体" w:cs="Times New Roman"/>
          <w:color w:val="000000"/>
          <w:sz w:val="24"/>
          <w:szCs w:val="24"/>
        </w:rPr>
        <w:t>请逐条对应采购文件“项目需求”等内容要求的商务条件，填写该表。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2774"/>
        <w:gridCol w:w="2927"/>
        <w:gridCol w:w="2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77" w:type="dxa"/>
            <w:vAlign w:val="center"/>
          </w:tcPr>
          <w:p>
            <w:pPr>
              <w:spacing w:line="360" w:lineRule="auto"/>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项号</w:t>
            </w:r>
          </w:p>
        </w:tc>
        <w:tc>
          <w:tcPr>
            <w:tcW w:w="2774" w:type="dxa"/>
            <w:vAlign w:val="center"/>
          </w:tcPr>
          <w:p>
            <w:pPr>
              <w:spacing w:line="360" w:lineRule="auto"/>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采购文件的商务条款</w:t>
            </w:r>
          </w:p>
        </w:tc>
        <w:tc>
          <w:tcPr>
            <w:tcW w:w="2927" w:type="dxa"/>
            <w:vAlign w:val="center"/>
          </w:tcPr>
          <w:p>
            <w:pPr>
              <w:spacing w:line="360" w:lineRule="auto"/>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响应文件的商务条款</w:t>
            </w:r>
          </w:p>
        </w:tc>
        <w:tc>
          <w:tcPr>
            <w:tcW w:w="2444" w:type="dxa"/>
            <w:vAlign w:val="center"/>
          </w:tcPr>
          <w:p>
            <w:pPr>
              <w:spacing w:line="360" w:lineRule="auto"/>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77" w:type="dxa"/>
          </w:tcPr>
          <w:p>
            <w:pPr>
              <w:spacing w:line="360" w:lineRule="auto"/>
              <w:ind w:firstLine="480" w:firstLineChars="200"/>
              <w:jc w:val="center"/>
              <w:rPr>
                <w:rFonts w:ascii="宋体" w:hAnsi="宋体" w:eastAsia="宋体" w:cs="Times New Roman"/>
                <w:color w:val="000000"/>
                <w:sz w:val="24"/>
                <w:szCs w:val="24"/>
              </w:rPr>
            </w:pPr>
          </w:p>
        </w:tc>
        <w:tc>
          <w:tcPr>
            <w:tcW w:w="2774" w:type="dxa"/>
          </w:tcPr>
          <w:p>
            <w:pPr>
              <w:spacing w:line="360" w:lineRule="auto"/>
              <w:ind w:firstLine="480" w:firstLineChars="200"/>
              <w:jc w:val="center"/>
              <w:rPr>
                <w:rFonts w:ascii="宋体" w:hAnsi="宋体" w:eastAsia="宋体" w:cs="Times New Roman"/>
                <w:color w:val="000000"/>
                <w:sz w:val="24"/>
                <w:szCs w:val="24"/>
              </w:rPr>
            </w:pPr>
          </w:p>
        </w:tc>
        <w:tc>
          <w:tcPr>
            <w:tcW w:w="2927" w:type="dxa"/>
          </w:tcPr>
          <w:p>
            <w:pPr>
              <w:spacing w:line="360" w:lineRule="auto"/>
              <w:ind w:firstLine="480" w:firstLineChars="200"/>
              <w:jc w:val="center"/>
              <w:rPr>
                <w:rFonts w:ascii="宋体" w:hAnsi="宋体" w:eastAsia="宋体" w:cs="Times New Roman"/>
                <w:color w:val="000000"/>
                <w:sz w:val="24"/>
                <w:szCs w:val="24"/>
              </w:rPr>
            </w:pPr>
          </w:p>
        </w:tc>
        <w:tc>
          <w:tcPr>
            <w:tcW w:w="2444" w:type="dxa"/>
          </w:tcPr>
          <w:p>
            <w:pPr>
              <w:spacing w:line="360" w:lineRule="auto"/>
              <w:ind w:firstLine="480" w:firstLineChars="200"/>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77" w:type="dxa"/>
          </w:tcPr>
          <w:p>
            <w:pPr>
              <w:spacing w:line="360" w:lineRule="auto"/>
              <w:ind w:firstLine="480" w:firstLineChars="200"/>
              <w:jc w:val="center"/>
              <w:rPr>
                <w:rFonts w:ascii="宋体" w:hAnsi="宋体" w:eastAsia="宋体" w:cs="Times New Roman"/>
                <w:color w:val="000000"/>
                <w:sz w:val="24"/>
                <w:szCs w:val="24"/>
              </w:rPr>
            </w:pPr>
          </w:p>
        </w:tc>
        <w:tc>
          <w:tcPr>
            <w:tcW w:w="2774" w:type="dxa"/>
          </w:tcPr>
          <w:p>
            <w:pPr>
              <w:spacing w:line="360" w:lineRule="auto"/>
              <w:ind w:firstLine="480" w:firstLineChars="200"/>
              <w:jc w:val="center"/>
              <w:rPr>
                <w:rFonts w:ascii="宋体" w:hAnsi="宋体" w:eastAsia="宋体" w:cs="Times New Roman"/>
                <w:color w:val="000000"/>
                <w:sz w:val="24"/>
                <w:szCs w:val="24"/>
              </w:rPr>
            </w:pPr>
          </w:p>
        </w:tc>
        <w:tc>
          <w:tcPr>
            <w:tcW w:w="2927" w:type="dxa"/>
          </w:tcPr>
          <w:p>
            <w:pPr>
              <w:spacing w:line="360" w:lineRule="auto"/>
              <w:ind w:firstLine="480" w:firstLineChars="200"/>
              <w:jc w:val="center"/>
              <w:rPr>
                <w:rFonts w:ascii="宋体" w:hAnsi="宋体" w:eastAsia="宋体" w:cs="Times New Roman"/>
                <w:color w:val="000000"/>
                <w:sz w:val="24"/>
                <w:szCs w:val="24"/>
              </w:rPr>
            </w:pPr>
          </w:p>
        </w:tc>
        <w:tc>
          <w:tcPr>
            <w:tcW w:w="2444" w:type="dxa"/>
          </w:tcPr>
          <w:p>
            <w:pPr>
              <w:spacing w:line="360" w:lineRule="auto"/>
              <w:ind w:firstLine="480" w:firstLineChars="200"/>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77" w:type="dxa"/>
          </w:tcPr>
          <w:p>
            <w:pPr>
              <w:spacing w:line="360" w:lineRule="auto"/>
              <w:ind w:firstLine="480" w:firstLineChars="200"/>
              <w:jc w:val="center"/>
              <w:rPr>
                <w:rFonts w:ascii="宋体" w:hAnsi="宋体" w:eastAsia="宋体" w:cs="Times New Roman"/>
                <w:color w:val="000000"/>
                <w:sz w:val="24"/>
                <w:szCs w:val="24"/>
              </w:rPr>
            </w:pPr>
          </w:p>
        </w:tc>
        <w:tc>
          <w:tcPr>
            <w:tcW w:w="2774" w:type="dxa"/>
          </w:tcPr>
          <w:p>
            <w:pPr>
              <w:spacing w:line="360" w:lineRule="auto"/>
              <w:ind w:firstLine="480" w:firstLineChars="200"/>
              <w:jc w:val="center"/>
              <w:rPr>
                <w:rFonts w:ascii="宋体" w:hAnsi="宋体" w:eastAsia="宋体" w:cs="Times New Roman"/>
                <w:color w:val="000000"/>
                <w:sz w:val="24"/>
                <w:szCs w:val="24"/>
              </w:rPr>
            </w:pPr>
          </w:p>
        </w:tc>
        <w:tc>
          <w:tcPr>
            <w:tcW w:w="2927" w:type="dxa"/>
          </w:tcPr>
          <w:p>
            <w:pPr>
              <w:spacing w:line="360" w:lineRule="auto"/>
              <w:ind w:firstLine="480" w:firstLineChars="200"/>
              <w:jc w:val="center"/>
              <w:rPr>
                <w:rFonts w:ascii="宋体" w:hAnsi="宋体" w:eastAsia="宋体" w:cs="Times New Roman"/>
                <w:color w:val="000000"/>
                <w:sz w:val="24"/>
                <w:szCs w:val="24"/>
              </w:rPr>
            </w:pPr>
          </w:p>
        </w:tc>
        <w:tc>
          <w:tcPr>
            <w:tcW w:w="2444" w:type="dxa"/>
          </w:tcPr>
          <w:p>
            <w:pPr>
              <w:spacing w:line="360" w:lineRule="auto"/>
              <w:ind w:firstLine="480" w:firstLineChars="200"/>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77" w:type="dxa"/>
          </w:tcPr>
          <w:p>
            <w:pPr>
              <w:spacing w:line="360" w:lineRule="auto"/>
              <w:ind w:firstLine="480" w:firstLineChars="200"/>
              <w:jc w:val="center"/>
              <w:rPr>
                <w:rFonts w:ascii="宋体" w:hAnsi="宋体" w:eastAsia="宋体" w:cs="Times New Roman"/>
                <w:color w:val="000000"/>
                <w:sz w:val="24"/>
                <w:szCs w:val="24"/>
              </w:rPr>
            </w:pPr>
          </w:p>
        </w:tc>
        <w:tc>
          <w:tcPr>
            <w:tcW w:w="2774" w:type="dxa"/>
          </w:tcPr>
          <w:p>
            <w:pPr>
              <w:spacing w:line="360" w:lineRule="auto"/>
              <w:ind w:firstLine="480" w:firstLineChars="200"/>
              <w:jc w:val="center"/>
              <w:rPr>
                <w:rFonts w:ascii="宋体" w:hAnsi="宋体" w:eastAsia="宋体" w:cs="Times New Roman"/>
                <w:color w:val="000000"/>
                <w:sz w:val="24"/>
                <w:szCs w:val="24"/>
              </w:rPr>
            </w:pPr>
          </w:p>
        </w:tc>
        <w:tc>
          <w:tcPr>
            <w:tcW w:w="2927" w:type="dxa"/>
          </w:tcPr>
          <w:p>
            <w:pPr>
              <w:spacing w:line="360" w:lineRule="auto"/>
              <w:ind w:firstLine="480" w:firstLineChars="200"/>
              <w:jc w:val="center"/>
              <w:rPr>
                <w:rFonts w:ascii="宋体" w:hAnsi="宋体" w:eastAsia="宋体" w:cs="Times New Roman"/>
                <w:color w:val="000000"/>
                <w:sz w:val="24"/>
                <w:szCs w:val="24"/>
              </w:rPr>
            </w:pPr>
          </w:p>
        </w:tc>
        <w:tc>
          <w:tcPr>
            <w:tcW w:w="2444" w:type="dxa"/>
          </w:tcPr>
          <w:p>
            <w:pPr>
              <w:spacing w:line="360" w:lineRule="auto"/>
              <w:ind w:firstLine="480" w:firstLineChars="200"/>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77" w:type="dxa"/>
          </w:tcPr>
          <w:p>
            <w:pPr>
              <w:spacing w:line="360" w:lineRule="auto"/>
              <w:ind w:firstLine="480" w:firstLineChars="200"/>
              <w:jc w:val="center"/>
              <w:rPr>
                <w:rFonts w:ascii="宋体" w:hAnsi="宋体" w:eastAsia="宋体" w:cs="Times New Roman"/>
                <w:color w:val="000000"/>
                <w:sz w:val="24"/>
                <w:szCs w:val="24"/>
              </w:rPr>
            </w:pPr>
          </w:p>
        </w:tc>
        <w:tc>
          <w:tcPr>
            <w:tcW w:w="2774" w:type="dxa"/>
          </w:tcPr>
          <w:p>
            <w:pPr>
              <w:spacing w:line="360" w:lineRule="auto"/>
              <w:ind w:firstLine="480" w:firstLineChars="200"/>
              <w:jc w:val="center"/>
              <w:rPr>
                <w:rFonts w:ascii="宋体" w:hAnsi="宋体" w:eastAsia="宋体" w:cs="Times New Roman"/>
                <w:color w:val="000000"/>
                <w:sz w:val="24"/>
                <w:szCs w:val="24"/>
              </w:rPr>
            </w:pPr>
          </w:p>
        </w:tc>
        <w:tc>
          <w:tcPr>
            <w:tcW w:w="2927" w:type="dxa"/>
          </w:tcPr>
          <w:p>
            <w:pPr>
              <w:spacing w:line="360" w:lineRule="auto"/>
              <w:ind w:firstLine="480" w:firstLineChars="200"/>
              <w:jc w:val="center"/>
              <w:rPr>
                <w:rFonts w:ascii="宋体" w:hAnsi="宋体" w:eastAsia="宋体" w:cs="Times New Roman"/>
                <w:color w:val="000000"/>
                <w:sz w:val="24"/>
                <w:szCs w:val="24"/>
              </w:rPr>
            </w:pPr>
          </w:p>
        </w:tc>
        <w:tc>
          <w:tcPr>
            <w:tcW w:w="2444" w:type="dxa"/>
          </w:tcPr>
          <w:p>
            <w:pPr>
              <w:spacing w:line="360" w:lineRule="auto"/>
              <w:ind w:firstLine="480" w:firstLineChars="200"/>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77" w:type="dxa"/>
          </w:tcPr>
          <w:p>
            <w:pPr>
              <w:spacing w:line="360" w:lineRule="auto"/>
              <w:ind w:firstLine="480" w:firstLineChars="200"/>
              <w:jc w:val="center"/>
              <w:rPr>
                <w:rFonts w:ascii="宋体" w:hAnsi="宋体" w:eastAsia="宋体" w:cs="Times New Roman"/>
                <w:color w:val="000000"/>
                <w:sz w:val="24"/>
                <w:szCs w:val="24"/>
              </w:rPr>
            </w:pPr>
          </w:p>
        </w:tc>
        <w:tc>
          <w:tcPr>
            <w:tcW w:w="2774" w:type="dxa"/>
          </w:tcPr>
          <w:p>
            <w:pPr>
              <w:spacing w:line="360" w:lineRule="auto"/>
              <w:ind w:firstLine="480" w:firstLineChars="200"/>
              <w:jc w:val="center"/>
              <w:rPr>
                <w:rFonts w:ascii="宋体" w:hAnsi="宋体" w:eastAsia="宋体" w:cs="Times New Roman"/>
                <w:color w:val="000000"/>
                <w:sz w:val="24"/>
                <w:szCs w:val="24"/>
              </w:rPr>
            </w:pPr>
          </w:p>
        </w:tc>
        <w:tc>
          <w:tcPr>
            <w:tcW w:w="2927" w:type="dxa"/>
          </w:tcPr>
          <w:p>
            <w:pPr>
              <w:spacing w:line="360" w:lineRule="auto"/>
              <w:ind w:firstLine="480" w:firstLineChars="200"/>
              <w:jc w:val="center"/>
              <w:rPr>
                <w:rFonts w:ascii="宋体" w:hAnsi="宋体" w:eastAsia="宋体" w:cs="Times New Roman"/>
                <w:color w:val="000000"/>
                <w:sz w:val="24"/>
                <w:szCs w:val="24"/>
              </w:rPr>
            </w:pPr>
          </w:p>
        </w:tc>
        <w:tc>
          <w:tcPr>
            <w:tcW w:w="2444" w:type="dxa"/>
          </w:tcPr>
          <w:p>
            <w:pPr>
              <w:spacing w:line="360" w:lineRule="auto"/>
              <w:ind w:firstLine="480" w:firstLineChars="200"/>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77" w:type="dxa"/>
          </w:tcPr>
          <w:p>
            <w:pPr>
              <w:spacing w:line="360" w:lineRule="auto"/>
              <w:ind w:firstLine="480" w:firstLineChars="200"/>
              <w:jc w:val="center"/>
              <w:rPr>
                <w:rFonts w:ascii="宋体" w:hAnsi="宋体" w:eastAsia="宋体" w:cs="Times New Roman"/>
                <w:color w:val="000000"/>
                <w:sz w:val="24"/>
                <w:szCs w:val="24"/>
              </w:rPr>
            </w:pPr>
          </w:p>
        </w:tc>
        <w:tc>
          <w:tcPr>
            <w:tcW w:w="2774" w:type="dxa"/>
          </w:tcPr>
          <w:p>
            <w:pPr>
              <w:spacing w:line="360" w:lineRule="auto"/>
              <w:ind w:firstLine="480" w:firstLineChars="200"/>
              <w:jc w:val="center"/>
              <w:rPr>
                <w:rFonts w:ascii="宋体" w:hAnsi="宋体" w:eastAsia="宋体" w:cs="Times New Roman"/>
                <w:color w:val="000000"/>
                <w:sz w:val="24"/>
                <w:szCs w:val="24"/>
              </w:rPr>
            </w:pPr>
          </w:p>
        </w:tc>
        <w:tc>
          <w:tcPr>
            <w:tcW w:w="2927" w:type="dxa"/>
          </w:tcPr>
          <w:p>
            <w:pPr>
              <w:spacing w:line="360" w:lineRule="auto"/>
              <w:ind w:firstLine="480" w:firstLineChars="200"/>
              <w:jc w:val="center"/>
              <w:rPr>
                <w:rFonts w:ascii="宋体" w:hAnsi="宋体" w:eastAsia="宋体" w:cs="Times New Roman"/>
                <w:color w:val="000000"/>
                <w:sz w:val="24"/>
                <w:szCs w:val="24"/>
              </w:rPr>
            </w:pPr>
          </w:p>
        </w:tc>
        <w:tc>
          <w:tcPr>
            <w:tcW w:w="2444" w:type="dxa"/>
          </w:tcPr>
          <w:p>
            <w:pPr>
              <w:spacing w:line="360" w:lineRule="auto"/>
              <w:ind w:firstLine="480" w:firstLineChars="200"/>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77" w:type="dxa"/>
          </w:tcPr>
          <w:p>
            <w:pPr>
              <w:spacing w:line="360" w:lineRule="auto"/>
              <w:ind w:firstLine="480" w:firstLineChars="200"/>
              <w:jc w:val="center"/>
              <w:rPr>
                <w:rFonts w:ascii="宋体" w:hAnsi="宋体" w:eastAsia="宋体" w:cs="Times New Roman"/>
                <w:color w:val="000000"/>
                <w:sz w:val="24"/>
                <w:szCs w:val="24"/>
              </w:rPr>
            </w:pPr>
          </w:p>
        </w:tc>
        <w:tc>
          <w:tcPr>
            <w:tcW w:w="2774" w:type="dxa"/>
          </w:tcPr>
          <w:p>
            <w:pPr>
              <w:spacing w:line="360" w:lineRule="auto"/>
              <w:ind w:firstLine="480" w:firstLineChars="200"/>
              <w:jc w:val="center"/>
              <w:rPr>
                <w:rFonts w:ascii="宋体" w:hAnsi="宋体" w:eastAsia="宋体" w:cs="Times New Roman"/>
                <w:color w:val="000000"/>
                <w:sz w:val="24"/>
                <w:szCs w:val="24"/>
              </w:rPr>
            </w:pPr>
          </w:p>
        </w:tc>
        <w:tc>
          <w:tcPr>
            <w:tcW w:w="2927" w:type="dxa"/>
          </w:tcPr>
          <w:p>
            <w:pPr>
              <w:spacing w:line="360" w:lineRule="auto"/>
              <w:ind w:firstLine="480" w:firstLineChars="200"/>
              <w:jc w:val="center"/>
              <w:rPr>
                <w:rFonts w:ascii="宋体" w:hAnsi="宋体" w:eastAsia="宋体" w:cs="Times New Roman"/>
                <w:color w:val="000000"/>
                <w:sz w:val="24"/>
                <w:szCs w:val="24"/>
              </w:rPr>
            </w:pPr>
          </w:p>
        </w:tc>
        <w:tc>
          <w:tcPr>
            <w:tcW w:w="2444" w:type="dxa"/>
          </w:tcPr>
          <w:p>
            <w:pPr>
              <w:spacing w:line="360" w:lineRule="auto"/>
              <w:ind w:firstLine="480" w:firstLineChars="200"/>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77" w:type="dxa"/>
          </w:tcPr>
          <w:p>
            <w:pPr>
              <w:spacing w:line="360" w:lineRule="auto"/>
              <w:ind w:firstLine="480" w:firstLineChars="200"/>
              <w:jc w:val="center"/>
              <w:rPr>
                <w:rFonts w:ascii="宋体" w:hAnsi="宋体" w:eastAsia="宋体" w:cs="Times New Roman"/>
                <w:color w:val="000000"/>
                <w:sz w:val="24"/>
                <w:szCs w:val="24"/>
              </w:rPr>
            </w:pPr>
          </w:p>
        </w:tc>
        <w:tc>
          <w:tcPr>
            <w:tcW w:w="2774" w:type="dxa"/>
          </w:tcPr>
          <w:p>
            <w:pPr>
              <w:spacing w:line="360" w:lineRule="auto"/>
              <w:ind w:firstLine="480" w:firstLineChars="200"/>
              <w:jc w:val="center"/>
              <w:rPr>
                <w:rFonts w:ascii="宋体" w:hAnsi="宋体" w:eastAsia="宋体" w:cs="Times New Roman"/>
                <w:color w:val="000000"/>
                <w:sz w:val="24"/>
                <w:szCs w:val="24"/>
              </w:rPr>
            </w:pPr>
          </w:p>
        </w:tc>
        <w:tc>
          <w:tcPr>
            <w:tcW w:w="2927" w:type="dxa"/>
          </w:tcPr>
          <w:p>
            <w:pPr>
              <w:spacing w:line="360" w:lineRule="auto"/>
              <w:ind w:firstLine="480" w:firstLineChars="200"/>
              <w:jc w:val="center"/>
              <w:rPr>
                <w:rFonts w:ascii="宋体" w:hAnsi="宋体" w:eastAsia="宋体" w:cs="Times New Roman"/>
                <w:color w:val="000000"/>
                <w:sz w:val="24"/>
                <w:szCs w:val="24"/>
              </w:rPr>
            </w:pPr>
          </w:p>
        </w:tc>
        <w:tc>
          <w:tcPr>
            <w:tcW w:w="2444" w:type="dxa"/>
          </w:tcPr>
          <w:p>
            <w:pPr>
              <w:spacing w:line="360" w:lineRule="auto"/>
              <w:ind w:firstLine="480" w:firstLineChars="200"/>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77" w:type="dxa"/>
          </w:tcPr>
          <w:p>
            <w:pPr>
              <w:spacing w:line="360" w:lineRule="auto"/>
              <w:ind w:firstLine="480" w:firstLineChars="200"/>
              <w:jc w:val="center"/>
              <w:rPr>
                <w:rFonts w:ascii="宋体" w:hAnsi="宋体" w:eastAsia="宋体" w:cs="Times New Roman"/>
                <w:color w:val="000000"/>
                <w:sz w:val="24"/>
                <w:szCs w:val="24"/>
              </w:rPr>
            </w:pPr>
          </w:p>
        </w:tc>
        <w:tc>
          <w:tcPr>
            <w:tcW w:w="2774" w:type="dxa"/>
          </w:tcPr>
          <w:p>
            <w:pPr>
              <w:spacing w:line="360" w:lineRule="auto"/>
              <w:ind w:firstLine="480" w:firstLineChars="200"/>
              <w:jc w:val="center"/>
              <w:rPr>
                <w:rFonts w:ascii="宋体" w:hAnsi="宋体" w:eastAsia="宋体" w:cs="Times New Roman"/>
                <w:color w:val="000000"/>
                <w:sz w:val="24"/>
                <w:szCs w:val="24"/>
              </w:rPr>
            </w:pPr>
          </w:p>
        </w:tc>
        <w:tc>
          <w:tcPr>
            <w:tcW w:w="2927" w:type="dxa"/>
          </w:tcPr>
          <w:p>
            <w:pPr>
              <w:spacing w:line="360" w:lineRule="auto"/>
              <w:ind w:firstLine="480" w:firstLineChars="200"/>
              <w:jc w:val="center"/>
              <w:rPr>
                <w:rFonts w:ascii="宋体" w:hAnsi="宋体" w:eastAsia="宋体" w:cs="Times New Roman"/>
                <w:color w:val="000000"/>
                <w:sz w:val="24"/>
                <w:szCs w:val="24"/>
              </w:rPr>
            </w:pPr>
          </w:p>
        </w:tc>
        <w:tc>
          <w:tcPr>
            <w:tcW w:w="2444" w:type="dxa"/>
          </w:tcPr>
          <w:p>
            <w:pPr>
              <w:spacing w:line="360" w:lineRule="auto"/>
              <w:ind w:firstLine="480" w:firstLineChars="200"/>
              <w:jc w:val="center"/>
              <w:rPr>
                <w:rFonts w:ascii="宋体" w:hAnsi="宋体" w:eastAsia="宋体" w:cs="Times New Roman"/>
                <w:color w:val="000000"/>
                <w:sz w:val="24"/>
                <w:szCs w:val="24"/>
              </w:rPr>
            </w:pPr>
          </w:p>
        </w:tc>
      </w:tr>
    </w:tbl>
    <w:p>
      <w:pPr>
        <w:spacing w:line="400" w:lineRule="exact"/>
        <w:ind w:firstLine="480" w:firstLineChars="200"/>
        <w:rPr>
          <w:rFonts w:ascii="宋体" w:hAnsi="宋体" w:eastAsia="宋体" w:cs="Times New Roman"/>
          <w:szCs w:val="20"/>
        </w:rPr>
      </w:pPr>
      <w:r>
        <w:rPr>
          <w:rFonts w:hint="eastAsia" w:ascii="宋体" w:hAnsi="宋体" w:eastAsia="宋体" w:cs="Times New Roman"/>
          <w:color w:val="000000"/>
          <w:sz w:val="24"/>
          <w:szCs w:val="24"/>
        </w:rPr>
        <w:t>注：“偏离说明”填写“正偏离”“负偏离”或“无偏离”。</w:t>
      </w:r>
    </w:p>
    <w:p>
      <w:pPr>
        <w:spacing w:line="360" w:lineRule="auto"/>
        <w:ind w:firstLine="480" w:firstLineChars="200"/>
        <w:rPr>
          <w:rFonts w:ascii="宋体" w:hAnsi="宋体" w:eastAsia="宋体" w:cs="Times New Roman"/>
          <w:color w:val="000000"/>
          <w:sz w:val="24"/>
          <w:szCs w:val="24"/>
        </w:rPr>
      </w:pPr>
    </w:p>
    <w:p>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投标人（盖章）：</w:t>
      </w:r>
    </w:p>
    <w:p>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法定代表人或委托代理人（签字或盖章）：</w:t>
      </w:r>
    </w:p>
    <w:p>
      <w:pPr>
        <w:spacing w:line="360" w:lineRule="auto"/>
        <w:ind w:firstLine="480" w:firstLineChars="200"/>
        <w:rPr>
          <w:rFonts w:ascii="宋体" w:hAnsi="宋体" w:eastAsia="宋体" w:cs="Times New Roman"/>
          <w:color w:val="000000"/>
          <w:sz w:val="24"/>
          <w:szCs w:val="24"/>
        </w:rPr>
      </w:pPr>
      <w:r>
        <w:rPr>
          <w:rFonts w:hint="eastAsia" w:ascii="宋体" w:hAnsi="Courier New" w:eastAsia="宋体" w:cs="Times New Roman"/>
          <w:color w:val="000000"/>
          <w:sz w:val="24"/>
          <w:szCs w:val="24"/>
        </w:rPr>
        <w:t>日期：    年     月     日</w:t>
      </w:r>
    </w:p>
    <w:p>
      <w:pPr>
        <w:spacing w:line="600" w:lineRule="exact"/>
        <w:ind w:firstLine="420" w:firstLineChars="200"/>
        <w:rPr>
          <w:rFonts w:ascii="宋体" w:hAnsi="宋体" w:eastAsia="宋体" w:cs="Times New Roman"/>
          <w:color w:val="000000"/>
          <w:szCs w:val="20"/>
        </w:rPr>
      </w:pPr>
    </w:p>
    <w:p>
      <w:pPr>
        <w:keepNext/>
        <w:spacing w:line="360" w:lineRule="auto"/>
        <w:textAlignment w:val="baseline"/>
        <w:outlineLvl w:val="1"/>
        <w:rPr>
          <w:rFonts w:ascii="Times New Roman" w:hAnsi="宋体" w:eastAsia="黑体" w:cs="Times New Roman"/>
          <w:b/>
          <w:color w:val="000000"/>
          <w:kern w:val="0"/>
          <w:sz w:val="28"/>
          <w:szCs w:val="21"/>
        </w:rPr>
      </w:pPr>
      <w:r>
        <w:rPr>
          <w:rFonts w:ascii="Times New Roman" w:hAnsi="Times New Roman" w:eastAsia="黑体" w:cs="Times New Roman"/>
          <w:b/>
          <w:kern w:val="0"/>
          <w:sz w:val="28"/>
          <w:szCs w:val="20"/>
        </w:rPr>
        <w:br w:type="page"/>
      </w:r>
      <w:r>
        <w:rPr>
          <w:rFonts w:hint="eastAsia" w:ascii="宋体" w:hAnsi="宋体" w:eastAsia="宋体" w:cs="Times New Roman"/>
          <w:color w:val="000000"/>
          <w:kern w:val="0"/>
          <w:sz w:val="24"/>
          <w:szCs w:val="24"/>
        </w:rPr>
        <w:t>格式1</w:t>
      </w:r>
      <w:r>
        <w:rPr>
          <w:rFonts w:hint="eastAsia" w:ascii="宋体" w:hAnsi="宋体" w:eastAsia="宋体" w:cs="Times New Roman"/>
          <w:color w:val="000000"/>
          <w:kern w:val="0"/>
          <w:sz w:val="24"/>
          <w:szCs w:val="24"/>
          <w:lang w:val="en-US" w:eastAsia="zh-CN"/>
        </w:rPr>
        <w:t>1</w:t>
      </w:r>
      <w:r>
        <w:rPr>
          <w:rFonts w:hint="eastAsia" w:ascii="宋体" w:hAnsi="宋体" w:eastAsia="宋体" w:cs="Times New Roman"/>
          <w:color w:val="000000"/>
          <w:kern w:val="0"/>
          <w:sz w:val="24"/>
          <w:szCs w:val="24"/>
        </w:rPr>
        <w:t>、售后服务承诺书</w:t>
      </w:r>
    </w:p>
    <w:p>
      <w:pPr>
        <w:spacing w:line="360" w:lineRule="auto"/>
        <w:jc w:val="center"/>
        <w:rPr>
          <w:rFonts w:ascii="黑体" w:hAnsi="黑体" w:eastAsia="黑体" w:cs="宋体"/>
          <w:bCs/>
          <w:sz w:val="36"/>
          <w:szCs w:val="28"/>
        </w:rPr>
      </w:pPr>
      <w:r>
        <w:rPr>
          <w:rFonts w:hint="eastAsia" w:ascii="黑体" w:hAnsi="黑体" w:eastAsia="黑体" w:cs="宋体"/>
          <w:bCs/>
          <w:sz w:val="36"/>
          <w:szCs w:val="28"/>
        </w:rPr>
        <w:t>售后服务承诺书</w:t>
      </w:r>
    </w:p>
    <w:p>
      <w:pPr>
        <w:spacing w:line="360" w:lineRule="auto"/>
        <w:ind w:firstLine="480" w:firstLineChars="20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（请按“项目需求”要求的售后服务及内容自行填写）</w:t>
      </w:r>
    </w:p>
    <w:p>
      <w:pPr>
        <w:spacing w:line="360" w:lineRule="auto"/>
        <w:ind w:firstLine="480" w:firstLineChars="200"/>
        <w:rPr>
          <w:rFonts w:ascii="宋体" w:hAnsi="宋体" w:eastAsia="宋体" w:cs="Times New Roman"/>
          <w:color w:val="000000"/>
          <w:sz w:val="24"/>
          <w:szCs w:val="24"/>
        </w:rPr>
      </w:pPr>
    </w:p>
    <w:p>
      <w:pPr>
        <w:spacing w:line="360" w:lineRule="auto"/>
        <w:ind w:firstLine="480" w:firstLineChars="200"/>
        <w:rPr>
          <w:rFonts w:ascii="宋体" w:hAnsi="宋体" w:eastAsia="宋体" w:cs="Times New Roman"/>
          <w:color w:val="000000"/>
          <w:sz w:val="24"/>
          <w:szCs w:val="24"/>
        </w:rPr>
      </w:pPr>
    </w:p>
    <w:p>
      <w:pPr>
        <w:spacing w:line="360" w:lineRule="auto"/>
        <w:ind w:firstLine="480" w:firstLineChars="200"/>
        <w:rPr>
          <w:rFonts w:ascii="宋体" w:hAnsi="宋体" w:eastAsia="宋体" w:cs="Times New Roman"/>
          <w:color w:val="000000"/>
          <w:sz w:val="24"/>
          <w:szCs w:val="24"/>
        </w:rPr>
      </w:pPr>
    </w:p>
    <w:p>
      <w:pPr>
        <w:spacing w:line="360" w:lineRule="auto"/>
        <w:ind w:firstLine="480" w:firstLineChars="200"/>
        <w:rPr>
          <w:rFonts w:ascii="宋体" w:hAnsi="宋体" w:eastAsia="宋体" w:cs="Times New Roman"/>
          <w:color w:val="000000"/>
          <w:sz w:val="24"/>
          <w:szCs w:val="24"/>
        </w:rPr>
      </w:pPr>
    </w:p>
    <w:p>
      <w:pPr>
        <w:spacing w:line="360" w:lineRule="auto"/>
        <w:ind w:firstLine="480" w:firstLineChars="200"/>
        <w:rPr>
          <w:rFonts w:ascii="宋体" w:hAnsi="宋体" w:eastAsia="宋体" w:cs="Times New Roman"/>
          <w:color w:val="000000"/>
          <w:sz w:val="24"/>
          <w:szCs w:val="24"/>
        </w:rPr>
      </w:pPr>
    </w:p>
    <w:p>
      <w:pPr>
        <w:spacing w:line="360" w:lineRule="auto"/>
        <w:ind w:firstLine="480" w:firstLineChars="200"/>
        <w:rPr>
          <w:rFonts w:ascii="宋体" w:hAnsi="宋体" w:eastAsia="宋体" w:cs="Times New Roman"/>
          <w:color w:val="000000"/>
          <w:sz w:val="24"/>
          <w:szCs w:val="24"/>
        </w:rPr>
      </w:pPr>
    </w:p>
    <w:p>
      <w:pPr>
        <w:spacing w:line="360" w:lineRule="auto"/>
        <w:ind w:firstLine="480" w:firstLineChars="200"/>
        <w:rPr>
          <w:rFonts w:ascii="宋体" w:hAnsi="宋体" w:eastAsia="宋体" w:cs="Times New Roman"/>
          <w:color w:val="000000"/>
          <w:sz w:val="24"/>
          <w:szCs w:val="24"/>
        </w:rPr>
      </w:pPr>
    </w:p>
    <w:p>
      <w:pPr>
        <w:spacing w:line="360" w:lineRule="auto"/>
        <w:ind w:firstLine="480" w:firstLineChars="200"/>
        <w:rPr>
          <w:rFonts w:ascii="宋体" w:hAnsi="宋体" w:eastAsia="宋体" w:cs="Times New Roman"/>
          <w:color w:val="000000"/>
          <w:sz w:val="24"/>
          <w:szCs w:val="24"/>
        </w:rPr>
      </w:pPr>
    </w:p>
    <w:p>
      <w:pPr>
        <w:spacing w:line="360" w:lineRule="auto"/>
        <w:ind w:firstLine="480" w:firstLineChars="200"/>
        <w:rPr>
          <w:rFonts w:ascii="宋体" w:hAnsi="宋体" w:eastAsia="宋体" w:cs="Times New Roman"/>
          <w:color w:val="000000"/>
          <w:sz w:val="24"/>
          <w:szCs w:val="24"/>
        </w:rPr>
      </w:pPr>
    </w:p>
    <w:p>
      <w:pPr>
        <w:spacing w:line="360" w:lineRule="auto"/>
        <w:ind w:firstLine="480" w:firstLineChars="200"/>
        <w:rPr>
          <w:rFonts w:ascii="宋体" w:hAnsi="宋体" w:eastAsia="宋体" w:cs="Times New Roman"/>
          <w:color w:val="000000"/>
          <w:sz w:val="24"/>
          <w:szCs w:val="24"/>
        </w:rPr>
      </w:pPr>
    </w:p>
    <w:p>
      <w:pPr>
        <w:spacing w:line="360" w:lineRule="auto"/>
        <w:ind w:firstLine="480" w:firstLineChars="200"/>
        <w:rPr>
          <w:rFonts w:ascii="宋体" w:hAnsi="宋体" w:eastAsia="宋体" w:cs="Times New Roman"/>
          <w:color w:val="000000"/>
          <w:sz w:val="24"/>
          <w:szCs w:val="24"/>
        </w:rPr>
      </w:pPr>
    </w:p>
    <w:p>
      <w:pPr>
        <w:spacing w:line="360" w:lineRule="auto"/>
        <w:ind w:firstLine="480" w:firstLineChars="200"/>
        <w:rPr>
          <w:rFonts w:ascii="宋体" w:hAnsi="宋体" w:eastAsia="宋体" w:cs="Times New Roman"/>
          <w:color w:val="000000"/>
          <w:sz w:val="24"/>
          <w:szCs w:val="24"/>
        </w:rPr>
      </w:pPr>
    </w:p>
    <w:p>
      <w:pPr>
        <w:spacing w:line="360" w:lineRule="auto"/>
        <w:ind w:firstLine="480" w:firstLineChars="200"/>
        <w:rPr>
          <w:rFonts w:ascii="宋体" w:hAnsi="宋体" w:eastAsia="宋体" w:cs="Times New Roman"/>
          <w:color w:val="000000"/>
          <w:sz w:val="24"/>
          <w:szCs w:val="24"/>
        </w:rPr>
      </w:pPr>
    </w:p>
    <w:p>
      <w:pPr>
        <w:spacing w:line="360" w:lineRule="auto"/>
        <w:ind w:firstLine="480" w:firstLineChars="200"/>
        <w:rPr>
          <w:rFonts w:ascii="宋体" w:hAnsi="宋体" w:eastAsia="宋体" w:cs="Times New Roman"/>
          <w:color w:val="000000"/>
          <w:sz w:val="24"/>
          <w:szCs w:val="24"/>
        </w:rPr>
      </w:pPr>
    </w:p>
    <w:p>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投标人（盖章）：</w:t>
      </w:r>
    </w:p>
    <w:p>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法定代表人或委托代理人（签字或盖章）：</w:t>
      </w:r>
    </w:p>
    <w:p>
      <w:pPr>
        <w:spacing w:line="360" w:lineRule="auto"/>
        <w:ind w:firstLine="480" w:firstLineChars="200"/>
        <w:rPr>
          <w:rFonts w:ascii="宋体" w:hAnsi="Courier New" w:eastAsia="宋体" w:cs="Times New Roman"/>
          <w:color w:val="000000"/>
          <w:sz w:val="24"/>
          <w:szCs w:val="24"/>
        </w:rPr>
      </w:pPr>
      <w:r>
        <w:rPr>
          <w:rFonts w:hint="eastAsia" w:ascii="宋体" w:hAnsi="Courier New" w:eastAsia="宋体" w:cs="Times New Roman"/>
          <w:color w:val="000000"/>
          <w:sz w:val="24"/>
          <w:szCs w:val="24"/>
        </w:rPr>
        <w:t>日期：    年     月     日</w:t>
      </w:r>
    </w:p>
    <w:p>
      <w:pPr>
        <w:keepNext/>
        <w:spacing w:line="360" w:lineRule="auto"/>
        <w:textAlignment w:val="baseline"/>
        <w:outlineLvl w:val="1"/>
        <w:rPr>
          <w:rFonts w:ascii="Times New Roman" w:hAnsi="宋体" w:eastAsia="黑体" w:cs="Times New Roman"/>
          <w:b/>
          <w:kern w:val="0"/>
          <w:sz w:val="28"/>
          <w:szCs w:val="20"/>
        </w:rPr>
      </w:pPr>
      <w:r>
        <w:rPr>
          <w:rFonts w:ascii="Times New Roman" w:hAnsi="Times New Roman" w:eastAsia="黑体" w:cs="Times New Roman"/>
          <w:b/>
          <w:kern w:val="0"/>
          <w:sz w:val="28"/>
          <w:szCs w:val="20"/>
        </w:rPr>
        <w:br w:type="page"/>
      </w:r>
      <w:r>
        <w:rPr>
          <w:rFonts w:hint="eastAsia" w:ascii="宋体" w:hAnsi="宋体" w:eastAsia="宋体" w:cs="Times New Roman"/>
          <w:color w:val="000000"/>
          <w:kern w:val="0"/>
          <w:sz w:val="24"/>
          <w:szCs w:val="24"/>
        </w:rPr>
        <w:t>格式1</w:t>
      </w:r>
      <w:r>
        <w:rPr>
          <w:rFonts w:hint="eastAsia" w:ascii="宋体" w:hAnsi="宋体" w:eastAsia="宋体" w:cs="Times New Roman"/>
          <w:color w:val="000000"/>
          <w:kern w:val="0"/>
          <w:sz w:val="24"/>
          <w:szCs w:val="24"/>
          <w:lang w:val="en-US" w:eastAsia="zh-CN"/>
        </w:rPr>
        <w:t>2</w:t>
      </w:r>
      <w:r>
        <w:rPr>
          <w:rFonts w:hint="eastAsia" w:ascii="宋体" w:hAnsi="宋体" w:eastAsia="宋体" w:cs="Times New Roman"/>
          <w:color w:val="000000"/>
          <w:kern w:val="0"/>
          <w:sz w:val="24"/>
          <w:szCs w:val="24"/>
        </w:rPr>
        <w:t>、技术规格偏离表</w:t>
      </w:r>
    </w:p>
    <w:p>
      <w:pPr>
        <w:spacing w:line="360" w:lineRule="auto"/>
        <w:jc w:val="center"/>
        <w:rPr>
          <w:rFonts w:ascii="黑体" w:hAnsi="黑体" w:eastAsia="黑体" w:cs="宋体"/>
          <w:bCs/>
          <w:sz w:val="36"/>
          <w:szCs w:val="28"/>
        </w:rPr>
      </w:pPr>
      <w:r>
        <w:rPr>
          <w:rFonts w:hint="eastAsia" w:ascii="黑体" w:hAnsi="黑体" w:eastAsia="黑体" w:cs="宋体"/>
          <w:bCs/>
          <w:sz w:val="36"/>
          <w:szCs w:val="28"/>
        </w:rPr>
        <w:t>技术规格偏离表</w:t>
      </w:r>
    </w:p>
    <w:p>
      <w:pPr>
        <w:spacing w:line="360" w:lineRule="auto"/>
        <w:ind w:firstLine="420" w:firstLineChars="200"/>
        <w:rPr>
          <w:rFonts w:ascii="宋体" w:hAnsi="宋体" w:eastAsia="宋体" w:cs="Times New Roman"/>
          <w:color w:val="000000"/>
          <w:szCs w:val="20"/>
        </w:rPr>
      </w:pPr>
      <w:r>
        <w:rPr>
          <w:rFonts w:hint="eastAsia" w:ascii="宋体" w:hAnsi="宋体" w:eastAsia="宋体" w:cs="Times New Roman"/>
          <w:color w:val="000000"/>
          <w:szCs w:val="20"/>
        </w:rPr>
        <w:t>请按所响应产品的实际技术参数，逐条对应采购文件“项目需求”中要求的技术规范填写该表，该表不能作为所响应产品的技术文件，</w:t>
      </w:r>
      <w:r>
        <w:rPr>
          <w:rFonts w:hint="eastAsia" w:ascii="宋体" w:hAnsi="宋体" w:eastAsia="宋体" w:cs="Times New Roman"/>
          <w:color w:val="000000"/>
          <w:szCs w:val="20"/>
          <w:lang w:eastAsia="zh-CN"/>
        </w:rPr>
        <w:t>投标人</w:t>
      </w:r>
      <w:r>
        <w:rPr>
          <w:rFonts w:hint="eastAsia" w:ascii="宋体" w:hAnsi="宋体" w:eastAsia="宋体" w:cs="Times New Roman"/>
          <w:color w:val="000000"/>
          <w:szCs w:val="20"/>
        </w:rPr>
        <w:t>应在响应文件中单独提供技术文件。</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865"/>
        <w:gridCol w:w="448"/>
        <w:gridCol w:w="1418"/>
        <w:gridCol w:w="1134"/>
        <w:gridCol w:w="425"/>
        <w:gridCol w:w="1418"/>
        <w:gridCol w:w="155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511" w:type="dxa"/>
            <w:vMerge w:val="restart"/>
            <w:vAlign w:val="center"/>
          </w:tcPr>
          <w:p>
            <w:pPr>
              <w:spacing w:line="360" w:lineRule="auto"/>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项号</w:t>
            </w:r>
          </w:p>
        </w:tc>
        <w:tc>
          <w:tcPr>
            <w:tcW w:w="2731" w:type="dxa"/>
            <w:gridSpan w:val="3"/>
            <w:vAlign w:val="center"/>
          </w:tcPr>
          <w:p>
            <w:pPr>
              <w:spacing w:line="360" w:lineRule="auto"/>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采购文件需求</w:t>
            </w:r>
          </w:p>
        </w:tc>
        <w:tc>
          <w:tcPr>
            <w:tcW w:w="4536" w:type="dxa"/>
            <w:gridSpan w:val="4"/>
            <w:vAlign w:val="center"/>
          </w:tcPr>
          <w:p>
            <w:pPr>
              <w:spacing w:line="360" w:lineRule="auto"/>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响应产品规格及技术参数</w:t>
            </w:r>
          </w:p>
        </w:tc>
        <w:tc>
          <w:tcPr>
            <w:tcW w:w="1276" w:type="dxa"/>
            <w:vMerge w:val="restart"/>
            <w:vAlign w:val="center"/>
          </w:tcPr>
          <w:p>
            <w:pPr>
              <w:spacing w:line="360" w:lineRule="auto"/>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511" w:type="dxa"/>
            <w:vMerge w:val="continue"/>
            <w:vAlign w:val="center"/>
          </w:tcPr>
          <w:p>
            <w:pPr>
              <w:spacing w:line="360" w:lineRule="auto"/>
              <w:jc w:val="center"/>
              <w:rPr>
                <w:rFonts w:ascii="宋体" w:hAnsi="宋体" w:eastAsia="宋体" w:cs="Times New Roman"/>
                <w:color w:val="000000"/>
                <w:sz w:val="18"/>
                <w:szCs w:val="18"/>
              </w:rPr>
            </w:pPr>
          </w:p>
        </w:tc>
        <w:tc>
          <w:tcPr>
            <w:tcW w:w="865" w:type="dxa"/>
            <w:vAlign w:val="center"/>
          </w:tcPr>
          <w:p>
            <w:pPr>
              <w:spacing w:line="360" w:lineRule="auto"/>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货物名称</w:t>
            </w:r>
          </w:p>
        </w:tc>
        <w:tc>
          <w:tcPr>
            <w:tcW w:w="448" w:type="dxa"/>
            <w:vAlign w:val="center"/>
          </w:tcPr>
          <w:p>
            <w:pPr>
              <w:spacing w:line="360" w:lineRule="auto"/>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数量</w:t>
            </w:r>
          </w:p>
        </w:tc>
        <w:tc>
          <w:tcPr>
            <w:tcW w:w="1418" w:type="dxa"/>
            <w:vAlign w:val="center"/>
          </w:tcPr>
          <w:p>
            <w:pPr>
              <w:spacing w:line="360" w:lineRule="auto"/>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技术参数要求</w:t>
            </w:r>
          </w:p>
        </w:tc>
        <w:tc>
          <w:tcPr>
            <w:tcW w:w="1134" w:type="dxa"/>
            <w:vAlign w:val="center"/>
          </w:tcPr>
          <w:p>
            <w:pPr>
              <w:spacing w:line="360" w:lineRule="auto"/>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货物名称</w:t>
            </w:r>
          </w:p>
        </w:tc>
        <w:tc>
          <w:tcPr>
            <w:tcW w:w="425" w:type="dxa"/>
            <w:vAlign w:val="center"/>
          </w:tcPr>
          <w:p>
            <w:pPr>
              <w:spacing w:line="360" w:lineRule="auto"/>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数量</w:t>
            </w:r>
          </w:p>
        </w:tc>
        <w:tc>
          <w:tcPr>
            <w:tcW w:w="1418" w:type="dxa"/>
            <w:vAlign w:val="center"/>
          </w:tcPr>
          <w:p>
            <w:pPr>
              <w:spacing w:line="360" w:lineRule="auto"/>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品牌、厂家、型号规格</w:t>
            </w:r>
          </w:p>
        </w:tc>
        <w:tc>
          <w:tcPr>
            <w:tcW w:w="1559" w:type="dxa"/>
            <w:vAlign w:val="center"/>
          </w:tcPr>
          <w:p>
            <w:pPr>
              <w:spacing w:line="360" w:lineRule="auto"/>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技术参数</w:t>
            </w:r>
          </w:p>
        </w:tc>
        <w:tc>
          <w:tcPr>
            <w:tcW w:w="1276" w:type="dxa"/>
            <w:vMerge w:val="continue"/>
            <w:vAlign w:val="center"/>
          </w:tcPr>
          <w:p>
            <w:pPr>
              <w:spacing w:line="360" w:lineRule="auto"/>
              <w:jc w:val="center"/>
              <w:rPr>
                <w:rFonts w:ascii="宋体" w:hAnsi="宋体"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11" w:type="dxa"/>
            <w:vAlign w:val="center"/>
          </w:tcPr>
          <w:p>
            <w:pPr>
              <w:spacing w:line="360" w:lineRule="auto"/>
              <w:jc w:val="center"/>
              <w:rPr>
                <w:rFonts w:ascii="宋体" w:hAnsi="宋体" w:eastAsia="宋体" w:cs="Times New Roman"/>
                <w:color w:val="000000"/>
                <w:sz w:val="18"/>
                <w:szCs w:val="18"/>
              </w:rPr>
            </w:pPr>
          </w:p>
        </w:tc>
        <w:tc>
          <w:tcPr>
            <w:tcW w:w="865" w:type="dxa"/>
            <w:vAlign w:val="center"/>
          </w:tcPr>
          <w:p>
            <w:pPr>
              <w:spacing w:line="360" w:lineRule="auto"/>
              <w:jc w:val="center"/>
              <w:rPr>
                <w:rFonts w:ascii="宋体" w:hAnsi="宋体" w:eastAsia="宋体" w:cs="Times New Roman"/>
                <w:color w:val="000000"/>
                <w:sz w:val="18"/>
                <w:szCs w:val="18"/>
              </w:rPr>
            </w:pPr>
          </w:p>
        </w:tc>
        <w:tc>
          <w:tcPr>
            <w:tcW w:w="448" w:type="dxa"/>
            <w:vAlign w:val="center"/>
          </w:tcPr>
          <w:p>
            <w:pPr>
              <w:spacing w:line="360" w:lineRule="auto"/>
              <w:jc w:val="center"/>
              <w:rPr>
                <w:rFonts w:ascii="宋体" w:hAnsi="宋体" w:eastAsia="宋体" w:cs="Times New Roman"/>
                <w:color w:val="000000"/>
                <w:sz w:val="18"/>
                <w:szCs w:val="18"/>
              </w:rPr>
            </w:pPr>
          </w:p>
        </w:tc>
        <w:tc>
          <w:tcPr>
            <w:tcW w:w="1418" w:type="dxa"/>
            <w:vAlign w:val="center"/>
          </w:tcPr>
          <w:p>
            <w:pPr>
              <w:spacing w:line="360" w:lineRule="auto"/>
              <w:jc w:val="center"/>
              <w:rPr>
                <w:rFonts w:ascii="宋体" w:hAnsi="宋体" w:eastAsia="宋体" w:cs="Times New Roman"/>
                <w:color w:val="000000"/>
                <w:sz w:val="18"/>
                <w:szCs w:val="18"/>
              </w:rPr>
            </w:pPr>
          </w:p>
        </w:tc>
        <w:tc>
          <w:tcPr>
            <w:tcW w:w="1134" w:type="dxa"/>
            <w:vAlign w:val="center"/>
          </w:tcPr>
          <w:p>
            <w:pPr>
              <w:spacing w:line="360" w:lineRule="auto"/>
              <w:jc w:val="center"/>
              <w:rPr>
                <w:rFonts w:ascii="宋体" w:hAnsi="宋体" w:eastAsia="宋体" w:cs="Times New Roman"/>
                <w:color w:val="000000"/>
                <w:sz w:val="18"/>
                <w:szCs w:val="18"/>
              </w:rPr>
            </w:pPr>
          </w:p>
        </w:tc>
        <w:tc>
          <w:tcPr>
            <w:tcW w:w="425" w:type="dxa"/>
            <w:vAlign w:val="center"/>
          </w:tcPr>
          <w:p>
            <w:pPr>
              <w:spacing w:line="360" w:lineRule="auto"/>
              <w:jc w:val="center"/>
              <w:rPr>
                <w:rFonts w:ascii="宋体" w:hAnsi="宋体" w:eastAsia="宋体" w:cs="Times New Roman"/>
                <w:color w:val="000000"/>
                <w:sz w:val="18"/>
                <w:szCs w:val="18"/>
              </w:rPr>
            </w:pPr>
          </w:p>
        </w:tc>
        <w:tc>
          <w:tcPr>
            <w:tcW w:w="1418" w:type="dxa"/>
            <w:vAlign w:val="center"/>
          </w:tcPr>
          <w:p>
            <w:pPr>
              <w:spacing w:line="360" w:lineRule="auto"/>
              <w:jc w:val="center"/>
              <w:rPr>
                <w:rFonts w:ascii="宋体" w:hAnsi="宋体" w:eastAsia="宋体" w:cs="Times New Roman"/>
                <w:color w:val="000000"/>
                <w:sz w:val="18"/>
                <w:szCs w:val="18"/>
              </w:rPr>
            </w:pPr>
          </w:p>
        </w:tc>
        <w:tc>
          <w:tcPr>
            <w:tcW w:w="1559" w:type="dxa"/>
            <w:vAlign w:val="center"/>
          </w:tcPr>
          <w:p>
            <w:pPr>
              <w:spacing w:line="360" w:lineRule="auto"/>
              <w:jc w:val="center"/>
              <w:rPr>
                <w:rFonts w:ascii="宋体" w:hAnsi="宋体" w:eastAsia="宋体" w:cs="Times New Roman"/>
                <w:color w:val="000000"/>
                <w:sz w:val="18"/>
                <w:szCs w:val="18"/>
              </w:rPr>
            </w:pPr>
          </w:p>
        </w:tc>
        <w:tc>
          <w:tcPr>
            <w:tcW w:w="1276" w:type="dxa"/>
            <w:vAlign w:val="center"/>
          </w:tcPr>
          <w:p>
            <w:pPr>
              <w:spacing w:line="360" w:lineRule="auto"/>
              <w:jc w:val="center"/>
              <w:rPr>
                <w:rFonts w:ascii="宋体" w:hAnsi="宋体"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11" w:type="dxa"/>
            <w:vAlign w:val="center"/>
          </w:tcPr>
          <w:p>
            <w:pPr>
              <w:spacing w:line="360" w:lineRule="auto"/>
              <w:jc w:val="center"/>
              <w:rPr>
                <w:rFonts w:ascii="宋体" w:hAnsi="宋体" w:eastAsia="宋体" w:cs="Times New Roman"/>
                <w:color w:val="000000"/>
                <w:sz w:val="18"/>
                <w:szCs w:val="18"/>
              </w:rPr>
            </w:pPr>
          </w:p>
        </w:tc>
        <w:tc>
          <w:tcPr>
            <w:tcW w:w="865" w:type="dxa"/>
            <w:vAlign w:val="center"/>
          </w:tcPr>
          <w:p>
            <w:pPr>
              <w:spacing w:line="360" w:lineRule="auto"/>
              <w:jc w:val="center"/>
              <w:rPr>
                <w:rFonts w:ascii="宋体" w:hAnsi="宋体" w:eastAsia="宋体" w:cs="Times New Roman"/>
                <w:color w:val="000000"/>
                <w:sz w:val="18"/>
                <w:szCs w:val="18"/>
              </w:rPr>
            </w:pPr>
          </w:p>
        </w:tc>
        <w:tc>
          <w:tcPr>
            <w:tcW w:w="448" w:type="dxa"/>
            <w:vAlign w:val="center"/>
          </w:tcPr>
          <w:p>
            <w:pPr>
              <w:spacing w:line="360" w:lineRule="auto"/>
              <w:jc w:val="center"/>
              <w:rPr>
                <w:rFonts w:ascii="宋体" w:hAnsi="宋体" w:eastAsia="宋体" w:cs="Times New Roman"/>
                <w:color w:val="000000"/>
                <w:sz w:val="18"/>
                <w:szCs w:val="18"/>
              </w:rPr>
            </w:pPr>
          </w:p>
        </w:tc>
        <w:tc>
          <w:tcPr>
            <w:tcW w:w="1418" w:type="dxa"/>
            <w:vAlign w:val="center"/>
          </w:tcPr>
          <w:p>
            <w:pPr>
              <w:spacing w:line="360" w:lineRule="auto"/>
              <w:jc w:val="center"/>
              <w:rPr>
                <w:rFonts w:ascii="宋体" w:hAnsi="宋体" w:eastAsia="宋体" w:cs="Times New Roman"/>
                <w:color w:val="000000"/>
                <w:sz w:val="18"/>
                <w:szCs w:val="18"/>
              </w:rPr>
            </w:pPr>
          </w:p>
        </w:tc>
        <w:tc>
          <w:tcPr>
            <w:tcW w:w="1134" w:type="dxa"/>
            <w:vAlign w:val="center"/>
          </w:tcPr>
          <w:p>
            <w:pPr>
              <w:spacing w:line="360" w:lineRule="auto"/>
              <w:jc w:val="center"/>
              <w:rPr>
                <w:rFonts w:ascii="宋体" w:hAnsi="宋体" w:eastAsia="宋体" w:cs="Times New Roman"/>
                <w:color w:val="000000"/>
                <w:sz w:val="18"/>
                <w:szCs w:val="18"/>
              </w:rPr>
            </w:pPr>
          </w:p>
        </w:tc>
        <w:tc>
          <w:tcPr>
            <w:tcW w:w="425" w:type="dxa"/>
            <w:vAlign w:val="center"/>
          </w:tcPr>
          <w:p>
            <w:pPr>
              <w:spacing w:line="360" w:lineRule="auto"/>
              <w:jc w:val="center"/>
              <w:rPr>
                <w:rFonts w:ascii="宋体" w:hAnsi="宋体" w:eastAsia="宋体" w:cs="Times New Roman"/>
                <w:color w:val="000000"/>
                <w:sz w:val="18"/>
                <w:szCs w:val="18"/>
              </w:rPr>
            </w:pPr>
          </w:p>
        </w:tc>
        <w:tc>
          <w:tcPr>
            <w:tcW w:w="1418" w:type="dxa"/>
            <w:vAlign w:val="center"/>
          </w:tcPr>
          <w:p>
            <w:pPr>
              <w:spacing w:line="360" w:lineRule="auto"/>
              <w:jc w:val="center"/>
              <w:rPr>
                <w:rFonts w:ascii="宋体" w:hAnsi="宋体" w:eastAsia="宋体" w:cs="Times New Roman"/>
                <w:color w:val="000000"/>
                <w:sz w:val="18"/>
                <w:szCs w:val="18"/>
              </w:rPr>
            </w:pPr>
          </w:p>
        </w:tc>
        <w:tc>
          <w:tcPr>
            <w:tcW w:w="1559" w:type="dxa"/>
            <w:vAlign w:val="center"/>
          </w:tcPr>
          <w:p>
            <w:pPr>
              <w:spacing w:line="360" w:lineRule="auto"/>
              <w:jc w:val="center"/>
              <w:rPr>
                <w:rFonts w:ascii="宋体" w:hAnsi="宋体" w:eastAsia="宋体" w:cs="Times New Roman"/>
                <w:color w:val="000000"/>
                <w:sz w:val="18"/>
                <w:szCs w:val="18"/>
              </w:rPr>
            </w:pPr>
          </w:p>
        </w:tc>
        <w:tc>
          <w:tcPr>
            <w:tcW w:w="1276" w:type="dxa"/>
            <w:vAlign w:val="center"/>
          </w:tcPr>
          <w:p>
            <w:pPr>
              <w:spacing w:line="360" w:lineRule="auto"/>
              <w:jc w:val="center"/>
              <w:rPr>
                <w:rFonts w:ascii="宋体" w:hAnsi="宋体"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11" w:type="dxa"/>
            <w:vAlign w:val="center"/>
          </w:tcPr>
          <w:p>
            <w:pPr>
              <w:spacing w:line="360" w:lineRule="auto"/>
              <w:jc w:val="center"/>
              <w:rPr>
                <w:rFonts w:ascii="宋体" w:hAnsi="宋体" w:eastAsia="宋体" w:cs="Times New Roman"/>
                <w:color w:val="000000"/>
                <w:sz w:val="18"/>
                <w:szCs w:val="18"/>
              </w:rPr>
            </w:pPr>
          </w:p>
        </w:tc>
        <w:tc>
          <w:tcPr>
            <w:tcW w:w="865" w:type="dxa"/>
            <w:vAlign w:val="center"/>
          </w:tcPr>
          <w:p>
            <w:pPr>
              <w:spacing w:line="360" w:lineRule="auto"/>
              <w:jc w:val="center"/>
              <w:rPr>
                <w:rFonts w:ascii="宋体" w:hAnsi="宋体" w:eastAsia="宋体" w:cs="Times New Roman"/>
                <w:color w:val="000000"/>
                <w:sz w:val="18"/>
                <w:szCs w:val="18"/>
              </w:rPr>
            </w:pPr>
          </w:p>
        </w:tc>
        <w:tc>
          <w:tcPr>
            <w:tcW w:w="448" w:type="dxa"/>
            <w:vAlign w:val="center"/>
          </w:tcPr>
          <w:p>
            <w:pPr>
              <w:spacing w:line="360" w:lineRule="auto"/>
              <w:jc w:val="center"/>
              <w:rPr>
                <w:rFonts w:ascii="宋体" w:hAnsi="宋体" w:eastAsia="宋体" w:cs="Times New Roman"/>
                <w:color w:val="000000"/>
                <w:sz w:val="18"/>
                <w:szCs w:val="18"/>
              </w:rPr>
            </w:pPr>
          </w:p>
        </w:tc>
        <w:tc>
          <w:tcPr>
            <w:tcW w:w="1418" w:type="dxa"/>
            <w:vAlign w:val="center"/>
          </w:tcPr>
          <w:p>
            <w:pPr>
              <w:spacing w:line="360" w:lineRule="auto"/>
              <w:jc w:val="center"/>
              <w:rPr>
                <w:rFonts w:ascii="宋体" w:hAnsi="宋体" w:eastAsia="宋体" w:cs="Times New Roman"/>
                <w:color w:val="000000"/>
                <w:sz w:val="18"/>
                <w:szCs w:val="18"/>
              </w:rPr>
            </w:pPr>
          </w:p>
        </w:tc>
        <w:tc>
          <w:tcPr>
            <w:tcW w:w="1134" w:type="dxa"/>
            <w:vAlign w:val="center"/>
          </w:tcPr>
          <w:p>
            <w:pPr>
              <w:spacing w:line="360" w:lineRule="auto"/>
              <w:jc w:val="center"/>
              <w:rPr>
                <w:rFonts w:ascii="宋体" w:hAnsi="宋体" w:eastAsia="宋体" w:cs="Times New Roman"/>
                <w:color w:val="000000"/>
                <w:sz w:val="18"/>
                <w:szCs w:val="18"/>
              </w:rPr>
            </w:pPr>
          </w:p>
        </w:tc>
        <w:tc>
          <w:tcPr>
            <w:tcW w:w="425" w:type="dxa"/>
            <w:vAlign w:val="center"/>
          </w:tcPr>
          <w:p>
            <w:pPr>
              <w:spacing w:line="360" w:lineRule="auto"/>
              <w:jc w:val="center"/>
              <w:rPr>
                <w:rFonts w:ascii="宋体" w:hAnsi="宋体" w:eastAsia="宋体" w:cs="Times New Roman"/>
                <w:color w:val="000000"/>
                <w:sz w:val="18"/>
                <w:szCs w:val="18"/>
              </w:rPr>
            </w:pPr>
          </w:p>
        </w:tc>
        <w:tc>
          <w:tcPr>
            <w:tcW w:w="1418" w:type="dxa"/>
            <w:vAlign w:val="center"/>
          </w:tcPr>
          <w:p>
            <w:pPr>
              <w:spacing w:line="360" w:lineRule="auto"/>
              <w:jc w:val="center"/>
              <w:rPr>
                <w:rFonts w:ascii="宋体" w:hAnsi="宋体" w:eastAsia="宋体" w:cs="Times New Roman"/>
                <w:color w:val="000000"/>
                <w:sz w:val="18"/>
                <w:szCs w:val="18"/>
              </w:rPr>
            </w:pPr>
          </w:p>
        </w:tc>
        <w:tc>
          <w:tcPr>
            <w:tcW w:w="1559" w:type="dxa"/>
            <w:vAlign w:val="center"/>
          </w:tcPr>
          <w:p>
            <w:pPr>
              <w:spacing w:line="360" w:lineRule="auto"/>
              <w:jc w:val="center"/>
              <w:rPr>
                <w:rFonts w:ascii="宋体" w:hAnsi="宋体" w:eastAsia="宋体" w:cs="Times New Roman"/>
                <w:color w:val="000000"/>
                <w:sz w:val="18"/>
                <w:szCs w:val="18"/>
              </w:rPr>
            </w:pPr>
          </w:p>
        </w:tc>
        <w:tc>
          <w:tcPr>
            <w:tcW w:w="1276" w:type="dxa"/>
            <w:vAlign w:val="center"/>
          </w:tcPr>
          <w:p>
            <w:pPr>
              <w:spacing w:line="360" w:lineRule="auto"/>
              <w:jc w:val="center"/>
              <w:rPr>
                <w:rFonts w:ascii="宋体" w:hAnsi="宋体"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11" w:type="dxa"/>
            <w:vAlign w:val="center"/>
          </w:tcPr>
          <w:p>
            <w:pPr>
              <w:spacing w:line="360" w:lineRule="auto"/>
              <w:jc w:val="center"/>
              <w:rPr>
                <w:rFonts w:ascii="宋体" w:hAnsi="宋体" w:eastAsia="宋体" w:cs="Times New Roman"/>
                <w:color w:val="000000"/>
                <w:sz w:val="18"/>
                <w:szCs w:val="18"/>
              </w:rPr>
            </w:pPr>
          </w:p>
        </w:tc>
        <w:tc>
          <w:tcPr>
            <w:tcW w:w="865" w:type="dxa"/>
            <w:vAlign w:val="center"/>
          </w:tcPr>
          <w:p>
            <w:pPr>
              <w:spacing w:line="360" w:lineRule="auto"/>
              <w:jc w:val="center"/>
              <w:rPr>
                <w:rFonts w:ascii="宋体" w:hAnsi="宋体" w:eastAsia="宋体" w:cs="Times New Roman"/>
                <w:color w:val="000000"/>
                <w:sz w:val="18"/>
                <w:szCs w:val="18"/>
              </w:rPr>
            </w:pPr>
          </w:p>
        </w:tc>
        <w:tc>
          <w:tcPr>
            <w:tcW w:w="448" w:type="dxa"/>
            <w:vAlign w:val="center"/>
          </w:tcPr>
          <w:p>
            <w:pPr>
              <w:spacing w:line="360" w:lineRule="auto"/>
              <w:jc w:val="center"/>
              <w:rPr>
                <w:rFonts w:ascii="宋体" w:hAnsi="宋体" w:eastAsia="宋体" w:cs="Times New Roman"/>
                <w:color w:val="000000"/>
                <w:sz w:val="18"/>
                <w:szCs w:val="18"/>
              </w:rPr>
            </w:pPr>
          </w:p>
        </w:tc>
        <w:tc>
          <w:tcPr>
            <w:tcW w:w="1418" w:type="dxa"/>
            <w:vAlign w:val="center"/>
          </w:tcPr>
          <w:p>
            <w:pPr>
              <w:spacing w:line="360" w:lineRule="auto"/>
              <w:jc w:val="center"/>
              <w:rPr>
                <w:rFonts w:ascii="宋体" w:hAnsi="宋体" w:eastAsia="宋体" w:cs="Times New Roman"/>
                <w:color w:val="000000"/>
                <w:sz w:val="18"/>
                <w:szCs w:val="18"/>
              </w:rPr>
            </w:pPr>
          </w:p>
        </w:tc>
        <w:tc>
          <w:tcPr>
            <w:tcW w:w="1134" w:type="dxa"/>
            <w:vAlign w:val="center"/>
          </w:tcPr>
          <w:p>
            <w:pPr>
              <w:spacing w:line="360" w:lineRule="auto"/>
              <w:jc w:val="center"/>
              <w:rPr>
                <w:rFonts w:ascii="宋体" w:hAnsi="宋体" w:eastAsia="宋体" w:cs="Times New Roman"/>
                <w:color w:val="000000"/>
                <w:sz w:val="18"/>
                <w:szCs w:val="18"/>
              </w:rPr>
            </w:pPr>
          </w:p>
        </w:tc>
        <w:tc>
          <w:tcPr>
            <w:tcW w:w="425" w:type="dxa"/>
            <w:vAlign w:val="center"/>
          </w:tcPr>
          <w:p>
            <w:pPr>
              <w:spacing w:line="360" w:lineRule="auto"/>
              <w:jc w:val="center"/>
              <w:rPr>
                <w:rFonts w:ascii="宋体" w:hAnsi="宋体" w:eastAsia="宋体" w:cs="Times New Roman"/>
                <w:color w:val="000000"/>
                <w:sz w:val="18"/>
                <w:szCs w:val="18"/>
              </w:rPr>
            </w:pPr>
          </w:p>
        </w:tc>
        <w:tc>
          <w:tcPr>
            <w:tcW w:w="1418" w:type="dxa"/>
            <w:vAlign w:val="center"/>
          </w:tcPr>
          <w:p>
            <w:pPr>
              <w:spacing w:line="360" w:lineRule="auto"/>
              <w:jc w:val="center"/>
              <w:rPr>
                <w:rFonts w:ascii="宋体" w:hAnsi="宋体" w:eastAsia="宋体" w:cs="Times New Roman"/>
                <w:color w:val="000000"/>
                <w:sz w:val="18"/>
                <w:szCs w:val="18"/>
              </w:rPr>
            </w:pPr>
          </w:p>
        </w:tc>
        <w:tc>
          <w:tcPr>
            <w:tcW w:w="1559" w:type="dxa"/>
            <w:vAlign w:val="center"/>
          </w:tcPr>
          <w:p>
            <w:pPr>
              <w:spacing w:line="360" w:lineRule="auto"/>
              <w:jc w:val="center"/>
              <w:rPr>
                <w:rFonts w:ascii="宋体" w:hAnsi="宋体" w:eastAsia="宋体" w:cs="Times New Roman"/>
                <w:color w:val="000000"/>
                <w:sz w:val="18"/>
                <w:szCs w:val="18"/>
              </w:rPr>
            </w:pPr>
          </w:p>
        </w:tc>
        <w:tc>
          <w:tcPr>
            <w:tcW w:w="1276" w:type="dxa"/>
            <w:vAlign w:val="center"/>
          </w:tcPr>
          <w:p>
            <w:pPr>
              <w:spacing w:line="360" w:lineRule="auto"/>
              <w:jc w:val="center"/>
              <w:rPr>
                <w:rFonts w:ascii="宋体" w:hAnsi="宋体"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11" w:type="dxa"/>
            <w:vAlign w:val="center"/>
          </w:tcPr>
          <w:p>
            <w:pPr>
              <w:spacing w:line="360" w:lineRule="auto"/>
              <w:jc w:val="center"/>
              <w:rPr>
                <w:rFonts w:ascii="宋体" w:hAnsi="宋体" w:eastAsia="宋体" w:cs="Times New Roman"/>
                <w:color w:val="000000"/>
                <w:sz w:val="18"/>
                <w:szCs w:val="18"/>
              </w:rPr>
            </w:pPr>
          </w:p>
        </w:tc>
        <w:tc>
          <w:tcPr>
            <w:tcW w:w="865" w:type="dxa"/>
            <w:vAlign w:val="center"/>
          </w:tcPr>
          <w:p>
            <w:pPr>
              <w:spacing w:line="360" w:lineRule="auto"/>
              <w:jc w:val="center"/>
              <w:rPr>
                <w:rFonts w:ascii="宋体" w:hAnsi="宋体" w:eastAsia="宋体" w:cs="Times New Roman"/>
                <w:color w:val="000000"/>
                <w:sz w:val="18"/>
                <w:szCs w:val="18"/>
              </w:rPr>
            </w:pPr>
          </w:p>
        </w:tc>
        <w:tc>
          <w:tcPr>
            <w:tcW w:w="448" w:type="dxa"/>
            <w:vAlign w:val="center"/>
          </w:tcPr>
          <w:p>
            <w:pPr>
              <w:spacing w:line="360" w:lineRule="auto"/>
              <w:jc w:val="center"/>
              <w:rPr>
                <w:rFonts w:ascii="宋体" w:hAnsi="宋体" w:eastAsia="宋体" w:cs="Times New Roman"/>
                <w:color w:val="000000"/>
                <w:sz w:val="18"/>
                <w:szCs w:val="18"/>
              </w:rPr>
            </w:pPr>
          </w:p>
        </w:tc>
        <w:tc>
          <w:tcPr>
            <w:tcW w:w="1418" w:type="dxa"/>
            <w:vAlign w:val="center"/>
          </w:tcPr>
          <w:p>
            <w:pPr>
              <w:spacing w:line="360" w:lineRule="auto"/>
              <w:jc w:val="center"/>
              <w:rPr>
                <w:rFonts w:ascii="宋体" w:hAnsi="宋体" w:eastAsia="宋体" w:cs="Times New Roman"/>
                <w:color w:val="000000"/>
                <w:sz w:val="18"/>
                <w:szCs w:val="18"/>
              </w:rPr>
            </w:pPr>
          </w:p>
        </w:tc>
        <w:tc>
          <w:tcPr>
            <w:tcW w:w="1134" w:type="dxa"/>
            <w:vAlign w:val="center"/>
          </w:tcPr>
          <w:p>
            <w:pPr>
              <w:spacing w:line="360" w:lineRule="auto"/>
              <w:jc w:val="center"/>
              <w:rPr>
                <w:rFonts w:ascii="宋体" w:hAnsi="宋体" w:eastAsia="宋体" w:cs="Times New Roman"/>
                <w:color w:val="000000"/>
                <w:sz w:val="18"/>
                <w:szCs w:val="18"/>
              </w:rPr>
            </w:pPr>
          </w:p>
        </w:tc>
        <w:tc>
          <w:tcPr>
            <w:tcW w:w="425" w:type="dxa"/>
            <w:vAlign w:val="center"/>
          </w:tcPr>
          <w:p>
            <w:pPr>
              <w:spacing w:line="360" w:lineRule="auto"/>
              <w:jc w:val="center"/>
              <w:rPr>
                <w:rFonts w:ascii="宋体" w:hAnsi="宋体" w:eastAsia="宋体" w:cs="Times New Roman"/>
                <w:color w:val="000000"/>
                <w:sz w:val="18"/>
                <w:szCs w:val="18"/>
              </w:rPr>
            </w:pPr>
          </w:p>
        </w:tc>
        <w:tc>
          <w:tcPr>
            <w:tcW w:w="1418" w:type="dxa"/>
            <w:vAlign w:val="center"/>
          </w:tcPr>
          <w:p>
            <w:pPr>
              <w:spacing w:line="360" w:lineRule="auto"/>
              <w:jc w:val="center"/>
              <w:rPr>
                <w:rFonts w:ascii="宋体" w:hAnsi="宋体" w:eastAsia="宋体" w:cs="Times New Roman"/>
                <w:color w:val="000000"/>
                <w:sz w:val="18"/>
                <w:szCs w:val="18"/>
              </w:rPr>
            </w:pPr>
          </w:p>
        </w:tc>
        <w:tc>
          <w:tcPr>
            <w:tcW w:w="1559" w:type="dxa"/>
            <w:vAlign w:val="center"/>
          </w:tcPr>
          <w:p>
            <w:pPr>
              <w:spacing w:line="360" w:lineRule="auto"/>
              <w:jc w:val="center"/>
              <w:rPr>
                <w:rFonts w:ascii="宋体" w:hAnsi="宋体" w:eastAsia="宋体" w:cs="Times New Roman"/>
                <w:color w:val="000000"/>
                <w:sz w:val="18"/>
                <w:szCs w:val="18"/>
              </w:rPr>
            </w:pPr>
          </w:p>
        </w:tc>
        <w:tc>
          <w:tcPr>
            <w:tcW w:w="1276" w:type="dxa"/>
            <w:vAlign w:val="center"/>
          </w:tcPr>
          <w:p>
            <w:pPr>
              <w:spacing w:line="360" w:lineRule="auto"/>
              <w:jc w:val="center"/>
              <w:rPr>
                <w:rFonts w:ascii="宋体" w:hAnsi="宋体"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11" w:type="dxa"/>
            <w:vAlign w:val="center"/>
          </w:tcPr>
          <w:p>
            <w:pPr>
              <w:spacing w:line="360" w:lineRule="auto"/>
              <w:jc w:val="center"/>
              <w:rPr>
                <w:rFonts w:ascii="宋体" w:hAnsi="宋体" w:eastAsia="宋体" w:cs="Times New Roman"/>
                <w:color w:val="000000"/>
                <w:sz w:val="18"/>
                <w:szCs w:val="18"/>
              </w:rPr>
            </w:pPr>
          </w:p>
        </w:tc>
        <w:tc>
          <w:tcPr>
            <w:tcW w:w="865" w:type="dxa"/>
            <w:vAlign w:val="center"/>
          </w:tcPr>
          <w:p>
            <w:pPr>
              <w:spacing w:line="360" w:lineRule="auto"/>
              <w:jc w:val="center"/>
              <w:rPr>
                <w:rFonts w:ascii="宋体" w:hAnsi="宋体" w:eastAsia="宋体" w:cs="Times New Roman"/>
                <w:color w:val="000000"/>
                <w:sz w:val="18"/>
                <w:szCs w:val="18"/>
              </w:rPr>
            </w:pPr>
          </w:p>
        </w:tc>
        <w:tc>
          <w:tcPr>
            <w:tcW w:w="448" w:type="dxa"/>
            <w:vAlign w:val="center"/>
          </w:tcPr>
          <w:p>
            <w:pPr>
              <w:spacing w:line="360" w:lineRule="auto"/>
              <w:jc w:val="center"/>
              <w:rPr>
                <w:rFonts w:ascii="宋体" w:hAnsi="宋体" w:eastAsia="宋体" w:cs="Times New Roman"/>
                <w:color w:val="000000"/>
                <w:sz w:val="18"/>
                <w:szCs w:val="18"/>
              </w:rPr>
            </w:pPr>
          </w:p>
        </w:tc>
        <w:tc>
          <w:tcPr>
            <w:tcW w:w="1418" w:type="dxa"/>
            <w:vAlign w:val="center"/>
          </w:tcPr>
          <w:p>
            <w:pPr>
              <w:spacing w:line="360" w:lineRule="auto"/>
              <w:jc w:val="center"/>
              <w:rPr>
                <w:rFonts w:ascii="宋体" w:hAnsi="宋体" w:eastAsia="宋体" w:cs="Times New Roman"/>
                <w:color w:val="000000"/>
                <w:sz w:val="18"/>
                <w:szCs w:val="18"/>
              </w:rPr>
            </w:pPr>
          </w:p>
        </w:tc>
        <w:tc>
          <w:tcPr>
            <w:tcW w:w="1134" w:type="dxa"/>
            <w:vAlign w:val="center"/>
          </w:tcPr>
          <w:p>
            <w:pPr>
              <w:spacing w:line="360" w:lineRule="auto"/>
              <w:jc w:val="center"/>
              <w:rPr>
                <w:rFonts w:ascii="宋体" w:hAnsi="宋体" w:eastAsia="宋体" w:cs="Times New Roman"/>
                <w:color w:val="000000"/>
                <w:sz w:val="18"/>
                <w:szCs w:val="18"/>
              </w:rPr>
            </w:pPr>
          </w:p>
        </w:tc>
        <w:tc>
          <w:tcPr>
            <w:tcW w:w="425" w:type="dxa"/>
            <w:vAlign w:val="center"/>
          </w:tcPr>
          <w:p>
            <w:pPr>
              <w:spacing w:line="360" w:lineRule="auto"/>
              <w:jc w:val="center"/>
              <w:rPr>
                <w:rFonts w:ascii="宋体" w:hAnsi="宋体" w:eastAsia="宋体" w:cs="Times New Roman"/>
                <w:color w:val="000000"/>
                <w:sz w:val="18"/>
                <w:szCs w:val="18"/>
              </w:rPr>
            </w:pPr>
          </w:p>
        </w:tc>
        <w:tc>
          <w:tcPr>
            <w:tcW w:w="1418" w:type="dxa"/>
            <w:vAlign w:val="center"/>
          </w:tcPr>
          <w:p>
            <w:pPr>
              <w:spacing w:line="360" w:lineRule="auto"/>
              <w:jc w:val="center"/>
              <w:rPr>
                <w:rFonts w:ascii="宋体" w:hAnsi="宋体" w:eastAsia="宋体" w:cs="Times New Roman"/>
                <w:color w:val="000000"/>
                <w:sz w:val="18"/>
                <w:szCs w:val="18"/>
              </w:rPr>
            </w:pPr>
          </w:p>
        </w:tc>
        <w:tc>
          <w:tcPr>
            <w:tcW w:w="1559" w:type="dxa"/>
            <w:vAlign w:val="center"/>
          </w:tcPr>
          <w:p>
            <w:pPr>
              <w:spacing w:line="360" w:lineRule="auto"/>
              <w:jc w:val="center"/>
              <w:rPr>
                <w:rFonts w:ascii="宋体" w:hAnsi="宋体" w:eastAsia="宋体" w:cs="Times New Roman"/>
                <w:color w:val="000000"/>
                <w:sz w:val="18"/>
                <w:szCs w:val="18"/>
              </w:rPr>
            </w:pPr>
          </w:p>
        </w:tc>
        <w:tc>
          <w:tcPr>
            <w:tcW w:w="1276" w:type="dxa"/>
            <w:vAlign w:val="center"/>
          </w:tcPr>
          <w:p>
            <w:pPr>
              <w:spacing w:line="360" w:lineRule="auto"/>
              <w:jc w:val="center"/>
              <w:rPr>
                <w:rFonts w:ascii="宋体" w:hAnsi="宋体"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11" w:type="dxa"/>
            <w:vAlign w:val="center"/>
          </w:tcPr>
          <w:p>
            <w:pPr>
              <w:spacing w:line="360" w:lineRule="auto"/>
              <w:jc w:val="center"/>
              <w:rPr>
                <w:rFonts w:ascii="宋体" w:hAnsi="宋体" w:eastAsia="宋体" w:cs="Times New Roman"/>
                <w:color w:val="000000"/>
                <w:sz w:val="18"/>
                <w:szCs w:val="18"/>
              </w:rPr>
            </w:pPr>
          </w:p>
        </w:tc>
        <w:tc>
          <w:tcPr>
            <w:tcW w:w="865" w:type="dxa"/>
            <w:vAlign w:val="center"/>
          </w:tcPr>
          <w:p>
            <w:pPr>
              <w:spacing w:line="360" w:lineRule="auto"/>
              <w:jc w:val="center"/>
              <w:rPr>
                <w:rFonts w:ascii="宋体" w:hAnsi="宋体" w:eastAsia="宋体" w:cs="Times New Roman"/>
                <w:color w:val="000000"/>
                <w:sz w:val="18"/>
                <w:szCs w:val="18"/>
              </w:rPr>
            </w:pPr>
          </w:p>
        </w:tc>
        <w:tc>
          <w:tcPr>
            <w:tcW w:w="448" w:type="dxa"/>
            <w:vAlign w:val="center"/>
          </w:tcPr>
          <w:p>
            <w:pPr>
              <w:spacing w:line="360" w:lineRule="auto"/>
              <w:jc w:val="center"/>
              <w:rPr>
                <w:rFonts w:ascii="宋体" w:hAnsi="宋体" w:eastAsia="宋体" w:cs="Times New Roman"/>
                <w:color w:val="000000"/>
                <w:sz w:val="18"/>
                <w:szCs w:val="18"/>
              </w:rPr>
            </w:pPr>
          </w:p>
        </w:tc>
        <w:tc>
          <w:tcPr>
            <w:tcW w:w="1418" w:type="dxa"/>
            <w:vAlign w:val="center"/>
          </w:tcPr>
          <w:p>
            <w:pPr>
              <w:spacing w:line="360" w:lineRule="auto"/>
              <w:jc w:val="center"/>
              <w:rPr>
                <w:rFonts w:ascii="宋体" w:hAnsi="宋体" w:eastAsia="宋体" w:cs="Times New Roman"/>
                <w:color w:val="000000"/>
                <w:sz w:val="18"/>
                <w:szCs w:val="18"/>
              </w:rPr>
            </w:pPr>
          </w:p>
        </w:tc>
        <w:tc>
          <w:tcPr>
            <w:tcW w:w="1134" w:type="dxa"/>
            <w:vAlign w:val="center"/>
          </w:tcPr>
          <w:p>
            <w:pPr>
              <w:spacing w:line="360" w:lineRule="auto"/>
              <w:jc w:val="center"/>
              <w:rPr>
                <w:rFonts w:ascii="宋体" w:hAnsi="宋体" w:eastAsia="宋体" w:cs="Times New Roman"/>
                <w:color w:val="000000"/>
                <w:sz w:val="18"/>
                <w:szCs w:val="18"/>
              </w:rPr>
            </w:pPr>
          </w:p>
        </w:tc>
        <w:tc>
          <w:tcPr>
            <w:tcW w:w="425" w:type="dxa"/>
            <w:vAlign w:val="center"/>
          </w:tcPr>
          <w:p>
            <w:pPr>
              <w:spacing w:line="360" w:lineRule="auto"/>
              <w:jc w:val="center"/>
              <w:rPr>
                <w:rFonts w:ascii="宋体" w:hAnsi="宋体" w:eastAsia="宋体" w:cs="Times New Roman"/>
                <w:color w:val="000000"/>
                <w:sz w:val="18"/>
                <w:szCs w:val="18"/>
              </w:rPr>
            </w:pPr>
          </w:p>
        </w:tc>
        <w:tc>
          <w:tcPr>
            <w:tcW w:w="1418" w:type="dxa"/>
            <w:vAlign w:val="center"/>
          </w:tcPr>
          <w:p>
            <w:pPr>
              <w:spacing w:line="360" w:lineRule="auto"/>
              <w:jc w:val="center"/>
              <w:rPr>
                <w:rFonts w:ascii="宋体" w:hAnsi="宋体" w:eastAsia="宋体" w:cs="Times New Roman"/>
                <w:color w:val="000000"/>
                <w:sz w:val="18"/>
                <w:szCs w:val="18"/>
              </w:rPr>
            </w:pPr>
          </w:p>
        </w:tc>
        <w:tc>
          <w:tcPr>
            <w:tcW w:w="1559" w:type="dxa"/>
            <w:vAlign w:val="center"/>
          </w:tcPr>
          <w:p>
            <w:pPr>
              <w:spacing w:line="360" w:lineRule="auto"/>
              <w:jc w:val="center"/>
              <w:rPr>
                <w:rFonts w:ascii="宋体" w:hAnsi="宋体" w:eastAsia="宋体" w:cs="Times New Roman"/>
                <w:color w:val="000000"/>
                <w:sz w:val="18"/>
                <w:szCs w:val="18"/>
              </w:rPr>
            </w:pPr>
          </w:p>
        </w:tc>
        <w:tc>
          <w:tcPr>
            <w:tcW w:w="1276" w:type="dxa"/>
            <w:vAlign w:val="center"/>
          </w:tcPr>
          <w:p>
            <w:pPr>
              <w:spacing w:line="360" w:lineRule="auto"/>
              <w:jc w:val="center"/>
              <w:rPr>
                <w:rFonts w:ascii="宋体" w:hAnsi="宋体"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11" w:type="dxa"/>
            <w:vAlign w:val="center"/>
          </w:tcPr>
          <w:p>
            <w:pPr>
              <w:spacing w:line="360" w:lineRule="auto"/>
              <w:jc w:val="center"/>
              <w:rPr>
                <w:rFonts w:ascii="宋体" w:hAnsi="宋体" w:eastAsia="宋体" w:cs="Times New Roman"/>
                <w:color w:val="000000"/>
                <w:sz w:val="18"/>
                <w:szCs w:val="18"/>
              </w:rPr>
            </w:pPr>
          </w:p>
        </w:tc>
        <w:tc>
          <w:tcPr>
            <w:tcW w:w="865" w:type="dxa"/>
            <w:vAlign w:val="center"/>
          </w:tcPr>
          <w:p>
            <w:pPr>
              <w:spacing w:line="360" w:lineRule="auto"/>
              <w:jc w:val="center"/>
              <w:rPr>
                <w:rFonts w:ascii="宋体" w:hAnsi="宋体" w:eastAsia="宋体" w:cs="Times New Roman"/>
                <w:color w:val="000000"/>
                <w:sz w:val="18"/>
                <w:szCs w:val="18"/>
              </w:rPr>
            </w:pPr>
          </w:p>
        </w:tc>
        <w:tc>
          <w:tcPr>
            <w:tcW w:w="448" w:type="dxa"/>
            <w:vAlign w:val="center"/>
          </w:tcPr>
          <w:p>
            <w:pPr>
              <w:spacing w:line="360" w:lineRule="auto"/>
              <w:jc w:val="center"/>
              <w:rPr>
                <w:rFonts w:ascii="宋体" w:hAnsi="宋体" w:eastAsia="宋体" w:cs="Times New Roman"/>
                <w:color w:val="000000"/>
                <w:sz w:val="18"/>
                <w:szCs w:val="18"/>
              </w:rPr>
            </w:pPr>
          </w:p>
        </w:tc>
        <w:tc>
          <w:tcPr>
            <w:tcW w:w="1418" w:type="dxa"/>
            <w:vAlign w:val="center"/>
          </w:tcPr>
          <w:p>
            <w:pPr>
              <w:spacing w:line="360" w:lineRule="auto"/>
              <w:jc w:val="center"/>
              <w:rPr>
                <w:rFonts w:ascii="宋体" w:hAnsi="宋体" w:eastAsia="宋体" w:cs="Times New Roman"/>
                <w:color w:val="000000"/>
                <w:sz w:val="18"/>
                <w:szCs w:val="18"/>
              </w:rPr>
            </w:pPr>
          </w:p>
        </w:tc>
        <w:tc>
          <w:tcPr>
            <w:tcW w:w="1134" w:type="dxa"/>
            <w:vAlign w:val="center"/>
          </w:tcPr>
          <w:p>
            <w:pPr>
              <w:spacing w:line="360" w:lineRule="auto"/>
              <w:jc w:val="center"/>
              <w:rPr>
                <w:rFonts w:ascii="宋体" w:hAnsi="宋体" w:eastAsia="宋体" w:cs="Times New Roman"/>
                <w:color w:val="000000"/>
                <w:sz w:val="18"/>
                <w:szCs w:val="18"/>
              </w:rPr>
            </w:pPr>
          </w:p>
        </w:tc>
        <w:tc>
          <w:tcPr>
            <w:tcW w:w="425" w:type="dxa"/>
            <w:vAlign w:val="center"/>
          </w:tcPr>
          <w:p>
            <w:pPr>
              <w:spacing w:line="360" w:lineRule="auto"/>
              <w:jc w:val="center"/>
              <w:rPr>
                <w:rFonts w:ascii="宋体" w:hAnsi="宋体" w:eastAsia="宋体" w:cs="Times New Roman"/>
                <w:color w:val="000000"/>
                <w:sz w:val="18"/>
                <w:szCs w:val="18"/>
              </w:rPr>
            </w:pPr>
          </w:p>
        </w:tc>
        <w:tc>
          <w:tcPr>
            <w:tcW w:w="1418" w:type="dxa"/>
            <w:vAlign w:val="center"/>
          </w:tcPr>
          <w:p>
            <w:pPr>
              <w:spacing w:line="360" w:lineRule="auto"/>
              <w:jc w:val="center"/>
              <w:rPr>
                <w:rFonts w:ascii="宋体" w:hAnsi="宋体" w:eastAsia="宋体" w:cs="Times New Roman"/>
                <w:color w:val="000000"/>
                <w:sz w:val="18"/>
                <w:szCs w:val="18"/>
              </w:rPr>
            </w:pPr>
          </w:p>
        </w:tc>
        <w:tc>
          <w:tcPr>
            <w:tcW w:w="1559" w:type="dxa"/>
            <w:vAlign w:val="center"/>
          </w:tcPr>
          <w:p>
            <w:pPr>
              <w:spacing w:line="360" w:lineRule="auto"/>
              <w:jc w:val="center"/>
              <w:rPr>
                <w:rFonts w:ascii="宋体" w:hAnsi="宋体" w:eastAsia="宋体" w:cs="Times New Roman"/>
                <w:color w:val="000000"/>
                <w:sz w:val="18"/>
                <w:szCs w:val="18"/>
              </w:rPr>
            </w:pPr>
          </w:p>
        </w:tc>
        <w:tc>
          <w:tcPr>
            <w:tcW w:w="1276" w:type="dxa"/>
            <w:vAlign w:val="center"/>
          </w:tcPr>
          <w:p>
            <w:pPr>
              <w:spacing w:line="360" w:lineRule="auto"/>
              <w:jc w:val="center"/>
              <w:rPr>
                <w:rFonts w:ascii="宋体" w:hAnsi="宋体" w:eastAsia="宋体" w:cs="Times New Roman"/>
                <w:color w:val="000000"/>
                <w:sz w:val="18"/>
                <w:szCs w:val="18"/>
              </w:rPr>
            </w:pPr>
          </w:p>
        </w:tc>
      </w:tr>
    </w:tbl>
    <w:p>
      <w:pPr>
        <w:spacing w:line="600" w:lineRule="exact"/>
        <w:ind w:firstLine="420" w:firstLineChars="200"/>
        <w:rPr>
          <w:rFonts w:ascii="宋体" w:hAnsi="宋体" w:eastAsia="宋体" w:cs="Times New Roman"/>
          <w:color w:val="000000"/>
          <w:szCs w:val="20"/>
        </w:rPr>
      </w:pPr>
      <w:r>
        <w:rPr>
          <w:rFonts w:hint="eastAsia" w:ascii="宋体" w:hAnsi="宋体" w:eastAsia="宋体" w:cs="Times New Roman"/>
          <w:color w:val="000000"/>
          <w:szCs w:val="20"/>
        </w:rPr>
        <w:t>注：“偏离说明”填写“正偏离”“负偏离”或“无偏离”。</w:t>
      </w:r>
    </w:p>
    <w:p>
      <w:pPr>
        <w:spacing w:line="600" w:lineRule="exact"/>
        <w:ind w:firstLine="420" w:firstLineChars="200"/>
        <w:rPr>
          <w:rFonts w:ascii="宋体" w:hAnsi="宋体" w:eastAsia="宋体" w:cs="Times New Roman"/>
          <w:color w:val="000000"/>
          <w:szCs w:val="20"/>
        </w:rPr>
      </w:pPr>
    </w:p>
    <w:p>
      <w:pPr>
        <w:spacing w:line="360" w:lineRule="auto"/>
        <w:ind w:firstLine="420" w:firstLineChars="200"/>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投标人（盖章）：</w:t>
      </w:r>
    </w:p>
    <w:p>
      <w:pPr>
        <w:spacing w:line="360" w:lineRule="auto"/>
        <w:ind w:firstLine="420" w:firstLineChars="200"/>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法定代表人或委托代理人（签字或盖章）：</w:t>
      </w:r>
    </w:p>
    <w:p>
      <w:pPr>
        <w:spacing w:line="360" w:lineRule="auto"/>
        <w:ind w:firstLine="420" w:firstLineChars="200"/>
        <w:rPr>
          <w:rFonts w:ascii="宋体" w:hAnsi="Courier New" w:eastAsia="宋体" w:cs="Times New Roman"/>
          <w:color w:val="000000"/>
          <w:szCs w:val="20"/>
        </w:rPr>
      </w:pPr>
      <w:r>
        <w:rPr>
          <w:rFonts w:hint="eastAsia" w:ascii="宋体" w:hAnsi="Courier New" w:eastAsia="宋体" w:cs="Times New Roman"/>
          <w:color w:val="000000"/>
          <w:szCs w:val="20"/>
        </w:rPr>
        <w:t>日期：    年     月     日</w:t>
      </w:r>
    </w:p>
    <w:p>
      <w:pPr>
        <w:keepNext/>
        <w:spacing w:line="360" w:lineRule="auto"/>
        <w:textAlignment w:val="baseline"/>
        <w:outlineLvl w:val="1"/>
        <w:rPr>
          <w:rFonts w:ascii="宋体" w:hAnsi="宋体" w:eastAsia="宋体" w:cs="宋体"/>
          <w:kern w:val="0"/>
          <w:sz w:val="28"/>
          <w:szCs w:val="20"/>
        </w:rPr>
      </w:pPr>
      <w:r>
        <w:rPr>
          <w:rFonts w:ascii="Times New Roman" w:hAnsi="Times New Roman" w:eastAsia="黑体" w:cs="Times New Roman"/>
          <w:b/>
          <w:kern w:val="0"/>
          <w:sz w:val="28"/>
          <w:szCs w:val="20"/>
        </w:rPr>
        <w:br w:type="page"/>
      </w:r>
      <w:r>
        <w:rPr>
          <w:rFonts w:hint="eastAsia" w:ascii="宋体" w:hAnsi="宋体" w:eastAsia="宋体" w:cs="Times New Roman"/>
          <w:color w:val="000000"/>
          <w:kern w:val="0"/>
          <w:sz w:val="24"/>
          <w:szCs w:val="24"/>
        </w:rPr>
        <w:t>格式1</w:t>
      </w:r>
      <w:r>
        <w:rPr>
          <w:rFonts w:hint="eastAsia" w:ascii="宋体" w:hAnsi="宋体" w:eastAsia="宋体" w:cs="Times New Roman"/>
          <w:color w:val="000000"/>
          <w:kern w:val="0"/>
          <w:sz w:val="24"/>
          <w:szCs w:val="24"/>
          <w:lang w:val="en-US" w:eastAsia="zh-CN"/>
        </w:rPr>
        <w:t>3</w:t>
      </w:r>
      <w:r>
        <w:rPr>
          <w:rFonts w:hint="eastAsia" w:ascii="宋体" w:hAnsi="宋体" w:eastAsia="宋体" w:cs="Times New Roman"/>
          <w:color w:val="000000"/>
          <w:kern w:val="0"/>
          <w:sz w:val="24"/>
          <w:szCs w:val="24"/>
        </w:rPr>
        <w:t>、项目需求响应</w:t>
      </w:r>
    </w:p>
    <w:p>
      <w:pPr>
        <w:spacing w:line="360" w:lineRule="auto"/>
        <w:jc w:val="center"/>
        <w:rPr>
          <w:rFonts w:ascii="黑体" w:hAnsi="黑体" w:eastAsia="黑体" w:cs="宋体"/>
          <w:bCs/>
          <w:sz w:val="36"/>
          <w:szCs w:val="28"/>
        </w:rPr>
      </w:pPr>
      <w:r>
        <w:rPr>
          <w:rFonts w:hint="eastAsia" w:ascii="黑体" w:hAnsi="黑体" w:eastAsia="黑体" w:cs="宋体"/>
          <w:bCs/>
          <w:sz w:val="36"/>
          <w:szCs w:val="28"/>
        </w:rPr>
        <w:t>项目需求响应</w:t>
      </w:r>
    </w:p>
    <w:p>
      <w:pPr>
        <w:spacing w:line="360" w:lineRule="auto"/>
        <w:ind w:firstLine="480" w:firstLineChars="20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（请按“项目需求”要求自行填写，格式自定）</w:t>
      </w:r>
    </w:p>
    <w:p>
      <w:pPr>
        <w:spacing w:line="360" w:lineRule="auto"/>
        <w:ind w:firstLine="480" w:firstLineChars="200"/>
        <w:rPr>
          <w:rFonts w:ascii="宋体" w:hAnsi="宋体" w:eastAsia="宋体" w:cs="Times New Roman"/>
          <w:color w:val="000000"/>
          <w:sz w:val="24"/>
          <w:szCs w:val="24"/>
        </w:rPr>
      </w:pPr>
    </w:p>
    <w:p>
      <w:pPr>
        <w:spacing w:line="360" w:lineRule="auto"/>
        <w:ind w:firstLine="480" w:firstLineChars="200"/>
        <w:rPr>
          <w:rFonts w:ascii="宋体" w:hAnsi="宋体" w:eastAsia="宋体" w:cs="Times New Roman"/>
          <w:color w:val="000000"/>
          <w:sz w:val="24"/>
          <w:szCs w:val="24"/>
        </w:rPr>
      </w:pPr>
    </w:p>
    <w:p>
      <w:pPr>
        <w:spacing w:line="360" w:lineRule="auto"/>
        <w:ind w:firstLine="480" w:firstLineChars="200"/>
        <w:rPr>
          <w:rFonts w:ascii="宋体" w:hAnsi="宋体" w:eastAsia="宋体" w:cs="Times New Roman"/>
          <w:color w:val="000000"/>
          <w:sz w:val="24"/>
          <w:szCs w:val="24"/>
        </w:rPr>
      </w:pPr>
    </w:p>
    <w:p>
      <w:pPr>
        <w:spacing w:line="360" w:lineRule="auto"/>
        <w:ind w:firstLine="480" w:firstLineChars="200"/>
        <w:rPr>
          <w:rFonts w:ascii="宋体" w:hAnsi="宋体" w:eastAsia="宋体" w:cs="Times New Roman"/>
          <w:color w:val="000000"/>
          <w:sz w:val="24"/>
          <w:szCs w:val="24"/>
        </w:rPr>
      </w:pPr>
    </w:p>
    <w:p>
      <w:pPr>
        <w:spacing w:line="360" w:lineRule="auto"/>
        <w:ind w:firstLine="480" w:firstLineChars="200"/>
        <w:rPr>
          <w:rFonts w:ascii="宋体" w:hAnsi="宋体" w:eastAsia="宋体" w:cs="Times New Roman"/>
          <w:color w:val="000000"/>
          <w:sz w:val="24"/>
          <w:szCs w:val="24"/>
        </w:rPr>
      </w:pPr>
    </w:p>
    <w:p>
      <w:pPr>
        <w:spacing w:line="360" w:lineRule="auto"/>
        <w:ind w:firstLine="480" w:firstLineChars="200"/>
        <w:rPr>
          <w:rFonts w:ascii="宋体" w:hAnsi="宋体" w:eastAsia="宋体" w:cs="Times New Roman"/>
          <w:color w:val="000000"/>
          <w:sz w:val="24"/>
          <w:szCs w:val="24"/>
        </w:rPr>
      </w:pPr>
    </w:p>
    <w:p>
      <w:pPr>
        <w:spacing w:line="360" w:lineRule="auto"/>
        <w:ind w:firstLine="480" w:firstLineChars="200"/>
        <w:rPr>
          <w:rFonts w:ascii="宋体" w:hAnsi="宋体" w:eastAsia="宋体" w:cs="Times New Roman"/>
          <w:color w:val="000000"/>
          <w:sz w:val="24"/>
          <w:szCs w:val="24"/>
        </w:rPr>
      </w:pPr>
    </w:p>
    <w:p>
      <w:pPr>
        <w:spacing w:line="360" w:lineRule="auto"/>
        <w:ind w:firstLine="480" w:firstLineChars="200"/>
        <w:rPr>
          <w:rFonts w:ascii="宋体" w:hAnsi="宋体" w:eastAsia="宋体" w:cs="Times New Roman"/>
          <w:color w:val="000000"/>
          <w:sz w:val="24"/>
          <w:szCs w:val="24"/>
        </w:rPr>
      </w:pPr>
    </w:p>
    <w:p>
      <w:pPr>
        <w:spacing w:line="360" w:lineRule="auto"/>
        <w:ind w:firstLine="480" w:firstLineChars="200"/>
        <w:rPr>
          <w:rFonts w:ascii="宋体" w:hAnsi="宋体" w:eastAsia="宋体" w:cs="Times New Roman"/>
          <w:color w:val="000000"/>
          <w:sz w:val="24"/>
          <w:szCs w:val="24"/>
        </w:rPr>
      </w:pPr>
    </w:p>
    <w:p>
      <w:pPr>
        <w:spacing w:line="360" w:lineRule="auto"/>
        <w:ind w:firstLine="480" w:firstLineChars="200"/>
        <w:rPr>
          <w:rFonts w:ascii="宋体" w:hAnsi="宋体" w:eastAsia="宋体" w:cs="Times New Roman"/>
          <w:color w:val="000000"/>
          <w:sz w:val="24"/>
          <w:szCs w:val="24"/>
        </w:rPr>
      </w:pPr>
    </w:p>
    <w:p>
      <w:pPr>
        <w:spacing w:line="360" w:lineRule="auto"/>
        <w:ind w:firstLine="480" w:firstLineChars="200"/>
        <w:rPr>
          <w:rFonts w:ascii="宋体" w:hAnsi="宋体" w:eastAsia="宋体" w:cs="Times New Roman"/>
          <w:color w:val="000000"/>
          <w:sz w:val="24"/>
          <w:szCs w:val="24"/>
        </w:rPr>
      </w:pPr>
    </w:p>
    <w:p>
      <w:pPr>
        <w:spacing w:line="360" w:lineRule="auto"/>
        <w:ind w:firstLine="480" w:firstLineChars="200"/>
        <w:rPr>
          <w:rFonts w:ascii="宋体" w:hAnsi="宋体" w:eastAsia="宋体" w:cs="Times New Roman"/>
          <w:color w:val="000000"/>
          <w:sz w:val="24"/>
          <w:szCs w:val="24"/>
        </w:rPr>
      </w:pPr>
    </w:p>
    <w:p>
      <w:pPr>
        <w:spacing w:line="360" w:lineRule="auto"/>
        <w:ind w:firstLine="480" w:firstLineChars="200"/>
        <w:rPr>
          <w:rFonts w:ascii="宋体" w:hAnsi="宋体" w:eastAsia="宋体" w:cs="Times New Roman"/>
          <w:color w:val="000000"/>
          <w:sz w:val="24"/>
          <w:szCs w:val="24"/>
        </w:rPr>
      </w:pPr>
    </w:p>
    <w:p>
      <w:pPr>
        <w:spacing w:line="360" w:lineRule="auto"/>
        <w:ind w:firstLine="480" w:firstLineChars="200"/>
        <w:rPr>
          <w:rFonts w:ascii="宋体" w:hAnsi="宋体" w:eastAsia="宋体" w:cs="Times New Roman"/>
          <w:color w:val="000000"/>
          <w:sz w:val="24"/>
          <w:szCs w:val="24"/>
        </w:rPr>
      </w:pPr>
    </w:p>
    <w:p>
      <w:pPr>
        <w:spacing w:line="360" w:lineRule="auto"/>
        <w:ind w:firstLine="480" w:firstLineChars="200"/>
        <w:rPr>
          <w:rFonts w:ascii="宋体" w:hAnsi="宋体" w:eastAsia="宋体" w:cs="Times New Roman"/>
          <w:color w:val="000000"/>
          <w:sz w:val="24"/>
          <w:szCs w:val="24"/>
        </w:rPr>
      </w:pPr>
    </w:p>
    <w:p>
      <w:pPr>
        <w:spacing w:line="360" w:lineRule="auto"/>
        <w:ind w:firstLine="480" w:firstLineChars="200"/>
        <w:rPr>
          <w:rFonts w:ascii="宋体" w:hAnsi="宋体" w:eastAsia="宋体" w:cs="Times New Roman"/>
          <w:color w:val="000000"/>
          <w:sz w:val="24"/>
          <w:szCs w:val="24"/>
        </w:rPr>
      </w:pPr>
    </w:p>
    <w:p>
      <w:pPr>
        <w:spacing w:line="360" w:lineRule="auto"/>
        <w:ind w:firstLine="480" w:firstLineChars="200"/>
        <w:rPr>
          <w:rFonts w:ascii="宋体" w:hAnsi="宋体" w:eastAsia="宋体" w:cs="Times New Roman"/>
          <w:color w:val="000000"/>
          <w:sz w:val="24"/>
          <w:szCs w:val="24"/>
        </w:rPr>
      </w:pPr>
    </w:p>
    <w:p>
      <w:pPr>
        <w:spacing w:line="360" w:lineRule="auto"/>
        <w:ind w:firstLine="480" w:firstLineChars="200"/>
        <w:rPr>
          <w:rFonts w:ascii="宋体" w:hAnsi="宋体" w:eastAsia="宋体" w:cs="Times New Roman"/>
          <w:color w:val="000000"/>
          <w:sz w:val="24"/>
          <w:szCs w:val="24"/>
        </w:rPr>
      </w:pPr>
    </w:p>
    <w:p>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投标人（盖章）：</w:t>
      </w:r>
    </w:p>
    <w:p>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法定代表人或委托代理人（签字或盖章）：</w:t>
      </w:r>
    </w:p>
    <w:p>
      <w:pPr>
        <w:spacing w:line="360" w:lineRule="auto"/>
        <w:ind w:firstLine="480" w:firstLineChars="200"/>
        <w:rPr>
          <w:rFonts w:ascii="宋体" w:hAnsi="Courier New" w:eastAsia="宋体" w:cs="Times New Roman"/>
          <w:b/>
          <w:color w:val="000000"/>
          <w:sz w:val="24"/>
          <w:szCs w:val="24"/>
        </w:rPr>
      </w:pPr>
      <w:r>
        <w:rPr>
          <w:rFonts w:hint="eastAsia" w:ascii="宋体" w:hAnsi="Courier New" w:eastAsia="宋体" w:cs="Times New Roman"/>
          <w:color w:val="000000"/>
          <w:sz w:val="24"/>
          <w:szCs w:val="24"/>
        </w:rPr>
        <w:t>日期：    年     月     日</w:t>
      </w:r>
    </w:p>
    <w:p>
      <w:pPr>
        <w:keepNext/>
        <w:keepLines/>
        <w:adjustRightInd w:val="0"/>
        <w:spacing w:line="360" w:lineRule="auto"/>
        <w:jc w:val="center"/>
        <w:textAlignment w:val="baseline"/>
        <w:outlineLvl w:val="0"/>
        <w:rPr>
          <w:rFonts w:ascii="Times New Roman" w:hAnsi="宋体" w:eastAsia="黑体" w:cs="Times New Roman"/>
          <w:b/>
          <w:color w:val="000000"/>
          <w:kern w:val="44"/>
          <w:sz w:val="36"/>
          <w:szCs w:val="20"/>
        </w:rPr>
      </w:pPr>
      <w:bookmarkStart w:id="17" w:name="_Toc25008"/>
      <w:r>
        <w:rPr>
          <w:rFonts w:ascii="Times New Roman" w:hAnsi="Times New Roman" w:eastAsia="黑体" w:cs="Times New Roman"/>
          <w:b/>
          <w:color w:val="000000"/>
          <w:kern w:val="44"/>
          <w:sz w:val="36"/>
          <w:szCs w:val="20"/>
        </w:rPr>
        <w:br w:type="page"/>
      </w:r>
      <w:r>
        <w:rPr>
          <w:rFonts w:hint="eastAsia" w:ascii="Times New Roman" w:hAnsi="Times New Roman" w:eastAsia="黑体" w:cs="Times New Roman"/>
          <w:b/>
          <w:color w:val="000000"/>
          <w:kern w:val="44"/>
          <w:sz w:val="36"/>
          <w:szCs w:val="20"/>
        </w:rPr>
        <w:t>第五章  合同专用条款表</w:t>
      </w:r>
      <w:bookmarkEnd w:id="17"/>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本表是对第三章“政府采购合同格式”的补充和修改。如果两者之间有抵触，以本专用条款表为准。</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8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064" w:type="dxa"/>
            <w:vAlign w:val="center"/>
          </w:tcPr>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条款号</w:t>
            </w:r>
          </w:p>
        </w:tc>
        <w:tc>
          <w:tcPr>
            <w:tcW w:w="8476" w:type="dxa"/>
            <w:vAlign w:val="center"/>
          </w:tcPr>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64" w:type="dxa"/>
            <w:vAlign w:val="center"/>
          </w:tcPr>
          <w:p>
            <w:pPr>
              <w:spacing w:line="360" w:lineRule="auto"/>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6</w:t>
            </w:r>
          </w:p>
        </w:tc>
        <w:tc>
          <w:tcPr>
            <w:tcW w:w="8476" w:type="dxa"/>
            <w:vAlign w:val="center"/>
          </w:tcPr>
          <w:p>
            <w:pPr>
              <w:keepNext w:val="0"/>
              <w:keepLines w:val="0"/>
              <w:pageBreakBefore w:val="0"/>
              <w:widowControl w:val="0"/>
              <w:kinsoku/>
              <w:wordWrap/>
              <w:overflowPunct/>
              <w:topLinePunct w:val="0"/>
              <w:autoSpaceDE/>
              <w:autoSpaceDN/>
              <w:bidi w:val="0"/>
              <w:adjustRightInd/>
              <w:snapToGrid/>
              <w:spacing w:line="480" w:lineRule="atLeast"/>
              <w:textAlignment w:val="auto"/>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履约保证金：本项目</w:t>
            </w:r>
            <w:r>
              <w:rPr>
                <w:rFonts w:hint="eastAsia" w:ascii="宋体" w:hAnsi="宋体" w:eastAsia="宋体" w:cs="Times New Roman"/>
                <w:color w:val="000000"/>
                <w:sz w:val="24"/>
                <w:szCs w:val="24"/>
                <w:highlight w:val="none"/>
                <w:lang w:val="en-US" w:eastAsia="zh-CN"/>
              </w:rPr>
              <w:t>不</w:t>
            </w:r>
            <w:r>
              <w:rPr>
                <w:rFonts w:hint="eastAsia" w:ascii="宋体" w:hAnsi="宋体" w:eastAsia="宋体" w:cs="Times New Roman"/>
                <w:color w:val="000000"/>
                <w:sz w:val="24"/>
                <w:szCs w:val="24"/>
                <w:highlight w:val="none"/>
              </w:rPr>
              <w:t>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64" w:type="dxa"/>
            <w:vAlign w:val="center"/>
          </w:tcPr>
          <w:p>
            <w:pPr>
              <w:spacing w:line="360" w:lineRule="auto"/>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7</w:t>
            </w:r>
          </w:p>
        </w:tc>
        <w:tc>
          <w:tcPr>
            <w:tcW w:w="8476" w:type="dxa"/>
            <w:vAlign w:val="center"/>
          </w:tcPr>
          <w:p>
            <w:pPr>
              <w:keepNext w:val="0"/>
              <w:keepLines w:val="0"/>
              <w:pageBreakBefore w:val="0"/>
              <w:widowControl w:val="0"/>
              <w:kinsoku/>
              <w:wordWrap/>
              <w:overflowPunct/>
              <w:topLinePunct w:val="0"/>
              <w:autoSpaceDE/>
              <w:autoSpaceDN/>
              <w:bidi w:val="0"/>
              <w:adjustRightInd/>
              <w:snapToGrid/>
              <w:spacing w:line="480" w:lineRule="atLeast"/>
              <w:textAlignment w:val="auto"/>
              <w:rPr>
                <w:rFonts w:ascii="宋体" w:hAnsi="宋体" w:eastAsia="宋体" w:cs="Times New Roman"/>
                <w:color w:val="000000"/>
                <w:sz w:val="24"/>
                <w:szCs w:val="24"/>
              </w:rPr>
            </w:pPr>
            <w:r>
              <w:rPr>
                <w:rFonts w:hint="eastAsia" w:ascii="宋体" w:hAnsi="宋体" w:eastAsia="宋体" w:cs="Times New Roman"/>
                <w:color w:val="000000"/>
                <w:sz w:val="24"/>
                <w:szCs w:val="24"/>
              </w:rPr>
              <w:t>免费质保期</w:t>
            </w:r>
            <w:r>
              <w:rPr>
                <w:rFonts w:hint="eastAsia" w:ascii="宋体" w:hAnsi="宋体" w:eastAsia="宋体" w:cs="Times New Roman"/>
                <w:sz w:val="24"/>
                <w:szCs w:val="24"/>
              </w:rPr>
              <w:t>：自交货验收合格之日起计1年。免费质保期间，中标人免费包维修、保养、调换等；对于采购方人为原因造成的故障，中标人只收取维保成本费用。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64" w:type="dxa"/>
            <w:vAlign w:val="center"/>
          </w:tcPr>
          <w:p>
            <w:pPr>
              <w:spacing w:line="360" w:lineRule="auto"/>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8</w:t>
            </w:r>
          </w:p>
        </w:tc>
        <w:tc>
          <w:tcPr>
            <w:tcW w:w="8476" w:type="dxa"/>
            <w:vAlign w:val="center"/>
          </w:tcPr>
          <w:p>
            <w:pPr>
              <w:keepNext w:val="0"/>
              <w:keepLines w:val="0"/>
              <w:pageBreakBefore w:val="0"/>
              <w:widowControl w:val="0"/>
              <w:kinsoku/>
              <w:wordWrap/>
              <w:overflowPunct/>
              <w:topLinePunct w:val="0"/>
              <w:autoSpaceDE/>
              <w:autoSpaceDN/>
              <w:bidi w:val="0"/>
              <w:adjustRightInd/>
              <w:snapToGrid/>
              <w:spacing w:line="480" w:lineRule="atLeast"/>
              <w:textAlignment w:val="auto"/>
              <w:rPr>
                <w:rFonts w:hint="eastAsia" w:ascii="宋体" w:hAnsi="宋体" w:eastAsia="宋体" w:cs="Times New Roman"/>
                <w:b/>
                <w:bCs/>
                <w:sz w:val="24"/>
                <w:szCs w:val="24"/>
                <w:highlight w:val="none"/>
              </w:rPr>
            </w:pPr>
            <w:r>
              <w:rPr>
                <w:rFonts w:hint="eastAsia" w:ascii="宋体" w:hAnsi="宋体" w:eastAsia="宋体" w:cs="Times New Roman"/>
                <w:color w:val="000000"/>
                <w:sz w:val="24"/>
                <w:szCs w:val="24"/>
                <w:highlight w:val="none"/>
              </w:rPr>
              <w:t>★1.交货</w:t>
            </w:r>
            <w:r>
              <w:rPr>
                <w:rFonts w:hint="eastAsia" w:ascii="宋体" w:hAnsi="宋体" w:eastAsia="宋体" w:cs="Times New Roman"/>
                <w:sz w:val="24"/>
                <w:szCs w:val="24"/>
                <w:highlight w:val="none"/>
              </w:rPr>
              <w:t>期：</w:t>
            </w:r>
            <w:r>
              <w:rPr>
                <w:rFonts w:hint="eastAsia" w:ascii="宋体" w:hAnsi="宋体" w:cs="宋体"/>
                <w:b/>
                <w:bCs/>
                <w:color w:val="auto"/>
                <w:sz w:val="24"/>
                <w:highlight w:val="none"/>
                <w:lang w:val="en-US" w:eastAsia="zh-CN"/>
              </w:rPr>
              <w:t>接到采购方通知后的</w:t>
            </w:r>
            <w:r>
              <w:rPr>
                <w:rFonts w:hint="eastAsia" w:ascii="宋体" w:hAnsi="宋体" w:cs="宋体"/>
                <w:b/>
                <w:bCs/>
                <w:color w:val="FF0000"/>
                <w:sz w:val="24"/>
                <w:highlight w:val="none"/>
                <w:lang w:val="en-US" w:eastAsia="zh-CN"/>
              </w:rPr>
              <w:t>45日内</w:t>
            </w:r>
            <w:r>
              <w:rPr>
                <w:rFonts w:hint="eastAsia" w:ascii="宋体" w:hAnsi="宋体" w:cs="宋体"/>
                <w:b/>
                <w:bCs/>
                <w:color w:val="auto"/>
                <w:sz w:val="24"/>
                <w:highlight w:val="none"/>
                <w:lang w:eastAsia="zh-CN"/>
              </w:rPr>
              <w:t>将所</w:t>
            </w:r>
            <w:r>
              <w:rPr>
                <w:rFonts w:hint="eastAsia" w:ascii="宋体" w:hAnsi="宋体" w:cs="宋体"/>
                <w:b/>
                <w:bCs/>
                <w:sz w:val="24"/>
                <w:highlight w:val="none"/>
                <w:lang w:eastAsia="zh-CN"/>
              </w:rPr>
              <w:t>有苗木送到指定地点并放入树塘，同时负责苗木的修剪和支架支撑，以及苗木的保鲜工作（遮挡和散水）</w:t>
            </w:r>
          </w:p>
          <w:p>
            <w:pPr>
              <w:keepNext w:val="0"/>
              <w:keepLines w:val="0"/>
              <w:pageBreakBefore w:val="0"/>
              <w:widowControl w:val="0"/>
              <w:kinsoku/>
              <w:wordWrap/>
              <w:overflowPunct/>
              <w:topLinePunct w:val="0"/>
              <w:autoSpaceDE/>
              <w:autoSpaceDN/>
              <w:bidi w:val="0"/>
              <w:adjustRightInd/>
              <w:snapToGrid/>
              <w:spacing w:line="480" w:lineRule="atLeas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2. 交货方式：中标单位应负责安排运输工具，保证货物安装在采购人指定位置。运送及加工过程发生的一切费用均由中标单位承担。</w:t>
            </w:r>
          </w:p>
          <w:p>
            <w:pPr>
              <w:keepNext w:val="0"/>
              <w:keepLines w:val="0"/>
              <w:pageBreakBefore w:val="0"/>
              <w:widowControl w:val="0"/>
              <w:kinsoku/>
              <w:wordWrap/>
              <w:overflowPunct/>
              <w:topLinePunct w:val="0"/>
              <w:autoSpaceDE/>
              <w:autoSpaceDN/>
              <w:bidi w:val="0"/>
              <w:adjustRightInd/>
              <w:snapToGrid/>
              <w:spacing w:line="480" w:lineRule="atLeast"/>
              <w:textAlignment w:val="auto"/>
              <w:rPr>
                <w:rFonts w:ascii="宋体" w:hAnsi="宋体" w:eastAsia="宋体" w:cs="Times New Roman"/>
                <w:color w:val="000000"/>
                <w:sz w:val="24"/>
                <w:szCs w:val="24"/>
                <w:highlight w:val="none"/>
              </w:rPr>
            </w:pPr>
            <w:r>
              <w:rPr>
                <w:rFonts w:hint="eastAsia" w:ascii="宋体" w:hAnsi="宋体" w:eastAsia="宋体" w:cs="Times New Roman"/>
                <w:sz w:val="24"/>
                <w:szCs w:val="24"/>
                <w:highlight w:val="none"/>
              </w:rPr>
              <w:t>3. 交货地点：采购人指定的交货地点。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064" w:type="dxa"/>
            <w:vAlign w:val="center"/>
          </w:tcPr>
          <w:p>
            <w:pPr>
              <w:spacing w:line="360" w:lineRule="auto"/>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9.1</w:t>
            </w:r>
          </w:p>
        </w:tc>
        <w:tc>
          <w:tcPr>
            <w:tcW w:w="8476" w:type="dxa"/>
            <w:vAlign w:val="center"/>
          </w:tcPr>
          <w:p>
            <w:pPr>
              <w:keepNext w:val="0"/>
              <w:keepLines w:val="0"/>
              <w:pageBreakBefore w:val="0"/>
              <w:widowControl w:val="0"/>
              <w:tabs>
                <w:tab w:val="left" w:pos="1716"/>
              </w:tabs>
              <w:kinsoku/>
              <w:wordWrap/>
              <w:overflowPunct/>
              <w:topLinePunct w:val="0"/>
              <w:autoSpaceDE/>
              <w:autoSpaceDN/>
              <w:bidi w:val="0"/>
              <w:adjustRightInd/>
              <w:snapToGrid/>
              <w:spacing w:line="480" w:lineRule="exact"/>
              <w:jc w:val="left"/>
              <w:textAlignment w:val="auto"/>
              <w:rPr>
                <w:rFonts w:ascii="宋体" w:hAnsi="宋体" w:eastAsia="宋体" w:cs="宋体"/>
                <w:b/>
                <w:bCs/>
                <w:color w:val="auto"/>
                <w:spacing w:val="-1"/>
                <w:sz w:val="24"/>
                <w:highlight w:val="none"/>
                <w:u w:val="single"/>
              </w:rPr>
            </w:pPr>
            <w:r>
              <w:rPr>
                <w:rFonts w:hint="eastAsia" w:ascii="宋体" w:hAnsi="宋体" w:eastAsia="宋体" w:cs="Times New Roman"/>
                <w:sz w:val="24"/>
                <w:szCs w:val="24"/>
                <w:highlight w:val="none"/>
              </w:rPr>
              <w:t>★付款方式：</w:t>
            </w:r>
            <w:r>
              <w:rPr>
                <w:rFonts w:hint="eastAsia" w:ascii="宋体" w:hAnsi="宋体" w:eastAsia="宋体" w:cs="宋体"/>
                <w:b/>
                <w:bCs/>
                <w:color w:val="auto"/>
                <w:sz w:val="24"/>
                <w:highlight w:val="none"/>
                <w:u w:val="single"/>
              </w:rPr>
              <w:t>（1）合同签订后7个工作日内付合同价款的10%作为预付款，</w:t>
            </w:r>
            <w:r>
              <w:rPr>
                <w:rFonts w:hint="eastAsia" w:ascii="宋体" w:hAnsi="宋体" w:eastAsia="宋体" w:cs="宋体"/>
                <w:b/>
                <w:bCs/>
                <w:color w:val="auto"/>
                <w:sz w:val="24"/>
                <w:highlight w:val="none"/>
                <w:u w:val="single"/>
                <w:lang w:val="en-US" w:eastAsia="zh-CN"/>
              </w:rPr>
              <w:t>苗木全部供货到位并验收合格后，15个工作日内付至合同价的</w:t>
            </w:r>
            <w:r>
              <w:rPr>
                <w:rFonts w:hint="eastAsia" w:ascii="宋体" w:hAnsi="宋体" w:eastAsia="宋体" w:cs="宋体"/>
                <w:b/>
                <w:bCs/>
                <w:color w:val="auto"/>
                <w:sz w:val="24"/>
                <w:highlight w:val="none"/>
                <w:u w:val="single"/>
              </w:rPr>
              <w:t>100</w:t>
            </w:r>
            <w:r>
              <w:rPr>
                <w:rFonts w:hint="eastAsia" w:ascii="宋体" w:hAnsi="宋体" w:eastAsia="宋体" w:cs="宋体"/>
                <w:b/>
                <w:bCs/>
                <w:color w:val="auto"/>
                <w:spacing w:val="-1"/>
                <w:sz w:val="24"/>
                <w:highlight w:val="none"/>
                <w:u w:val="single"/>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Times New Roman"/>
                <w:sz w:val="24"/>
                <w:szCs w:val="24"/>
                <w:highlight w:val="none"/>
              </w:rPr>
            </w:pPr>
            <w:r>
              <w:rPr>
                <w:rFonts w:hint="eastAsia" w:ascii="宋体" w:hAnsi="宋体" w:eastAsia="宋体" w:cs="宋体"/>
                <w:b/>
                <w:bCs/>
                <w:color w:val="auto"/>
                <w:spacing w:val="10"/>
                <w:sz w:val="24"/>
                <w:highlight w:val="none"/>
                <w:u w:val="single"/>
              </w:rPr>
              <w:t>(2)每次支付</w:t>
            </w:r>
            <w:r>
              <w:rPr>
                <w:rFonts w:hint="eastAsia" w:ascii="宋体" w:hAnsi="宋体" w:eastAsia="宋体" w:cs="宋体"/>
                <w:b/>
                <w:bCs/>
                <w:color w:val="auto"/>
                <w:spacing w:val="10"/>
                <w:sz w:val="24"/>
                <w:highlight w:val="none"/>
                <w:u w:val="single"/>
                <w:lang w:val="en-US" w:eastAsia="zh-CN"/>
              </w:rPr>
              <w:t>货款</w:t>
            </w:r>
            <w:r>
              <w:rPr>
                <w:rFonts w:hint="eastAsia" w:ascii="宋体" w:hAnsi="宋体" w:eastAsia="宋体" w:cs="宋体"/>
                <w:b/>
                <w:bCs/>
                <w:color w:val="auto"/>
                <w:spacing w:val="10"/>
                <w:sz w:val="24"/>
                <w:highlight w:val="none"/>
                <w:u w:val="single"/>
              </w:rPr>
              <w:t>时，承包人必须提供符合税法的等</w:t>
            </w:r>
            <w:r>
              <w:rPr>
                <w:rFonts w:hint="eastAsia" w:ascii="宋体" w:hAnsi="宋体" w:eastAsia="宋体" w:cs="宋体"/>
                <w:b/>
                <w:bCs/>
                <w:color w:val="auto"/>
                <w:spacing w:val="9"/>
                <w:sz w:val="24"/>
                <w:highlight w:val="none"/>
                <w:u w:val="single"/>
              </w:rPr>
              <w:t>额正规发票，否则迟延付款的责任由承包人自</w:t>
            </w:r>
            <w:r>
              <w:rPr>
                <w:rFonts w:hint="eastAsia" w:ascii="宋体" w:hAnsi="宋体" w:eastAsia="宋体" w:cs="宋体"/>
                <w:b/>
                <w:bCs/>
                <w:color w:val="auto"/>
                <w:spacing w:val="-4"/>
                <w:sz w:val="24"/>
                <w:highlight w:val="none"/>
                <w:u w:val="single"/>
              </w:rPr>
              <w:t>行承担。采购人收到发票后10日内(发票开具日期计算),将资金支</w:t>
            </w:r>
            <w:r>
              <w:rPr>
                <w:rFonts w:hint="eastAsia" w:ascii="宋体" w:hAnsi="宋体" w:eastAsia="宋体" w:cs="宋体"/>
                <w:b/>
                <w:bCs/>
                <w:color w:val="auto"/>
                <w:spacing w:val="-5"/>
                <w:sz w:val="24"/>
                <w:highlight w:val="none"/>
                <w:u w:val="single"/>
              </w:rPr>
              <w:t>付到约定的承包人账户。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064" w:type="dxa"/>
            <w:vAlign w:val="center"/>
          </w:tcPr>
          <w:p>
            <w:pPr>
              <w:spacing w:line="360" w:lineRule="auto"/>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10.3</w:t>
            </w:r>
          </w:p>
        </w:tc>
        <w:tc>
          <w:tcPr>
            <w:tcW w:w="8476" w:type="dxa"/>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测试要求：依据技术要求中的条款进行验收测试。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64" w:type="dxa"/>
            <w:tcBorders>
              <w:bottom w:val="single" w:color="auto" w:sz="4" w:space="0"/>
            </w:tcBorders>
            <w:vAlign w:val="center"/>
          </w:tcPr>
          <w:p>
            <w:pPr>
              <w:spacing w:line="360" w:lineRule="auto"/>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13</w:t>
            </w:r>
          </w:p>
        </w:tc>
        <w:tc>
          <w:tcPr>
            <w:tcW w:w="8476" w:type="dxa"/>
            <w:tcBorders>
              <w:bottom w:val="single" w:color="auto" w:sz="4" w:space="0"/>
            </w:tcBorders>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违约责任：</w:t>
            </w:r>
          </w:p>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具体违约条款及其它未尽事宜，将在双方签订合同时议定。</w:t>
            </w:r>
          </w:p>
        </w:tc>
      </w:tr>
    </w:tbl>
    <w:p>
      <w:pPr>
        <w:spacing w:line="360" w:lineRule="auto"/>
        <w:ind w:firstLine="482" w:firstLineChars="200"/>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注：招标文件中标注★号的部分为实质性要求和条件（由采购人根据实际情况设置），投标人必须作出满足或者优于原要求和条件的响应，否则投标无效。</w:t>
      </w:r>
    </w:p>
    <w:p>
      <w:pPr>
        <w:keepNext/>
        <w:keepLines/>
        <w:adjustRightInd w:val="0"/>
        <w:spacing w:line="360" w:lineRule="auto"/>
        <w:jc w:val="center"/>
        <w:textAlignment w:val="baseline"/>
        <w:outlineLvl w:val="0"/>
        <w:rPr>
          <w:rFonts w:ascii="Times New Roman" w:hAnsi="宋体" w:eastAsia="黑体" w:cs="Times New Roman"/>
          <w:color w:val="000000"/>
          <w:kern w:val="44"/>
          <w:sz w:val="36"/>
          <w:szCs w:val="20"/>
          <w:highlight w:val="green"/>
        </w:rPr>
      </w:pPr>
      <w:r>
        <w:rPr>
          <w:rFonts w:ascii="Times New Roman" w:hAnsi="宋体" w:eastAsia="黑体" w:cs="Times New Roman"/>
          <w:bCs/>
          <w:color w:val="000000"/>
          <w:kern w:val="44"/>
          <w:sz w:val="36"/>
          <w:szCs w:val="20"/>
        </w:rPr>
        <w:br w:type="page"/>
      </w:r>
      <w:bookmarkEnd w:id="15"/>
      <w:bookmarkEnd w:id="16"/>
      <w:bookmarkStart w:id="18" w:name="_Toc10937"/>
      <w:bookmarkStart w:id="19" w:name="_Toc513622230"/>
      <w:r>
        <w:rPr>
          <w:rFonts w:hint="eastAsia" w:ascii="Times New Roman" w:hAnsi="宋体" w:eastAsia="黑体" w:cs="Times New Roman"/>
          <w:color w:val="000000"/>
          <w:kern w:val="44"/>
          <w:sz w:val="36"/>
          <w:szCs w:val="20"/>
          <w:highlight w:val="none"/>
        </w:rPr>
        <w:t>第六章  项目需求</w:t>
      </w:r>
      <w:bookmarkEnd w:id="18"/>
      <w:bookmarkEnd w:id="19"/>
    </w:p>
    <w:p>
      <w:pPr>
        <w:keepLines w:val="0"/>
        <w:pageBreakBefore w:val="0"/>
        <w:widowControl w:val="0"/>
        <w:kinsoku/>
        <w:wordWrap/>
        <w:overflowPunct/>
        <w:topLinePunct w:val="0"/>
        <w:bidi w:val="0"/>
        <w:snapToGrid/>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说明：本项目属性为货物，</w:t>
      </w:r>
      <w:r>
        <w:rPr>
          <w:rFonts w:hint="eastAsia" w:ascii="宋体" w:hAnsi="宋体" w:eastAsia="宋体" w:cs="宋体"/>
          <w:b/>
          <w:sz w:val="24"/>
          <w:szCs w:val="21"/>
        </w:rPr>
        <w:t>采购标的对应的中小企业划分标准所属行业</w:t>
      </w:r>
      <w:r>
        <w:rPr>
          <w:rFonts w:hint="eastAsia" w:ascii="宋体" w:hAnsi="宋体" w:eastAsia="宋体" w:cs="宋体"/>
          <w:b/>
          <w:color w:val="FF0000"/>
          <w:sz w:val="24"/>
          <w:szCs w:val="21"/>
          <w:u w:val="single"/>
          <w:lang w:val="en-US" w:eastAsia="zh-CN"/>
        </w:rPr>
        <w:t xml:space="preserve">  林业   </w:t>
      </w:r>
      <w:r>
        <w:rPr>
          <w:rFonts w:hint="eastAsia" w:ascii="宋体" w:hAnsi="宋体" w:eastAsia="宋体" w:cs="宋体"/>
          <w:b/>
          <w:color w:val="FF0000"/>
          <w:sz w:val="24"/>
          <w:szCs w:val="21"/>
          <w:u w:val="single"/>
        </w:rPr>
        <w:t>　</w:t>
      </w:r>
      <w:r>
        <w:rPr>
          <w:rFonts w:hint="eastAsia" w:ascii="宋体" w:hAnsi="宋体" w:eastAsia="宋体" w:cs="宋体"/>
          <w:b/>
          <w:sz w:val="24"/>
          <w:szCs w:val="21"/>
        </w:rPr>
        <w:t>。</w:t>
      </w:r>
    </w:p>
    <w:p>
      <w:pPr>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rPr>
          <w:rFonts w:hint="eastAsia" w:ascii="宋体" w:hAnsi="宋体" w:eastAsia="宋体" w:cs="宋体"/>
          <w:color w:val="000000"/>
          <w:sz w:val="24"/>
          <w:szCs w:val="24"/>
        </w:rPr>
      </w:pPr>
      <w:r>
        <w:rPr>
          <w:rFonts w:hint="eastAsia" w:ascii="宋体" w:hAnsi="宋体" w:eastAsia="宋体" w:cs="宋体"/>
          <w:b/>
          <w:color w:val="000000"/>
          <w:sz w:val="24"/>
          <w:szCs w:val="24"/>
        </w:rPr>
        <w:t>1、</w:t>
      </w:r>
      <w:r>
        <w:rPr>
          <w:rFonts w:hint="eastAsia" w:ascii="宋体" w:hAnsi="宋体" w:eastAsia="宋体" w:cs="宋体"/>
          <w:b/>
          <w:bCs/>
          <w:color w:val="000000"/>
          <w:sz w:val="24"/>
          <w:szCs w:val="24"/>
        </w:rPr>
        <w:t>本项目需求中标注★号的部分为实质性要求和条件（由采购人根据实际情况设置），投标人必须作出满足或者优于原要求和条件的响应，否则投标无效。</w:t>
      </w:r>
    </w:p>
    <w:p>
      <w:pPr>
        <w:keepLines w:val="0"/>
        <w:pageBreakBefore w:val="0"/>
        <w:widowControl w:val="0"/>
        <w:kinsoku/>
        <w:wordWrap/>
        <w:overflowPunct/>
        <w:topLinePunct w:val="0"/>
        <w:bidi w:val="0"/>
        <w:snapToGrid/>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2、根据财政部令第87号第31条：</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非单一产品采购项目，采购人应当根据采购项目技术构成、产品价格比重等合理确定核心产品，并在招标文件中载明。多家投标人提供的核心产品品牌相同的，按前两款规定处理。</w:t>
      </w:r>
    </w:p>
    <w:p>
      <w:pPr>
        <w:keepLines w:val="0"/>
        <w:pageBreakBefore w:val="0"/>
        <w:widowControl w:val="0"/>
        <w:kinsoku/>
        <w:wordWrap/>
        <w:overflowPunct/>
        <w:topLinePunct w:val="0"/>
        <w:bidi w:val="0"/>
        <w:snapToGrid/>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一、项目内容</w:t>
      </w:r>
    </w:p>
    <w:p>
      <w:pPr>
        <w:keepLines w:val="0"/>
        <w:pageBreakBefore w:val="0"/>
        <w:widowControl w:val="0"/>
        <w:kinsoku/>
        <w:wordWrap/>
        <w:overflowPunct/>
        <w:topLinePunct w:val="0"/>
        <w:bidi w:val="0"/>
        <w:snapToGrid/>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1、项目名称：</w:t>
      </w:r>
      <w:r>
        <w:rPr>
          <w:rFonts w:hint="eastAsia" w:ascii="宋体" w:hAnsi="宋体" w:eastAsia="宋体" w:cs="宋体"/>
          <w:color w:val="000000"/>
          <w:sz w:val="24"/>
          <w:szCs w:val="24"/>
          <w:highlight w:val="none"/>
          <w:lang w:val="en-US" w:eastAsia="zh-CN"/>
        </w:rPr>
        <w:t>西盐河绿化提档升级工程苗木采购</w:t>
      </w:r>
      <w:r>
        <w:rPr>
          <w:rFonts w:hint="eastAsia" w:ascii="宋体" w:hAnsi="宋体" w:eastAsia="宋体" w:cs="宋体"/>
          <w:color w:val="000000"/>
          <w:sz w:val="24"/>
          <w:szCs w:val="24"/>
        </w:rPr>
        <w:t>。</w:t>
      </w:r>
    </w:p>
    <w:p>
      <w:pPr>
        <w:keepLines w:val="0"/>
        <w:pageBreakBefore w:val="0"/>
        <w:widowControl w:val="0"/>
        <w:kinsoku/>
        <w:wordWrap/>
        <w:overflowPunct/>
        <w:topLinePunct w:val="0"/>
        <w:bidi w:val="0"/>
        <w:snapToGrid/>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2、采购预算：</w:t>
      </w:r>
      <w:r>
        <w:rPr>
          <w:rFonts w:hint="eastAsia" w:ascii="宋体" w:hAnsi="宋体" w:eastAsia="宋体" w:cs="宋体"/>
          <w:b/>
          <w:bCs/>
          <w:color w:val="000000"/>
          <w:sz w:val="24"/>
          <w:szCs w:val="24"/>
          <w:highlight w:val="none"/>
          <w:lang w:val="en-US" w:eastAsia="zh-CN"/>
        </w:rPr>
        <w:t>98万元。</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rPr>
        <w:t>3、</w:t>
      </w:r>
      <w:r>
        <w:rPr>
          <w:rFonts w:hint="eastAsia" w:ascii="宋体" w:hAnsi="宋体" w:eastAsia="宋体" w:cs="Times New Roman"/>
          <w:color w:val="000000"/>
          <w:sz w:val="24"/>
          <w:szCs w:val="24"/>
          <w:highlight w:val="none"/>
          <w:lang w:val="en-US" w:eastAsia="zh-CN"/>
        </w:rPr>
        <w:t>供货要求</w:t>
      </w:r>
      <w:r>
        <w:rPr>
          <w:rFonts w:hint="eastAsia" w:ascii="宋体" w:hAnsi="宋体" w:eastAsia="宋体" w:cs="Times New Roman"/>
          <w:color w:val="000000"/>
          <w:sz w:val="24"/>
          <w:szCs w:val="24"/>
          <w:highlight w:val="none"/>
        </w:rPr>
        <w:t>：</w:t>
      </w:r>
      <w:r>
        <w:rPr>
          <w:rFonts w:hint="eastAsia" w:ascii="宋体" w:hAnsi="宋体" w:eastAsia="宋体" w:cs="宋体"/>
          <w:color w:val="000000"/>
          <w:sz w:val="24"/>
          <w:szCs w:val="24"/>
          <w:highlight w:val="none"/>
          <w:lang w:val="en-US" w:eastAsia="zh-CN"/>
        </w:rPr>
        <w:t>接到采购方通知后的</w:t>
      </w:r>
      <w:r>
        <w:rPr>
          <w:rFonts w:hint="eastAsia" w:ascii="宋体" w:hAnsi="宋体" w:eastAsia="宋体" w:cs="宋体"/>
          <w:b/>
          <w:bCs/>
          <w:color w:val="FF0000"/>
          <w:sz w:val="24"/>
          <w:szCs w:val="24"/>
          <w:highlight w:val="none"/>
          <w:lang w:val="en-US" w:eastAsia="zh-CN"/>
        </w:rPr>
        <w:t>45日内</w:t>
      </w:r>
      <w:r>
        <w:rPr>
          <w:rFonts w:hint="eastAsia" w:ascii="宋体" w:hAnsi="宋体" w:eastAsia="宋体" w:cs="宋体"/>
          <w:color w:val="000000"/>
          <w:sz w:val="24"/>
          <w:szCs w:val="24"/>
          <w:highlight w:val="none"/>
          <w:lang w:val="en-US" w:eastAsia="zh-CN"/>
        </w:rPr>
        <w:t>将所有苗木送到指定地点并放入树塘，同时负责苗木的修剪和支架支撑，以及苗木的保鲜工作（遮挡和散水）</w:t>
      </w:r>
    </w:p>
    <w:p>
      <w:pPr>
        <w:keepLines w:val="0"/>
        <w:pageBreakBefore w:val="0"/>
        <w:widowControl w:val="0"/>
        <w:kinsoku/>
        <w:wordWrap/>
        <w:overflowPunct/>
        <w:topLinePunct w:val="0"/>
        <w:bidi w:val="0"/>
        <w:snapToGrid/>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4、项目属性：</w:t>
      </w:r>
      <w:r>
        <w:rPr>
          <w:rFonts w:hint="eastAsia" w:ascii="宋体" w:hAnsi="宋体" w:eastAsia="宋体" w:cs="宋体"/>
          <w:b/>
          <w:bCs/>
          <w:color w:val="000000"/>
          <w:sz w:val="24"/>
          <w:szCs w:val="24"/>
        </w:rPr>
        <w:t>货物，本项目属于专门面向中小企业的项目</w:t>
      </w:r>
      <w:r>
        <w:rPr>
          <w:rFonts w:hint="eastAsia" w:ascii="宋体" w:hAnsi="宋体" w:eastAsia="宋体" w:cs="宋体"/>
          <w:color w:val="000000"/>
          <w:sz w:val="24"/>
          <w:szCs w:val="24"/>
        </w:rPr>
        <w:t>。</w:t>
      </w:r>
    </w:p>
    <w:p>
      <w:pPr>
        <w:keepLines w:val="0"/>
        <w:pageBreakBefore w:val="0"/>
        <w:widowControl w:val="0"/>
        <w:kinsoku/>
        <w:wordWrap/>
        <w:overflowPunct/>
        <w:topLinePunct w:val="0"/>
        <w:bidi w:val="0"/>
        <w:snapToGrid/>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rPr>
        <w:t>5、采购需求：</w:t>
      </w:r>
      <w:r>
        <w:rPr>
          <w:rFonts w:hint="eastAsia" w:ascii="宋体" w:hAnsi="宋体" w:eastAsia="宋体" w:cs="宋体"/>
          <w:b/>
          <w:bCs/>
          <w:color w:val="000000"/>
          <w:sz w:val="24"/>
          <w:szCs w:val="24"/>
          <w:highlight w:val="none"/>
        </w:rPr>
        <w:t>本项目采购标的为苗木采购，</w:t>
      </w:r>
      <w:r>
        <w:rPr>
          <w:rFonts w:hint="eastAsia" w:ascii="宋体" w:hAnsi="宋体" w:cs="宋体"/>
          <w:b/>
          <w:bCs/>
          <w:sz w:val="24"/>
          <w:highlight w:val="none"/>
          <w:lang w:eastAsia="zh-CN"/>
        </w:rPr>
        <w:t>苗木需为一级实生苗，带土球、分枝均匀、冠形饱满、不偏冠、树干通直、树形优美、无病虫害、无机械损伤</w:t>
      </w:r>
      <w:r>
        <w:rPr>
          <w:rFonts w:hint="eastAsia" w:ascii="宋体" w:hAnsi="宋体" w:cs="宋体"/>
          <w:sz w:val="24"/>
          <w:highlight w:val="none"/>
          <w:lang w:val="en-US" w:eastAsia="zh-CN"/>
        </w:rPr>
        <w:t>,</w:t>
      </w:r>
      <w:r>
        <w:rPr>
          <w:rFonts w:hint="eastAsia" w:ascii="宋体" w:hAnsi="宋体" w:eastAsia="宋体" w:cs="宋体"/>
          <w:color w:val="000000"/>
          <w:sz w:val="24"/>
          <w:szCs w:val="24"/>
          <w:highlight w:val="none"/>
        </w:rPr>
        <w:t>包含：</w:t>
      </w:r>
      <w:r>
        <w:rPr>
          <w:rFonts w:hint="eastAsia" w:ascii="宋体" w:hAnsi="宋体" w:eastAsia="宋体" w:cs="宋体"/>
          <w:b/>
          <w:bCs/>
          <w:color w:val="000000"/>
          <w:sz w:val="24"/>
          <w:szCs w:val="24"/>
          <w:highlight w:val="none"/>
          <w:lang w:val="en-US" w:eastAsia="zh-CN"/>
        </w:rPr>
        <w:t>娜塔栎</w:t>
      </w:r>
      <w:r>
        <w:rPr>
          <w:rFonts w:hint="eastAsia" w:ascii="宋体" w:hAnsi="宋体" w:eastAsia="宋体" w:cs="宋体"/>
          <w:b/>
          <w:bCs/>
          <w:color w:val="000000"/>
          <w:sz w:val="24"/>
          <w:szCs w:val="24"/>
          <w:highlight w:val="none"/>
        </w:rPr>
        <w:t>树、</w:t>
      </w:r>
      <w:r>
        <w:rPr>
          <w:rFonts w:hint="eastAsia" w:ascii="宋体" w:hAnsi="宋体" w:eastAsia="宋体" w:cs="宋体"/>
          <w:b/>
          <w:bCs/>
          <w:color w:val="000000"/>
          <w:sz w:val="24"/>
          <w:szCs w:val="24"/>
          <w:highlight w:val="none"/>
          <w:lang w:val="en-US" w:eastAsia="zh-CN"/>
        </w:rPr>
        <w:t>红叶石楠树</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樱花、红叶石楠、金森女贞</w:t>
      </w:r>
      <w:r>
        <w:rPr>
          <w:rFonts w:hint="eastAsia" w:ascii="宋体" w:hAnsi="宋体" w:eastAsia="宋体" w:cs="宋体"/>
          <w:color w:val="000000"/>
          <w:sz w:val="24"/>
          <w:szCs w:val="24"/>
          <w:highlight w:val="none"/>
        </w:rPr>
        <w:t>。</w:t>
      </w:r>
    </w:p>
    <w:p>
      <w:pPr>
        <w:keepLines w:val="0"/>
        <w:pageBreakBefore w:val="0"/>
        <w:widowControl w:val="0"/>
        <w:kinsoku/>
        <w:wordWrap/>
        <w:overflowPunct/>
        <w:topLinePunct w:val="0"/>
        <w:bidi w:val="0"/>
        <w:snapToGrid/>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6、该项目不允许分包。</w:t>
      </w:r>
    </w:p>
    <w:p>
      <w:pPr>
        <w:keepLines w:val="0"/>
        <w:pageBreakBefore w:val="0"/>
        <w:widowControl w:val="0"/>
        <w:kinsoku/>
        <w:wordWrap/>
        <w:overflowPunct/>
        <w:topLinePunct w:val="0"/>
        <w:bidi w:val="0"/>
        <w:snapToGrid/>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二</w:t>
      </w:r>
      <w:r>
        <w:rPr>
          <w:rFonts w:hint="eastAsia" w:ascii="宋体" w:hAnsi="宋体" w:eastAsia="宋体" w:cs="宋体"/>
          <w:color w:val="000000"/>
          <w:sz w:val="24"/>
          <w:szCs w:val="24"/>
        </w:rPr>
        <w:t>、采购清单及技术要求：</w:t>
      </w:r>
    </w:p>
    <w:tbl>
      <w:tblPr>
        <w:tblStyle w:val="27"/>
        <w:tblW w:w="9971" w:type="dxa"/>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8"/>
        <w:gridCol w:w="3909"/>
        <w:gridCol w:w="3638"/>
        <w:gridCol w:w="12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68" w:type="dxa"/>
            <w:noWrap w:val="0"/>
            <w:vAlign w:val="center"/>
          </w:tcPr>
          <w:p>
            <w:pPr>
              <w:keepLines w:val="0"/>
              <w:pageBreakBefore w:val="0"/>
              <w:widowControl w:val="0"/>
              <w:kinsoku/>
              <w:wordWrap/>
              <w:overflowPunct/>
              <w:topLinePunct w:val="0"/>
              <w:bidi w:val="0"/>
              <w:snapToGrid/>
              <w:spacing w:line="360" w:lineRule="auto"/>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3909" w:type="dxa"/>
            <w:noWrap w:val="0"/>
            <w:vAlign w:val="center"/>
          </w:tcPr>
          <w:p>
            <w:pPr>
              <w:keepLines w:val="0"/>
              <w:pageBreakBefore w:val="0"/>
              <w:widowControl w:val="0"/>
              <w:kinsoku/>
              <w:wordWrap/>
              <w:overflowPunct/>
              <w:topLinePunct w:val="0"/>
              <w:bidi w:val="0"/>
              <w:snapToGrid/>
              <w:spacing w:line="360" w:lineRule="auto"/>
              <w:ind w:firstLine="960" w:firstLineChars="400"/>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苗木名称</w:t>
            </w:r>
          </w:p>
        </w:tc>
        <w:tc>
          <w:tcPr>
            <w:tcW w:w="3638" w:type="dxa"/>
            <w:noWrap w:val="0"/>
            <w:vAlign w:val="center"/>
          </w:tcPr>
          <w:p>
            <w:pPr>
              <w:keepLines w:val="0"/>
              <w:pageBreakBefore w:val="0"/>
              <w:widowControl w:val="0"/>
              <w:kinsoku/>
              <w:wordWrap/>
              <w:overflowPunct/>
              <w:topLinePunct w:val="0"/>
              <w:bidi w:val="0"/>
              <w:snapToGrid/>
              <w:spacing w:line="360" w:lineRule="auto"/>
              <w:ind w:firstLine="960" w:firstLineChars="400"/>
              <w:rPr>
                <w:rFonts w:hint="eastAsia" w:ascii="宋体" w:hAnsi="宋体" w:eastAsia="宋体" w:cs="宋体"/>
                <w:color w:val="000000"/>
                <w:sz w:val="24"/>
                <w:szCs w:val="24"/>
              </w:rPr>
            </w:pPr>
            <w:r>
              <w:rPr>
                <w:rFonts w:hint="eastAsia" w:ascii="宋体" w:hAnsi="宋体" w:eastAsia="宋体" w:cs="宋体"/>
                <w:color w:val="000000"/>
                <w:sz w:val="24"/>
                <w:szCs w:val="24"/>
              </w:rPr>
              <w:t>技术参数</w:t>
            </w:r>
          </w:p>
        </w:tc>
        <w:tc>
          <w:tcPr>
            <w:tcW w:w="1256" w:type="dxa"/>
            <w:noWrap w:val="0"/>
            <w:vAlign w:val="center"/>
          </w:tcPr>
          <w:p>
            <w:pPr>
              <w:keepLines w:val="0"/>
              <w:pageBreakBefore w:val="0"/>
              <w:widowControl w:val="0"/>
              <w:kinsoku/>
              <w:wordWrap/>
              <w:overflowPunct/>
              <w:topLinePunct w:val="0"/>
              <w:bidi w:val="0"/>
              <w:snapToGrid/>
              <w:spacing w:line="360" w:lineRule="auto"/>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数</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68" w:type="dxa"/>
            <w:noWrap w:val="0"/>
            <w:vAlign w:val="center"/>
          </w:tcPr>
          <w:p>
            <w:pPr>
              <w:keepLines w:val="0"/>
              <w:pageBreakBefore w:val="0"/>
              <w:widowControl w:val="0"/>
              <w:kinsoku/>
              <w:wordWrap/>
              <w:overflowPunct/>
              <w:topLinePunct w:val="0"/>
              <w:bidi w:val="0"/>
              <w:snapToGrid/>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3909" w:type="dxa"/>
            <w:noWrap w:val="0"/>
            <w:vAlign w:val="center"/>
          </w:tcPr>
          <w:p>
            <w:pPr>
              <w:jc w:val="center"/>
              <w:rPr>
                <w:rFonts w:hint="eastAsia" w:ascii="宋体" w:hAnsi="宋体" w:eastAsia="宋体" w:cs="宋体"/>
                <w:color w:val="000000"/>
                <w:sz w:val="21"/>
                <w:szCs w:val="21"/>
              </w:rPr>
            </w:pPr>
            <w:r>
              <w:rPr>
                <w:rFonts w:hint="eastAsia"/>
                <w:sz w:val="21"/>
                <w:szCs w:val="21"/>
                <w:vertAlign w:val="baseline"/>
                <w:lang w:val="en-US" w:eastAsia="zh-CN"/>
              </w:rPr>
              <w:t>娜塔栎</w:t>
            </w:r>
          </w:p>
        </w:tc>
        <w:tc>
          <w:tcPr>
            <w:tcW w:w="3638" w:type="dxa"/>
            <w:noWrap w:val="0"/>
            <w:vAlign w:val="center"/>
          </w:tcPr>
          <w:p>
            <w:pPr>
              <w:jc w:val="both"/>
              <w:rPr>
                <w:rFonts w:hint="eastAsia" w:ascii="宋体" w:hAnsi="宋体" w:cs="宋体" w:eastAsiaTheme="minorEastAsia"/>
                <w:color w:val="000000"/>
                <w:kern w:val="0"/>
                <w:sz w:val="21"/>
                <w:szCs w:val="21"/>
                <w:lang w:val="en-US" w:eastAsia="zh-CN"/>
              </w:rPr>
            </w:pPr>
            <w:r>
              <w:rPr>
                <w:rFonts w:hint="eastAsia" w:ascii="宋体" w:hAnsi="宋体" w:cs="宋体"/>
                <w:color w:val="000000"/>
                <w:kern w:val="0"/>
                <w:sz w:val="21"/>
                <w:szCs w:val="21"/>
              </w:rPr>
              <w:t>1、乔木种类：</w:t>
            </w:r>
            <w:r>
              <w:rPr>
                <w:rFonts w:hint="eastAsia" w:ascii="宋体" w:hAnsi="宋体" w:cs="宋体"/>
                <w:color w:val="000000"/>
                <w:kern w:val="0"/>
                <w:sz w:val="21"/>
                <w:szCs w:val="21"/>
                <w:lang w:val="en-US" w:eastAsia="zh-CN"/>
              </w:rPr>
              <w:t>娜塔栎</w:t>
            </w:r>
          </w:p>
          <w:p>
            <w:pPr>
              <w:jc w:val="center"/>
              <w:rPr>
                <w:rFonts w:hint="eastAsia" w:ascii="宋体" w:hAnsi="宋体" w:cs="宋体" w:eastAsiaTheme="minorEastAsia"/>
                <w:color w:val="000000"/>
                <w:kern w:val="0"/>
                <w:sz w:val="21"/>
                <w:szCs w:val="21"/>
                <w:lang w:eastAsia="zh-CN"/>
              </w:rPr>
            </w:pPr>
            <w:r>
              <w:rPr>
                <w:rFonts w:hint="eastAsia" w:ascii="宋体" w:hAnsi="宋体" w:cs="宋体"/>
                <w:color w:val="000000"/>
                <w:kern w:val="0"/>
                <w:sz w:val="21"/>
                <w:szCs w:val="21"/>
              </w:rPr>
              <w:t>2、</w:t>
            </w:r>
            <w:r>
              <w:rPr>
                <w:rFonts w:hint="eastAsia" w:ascii="仿宋" w:hAnsi="仿宋" w:eastAsia="仿宋" w:cs="仿宋"/>
                <w:sz w:val="22"/>
                <w:szCs w:val="22"/>
                <w:lang w:val="en-US" w:eastAsia="zh-CN"/>
              </w:rPr>
              <w:t>★</w:t>
            </w:r>
            <w:r>
              <w:rPr>
                <w:rFonts w:hint="eastAsia" w:ascii="宋体" w:hAnsi="宋体" w:cs="宋体"/>
                <w:color w:val="000000"/>
                <w:kern w:val="0"/>
                <w:sz w:val="21"/>
                <w:szCs w:val="21"/>
              </w:rPr>
              <w:t>乔木规格：胸径12cm，冠幅&gt;3.0m，树高6.0-7.0m，分</w:t>
            </w:r>
            <w:r>
              <w:rPr>
                <w:rFonts w:hint="eastAsia" w:ascii="宋体" w:hAnsi="宋体" w:cs="宋体"/>
                <w:color w:val="000000"/>
                <w:kern w:val="0"/>
                <w:sz w:val="21"/>
                <w:szCs w:val="21"/>
                <w:lang w:val="en-US" w:eastAsia="zh-CN"/>
              </w:rPr>
              <w:t>枝</w:t>
            </w:r>
            <w:r>
              <w:rPr>
                <w:rFonts w:hint="eastAsia" w:ascii="宋体" w:hAnsi="宋体" w:cs="宋体"/>
                <w:color w:val="000000"/>
                <w:sz w:val="21"/>
                <w:szCs w:val="21"/>
              </w:rPr>
              <w:t>点范围2.</w:t>
            </w:r>
            <w:r>
              <w:rPr>
                <w:rFonts w:hint="eastAsia" w:ascii="宋体" w:hAnsi="宋体" w:cs="宋体"/>
                <w:color w:val="000000"/>
                <w:sz w:val="21"/>
                <w:szCs w:val="21"/>
                <w:u w:val="none"/>
              </w:rPr>
              <w:t>2-2.5</w:t>
            </w:r>
            <w:r>
              <w:rPr>
                <w:rFonts w:hint="eastAsia" w:ascii="宋体" w:hAnsi="宋体" w:cs="宋体"/>
                <w:color w:val="000000"/>
                <w:kern w:val="0"/>
                <w:sz w:val="21"/>
                <w:szCs w:val="21"/>
              </w:rPr>
              <w:t>m</w:t>
            </w:r>
          </w:p>
          <w:p>
            <w:pPr>
              <w:jc w:val="both"/>
              <w:rPr>
                <w:rFonts w:hint="eastAsia" w:ascii="宋体" w:hAnsi="宋体" w:cs="宋体" w:eastAsiaTheme="minorEastAsia"/>
                <w:color w:val="000000"/>
                <w:kern w:val="0"/>
                <w:sz w:val="21"/>
                <w:szCs w:val="21"/>
                <w:lang w:eastAsia="zh-CN"/>
              </w:rPr>
            </w:pPr>
            <w:r>
              <w:rPr>
                <w:rFonts w:hint="eastAsia" w:ascii="宋体" w:hAnsi="宋体" w:cs="宋体"/>
                <w:color w:val="000000"/>
                <w:kern w:val="0"/>
                <w:sz w:val="21"/>
                <w:szCs w:val="21"/>
              </w:rPr>
              <w:t>3、树形：饱满不偏冠</w:t>
            </w:r>
          </w:p>
          <w:p>
            <w:pPr>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rPr>
              <w:t>4</w:t>
            </w:r>
            <w:r>
              <w:rPr>
                <w:rFonts w:hint="eastAsia" w:ascii="宋体" w:hAnsi="宋体" w:cs="宋体"/>
                <w:color w:val="000000"/>
                <w:kern w:val="0"/>
                <w:sz w:val="21"/>
                <w:szCs w:val="21"/>
              </w:rPr>
              <w:t>、苗木规格均为栽植修剪后规格</w:t>
            </w:r>
          </w:p>
        </w:tc>
        <w:tc>
          <w:tcPr>
            <w:tcW w:w="1256" w:type="dxa"/>
            <w:noWrap w:val="0"/>
            <w:vAlign w:val="center"/>
          </w:tcPr>
          <w:p>
            <w:pPr>
              <w:jc w:val="center"/>
              <w:rPr>
                <w:rFonts w:hint="eastAsia" w:ascii="宋体" w:hAnsi="宋体" w:eastAsia="宋体" w:cs="宋体"/>
                <w:color w:val="000000"/>
                <w:sz w:val="24"/>
                <w:szCs w:val="24"/>
                <w:lang w:val="en-US" w:eastAsia="zh-CN"/>
              </w:rPr>
            </w:pPr>
            <w:r>
              <w:rPr>
                <w:rFonts w:hint="eastAsia"/>
                <w:vertAlign w:val="baseline"/>
                <w:lang w:val="en-US" w:eastAsia="zh-CN"/>
              </w:rPr>
              <w:t>423株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68" w:type="dxa"/>
            <w:noWrap w:val="0"/>
            <w:vAlign w:val="center"/>
          </w:tcPr>
          <w:p>
            <w:pPr>
              <w:keepLines w:val="0"/>
              <w:pageBreakBefore w:val="0"/>
              <w:widowControl w:val="0"/>
              <w:kinsoku/>
              <w:wordWrap/>
              <w:overflowPunct/>
              <w:topLinePunct w:val="0"/>
              <w:bidi w:val="0"/>
              <w:snapToGrid/>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3909" w:type="dxa"/>
            <w:noWrap w:val="0"/>
            <w:vAlign w:val="center"/>
          </w:tcPr>
          <w:p>
            <w:pPr>
              <w:jc w:val="center"/>
              <w:rPr>
                <w:rFonts w:hint="eastAsia" w:ascii="宋体" w:hAnsi="宋体" w:eastAsia="宋体" w:cs="宋体"/>
                <w:color w:val="000000"/>
                <w:sz w:val="21"/>
                <w:szCs w:val="21"/>
              </w:rPr>
            </w:pPr>
            <w:r>
              <w:rPr>
                <w:rFonts w:hint="eastAsia"/>
                <w:sz w:val="21"/>
                <w:szCs w:val="21"/>
                <w:vertAlign w:val="baseline"/>
                <w:lang w:val="en-US" w:eastAsia="zh-CN"/>
              </w:rPr>
              <w:t>红叶石楠树</w:t>
            </w:r>
          </w:p>
        </w:tc>
        <w:tc>
          <w:tcPr>
            <w:tcW w:w="3638" w:type="dxa"/>
            <w:noWrap w:val="0"/>
            <w:vAlign w:val="center"/>
          </w:tcPr>
          <w:p>
            <w:pPr>
              <w:widowControl/>
              <w:jc w:val="both"/>
              <w:rPr>
                <w:rFonts w:hint="eastAsia" w:ascii="宋体" w:hAnsi="宋体" w:cs="宋体" w:eastAsiaTheme="minorEastAsia"/>
                <w:color w:val="000000"/>
                <w:kern w:val="0"/>
                <w:sz w:val="21"/>
                <w:szCs w:val="21"/>
                <w:lang w:eastAsia="zh-CN"/>
              </w:rPr>
            </w:pPr>
            <w:r>
              <w:rPr>
                <w:rFonts w:hint="eastAsia" w:ascii="宋体" w:hAnsi="宋体" w:cs="宋体"/>
                <w:color w:val="000000"/>
                <w:kern w:val="0"/>
                <w:sz w:val="21"/>
                <w:szCs w:val="21"/>
              </w:rPr>
              <w:t>1、灌木种类：红叶石楠树</w:t>
            </w:r>
          </w:p>
          <w:p>
            <w:pPr>
              <w:widowControl/>
              <w:jc w:val="center"/>
              <w:rPr>
                <w:rFonts w:hint="eastAsia" w:ascii="宋体" w:hAnsi="宋体" w:cs="宋体" w:eastAsiaTheme="minorEastAsia"/>
                <w:color w:val="000000"/>
                <w:kern w:val="0"/>
                <w:sz w:val="21"/>
                <w:szCs w:val="21"/>
                <w:lang w:eastAsia="zh-CN"/>
              </w:rPr>
            </w:pPr>
            <w:r>
              <w:rPr>
                <w:rFonts w:hint="eastAsia" w:ascii="宋体" w:hAnsi="宋体" w:cs="宋体"/>
                <w:color w:val="000000"/>
                <w:kern w:val="0"/>
                <w:sz w:val="21"/>
                <w:szCs w:val="21"/>
              </w:rPr>
              <w:t>2、</w:t>
            </w:r>
            <w:r>
              <w:rPr>
                <w:rFonts w:hint="eastAsia" w:ascii="仿宋" w:hAnsi="仿宋" w:eastAsia="仿宋" w:cs="仿宋"/>
                <w:sz w:val="22"/>
                <w:szCs w:val="22"/>
                <w:lang w:val="en-US" w:eastAsia="zh-CN"/>
              </w:rPr>
              <w:t>★</w:t>
            </w:r>
            <w:r>
              <w:rPr>
                <w:rFonts w:hint="eastAsia" w:ascii="宋体" w:hAnsi="宋体" w:cs="宋体"/>
                <w:color w:val="000000"/>
                <w:kern w:val="0"/>
                <w:sz w:val="21"/>
                <w:szCs w:val="21"/>
              </w:rPr>
              <w:t>灌木规格：地径</w:t>
            </w:r>
            <w:r>
              <w:rPr>
                <w:rFonts w:hint="eastAsia" w:ascii="宋体" w:hAnsi="宋体" w:cs="宋体"/>
                <w:color w:val="000000"/>
                <w:kern w:val="0"/>
                <w:sz w:val="21"/>
                <w:szCs w:val="21"/>
                <w:lang w:val="en-US" w:eastAsia="zh-CN"/>
              </w:rPr>
              <w:t>8</w:t>
            </w:r>
            <w:r>
              <w:rPr>
                <w:rFonts w:hint="eastAsia" w:ascii="宋体" w:hAnsi="宋体" w:cs="宋体"/>
                <w:color w:val="000000"/>
                <w:kern w:val="0"/>
                <w:sz w:val="21"/>
                <w:szCs w:val="21"/>
              </w:rPr>
              <w:t>cm</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冠幅&gt;</w:t>
            </w: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m，</w:t>
            </w:r>
            <w:r>
              <w:rPr>
                <w:rFonts w:hint="eastAsia" w:ascii="宋体" w:hAnsi="宋体" w:cs="宋体"/>
                <w:color w:val="000000"/>
                <w:kern w:val="0"/>
                <w:sz w:val="21"/>
                <w:szCs w:val="21"/>
                <w:lang w:val="en-US" w:eastAsia="zh-CN"/>
              </w:rPr>
              <w:t>株</w:t>
            </w:r>
            <w:r>
              <w:rPr>
                <w:rFonts w:hint="eastAsia" w:ascii="宋体" w:hAnsi="宋体" w:cs="宋体"/>
                <w:color w:val="000000"/>
                <w:kern w:val="0"/>
                <w:sz w:val="21"/>
                <w:szCs w:val="21"/>
              </w:rPr>
              <w:t>高&gt;</w:t>
            </w:r>
            <w:r>
              <w:rPr>
                <w:rFonts w:hint="eastAsia" w:ascii="宋体" w:hAnsi="宋体" w:cs="宋体"/>
                <w:color w:val="000000"/>
                <w:kern w:val="0"/>
                <w:sz w:val="21"/>
                <w:szCs w:val="21"/>
                <w:lang w:val="en-US" w:eastAsia="zh-CN"/>
              </w:rPr>
              <w:t>3.5</w:t>
            </w:r>
            <w:r>
              <w:rPr>
                <w:rFonts w:hint="eastAsia" w:ascii="宋体" w:hAnsi="宋体" w:cs="宋体"/>
                <w:color w:val="000000"/>
                <w:kern w:val="0"/>
                <w:sz w:val="21"/>
                <w:szCs w:val="21"/>
              </w:rPr>
              <w:t>m，分</w:t>
            </w:r>
            <w:r>
              <w:rPr>
                <w:rFonts w:hint="eastAsia" w:ascii="宋体" w:hAnsi="宋体" w:cs="宋体"/>
                <w:color w:val="000000"/>
                <w:kern w:val="0"/>
                <w:sz w:val="21"/>
                <w:szCs w:val="21"/>
                <w:lang w:val="en-US" w:eastAsia="zh-CN"/>
              </w:rPr>
              <w:t>枝</w:t>
            </w:r>
            <w:r>
              <w:rPr>
                <w:rFonts w:hint="eastAsia" w:ascii="宋体" w:hAnsi="宋体" w:cs="宋体"/>
                <w:color w:val="000000"/>
                <w:kern w:val="0"/>
                <w:sz w:val="21"/>
                <w:szCs w:val="21"/>
              </w:rPr>
              <w:t>点</w:t>
            </w:r>
            <w:r>
              <w:rPr>
                <w:rFonts w:hint="eastAsia" w:ascii="宋体" w:hAnsi="宋体" w:cs="宋体"/>
                <w:color w:val="000000"/>
                <w:kern w:val="0"/>
                <w:sz w:val="21"/>
                <w:szCs w:val="21"/>
                <w:lang w:val="en-US" w:eastAsia="zh-CN"/>
              </w:rPr>
              <w:t>1.8</w:t>
            </w:r>
            <w:r>
              <w:rPr>
                <w:rFonts w:hint="eastAsia" w:ascii="宋体" w:hAnsi="宋体" w:cs="宋体"/>
                <w:color w:val="000000"/>
                <w:kern w:val="0"/>
                <w:sz w:val="21"/>
                <w:szCs w:val="21"/>
              </w:rPr>
              <w:t>m</w:t>
            </w:r>
          </w:p>
          <w:p>
            <w:pPr>
              <w:widowControl/>
              <w:jc w:val="both"/>
              <w:rPr>
                <w:rFonts w:hint="eastAsia" w:ascii="宋体" w:hAnsi="宋体" w:cs="宋体" w:eastAsiaTheme="minorEastAsia"/>
                <w:color w:val="000000"/>
                <w:kern w:val="0"/>
                <w:sz w:val="21"/>
                <w:szCs w:val="21"/>
                <w:lang w:eastAsia="zh-CN"/>
              </w:rPr>
            </w:pPr>
            <w:r>
              <w:rPr>
                <w:rFonts w:hint="eastAsia" w:ascii="宋体" w:hAnsi="宋体" w:cs="宋体"/>
                <w:color w:val="000000"/>
                <w:kern w:val="0"/>
                <w:sz w:val="21"/>
                <w:szCs w:val="21"/>
              </w:rPr>
              <w:t>3、树形：饱满不偏冠</w:t>
            </w:r>
          </w:p>
          <w:p>
            <w:pPr>
              <w:widowControl/>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rPr>
              <w:t>4</w:t>
            </w:r>
            <w:r>
              <w:rPr>
                <w:rFonts w:hint="eastAsia" w:ascii="宋体" w:hAnsi="宋体" w:cs="宋体"/>
                <w:color w:val="000000"/>
                <w:kern w:val="0"/>
                <w:sz w:val="21"/>
                <w:szCs w:val="21"/>
              </w:rPr>
              <w:t>、苗木规格均为栽植修剪后规格</w:t>
            </w:r>
          </w:p>
        </w:tc>
        <w:tc>
          <w:tcPr>
            <w:tcW w:w="1256" w:type="dxa"/>
            <w:noWrap w:val="0"/>
            <w:vAlign w:val="center"/>
          </w:tcPr>
          <w:p>
            <w:pPr>
              <w:jc w:val="center"/>
              <w:rPr>
                <w:rFonts w:hint="eastAsia" w:ascii="宋体" w:hAnsi="宋体" w:eastAsia="宋体" w:cs="宋体"/>
                <w:color w:val="000000"/>
                <w:sz w:val="24"/>
                <w:szCs w:val="24"/>
                <w:lang w:val="en-US" w:eastAsia="zh-CN"/>
              </w:rPr>
            </w:pPr>
            <w:r>
              <w:rPr>
                <w:rFonts w:hint="eastAsia"/>
                <w:vertAlign w:val="baseline"/>
                <w:lang w:val="en-US" w:eastAsia="zh-CN"/>
              </w:rPr>
              <w:t>323株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1168" w:type="dxa"/>
            <w:noWrap w:val="0"/>
            <w:vAlign w:val="center"/>
          </w:tcPr>
          <w:p>
            <w:pPr>
              <w:keepLines w:val="0"/>
              <w:pageBreakBefore w:val="0"/>
              <w:widowControl w:val="0"/>
              <w:kinsoku/>
              <w:wordWrap/>
              <w:overflowPunct/>
              <w:topLinePunct w:val="0"/>
              <w:bidi w:val="0"/>
              <w:snapToGrid/>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3909" w:type="dxa"/>
            <w:noWrap w:val="0"/>
            <w:vAlign w:val="center"/>
          </w:tcPr>
          <w:p>
            <w:pPr>
              <w:jc w:val="center"/>
              <w:rPr>
                <w:rFonts w:hint="eastAsia" w:ascii="宋体" w:hAnsi="宋体" w:eastAsia="宋体" w:cs="宋体"/>
                <w:color w:val="000000"/>
                <w:sz w:val="21"/>
                <w:szCs w:val="21"/>
              </w:rPr>
            </w:pPr>
            <w:r>
              <w:rPr>
                <w:rFonts w:hint="eastAsia"/>
                <w:sz w:val="21"/>
                <w:szCs w:val="21"/>
                <w:vertAlign w:val="baseline"/>
                <w:lang w:val="en-US" w:eastAsia="zh-CN"/>
              </w:rPr>
              <w:t>樱花</w:t>
            </w:r>
          </w:p>
        </w:tc>
        <w:tc>
          <w:tcPr>
            <w:tcW w:w="3638" w:type="dxa"/>
            <w:noWrap w:val="0"/>
            <w:vAlign w:val="center"/>
          </w:tcPr>
          <w:p>
            <w:pPr>
              <w:widowControl/>
              <w:jc w:val="both"/>
              <w:rPr>
                <w:rFonts w:hint="eastAsia" w:ascii="宋体" w:hAnsi="宋体" w:cs="宋体" w:eastAsiaTheme="minorEastAsia"/>
                <w:color w:val="000000"/>
                <w:sz w:val="21"/>
                <w:szCs w:val="21"/>
                <w:lang w:val="en-US" w:eastAsia="zh-CN" w:bidi="ar-SA"/>
              </w:rPr>
            </w:pPr>
            <w:r>
              <w:rPr>
                <w:rFonts w:hint="eastAsia" w:ascii="宋体" w:hAnsi="宋体" w:cs="宋体"/>
                <w:color w:val="000000"/>
                <w:kern w:val="0"/>
                <w:sz w:val="21"/>
                <w:szCs w:val="21"/>
              </w:rPr>
              <w:t>1、灌木种类：早樱</w:t>
            </w:r>
            <w:r>
              <w:rPr>
                <w:rFonts w:hint="eastAsia" w:ascii="宋体" w:hAnsi="宋体" w:cs="宋体"/>
                <w:color w:val="000000"/>
                <w:sz w:val="21"/>
                <w:szCs w:val="21"/>
                <w:u w:val="none"/>
              </w:rPr>
              <w:t>--染井吉野</w:t>
            </w:r>
          </w:p>
          <w:p>
            <w:pPr>
              <w:widowControl/>
              <w:jc w:val="center"/>
              <w:rPr>
                <w:rFonts w:hint="eastAsia" w:ascii="宋体" w:hAnsi="宋体" w:cs="宋体" w:eastAsiaTheme="minorEastAsia"/>
                <w:color w:val="000000"/>
                <w:kern w:val="0"/>
                <w:sz w:val="21"/>
                <w:szCs w:val="21"/>
                <w:lang w:eastAsia="zh-CN"/>
              </w:rPr>
            </w:pPr>
            <w:r>
              <w:rPr>
                <w:rFonts w:hint="eastAsia" w:ascii="宋体" w:hAnsi="宋体" w:cs="宋体"/>
                <w:color w:val="000000"/>
                <w:kern w:val="0"/>
                <w:sz w:val="21"/>
                <w:szCs w:val="21"/>
              </w:rPr>
              <w:t>2、</w:t>
            </w:r>
            <w:r>
              <w:rPr>
                <w:rFonts w:hint="eastAsia" w:ascii="仿宋" w:hAnsi="仿宋" w:eastAsia="仿宋" w:cs="仿宋"/>
                <w:sz w:val="22"/>
                <w:szCs w:val="22"/>
                <w:lang w:val="en-US" w:eastAsia="zh-CN"/>
              </w:rPr>
              <w:t>★</w:t>
            </w:r>
            <w:r>
              <w:rPr>
                <w:rFonts w:hint="eastAsia" w:ascii="宋体" w:hAnsi="宋体" w:cs="宋体"/>
                <w:color w:val="000000"/>
                <w:kern w:val="0"/>
                <w:sz w:val="21"/>
                <w:szCs w:val="21"/>
              </w:rPr>
              <w:t>灌木规格：地径</w:t>
            </w:r>
            <w:r>
              <w:rPr>
                <w:rFonts w:hint="eastAsia" w:ascii="宋体" w:hAnsi="宋体" w:cs="宋体"/>
                <w:color w:val="000000"/>
                <w:kern w:val="0"/>
                <w:sz w:val="21"/>
                <w:szCs w:val="21"/>
                <w:lang w:val="en-US" w:eastAsia="zh-CN"/>
              </w:rPr>
              <w:t>8</w:t>
            </w:r>
            <w:r>
              <w:rPr>
                <w:rFonts w:hint="eastAsia" w:ascii="宋体" w:hAnsi="宋体" w:cs="宋体"/>
                <w:color w:val="000000"/>
                <w:kern w:val="0"/>
                <w:sz w:val="21"/>
                <w:szCs w:val="21"/>
              </w:rPr>
              <w:t>cm，冠幅&gt;2.2m，</w:t>
            </w:r>
            <w:r>
              <w:rPr>
                <w:rFonts w:hint="eastAsia" w:ascii="宋体" w:hAnsi="宋体" w:cs="宋体"/>
                <w:color w:val="000000"/>
                <w:kern w:val="0"/>
                <w:sz w:val="21"/>
                <w:szCs w:val="21"/>
                <w:lang w:val="en-US" w:eastAsia="zh-CN"/>
              </w:rPr>
              <w:t>株</w:t>
            </w:r>
            <w:r>
              <w:rPr>
                <w:rFonts w:hint="eastAsia" w:ascii="宋体" w:hAnsi="宋体" w:cs="宋体"/>
                <w:color w:val="000000"/>
                <w:kern w:val="0"/>
                <w:sz w:val="21"/>
                <w:szCs w:val="21"/>
              </w:rPr>
              <w:t>高&gt;</w:t>
            </w: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m，分</w:t>
            </w:r>
            <w:r>
              <w:rPr>
                <w:rFonts w:hint="eastAsia" w:ascii="宋体" w:hAnsi="宋体" w:cs="宋体"/>
                <w:color w:val="000000"/>
                <w:kern w:val="0"/>
                <w:sz w:val="21"/>
                <w:szCs w:val="21"/>
                <w:lang w:val="en-US" w:eastAsia="zh-CN"/>
              </w:rPr>
              <w:t>枝</w:t>
            </w:r>
            <w:r>
              <w:rPr>
                <w:rFonts w:hint="eastAsia" w:ascii="宋体" w:hAnsi="宋体" w:cs="宋体"/>
                <w:color w:val="000000"/>
                <w:kern w:val="0"/>
                <w:sz w:val="21"/>
                <w:szCs w:val="21"/>
              </w:rPr>
              <w:t>点</w:t>
            </w:r>
            <w:r>
              <w:rPr>
                <w:rFonts w:hint="eastAsia" w:ascii="宋体" w:hAnsi="宋体" w:cs="宋体"/>
                <w:color w:val="000000"/>
                <w:kern w:val="0"/>
                <w:sz w:val="21"/>
                <w:szCs w:val="21"/>
                <w:lang w:val="en-US" w:eastAsia="zh-CN"/>
              </w:rPr>
              <w:t>1.8-2</w:t>
            </w:r>
            <w:r>
              <w:rPr>
                <w:rFonts w:hint="eastAsia" w:ascii="宋体" w:hAnsi="宋体" w:cs="宋体"/>
                <w:color w:val="000000"/>
                <w:kern w:val="0"/>
                <w:sz w:val="21"/>
                <w:szCs w:val="21"/>
              </w:rPr>
              <w:t>m</w:t>
            </w:r>
          </w:p>
          <w:p>
            <w:pPr>
              <w:widowControl/>
              <w:jc w:val="both"/>
              <w:rPr>
                <w:rFonts w:hint="eastAsia" w:ascii="宋体" w:hAnsi="宋体" w:cs="宋体" w:eastAsiaTheme="minorEastAsia"/>
                <w:color w:val="000000"/>
                <w:sz w:val="21"/>
                <w:szCs w:val="21"/>
                <w:lang w:val="en-US" w:eastAsia="zh-CN" w:bidi="ar-SA"/>
              </w:rPr>
            </w:pPr>
            <w:r>
              <w:rPr>
                <w:rFonts w:hint="eastAsia" w:ascii="宋体" w:hAnsi="宋体" w:cs="宋体"/>
                <w:color w:val="000000"/>
                <w:kern w:val="0"/>
                <w:sz w:val="21"/>
                <w:szCs w:val="21"/>
              </w:rPr>
              <w:t>3、树形：饱满不偏冠</w:t>
            </w:r>
          </w:p>
          <w:p>
            <w:pPr>
              <w:widowControl/>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rPr>
              <w:t>4</w:t>
            </w:r>
            <w:r>
              <w:rPr>
                <w:rFonts w:hint="eastAsia" w:ascii="宋体" w:hAnsi="宋体" w:cs="宋体"/>
                <w:color w:val="000000"/>
                <w:kern w:val="0"/>
                <w:sz w:val="21"/>
                <w:szCs w:val="21"/>
              </w:rPr>
              <w:t>、苗木规格均为栽植修剪后规格</w:t>
            </w:r>
          </w:p>
        </w:tc>
        <w:tc>
          <w:tcPr>
            <w:tcW w:w="1256" w:type="dxa"/>
            <w:noWrap w:val="0"/>
            <w:vAlign w:val="center"/>
          </w:tcPr>
          <w:p>
            <w:pPr>
              <w:jc w:val="center"/>
              <w:rPr>
                <w:rFonts w:hint="eastAsia" w:ascii="宋体" w:hAnsi="宋体" w:eastAsia="宋体" w:cs="宋体"/>
                <w:color w:val="000000"/>
                <w:sz w:val="24"/>
                <w:szCs w:val="24"/>
                <w:lang w:val="en-US" w:eastAsia="zh-CN"/>
              </w:rPr>
            </w:pPr>
            <w:r>
              <w:rPr>
                <w:rFonts w:hint="eastAsia"/>
                <w:vertAlign w:val="baseline"/>
                <w:lang w:val="en-US" w:eastAsia="zh-CN"/>
              </w:rPr>
              <w:t>323株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68" w:type="dxa"/>
            <w:noWrap w:val="0"/>
            <w:vAlign w:val="center"/>
          </w:tcPr>
          <w:p>
            <w:pPr>
              <w:keepLines w:val="0"/>
              <w:pageBreakBefore w:val="0"/>
              <w:widowControl w:val="0"/>
              <w:kinsoku/>
              <w:wordWrap/>
              <w:overflowPunct/>
              <w:topLinePunct w:val="0"/>
              <w:bidi w:val="0"/>
              <w:snapToGrid/>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3909" w:type="dxa"/>
            <w:noWrap w:val="0"/>
            <w:vAlign w:val="center"/>
          </w:tcPr>
          <w:p>
            <w:pPr>
              <w:jc w:val="center"/>
              <w:rPr>
                <w:rFonts w:hint="eastAsia" w:ascii="宋体" w:hAnsi="宋体" w:eastAsia="宋体" w:cs="宋体"/>
                <w:color w:val="000000"/>
                <w:sz w:val="21"/>
                <w:szCs w:val="21"/>
              </w:rPr>
            </w:pPr>
            <w:r>
              <w:rPr>
                <w:rFonts w:hint="eastAsia"/>
                <w:sz w:val="21"/>
                <w:szCs w:val="21"/>
                <w:vertAlign w:val="baseline"/>
                <w:lang w:val="en-US" w:eastAsia="zh-CN"/>
              </w:rPr>
              <w:t>红叶石楠</w:t>
            </w:r>
          </w:p>
        </w:tc>
        <w:tc>
          <w:tcPr>
            <w:tcW w:w="3638" w:type="dxa"/>
            <w:noWrap w:val="0"/>
            <w:vAlign w:val="center"/>
          </w:tcPr>
          <w:p>
            <w:pPr>
              <w:jc w:val="both"/>
              <w:rPr>
                <w:rFonts w:hint="eastAsia" w:ascii="宋体" w:hAnsi="宋体" w:cs="宋体" w:eastAsiaTheme="minorEastAsia"/>
                <w:color w:val="000000"/>
                <w:kern w:val="0"/>
                <w:sz w:val="21"/>
                <w:szCs w:val="21"/>
                <w:lang w:val="en-US" w:eastAsia="zh-CN"/>
              </w:rPr>
            </w:pPr>
            <w:r>
              <w:rPr>
                <w:rFonts w:hint="eastAsia" w:ascii="宋体" w:hAnsi="宋体" w:cs="宋体"/>
                <w:color w:val="000000"/>
                <w:kern w:val="0"/>
                <w:sz w:val="21"/>
                <w:szCs w:val="21"/>
              </w:rPr>
              <w:t>1、绿篱种类：</w:t>
            </w:r>
            <w:r>
              <w:rPr>
                <w:rFonts w:hint="eastAsia" w:ascii="宋体" w:hAnsi="宋体" w:cs="宋体"/>
                <w:color w:val="000000"/>
                <w:kern w:val="0"/>
                <w:sz w:val="21"/>
                <w:szCs w:val="21"/>
                <w:lang w:val="en-US" w:eastAsia="zh-CN"/>
              </w:rPr>
              <w:t>红叶石楠</w:t>
            </w:r>
          </w:p>
          <w:p>
            <w:pPr>
              <w:jc w:val="both"/>
              <w:rPr>
                <w:rFonts w:hint="eastAsia" w:ascii="宋体" w:hAnsi="宋体" w:cs="宋体" w:eastAsiaTheme="minorEastAsia"/>
                <w:color w:val="000000"/>
                <w:kern w:val="0"/>
                <w:sz w:val="21"/>
                <w:szCs w:val="21"/>
                <w:lang w:eastAsia="zh-CN"/>
              </w:rPr>
            </w:pPr>
            <w:r>
              <w:rPr>
                <w:rFonts w:hint="eastAsia" w:ascii="宋体" w:hAnsi="宋体" w:cs="宋体"/>
                <w:color w:val="000000"/>
                <w:kern w:val="0"/>
                <w:sz w:val="21"/>
                <w:szCs w:val="21"/>
              </w:rPr>
              <w:t>2、</w:t>
            </w:r>
            <w:r>
              <w:rPr>
                <w:rFonts w:hint="eastAsia" w:ascii="仿宋" w:hAnsi="仿宋" w:eastAsia="仿宋" w:cs="仿宋"/>
                <w:sz w:val="22"/>
                <w:szCs w:val="22"/>
                <w:lang w:val="en-US" w:eastAsia="zh-CN"/>
              </w:rPr>
              <w:t>★</w:t>
            </w:r>
            <w:r>
              <w:rPr>
                <w:rFonts w:hint="eastAsia" w:ascii="宋体" w:hAnsi="宋体" w:cs="宋体"/>
                <w:color w:val="000000"/>
                <w:kern w:val="0"/>
                <w:sz w:val="21"/>
                <w:szCs w:val="21"/>
              </w:rPr>
              <w:t>绿篱规格：丛高0.3-0.4m，冠幅0.</w:t>
            </w:r>
            <w:r>
              <w:rPr>
                <w:rFonts w:hint="eastAsia" w:ascii="宋体" w:hAnsi="宋体" w:cs="宋体"/>
                <w:color w:val="000000"/>
                <w:kern w:val="0"/>
                <w:sz w:val="21"/>
                <w:szCs w:val="21"/>
                <w:lang w:val="en-US" w:eastAsia="zh-CN"/>
              </w:rPr>
              <w:t>25</w:t>
            </w:r>
            <w:r>
              <w:rPr>
                <w:rFonts w:hint="eastAsia" w:ascii="宋体" w:hAnsi="宋体" w:cs="宋体"/>
                <w:color w:val="000000"/>
                <w:kern w:val="0"/>
                <w:sz w:val="21"/>
                <w:szCs w:val="21"/>
              </w:rPr>
              <w:t>-0.</w:t>
            </w: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m，分枝数</w:t>
            </w:r>
            <w:r>
              <w:rPr>
                <w:rFonts w:hint="eastAsia" w:ascii="宋体" w:hAnsi="宋体" w:cs="宋体"/>
                <w:color w:val="000000"/>
                <w:kern w:val="0"/>
                <w:sz w:val="21"/>
                <w:szCs w:val="21"/>
                <w:lang w:val="en-US" w:eastAsia="zh-CN"/>
              </w:rPr>
              <w:t>3-4</w:t>
            </w:r>
            <w:r>
              <w:rPr>
                <w:rFonts w:hint="eastAsia" w:ascii="宋体" w:hAnsi="宋体" w:cs="宋体"/>
                <w:color w:val="000000"/>
                <w:kern w:val="0"/>
                <w:sz w:val="21"/>
                <w:szCs w:val="21"/>
              </w:rPr>
              <w:t>，栽植密度36株/m2，两年生</w:t>
            </w:r>
          </w:p>
          <w:p>
            <w:pPr>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、苗木规格均为栽植修剪后规格</w:t>
            </w:r>
          </w:p>
        </w:tc>
        <w:tc>
          <w:tcPr>
            <w:tcW w:w="1256" w:type="dxa"/>
            <w:noWrap w:val="0"/>
            <w:vAlign w:val="center"/>
          </w:tcPr>
          <w:p>
            <w:pPr>
              <w:jc w:val="center"/>
              <w:rPr>
                <w:rFonts w:hint="eastAsia" w:ascii="宋体" w:hAnsi="宋体" w:eastAsia="宋体" w:cs="宋体"/>
                <w:color w:val="000000"/>
                <w:sz w:val="24"/>
                <w:szCs w:val="24"/>
                <w:lang w:val="en-US" w:eastAsia="zh-CN"/>
              </w:rPr>
            </w:pPr>
            <w:r>
              <w:rPr>
                <w:rFonts w:hint="eastAsia"/>
                <w:vertAlign w:val="baseline"/>
                <w:lang w:val="en-US" w:eastAsia="zh-CN"/>
              </w:rPr>
              <w:t>4700㎡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68" w:type="dxa"/>
            <w:noWrap w:val="0"/>
            <w:vAlign w:val="center"/>
          </w:tcPr>
          <w:p>
            <w:pPr>
              <w:keepLines w:val="0"/>
              <w:pageBreakBefore w:val="0"/>
              <w:widowControl w:val="0"/>
              <w:kinsoku/>
              <w:wordWrap/>
              <w:overflowPunct/>
              <w:topLinePunct w:val="0"/>
              <w:bidi w:val="0"/>
              <w:snapToGrid/>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3909" w:type="dxa"/>
            <w:noWrap w:val="0"/>
            <w:vAlign w:val="center"/>
          </w:tcPr>
          <w:p>
            <w:pPr>
              <w:jc w:val="center"/>
              <w:rPr>
                <w:rFonts w:hint="eastAsia" w:ascii="宋体" w:hAnsi="宋体" w:eastAsia="宋体" w:cs="宋体"/>
                <w:color w:val="000000"/>
                <w:sz w:val="21"/>
                <w:szCs w:val="21"/>
              </w:rPr>
            </w:pPr>
            <w:r>
              <w:rPr>
                <w:rFonts w:hint="eastAsia"/>
                <w:sz w:val="21"/>
                <w:szCs w:val="21"/>
                <w:vertAlign w:val="baseline"/>
                <w:lang w:val="en-US" w:eastAsia="zh-CN"/>
              </w:rPr>
              <w:t>金森女贞</w:t>
            </w:r>
          </w:p>
        </w:tc>
        <w:tc>
          <w:tcPr>
            <w:tcW w:w="3638" w:type="dxa"/>
            <w:noWrap w:val="0"/>
            <w:vAlign w:val="center"/>
          </w:tcPr>
          <w:p>
            <w:pPr>
              <w:jc w:val="both"/>
              <w:rPr>
                <w:rFonts w:hint="eastAsia" w:ascii="宋体" w:hAnsi="宋体" w:cs="宋体" w:eastAsiaTheme="minorEastAsia"/>
                <w:color w:val="000000"/>
                <w:kern w:val="0"/>
                <w:sz w:val="21"/>
                <w:szCs w:val="21"/>
                <w:lang w:eastAsia="zh-CN"/>
              </w:rPr>
            </w:pPr>
            <w:r>
              <w:rPr>
                <w:rFonts w:hint="eastAsia" w:ascii="宋体" w:hAnsi="宋体" w:cs="宋体"/>
                <w:color w:val="000000"/>
                <w:kern w:val="0"/>
                <w:sz w:val="21"/>
                <w:szCs w:val="21"/>
              </w:rPr>
              <w:t>1、绿篱种类：金森女贞</w:t>
            </w:r>
          </w:p>
          <w:p>
            <w:pPr>
              <w:jc w:val="both"/>
              <w:rPr>
                <w:rFonts w:hint="eastAsia" w:ascii="宋体" w:hAnsi="宋体" w:cs="宋体" w:eastAsiaTheme="minorEastAsia"/>
                <w:color w:val="000000"/>
                <w:kern w:val="0"/>
                <w:sz w:val="21"/>
                <w:szCs w:val="21"/>
                <w:lang w:eastAsia="zh-CN"/>
              </w:rPr>
            </w:pPr>
            <w:r>
              <w:rPr>
                <w:rFonts w:hint="eastAsia" w:ascii="宋体" w:hAnsi="宋体" w:cs="宋体"/>
                <w:color w:val="000000"/>
                <w:kern w:val="0"/>
                <w:sz w:val="21"/>
                <w:szCs w:val="21"/>
              </w:rPr>
              <w:t>2、</w:t>
            </w:r>
            <w:r>
              <w:rPr>
                <w:rFonts w:hint="eastAsia" w:ascii="仿宋" w:hAnsi="仿宋" w:eastAsia="仿宋" w:cs="仿宋"/>
                <w:sz w:val="22"/>
                <w:szCs w:val="22"/>
                <w:lang w:val="en-US" w:eastAsia="zh-CN"/>
              </w:rPr>
              <w:t>★</w:t>
            </w:r>
            <w:r>
              <w:rPr>
                <w:rFonts w:hint="eastAsia" w:ascii="宋体" w:hAnsi="宋体" w:cs="宋体"/>
                <w:color w:val="000000"/>
                <w:kern w:val="0"/>
                <w:sz w:val="21"/>
                <w:szCs w:val="21"/>
              </w:rPr>
              <w:t>绿篱规格：丛高0.</w:t>
            </w: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-0.</w:t>
            </w:r>
            <w:r>
              <w:rPr>
                <w:rFonts w:hint="eastAsia" w:ascii="宋体" w:hAnsi="宋体" w:cs="宋体"/>
                <w:color w:val="000000"/>
                <w:kern w:val="0"/>
                <w:sz w:val="21"/>
                <w:szCs w:val="21"/>
                <w:lang w:val="en-US" w:eastAsia="zh-CN"/>
              </w:rPr>
              <w:t>4</w:t>
            </w:r>
            <w:r>
              <w:rPr>
                <w:rFonts w:hint="eastAsia" w:ascii="宋体" w:hAnsi="宋体" w:cs="宋体"/>
                <w:color w:val="000000"/>
                <w:kern w:val="0"/>
                <w:sz w:val="21"/>
                <w:szCs w:val="21"/>
              </w:rPr>
              <w:t>m，冠幅0.</w:t>
            </w:r>
            <w:r>
              <w:rPr>
                <w:rFonts w:hint="eastAsia" w:ascii="宋体" w:hAnsi="宋体" w:cs="宋体"/>
                <w:color w:val="000000"/>
                <w:kern w:val="0"/>
                <w:sz w:val="21"/>
                <w:szCs w:val="21"/>
                <w:lang w:val="en-US" w:eastAsia="zh-CN"/>
              </w:rPr>
              <w:t>25</w:t>
            </w:r>
            <w:r>
              <w:rPr>
                <w:rFonts w:hint="eastAsia" w:ascii="宋体" w:hAnsi="宋体" w:cs="宋体"/>
                <w:color w:val="000000"/>
                <w:kern w:val="0"/>
                <w:sz w:val="21"/>
                <w:szCs w:val="21"/>
              </w:rPr>
              <w:t>-0.</w:t>
            </w: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m，分枝数</w:t>
            </w: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5，栽植密度36株/m2，两年生</w:t>
            </w:r>
          </w:p>
          <w:p>
            <w:pPr>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、苗木规格均为栽植修剪后规格</w:t>
            </w:r>
          </w:p>
        </w:tc>
        <w:tc>
          <w:tcPr>
            <w:tcW w:w="1256" w:type="dxa"/>
            <w:noWrap w:val="0"/>
            <w:vAlign w:val="center"/>
          </w:tcPr>
          <w:p>
            <w:pPr>
              <w:jc w:val="center"/>
              <w:rPr>
                <w:rFonts w:hint="eastAsia" w:ascii="宋体" w:hAnsi="宋体" w:eastAsia="宋体" w:cs="宋体"/>
                <w:color w:val="000000"/>
                <w:sz w:val="24"/>
                <w:szCs w:val="24"/>
                <w:lang w:val="en-US" w:eastAsia="zh-CN"/>
              </w:rPr>
            </w:pPr>
            <w:r>
              <w:rPr>
                <w:rFonts w:hint="eastAsia"/>
                <w:vertAlign w:val="baseline"/>
                <w:lang w:val="en-US" w:eastAsia="zh-CN"/>
              </w:rPr>
              <w:t>4700㎡</w:t>
            </w:r>
          </w:p>
        </w:tc>
      </w:tr>
    </w:tbl>
    <w:p>
      <w:pPr>
        <w:keepLines w:val="0"/>
        <w:pageBreakBefore w:val="0"/>
        <w:widowControl w:val="0"/>
        <w:kinsoku/>
        <w:wordWrap/>
        <w:overflowPunct/>
        <w:topLinePunct w:val="0"/>
        <w:bidi w:val="0"/>
        <w:snapToGrid/>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注：“★”参数为实质性响应重要参数，不可负偏离，否则做无效标处理。</w:t>
      </w:r>
    </w:p>
    <w:p>
      <w:pPr>
        <w:keepLines w:val="0"/>
        <w:pageBreakBefore w:val="0"/>
        <w:widowControl w:val="0"/>
        <w:kinsoku/>
        <w:wordWrap/>
        <w:overflowPunct/>
        <w:topLinePunct w:val="0"/>
        <w:bidi w:val="0"/>
        <w:snapToGrid/>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三</w:t>
      </w:r>
      <w:r>
        <w:rPr>
          <w:rFonts w:hint="eastAsia" w:ascii="宋体" w:hAnsi="宋体" w:eastAsia="宋体" w:cs="宋体"/>
          <w:color w:val="000000"/>
          <w:sz w:val="24"/>
          <w:szCs w:val="24"/>
        </w:rPr>
        <w:t>、项目实施要求</w:t>
      </w:r>
    </w:p>
    <w:p>
      <w:pPr>
        <w:keepNext w:val="0"/>
        <w:keepLines w:val="0"/>
        <w:pageBreakBefore w:val="0"/>
        <w:widowControl w:val="0"/>
        <w:kinsoku/>
        <w:wordWrap/>
        <w:overflowPunct/>
        <w:topLinePunct w:val="0"/>
        <w:bidi w:val="0"/>
        <w:snapToGrid/>
        <w:spacing w:line="48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lang w:val="en-US" w:eastAsia="zh-CN"/>
        </w:rPr>
        <w:t>1、苗木供货进度计划：绿化属于季节性特别强的项目，根据采购招标要求</w:t>
      </w:r>
      <w:r>
        <w:rPr>
          <w:rFonts w:hint="eastAsia" w:ascii="宋体" w:hAnsi="宋体" w:eastAsia="宋体" w:cs="宋体"/>
          <w:color w:val="000000"/>
          <w:sz w:val="24"/>
          <w:szCs w:val="24"/>
          <w:highlight w:val="none"/>
          <w:lang w:val="en-US" w:eastAsia="zh-CN"/>
        </w:rPr>
        <w:t>接到采购方通知后的</w:t>
      </w:r>
      <w:r>
        <w:rPr>
          <w:rFonts w:hint="eastAsia" w:ascii="宋体" w:hAnsi="宋体" w:eastAsia="宋体" w:cs="宋体"/>
          <w:b/>
          <w:bCs/>
          <w:color w:val="FF0000"/>
          <w:sz w:val="24"/>
          <w:szCs w:val="24"/>
          <w:highlight w:val="none"/>
          <w:lang w:val="en-US" w:eastAsia="zh-CN"/>
        </w:rPr>
        <w:t>45日内</w:t>
      </w:r>
      <w:r>
        <w:rPr>
          <w:rFonts w:hint="eastAsia" w:ascii="宋体" w:hAnsi="宋体" w:eastAsia="宋体" w:cs="宋体"/>
          <w:color w:val="000000"/>
          <w:sz w:val="24"/>
          <w:szCs w:val="24"/>
          <w:highlight w:val="none"/>
          <w:lang w:val="en-US" w:eastAsia="zh-CN"/>
        </w:rPr>
        <w:t>将所有苗木送到指定地点并放入树塘，同时负责苗木的修剪和支架支撑，以及苗木的保鲜工作（遮挡和散水），投标人按照供货进度节点编制进度计划；</w:t>
      </w:r>
    </w:p>
    <w:p>
      <w:pPr>
        <w:pStyle w:val="44"/>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default" w:eastAsia="宋体" w:cs="宋体"/>
          <w:color w:val="auto"/>
          <w:sz w:val="22"/>
          <w:szCs w:val="24"/>
          <w:lang w:val="en-US" w:eastAsia="zh-CN"/>
        </w:rPr>
      </w:pP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kern w:val="2"/>
          <w:sz w:val="24"/>
          <w:szCs w:val="24"/>
          <w:lang w:val="en-US" w:eastAsia="zh-CN" w:bidi="ar-SA"/>
        </w:rPr>
        <w:t xml:space="preserve">  2、</w:t>
      </w:r>
      <w:r>
        <w:rPr>
          <w:rFonts w:hint="eastAsia" w:ascii="宋体" w:hAnsi="宋体" w:cs="宋体"/>
          <w:color w:val="000000"/>
          <w:kern w:val="2"/>
          <w:sz w:val="24"/>
          <w:szCs w:val="24"/>
          <w:lang w:val="en-US" w:eastAsia="zh-CN" w:bidi="ar-SA"/>
        </w:rPr>
        <w:t>苗木供货质量保证措施、技术保障措施</w:t>
      </w:r>
      <w:r>
        <w:rPr>
          <w:rFonts w:hint="eastAsia" w:ascii="宋体" w:hAnsi="宋体" w:eastAsia="宋体" w:cs="宋体"/>
          <w:color w:val="000000"/>
          <w:kern w:val="2"/>
          <w:sz w:val="24"/>
          <w:szCs w:val="24"/>
          <w:lang w:val="en-US" w:eastAsia="zh-CN" w:bidi="ar-SA"/>
        </w:rPr>
        <w:t>：</w:t>
      </w:r>
      <w:r>
        <w:rPr>
          <w:rFonts w:hint="eastAsia" w:ascii="宋体" w:hAnsi="宋体" w:cs="宋体"/>
          <w:color w:val="000000"/>
          <w:kern w:val="2"/>
          <w:sz w:val="24"/>
          <w:szCs w:val="24"/>
          <w:lang w:val="en-US" w:eastAsia="zh-CN" w:bidi="ar-SA"/>
        </w:rPr>
        <w:t>投标单位应建立内部质量控制制度，苗木的选购应符合招标文件要求，苗木的验收程序要符合相关行业标准规定；</w:t>
      </w:r>
      <w:r>
        <w:rPr>
          <w:rFonts w:hint="eastAsia" w:cs="宋体"/>
          <w:color w:val="auto"/>
          <w:sz w:val="22"/>
          <w:szCs w:val="24"/>
          <w:lang w:val="en-US" w:eastAsia="zh-CN"/>
        </w:rPr>
        <w:t xml:space="preserve"> </w:t>
      </w:r>
      <w:r>
        <w:rPr>
          <w:rFonts w:hint="eastAsia" w:ascii="宋体" w:hAnsi="宋体" w:cs="宋体"/>
          <w:sz w:val="24"/>
          <w:szCs w:val="24"/>
          <w:lang w:val="en-US" w:eastAsia="zh-CN"/>
        </w:rPr>
        <w:t>苗木移栽过程中要做好足够的技术和质量保证措施，保证苗木成活率；苗木运输、包装要有足够的保证措施，保证苗木不损坏；</w:t>
      </w:r>
    </w:p>
    <w:p>
      <w:pPr>
        <w:pStyle w:val="12"/>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default" w:ascii="宋体" w:hAnsi="宋体" w:cs="宋体"/>
          <w:sz w:val="24"/>
          <w:szCs w:val="24"/>
          <w:lang w:val="en-US" w:eastAsia="zh-CN"/>
        </w:rPr>
      </w:pPr>
      <w:r>
        <w:rPr>
          <w:rFonts w:hint="eastAsia" w:ascii="宋体" w:hAnsi="宋体" w:eastAsia="宋体" w:cs="宋体"/>
          <w:sz w:val="24"/>
          <w:szCs w:val="24"/>
          <w:lang w:val="en-US" w:eastAsia="zh-CN"/>
        </w:rPr>
        <w:t xml:space="preserve">   3、售后服务方案：</w:t>
      </w:r>
      <w:r>
        <w:rPr>
          <w:rFonts w:hint="eastAsia" w:ascii="宋体" w:hAnsi="宋体" w:cs="宋体"/>
          <w:sz w:val="24"/>
          <w:szCs w:val="24"/>
          <w:lang w:val="en-US" w:eastAsia="zh-CN"/>
        </w:rPr>
        <w:t>苗木养护指导，投标人保证售后服务人员不低于2人，售后服务人员具有园林绿化初级及以上技术职称；投标人进行定期苗木回访，分季节性和技术性回访，并针对本项目制定详细的回访措施；</w:t>
      </w:r>
    </w:p>
    <w:p>
      <w:pPr>
        <w:keepNext w:val="0"/>
        <w:keepLines w:val="0"/>
        <w:pageBreakBefore w:val="0"/>
        <w:widowControl w:val="0"/>
        <w:kinsoku/>
        <w:wordWrap/>
        <w:overflowPunct/>
        <w:topLinePunct w:val="0"/>
        <w:bidi w:val="0"/>
        <w:snapToGrid/>
        <w:spacing w:line="480" w:lineRule="exact"/>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lang w:val="zh-CN"/>
        </w:rPr>
        <w:t>、验收和检验应当按照采购人要求及安排进行，</w:t>
      </w:r>
      <w:r>
        <w:rPr>
          <w:rFonts w:hint="eastAsia" w:ascii="宋体" w:hAnsi="宋体" w:eastAsia="宋体" w:cs="宋体"/>
          <w:color w:val="000000"/>
          <w:sz w:val="24"/>
          <w:szCs w:val="24"/>
          <w:lang w:val="en-US" w:eastAsia="zh-CN"/>
        </w:rPr>
        <w:t>中标</w:t>
      </w:r>
      <w:r>
        <w:rPr>
          <w:rFonts w:hint="eastAsia" w:ascii="宋体" w:hAnsi="宋体" w:eastAsia="宋体" w:cs="宋体"/>
          <w:color w:val="000000"/>
          <w:sz w:val="24"/>
          <w:szCs w:val="24"/>
          <w:lang w:val="zh-CN"/>
        </w:rPr>
        <w:t>投标人配合采购人做好验收工作，本合同货物及服务应当符合国家和行业标准，</w:t>
      </w:r>
      <w:r>
        <w:rPr>
          <w:rFonts w:hint="eastAsia" w:ascii="宋体" w:hAnsi="宋体" w:eastAsia="宋体" w:cs="Times New Roman"/>
          <w:b/>
          <w:bCs/>
          <w:color w:val="000000"/>
          <w:sz w:val="24"/>
          <w:szCs w:val="24"/>
        </w:rPr>
        <w:t>苗木成活率达</w:t>
      </w:r>
      <w:r>
        <w:rPr>
          <w:rFonts w:hint="eastAsia" w:ascii="宋体" w:hAnsi="宋体" w:eastAsia="宋体" w:cs="Times New Roman"/>
          <w:b/>
          <w:bCs/>
          <w:color w:val="auto"/>
          <w:sz w:val="24"/>
          <w:szCs w:val="24"/>
          <w:highlight w:val="none"/>
          <w:lang w:val="en-US" w:eastAsia="zh-CN"/>
        </w:rPr>
        <w:t>100</w:t>
      </w:r>
      <w:r>
        <w:rPr>
          <w:rFonts w:hint="eastAsia" w:ascii="宋体" w:hAnsi="宋体" w:eastAsia="宋体" w:cs="Times New Roman"/>
          <w:b/>
          <w:bCs/>
          <w:color w:val="auto"/>
          <w:sz w:val="24"/>
          <w:szCs w:val="24"/>
          <w:highlight w:val="none"/>
        </w:rPr>
        <w:t>%以上</w:t>
      </w:r>
      <w:r>
        <w:rPr>
          <w:rFonts w:hint="eastAsia" w:ascii="宋体" w:hAnsi="宋体" w:eastAsia="宋体" w:cs="Times New Roman"/>
          <w:b/>
          <w:bCs/>
          <w:color w:val="000000"/>
          <w:sz w:val="24"/>
          <w:szCs w:val="24"/>
          <w:lang w:val="en-US" w:eastAsia="zh-CN"/>
        </w:rPr>
        <w:t>；</w:t>
      </w:r>
      <w:r>
        <w:rPr>
          <w:rFonts w:hint="eastAsia" w:ascii="宋体" w:hAnsi="宋体" w:eastAsia="宋体" w:cs="Times New Roman"/>
          <w:b/>
          <w:bCs/>
          <w:color w:val="000000"/>
          <w:sz w:val="24"/>
          <w:szCs w:val="24"/>
        </w:rPr>
        <w:t>苗木品种纯正，无病虫害，无机械损伤，</w:t>
      </w:r>
      <w:r>
        <w:rPr>
          <w:rFonts w:hint="eastAsia" w:ascii="宋体" w:hAnsi="宋体" w:eastAsia="宋体" w:cs="Times New Roman"/>
          <w:b/>
          <w:bCs/>
          <w:color w:val="000000"/>
          <w:sz w:val="24"/>
          <w:szCs w:val="24"/>
          <w:lang w:val="en-US" w:eastAsia="zh-CN"/>
        </w:rPr>
        <w:t>土球符合规范要求，土球保证完整，无破损。苗木到现场后甲方根据招标文件及国家行业标准进行验收，如果苗木验收不符合要求，投标人应及时更换苗木，所需的苗木运输费、包装费、规费、税金等一切费用由投标人承担</w:t>
      </w:r>
      <w:r>
        <w:rPr>
          <w:rFonts w:hint="eastAsia" w:ascii="宋体" w:hAnsi="宋体" w:eastAsia="宋体" w:cs="宋体"/>
          <w:color w:val="FF0000"/>
          <w:sz w:val="24"/>
          <w:szCs w:val="24"/>
          <w:lang w:val="zh-CN"/>
        </w:rPr>
        <w:t>。</w:t>
      </w:r>
    </w:p>
    <w:p>
      <w:pPr>
        <w:keepNext w:val="0"/>
        <w:keepLines w:val="0"/>
        <w:pageBreakBefore w:val="0"/>
        <w:widowControl w:val="0"/>
        <w:kinsoku/>
        <w:wordWrap/>
        <w:overflowPunct/>
        <w:topLinePunct w:val="0"/>
        <w:bidi w:val="0"/>
        <w:snapToGrid/>
        <w:spacing w:line="480" w:lineRule="exact"/>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lang w:val="zh-CN"/>
        </w:rPr>
        <w:t>、验收时需提交的书面文件：</w:t>
      </w:r>
    </w:p>
    <w:p>
      <w:pPr>
        <w:keepNext w:val="0"/>
        <w:keepLines w:val="0"/>
        <w:pageBreakBefore w:val="0"/>
        <w:widowControl w:val="0"/>
        <w:kinsoku/>
        <w:wordWrap/>
        <w:overflowPunct/>
        <w:topLinePunct w:val="0"/>
        <w:bidi w:val="0"/>
        <w:snapToGrid/>
        <w:spacing w:line="480" w:lineRule="exact"/>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lang w:val="zh-CN"/>
        </w:rPr>
        <w:t>.1、销售统一发票；</w:t>
      </w:r>
    </w:p>
    <w:p>
      <w:pPr>
        <w:spacing w:line="400" w:lineRule="exact"/>
        <w:ind w:firstLine="240" w:firstLineChars="100"/>
        <w:rPr>
          <w:b/>
          <w:color w:val="auto"/>
          <w:sz w:val="24"/>
          <w:highlight w:val="none"/>
        </w:rPr>
      </w:pPr>
      <w:r>
        <w:rPr>
          <w:rFonts w:hint="eastAsia" w:ascii="宋体" w:hAnsi="宋体" w:eastAsia="宋体" w:cs="宋体"/>
          <w:color w:val="000000"/>
          <w:sz w:val="24"/>
          <w:szCs w:val="24"/>
          <w:lang w:val="en-US" w:eastAsia="zh-CN"/>
        </w:rPr>
        <w:t>四、</w:t>
      </w:r>
      <w:r>
        <w:rPr>
          <w:rFonts w:hint="eastAsia" w:eastAsia="宋体"/>
          <w:b/>
          <w:color w:val="auto"/>
          <w:sz w:val="24"/>
          <w:highlight w:val="none"/>
          <w:lang w:val="en-US" w:eastAsia="zh-CN"/>
        </w:rPr>
        <w:t>售后服务</w:t>
      </w:r>
      <w:r>
        <w:rPr>
          <w:b/>
          <w:color w:val="auto"/>
          <w:sz w:val="24"/>
          <w:highlight w:val="none"/>
        </w:rPr>
        <w:t>人员要求配置情况表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3685"/>
        <w:gridCol w:w="1988"/>
        <w:gridCol w:w="1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630" w:type="dxa"/>
            <w:noWrap w:val="0"/>
            <w:vAlign w:val="center"/>
          </w:tcPr>
          <w:p>
            <w:pPr>
              <w:jc w:val="center"/>
              <w:rPr>
                <w:b/>
                <w:bCs/>
                <w:color w:val="auto"/>
                <w:szCs w:val="21"/>
                <w:highlight w:val="none"/>
              </w:rPr>
            </w:pPr>
            <w:r>
              <w:rPr>
                <w:rFonts w:hAnsi="宋体"/>
                <w:b/>
                <w:bCs/>
                <w:color w:val="auto"/>
                <w:szCs w:val="21"/>
                <w:highlight w:val="none"/>
              </w:rPr>
              <w:t>序号</w:t>
            </w:r>
          </w:p>
        </w:tc>
        <w:tc>
          <w:tcPr>
            <w:tcW w:w="3685" w:type="dxa"/>
            <w:noWrap w:val="0"/>
            <w:vAlign w:val="center"/>
          </w:tcPr>
          <w:p>
            <w:pPr>
              <w:jc w:val="center"/>
              <w:rPr>
                <w:rFonts w:hint="default" w:eastAsiaTheme="minorEastAsia"/>
                <w:b/>
                <w:bCs/>
                <w:color w:val="auto"/>
                <w:szCs w:val="21"/>
                <w:highlight w:val="none"/>
                <w:lang w:val="en-US" w:eastAsia="zh-CN"/>
              </w:rPr>
            </w:pPr>
            <w:r>
              <w:rPr>
                <w:rFonts w:hint="eastAsia" w:hAnsi="宋体"/>
                <w:b/>
                <w:bCs/>
                <w:color w:val="auto"/>
                <w:szCs w:val="21"/>
                <w:highlight w:val="none"/>
                <w:lang w:val="en-US" w:eastAsia="zh-CN"/>
              </w:rPr>
              <w:t>人员要求</w:t>
            </w:r>
          </w:p>
        </w:tc>
        <w:tc>
          <w:tcPr>
            <w:tcW w:w="1988" w:type="dxa"/>
            <w:noWrap w:val="0"/>
            <w:vAlign w:val="center"/>
          </w:tcPr>
          <w:p>
            <w:pPr>
              <w:jc w:val="center"/>
              <w:rPr>
                <w:b/>
                <w:bCs/>
                <w:color w:val="auto"/>
                <w:szCs w:val="21"/>
                <w:highlight w:val="none"/>
              </w:rPr>
            </w:pPr>
            <w:r>
              <w:rPr>
                <w:rFonts w:hAnsi="宋体"/>
                <w:b/>
                <w:bCs/>
                <w:color w:val="auto"/>
                <w:szCs w:val="21"/>
                <w:highlight w:val="none"/>
              </w:rPr>
              <w:t>人数</w:t>
            </w:r>
          </w:p>
        </w:tc>
        <w:tc>
          <w:tcPr>
            <w:tcW w:w="1988" w:type="dxa"/>
            <w:noWrap w:val="0"/>
            <w:vAlign w:val="top"/>
          </w:tcPr>
          <w:p>
            <w:pPr>
              <w:jc w:val="center"/>
              <w:rPr>
                <w:rFonts w:hint="default" w:hAnsi="宋体" w:eastAsiaTheme="minorEastAsia"/>
                <w:b/>
                <w:bCs/>
                <w:color w:val="auto"/>
                <w:szCs w:val="21"/>
                <w:highlight w:val="none"/>
                <w:lang w:val="en-US" w:eastAsia="zh-CN"/>
              </w:rPr>
            </w:pPr>
            <w:r>
              <w:rPr>
                <w:rFonts w:hint="eastAsia" w:hAnsi="宋体"/>
                <w:b/>
                <w:bCs/>
                <w:color w:val="auto"/>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630" w:type="dxa"/>
            <w:noWrap w:val="0"/>
            <w:vAlign w:val="center"/>
          </w:tcPr>
          <w:p>
            <w:pPr>
              <w:ind w:firstLine="210" w:firstLineChars="100"/>
              <w:jc w:val="both"/>
              <w:rPr>
                <w:rFonts w:hint="eastAsia" w:eastAsiaTheme="minorEastAsia"/>
                <w:color w:val="auto"/>
                <w:szCs w:val="21"/>
                <w:highlight w:val="none"/>
                <w:lang w:val="en-US" w:eastAsia="zh-CN"/>
              </w:rPr>
            </w:pPr>
            <w:r>
              <w:rPr>
                <w:rFonts w:hint="eastAsia"/>
                <w:color w:val="auto"/>
                <w:szCs w:val="21"/>
                <w:highlight w:val="none"/>
                <w:lang w:val="en-US" w:eastAsia="zh-CN"/>
              </w:rPr>
              <w:t>1</w:t>
            </w:r>
          </w:p>
        </w:tc>
        <w:tc>
          <w:tcPr>
            <w:tcW w:w="3685" w:type="dxa"/>
            <w:noWrap w:val="0"/>
            <w:vAlign w:val="center"/>
          </w:tcPr>
          <w:p>
            <w:pPr>
              <w:ind w:left="420" w:firstLine="525" w:firstLineChars="250"/>
              <w:jc w:val="both"/>
              <w:rPr>
                <w:rFonts w:hint="default" w:eastAsiaTheme="minorEastAsia"/>
                <w:color w:val="auto"/>
                <w:szCs w:val="21"/>
                <w:highlight w:val="none"/>
                <w:lang w:val="en-US" w:eastAsia="zh-CN"/>
              </w:rPr>
            </w:pPr>
            <w:r>
              <w:rPr>
                <w:rFonts w:hint="eastAsia"/>
                <w:color w:val="auto"/>
                <w:szCs w:val="21"/>
                <w:highlight w:val="none"/>
                <w:lang w:val="en-US" w:eastAsia="zh-CN"/>
              </w:rPr>
              <w:t>售后服务人员</w:t>
            </w:r>
          </w:p>
        </w:tc>
        <w:tc>
          <w:tcPr>
            <w:tcW w:w="1988" w:type="dxa"/>
            <w:noWrap w:val="0"/>
            <w:vAlign w:val="center"/>
          </w:tcPr>
          <w:p>
            <w:pPr>
              <w:jc w:val="center"/>
              <w:rPr>
                <w:rFonts w:hint="eastAsia" w:eastAsia="宋体"/>
                <w:color w:val="auto"/>
                <w:szCs w:val="21"/>
                <w:highlight w:val="none"/>
                <w:lang w:eastAsia="zh-CN"/>
              </w:rPr>
            </w:pPr>
            <w:r>
              <w:rPr>
                <w:rFonts w:hint="eastAsia"/>
                <w:color w:val="auto"/>
                <w:szCs w:val="21"/>
                <w:highlight w:val="none"/>
                <w:lang w:val="en-US" w:eastAsia="zh-CN"/>
              </w:rPr>
              <w:t>2</w:t>
            </w:r>
          </w:p>
        </w:tc>
        <w:tc>
          <w:tcPr>
            <w:tcW w:w="1988" w:type="dxa"/>
            <w:noWrap w:val="0"/>
            <w:vAlign w:val="top"/>
          </w:tcPr>
          <w:p>
            <w:pPr>
              <w:jc w:val="center"/>
              <w:rPr>
                <w:rFonts w:hint="default" w:eastAsiaTheme="minorEastAsia"/>
                <w:color w:val="auto"/>
                <w:highlight w:val="none"/>
                <w:lang w:val="en-US" w:eastAsia="zh-CN"/>
              </w:rPr>
            </w:pPr>
            <w:r>
              <w:rPr>
                <w:rFonts w:hint="eastAsia"/>
                <w:color w:val="auto"/>
                <w:highlight w:val="none"/>
                <w:lang w:val="en-US" w:eastAsia="zh-CN"/>
              </w:rPr>
              <w:t>要求有园林绿化初级及以上技术职称</w:t>
            </w:r>
          </w:p>
        </w:tc>
      </w:tr>
    </w:tbl>
    <w:p>
      <w:pPr>
        <w:keepLines w:val="0"/>
        <w:pageBreakBefore w:val="0"/>
        <w:widowControl w:val="0"/>
        <w:kinsoku/>
        <w:wordWrap/>
        <w:overflowPunct/>
        <w:topLinePunct w:val="0"/>
        <w:bidi w:val="0"/>
        <w:snapToGrid/>
        <w:spacing w:line="360" w:lineRule="auto"/>
        <w:ind w:firstLine="482" w:firstLineChars="200"/>
        <w:rPr>
          <w:rFonts w:hint="default" w:ascii="宋体" w:hAnsi="宋体" w:cs="宋体" w:eastAsiaTheme="minorEastAsia"/>
          <w:color w:val="000000"/>
          <w:sz w:val="24"/>
          <w:szCs w:val="24"/>
          <w:highlight w:val="none"/>
          <w:lang w:val="en-US" w:eastAsia="zh-CN"/>
        </w:rPr>
      </w:pPr>
      <w:r>
        <w:rPr>
          <w:rFonts w:hint="eastAsia" w:ascii="宋体" w:hAnsi="宋体" w:cs="宋体"/>
          <w:b/>
          <w:bCs/>
          <w:color w:val="auto"/>
          <w:sz w:val="24"/>
          <w:highlight w:val="none"/>
        </w:rPr>
        <w:t>★</w:t>
      </w:r>
      <w:r>
        <w:rPr>
          <w:b/>
          <w:color w:val="auto"/>
          <w:sz w:val="24"/>
          <w:highlight w:val="none"/>
        </w:rPr>
        <w:t>岗位设置服务人数为最低要求，</w:t>
      </w:r>
      <w:r>
        <w:rPr>
          <w:rFonts w:hint="eastAsia"/>
          <w:b/>
          <w:color w:val="auto"/>
          <w:sz w:val="24"/>
          <w:highlight w:val="none"/>
        </w:rPr>
        <w:t>投标人必须保证</w:t>
      </w:r>
      <w:r>
        <w:rPr>
          <w:rFonts w:hint="eastAsia"/>
          <w:b/>
          <w:color w:val="auto"/>
          <w:sz w:val="24"/>
          <w:highlight w:val="none"/>
          <w:lang w:val="en-US" w:eastAsia="zh-CN"/>
        </w:rPr>
        <w:t>售后服务人员不低于2人（提供售后服务人员名单并附相应人员职称证书原件扫描件，如果职称证书没有明示园林绿化相关专业的，须额外提供相关园林绿化相关专业学历证书。园林绿化相关专业：指与园林绿化工程规划、设计、施工及养护管理相关的专业，包括园林（含园林规划设计、园林植物、风景园林、园林绿化等）、园艺、城镇规划、景观、植物（含植保、森保等）、风景旅游、环境艺术等专业）；</w:t>
      </w:r>
    </w:p>
    <w:p>
      <w:pPr>
        <w:keepLines w:val="0"/>
        <w:pageBreakBefore w:val="0"/>
        <w:widowControl w:val="0"/>
        <w:kinsoku/>
        <w:wordWrap/>
        <w:overflowPunct/>
        <w:topLinePunct w:val="0"/>
        <w:bidi w:val="0"/>
        <w:snapToGrid/>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五、售后服务要求：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szCs w:val="24"/>
          <w:lang w:val="zh-CN"/>
        </w:rPr>
      </w:pPr>
      <w:bookmarkStart w:id="20" w:name="_Toc13543213"/>
      <w:r>
        <w:rPr>
          <w:rFonts w:hint="eastAsia" w:ascii="宋体" w:hAnsi="宋体" w:eastAsia="宋体" w:cs="宋体"/>
          <w:color w:val="000000"/>
          <w:sz w:val="24"/>
          <w:szCs w:val="24"/>
          <w:lang w:val="zh-CN"/>
        </w:rPr>
        <w:t>1、报价应包括本次采购范围内全部材料、备品配件及专用工具的价格、全部税费、包装费、运杂费（运抵买方项目现场）、保险费、安装费、调试费、采购人操作维护人员培训费等。</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val="zh-CN"/>
        </w:rPr>
        <w:t>、采购人对招标文件中技术参数具有最终解释权，投标人要严格按照采购人所提供的需求进行供货。</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val="zh-CN"/>
        </w:rPr>
        <w:t>、</w:t>
      </w:r>
      <w:r>
        <w:rPr>
          <w:rFonts w:hint="eastAsia" w:ascii="宋体" w:hAnsi="宋体" w:eastAsia="宋体" w:cs="宋体"/>
          <w:color w:val="000000"/>
          <w:sz w:val="24"/>
          <w:szCs w:val="24"/>
          <w:lang w:val="en-US" w:eastAsia="zh-CN"/>
        </w:rPr>
        <w:t>苗木</w:t>
      </w:r>
      <w:r>
        <w:rPr>
          <w:rFonts w:hint="eastAsia" w:ascii="宋体" w:hAnsi="宋体" w:eastAsia="宋体" w:cs="宋体"/>
          <w:color w:val="000000"/>
          <w:sz w:val="24"/>
          <w:szCs w:val="24"/>
          <w:lang w:val="zh-CN"/>
        </w:rPr>
        <w:t>质保期从验收之日起不少于</w:t>
      </w:r>
      <w:r>
        <w:rPr>
          <w:rFonts w:hint="eastAsia" w:ascii="宋体" w:hAnsi="宋体" w:eastAsia="宋体" w:cs="宋体"/>
          <w:color w:val="000000"/>
          <w:sz w:val="24"/>
          <w:szCs w:val="24"/>
        </w:rPr>
        <w:t>12个月</w:t>
      </w:r>
      <w:r>
        <w:rPr>
          <w:rFonts w:hint="eastAsia" w:ascii="宋体" w:hAnsi="宋体" w:eastAsia="宋体" w:cs="宋体"/>
          <w:color w:val="000000"/>
          <w:sz w:val="24"/>
          <w:szCs w:val="24"/>
          <w:lang w:val="zh-CN"/>
        </w:rPr>
        <w:t>。保修期内出现的</w:t>
      </w:r>
      <w:r>
        <w:rPr>
          <w:rFonts w:hint="eastAsia" w:ascii="宋体" w:hAnsi="宋体" w:eastAsia="宋体" w:cs="宋体"/>
          <w:color w:val="000000"/>
          <w:sz w:val="24"/>
          <w:szCs w:val="24"/>
          <w:lang w:val="en-US" w:eastAsia="zh-CN"/>
        </w:rPr>
        <w:t>苗木的</w:t>
      </w:r>
      <w:r>
        <w:rPr>
          <w:rFonts w:hint="eastAsia" w:ascii="宋体" w:hAnsi="宋体" w:eastAsia="宋体" w:cs="宋体"/>
          <w:color w:val="000000"/>
          <w:sz w:val="24"/>
          <w:szCs w:val="24"/>
          <w:lang w:val="zh-CN"/>
        </w:rPr>
        <w:t>质量问题，</w:t>
      </w:r>
      <w:r>
        <w:rPr>
          <w:rFonts w:hint="eastAsia" w:ascii="宋体" w:hAnsi="宋体" w:eastAsia="宋体" w:cs="宋体"/>
          <w:color w:val="000000"/>
          <w:sz w:val="24"/>
          <w:szCs w:val="24"/>
          <w:lang w:val="en-US" w:eastAsia="zh-CN"/>
        </w:rPr>
        <w:t>中标</w:t>
      </w:r>
      <w:r>
        <w:rPr>
          <w:rFonts w:hint="eastAsia" w:ascii="宋体" w:hAnsi="宋体" w:eastAsia="宋体" w:cs="宋体"/>
          <w:color w:val="000000"/>
          <w:sz w:val="24"/>
          <w:szCs w:val="24"/>
          <w:lang w:val="zh-CN"/>
        </w:rPr>
        <w:t>投标人应负责实行“三包”。</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w:t>
      </w:r>
      <w:r>
        <w:rPr>
          <w:rFonts w:hint="eastAsia" w:ascii="宋体" w:hAnsi="宋体" w:eastAsia="宋体" w:cs="宋体"/>
          <w:color w:val="000000"/>
          <w:sz w:val="24"/>
          <w:szCs w:val="24"/>
          <w:lang w:val="zh-CN"/>
        </w:rPr>
        <w:t>交货期与交货地点</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olor w:val="000000"/>
          <w:sz w:val="24"/>
          <w:lang w:eastAsia="zh-CN"/>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w:t>
      </w:r>
      <w:r>
        <w:rPr>
          <w:rFonts w:hint="eastAsia" w:ascii="宋体" w:hAnsi="宋体" w:eastAsia="宋体" w:cs="宋体"/>
          <w:color w:val="000000"/>
          <w:sz w:val="24"/>
          <w:szCs w:val="24"/>
          <w:lang w:val="zh-CN"/>
        </w:rPr>
        <w:t>1、工期要求：</w:t>
      </w:r>
      <w:r>
        <w:rPr>
          <w:rFonts w:hint="eastAsia" w:ascii="宋体" w:hAnsi="宋体" w:cs="宋体"/>
          <w:b/>
          <w:bCs/>
          <w:color w:val="auto"/>
          <w:sz w:val="24"/>
          <w:highlight w:val="none"/>
          <w:lang w:val="en-US" w:eastAsia="zh-CN"/>
        </w:rPr>
        <w:t>接到采购方通知后的</w:t>
      </w:r>
      <w:r>
        <w:rPr>
          <w:rFonts w:hint="eastAsia" w:ascii="宋体" w:hAnsi="宋体" w:cs="宋体"/>
          <w:b/>
          <w:bCs/>
          <w:color w:val="FF0000"/>
          <w:sz w:val="24"/>
          <w:highlight w:val="none"/>
          <w:lang w:val="en-US" w:eastAsia="zh-CN"/>
        </w:rPr>
        <w:t>45日内</w:t>
      </w:r>
      <w:r>
        <w:rPr>
          <w:rFonts w:hint="eastAsia" w:ascii="宋体" w:hAnsi="宋体" w:cs="宋体"/>
          <w:b/>
          <w:bCs/>
          <w:color w:val="auto"/>
          <w:sz w:val="24"/>
          <w:highlight w:val="none"/>
          <w:lang w:eastAsia="zh-CN"/>
        </w:rPr>
        <w:t>将所</w:t>
      </w:r>
      <w:r>
        <w:rPr>
          <w:rFonts w:hint="eastAsia" w:ascii="宋体" w:hAnsi="宋体" w:cs="宋体"/>
          <w:b/>
          <w:bCs/>
          <w:sz w:val="24"/>
          <w:highlight w:val="none"/>
          <w:lang w:eastAsia="zh-CN"/>
        </w:rPr>
        <w:t>有苗木送到指定地点并放入树塘，同时负责苗木的修剪和支架支撑，以及植树活动前苗木的保鲜工作（遮挡和散水</w:t>
      </w:r>
      <w:r>
        <w:rPr>
          <w:rFonts w:hint="eastAsia" w:ascii="宋体" w:hAnsi="宋体" w:cs="宋体"/>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w:t>
      </w:r>
      <w:r>
        <w:rPr>
          <w:rFonts w:hint="eastAsia" w:ascii="宋体" w:hAnsi="宋体" w:eastAsia="宋体" w:cs="宋体"/>
          <w:color w:val="000000"/>
          <w:sz w:val="24"/>
          <w:szCs w:val="24"/>
          <w:lang w:val="zh-CN"/>
        </w:rPr>
        <w:t>2、交货地点：采购人指定地点。</w:t>
      </w:r>
    </w:p>
    <w:bookmarkEnd w:id="20"/>
    <w:p>
      <w:pPr>
        <w:keepNext/>
        <w:keepLines/>
        <w:adjustRightInd w:val="0"/>
        <w:spacing w:line="360" w:lineRule="auto"/>
        <w:jc w:val="center"/>
        <w:textAlignment w:val="baseline"/>
        <w:outlineLvl w:val="0"/>
        <w:rPr>
          <w:rFonts w:ascii="Times New Roman" w:hAnsi="Times New Roman" w:eastAsia="黑体" w:cs="Times New Roman"/>
          <w:b/>
          <w:color w:val="000000"/>
          <w:kern w:val="44"/>
          <w:sz w:val="36"/>
          <w:szCs w:val="20"/>
        </w:rPr>
      </w:pPr>
      <w:bookmarkStart w:id="21" w:name="_Toc513622231"/>
      <w:bookmarkStart w:id="22" w:name="_Toc16271"/>
      <w:bookmarkStart w:id="23" w:name="_Toc139966433"/>
      <w:bookmarkStart w:id="24" w:name="_Toc139967217"/>
      <w:r>
        <w:rPr>
          <w:rFonts w:hint="eastAsia" w:ascii="Times New Roman" w:hAnsi="Times New Roman" w:eastAsia="黑体" w:cs="Times New Roman"/>
          <w:b/>
          <w:color w:val="000000"/>
          <w:kern w:val="44"/>
          <w:sz w:val="36"/>
          <w:szCs w:val="20"/>
        </w:rPr>
        <w:br w:type="page"/>
      </w:r>
      <w:r>
        <w:rPr>
          <w:rFonts w:hint="eastAsia" w:ascii="Times New Roman" w:hAnsi="Times New Roman" w:eastAsia="黑体" w:cs="Times New Roman"/>
          <w:b/>
          <w:color w:val="000000"/>
          <w:kern w:val="44"/>
          <w:sz w:val="36"/>
          <w:szCs w:val="20"/>
        </w:rPr>
        <w:t>第七章  评标办法</w:t>
      </w:r>
      <w:bookmarkEnd w:id="21"/>
      <w:bookmarkEnd w:id="22"/>
    </w:p>
    <w:p>
      <w:pPr>
        <w:spacing w:line="360" w:lineRule="auto"/>
        <w:ind w:firstLine="482" w:firstLineChars="200"/>
        <w:rPr>
          <w:rFonts w:ascii="宋体" w:hAnsi="宋体" w:eastAsia="宋体" w:cs="Times New Roman"/>
          <w:b/>
          <w:color w:val="000000"/>
          <w:sz w:val="24"/>
          <w:szCs w:val="24"/>
        </w:rPr>
      </w:pPr>
      <w:r>
        <w:rPr>
          <w:rFonts w:hint="eastAsia" w:ascii="宋体" w:hAnsi="宋体" w:eastAsia="宋体" w:cs="Times New Roman"/>
          <w:b/>
          <w:color w:val="000000"/>
          <w:sz w:val="24"/>
          <w:szCs w:val="24"/>
        </w:rPr>
        <w:t>一、</w:t>
      </w:r>
      <w:r>
        <w:rPr>
          <w:rFonts w:hint="eastAsia" w:ascii="宋体" w:hAnsi="宋体" w:eastAsia="宋体" w:cs="Times New Roman"/>
          <w:b/>
          <w:bCs/>
          <w:color w:val="000000"/>
          <w:sz w:val="24"/>
          <w:szCs w:val="24"/>
        </w:rPr>
        <w:t>评标委员会构成</w:t>
      </w:r>
      <w:r>
        <w:rPr>
          <w:rFonts w:hint="eastAsia" w:ascii="宋体" w:hAnsi="宋体" w:eastAsia="宋体" w:cs="Times New Roman"/>
          <w:b/>
          <w:color w:val="000000"/>
          <w:sz w:val="24"/>
          <w:szCs w:val="24"/>
        </w:rPr>
        <w:t>：</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本采购项目评标委员会的评委由采购人代表、相关专家组成。</w:t>
      </w:r>
    </w:p>
    <w:p>
      <w:pPr>
        <w:spacing w:line="360" w:lineRule="auto"/>
        <w:ind w:firstLine="482" w:firstLineChars="200"/>
        <w:rPr>
          <w:rFonts w:ascii="宋体" w:hAnsi="宋体" w:eastAsia="宋体" w:cs="Times New Roman"/>
          <w:color w:val="000000"/>
          <w:sz w:val="24"/>
          <w:szCs w:val="24"/>
        </w:rPr>
      </w:pPr>
      <w:r>
        <w:rPr>
          <w:rFonts w:hint="eastAsia" w:ascii="宋体" w:hAnsi="宋体" w:eastAsia="宋体" w:cs="Times New Roman"/>
          <w:b/>
          <w:color w:val="000000"/>
          <w:sz w:val="24"/>
          <w:szCs w:val="24"/>
        </w:rPr>
        <w:t>二、</w:t>
      </w:r>
      <w:r>
        <w:rPr>
          <w:rFonts w:hint="eastAsia" w:ascii="宋体" w:hAnsi="宋体" w:eastAsia="宋体" w:cs="Times New Roman"/>
          <w:b/>
          <w:bCs/>
          <w:color w:val="000000"/>
          <w:sz w:val="24"/>
          <w:szCs w:val="24"/>
        </w:rPr>
        <w:t>评标方法</w:t>
      </w:r>
      <w:r>
        <w:rPr>
          <w:rFonts w:hint="eastAsia" w:ascii="宋体" w:hAnsi="宋体" w:eastAsia="宋体" w:cs="Times New Roman"/>
          <w:b/>
          <w:color w:val="000000"/>
          <w:sz w:val="24"/>
          <w:szCs w:val="24"/>
        </w:rPr>
        <w:t>：</w:t>
      </w:r>
      <w:r>
        <w:rPr>
          <w:rFonts w:hint="eastAsia" w:ascii="宋体" w:hAnsi="宋体" w:eastAsia="宋体" w:cs="Times New Roman"/>
          <w:color w:val="000000"/>
          <w:sz w:val="24"/>
          <w:szCs w:val="24"/>
        </w:rPr>
        <w:t xml:space="preserve"> </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本项目评标方法采用综合评分法。综合评分法，是指投标文件满足招标文件全部实质性要求，且按照评审因素的量化指标评审得分最高的投标人为中标候选人的评标方法。</w:t>
      </w:r>
    </w:p>
    <w:p>
      <w:pPr>
        <w:spacing w:line="360" w:lineRule="auto"/>
        <w:ind w:firstLine="482" w:firstLineChars="200"/>
        <w:rPr>
          <w:rFonts w:ascii="宋体" w:hAnsi="宋体" w:eastAsia="宋体" w:cs="Times New Roman"/>
          <w:b/>
          <w:color w:val="000000"/>
          <w:sz w:val="24"/>
          <w:szCs w:val="24"/>
        </w:rPr>
      </w:pPr>
      <w:r>
        <w:rPr>
          <w:rFonts w:hint="eastAsia" w:ascii="宋体" w:hAnsi="宋体" w:eastAsia="宋体" w:cs="Times New Roman"/>
          <w:b/>
          <w:color w:val="000000"/>
          <w:sz w:val="24"/>
          <w:szCs w:val="24"/>
        </w:rPr>
        <w:t>三、</w:t>
      </w:r>
      <w:r>
        <w:rPr>
          <w:rFonts w:hint="eastAsia" w:ascii="宋体" w:hAnsi="宋体" w:eastAsia="宋体" w:cs="Times New Roman"/>
          <w:b/>
          <w:bCs/>
          <w:color w:val="000000"/>
          <w:sz w:val="24"/>
          <w:szCs w:val="24"/>
        </w:rPr>
        <w:t>评标原则</w:t>
      </w:r>
      <w:r>
        <w:rPr>
          <w:rFonts w:hint="eastAsia" w:ascii="宋体" w:hAnsi="宋体" w:eastAsia="宋体" w:cs="Times New Roman"/>
          <w:b/>
          <w:color w:val="000000"/>
          <w:sz w:val="24"/>
          <w:szCs w:val="24"/>
        </w:rPr>
        <w:t>：</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评标委员会必须公平、公正、客观，不带任何倾向性和启发性；不得向外界透露任何与评标有关的内容；任何单位和个人不得干扰、影响评标的正常进行；评标委员会及有关工作人员不得私下与</w:t>
      </w:r>
      <w:r>
        <w:rPr>
          <w:rFonts w:hint="eastAsia" w:ascii="宋体" w:hAnsi="宋体" w:eastAsia="宋体" w:cs="Times New Roman"/>
          <w:color w:val="000000"/>
          <w:sz w:val="24"/>
          <w:szCs w:val="24"/>
          <w:lang w:eastAsia="zh-CN"/>
        </w:rPr>
        <w:t>投标人</w:t>
      </w:r>
      <w:r>
        <w:rPr>
          <w:rFonts w:hint="eastAsia" w:ascii="宋体" w:hAnsi="宋体" w:eastAsia="宋体" w:cs="Times New Roman"/>
          <w:color w:val="000000"/>
          <w:sz w:val="24"/>
          <w:szCs w:val="24"/>
        </w:rPr>
        <w:t>接触。</w:t>
      </w:r>
    </w:p>
    <w:p>
      <w:pPr>
        <w:spacing w:line="360" w:lineRule="auto"/>
        <w:ind w:firstLine="482" w:firstLineChars="200"/>
        <w:rPr>
          <w:rFonts w:ascii="宋体" w:hAnsi="宋体" w:eastAsia="宋体" w:cs="Times New Roman"/>
          <w:b/>
          <w:color w:val="000000"/>
          <w:sz w:val="24"/>
          <w:szCs w:val="24"/>
        </w:rPr>
      </w:pPr>
      <w:r>
        <w:rPr>
          <w:rFonts w:hint="eastAsia" w:ascii="宋体" w:hAnsi="宋体" w:eastAsia="宋体" w:cs="Times New Roman"/>
          <w:b/>
          <w:color w:val="000000"/>
          <w:sz w:val="24"/>
          <w:szCs w:val="24"/>
        </w:rPr>
        <w:t>四、</w:t>
      </w:r>
      <w:r>
        <w:rPr>
          <w:rFonts w:hint="eastAsia" w:ascii="宋体" w:hAnsi="宋体" w:eastAsia="宋体" w:cs="Times New Roman"/>
          <w:b/>
          <w:bCs/>
          <w:color w:val="000000"/>
          <w:sz w:val="24"/>
          <w:szCs w:val="24"/>
        </w:rPr>
        <w:t>评标标准</w:t>
      </w:r>
      <w:r>
        <w:rPr>
          <w:rFonts w:hint="eastAsia" w:ascii="宋体" w:hAnsi="宋体" w:eastAsia="宋体" w:cs="Times New Roman"/>
          <w:b/>
          <w:color w:val="000000"/>
          <w:sz w:val="24"/>
          <w:szCs w:val="24"/>
        </w:rPr>
        <w:t>：</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（一）评标时，评标委员会以招标文件为评标依据，评标委员会各成员独立对每个投标人的投标文件进行评价，并汇总每个投标人的得分。</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（二）本项目评分总分为100分，按四舍五入取至小数点后两位。</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（三）总得分 =价格分 + 商务技术分 </w:t>
      </w:r>
    </w:p>
    <w:p>
      <w:pPr>
        <w:spacing w:line="360" w:lineRule="auto"/>
        <w:ind w:firstLine="480" w:firstLineChars="200"/>
        <w:rPr>
          <w:rFonts w:ascii="Times New Roman" w:hAnsi="Times New Roman" w:eastAsia="宋体" w:cs="Times New Roman"/>
          <w:color w:val="000000"/>
          <w:szCs w:val="24"/>
        </w:rPr>
      </w:pPr>
      <w:r>
        <w:rPr>
          <w:rFonts w:hint="eastAsia" w:ascii="宋体" w:hAnsi="宋体" w:eastAsia="宋体" w:cs="Times New Roman"/>
          <w:color w:val="000000"/>
          <w:sz w:val="24"/>
          <w:szCs w:val="24"/>
        </w:rPr>
        <w:t>（四）中标标准：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宋体" w:hAnsi="宋体" w:eastAsia="宋体" w:cs="Times New Roman"/>
          <w:b/>
          <w:color w:val="000000"/>
          <w:sz w:val="28"/>
          <w:szCs w:val="28"/>
        </w:rPr>
      </w:pPr>
      <w:r>
        <w:rPr>
          <w:rFonts w:hint="eastAsia" w:ascii="宋体" w:hAnsi="宋体" w:eastAsia="宋体" w:cs="Times New Roman"/>
          <w:b/>
          <w:color w:val="000000"/>
          <w:sz w:val="28"/>
          <w:szCs w:val="28"/>
        </w:rPr>
        <w:t>综合评分法</w:t>
      </w:r>
    </w:p>
    <w:bookmarkEnd w:id="23"/>
    <w:bookmarkEnd w:id="24"/>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一、价格部分</w:t>
      </w:r>
      <w:r>
        <w:rPr>
          <w:rFonts w:hint="eastAsia" w:ascii="宋体" w:hAnsi="宋体" w:eastAsia="宋体" w:cs="宋体"/>
          <w:b/>
          <w:color w:val="auto"/>
          <w:sz w:val="24"/>
          <w:szCs w:val="24"/>
          <w:lang w:val="en-US" w:eastAsia="zh-CN"/>
        </w:rPr>
        <w:t>30</w:t>
      </w:r>
      <w:r>
        <w:rPr>
          <w:rFonts w:hint="eastAsia" w:ascii="宋体" w:hAnsi="宋体" w:eastAsia="宋体" w:cs="宋体"/>
          <w:b/>
          <w:color w:val="auto"/>
          <w:sz w:val="24"/>
          <w:szCs w:val="24"/>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采用低价优先法计算，即满足招标文件要求且投标价格最低的投标报价为评标基准价，其价格分为满分。其他投标人的价格分统一按照下列公式计算：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auto"/>
          <w:sz w:val="24"/>
          <w:szCs w:val="24"/>
        </w:rPr>
        <w:t>投标报价得分= (评标基准价/投标报价) x</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sz w:val="24"/>
          <w:szCs w:val="24"/>
        </w:rPr>
      </w:pPr>
      <w:r>
        <w:rPr>
          <w:rFonts w:hint="eastAsia" w:ascii="宋体" w:hAnsi="宋体" w:eastAsia="宋体" w:cs="宋体"/>
          <w:b/>
          <w:sz w:val="24"/>
          <w:szCs w:val="24"/>
        </w:rPr>
        <w:t>二、商务部分</w:t>
      </w:r>
      <w:r>
        <w:rPr>
          <w:rFonts w:hint="eastAsia" w:ascii="宋体" w:hAnsi="宋体" w:eastAsia="宋体" w:cs="宋体"/>
          <w:b/>
          <w:sz w:val="24"/>
          <w:szCs w:val="24"/>
          <w:lang w:val="en-US" w:eastAsia="zh-CN"/>
        </w:rPr>
        <w:t>40</w:t>
      </w:r>
      <w:r>
        <w:rPr>
          <w:rFonts w:hint="eastAsia" w:ascii="宋体" w:hAnsi="宋体" w:eastAsia="宋体" w:cs="宋体"/>
          <w:b/>
          <w:sz w:val="24"/>
          <w:szCs w:val="24"/>
        </w:rPr>
        <w:t>分</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995"/>
        <w:gridCol w:w="5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242" w:type="dxa"/>
            <w:noWrap/>
            <w:vAlign w:val="top"/>
          </w:tcPr>
          <w:p>
            <w:pPr>
              <w:spacing w:line="400" w:lineRule="exact"/>
              <w:ind w:firstLine="422"/>
              <w:rPr>
                <w:b/>
                <w:bCs/>
                <w:sz w:val="22"/>
                <w:szCs w:val="24"/>
              </w:rPr>
            </w:pPr>
            <w:r>
              <w:rPr>
                <w:rFonts w:hint="eastAsia" w:cs="宋体"/>
                <w:b/>
                <w:bCs/>
                <w:sz w:val="22"/>
                <w:szCs w:val="24"/>
              </w:rPr>
              <w:t>评审内容</w:t>
            </w:r>
          </w:p>
        </w:tc>
        <w:tc>
          <w:tcPr>
            <w:tcW w:w="995" w:type="dxa"/>
            <w:noWrap/>
            <w:vAlign w:val="top"/>
          </w:tcPr>
          <w:p>
            <w:pPr>
              <w:spacing w:line="400" w:lineRule="exact"/>
              <w:ind w:firstLine="0" w:firstLineChars="0"/>
              <w:jc w:val="center"/>
              <w:rPr>
                <w:b/>
                <w:bCs/>
                <w:sz w:val="22"/>
                <w:szCs w:val="24"/>
              </w:rPr>
            </w:pPr>
            <w:r>
              <w:rPr>
                <w:rFonts w:hint="eastAsia" w:cs="宋体"/>
                <w:b/>
                <w:bCs/>
                <w:sz w:val="22"/>
                <w:szCs w:val="24"/>
              </w:rPr>
              <w:t>分值</w:t>
            </w:r>
          </w:p>
        </w:tc>
        <w:tc>
          <w:tcPr>
            <w:tcW w:w="5582" w:type="dxa"/>
            <w:noWrap/>
            <w:vAlign w:val="top"/>
          </w:tcPr>
          <w:p>
            <w:pPr>
              <w:spacing w:line="400" w:lineRule="exact"/>
              <w:ind w:firstLine="0" w:firstLineChars="0"/>
              <w:jc w:val="center"/>
              <w:rPr>
                <w:b/>
                <w:bCs/>
                <w:sz w:val="22"/>
                <w:szCs w:val="24"/>
              </w:rPr>
            </w:pPr>
            <w:r>
              <w:rPr>
                <w:rFonts w:hint="eastAsia" w:cs="宋体"/>
                <w:b/>
                <w:bCs/>
                <w:sz w:val="22"/>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2242" w:type="dxa"/>
            <w:noWrap/>
            <w:vAlign w:val="center"/>
          </w:tcPr>
          <w:p>
            <w:pPr>
              <w:spacing w:line="400" w:lineRule="exact"/>
              <w:ind w:firstLine="420"/>
              <w:rPr>
                <w:color w:val="auto"/>
                <w:sz w:val="22"/>
                <w:szCs w:val="24"/>
              </w:rPr>
            </w:pPr>
            <w:r>
              <w:rPr>
                <w:rFonts w:hint="eastAsia" w:cs="宋体"/>
                <w:color w:val="auto"/>
                <w:sz w:val="22"/>
                <w:szCs w:val="24"/>
                <w:lang w:val="en-US" w:eastAsia="zh-CN"/>
              </w:rPr>
              <w:t>企业</w:t>
            </w:r>
            <w:r>
              <w:rPr>
                <w:rFonts w:hint="eastAsia" w:cs="宋体"/>
                <w:color w:val="auto"/>
                <w:sz w:val="22"/>
                <w:szCs w:val="24"/>
              </w:rPr>
              <w:t>业绩</w:t>
            </w:r>
          </w:p>
        </w:tc>
        <w:tc>
          <w:tcPr>
            <w:tcW w:w="995" w:type="dxa"/>
            <w:noWrap/>
            <w:vAlign w:val="center"/>
          </w:tcPr>
          <w:p>
            <w:pPr>
              <w:spacing w:line="400" w:lineRule="exact"/>
              <w:ind w:firstLine="0" w:firstLineChars="0"/>
              <w:jc w:val="center"/>
              <w:rPr>
                <w:color w:val="auto"/>
                <w:sz w:val="22"/>
                <w:szCs w:val="24"/>
              </w:rPr>
            </w:pPr>
            <w:r>
              <w:rPr>
                <w:rFonts w:hint="eastAsia"/>
                <w:color w:val="auto"/>
                <w:szCs w:val="21"/>
                <w:lang w:val="en-US" w:eastAsia="zh-CN"/>
              </w:rPr>
              <w:t>20</w:t>
            </w:r>
            <w:r>
              <w:rPr>
                <w:rFonts w:hint="eastAsia"/>
                <w:color w:val="auto"/>
                <w:szCs w:val="21"/>
              </w:rPr>
              <w:t>分</w:t>
            </w:r>
          </w:p>
        </w:tc>
        <w:tc>
          <w:tcPr>
            <w:tcW w:w="5582" w:type="dxa"/>
            <w:noWrap/>
            <w:vAlign w:val="top"/>
          </w:tcPr>
          <w:p>
            <w:pPr>
              <w:pStyle w:val="12"/>
              <w:ind w:left="0" w:leftChars="0" w:firstLine="0" w:firstLineChars="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投标人提供自2020年01月01日以来完成过的类似苗木采购业绩，每有一个业绩得4分，本项最高得20分。</w:t>
            </w:r>
          </w:p>
          <w:p>
            <w:pPr>
              <w:pStyle w:val="12"/>
              <w:ind w:left="0" w:leftChars="0" w:firstLine="0" w:firstLineChars="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注：须提供采购合同；业绩认定时间以合同签订时间为准。业绩证明材料须提供合同原件彩色扫描件，未按上述要求提供完整的证明材料，此项不得分。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2242" w:type="dxa"/>
            <w:noWrap/>
            <w:vAlign w:val="center"/>
          </w:tcPr>
          <w:p>
            <w:pPr>
              <w:spacing w:line="400" w:lineRule="exact"/>
              <w:jc w:val="center"/>
              <w:rPr>
                <w:rFonts w:hint="eastAsia"/>
                <w:color w:val="auto"/>
                <w:sz w:val="22"/>
                <w:szCs w:val="22"/>
              </w:rPr>
            </w:pPr>
            <w:r>
              <w:rPr>
                <w:rFonts w:hint="eastAsia"/>
                <w:color w:val="auto"/>
                <w:sz w:val="22"/>
                <w:szCs w:val="22"/>
              </w:rPr>
              <w:t>售后服务</w:t>
            </w:r>
          </w:p>
          <w:p>
            <w:pPr>
              <w:spacing w:line="400" w:lineRule="exact"/>
              <w:jc w:val="center"/>
              <w:rPr>
                <w:rFonts w:hint="eastAsia"/>
                <w:color w:val="auto"/>
                <w:sz w:val="22"/>
                <w:szCs w:val="22"/>
              </w:rPr>
            </w:pPr>
            <w:r>
              <w:rPr>
                <w:rFonts w:hint="eastAsia"/>
                <w:color w:val="auto"/>
                <w:sz w:val="22"/>
                <w:szCs w:val="22"/>
              </w:rPr>
              <w:t>质保期限</w:t>
            </w:r>
          </w:p>
        </w:tc>
        <w:tc>
          <w:tcPr>
            <w:tcW w:w="995" w:type="dxa"/>
            <w:noWrap/>
            <w:vAlign w:val="center"/>
          </w:tcPr>
          <w:p>
            <w:pPr>
              <w:spacing w:line="400" w:lineRule="exact"/>
              <w:ind w:firstLine="0" w:firstLineChars="0"/>
              <w:jc w:val="center"/>
              <w:rPr>
                <w:rFonts w:hint="eastAsia"/>
                <w:color w:val="auto"/>
                <w:sz w:val="22"/>
                <w:szCs w:val="22"/>
              </w:rPr>
            </w:pPr>
            <w:r>
              <w:rPr>
                <w:rFonts w:hint="eastAsia"/>
                <w:color w:val="auto"/>
                <w:sz w:val="22"/>
                <w:szCs w:val="22"/>
                <w:lang w:val="en-US" w:eastAsia="zh-CN"/>
              </w:rPr>
              <w:t>5</w:t>
            </w:r>
            <w:r>
              <w:rPr>
                <w:rFonts w:hint="eastAsia"/>
                <w:color w:val="auto"/>
                <w:sz w:val="22"/>
                <w:szCs w:val="22"/>
              </w:rPr>
              <w:t>分</w:t>
            </w:r>
          </w:p>
        </w:tc>
        <w:tc>
          <w:tcPr>
            <w:tcW w:w="5582" w:type="dxa"/>
            <w:noWrap/>
            <w:vAlign w:val="top"/>
          </w:tcPr>
          <w:p>
            <w:pPr>
              <w:pStyle w:val="12"/>
              <w:ind w:left="0" w:leftChars="0" w:firstLine="0" w:firstLineChars="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苗木采购在</w:t>
            </w:r>
            <w:r>
              <w:rPr>
                <w:rFonts w:hint="eastAsia" w:ascii="宋体" w:hAnsi="宋体" w:cs="宋体"/>
                <w:color w:val="auto"/>
                <w:szCs w:val="21"/>
                <w:highlight w:val="none"/>
                <w:lang w:val="en-US" w:eastAsia="zh-Hans"/>
              </w:rPr>
              <w:t>招标文件</w:t>
            </w:r>
            <w:r>
              <w:rPr>
                <w:rFonts w:hint="eastAsia" w:ascii="宋体" w:hAnsi="宋体" w:cs="宋体"/>
                <w:color w:val="auto"/>
                <w:szCs w:val="21"/>
                <w:highlight w:val="none"/>
                <w:lang w:val="en-US" w:eastAsia="zh-CN"/>
              </w:rPr>
              <w:t>要求的质保期基础上，每增加1 年得2.5分，本项最多5分。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2242" w:type="dxa"/>
            <w:noWrap/>
            <w:vAlign w:val="center"/>
          </w:tcPr>
          <w:p>
            <w:pPr>
              <w:spacing w:line="400" w:lineRule="exact"/>
              <w:jc w:val="center"/>
              <w:rPr>
                <w:rFonts w:hint="default" w:eastAsiaTheme="minorEastAsia"/>
                <w:color w:val="auto"/>
                <w:sz w:val="22"/>
                <w:szCs w:val="22"/>
                <w:lang w:val="en-US" w:eastAsia="zh-CN"/>
              </w:rPr>
            </w:pPr>
            <w:r>
              <w:rPr>
                <w:rFonts w:hint="eastAsia"/>
                <w:color w:val="auto"/>
                <w:sz w:val="22"/>
                <w:szCs w:val="22"/>
                <w:lang w:val="en-US" w:eastAsia="zh-CN"/>
              </w:rPr>
              <w:t>项目组人员配备</w:t>
            </w:r>
          </w:p>
        </w:tc>
        <w:tc>
          <w:tcPr>
            <w:tcW w:w="995" w:type="dxa"/>
            <w:noWrap/>
            <w:vAlign w:val="center"/>
          </w:tcPr>
          <w:p>
            <w:pPr>
              <w:spacing w:line="400" w:lineRule="exact"/>
              <w:ind w:firstLine="0" w:firstLineChars="0"/>
              <w:jc w:val="center"/>
              <w:rPr>
                <w:rFonts w:hint="default"/>
                <w:color w:val="auto"/>
                <w:sz w:val="22"/>
                <w:szCs w:val="22"/>
                <w:lang w:val="en-US" w:eastAsia="zh-CN"/>
              </w:rPr>
            </w:pPr>
            <w:r>
              <w:rPr>
                <w:rFonts w:hint="eastAsia"/>
                <w:color w:val="auto"/>
                <w:sz w:val="22"/>
                <w:szCs w:val="22"/>
                <w:lang w:val="en-US" w:eastAsia="zh-CN"/>
              </w:rPr>
              <w:t>15分</w:t>
            </w:r>
          </w:p>
        </w:tc>
        <w:tc>
          <w:tcPr>
            <w:tcW w:w="5582" w:type="dxa"/>
            <w:noWrap/>
            <w:vAlign w:val="top"/>
          </w:tcPr>
          <w:p>
            <w:pPr>
              <w:pStyle w:val="12"/>
              <w:ind w:left="0" w:leftChars="0" w:firstLine="0" w:firstLineChars="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售后服务配备项目组人员进行现场指导苗木养护；项目组人员具有园林绿化相关专业中级及以上职称的有一个得5分，最高得15分；</w:t>
            </w:r>
          </w:p>
          <w:p>
            <w:pPr>
              <w:pStyle w:val="12"/>
              <w:ind w:left="0" w:leftChars="0" w:firstLine="0" w:firstLineChars="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注：提供相关证书扫描件，否则不得分</w:t>
            </w:r>
          </w:p>
          <w:p>
            <w:pPr>
              <w:pStyle w:val="12"/>
              <w:ind w:left="0" w:leftChars="0" w:firstLine="0" w:firstLineChars="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说明：如果职称证书没有明示园林绿化相关专业的，须额外提供相关园林绿化相关专业学历证书。园林绿化相关专业：指与园林绿化工程规划、设计、施工及养护管理相关的专业，包括园林（含园林规划设计、园林植物、风景园林、园林绿化等）、园艺、城镇规划、景观、植物（含植保、森保等）、风景旅游、环境艺术等专业。</w:t>
            </w:r>
          </w:p>
        </w:tc>
      </w:tr>
    </w:tbl>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　　</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三、技术部分</w:t>
      </w:r>
      <w:r>
        <w:rPr>
          <w:rFonts w:hint="eastAsia" w:ascii="宋体" w:hAnsi="宋体" w:eastAsia="宋体" w:cs="宋体"/>
          <w:b/>
          <w:color w:val="auto"/>
          <w:sz w:val="24"/>
          <w:szCs w:val="24"/>
          <w:lang w:val="en-US" w:eastAsia="zh-CN"/>
        </w:rPr>
        <w:t>30</w:t>
      </w:r>
      <w:r>
        <w:rPr>
          <w:rFonts w:hint="eastAsia" w:ascii="宋体" w:hAnsi="宋体" w:eastAsia="宋体" w:cs="宋体"/>
          <w:b/>
          <w:color w:val="auto"/>
          <w:sz w:val="24"/>
          <w:szCs w:val="24"/>
        </w:rPr>
        <w:t>分</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992"/>
        <w:gridCol w:w="5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noWrap/>
            <w:vAlign w:val="top"/>
          </w:tcPr>
          <w:p>
            <w:pPr>
              <w:ind w:firstLine="0" w:firstLineChars="0"/>
              <w:jc w:val="center"/>
              <w:rPr>
                <w:b/>
                <w:bCs/>
                <w:color w:val="auto"/>
              </w:rPr>
            </w:pPr>
            <w:r>
              <w:rPr>
                <w:rFonts w:hint="eastAsia" w:cs="宋体"/>
                <w:b/>
                <w:bCs/>
                <w:color w:val="auto"/>
              </w:rPr>
              <w:t>评审项目</w:t>
            </w:r>
          </w:p>
        </w:tc>
        <w:tc>
          <w:tcPr>
            <w:tcW w:w="992" w:type="dxa"/>
            <w:noWrap/>
            <w:vAlign w:val="top"/>
          </w:tcPr>
          <w:p>
            <w:pPr>
              <w:ind w:firstLine="0" w:firstLineChars="0"/>
              <w:rPr>
                <w:b/>
                <w:bCs/>
                <w:color w:val="auto"/>
              </w:rPr>
            </w:pPr>
            <w:r>
              <w:rPr>
                <w:rFonts w:hint="eastAsia" w:cs="宋体"/>
                <w:b/>
                <w:bCs/>
                <w:color w:val="auto"/>
              </w:rPr>
              <w:t>分值</w:t>
            </w:r>
          </w:p>
        </w:tc>
        <w:tc>
          <w:tcPr>
            <w:tcW w:w="5579" w:type="dxa"/>
            <w:noWrap/>
            <w:vAlign w:val="top"/>
          </w:tcPr>
          <w:p>
            <w:pPr>
              <w:ind w:firstLine="422"/>
              <w:jc w:val="center"/>
              <w:rPr>
                <w:b/>
                <w:bCs/>
                <w:color w:val="auto"/>
              </w:rPr>
            </w:pPr>
            <w:r>
              <w:rPr>
                <w:rFonts w:hint="eastAsia" w:cs="宋体"/>
                <w:b/>
                <w:bCs/>
                <w:color w:val="auto"/>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268" w:type="dxa"/>
            <w:noWrap/>
            <w:vAlign w:val="center"/>
          </w:tcPr>
          <w:p>
            <w:pPr>
              <w:spacing w:line="400" w:lineRule="exact"/>
              <w:jc w:val="center"/>
              <w:rPr>
                <w:rFonts w:hint="default" w:cs="宋体" w:eastAsiaTheme="minorEastAsia"/>
                <w:color w:val="auto"/>
                <w:sz w:val="22"/>
                <w:szCs w:val="24"/>
                <w:lang w:val="en-US" w:eastAsia="zh-CN"/>
              </w:rPr>
            </w:pPr>
            <w:r>
              <w:rPr>
                <w:rFonts w:hint="eastAsia" w:cs="宋体"/>
                <w:color w:val="auto"/>
                <w:sz w:val="22"/>
                <w:szCs w:val="24"/>
                <w:lang w:val="en-US" w:eastAsia="zh-CN"/>
              </w:rPr>
              <w:t>苗木供货进度计划</w:t>
            </w:r>
          </w:p>
        </w:tc>
        <w:tc>
          <w:tcPr>
            <w:tcW w:w="992" w:type="dxa"/>
            <w:noWrap/>
            <w:vAlign w:val="center"/>
          </w:tcPr>
          <w:p>
            <w:pPr>
              <w:spacing w:line="400" w:lineRule="exact"/>
              <w:jc w:val="center"/>
              <w:rPr>
                <w:rFonts w:hint="default" w:cs="宋体" w:eastAsiaTheme="minorEastAsia"/>
                <w:color w:val="auto"/>
                <w:sz w:val="22"/>
                <w:szCs w:val="24"/>
                <w:lang w:val="en-US" w:eastAsia="zh-CN"/>
              </w:rPr>
            </w:pPr>
            <w:r>
              <w:rPr>
                <w:rFonts w:hint="eastAsia" w:cs="宋体"/>
                <w:color w:val="auto"/>
                <w:sz w:val="22"/>
                <w:szCs w:val="24"/>
                <w:lang w:val="en-US" w:eastAsia="zh-CN"/>
              </w:rPr>
              <w:t>10分</w:t>
            </w:r>
          </w:p>
        </w:tc>
        <w:tc>
          <w:tcPr>
            <w:tcW w:w="5579" w:type="dxa"/>
            <w:noWrap/>
            <w:vAlign w:val="center"/>
          </w:tcPr>
          <w:p>
            <w:pPr>
              <w:pStyle w:val="12"/>
              <w:ind w:left="0" w:leftChars="0" w:firstLine="0" w:firstLineChars="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投标人编制苗木供货进度计划。内容包含但不限于供货进度安排、配送方案等方面。</w:t>
            </w:r>
          </w:p>
          <w:p>
            <w:pPr>
              <w:pStyle w:val="12"/>
              <w:ind w:left="0" w:leftChars="0" w:firstLine="0" w:firstLineChars="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优：计划科学合理、内容详细全面、保障有力、可操作性强得10分；</w:t>
            </w:r>
          </w:p>
          <w:p>
            <w:pPr>
              <w:pStyle w:val="12"/>
              <w:ind w:left="0" w:leftChars="0" w:firstLine="0" w:firstLineChars="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良：计划较为合理、内容较详细、保障略微欠缺、具有可操作性得6分；</w:t>
            </w:r>
          </w:p>
          <w:p>
            <w:pPr>
              <w:pStyle w:val="12"/>
              <w:ind w:left="0" w:leftChars="0" w:firstLine="0" w:firstLineChars="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中：计划合理一般、内容较详细、保障欠缺，可操作性一般得3分。</w:t>
            </w:r>
          </w:p>
          <w:p>
            <w:pPr>
              <w:spacing w:line="400" w:lineRule="exact"/>
              <w:ind w:firstLine="0" w:firstLineChars="0"/>
              <w:jc w:val="left"/>
              <w:rPr>
                <w:rFonts w:hint="eastAsia" w:cs="宋体"/>
                <w:color w:val="auto"/>
                <w:sz w:val="22"/>
                <w:szCs w:val="24"/>
              </w:rPr>
            </w:pPr>
            <w:r>
              <w:rPr>
                <w:rFonts w:hint="eastAsia" w:ascii="宋体" w:hAnsi="宋体" w:cs="宋体"/>
                <w:color w:val="auto"/>
                <w:szCs w:val="21"/>
                <w:highlight w:val="none"/>
                <w:lang w:val="en-US" w:eastAsia="zh-CN"/>
              </w:rPr>
              <w:t>未见阐述不得分。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noWrap/>
            <w:vAlign w:val="center"/>
          </w:tcPr>
          <w:p>
            <w:pPr>
              <w:spacing w:line="400" w:lineRule="exact"/>
              <w:jc w:val="center"/>
              <w:rPr>
                <w:rFonts w:hint="default" w:cs="宋体" w:eastAsiaTheme="minorEastAsia"/>
                <w:color w:val="auto"/>
                <w:sz w:val="22"/>
                <w:szCs w:val="24"/>
                <w:lang w:val="en-US" w:eastAsia="zh-CN"/>
              </w:rPr>
            </w:pPr>
            <w:r>
              <w:rPr>
                <w:rFonts w:hint="eastAsia" w:cs="宋体"/>
                <w:color w:val="auto"/>
                <w:sz w:val="22"/>
                <w:szCs w:val="24"/>
                <w:lang w:val="en-US" w:eastAsia="zh-CN"/>
              </w:rPr>
              <w:t>苗木供货质量保证措施和技术保证措施</w:t>
            </w:r>
          </w:p>
        </w:tc>
        <w:tc>
          <w:tcPr>
            <w:tcW w:w="992" w:type="dxa"/>
            <w:noWrap/>
            <w:vAlign w:val="center"/>
          </w:tcPr>
          <w:p>
            <w:pPr>
              <w:spacing w:line="400" w:lineRule="exact"/>
              <w:jc w:val="center"/>
              <w:rPr>
                <w:rFonts w:hint="default" w:cs="宋体" w:eastAsiaTheme="minorEastAsia"/>
                <w:color w:val="auto"/>
                <w:sz w:val="22"/>
                <w:szCs w:val="24"/>
                <w:lang w:val="en-US" w:eastAsia="zh-CN"/>
              </w:rPr>
            </w:pPr>
            <w:r>
              <w:rPr>
                <w:rFonts w:hint="eastAsia" w:cs="宋体"/>
                <w:color w:val="auto"/>
                <w:sz w:val="22"/>
                <w:szCs w:val="24"/>
                <w:lang w:val="en-US" w:eastAsia="zh-CN"/>
              </w:rPr>
              <w:t>10分</w:t>
            </w:r>
          </w:p>
        </w:tc>
        <w:tc>
          <w:tcPr>
            <w:tcW w:w="5579" w:type="dxa"/>
            <w:noWrap/>
            <w:vAlign w:val="center"/>
          </w:tcPr>
          <w:p>
            <w:pPr>
              <w:pStyle w:val="12"/>
              <w:ind w:left="0" w:leftChars="0" w:firstLine="0" w:firstLineChars="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投标人编制苗木供货质量保证措施和技术保证措施方案</w:t>
            </w:r>
          </w:p>
          <w:p>
            <w:pPr>
              <w:pStyle w:val="12"/>
              <w:ind w:left="0" w:leftChars="0" w:firstLine="0" w:firstLineChars="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优：整体方案详细完整，具有详细的质量保障措施、技术保障措施等方案概述的得10分；</w:t>
            </w:r>
          </w:p>
          <w:p>
            <w:pPr>
              <w:pStyle w:val="12"/>
              <w:ind w:left="0" w:leftChars="0" w:firstLine="0" w:firstLineChars="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良：整体方案较完整，具有质量保障措施、技术保障措施等方案概述的得6分；</w:t>
            </w:r>
          </w:p>
          <w:p>
            <w:pPr>
              <w:pStyle w:val="12"/>
              <w:ind w:left="0" w:leftChars="0" w:firstLine="0" w:firstLineChars="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中：整体方案不完整，质量保障措施、技术保障措施等方案概述不清晰，描述简单的得3分；</w:t>
            </w:r>
          </w:p>
          <w:p>
            <w:pPr>
              <w:pStyle w:val="12"/>
              <w:ind w:left="0" w:leftChars="0" w:firstLine="0" w:firstLineChars="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未见阐述不得分。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noWrap/>
            <w:vAlign w:val="center"/>
          </w:tcPr>
          <w:p>
            <w:pPr>
              <w:spacing w:line="400" w:lineRule="exact"/>
              <w:ind w:firstLine="420" w:firstLineChars="0"/>
              <w:rPr>
                <w:rFonts w:hint="default" w:cs="宋体" w:eastAsiaTheme="minorEastAsia"/>
                <w:color w:val="auto"/>
                <w:sz w:val="22"/>
                <w:szCs w:val="24"/>
                <w:lang w:val="en-US" w:eastAsia="zh-CN"/>
              </w:rPr>
            </w:pPr>
            <w:r>
              <w:rPr>
                <w:rFonts w:hint="eastAsia" w:cs="宋体"/>
                <w:color w:val="auto"/>
                <w:sz w:val="22"/>
                <w:szCs w:val="24"/>
                <w:lang w:val="en-US" w:eastAsia="zh-CN"/>
              </w:rPr>
              <w:t>售后服务方案</w:t>
            </w:r>
          </w:p>
        </w:tc>
        <w:tc>
          <w:tcPr>
            <w:tcW w:w="992" w:type="dxa"/>
            <w:noWrap/>
            <w:vAlign w:val="center"/>
          </w:tcPr>
          <w:p>
            <w:pPr>
              <w:spacing w:line="400" w:lineRule="exact"/>
              <w:ind w:firstLine="0" w:firstLineChars="0"/>
              <w:jc w:val="center"/>
              <w:rPr>
                <w:rFonts w:hint="default" w:cs="宋体" w:eastAsiaTheme="minorEastAsia"/>
                <w:color w:val="auto"/>
                <w:sz w:val="22"/>
                <w:szCs w:val="24"/>
                <w:lang w:val="en-US" w:eastAsia="zh-CN"/>
              </w:rPr>
            </w:pPr>
            <w:r>
              <w:rPr>
                <w:rFonts w:hint="eastAsia" w:cs="宋体"/>
                <w:color w:val="auto"/>
                <w:sz w:val="22"/>
                <w:szCs w:val="24"/>
                <w:lang w:val="en-US" w:eastAsia="zh-CN"/>
              </w:rPr>
              <w:t>10分</w:t>
            </w:r>
          </w:p>
        </w:tc>
        <w:tc>
          <w:tcPr>
            <w:tcW w:w="5579" w:type="dxa"/>
            <w:noWrap/>
            <w:vAlign w:val="top"/>
          </w:tcPr>
          <w:p>
            <w:pPr>
              <w:pStyle w:val="12"/>
              <w:ind w:left="0" w:leftChars="0" w:firstLine="0" w:firstLineChars="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售后服务实施方案：</w:t>
            </w:r>
          </w:p>
          <w:p>
            <w:pPr>
              <w:pStyle w:val="12"/>
              <w:ind w:left="0" w:leftChars="0" w:firstLine="0" w:firstLineChars="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根据苗木投标人提供的解决苗木售后方案，进行打分： </w:t>
            </w:r>
          </w:p>
          <w:p>
            <w:pPr>
              <w:pStyle w:val="12"/>
              <w:ind w:left="0" w:leftChars="0" w:firstLine="0" w:firstLineChars="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1.优：苗木养护指导，定期对苗木回访服务方案科学合理、详细完整的得10分 </w:t>
            </w:r>
          </w:p>
          <w:p>
            <w:pPr>
              <w:pStyle w:val="12"/>
              <w:ind w:left="0" w:leftChars="0" w:firstLine="0" w:firstLineChars="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2.良：苗木养护指导，定期对苗木回访服务方案较为合理、内容较详细的得6分</w:t>
            </w:r>
          </w:p>
          <w:p>
            <w:pPr>
              <w:pStyle w:val="12"/>
              <w:ind w:left="0" w:leftChars="0" w:firstLine="0" w:firstLineChars="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3.中：苗木养护指导，定期对苗木回访服务方案一般、内容比较简单的得3分； </w:t>
            </w:r>
          </w:p>
          <w:p>
            <w:pPr>
              <w:pStyle w:val="12"/>
              <w:ind w:left="0" w:leftChars="0" w:firstLine="0" w:firstLineChars="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不提供不得分</w:t>
            </w:r>
          </w:p>
        </w:tc>
      </w:tr>
    </w:tbl>
    <w:p>
      <w:pPr>
        <w:spacing w:line="360" w:lineRule="auto"/>
        <w:rPr>
          <w:rFonts w:ascii="宋体" w:hAnsi="宋体" w:eastAsia="宋体" w:cs="Times New Roman"/>
          <w:b/>
          <w:color w:val="000000"/>
          <w:szCs w:val="24"/>
        </w:rPr>
      </w:pPr>
    </w:p>
    <w:p>
      <w:pPr>
        <w:spacing w:line="360" w:lineRule="auto"/>
        <w:rPr>
          <w:rFonts w:ascii="宋体" w:hAnsi="宋体" w:eastAsia="宋体" w:cs="Times New Roman"/>
          <w:b/>
          <w:color w:val="000000"/>
          <w:szCs w:val="24"/>
        </w:rPr>
      </w:pPr>
    </w:p>
    <w:sectPr>
      <w:footerReference r:id="rId8" w:type="first"/>
      <w:footerReference r:id="rId6" w:type="default"/>
      <w:headerReference r:id="rId5" w:type="even"/>
      <w:footerReference r:id="rId7" w:type="even"/>
      <w:pgSz w:w="11906" w:h="16838"/>
      <w:pgMar w:top="1134" w:right="1134" w:bottom="1134" w:left="1134" w:header="720" w:footer="720" w:gutter="0"/>
      <w:pgNumType w:start="1"/>
      <w:cols w:space="720" w:num="1"/>
      <w:titlePg/>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金山简黑体">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0000012" w:usb3="00000000" w:csb0="4002009F" w:csb1="DFD70000"/>
  </w:font>
  <w:font w:name="Verdana">
    <w:panose1 w:val="020B0604030504040204"/>
    <w:charset w:val="00"/>
    <w:family w:val="swiss"/>
    <w:pitch w:val="default"/>
    <w:sig w:usb0="A00006FF" w:usb1="4000205B" w:usb2="00000010" w:usb3="00000000" w:csb0="2000019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60101010101"/>
    <w:charset w:val="00"/>
    <w:family w:val="auto"/>
    <w:pitch w:val="default"/>
    <w:sig w:usb0="00000000" w:usb1="00000000" w:usb2="00000000" w:usb3="00000000" w:csb0="00000000" w:csb1="00000000"/>
  </w:font>
  <w:font w:name="方正仿宋_GBK">
    <w:altName w:val="微软雅黑"/>
    <w:panose1 w:val="03000509000000000000"/>
    <w:charset w:val="86"/>
    <w:family w:val="script"/>
    <w:pitch w:val="default"/>
    <w:sig w:usb0="00000000" w:usb1="00000000" w:usb2="00000000" w:usb3="00000000" w:csb0="00040000"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7"/>
      <w:framePr w:wrap="around" w:vAnchor="text" w:hAnchor="margin" w:xAlign="center" w:y="1"/>
      <w:rPr>
        <w:rStyle w:val="91"/>
      </w:rPr>
    </w:pPr>
    <w:r>
      <w:fldChar w:fldCharType="begin"/>
    </w:r>
    <w:r>
      <w:rPr>
        <w:rStyle w:val="91"/>
      </w:rPr>
      <w:instrText xml:space="preserve">PAGE  </w:instrText>
    </w:r>
    <w:r>
      <w:fldChar w:fldCharType="end"/>
    </w:r>
  </w:p>
  <w:p>
    <w:pPr>
      <w:pStyle w:val="8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jc w:val="center"/>
    </w:pPr>
    <w:r>
      <w:t>第</w:t>
    </w:r>
    <w:r>
      <w:fldChar w:fldCharType="begin"/>
    </w:r>
    <w:r>
      <w:instrText xml:space="preserve"> PAGE  \* Arabic  \* MERGEFORMAT </w:instrText>
    </w:r>
    <w:r>
      <w:fldChar w:fldCharType="separate"/>
    </w:r>
    <w:r>
      <w:t>44</w:t>
    </w:r>
    <w:r>
      <w:fldChar w:fldCharType="end"/>
    </w:r>
    <w:r>
      <w:t>页</w:t>
    </w:r>
    <w:r>
      <w:rPr>
        <w:rFonts w:hint="eastAsia"/>
      </w:rPr>
      <w:t xml:space="preserve"> 共</w:t>
    </w:r>
    <w:r>
      <w:fldChar w:fldCharType="begin"/>
    </w:r>
    <w:r>
      <w:instrText xml:space="preserve"> NUMPAGES  \* Arabic  \* MERGEFORMAT </w:instrText>
    </w:r>
    <w:r>
      <w:fldChar w:fldCharType="separate"/>
    </w:r>
    <w:r>
      <w:t>80</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ind w:firstLine="420"/>
    </w:pPr>
    <w:r>
      <w:fldChar w:fldCharType="begin"/>
    </w:r>
    <w:r>
      <w:instrText xml:space="preserve">PAGE  </w:instrText>
    </w:r>
    <w:r>
      <w:fldChar w:fldCharType="separate"/>
    </w:r>
    <w:r>
      <w:t>34</w:t>
    </w:r>
    <w:r>
      <w:fldChar w:fldCharType="end"/>
    </w:r>
  </w:p>
  <w:p>
    <w:pPr>
      <w:ind w:firstLine="4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0"/>
      <w:tabs>
        <w:tab w:val="left" w:pos="7485"/>
      </w:tabs>
      <w:ind w:firstLine="180" w:firstLineChars="100"/>
      <w:jc w:val="left"/>
    </w:pPr>
    <w:r>
      <w:rPr>
        <w:rFonts w:hint="eastAsia"/>
        <w:lang w:val="zh-CN" w:eastAsia="zh-CN"/>
      </w:rPr>
      <w:t>江苏宝宏项目管理咨询有限公司</w:t>
    </w:r>
    <w:r>
      <w:rPr>
        <w:rFonts w:hint="eastAsia"/>
        <w:lang w:val="zh-CN"/>
      </w:rPr>
      <w:t xml:space="preserve">                       </w:t>
    </w:r>
    <w:r>
      <w:rPr>
        <w:rFonts w:hint="eastAsia"/>
        <w:lang w:val="en-US" w:eastAsia="zh-CN"/>
      </w:rPr>
      <w:t xml:space="preserve">                       </w:t>
    </w:r>
    <w:r>
      <w:rPr>
        <w:rFonts w:hint="eastAsia"/>
        <w:lang w:val="zh-CN"/>
      </w:rPr>
      <w:t xml:space="preserve">              公开招标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ABE80C"/>
    <w:multiLevelType w:val="singleLevel"/>
    <w:tmpl w:val="93ABE80C"/>
    <w:lvl w:ilvl="0" w:tentative="0">
      <w:start w:val="2"/>
      <w:numFmt w:val="decimal"/>
      <w:lvlText w:val="%1."/>
      <w:lvlJc w:val="left"/>
      <w:pPr>
        <w:tabs>
          <w:tab w:val="left" w:pos="312"/>
        </w:tabs>
      </w:pPr>
    </w:lvl>
  </w:abstractNum>
  <w:abstractNum w:abstractNumId="1">
    <w:nsid w:val="0315620E"/>
    <w:multiLevelType w:val="multilevel"/>
    <w:tmpl w:val="0315620E"/>
    <w:lvl w:ilvl="0" w:tentative="0">
      <w:start w:val="1"/>
      <w:numFmt w:val="decimal"/>
      <w:pStyle w:val="2"/>
      <w:lvlText w:val="%1"/>
      <w:lvlJc w:val="left"/>
      <w:pPr>
        <w:tabs>
          <w:tab w:val="left" w:pos="360"/>
        </w:tabs>
        <w:ind w:left="284" w:hanging="284"/>
      </w:pPr>
      <w:rPr>
        <w:rFonts w:hint="default" w:ascii="Times New Roman" w:hAnsi="Times New Roman"/>
        <w:b/>
        <w:i w:val="0"/>
        <w:sz w:val="28"/>
      </w:rPr>
    </w:lvl>
    <w:lvl w:ilvl="1" w:tentative="0">
      <w:start w:val="1"/>
      <w:numFmt w:val="decimal"/>
      <w:pStyle w:val="3"/>
      <w:lvlText w:val="%1.%2"/>
      <w:lvlJc w:val="left"/>
      <w:pPr>
        <w:tabs>
          <w:tab w:val="left" w:pos="1021"/>
        </w:tabs>
        <w:ind w:left="1021" w:hanging="596"/>
      </w:pPr>
      <w:rPr>
        <w:rFonts w:hint="default" w:ascii="Times New Roman" w:hAnsi="Times New Roman"/>
        <w:b/>
        <w:i w:val="0"/>
        <w:sz w:val="28"/>
      </w:rPr>
    </w:lvl>
    <w:lvl w:ilvl="2" w:tentative="0">
      <w:start w:val="1"/>
      <w:numFmt w:val="decimal"/>
      <w:pStyle w:val="4"/>
      <w:lvlText w:val="%1.%2.%3"/>
      <w:lvlJc w:val="left"/>
      <w:pPr>
        <w:tabs>
          <w:tab w:val="left" w:pos="1588"/>
        </w:tabs>
        <w:ind w:left="1588" w:hanging="737"/>
      </w:pPr>
      <w:rPr>
        <w:rFonts w:hint="default" w:ascii="Times New Roman" w:hAnsi="Times New Roman"/>
        <w:b/>
        <w:i w:val="0"/>
        <w:sz w:val="24"/>
      </w:rPr>
    </w:lvl>
    <w:lvl w:ilvl="3" w:tentative="0">
      <w:start w:val="1"/>
      <w:numFmt w:val="decimal"/>
      <w:pStyle w:val="5"/>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
    <w:nsid w:val="20B6157B"/>
    <w:multiLevelType w:val="multilevel"/>
    <w:tmpl w:val="20B6157B"/>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1"/>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xYWNiOWUyMzM0NDJiYjc2NWE0ZDVmNzAyZTZjOTYifQ=="/>
  </w:docVars>
  <w:rsids>
    <w:rsidRoot w:val="005863F4"/>
    <w:rsid w:val="00045551"/>
    <w:rsid w:val="00052A27"/>
    <w:rsid w:val="00076ACA"/>
    <w:rsid w:val="00085D4B"/>
    <w:rsid w:val="000D0BA2"/>
    <w:rsid w:val="000F3F6E"/>
    <w:rsid w:val="000F4A1F"/>
    <w:rsid w:val="001226E1"/>
    <w:rsid w:val="00134D82"/>
    <w:rsid w:val="00145F1E"/>
    <w:rsid w:val="00175DE1"/>
    <w:rsid w:val="001831A7"/>
    <w:rsid w:val="001937C3"/>
    <w:rsid w:val="001A69D9"/>
    <w:rsid w:val="00202D21"/>
    <w:rsid w:val="0023666B"/>
    <w:rsid w:val="00260BCB"/>
    <w:rsid w:val="00261356"/>
    <w:rsid w:val="00274D35"/>
    <w:rsid w:val="00290037"/>
    <w:rsid w:val="00291F98"/>
    <w:rsid w:val="002B3523"/>
    <w:rsid w:val="002F5574"/>
    <w:rsid w:val="003120F0"/>
    <w:rsid w:val="003802BC"/>
    <w:rsid w:val="003A695D"/>
    <w:rsid w:val="003A6D11"/>
    <w:rsid w:val="003A7AFC"/>
    <w:rsid w:val="0043047D"/>
    <w:rsid w:val="00465564"/>
    <w:rsid w:val="0048646F"/>
    <w:rsid w:val="004A3B59"/>
    <w:rsid w:val="004B0013"/>
    <w:rsid w:val="004D5131"/>
    <w:rsid w:val="004E2BB1"/>
    <w:rsid w:val="00506111"/>
    <w:rsid w:val="0052066D"/>
    <w:rsid w:val="00544072"/>
    <w:rsid w:val="005804D3"/>
    <w:rsid w:val="0058194A"/>
    <w:rsid w:val="005863F4"/>
    <w:rsid w:val="005979B7"/>
    <w:rsid w:val="005A62A6"/>
    <w:rsid w:val="005A6C0C"/>
    <w:rsid w:val="005F0119"/>
    <w:rsid w:val="00613E60"/>
    <w:rsid w:val="006A58C7"/>
    <w:rsid w:val="006C0E53"/>
    <w:rsid w:val="006D6F3B"/>
    <w:rsid w:val="006D79A4"/>
    <w:rsid w:val="006E6810"/>
    <w:rsid w:val="006F78DA"/>
    <w:rsid w:val="00785884"/>
    <w:rsid w:val="00795745"/>
    <w:rsid w:val="007D1076"/>
    <w:rsid w:val="007E0190"/>
    <w:rsid w:val="007E7559"/>
    <w:rsid w:val="008002EC"/>
    <w:rsid w:val="008134BA"/>
    <w:rsid w:val="0084151A"/>
    <w:rsid w:val="008E0812"/>
    <w:rsid w:val="00913A95"/>
    <w:rsid w:val="0091557E"/>
    <w:rsid w:val="00942FC9"/>
    <w:rsid w:val="009B4FAC"/>
    <w:rsid w:val="009B51D7"/>
    <w:rsid w:val="00A0303D"/>
    <w:rsid w:val="00A36462"/>
    <w:rsid w:val="00AE2D5B"/>
    <w:rsid w:val="00AE5F2C"/>
    <w:rsid w:val="00AF1636"/>
    <w:rsid w:val="00B22C82"/>
    <w:rsid w:val="00B43B09"/>
    <w:rsid w:val="00B4789E"/>
    <w:rsid w:val="00C00772"/>
    <w:rsid w:val="00C21F58"/>
    <w:rsid w:val="00C45A29"/>
    <w:rsid w:val="00C90FEA"/>
    <w:rsid w:val="00CD6331"/>
    <w:rsid w:val="00CE7863"/>
    <w:rsid w:val="00CF41B7"/>
    <w:rsid w:val="00D14C68"/>
    <w:rsid w:val="00D212D6"/>
    <w:rsid w:val="00D3680C"/>
    <w:rsid w:val="00D93645"/>
    <w:rsid w:val="00E0733A"/>
    <w:rsid w:val="00E22DF6"/>
    <w:rsid w:val="00E33F68"/>
    <w:rsid w:val="00E44F9C"/>
    <w:rsid w:val="00E710D8"/>
    <w:rsid w:val="00E73D80"/>
    <w:rsid w:val="00ED1E2A"/>
    <w:rsid w:val="00EF097A"/>
    <w:rsid w:val="00F444ED"/>
    <w:rsid w:val="00F9432B"/>
    <w:rsid w:val="00F95197"/>
    <w:rsid w:val="00FE2FA5"/>
    <w:rsid w:val="010351AA"/>
    <w:rsid w:val="014C3E61"/>
    <w:rsid w:val="016A6FD7"/>
    <w:rsid w:val="019D73AC"/>
    <w:rsid w:val="01C27974"/>
    <w:rsid w:val="02083BFD"/>
    <w:rsid w:val="025F7AAC"/>
    <w:rsid w:val="026B5A6E"/>
    <w:rsid w:val="02A36C44"/>
    <w:rsid w:val="02DC2156"/>
    <w:rsid w:val="02FA082F"/>
    <w:rsid w:val="034C4C39"/>
    <w:rsid w:val="035D3297"/>
    <w:rsid w:val="03864EFF"/>
    <w:rsid w:val="038C76D9"/>
    <w:rsid w:val="03E05C76"/>
    <w:rsid w:val="04291F53"/>
    <w:rsid w:val="046917C8"/>
    <w:rsid w:val="047E6DD9"/>
    <w:rsid w:val="0488338E"/>
    <w:rsid w:val="04EB48D3"/>
    <w:rsid w:val="05121E5F"/>
    <w:rsid w:val="05267ECF"/>
    <w:rsid w:val="05393890"/>
    <w:rsid w:val="053C034A"/>
    <w:rsid w:val="054A784B"/>
    <w:rsid w:val="05767B20"/>
    <w:rsid w:val="05926AFC"/>
    <w:rsid w:val="05CC0260"/>
    <w:rsid w:val="06BB2083"/>
    <w:rsid w:val="06FC4B75"/>
    <w:rsid w:val="070677A2"/>
    <w:rsid w:val="07126147"/>
    <w:rsid w:val="07807554"/>
    <w:rsid w:val="0788465B"/>
    <w:rsid w:val="07A54924"/>
    <w:rsid w:val="07D17DB0"/>
    <w:rsid w:val="07D63618"/>
    <w:rsid w:val="07F4458C"/>
    <w:rsid w:val="088968DD"/>
    <w:rsid w:val="0935611C"/>
    <w:rsid w:val="093B23AD"/>
    <w:rsid w:val="09B24246"/>
    <w:rsid w:val="0ABD286D"/>
    <w:rsid w:val="0AC40BFA"/>
    <w:rsid w:val="0B0E131B"/>
    <w:rsid w:val="0B21104E"/>
    <w:rsid w:val="0C542D5E"/>
    <w:rsid w:val="0D15598B"/>
    <w:rsid w:val="0D6D057B"/>
    <w:rsid w:val="0D9755F8"/>
    <w:rsid w:val="0DC161D1"/>
    <w:rsid w:val="0DE1181F"/>
    <w:rsid w:val="0E121122"/>
    <w:rsid w:val="0E295B70"/>
    <w:rsid w:val="0E8A1801"/>
    <w:rsid w:val="0EC56195"/>
    <w:rsid w:val="0FAB538A"/>
    <w:rsid w:val="0FC87CEA"/>
    <w:rsid w:val="10525806"/>
    <w:rsid w:val="10667503"/>
    <w:rsid w:val="10795489"/>
    <w:rsid w:val="113B44EC"/>
    <w:rsid w:val="11621A79"/>
    <w:rsid w:val="11F823DD"/>
    <w:rsid w:val="11FF19BD"/>
    <w:rsid w:val="126F47D8"/>
    <w:rsid w:val="12E13908"/>
    <w:rsid w:val="13482EF0"/>
    <w:rsid w:val="13824654"/>
    <w:rsid w:val="13C756CF"/>
    <w:rsid w:val="140A01B4"/>
    <w:rsid w:val="140D0F63"/>
    <w:rsid w:val="147E4E1C"/>
    <w:rsid w:val="14E46C49"/>
    <w:rsid w:val="15C74070"/>
    <w:rsid w:val="15CF16A7"/>
    <w:rsid w:val="1672275E"/>
    <w:rsid w:val="170A6E3A"/>
    <w:rsid w:val="17246432"/>
    <w:rsid w:val="17810668"/>
    <w:rsid w:val="1800023D"/>
    <w:rsid w:val="1804452D"/>
    <w:rsid w:val="187B0118"/>
    <w:rsid w:val="188D0D11"/>
    <w:rsid w:val="18C25A64"/>
    <w:rsid w:val="18F57676"/>
    <w:rsid w:val="18FC6C57"/>
    <w:rsid w:val="19481E9C"/>
    <w:rsid w:val="194D74B2"/>
    <w:rsid w:val="1AB5530F"/>
    <w:rsid w:val="1ABE298D"/>
    <w:rsid w:val="1AD35B84"/>
    <w:rsid w:val="1AF53561"/>
    <w:rsid w:val="1B5A7C65"/>
    <w:rsid w:val="1B8D1DE8"/>
    <w:rsid w:val="1BE85270"/>
    <w:rsid w:val="1C0D19F1"/>
    <w:rsid w:val="1C1C4F1A"/>
    <w:rsid w:val="1C297D63"/>
    <w:rsid w:val="1C314E69"/>
    <w:rsid w:val="1C744D56"/>
    <w:rsid w:val="1CD203FA"/>
    <w:rsid w:val="1D7F1C04"/>
    <w:rsid w:val="1DDE4B7D"/>
    <w:rsid w:val="1E075E82"/>
    <w:rsid w:val="1F707A57"/>
    <w:rsid w:val="1F7E03C6"/>
    <w:rsid w:val="1FB407E1"/>
    <w:rsid w:val="1FDE70B6"/>
    <w:rsid w:val="1FF00B97"/>
    <w:rsid w:val="203C5B8B"/>
    <w:rsid w:val="20C91B14"/>
    <w:rsid w:val="20F070A1"/>
    <w:rsid w:val="216B497A"/>
    <w:rsid w:val="21D50045"/>
    <w:rsid w:val="21DD42D5"/>
    <w:rsid w:val="224D508F"/>
    <w:rsid w:val="22C73E32"/>
    <w:rsid w:val="234B0A17"/>
    <w:rsid w:val="2355768F"/>
    <w:rsid w:val="23834435"/>
    <w:rsid w:val="23953F30"/>
    <w:rsid w:val="24635DDC"/>
    <w:rsid w:val="248024EA"/>
    <w:rsid w:val="24A85AA4"/>
    <w:rsid w:val="25456A02"/>
    <w:rsid w:val="25E1101D"/>
    <w:rsid w:val="26063217"/>
    <w:rsid w:val="260B672B"/>
    <w:rsid w:val="26C03072"/>
    <w:rsid w:val="26DD367B"/>
    <w:rsid w:val="27070CA1"/>
    <w:rsid w:val="277B168E"/>
    <w:rsid w:val="27A72484"/>
    <w:rsid w:val="29854B20"/>
    <w:rsid w:val="2A467D32"/>
    <w:rsid w:val="2B844FB6"/>
    <w:rsid w:val="2BFF0166"/>
    <w:rsid w:val="2C3A5251"/>
    <w:rsid w:val="2D045C82"/>
    <w:rsid w:val="2D263E4A"/>
    <w:rsid w:val="2D6F57F1"/>
    <w:rsid w:val="2D8C63A3"/>
    <w:rsid w:val="2D8E211C"/>
    <w:rsid w:val="2DB80F46"/>
    <w:rsid w:val="2DD37D72"/>
    <w:rsid w:val="2E053A60"/>
    <w:rsid w:val="2E12186C"/>
    <w:rsid w:val="2E3805A2"/>
    <w:rsid w:val="2E681F6F"/>
    <w:rsid w:val="2E7D14F4"/>
    <w:rsid w:val="2EBA484A"/>
    <w:rsid w:val="2F3E7229"/>
    <w:rsid w:val="2FB27C17"/>
    <w:rsid w:val="2FF11279"/>
    <w:rsid w:val="30134B5A"/>
    <w:rsid w:val="308B3DA2"/>
    <w:rsid w:val="30A6777C"/>
    <w:rsid w:val="30A77050"/>
    <w:rsid w:val="30ED7159"/>
    <w:rsid w:val="319B6BB5"/>
    <w:rsid w:val="31A55C86"/>
    <w:rsid w:val="31FB7654"/>
    <w:rsid w:val="324F79A0"/>
    <w:rsid w:val="32F65272"/>
    <w:rsid w:val="32F825DE"/>
    <w:rsid w:val="331F3816"/>
    <w:rsid w:val="33656F95"/>
    <w:rsid w:val="33690B83"/>
    <w:rsid w:val="339974AF"/>
    <w:rsid w:val="3421711A"/>
    <w:rsid w:val="345179FF"/>
    <w:rsid w:val="34551C04"/>
    <w:rsid w:val="34B61F58"/>
    <w:rsid w:val="34CE1050"/>
    <w:rsid w:val="34DF325D"/>
    <w:rsid w:val="35661288"/>
    <w:rsid w:val="3640562A"/>
    <w:rsid w:val="36B22321"/>
    <w:rsid w:val="370B121F"/>
    <w:rsid w:val="370E5995"/>
    <w:rsid w:val="379B11DE"/>
    <w:rsid w:val="37DF5322"/>
    <w:rsid w:val="381041CF"/>
    <w:rsid w:val="38B90269"/>
    <w:rsid w:val="38CA756F"/>
    <w:rsid w:val="38DF7CCF"/>
    <w:rsid w:val="38F92413"/>
    <w:rsid w:val="39325EC4"/>
    <w:rsid w:val="394538AA"/>
    <w:rsid w:val="39755F3E"/>
    <w:rsid w:val="39EA44B0"/>
    <w:rsid w:val="3A2F61EE"/>
    <w:rsid w:val="3A504FEF"/>
    <w:rsid w:val="3AE21376"/>
    <w:rsid w:val="3BAE1BDB"/>
    <w:rsid w:val="3BC431AC"/>
    <w:rsid w:val="3CA8662A"/>
    <w:rsid w:val="3CB07CE4"/>
    <w:rsid w:val="3CE77152"/>
    <w:rsid w:val="3ECA0ADA"/>
    <w:rsid w:val="3F057D64"/>
    <w:rsid w:val="3F84028E"/>
    <w:rsid w:val="3FAC4EC1"/>
    <w:rsid w:val="40C003E6"/>
    <w:rsid w:val="40E1210B"/>
    <w:rsid w:val="41110ACA"/>
    <w:rsid w:val="41984EBF"/>
    <w:rsid w:val="41D71A62"/>
    <w:rsid w:val="41E00614"/>
    <w:rsid w:val="41F0312A"/>
    <w:rsid w:val="42066CC6"/>
    <w:rsid w:val="4242696E"/>
    <w:rsid w:val="425B6B3A"/>
    <w:rsid w:val="42E14644"/>
    <w:rsid w:val="43A8636F"/>
    <w:rsid w:val="43AF7095"/>
    <w:rsid w:val="43BE2EC0"/>
    <w:rsid w:val="44C71617"/>
    <w:rsid w:val="45703A5D"/>
    <w:rsid w:val="460A2104"/>
    <w:rsid w:val="46485FEA"/>
    <w:rsid w:val="464949DA"/>
    <w:rsid w:val="467F03FC"/>
    <w:rsid w:val="471C20EE"/>
    <w:rsid w:val="471E5E67"/>
    <w:rsid w:val="473867FC"/>
    <w:rsid w:val="477E4B57"/>
    <w:rsid w:val="47961EA1"/>
    <w:rsid w:val="48082673"/>
    <w:rsid w:val="484C07B1"/>
    <w:rsid w:val="488717E9"/>
    <w:rsid w:val="48904B42"/>
    <w:rsid w:val="48C2176F"/>
    <w:rsid w:val="48EA42C6"/>
    <w:rsid w:val="4907292A"/>
    <w:rsid w:val="492B486B"/>
    <w:rsid w:val="49CE6E21"/>
    <w:rsid w:val="49E8607E"/>
    <w:rsid w:val="49F7299F"/>
    <w:rsid w:val="4A631DE2"/>
    <w:rsid w:val="4AD131F0"/>
    <w:rsid w:val="4B215F25"/>
    <w:rsid w:val="4B3A6FE7"/>
    <w:rsid w:val="4B5F07FC"/>
    <w:rsid w:val="4BBC5C4E"/>
    <w:rsid w:val="4BE07B8E"/>
    <w:rsid w:val="4D725589"/>
    <w:rsid w:val="4D744A41"/>
    <w:rsid w:val="4D7560B4"/>
    <w:rsid w:val="4E45017D"/>
    <w:rsid w:val="4EAE514E"/>
    <w:rsid w:val="4EE03A01"/>
    <w:rsid w:val="4EE259CC"/>
    <w:rsid w:val="4F6D0D8E"/>
    <w:rsid w:val="4FB3133F"/>
    <w:rsid w:val="50377F99"/>
    <w:rsid w:val="50966A6E"/>
    <w:rsid w:val="50A13664"/>
    <w:rsid w:val="511E6A63"/>
    <w:rsid w:val="516362DD"/>
    <w:rsid w:val="520A23AB"/>
    <w:rsid w:val="52140C82"/>
    <w:rsid w:val="52147F1A"/>
    <w:rsid w:val="52F903C4"/>
    <w:rsid w:val="535B5D4C"/>
    <w:rsid w:val="537D390B"/>
    <w:rsid w:val="53B67427"/>
    <w:rsid w:val="53C51418"/>
    <w:rsid w:val="53D14261"/>
    <w:rsid w:val="53DC50DF"/>
    <w:rsid w:val="53E435EE"/>
    <w:rsid w:val="53EB70D0"/>
    <w:rsid w:val="541D77BC"/>
    <w:rsid w:val="544113E6"/>
    <w:rsid w:val="54D1276A"/>
    <w:rsid w:val="54E029AD"/>
    <w:rsid w:val="54E23BC0"/>
    <w:rsid w:val="55195EBF"/>
    <w:rsid w:val="552B1BBA"/>
    <w:rsid w:val="55EF76DD"/>
    <w:rsid w:val="55F04E72"/>
    <w:rsid w:val="56CB645F"/>
    <w:rsid w:val="56D24578"/>
    <w:rsid w:val="57144B90"/>
    <w:rsid w:val="571C57F3"/>
    <w:rsid w:val="575F054A"/>
    <w:rsid w:val="581B1F4E"/>
    <w:rsid w:val="58262DCD"/>
    <w:rsid w:val="584A615A"/>
    <w:rsid w:val="58555460"/>
    <w:rsid w:val="58863707"/>
    <w:rsid w:val="5889510A"/>
    <w:rsid w:val="58E16CF4"/>
    <w:rsid w:val="59301A29"/>
    <w:rsid w:val="59484FC5"/>
    <w:rsid w:val="596B053C"/>
    <w:rsid w:val="599E0BCE"/>
    <w:rsid w:val="5A1F7AD4"/>
    <w:rsid w:val="5AB346C0"/>
    <w:rsid w:val="5AB521E6"/>
    <w:rsid w:val="5AFA5E4B"/>
    <w:rsid w:val="5C224D46"/>
    <w:rsid w:val="5CA50038"/>
    <w:rsid w:val="5D437F7D"/>
    <w:rsid w:val="5E5D0BCB"/>
    <w:rsid w:val="5E6F08FE"/>
    <w:rsid w:val="5EA22A81"/>
    <w:rsid w:val="5EFA5309"/>
    <w:rsid w:val="5F531AD7"/>
    <w:rsid w:val="5F816B3B"/>
    <w:rsid w:val="5FED6940"/>
    <w:rsid w:val="60C90799"/>
    <w:rsid w:val="60D94755"/>
    <w:rsid w:val="61912E1E"/>
    <w:rsid w:val="6247406C"/>
    <w:rsid w:val="629D1EDE"/>
    <w:rsid w:val="638C78C0"/>
    <w:rsid w:val="63DE1240"/>
    <w:rsid w:val="64155AA4"/>
    <w:rsid w:val="64167981"/>
    <w:rsid w:val="65332685"/>
    <w:rsid w:val="654A5C21"/>
    <w:rsid w:val="654E3963"/>
    <w:rsid w:val="656E190F"/>
    <w:rsid w:val="66100C18"/>
    <w:rsid w:val="662C061F"/>
    <w:rsid w:val="66A81D95"/>
    <w:rsid w:val="66BB5028"/>
    <w:rsid w:val="66C9448E"/>
    <w:rsid w:val="66CB4B3F"/>
    <w:rsid w:val="67813E82"/>
    <w:rsid w:val="67890C82"/>
    <w:rsid w:val="67B33F51"/>
    <w:rsid w:val="681C38A5"/>
    <w:rsid w:val="693B5FAC"/>
    <w:rsid w:val="699102C2"/>
    <w:rsid w:val="69F525FF"/>
    <w:rsid w:val="6A5437CA"/>
    <w:rsid w:val="6A6C07F5"/>
    <w:rsid w:val="6B2642C5"/>
    <w:rsid w:val="6B6712DB"/>
    <w:rsid w:val="6B6A0DCB"/>
    <w:rsid w:val="6BD66460"/>
    <w:rsid w:val="6C3311BD"/>
    <w:rsid w:val="6C9E6F7E"/>
    <w:rsid w:val="6CCD33BF"/>
    <w:rsid w:val="6CF50B68"/>
    <w:rsid w:val="6D4847CA"/>
    <w:rsid w:val="6D631F76"/>
    <w:rsid w:val="6D836174"/>
    <w:rsid w:val="6D94480E"/>
    <w:rsid w:val="6DBD5004"/>
    <w:rsid w:val="6DD37288"/>
    <w:rsid w:val="6E0252EB"/>
    <w:rsid w:val="6E3B026E"/>
    <w:rsid w:val="6E7C2E22"/>
    <w:rsid w:val="6EA10B24"/>
    <w:rsid w:val="6EED5F9B"/>
    <w:rsid w:val="6F452AF6"/>
    <w:rsid w:val="6F457B85"/>
    <w:rsid w:val="6F6A75EB"/>
    <w:rsid w:val="705F3B1C"/>
    <w:rsid w:val="70651B61"/>
    <w:rsid w:val="70893AA1"/>
    <w:rsid w:val="70BF7CEE"/>
    <w:rsid w:val="716658BD"/>
    <w:rsid w:val="71883C74"/>
    <w:rsid w:val="71F413EE"/>
    <w:rsid w:val="71F907B3"/>
    <w:rsid w:val="726A7224"/>
    <w:rsid w:val="728E1843"/>
    <w:rsid w:val="72C65E03"/>
    <w:rsid w:val="72CB65F3"/>
    <w:rsid w:val="72D059B7"/>
    <w:rsid w:val="73261A7B"/>
    <w:rsid w:val="73697BBA"/>
    <w:rsid w:val="73ED2599"/>
    <w:rsid w:val="74085625"/>
    <w:rsid w:val="7454695B"/>
    <w:rsid w:val="749869A9"/>
    <w:rsid w:val="74F51705"/>
    <w:rsid w:val="754E52B9"/>
    <w:rsid w:val="756C7010"/>
    <w:rsid w:val="756E770A"/>
    <w:rsid w:val="757E794D"/>
    <w:rsid w:val="75D03F20"/>
    <w:rsid w:val="75EB48B6"/>
    <w:rsid w:val="75F93477"/>
    <w:rsid w:val="761B163F"/>
    <w:rsid w:val="77075720"/>
    <w:rsid w:val="77A02DD8"/>
    <w:rsid w:val="78B813C8"/>
    <w:rsid w:val="78BD56B1"/>
    <w:rsid w:val="78D507D7"/>
    <w:rsid w:val="79053EE1"/>
    <w:rsid w:val="794669D3"/>
    <w:rsid w:val="794E7636"/>
    <w:rsid w:val="79B3393D"/>
    <w:rsid w:val="7A2F56B9"/>
    <w:rsid w:val="7A4617E3"/>
    <w:rsid w:val="7A796935"/>
    <w:rsid w:val="7AAC6D0A"/>
    <w:rsid w:val="7AB636E5"/>
    <w:rsid w:val="7AF34645"/>
    <w:rsid w:val="7B5573A2"/>
    <w:rsid w:val="7B701D01"/>
    <w:rsid w:val="7BD32BBF"/>
    <w:rsid w:val="7D7B29C4"/>
    <w:rsid w:val="7DB008BF"/>
    <w:rsid w:val="7E08144A"/>
    <w:rsid w:val="7E10135E"/>
    <w:rsid w:val="7E133C3E"/>
    <w:rsid w:val="7E152E18"/>
    <w:rsid w:val="7E1E611B"/>
    <w:rsid w:val="7E417769"/>
    <w:rsid w:val="7E7432AC"/>
    <w:rsid w:val="7EA30794"/>
    <w:rsid w:val="7EB75C7D"/>
    <w:rsid w:val="7F183C03"/>
    <w:rsid w:val="7F326988"/>
    <w:rsid w:val="7F5D6825"/>
    <w:rsid w:val="7F741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1"/>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1"/>
    <w:autoRedefine/>
    <w:qFormat/>
    <w:uiPriority w:val="0"/>
    <w:pPr>
      <w:keepNext/>
      <w:keepLines/>
      <w:numPr>
        <w:ilvl w:val="0"/>
        <w:numId w:val="1"/>
      </w:numPr>
      <w:adjustRightInd w:val="0"/>
      <w:spacing w:line="360" w:lineRule="auto"/>
      <w:jc w:val="center"/>
      <w:textAlignment w:val="baseline"/>
      <w:outlineLvl w:val="0"/>
    </w:pPr>
    <w:rPr>
      <w:rFonts w:ascii="Times New Roman" w:hAnsi="Times New Roman" w:eastAsia="黑体" w:cs="Times New Roman"/>
      <w:b/>
      <w:kern w:val="44"/>
      <w:sz w:val="36"/>
      <w:szCs w:val="20"/>
    </w:rPr>
  </w:style>
  <w:style w:type="paragraph" w:styleId="3">
    <w:name w:val="heading 2"/>
    <w:basedOn w:val="1"/>
    <w:next w:val="1"/>
    <w:link w:val="52"/>
    <w:autoRedefine/>
    <w:qFormat/>
    <w:uiPriority w:val="0"/>
    <w:pPr>
      <w:keepNext/>
      <w:numPr>
        <w:ilvl w:val="1"/>
        <w:numId w:val="1"/>
      </w:numPr>
      <w:spacing w:line="360" w:lineRule="auto"/>
      <w:textAlignment w:val="baseline"/>
      <w:outlineLvl w:val="1"/>
    </w:pPr>
    <w:rPr>
      <w:rFonts w:ascii="Times New Roman" w:hAnsi="Times New Roman" w:eastAsia="黑体" w:cs="Times New Roman"/>
      <w:b/>
      <w:kern w:val="0"/>
      <w:sz w:val="28"/>
      <w:szCs w:val="20"/>
    </w:rPr>
  </w:style>
  <w:style w:type="paragraph" w:styleId="4">
    <w:name w:val="heading 3"/>
    <w:basedOn w:val="1"/>
    <w:next w:val="1"/>
    <w:link w:val="53"/>
    <w:autoRedefine/>
    <w:qFormat/>
    <w:uiPriority w:val="0"/>
    <w:pPr>
      <w:numPr>
        <w:ilvl w:val="2"/>
        <w:numId w:val="1"/>
      </w:numPr>
      <w:tabs>
        <w:tab w:val="left" w:pos="900"/>
      </w:tabs>
      <w:adjustRightInd w:val="0"/>
      <w:spacing w:before="120" w:line="360" w:lineRule="auto"/>
      <w:ind w:firstLine="200" w:firstLineChars="200"/>
      <w:textAlignment w:val="baseline"/>
      <w:outlineLvl w:val="2"/>
    </w:pPr>
    <w:rPr>
      <w:rFonts w:ascii="Times New Roman" w:hAnsi="Times New Roman" w:eastAsia="黑体" w:cs="Times New Roman"/>
      <w:b/>
      <w:kern w:val="0"/>
      <w:sz w:val="28"/>
      <w:szCs w:val="20"/>
    </w:rPr>
  </w:style>
  <w:style w:type="paragraph" w:styleId="5">
    <w:name w:val="heading 4"/>
    <w:basedOn w:val="1"/>
    <w:next w:val="1"/>
    <w:link w:val="54"/>
    <w:autoRedefine/>
    <w:qFormat/>
    <w:uiPriority w:val="0"/>
    <w:pPr>
      <w:numPr>
        <w:ilvl w:val="3"/>
        <w:numId w:val="1"/>
      </w:numPr>
      <w:adjustRightInd w:val="0"/>
      <w:spacing w:before="120" w:line="360" w:lineRule="auto"/>
      <w:ind w:firstLine="200" w:firstLineChars="200"/>
      <w:textAlignment w:val="baseline"/>
      <w:outlineLvl w:val="3"/>
    </w:pPr>
    <w:rPr>
      <w:rFonts w:ascii="Arial" w:hAnsi="Times New Roman" w:eastAsia="黑体" w:cs="Times New Roman"/>
      <w:kern w:val="0"/>
      <w:sz w:val="28"/>
      <w:szCs w:val="20"/>
    </w:rPr>
  </w:style>
  <w:style w:type="paragraph" w:styleId="6">
    <w:name w:val="heading 5"/>
    <w:basedOn w:val="1"/>
    <w:next w:val="1"/>
    <w:link w:val="59"/>
    <w:autoRedefine/>
    <w:semiHidden/>
    <w:unhideWhenUsed/>
    <w:qFormat/>
    <w:uiPriority w:val="0"/>
    <w:pPr>
      <w:keepNext/>
      <w:keepLines/>
      <w:spacing w:before="280" w:after="290" w:line="376" w:lineRule="auto"/>
      <w:ind w:firstLine="922" w:firstLineChars="200"/>
      <w:outlineLvl w:val="4"/>
    </w:pPr>
    <w:rPr>
      <w:rFonts w:ascii="Times New Roman" w:hAnsi="Times New Roman" w:eastAsia="宋体" w:cs="Times New Roman"/>
      <w:b/>
      <w:bCs/>
      <w:sz w:val="28"/>
      <w:szCs w:val="28"/>
    </w:rPr>
  </w:style>
  <w:style w:type="paragraph" w:styleId="7">
    <w:name w:val="heading 6"/>
    <w:basedOn w:val="1"/>
    <w:next w:val="1"/>
    <w:link w:val="60"/>
    <w:autoRedefine/>
    <w:semiHidden/>
    <w:unhideWhenUsed/>
    <w:qFormat/>
    <w:uiPriority w:val="0"/>
    <w:pPr>
      <w:keepNext/>
      <w:keepLines/>
      <w:spacing w:before="240" w:after="64" w:line="320" w:lineRule="auto"/>
      <w:ind w:firstLine="922" w:firstLineChars="200"/>
      <w:outlineLvl w:val="5"/>
    </w:pPr>
    <w:rPr>
      <w:rFonts w:ascii="Cambria" w:hAnsi="Cambria" w:eastAsia="宋体" w:cs="Times New Roman"/>
      <w:b/>
      <w:bCs/>
      <w:sz w:val="24"/>
      <w:szCs w:val="24"/>
    </w:rPr>
  </w:style>
  <w:style w:type="paragraph" w:styleId="8">
    <w:name w:val="heading 7"/>
    <w:basedOn w:val="1"/>
    <w:next w:val="1"/>
    <w:link w:val="61"/>
    <w:autoRedefine/>
    <w:semiHidden/>
    <w:unhideWhenUsed/>
    <w:qFormat/>
    <w:uiPriority w:val="0"/>
    <w:pPr>
      <w:keepNext/>
      <w:keepLines/>
      <w:spacing w:before="240" w:after="64" w:line="320" w:lineRule="auto"/>
      <w:ind w:firstLine="922" w:firstLineChars="200"/>
      <w:outlineLvl w:val="6"/>
    </w:pPr>
    <w:rPr>
      <w:rFonts w:ascii="Times New Roman" w:hAnsi="Times New Roman" w:eastAsia="宋体" w:cs="Times New Roman"/>
      <w:b/>
      <w:bCs/>
      <w:sz w:val="24"/>
      <w:szCs w:val="24"/>
    </w:rPr>
  </w:style>
  <w:style w:type="paragraph" w:styleId="9">
    <w:name w:val="heading 8"/>
    <w:basedOn w:val="1"/>
    <w:next w:val="1"/>
    <w:link w:val="62"/>
    <w:autoRedefine/>
    <w:semiHidden/>
    <w:unhideWhenUsed/>
    <w:qFormat/>
    <w:uiPriority w:val="0"/>
    <w:pPr>
      <w:keepNext/>
      <w:keepLines/>
      <w:spacing w:before="240" w:after="64" w:line="320" w:lineRule="auto"/>
      <w:ind w:firstLine="922" w:firstLineChars="200"/>
      <w:outlineLvl w:val="7"/>
    </w:pPr>
    <w:rPr>
      <w:rFonts w:ascii="Cambria" w:hAnsi="Cambria" w:eastAsia="宋体" w:cs="Times New Roman"/>
      <w:sz w:val="24"/>
      <w:szCs w:val="24"/>
    </w:rPr>
  </w:style>
  <w:style w:type="paragraph" w:styleId="10">
    <w:name w:val="heading 9"/>
    <w:basedOn w:val="1"/>
    <w:next w:val="1"/>
    <w:link w:val="63"/>
    <w:autoRedefine/>
    <w:semiHidden/>
    <w:unhideWhenUsed/>
    <w:qFormat/>
    <w:uiPriority w:val="0"/>
    <w:pPr>
      <w:keepNext/>
      <w:keepLines/>
      <w:spacing w:before="240" w:after="64" w:line="320" w:lineRule="auto"/>
      <w:ind w:firstLine="922" w:firstLineChars="200"/>
      <w:outlineLvl w:val="8"/>
    </w:pPr>
    <w:rPr>
      <w:rFonts w:ascii="Cambria" w:hAnsi="Cambria" w:eastAsia="宋体" w:cs="Times New Roman"/>
      <w:szCs w:val="21"/>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11">
    <w:name w:val="Document Map"/>
    <w:basedOn w:val="1"/>
    <w:link w:val="73"/>
    <w:autoRedefine/>
    <w:semiHidden/>
    <w:unhideWhenUsed/>
    <w:qFormat/>
    <w:uiPriority w:val="99"/>
    <w:rPr>
      <w:rFonts w:ascii="宋体" w:eastAsia="宋体"/>
      <w:sz w:val="18"/>
      <w:szCs w:val="18"/>
    </w:rPr>
  </w:style>
  <w:style w:type="paragraph" w:styleId="12">
    <w:name w:val="annotation text"/>
    <w:basedOn w:val="1"/>
    <w:link w:val="65"/>
    <w:autoRedefine/>
    <w:qFormat/>
    <w:uiPriority w:val="0"/>
    <w:pPr>
      <w:spacing w:line="360" w:lineRule="auto"/>
      <w:ind w:firstLine="922" w:firstLineChars="200"/>
      <w:jc w:val="left"/>
    </w:pPr>
    <w:rPr>
      <w:rFonts w:ascii="Times New Roman" w:hAnsi="Times New Roman" w:eastAsia="宋体" w:cs="Times New Roman"/>
      <w:szCs w:val="24"/>
    </w:rPr>
  </w:style>
  <w:style w:type="paragraph" w:styleId="13">
    <w:name w:val="Body Text"/>
    <w:basedOn w:val="1"/>
    <w:next w:val="1"/>
    <w:autoRedefine/>
    <w:qFormat/>
    <w:uiPriority w:val="0"/>
    <w:rPr>
      <w:rFonts w:ascii="金山简黑体" w:hAnsi="Courier New" w:eastAsia="金山简黑体" w:cs="Times New Roman"/>
      <w:b/>
      <w:spacing w:val="-8"/>
      <w:sz w:val="44"/>
      <w:szCs w:val="20"/>
      <w:lang w:val="en-US" w:eastAsia="zh-CN" w:bidi="ar-SA"/>
    </w:rPr>
  </w:style>
  <w:style w:type="paragraph" w:styleId="14">
    <w:name w:val="toc 3"/>
    <w:basedOn w:val="1"/>
    <w:next w:val="1"/>
    <w:autoRedefine/>
    <w:unhideWhenUsed/>
    <w:qFormat/>
    <w:uiPriority w:val="39"/>
    <w:pPr>
      <w:spacing w:line="360" w:lineRule="auto"/>
      <w:ind w:left="420" w:firstLine="922" w:firstLineChars="200"/>
      <w:jc w:val="left"/>
    </w:pPr>
    <w:rPr>
      <w:rFonts w:ascii="Calibri" w:hAnsi="Calibri" w:eastAsia="宋体" w:cs="Times New Roman"/>
      <w:sz w:val="20"/>
      <w:szCs w:val="20"/>
    </w:rPr>
  </w:style>
  <w:style w:type="paragraph" w:styleId="15">
    <w:name w:val="Plain Text"/>
    <w:basedOn w:val="1"/>
    <w:link w:val="56"/>
    <w:autoRedefine/>
    <w:qFormat/>
    <w:uiPriority w:val="0"/>
    <w:pPr>
      <w:spacing w:line="360" w:lineRule="auto"/>
      <w:ind w:firstLine="922" w:firstLineChars="200"/>
    </w:pPr>
    <w:rPr>
      <w:rFonts w:ascii="宋体" w:hAnsi="Courier New"/>
    </w:rPr>
  </w:style>
  <w:style w:type="paragraph" w:styleId="16">
    <w:name w:val="Balloon Text"/>
    <w:basedOn w:val="1"/>
    <w:link w:val="66"/>
    <w:autoRedefine/>
    <w:semiHidden/>
    <w:qFormat/>
    <w:uiPriority w:val="0"/>
    <w:pPr>
      <w:ind w:firstLine="922" w:firstLineChars="200"/>
    </w:pPr>
    <w:rPr>
      <w:rFonts w:ascii="Times New Roman" w:hAnsi="Times New Roman" w:eastAsia="宋体" w:cs="Times New Roman"/>
      <w:sz w:val="18"/>
      <w:szCs w:val="18"/>
    </w:rPr>
  </w:style>
  <w:style w:type="paragraph" w:styleId="17">
    <w:name w:val="footer"/>
    <w:basedOn w:val="1"/>
    <w:autoRedefine/>
    <w:qFormat/>
    <w:uiPriority w:val="0"/>
    <w:pPr>
      <w:tabs>
        <w:tab w:val="center" w:pos="4153"/>
        <w:tab w:val="right" w:pos="8306"/>
      </w:tabs>
      <w:snapToGrid w:val="0"/>
      <w:jc w:val="left"/>
    </w:pPr>
    <w:rPr>
      <w:rFonts w:ascii="宋体" w:hAnsi="Courier New"/>
      <w:sz w:val="18"/>
      <w:szCs w:val="20"/>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lang w:val="en-US" w:eastAsia="zh-CN" w:bidi="ar-SA"/>
    </w:rPr>
  </w:style>
  <w:style w:type="paragraph" w:styleId="19">
    <w:name w:val="toc 1"/>
    <w:basedOn w:val="1"/>
    <w:next w:val="1"/>
    <w:autoRedefine/>
    <w:qFormat/>
    <w:uiPriority w:val="39"/>
    <w:pPr>
      <w:spacing w:before="120" w:line="360" w:lineRule="auto"/>
      <w:ind w:firstLine="922" w:firstLineChars="200"/>
      <w:jc w:val="left"/>
    </w:pPr>
    <w:rPr>
      <w:rFonts w:ascii="Calibri" w:hAnsi="Calibri" w:eastAsia="宋体" w:cs="Times New Roman"/>
      <w:b/>
      <w:bCs/>
      <w:i/>
      <w:iCs/>
      <w:sz w:val="24"/>
      <w:szCs w:val="24"/>
    </w:rPr>
  </w:style>
  <w:style w:type="paragraph" w:styleId="20">
    <w:name w:val="Subtitle"/>
    <w:basedOn w:val="1"/>
    <w:next w:val="1"/>
    <w:link w:val="55"/>
    <w:autoRedefine/>
    <w:qFormat/>
    <w:uiPriority w:val="0"/>
    <w:pPr>
      <w:spacing w:before="240" w:after="60" w:line="312" w:lineRule="auto"/>
      <w:ind w:firstLine="922" w:firstLineChars="200"/>
      <w:jc w:val="center"/>
      <w:outlineLvl w:val="1"/>
    </w:pPr>
    <w:rPr>
      <w:rFonts w:ascii="Cambria" w:hAnsi="Cambria"/>
      <w:b/>
      <w:bCs/>
      <w:kern w:val="28"/>
      <w:sz w:val="32"/>
      <w:szCs w:val="32"/>
    </w:rPr>
  </w:style>
  <w:style w:type="paragraph" w:styleId="21">
    <w:name w:val="toc 2"/>
    <w:basedOn w:val="1"/>
    <w:next w:val="1"/>
    <w:autoRedefine/>
    <w:unhideWhenUsed/>
    <w:qFormat/>
    <w:uiPriority w:val="39"/>
    <w:pPr>
      <w:spacing w:before="120" w:line="360" w:lineRule="auto"/>
      <w:ind w:left="210" w:firstLine="922" w:firstLineChars="200"/>
      <w:jc w:val="left"/>
    </w:pPr>
    <w:rPr>
      <w:rFonts w:ascii="Calibri" w:hAnsi="Calibri" w:eastAsia="宋体" w:cs="Times New Roman"/>
      <w:b/>
      <w:bCs/>
      <w:sz w:val="22"/>
    </w:rPr>
  </w:style>
  <w:style w:type="paragraph" w:styleId="22">
    <w:name w:val="HTML Preformatted"/>
    <w:basedOn w:val="1"/>
    <w:link w:val="6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22" w:firstLineChars="200"/>
      <w:jc w:val="left"/>
    </w:pPr>
    <w:rPr>
      <w:rFonts w:ascii="宋体" w:hAnsi="宋体" w:cs="宋体"/>
      <w:sz w:val="24"/>
      <w:szCs w:val="24"/>
    </w:rPr>
  </w:style>
  <w:style w:type="paragraph" w:styleId="23">
    <w:name w:val="Normal (Web)"/>
    <w:basedOn w:val="1"/>
    <w:autoRedefine/>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24">
    <w:name w:val="index 1"/>
    <w:basedOn w:val="1"/>
    <w:next w:val="1"/>
    <w:autoRedefine/>
    <w:qFormat/>
    <w:uiPriority w:val="0"/>
    <w:pPr>
      <w:spacing w:line="360" w:lineRule="auto"/>
      <w:ind w:firstLine="200" w:firstLineChars="200"/>
    </w:pPr>
    <w:rPr>
      <w:rFonts w:ascii="Times New Roman" w:hAnsi="Times New Roman" w:eastAsia="宋体" w:cs="Times New Roman"/>
      <w:szCs w:val="24"/>
    </w:rPr>
  </w:style>
  <w:style w:type="paragraph" w:styleId="25">
    <w:name w:val="annotation subject"/>
    <w:basedOn w:val="12"/>
    <w:next w:val="12"/>
    <w:link w:val="72"/>
    <w:autoRedefine/>
    <w:semiHidden/>
    <w:unhideWhenUsed/>
    <w:qFormat/>
    <w:uiPriority w:val="99"/>
    <w:pPr>
      <w:spacing w:line="240" w:lineRule="auto"/>
      <w:ind w:firstLine="0" w:firstLineChars="0"/>
    </w:pPr>
    <w:rPr>
      <w:rFonts w:asciiTheme="minorHAnsi" w:hAnsiTheme="minorHAnsi" w:eastAsiaTheme="minorEastAsia" w:cstheme="minorBidi"/>
      <w:b/>
      <w:bCs/>
      <w:szCs w:val="22"/>
    </w:rPr>
  </w:style>
  <w:style w:type="paragraph" w:styleId="26">
    <w:name w:val="Body Text First Indent"/>
    <w:basedOn w:val="13"/>
    <w:autoRedefine/>
    <w:qFormat/>
    <w:uiPriority w:val="0"/>
    <w:pPr>
      <w:ind w:firstLine="420" w:firstLineChars="100"/>
    </w:pPr>
    <w:rPr>
      <w:kern w:val="0"/>
      <w:sz w:val="24"/>
    </w:r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bCs/>
    </w:rPr>
  </w:style>
  <w:style w:type="character" w:styleId="31">
    <w:name w:val="page number"/>
    <w:autoRedefine/>
    <w:qFormat/>
    <w:uiPriority w:val="0"/>
    <w:rPr>
      <w:rFonts w:ascii="Times New Roman" w:hAnsi="Times New Roman" w:eastAsia="宋体" w:cs="Times New Roman"/>
      <w:lang w:val="en-US" w:eastAsia="zh-CN" w:bidi="ar-SA"/>
    </w:rPr>
  </w:style>
  <w:style w:type="character" w:styleId="32">
    <w:name w:val="FollowedHyperlink"/>
    <w:basedOn w:val="29"/>
    <w:autoRedefine/>
    <w:semiHidden/>
    <w:unhideWhenUsed/>
    <w:qFormat/>
    <w:uiPriority w:val="99"/>
    <w:rPr>
      <w:color w:val="800080"/>
      <w:u w:val="none"/>
    </w:rPr>
  </w:style>
  <w:style w:type="character" w:styleId="33">
    <w:name w:val="Emphasis"/>
    <w:basedOn w:val="29"/>
    <w:autoRedefine/>
    <w:qFormat/>
    <w:uiPriority w:val="20"/>
    <w:rPr>
      <w:b/>
      <w:bCs/>
    </w:rPr>
  </w:style>
  <w:style w:type="character" w:styleId="34">
    <w:name w:val="HTML Definition"/>
    <w:basedOn w:val="29"/>
    <w:autoRedefine/>
    <w:semiHidden/>
    <w:unhideWhenUsed/>
    <w:qFormat/>
    <w:uiPriority w:val="99"/>
  </w:style>
  <w:style w:type="character" w:styleId="35">
    <w:name w:val="HTML Typewriter"/>
    <w:basedOn w:val="29"/>
    <w:autoRedefine/>
    <w:semiHidden/>
    <w:unhideWhenUsed/>
    <w:qFormat/>
    <w:uiPriority w:val="99"/>
    <w:rPr>
      <w:rFonts w:hint="default" w:ascii="monospace" w:hAnsi="monospace" w:eastAsia="monospace" w:cs="monospace"/>
      <w:sz w:val="20"/>
    </w:rPr>
  </w:style>
  <w:style w:type="character" w:styleId="36">
    <w:name w:val="HTML Acronym"/>
    <w:basedOn w:val="29"/>
    <w:autoRedefine/>
    <w:semiHidden/>
    <w:unhideWhenUsed/>
    <w:qFormat/>
    <w:uiPriority w:val="99"/>
  </w:style>
  <w:style w:type="character" w:styleId="37">
    <w:name w:val="HTML Variable"/>
    <w:basedOn w:val="29"/>
    <w:autoRedefine/>
    <w:semiHidden/>
    <w:unhideWhenUsed/>
    <w:qFormat/>
    <w:uiPriority w:val="99"/>
  </w:style>
  <w:style w:type="character" w:styleId="38">
    <w:name w:val="Hyperlink"/>
    <w:basedOn w:val="29"/>
    <w:autoRedefine/>
    <w:semiHidden/>
    <w:unhideWhenUsed/>
    <w:qFormat/>
    <w:uiPriority w:val="99"/>
    <w:rPr>
      <w:color w:val="0000FF"/>
      <w:u w:val="none"/>
    </w:rPr>
  </w:style>
  <w:style w:type="character" w:styleId="39">
    <w:name w:val="HTML Code"/>
    <w:basedOn w:val="29"/>
    <w:autoRedefine/>
    <w:semiHidden/>
    <w:unhideWhenUsed/>
    <w:qFormat/>
    <w:uiPriority w:val="99"/>
    <w:rPr>
      <w:rFonts w:ascii="monospace" w:hAnsi="monospace" w:eastAsia="monospace" w:cs="monospace"/>
      <w:sz w:val="20"/>
    </w:rPr>
  </w:style>
  <w:style w:type="character" w:styleId="40">
    <w:name w:val="annotation reference"/>
    <w:autoRedefine/>
    <w:qFormat/>
    <w:uiPriority w:val="0"/>
    <w:rPr>
      <w:sz w:val="21"/>
      <w:szCs w:val="21"/>
    </w:rPr>
  </w:style>
  <w:style w:type="character" w:styleId="41">
    <w:name w:val="HTML Cite"/>
    <w:basedOn w:val="29"/>
    <w:autoRedefine/>
    <w:semiHidden/>
    <w:unhideWhenUsed/>
    <w:qFormat/>
    <w:uiPriority w:val="99"/>
  </w:style>
  <w:style w:type="character" w:styleId="42">
    <w:name w:val="HTML Keyboard"/>
    <w:basedOn w:val="29"/>
    <w:autoRedefine/>
    <w:semiHidden/>
    <w:unhideWhenUsed/>
    <w:qFormat/>
    <w:uiPriority w:val="99"/>
    <w:rPr>
      <w:rFonts w:hint="default" w:ascii="monospace" w:hAnsi="monospace" w:eastAsia="monospace" w:cs="monospace"/>
      <w:sz w:val="20"/>
    </w:rPr>
  </w:style>
  <w:style w:type="character" w:styleId="43">
    <w:name w:val="HTML Sample"/>
    <w:basedOn w:val="29"/>
    <w:autoRedefine/>
    <w:semiHidden/>
    <w:unhideWhenUsed/>
    <w:qFormat/>
    <w:uiPriority w:val="99"/>
    <w:rPr>
      <w:rFonts w:hint="default" w:ascii="monospace" w:hAnsi="monospace" w:eastAsia="monospace" w:cs="monospace"/>
    </w:rPr>
  </w:style>
  <w:style w:type="paragraph" w:customStyle="1" w:styleId="44">
    <w:name w:val="Default"/>
    <w:link w:val="64"/>
    <w:autoRedefine/>
    <w:qFormat/>
    <w:uiPriority w:val="99"/>
    <w:pPr>
      <w:widowControl w:val="0"/>
      <w:autoSpaceDE w:val="0"/>
      <w:autoSpaceDN w:val="0"/>
      <w:adjustRightInd w:val="0"/>
    </w:pPr>
    <w:rPr>
      <w:rFonts w:ascii="MS Mincho" w:hAnsi="Calibri" w:eastAsia="宋体" w:cs="Times New Roman"/>
      <w:color w:val="000000"/>
      <w:kern w:val="2"/>
      <w:sz w:val="21"/>
      <w:szCs w:val="24"/>
      <w:lang w:val="en-US" w:eastAsia="zh-CN" w:bidi="ar-SA"/>
    </w:rPr>
  </w:style>
  <w:style w:type="paragraph" w:customStyle="1" w:styleId="45">
    <w:name w:val="BodyText1I"/>
    <w:basedOn w:val="46"/>
    <w:next w:val="1"/>
    <w:autoRedefine/>
    <w:qFormat/>
    <w:uiPriority w:val="0"/>
    <w:pPr>
      <w:spacing w:before="100" w:beforeAutospacing="1" w:after="120"/>
      <w:ind w:firstLine="420" w:firstLineChars="100"/>
    </w:pPr>
    <w:rPr>
      <w:sz w:val="24"/>
      <w:szCs w:val="24"/>
    </w:rPr>
  </w:style>
  <w:style w:type="paragraph" w:customStyle="1" w:styleId="46">
    <w:name w:val="BodyText"/>
    <w:basedOn w:val="1"/>
    <w:autoRedefine/>
    <w:qFormat/>
    <w:uiPriority w:val="0"/>
    <w:rPr>
      <w:sz w:val="32"/>
    </w:rPr>
  </w:style>
  <w:style w:type="paragraph" w:customStyle="1" w:styleId="47">
    <w:name w:val="正文_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Char"/>
    <w:basedOn w:val="1"/>
    <w:autoRedefine/>
    <w:qFormat/>
    <w:uiPriority w:val="0"/>
    <w:pPr>
      <w:widowControl/>
      <w:spacing w:after="160" w:line="240" w:lineRule="exact"/>
      <w:ind w:firstLine="922" w:firstLineChars="200"/>
      <w:jc w:val="left"/>
    </w:pPr>
    <w:rPr>
      <w:rFonts w:ascii="Arial" w:hAnsi="Arial" w:eastAsia="Times New Roman" w:cs="Verdana"/>
      <w:b/>
      <w:kern w:val="0"/>
      <w:sz w:val="24"/>
      <w:szCs w:val="20"/>
      <w:lang w:eastAsia="en-US"/>
    </w:rPr>
  </w:style>
  <w:style w:type="paragraph" w:customStyle="1" w:styleId="49">
    <w:name w:val="1"/>
    <w:basedOn w:val="1"/>
    <w:link w:val="50"/>
    <w:autoRedefine/>
    <w:qFormat/>
    <w:uiPriority w:val="0"/>
    <w:pPr>
      <w:spacing w:line="360" w:lineRule="auto"/>
      <w:jc w:val="left"/>
    </w:pPr>
    <w:rPr>
      <w:szCs w:val="24"/>
    </w:rPr>
  </w:style>
  <w:style w:type="character" w:customStyle="1" w:styleId="50">
    <w:name w:val="1 Char"/>
    <w:link w:val="49"/>
    <w:autoRedefine/>
    <w:qFormat/>
    <w:uiPriority w:val="0"/>
    <w:rPr>
      <w:szCs w:val="24"/>
    </w:rPr>
  </w:style>
  <w:style w:type="character" w:customStyle="1" w:styleId="51">
    <w:name w:val="标题 1 Char"/>
    <w:basedOn w:val="29"/>
    <w:link w:val="2"/>
    <w:autoRedefine/>
    <w:qFormat/>
    <w:uiPriority w:val="0"/>
    <w:rPr>
      <w:rFonts w:ascii="Times New Roman" w:hAnsi="Times New Roman" w:eastAsia="黑体" w:cs="Times New Roman"/>
      <w:b/>
      <w:kern w:val="44"/>
      <w:sz w:val="36"/>
      <w:szCs w:val="20"/>
    </w:rPr>
  </w:style>
  <w:style w:type="character" w:customStyle="1" w:styleId="52">
    <w:name w:val="标题 2 Char"/>
    <w:basedOn w:val="29"/>
    <w:link w:val="3"/>
    <w:autoRedefine/>
    <w:qFormat/>
    <w:uiPriority w:val="0"/>
    <w:rPr>
      <w:rFonts w:ascii="Times New Roman" w:hAnsi="Times New Roman" w:eastAsia="黑体" w:cs="Times New Roman"/>
      <w:b/>
      <w:kern w:val="0"/>
      <w:sz w:val="28"/>
      <w:szCs w:val="20"/>
    </w:rPr>
  </w:style>
  <w:style w:type="character" w:customStyle="1" w:styleId="53">
    <w:name w:val="标题 3 Char"/>
    <w:basedOn w:val="29"/>
    <w:link w:val="4"/>
    <w:autoRedefine/>
    <w:qFormat/>
    <w:uiPriority w:val="0"/>
    <w:rPr>
      <w:rFonts w:ascii="Times New Roman" w:hAnsi="Times New Roman" w:eastAsia="黑体" w:cs="Times New Roman"/>
      <w:b/>
      <w:kern w:val="0"/>
      <w:sz w:val="28"/>
      <w:szCs w:val="20"/>
    </w:rPr>
  </w:style>
  <w:style w:type="character" w:customStyle="1" w:styleId="54">
    <w:name w:val="标题 4 Char"/>
    <w:basedOn w:val="29"/>
    <w:link w:val="5"/>
    <w:autoRedefine/>
    <w:qFormat/>
    <w:uiPriority w:val="0"/>
    <w:rPr>
      <w:rFonts w:ascii="Arial" w:hAnsi="Times New Roman" w:eastAsia="黑体" w:cs="Times New Roman"/>
      <w:kern w:val="0"/>
      <w:sz w:val="28"/>
      <w:szCs w:val="20"/>
    </w:rPr>
  </w:style>
  <w:style w:type="character" w:customStyle="1" w:styleId="55">
    <w:name w:val="副标题 Char"/>
    <w:link w:val="20"/>
    <w:autoRedefine/>
    <w:qFormat/>
    <w:uiPriority w:val="0"/>
    <w:rPr>
      <w:rFonts w:ascii="Cambria" w:hAnsi="Cambria"/>
      <w:b/>
      <w:bCs/>
      <w:kern w:val="28"/>
      <w:sz w:val="32"/>
      <w:szCs w:val="32"/>
    </w:rPr>
  </w:style>
  <w:style w:type="character" w:customStyle="1" w:styleId="56">
    <w:name w:val="纯文本 Char"/>
    <w:link w:val="15"/>
    <w:autoRedefine/>
    <w:qFormat/>
    <w:uiPriority w:val="0"/>
    <w:rPr>
      <w:rFonts w:ascii="宋体" w:hAnsi="Courier New"/>
    </w:rPr>
  </w:style>
  <w:style w:type="paragraph" w:styleId="57">
    <w:name w:val="List Paragraph"/>
    <w:basedOn w:val="1"/>
    <w:autoRedefine/>
    <w:qFormat/>
    <w:uiPriority w:val="0"/>
    <w:pPr>
      <w:spacing w:line="360" w:lineRule="auto"/>
      <w:ind w:firstLine="420" w:firstLineChars="200"/>
    </w:pPr>
    <w:rPr>
      <w:rFonts w:ascii="Times New Roman" w:hAnsi="Times New Roman" w:eastAsia="宋体" w:cs="Times New Roman"/>
      <w:szCs w:val="24"/>
    </w:rPr>
  </w:style>
  <w:style w:type="paragraph" w:customStyle="1" w:styleId="58">
    <w:name w:val="TOC Heading"/>
    <w:basedOn w:val="2"/>
    <w:next w:val="1"/>
    <w:autoRedefine/>
    <w:qFormat/>
    <w:uiPriority w:val="39"/>
    <w:pPr>
      <w:widowControl/>
      <w:numPr>
        <w:numId w:val="0"/>
      </w:numPr>
      <w:adjustRightInd/>
      <w:spacing w:before="480" w:line="276" w:lineRule="auto"/>
      <w:jc w:val="left"/>
      <w:textAlignment w:val="auto"/>
      <w:outlineLvl w:val="9"/>
    </w:pPr>
    <w:rPr>
      <w:rFonts w:ascii="Cambria" w:hAnsi="Cambria" w:eastAsia="宋体"/>
      <w:bCs/>
      <w:color w:val="365F91"/>
      <w:kern w:val="0"/>
      <w:szCs w:val="28"/>
    </w:rPr>
  </w:style>
  <w:style w:type="character" w:customStyle="1" w:styleId="59">
    <w:name w:val="标题 5 Char"/>
    <w:basedOn w:val="29"/>
    <w:link w:val="6"/>
    <w:autoRedefine/>
    <w:semiHidden/>
    <w:qFormat/>
    <w:uiPriority w:val="0"/>
    <w:rPr>
      <w:rFonts w:ascii="Times New Roman" w:hAnsi="Times New Roman" w:eastAsia="宋体" w:cs="Times New Roman"/>
      <w:b/>
      <w:bCs/>
      <w:sz w:val="28"/>
      <w:szCs w:val="28"/>
    </w:rPr>
  </w:style>
  <w:style w:type="character" w:customStyle="1" w:styleId="60">
    <w:name w:val="标题 6 Char"/>
    <w:basedOn w:val="29"/>
    <w:link w:val="7"/>
    <w:autoRedefine/>
    <w:semiHidden/>
    <w:qFormat/>
    <w:uiPriority w:val="0"/>
    <w:rPr>
      <w:rFonts w:ascii="Cambria" w:hAnsi="Cambria" w:eastAsia="宋体" w:cs="Times New Roman"/>
      <w:b/>
      <w:bCs/>
      <w:sz w:val="24"/>
      <w:szCs w:val="24"/>
    </w:rPr>
  </w:style>
  <w:style w:type="character" w:customStyle="1" w:styleId="61">
    <w:name w:val="标题 7 Char"/>
    <w:basedOn w:val="29"/>
    <w:link w:val="8"/>
    <w:autoRedefine/>
    <w:semiHidden/>
    <w:qFormat/>
    <w:uiPriority w:val="0"/>
    <w:rPr>
      <w:rFonts w:ascii="Times New Roman" w:hAnsi="Times New Roman" w:eastAsia="宋体" w:cs="Times New Roman"/>
      <w:b/>
      <w:bCs/>
      <w:sz w:val="24"/>
      <w:szCs w:val="24"/>
    </w:rPr>
  </w:style>
  <w:style w:type="character" w:customStyle="1" w:styleId="62">
    <w:name w:val="标题 8 Char"/>
    <w:basedOn w:val="29"/>
    <w:link w:val="9"/>
    <w:autoRedefine/>
    <w:semiHidden/>
    <w:qFormat/>
    <w:uiPriority w:val="0"/>
    <w:rPr>
      <w:rFonts w:ascii="Cambria" w:hAnsi="Cambria" w:eastAsia="宋体" w:cs="Times New Roman"/>
      <w:sz w:val="24"/>
      <w:szCs w:val="24"/>
    </w:rPr>
  </w:style>
  <w:style w:type="character" w:customStyle="1" w:styleId="63">
    <w:name w:val="标题 9 Char"/>
    <w:basedOn w:val="29"/>
    <w:link w:val="10"/>
    <w:autoRedefine/>
    <w:semiHidden/>
    <w:qFormat/>
    <w:uiPriority w:val="0"/>
    <w:rPr>
      <w:rFonts w:ascii="Cambria" w:hAnsi="Cambria" w:eastAsia="宋体" w:cs="Times New Roman"/>
      <w:szCs w:val="21"/>
    </w:rPr>
  </w:style>
  <w:style w:type="character" w:customStyle="1" w:styleId="64">
    <w:name w:val="Default Char"/>
    <w:link w:val="44"/>
    <w:autoRedefine/>
    <w:qFormat/>
    <w:locked/>
    <w:uiPriority w:val="99"/>
    <w:rPr>
      <w:rFonts w:ascii="MS Mincho" w:hAnsi="Calibri" w:eastAsia="宋体" w:cs="Times New Roman"/>
      <w:color w:val="000000"/>
      <w:szCs w:val="24"/>
    </w:rPr>
  </w:style>
  <w:style w:type="character" w:customStyle="1" w:styleId="65">
    <w:name w:val="批注文字 Char"/>
    <w:basedOn w:val="29"/>
    <w:link w:val="12"/>
    <w:autoRedefine/>
    <w:qFormat/>
    <w:uiPriority w:val="0"/>
    <w:rPr>
      <w:rFonts w:ascii="Times New Roman" w:hAnsi="Times New Roman" w:eastAsia="宋体" w:cs="Times New Roman"/>
      <w:szCs w:val="24"/>
    </w:rPr>
  </w:style>
  <w:style w:type="character" w:customStyle="1" w:styleId="66">
    <w:name w:val="批注框文本 Char"/>
    <w:basedOn w:val="29"/>
    <w:link w:val="16"/>
    <w:autoRedefine/>
    <w:semiHidden/>
    <w:qFormat/>
    <w:uiPriority w:val="0"/>
    <w:rPr>
      <w:rFonts w:ascii="Times New Roman" w:hAnsi="Times New Roman" w:eastAsia="宋体" w:cs="Times New Roman"/>
      <w:sz w:val="18"/>
      <w:szCs w:val="18"/>
    </w:rPr>
  </w:style>
  <w:style w:type="character" w:customStyle="1" w:styleId="67">
    <w:name w:val="HTML 预设格式 Char"/>
    <w:link w:val="22"/>
    <w:autoRedefine/>
    <w:qFormat/>
    <w:uiPriority w:val="0"/>
    <w:rPr>
      <w:rFonts w:ascii="宋体" w:hAnsi="宋体" w:cs="宋体"/>
      <w:sz w:val="24"/>
      <w:szCs w:val="24"/>
    </w:rPr>
  </w:style>
  <w:style w:type="character" w:customStyle="1" w:styleId="68">
    <w:name w:val="HTML 预设格式 Char1"/>
    <w:basedOn w:val="29"/>
    <w:autoRedefine/>
    <w:semiHidden/>
    <w:qFormat/>
    <w:uiPriority w:val="99"/>
    <w:rPr>
      <w:rFonts w:ascii="Courier New" w:hAnsi="Courier New" w:cs="Courier New"/>
      <w:sz w:val="20"/>
      <w:szCs w:val="20"/>
    </w:rPr>
  </w:style>
  <w:style w:type="character" w:customStyle="1" w:styleId="69">
    <w:name w:val="普通正文 Char"/>
    <w:link w:val="70"/>
    <w:autoRedefine/>
    <w:qFormat/>
    <w:uiPriority w:val="0"/>
    <w:rPr>
      <w:rFonts w:ascii="Arial" w:hAnsi="Arial"/>
      <w:sz w:val="24"/>
      <w:szCs w:val="24"/>
    </w:rPr>
  </w:style>
  <w:style w:type="paragraph" w:customStyle="1" w:styleId="70">
    <w:name w:val="普通正文"/>
    <w:basedOn w:val="1"/>
    <w:link w:val="69"/>
    <w:autoRedefine/>
    <w:qFormat/>
    <w:uiPriority w:val="0"/>
    <w:pPr>
      <w:adjustRightInd w:val="0"/>
      <w:spacing w:before="120" w:after="120" w:line="360" w:lineRule="auto"/>
      <w:ind w:firstLine="480" w:firstLineChars="200"/>
      <w:jc w:val="left"/>
      <w:textAlignment w:val="baseline"/>
    </w:pPr>
    <w:rPr>
      <w:rFonts w:ascii="Arial" w:hAnsi="Arial"/>
      <w:sz w:val="24"/>
      <w:szCs w:val="24"/>
    </w:rPr>
  </w:style>
  <w:style w:type="paragraph" w:customStyle="1" w:styleId="71">
    <w:name w:val="Char1"/>
    <w:basedOn w:val="1"/>
    <w:autoRedefine/>
    <w:qFormat/>
    <w:uiPriority w:val="0"/>
    <w:pPr>
      <w:tabs>
        <w:tab w:val="left" w:pos="360"/>
      </w:tabs>
      <w:spacing w:line="360" w:lineRule="auto"/>
      <w:ind w:firstLine="922" w:firstLineChars="200"/>
    </w:pPr>
    <w:rPr>
      <w:rFonts w:ascii="Times New Roman" w:hAnsi="Times New Roman" w:eastAsia="宋体" w:cs="Times New Roman"/>
      <w:sz w:val="24"/>
      <w:szCs w:val="24"/>
    </w:rPr>
  </w:style>
  <w:style w:type="character" w:customStyle="1" w:styleId="72">
    <w:name w:val="批注主题 Char"/>
    <w:basedOn w:val="65"/>
    <w:link w:val="25"/>
    <w:autoRedefine/>
    <w:semiHidden/>
    <w:qFormat/>
    <w:uiPriority w:val="99"/>
    <w:rPr>
      <w:rFonts w:ascii="Times New Roman" w:hAnsi="Times New Roman" w:eastAsia="宋体" w:cs="Times New Roman"/>
      <w:b/>
      <w:bCs/>
      <w:szCs w:val="24"/>
    </w:rPr>
  </w:style>
  <w:style w:type="character" w:customStyle="1" w:styleId="73">
    <w:name w:val="文档结构图 Char"/>
    <w:basedOn w:val="29"/>
    <w:link w:val="11"/>
    <w:autoRedefine/>
    <w:semiHidden/>
    <w:qFormat/>
    <w:uiPriority w:val="99"/>
    <w:rPr>
      <w:rFonts w:ascii="宋体" w:eastAsia="宋体"/>
      <w:sz w:val="18"/>
      <w:szCs w:val="18"/>
    </w:rPr>
  </w:style>
  <w:style w:type="paragraph" w:customStyle="1" w:styleId="74">
    <w:name w:val="_Style 2"/>
    <w:basedOn w:val="1"/>
    <w:autoRedefine/>
    <w:qFormat/>
    <w:uiPriority w:val="0"/>
    <w:pPr>
      <w:ind w:firstLine="420" w:firstLineChars="200"/>
    </w:pPr>
    <w:rPr>
      <w:rFonts w:ascii="Calibri" w:hAnsi="Calibri"/>
    </w:rPr>
  </w:style>
  <w:style w:type="paragraph" w:customStyle="1" w:styleId="75">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76">
    <w:name w:val="文本块11"/>
    <w:basedOn w:val="1"/>
    <w:autoRedefine/>
    <w:unhideWhenUsed/>
    <w:qFormat/>
    <w:uiPriority w:val="0"/>
    <w:pPr>
      <w:ind w:left="256" w:right="6" w:firstLine="624"/>
    </w:pPr>
    <w:rPr>
      <w:rFonts w:eastAsia="仿宋_GB2312"/>
      <w:sz w:val="28"/>
      <w:szCs w:val="20"/>
    </w:rPr>
  </w:style>
  <w:style w:type="paragraph" w:customStyle="1" w:styleId="77">
    <w:name w:val="正文1"/>
    <w:basedOn w:val="78"/>
    <w:next w:val="82"/>
    <w:autoRedefine/>
    <w:qFormat/>
    <w:uiPriority w:val="0"/>
    <w:rPr>
      <w:rFonts w:ascii="Times New Roman" w:hAnsi="Times New Roman" w:eastAsia="宋体" w:cs="Times New Roman"/>
    </w:rPr>
  </w:style>
  <w:style w:type="paragraph" w:customStyle="1" w:styleId="78">
    <w:name w:val="正文111"/>
    <w:next w:val="79"/>
    <w:autoRedefine/>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79">
    <w:name w:val="目录 111"/>
    <w:basedOn w:val="80"/>
    <w:next w:val="78"/>
    <w:autoRedefine/>
    <w:qFormat/>
    <w:uiPriority w:val="0"/>
    <w:pPr>
      <w:spacing w:after="57"/>
    </w:pPr>
  </w:style>
  <w:style w:type="paragraph" w:customStyle="1" w:styleId="80">
    <w:name w:val="正文12"/>
    <w:next w:val="81"/>
    <w:autoRedefine/>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81">
    <w:name w:val="正文文本11"/>
    <w:basedOn w:val="80"/>
    <w:next w:val="80"/>
    <w:autoRedefine/>
    <w:qFormat/>
    <w:uiPriority w:val="0"/>
    <w:pPr>
      <w:spacing w:before="102"/>
      <w:ind w:left="100"/>
      <w:jc w:val="both"/>
    </w:pPr>
    <w:rPr>
      <w:rFonts w:ascii="仿宋" w:hAnsi="仿宋" w:eastAsia="仿宋"/>
      <w:sz w:val="28"/>
      <w:szCs w:val="28"/>
      <w:lang w:val="zh-CN" w:eastAsia="zh-CN"/>
    </w:rPr>
  </w:style>
  <w:style w:type="paragraph" w:customStyle="1" w:styleId="82">
    <w:name w:val="脚注文本1"/>
    <w:basedOn w:val="78"/>
    <w:next w:val="83"/>
    <w:autoRedefine/>
    <w:qFormat/>
    <w:uiPriority w:val="0"/>
    <w:pPr>
      <w:jc w:val="left"/>
    </w:pPr>
    <w:rPr>
      <w:rFonts w:ascii="宋体" w:eastAsia="Times New Roman"/>
      <w:sz w:val="18"/>
      <w:szCs w:val="18"/>
    </w:rPr>
  </w:style>
  <w:style w:type="paragraph" w:customStyle="1" w:styleId="83">
    <w:name w:val="索引 51"/>
    <w:basedOn w:val="78"/>
    <w:next w:val="77"/>
    <w:autoRedefine/>
    <w:qFormat/>
    <w:uiPriority w:val="0"/>
    <w:pPr>
      <w:ind w:left="798"/>
      <w:jc w:val="left"/>
    </w:pPr>
    <w:rPr>
      <w:rFonts w:ascii="Calibri" w:hAnsi="Calibri"/>
    </w:rPr>
  </w:style>
  <w:style w:type="paragraph" w:customStyle="1" w:styleId="84">
    <w:name w:val="目录 211"/>
    <w:basedOn w:val="1"/>
    <w:next w:val="1"/>
    <w:autoRedefine/>
    <w:semiHidden/>
    <w:qFormat/>
    <w:uiPriority w:val="0"/>
    <w:pPr>
      <w:ind w:left="210"/>
      <w:jc w:val="left"/>
    </w:pPr>
    <w:rPr>
      <w:rFonts w:ascii="Times New Roman" w:hAnsi="Times New Roman" w:eastAsia="宋体" w:cs="Times New Roman"/>
      <w:smallCaps/>
      <w:szCs w:val="24"/>
    </w:rPr>
  </w:style>
  <w:style w:type="paragraph" w:customStyle="1" w:styleId="85">
    <w:name w:val="正文首行缩进1"/>
    <w:basedOn w:val="86"/>
    <w:autoRedefine/>
    <w:qFormat/>
    <w:uiPriority w:val="0"/>
    <w:pPr>
      <w:spacing w:line="360" w:lineRule="auto"/>
      <w:ind w:firstLine="200"/>
    </w:pPr>
    <w:rPr>
      <w:rFonts w:ascii="仿宋_GB2312" w:hAnsi="Times New Roman" w:eastAsia="仿宋_GB2312"/>
      <w:sz w:val="30"/>
      <w:szCs w:val="30"/>
    </w:rPr>
  </w:style>
  <w:style w:type="paragraph" w:customStyle="1" w:styleId="86">
    <w:name w:val="正文文本1"/>
    <w:basedOn w:val="1"/>
    <w:next w:val="1"/>
    <w:autoRedefine/>
    <w:qFormat/>
    <w:uiPriority w:val="0"/>
    <w:rPr>
      <w:rFonts w:ascii="楷体_GB2312" w:hAnsi="Arial" w:eastAsia="楷体_GB2312"/>
      <w:sz w:val="28"/>
      <w:szCs w:val="28"/>
    </w:rPr>
  </w:style>
  <w:style w:type="paragraph" w:customStyle="1" w:styleId="87">
    <w:name w:val="页脚1"/>
    <w:basedOn w:val="1"/>
    <w:autoRedefine/>
    <w:qFormat/>
    <w:uiPriority w:val="0"/>
    <w:pPr>
      <w:tabs>
        <w:tab w:val="center" w:pos="4153"/>
        <w:tab w:val="right" w:pos="8306"/>
      </w:tabs>
      <w:jc w:val="left"/>
    </w:pPr>
    <w:rPr>
      <w:rFonts w:ascii="Times New Roman" w:hAnsi="Times New Roman"/>
      <w:sz w:val="18"/>
      <w:szCs w:val="18"/>
    </w:rPr>
  </w:style>
  <w:style w:type="paragraph" w:customStyle="1" w:styleId="88">
    <w:name w:val="Table Text"/>
    <w:basedOn w:val="1"/>
    <w:autoRedefine/>
    <w:semiHidden/>
    <w:qFormat/>
    <w:uiPriority w:val="0"/>
    <w:rPr>
      <w:rFonts w:ascii="宋体" w:hAnsi="宋体" w:eastAsia="宋体" w:cs="宋体"/>
      <w:sz w:val="20"/>
      <w:szCs w:val="20"/>
      <w:lang w:eastAsia="en-US"/>
    </w:rPr>
  </w:style>
  <w:style w:type="table" w:customStyle="1" w:styleId="89">
    <w:name w:val="Table Normal"/>
    <w:autoRedefine/>
    <w:semiHidden/>
    <w:unhideWhenUsed/>
    <w:qFormat/>
    <w:uiPriority w:val="0"/>
    <w:tblPr>
      <w:tblCellMar>
        <w:top w:w="0" w:type="dxa"/>
        <w:left w:w="0" w:type="dxa"/>
        <w:bottom w:w="0" w:type="dxa"/>
        <w:right w:w="0" w:type="dxa"/>
      </w:tblCellMar>
    </w:tblPr>
  </w:style>
  <w:style w:type="paragraph" w:customStyle="1" w:styleId="90">
    <w:name w:val="页眉1"/>
    <w:basedOn w:val="1"/>
    <w:autoRedefine/>
    <w:qFormat/>
    <w:uiPriority w:val="0"/>
    <w:pPr>
      <w:pBdr>
        <w:bottom w:val="single" w:color="000000" w:sz="6" w:space="1"/>
      </w:pBdr>
      <w:tabs>
        <w:tab w:val="center" w:pos="4153"/>
        <w:tab w:val="right" w:pos="8306"/>
      </w:tabs>
      <w:jc w:val="center"/>
    </w:pPr>
    <w:rPr>
      <w:sz w:val="18"/>
      <w:szCs w:val="18"/>
    </w:rPr>
  </w:style>
  <w:style w:type="character" w:customStyle="1" w:styleId="91">
    <w:name w:val="页码1"/>
    <w:link w:val="1"/>
    <w:autoRedefine/>
    <w:qFormat/>
    <w:uiPriority w:val="0"/>
    <w:rPr>
      <w:rFonts w:asciiTheme="minorHAnsi" w:hAnsiTheme="minorHAnsi" w:eastAsiaTheme="minorEastAsia" w:cstheme="minorBidi"/>
      <w:kern w:val="2"/>
      <w:sz w:val="21"/>
      <w:szCs w:val="22"/>
      <w:lang w:val="en-US" w:eastAsia="zh-CN" w:bidi="ar-SA"/>
    </w:rPr>
  </w:style>
  <w:style w:type="paragraph" w:customStyle="1" w:styleId="92">
    <w:name w:val="首行缩进"/>
    <w:basedOn w:val="1"/>
    <w:autoRedefine/>
    <w:qFormat/>
    <w:uiPriority w:val="0"/>
    <w:pPr>
      <w:spacing w:line="360" w:lineRule="auto"/>
      <w:ind w:firstLine="480" w:firstLineChars="200"/>
      <w:jc w:val="left"/>
    </w:pPr>
    <w:rPr>
      <w:rFonts w:ascii="宋体" w:hAnsi="宋体"/>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51</Pages>
  <Words>24653</Words>
  <Characters>25944</Characters>
  <Lines>441</Lines>
  <Paragraphs>124</Paragraphs>
  <TotalTime>1</TotalTime>
  <ScaleCrop>false</ScaleCrop>
  <LinksUpToDate>false</LinksUpToDate>
  <CharactersWithSpaces>27121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2022-06-24T09:35:00Z</dcterms:created>
  <dc:creator>Eagle</dc:creator>
  <cp:lastModifiedBy>孙盼</cp:lastModifiedBy>
  <cp:lastPrinted>2024-04-07T09:37:00Z</cp:lastPrinted>
  <dcterms:modified xsi:type="dcterms:W3CDTF">2024-04-08T03:29:01Z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C7EF270F480C4D0882A7458F9D189BE6_13</vt:lpwstr>
  </property>
</Properties>
</file>