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center"/>
        <w:spacing w:after="0" w:line="360" w:lineRule="auto"/>
        <w:widowControl w:val="off"/>
        <w:rPr>
          <w:rFonts w:hint="eastAsia" w:ascii="宋体" w:hAnsi="宋体" w:eastAsia="宋体" w:cs="Times New Roman"/>
          <w:b/>
          <w:sz w:val="48"/>
          <w:szCs w:val="48"/>
          <w:lang w:eastAsia="zh-CN"/>
        </w:rPr>
        <w:outlineLvl w:val="0"/>
      </w:pPr>
      <w:r>
        <w:rPr>
          <w:rFonts w:hint="eastAsia" w:ascii="宋体" w:hAnsi="宋体" w:eastAsia="宋体" w:cs="Times New Roman"/>
          <w:b/>
          <w:sz w:val="48"/>
          <w:szCs w:val="48"/>
          <w:lang w:eastAsia="zh-CN"/>
        </w:rPr>
        <w:t xml:space="preserve">江苏海事职业技术学院</w:t>
      </w:r>
      <w:r/>
    </w:p>
    <w:p>
      <w:pPr>
        <w:ind w:firstLine="420"/>
        <w:jc w:val="center"/>
        <w:spacing w:after="0" w:line="360" w:lineRule="auto"/>
        <w:widowControl w:val="off"/>
        <w:rPr>
          <w:rFonts w:hint="eastAsia" w:ascii="宋体" w:hAnsi="宋体" w:eastAsia="宋体" w:cs="宋体"/>
          <w:b/>
          <w:color w:val="000000"/>
          <w:sz w:val="44"/>
          <w:szCs w:val="44"/>
          <w:lang w:eastAsia="zh-CN"/>
        </w:rPr>
        <w:outlineLvl w:val="0"/>
      </w:pPr>
      <w:r>
        <w:rPr>
          <w:rFonts w:hint="eastAsia" w:ascii="宋体" w:hAnsi="宋体" w:eastAsia="宋体" w:cs="Times New Roman"/>
          <w:b/>
          <w:sz w:val="48"/>
          <w:szCs w:val="48"/>
          <w:lang w:eastAsia="zh-CN"/>
        </w:rPr>
        <w:t xml:space="preserve">智能船舶鸿蒙应用开发创新中心设备采购项目</w:t>
      </w:r>
      <w:r>
        <w:rPr>
          <w:rFonts w:hint="eastAsia" w:ascii="宋体" w:hAnsi="宋体" w:eastAsia="宋体" w:cs="Times New Roman"/>
          <w:b/>
          <w:sz w:val="52"/>
          <w:szCs w:val="52"/>
          <w:lang w:eastAsia="zh-CN"/>
        </w:rPr>
        <w:br/>
      </w:r>
      <w:r/>
    </w:p>
    <w:p>
      <w:pPr>
        <w:jc w:val="center"/>
        <w:spacing w:after="0" w:line="360" w:lineRule="auto"/>
        <w:rPr>
          <w:rFonts w:hint="eastAsia" w:ascii="宋体" w:hAnsi="宋体" w:eastAsia="宋体" w:cs="Times New Roman"/>
          <w:b/>
          <w:sz w:val="72"/>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sz w:val="72"/>
          <w:szCs w:val="24"/>
          <w:lang w:eastAsia="zh-CN"/>
        </w:rPr>
      </w:r>
      <w:r/>
    </w:p>
    <w:p>
      <w:pPr>
        <w:jc w:val="center"/>
        <w:spacing w:after="0" w:line="360" w:lineRule="auto"/>
        <w:rPr>
          <w:rFonts w:hint="eastAsia" w:ascii="宋体" w:hAnsi="宋体" w:eastAsia="宋体" w:cs="Times New Roman"/>
          <w:b/>
          <w:sz w:val="32"/>
          <w:szCs w:val="32"/>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bCs/>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1819910</wp:posOffset>
                </wp:positionH>
                <wp:positionV relativeFrom="paragraph">
                  <wp:posOffset>939800</wp:posOffset>
                </wp:positionV>
                <wp:extent cx="2210435" cy="1892300"/>
                <wp:effectExtent l="0" t="0" r="8890" b="3175"/>
                <wp:wrapNone/>
                <wp:docPr id="2" name="图片 7" descr="C:\Users\ADMINI~1\AppData\Local\Temp\WeChat Files\a150758a8af74e9dd24c37fee1d59b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ADMINI~1\AppData\Local\Temp\WeChat Files\a150758a8af74e9dd24c37fee1d59b2.png"/>
                        <pic:cNvPicPr>
                          <a:picLocks noChangeAspect="1"/>
                        </pic:cNvPicPr>
                        <pic:nvPr/>
                      </pic:nvPicPr>
                      <pic:blipFill>
                        <a:blip r:embed="rId11"/>
                        <a:stretch/>
                      </pic:blipFill>
                      <pic:spPr bwMode="auto">
                        <a:xfrm>
                          <a:off x="0" y="0"/>
                          <a:ext cx="2210435" cy="1892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43.3pt;mso-position-horizontal:absolute;mso-position-vertical-relative:text;margin-top:74.0pt;mso-position-vertical:absolute;width:174.0pt;height:149.0pt;mso-wrap-distance-left:9.0pt;mso-wrap-distance-top:0.0pt;mso-wrap-distance-right:9.0pt;mso-wrap-distance-bottom:0.0pt;" stroked="f">
                <v:path textboxrect="0,0,0,0"/>
                <v:imagedata r:id="rId11" o:title=""/>
              </v:shape>
            </w:pict>
          </mc:Fallback>
        </mc:AlternateContent>
      </w:r>
      <w:r>
        <w:rPr>
          <w:rFonts w:hint="eastAsia" w:ascii="宋体" w:hAnsi="宋体" w:eastAsia="宋体" w:cs="Times New Roman"/>
          <w:b/>
          <w:sz w:val="72"/>
          <w:szCs w:val="24"/>
          <w:lang w:eastAsia="zh-CN"/>
        </w:rPr>
        <w:t xml:space="preserve">招 标 文 件</w:t>
      </w:r>
      <w:r>
        <w:rPr>
          <w:rFonts w:ascii="宋体" w:hAnsi="宋体" w:eastAsia="宋体" w:cs="宋体"/>
          <w:b/>
          <w:color w:val="000000"/>
          <w:sz w:val="84"/>
          <w:lang w:eastAsia="zh-CN"/>
        </w:rPr>
        <w:br/>
      </w:r>
      <w:r>
        <w:rPr>
          <w:rFonts w:hint="eastAsia" w:ascii="宋体" w:hAnsi="宋体" w:eastAsia="宋体" w:cs="Times New Roman"/>
          <w:b/>
          <w:sz w:val="32"/>
          <w:szCs w:val="32"/>
          <w:lang w:eastAsia="zh-CN"/>
        </w:rPr>
        <w:t xml:space="preserve">项目编号：JSZC-320000-ZZGJ-G2025-0016</w:t>
      </w:r>
      <w:r/>
    </w:p>
    <w:p>
      <w:pPr>
        <w:jc w:val="center"/>
        <w:spacing w:before="120" w:after="120" w:line="360" w:lineRule="auto"/>
        <w:rPr>
          <w:rFonts w:hint="eastAsia" w:ascii="宋体" w:hAnsi="宋体" w:eastAsia="宋体" w:cs="宋体"/>
          <w:b/>
          <w:color w:val="000000"/>
          <w:sz w:val="8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lang w:eastAsia="zh-CN"/>
        </w:rPr>
      </w:r>
      <w:r/>
    </w:p>
    <w:p>
      <w:pPr>
        <w:jc w:val="both"/>
        <w:spacing w:before="120" w:after="120" w:line="360" w:lineRule="auto"/>
        <w:rPr>
          <w:rFonts w:hint="eastAsia" w:ascii="宋体" w:hAnsi="宋体" w:eastAsia="宋体" w:cs="宋体"/>
          <w:b/>
          <w:color w:val="000000"/>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eastAsia="zh-CN"/>
        </w:rPr>
      </w:r>
      <w:r/>
    </w:p>
    <w:p>
      <w:pPr>
        <w:jc w:val="both"/>
        <w:spacing w:before="120" w:after="120" w:line="360" w:lineRule="auto"/>
        <w:rPr>
          <w:rFonts w:hint="eastAsia" w:ascii="宋体" w:hAnsi="宋体" w:eastAsia="宋体" w:cs="宋体"/>
          <w:b/>
          <w:color w:val="000000"/>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eastAsia="zh-CN"/>
        </w:rPr>
      </w:r>
      <w:r/>
    </w:p>
    <w:p>
      <w:pPr>
        <w:pStyle w:val="729"/>
        <w:ind w:firstLine="1253"/>
        <w:rPr>
          <w:rFonts w:hAnsi="宋体"/>
          <w:b/>
          <w:sz w:val="36"/>
          <w:szCs w:val="36"/>
          <w:lang w:eastAsia="zh-CN"/>
        </w:rPr>
      </w:pPr>
      <w:r>
        <w:rPr>
          <w:rFonts w:hAnsi="宋体"/>
          <w:b/>
          <w:sz w:val="36"/>
          <w:szCs w:val="36"/>
          <w:lang w:eastAsia="zh-CN"/>
        </w:rPr>
      </w:r>
      <w:r/>
    </w:p>
    <w:p>
      <w:pPr>
        <w:pStyle w:val="729"/>
        <w:ind w:firstLine="1253"/>
        <w:rPr>
          <w:rFonts w:hAnsi="宋体"/>
          <w:b/>
          <w:sz w:val="36"/>
          <w:szCs w:val="36"/>
          <w:lang w:eastAsia="zh-CN"/>
        </w:rPr>
      </w:pPr>
      <w:r>
        <w:rPr>
          <w:rFonts w:hint="eastAsia" w:hAnsi="宋体"/>
          <w:b/>
          <w:sz w:val="36"/>
          <w:szCs w:val="36"/>
          <w:lang w:eastAsia="zh-CN"/>
        </w:rPr>
        <w:t xml:space="preserve">采 购 人：江苏海事职业技术学院</w:t>
      </w:r>
      <w:r/>
    </w:p>
    <w:p>
      <w:pPr>
        <w:pStyle w:val="729"/>
        <w:ind w:firstLine="1253"/>
        <w:rPr>
          <w:rFonts w:hAnsi="宋体"/>
          <w:b/>
          <w:sz w:val="36"/>
          <w:szCs w:val="36"/>
          <w:lang w:eastAsia="zh-CN"/>
        </w:rPr>
      </w:pPr>
      <w:r>
        <w:rPr>
          <w:rFonts w:hint="eastAsia" w:hAnsi="宋体"/>
          <w:b/>
          <w:sz w:val="36"/>
          <w:szCs w:val="36"/>
          <w:lang w:eastAsia="zh-CN"/>
        </w:rPr>
        <w:t xml:space="preserve">采购代理机构：正中国际项目管理集团有限公司</w:t>
      </w:r>
      <w:r/>
    </w:p>
    <w:p>
      <w:pPr>
        <w:pStyle w:val="729"/>
        <w:ind w:firstLine="1253"/>
        <w:rPr>
          <w:rFonts w:hAnsi="宋体"/>
          <w:b/>
          <w:sz w:val="36"/>
          <w:szCs w:val="36"/>
          <w:lang w:eastAsia="zh-CN"/>
        </w:rPr>
      </w:pPr>
      <w:r>
        <w:rPr>
          <w:rFonts w:hint="eastAsia" w:hAnsi="宋体"/>
          <w:b/>
          <w:sz w:val="36"/>
          <w:szCs w:val="36"/>
          <w:lang w:eastAsia="zh-CN"/>
        </w:rPr>
        <w:t xml:space="preserve">日期：</w:t>
      </w:r>
      <w:r>
        <w:rPr>
          <w:rFonts w:hAnsi="宋体"/>
          <w:b/>
          <w:sz w:val="36"/>
          <w:szCs w:val="36"/>
          <w:lang w:eastAsia="zh-CN"/>
        </w:rPr>
        <w:t xml:space="preserve">20</w:t>
      </w:r>
      <w:r>
        <w:rPr>
          <w:rFonts w:hint="eastAsia" w:hAnsi="宋体"/>
          <w:b/>
          <w:sz w:val="36"/>
          <w:szCs w:val="36"/>
          <w:lang w:eastAsia="zh-CN"/>
        </w:rPr>
        <w:t xml:space="preserve">25</w:t>
      </w:r>
      <w:r>
        <w:rPr>
          <w:rFonts w:hAnsi="宋体"/>
          <w:b/>
          <w:sz w:val="36"/>
          <w:szCs w:val="36"/>
          <w:lang w:eastAsia="zh-CN"/>
        </w:rPr>
        <w:t xml:space="preserve">年</w:t>
      </w:r>
      <w:r>
        <w:rPr>
          <w:rFonts w:hint="eastAsia" w:hAnsi="宋体"/>
          <w:b/>
          <w:sz w:val="36"/>
          <w:szCs w:val="36"/>
          <w:lang w:val="en-US" w:eastAsia="zh-CN"/>
        </w:rPr>
        <w:t xml:space="preserve">4</w:t>
      </w:r>
      <w:r>
        <w:rPr>
          <w:rFonts w:hAnsi="宋体"/>
          <w:b/>
          <w:sz w:val="36"/>
          <w:szCs w:val="36"/>
          <w:lang w:eastAsia="zh-CN"/>
        </w:rPr>
        <w:t xml:space="preserve">月</w:t>
      </w:r>
      <w:bookmarkStart w:id="0" w:name="_Toc184635068"/>
      <w:r/>
      <w:bookmarkEnd w:id="0"/>
      <w:r/>
      <w:r/>
    </w:p>
    <w:p>
      <w:pPr>
        <w:rPr>
          <w:lang w:eastAsia="zh-CN"/>
        </w:rPr>
      </w:pPr>
      <w:r>
        <w:rPr>
          <w:rFonts w:ascii="宋体" w:hAnsi="宋体" w:eastAsia="宋体" w:cs="宋体"/>
          <w:b/>
          <w:color w:val="000000"/>
          <w:sz w:val="44"/>
          <w:lang w:eastAsia="zh-CN"/>
        </w:rPr>
        <w:br w:type="page" w:clear="all"/>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第一章</w:t>
      </w:r>
      <w:r>
        <w:rPr>
          <w:rFonts w:hint="eastAsia" w:ascii="宋体" w:hAnsi="宋体" w:eastAsia="宋体" w:cs="宋体"/>
          <w:b/>
          <w:color w:val="000000"/>
          <w:sz w:val="36"/>
          <w:lang w:eastAsia="zh-CN"/>
        </w:rPr>
        <w:t xml:space="preserve"> </w:t>
      </w:r>
      <w:r>
        <w:rPr>
          <w:rFonts w:ascii="宋体" w:hAnsi="宋体" w:eastAsia="宋体" w:cs="宋体"/>
          <w:b/>
          <w:color w:val="000000"/>
          <w:sz w:val="36"/>
          <w:lang w:eastAsia="zh-CN"/>
        </w:rPr>
        <w:t xml:space="preserve">招标公告</w:t>
      </w:r>
      <w:r/>
    </w:p>
    <w:tbl>
      <w:tblPr>
        <w:tblStyle w:val="7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71"/>
      </w:tblGrid>
      <w:tr>
        <w:trPr/>
        <w:tc>
          <w:tcPr>
            <w:tcW w:w="9571" w:type="dxa"/>
            <w:textDirection w:val="lrTb"/>
            <w:noWrap w:val="false"/>
          </w:tcPr>
          <w:p>
            <w:pPr>
              <w:jc w:val="both"/>
              <w:spacing w:after="0" w:line="360" w:lineRule="auto"/>
              <w:rPr>
                <w:rFonts w:hint="eastAsia" w:ascii="宋体" w:hAnsi="宋体" w:eastAsia="宋体" w:cs="宋体"/>
                <w:b/>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项目概况</w:t>
            </w:r>
            <w:r>
              <w:rPr>
                <w:rFonts w:hint="eastAsia" w:ascii="宋体" w:hAnsi="宋体" w:eastAsia="宋体" w:cs="宋体"/>
                <w:b/>
                <w:color w:val="000000"/>
                <w:sz w:val="21"/>
                <w:szCs w:val="21"/>
                <w:lang w:eastAsia="zh-CN"/>
              </w:rPr>
              <w:t xml:space="preserve">：</w:t>
            </w:r>
            <w:r/>
          </w:p>
          <w:p>
            <w:pPr>
              <w:ind w:firstLine="420"/>
              <w:jc w:val="both"/>
              <w:keepLines w:val="0"/>
              <w:keepNext w:val="0"/>
              <w:pageBreakBefore w:val="0"/>
              <w:spacing w:after="0" w:line="360" w:lineRule="auto"/>
              <w:widowControl/>
              <w:rPr>
                <w:rFonts w:hint="eastAsia" w:ascii="宋体" w:hAnsi="宋体" w:eastAsia="宋体" w:cs="宋体"/>
                <w:b/>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u w:val="single"/>
                <w:lang w:eastAsia="zh-CN"/>
              </w:rPr>
              <w:t xml:space="preserve">智能船舶鸿蒙应用开发创新中心设备采购项目</w:t>
            </w:r>
            <w:r>
              <w:rPr>
                <w:rFonts w:ascii="宋体" w:hAnsi="宋体" w:eastAsia="宋体" w:cs="宋体"/>
                <w:bCs/>
                <w:color w:val="000000"/>
                <w:sz w:val="21"/>
                <w:szCs w:val="21"/>
                <w:lang w:eastAsia="zh-CN"/>
              </w:rPr>
              <w:t xml:space="preserve">的潜在</w:t>
            </w:r>
            <w:r>
              <w:rPr>
                <w:rFonts w:hint="eastAsia" w:ascii="宋体" w:hAnsi="宋体" w:eastAsia="宋体" w:cs="宋体"/>
                <w:bCs/>
                <w:color w:val="000000"/>
                <w:sz w:val="21"/>
                <w:szCs w:val="21"/>
                <w:lang w:eastAsia="zh-CN"/>
              </w:rPr>
              <w:t xml:space="preserve">供应商应在</w:t>
            </w:r>
            <w:r>
              <w:rPr>
                <w:rFonts w:hint="eastAsia" w:ascii="宋体" w:hAnsi="宋体" w:eastAsia="宋体" w:cs="宋体"/>
                <w:bCs/>
                <w:color w:val="000000"/>
                <w:sz w:val="21"/>
                <w:szCs w:val="21"/>
                <w:u w:val="single"/>
                <w:lang w:eastAsia="zh-CN"/>
              </w:rPr>
              <w:t xml:space="preserve">线上或现场</w:t>
            </w:r>
            <w:r>
              <w:rPr>
                <w:rFonts w:hint="eastAsia" w:ascii="宋体" w:hAnsi="宋体" w:eastAsia="宋体" w:cs="宋体"/>
                <w:bCs/>
                <w:color w:val="000000"/>
                <w:sz w:val="21"/>
                <w:szCs w:val="21"/>
                <w:lang w:eastAsia="zh-CN"/>
              </w:rPr>
              <w:t xml:space="preserve">（南京市建邺区嘉陵江东街18号1栋17层）获取招标文件，并于</w:t>
            </w:r>
            <w:r>
              <w:rPr>
                <w:rFonts w:hint="eastAsia" w:ascii="宋体" w:hAnsi="宋体" w:eastAsia="宋体" w:cs="宋体"/>
                <w:bCs/>
                <w:color w:val="000000"/>
                <w:sz w:val="21"/>
                <w:szCs w:val="21"/>
                <w:u w:val="single"/>
                <w:lang w:eastAsia="zh-CN"/>
              </w:rPr>
              <w:t xml:space="preserve">2025年</w:t>
            </w:r>
            <w:r>
              <w:rPr>
                <w:rFonts w:hint="eastAsia" w:ascii="宋体" w:hAnsi="宋体" w:eastAsia="宋体" w:cs="宋体"/>
                <w:bCs/>
                <w:color w:val="000000"/>
                <w:sz w:val="21"/>
                <w:szCs w:val="21"/>
                <w:u w:val="single"/>
                <w:lang w:val="en-US" w:eastAsia="zh-CN"/>
              </w:rPr>
              <w:t xml:space="preserve">4</w:t>
            </w:r>
            <w:r>
              <w:rPr>
                <w:rFonts w:hint="eastAsia" w:ascii="宋体" w:hAnsi="宋体" w:eastAsia="宋体" w:cs="宋体"/>
                <w:bCs/>
                <w:color w:val="000000"/>
                <w:sz w:val="21"/>
                <w:szCs w:val="21"/>
                <w:u w:val="single"/>
                <w:lang w:eastAsia="zh-CN"/>
              </w:rPr>
              <w:t xml:space="preserve">月</w:t>
            </w:r>
            <w:r>
              <w:rPr>
                <w:rFonts w:hint="eastAsia" w:ascii="宋体" w:hAnsi="宋体" w:eastAsia="宋体" w:cs="宋体"/>
                <w:bCs/>
                <w:color w:val="000000"/>
                <w:sz w:val="21"/>
                <w:szCs w:val="21"/>
                <w:u w:val="single"/>
                <w:lang w:val="en-US" w:eastAsia="zh-CN"/>
              </w:rPr>
              <w:t xml:space="preserve">23</w:t>
            </w:r>
            <w:r>
              <w:rPr>
                <w:rFonts w:hint="eastAsia" w:ascii="宋体" w:hAnsi="宋体" w:eastAsia="宋体" w:cs="宋体"/>
                <w:bCs/>
                <w:color w:val="000000"/>
                <w:sz w:val="21"/>
                <w:szCs w:val="21"/>
                <w:u w:val="single"/>
                <w:lang w:eastAsia="zh-CN"/>
              </w:rPr>
              <w:t xml:space="preserve">日</w:t>
            </w:r>
            <w:r>
              <w:rPr>
                <w:rFonts w:hint="eastAsia" w:ascii="宋体" w:hAnsi="宋体" w:eastAsia="宋体" w:cs="宋体"/>
                <w:bCs/>
                <w:color w:val="000000"/>
                <w:sz w:val="21"/>
                <w:szCs w:val="21"/>
                <w:u w:val="single"/>
                <w:lang w:val="en-US" w:eastAsia="zh-CN"/>
              </w:rPr>
              <w:t xml:space="preserve">09</w:t>
            </w:r>
            <w:r>
              <w:rPr>
                <w:rFonts w:hint="eastAsia" w:ascii="宋体" w:hAnsi="宋体" w:eastAsia="宋体" w:cs="宋体"/>
                <w:bCs/>
                <w:color w:val="000000"/>
                <w:sz w:val="21"/>
                <w:szCs w:val="21"/>
                <w:u w:val="single"/>
                <w:lang w:eastAsia="zh-CN"/>
              </w:rPr>
              <w:t xml:space="preserve">点</w:t>
            </w:r>
            <w:r>
              <w:rPr>
                <w:rFonts w:hint="eastAsia" w:ascii="宋体" w:hAnsi="宋体" w:eastAsia="宋体" w:cs="宋体"/>
                <w:bCs/>
                <w:color w:val="000000"/>
                <w:sz w:val="21"/>
                <w:szCs w:val="21"/>
                <w:u w:val="single"/>
                <w:lang w:val="en-US" w:eastAsia="zh-CN"/>
              </w:rPr>
              <w:t xml:space="preserve">00</w:t>
            </w:r>
            <w:r>
              <w:rPr>
                <w:rFonts w:hint="eastAsia" w:ascii="宋体" w:hAnsi="宋体" w:eastAsia="宋体" w:cs="宋体"/>
                <w:bCs/>
                <w:color w:val="000000"/>
                <w:sz w:val="21"/>
                <w:szCs w:val="21"/>
                <w:u w:val="single"/>
                <w:lang w:eastAsia="zh-CN"/>
              </w:rPr>
              <w:t xml:space="preserve">分（北京时间）</w:t>
            </w:r>
            <w:r>
              <w:rPr>
                <w:rFonts w:hint="eastAsia" w:ascii="宋体" w:hAnsi="宋体" w:eastAsia="宋体" w:cs="宋体"/>
                <w:bCs/>
                <w:color w:val="000000"/>
                <w:sz w:val="21"/>
                <w:szCs w:val="21"/>
                <w:lang w:eastAsia="zh-CN"/>
              </w:rPr>
              <w:t xml:space="preserve">前递交响应文件。</w:t>
            </w:r>
            <w:r/>
          </w:p>
        </w:tc>
      </w:tr>
    </w:tbl>
    <w:p>
      <w:pPr>
        <w:ind w:firstLine="482"/>
        <w:jc w:val="both"/>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sz w:val="21"/>
          <w:szCs w:val="21"/>
          <w:lang w:eastAsia="zh-CN"/>
        </w:rPr>
      </w:r>
      <w:r/>
    </w:p>
    <w:p>
      <w:pPr>
        <w:ind w:firstLine="422"/>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一、项目基本情况</w:t>
      </w:r>
      <w:r/>
    </w:p>
    <w:p>
      <w:pPr>
        <w:ind w:firstLine="420"/>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项目编号：</w:t>
      </w:r>
      <w:r>
        <w:rPr>
          <w:rFonts w:hint="eastAsia" w:ascii="宋体" w:hAnsi="宋体" w:eastAsia="宋体" w:cs="宋体"/>
          <w:color w:val="000000"/>
          <w:sz w:val="21"/>
          <w:szCs w:val="21"/>
          <w:lang w:eastAsia="zh-CN"/>
        </w:rPr>
        <w:t xml:space="preserve">JSZC-320000-ZZGJ-G2025-0016</w:t>
      </w:r>
      <w:r/>
    </w:p>
    <w:p>
      <w:pPr>
        <w:ind w:firstLine="420"/>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项目名称：</w:t>
      </w:r>
      <w:r>
        <w:rPr>
          <w:rFonts w:hint="eastAsia" w:ascii="宋体" w:hAnsi="宋体" w:eastAsia="宋体" w:cs="宋体"/>
          <w:color w:val="000000"/>
          <w:sz w:val="21"/>
          <w:szCs w:val="21"/>
          <w:lang w:eastAsia="zh-CN"/>
        </w:rPr>
        <w:t xml:space="preserve">智能船舶鸿蒙应用开发创新中心设备采购项目</w:t>
      </w:r>
      <w:r/>
    </w:p>
    <w:p>
      <w:pPr>
        <w:ind w:firstLine="42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预算金额：</w:t>
      </w:r>
      <w:r>
        <w:rPr>
          <w:rFonts w:hint="eastAsia" w:ascii="宋体" w:hAnsi="宋体" w:eastAsia="宋体" w:cs="宋体"/>
          <w:color w:val="000000"/>
          <w:sz w:val="21"/>
          <w:szCs w:val="21"/>
          <w:lang w:val="en-US" w:eastAsia="zh-CN"/>
        </w:rPr>
        <w:t xml:space="preserve">200.5</w:t>
      </w:r>
      <w:r>
        <w:rPr>
          <w:rFonts w:ascii="宋体" w:hAnsi="宋体" w:eastAsia="宋体" w:cs="宋体"/>
          <w:color w:val="000000"/>
          <w:sz w:val="21"/>
          <w:szCs w:val="21"/>
          <w:lang w:eastAsia="zh-CN"/>
        </w:rPr>
        <w:t xml:space="preserve">万元人民币</w:t>
      </w:r>
      <w:r/>
    </w:p>
    <w:p>
      <w:pPr>
        <w:ind w:firstLine="42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最高限价：</w:t>
      </w:r>
      <w:r>
        <w:rPr>
          <w:rFonts w:hint="eastAsia" w:ascii="宋体" w:hAnsi="宋体" w:eastAsia="宋体" w:cs="宋体"/>
          <w:color w:val="000000"/>
          <w:sz w:val="21"/>
          <w:szCs w:val="21"/>
          <w:lang w:val="en-US" w:eastAsia="zh-CN"/>
        </w:rPr>
        <w:t xml:space="preserve">196.7</w:t>
      </w:r>
      <w:r>
        <w:rPr>
          <w:rFonts w:ascii="宋体" w:hAnsi="宋体" w:eastAsia="宋体" w:cs="宋体"/>
          <w:color w:val="000000"/>
          <w:sz w:val="21"/>
          <w:szCs w:val="21"/>
          <w:lang w:eastAsia="zh-CN"/>
        </w:rPr>
        <w:t xml:space="preserve">万元人民币</w:t>
      </w:r>
      <w:r>
        <w:rPr>
          <w:rFonts w:hint="eastAsia" w:ascii="宋体" w:hAnsi="宋体" w:eastAsia="宋体" w:cs="宋体"/>
          <w:color w:val="000000"/>
          <w:sz w:val="21"/>
          <w:szCs w:val="21"/>
          <w:lang w:eastAsia="zh-CN"/>
        </w:rPr>
        <w:t xml:space="preserve">（供应商投标报价不得超过最高限价总价也不得超过单</w:t>
      </w:r>
      <w:r>
        <w:rPr>
          <w:rFonts w:hint="eastAsia" w:ascii="宋体" w:hAnsi="宋体" w:eastAsia="宋体" w:cs="宋体"/>
          <w:color w:val="000000"/>
          <w:sz w:val="21"/>
          <w:szCs w:val="21"/>
          <w:lang w:val="en-US" w:eastAsia="zh-CN"/>
        </w:rPr>
        <w:t xml:space="preserve">价</w:t>
      </w:r>
      <w:r>
        <w:rPr>
          <w:rFonts w:hint="eastAsia" w:ascii="宋体" w:hAnsi="宋体" w:eastAsia="宋体" w:cs="宋体"/>
          <w:color w:val="000000"/>
          <w:sz w:val="21"/>
          <w:szCs w:val="21"/>
          <w:lang w:eastAsia="zh-CN"/>
        </w:rPr>
        <w:t xml:space="preserve">最高限价，否则视为无效投标）</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采购需求：</w:t>
      </w:r>
      <w:r>
        <w:rPr>
          <w:rFonts w:hint="eastAsia" w:ascii="宋体" w:hAnsi="宋体" w:eastAsia="宋体" w:cs="宋体"/>
          <w:color w:val="000000"/>
          <w:sz w:val="21"/>
          <w:szCs w:val="21"/>
          <w:lang w:eastAsia="zh-CN"/>
        </w:rPr>
        <w:t xml:space="preserve">智能船舶鸿蒙应用开发创新中心设备采购，包括平台实训硬件、鸿蒙实训套件、鸿蒙智能座舱科研/实训平台、鸿蒙智慧海事实训平台、鸿蒙智能实训终端、教学实训平台-基础模块、鸿蒙操作系统实验模块、《移动应用开发基础》课程资源、《移动应用开发进阶》课程资源、《鸿蒙应用开发工程认证课》程资源、《鸿蒙高级应用开发工程师认证课》课程资源包、《鸿蒙设备开发基础》课程资源</w:t>
      </w:r>
      <w:r>
        <w:rPr>
          <w:rFonts w:hint="eastAsia" w:ascii="宋体" w:hAnsi="宋体" w:eastAsia="宋体" w:cs="宋体"/>
          <w:color w:val="000000"/>
          <w:sz w:val="21"/>
          <w:szCs w:val="21"/>
          <w:lang w:val="en-US" w:eastAsia="zh-CN"/>
        </w:rPr>
        <w:t xml:space="preserve">等</w:t>
      </w:r>
      <w:r>
        <w:rPr>
          <w:rFonts w:hint="eastAsia" w:ascii="宋体" w:hAnsi="宋体" w:eastAsia="宋体" w:cs="宋体"/>
          <w:color w:val="000000"/>
          <w:sz w:val="21"/>
          <w:szCs w:val="21"/>
          <w:lang w:eastAsia="zh-CN"/>
        </w:rPr>
        <w:t xml:space="preserve">，具体详见采购需求。</w:t>
      </w:r>
      <w:r/>
    </w:p>
    <w:p>
      <w:pPr>
        <w:ind w:firstLine="420"/>
        <w:spacing w:after="0"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本项目标的所属行业：软件和信息技术服务业</w:t>
      </w:r>
      <w:r>
        <w:rPr>
          <w:rFonts w:hint="eastAsia" w:ascii="宋体" w:hAnsi="宋体" w:eastAsia="宋体" w:cs="宋体"/>
          <w:color w:val="000000"/>
          <w:sz w:val="21"/>
          <w:szCs w:val="21"/>
          <w:lang w:val="en-US" w:eastAsia="zh-CN"/>
        </w:rPr>
        <w:t xml:space="preserve">。</w:t>
      </w:r>
      <w:r/>
    </w:p>
    <w:p>
      <w:pPr>
        <w:ind w:firstLine="422"/>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本项目不接受联合体投标。</w:t>
      </w:r>
      <w:r/>
    </w:p>
    <w:p>
      <w:pPr>
        <w:ind w:firstLine="422"/>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二、申请人的资格要求：</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2.1参加政府采购活动的供应商应当具备政府采购法第二十二条第一款规定的条件，并依照政府采购法实施条例第十七条规定提供材料：</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（1）具有独立承担民事责任的能力（法人或者其他组织提供营业执照或法人证书或组织机构代码证，自然人提供身份证，提供证明材料复印件加盖公章）；</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具有良好的商业信誉和健全的财务会计制度（提供2023年度或2024年度的财务状况报告（公司成立不满一年，至少提供投标截止时间前近一个月的财务报表），或投标截止时间前六个月内银行出具的资信证明或财政部门认可的政府采购专业担保机构出具的投标担保函）；</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（3）具有履行合同所必需的设备和专业技术能力（根据项目需求提供履行合同所必需的设备和专业技术能力的证明材料）；</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4）有依法缴纳税收和社会保障资金的良好记录；（提供距开标时间六个月内任一月份的纳税证明文件复印件加盖公章（依法免税的应提供相应文件说明）和距开标时间六个月内任一月份的依法缴纳社会保障资金的证明材料复印件加盖公章（证明材料可以是缴费的银行单据、专用收据、社会保险缴纳清单或者所在社保机构开具的证明等，自行编写无效，依法不需要缴纳社会保障资金的应提供相应文件说明）；</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（5）参加本次政府采购活动前三年内，在经营活动中没有重大违法记录（提供参加本次采购活动前三年内在经营活动中没有重大违法记录的书面声明加盖公章）；</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（6）法律、行政法规规定的其他条件：无。</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2.2落实政府采购政策需满足的资格要求：/。 </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2.3第2.1（5）条所称重大违法记录，是指供应商因违法经营受到刑事处罚或者责令停产停业、吊销许可证或者执照、较大数额罚款等行政处罚。</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2.4供应商在参加政府采购活动前3年内因违法经营被禁止在一定期限内参加政府采购活动，期限届满的，可以参加政府采购活动。</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2.5单位负责人为同一人或者存在直接控股、管理关系的不同供应商，不得参加同一合同项下的政府采购活动。</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2.6为采购项目提供整体设计、规范编制或者项目管理、监理、检测等服务的供应商，不得再参加本项目的采购活动。</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2.7被“信用中国”网站(www.creditchina.gov.cn)或中国政府采购网(www.ccgp.gov.cn)列入失信被执行人、重大税收违法案件当事人、政府采购严重违法失信行为记录名单的。</w:t>
      </w:r>
      <w:r>
        <w:rPr>
          <w:rFonts w:hint="eastAsia" w:ascii="宋体" w:hAnsi="宋体" w:eastAsia="宋体" w:cs="宋体"/>
          <w:color w:val="000000"/>
          <w:sz w:val="21"/>
          <w:szCs w:val="21"/>
          <w:lang w:eastAsia="zh-CN"/>
        </w:rPr>
        <w:t xml:space="preserve">（供应商需提供投标截止时间前三日的完整的信用报告复印件并加盖公章）</w:t>
      </w:r>
      <w:r/>
    </w:p>
    <w:p>
      <w:pPr>
        <w:ind w:firstLine="422"/>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lang w:eastAsia="zh-CN"/>
        </w:rPr>
        <w:t xml:space="preserve">2.8、本项目的特定资格要求：无。</w:t>
      </w:r>
      <w:r/>
    </w:p>
    <w:p>
      <w:pPr>
        <w:ind w:firstLine="42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三、</w:t>
      </w:r>
      <w:r>
        <w:rPr>
          <w:rFonts w:ascii="宋体" w:hAnsi="宋体" w:eastAsia="宋体" w:cs="宋体"/>
          <w:color w:val="000000"/>
          <w:sz w:val="21"/>
          <w:szCs w:val="21"/>
          <w:lang w:eastAsia="zh-CN"/>
        </w:rPr>
        <w:t xml:space="preserve">落实政府采购政策需满足的资格要求：</w:t>
      </w:r>
      <w:r/>
    </w:p>
    <w:p>
      <w:pPr>
        <w:ind w:firstLine="420"/>
        <w:jc w:val="both"/>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本项目按照以下第(4)种方式落实政府采购促进中小企业发展的要求：</w:t>
      </w:r>
      <w:r>
        <w:rPr>
          <w:rFonts w:ascii="宋体" w:hAnsi="宋体" w:eastAsia="宋体" w:cs="宋体"/>
          <w:color w:val="000000"/>
          <w:sz w:val="21"/>
          <w:szCs w:val="21"/>
          <w:lang w:eastAsia="zh-CN"/>
        </w:rPr>
        <w:t xml:space="preserve"> </w:t>
      </w:r>
      <w:r/>
    </w:p>
    <w:p>
      <w:pPr>
        <w:ind w:firstLine="420"/>
        <w:jc w:val="both"/>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（1）本项目整体专门面向中小企业采购货物。 </w:t>
      </w:r>
      <w:r/>
    </w:p>
    <w:p>
      <w:pPr>
        <w:ind w:firstLine="420"/>
        <w:jc w:val="both"/>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（2）本项目整体专门面向小微企业采购货物。 </w:t>
      </w:r>
      <w:r/>
    </w:p>
    <w:p>
      <w:pPr>
        <w:ind w:firstLine="420"/>
        <w:jc w:val="both"/>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（3）本项目通过以下第（</w:t>
      </w:r>
      <w:r>
        <w:rPr>
          <w:rFonts w:hint="eastAsia" w:ascii="宋体" w:hAnsi="宋体" w:eastAsia="宋体" w:cs="宋体"/>
          <w:color w:val="000000"/>
          <w:sz w:val="21"/>
          <w:szCs w:val="21"/>
          <w:lang w:eastAsia="zh-CN"/>
        </w:rPr>
        <w:t xml:space="preserve"> </w:t>
      </w:r>
      <w:r>
        <w:rPr>
          <w:rFonts w:ascii="宋体" w:hAnsi="宋体" w:eastAsia="宋体" w:cs="宋体"/>
          <w:color w:val="000000"/>
          <w:sz w:val="21"/>
          <w:szCs w:val="21"/>
          <w:lang w:eastAsia="zh-CN"/>
        </w:rPr>
        <w:t xml:space="preserve">） 种方式预留部分采购份额采购中小企业货物： </w:t>
      </w:r>
      <w:r/>
    </w:p>
    <w:p>
      <w:pPr>
        <w:ind w:firstLine="420"/>
        <w:jc w:val="both"/>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①要求</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以联合体形式参加，企业合同金额应当达到的比例为/%。 </w:t>
      </w:r>
      <w:r/>
    </w:p>
    <w:p>
      <w:pPr>
        <w:ind w:firstLine="420"/>
        <w:jc w:val="both"/>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②要求</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进行合同分包，企业合同金额应当达到的比例为/%。 </w:t>
      </w:r>
      <w:r/>
    </w:p>
    <w:p>
      <w:pPr>
        <w:ind w:firstLine="420"/>
        <w:jc w:val="both"/>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（4）本项目为非预留份额的采购项目或采购包，执行价格扣除优惠政策，具体详见“评标办法与标准”。</w:t>
      </w:r>
      <w:r/>
    </w:p>
    <w:p>
      <w:pPr>
        <w:ind w:firstLine="422"/>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四</w:t>
      </w:r>
      <w:r>
        <w:rPr>
          <w:rFonts w:ascii="宋体" w:hAnsi="宋体" w:eastAsia="宋体" w:cs="宋体"/>
          <w:b/>
          <w:color w:val="000000"/>
          <w:sz w:val="21"/>
          <w:szCs w:val="21"/>
          <w:lang w:eastAsia="zh-CN"/>
        </w:rPr>
        <w:t xml:space="preserve">、获取招标文件</w:t>
      </w:r>
      <w:r/>
    </w:p>
    <w:p>
      <w:pPr>
        <w:ind w:firstLine="42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时间：202</w:t>
      </w:r>
      <w:r>
        <w:rPr>
          <w:rFonts w:hint="eastAsia" w:ascii="宋体" w:hAnsi="宋体" w:eastAsia="宋体" w:cs="宋体"/>
          <w:color w:val="000000"/>
          <w:sz w:val="21"/>
          <w:szCs w:val="21"/>
          <w:lang w:eastAsia="zh-CN"/>
        </w:rPr>
        <w:t xml:space="preserve">5</w:t>
      </w:r>
      <w:r>
        <w:rPr>
          <w:rFonts w:ascii="宋体" w:hAnsi="宋体" w:eastAsia="宋体" w:cs="宋体"/>
          <w:color w:val="000000"/>
          <w:sz w:val="21"/>
          <w:szCs w:val="21"/>
          <w:lang w:eastAsia="zh-CN"/>
        </w:rPr>
        <w:t xml:space="preserve">年</w:t>
      </w:r>
      <w:r>
        <w:rPr>
          <w:rFonts w:hint="eastAsia" w:ascii="宋体" w:hAnsi="宋体" w:eastAsia="宋体" w:cs="宋体"/>
          <w:color w:val="000000"/>
          <w:sz w:val="21"/>
          <w:szCs w:val="21"/>
          <w:lang w:val="en-US" w:eastAsia="zh-CN"/>
        </w:rPr>
        <w:t xml:space="preserve">4</w:t>
      </w:r>
      <w:r>
        <w:rPr>
          <w:rFonts w:ascii="宋体" w:hAnsi="宋体" w:eastAsia="宋体" w:cs="宋体"/>
          <w:color w:val="000000"/>
          <w:sz w:val="21"/>
          <w:szCs w:val="21"/>
          <w:lang w:eastAsia="zh-CN"/>
        </w:rPr>
        <w:t xml:space="preserve">月</w:t>
      </w: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lang w:eastAsia="zh-CN"/>
        </w:rPr>
        <w:t xml:space="preserve">日至202</w:t>
      </w:r>
      <w:r>
        <w:rPr>
          <w:rFonts w:hint="eastAsia" w:ascii="宋体" w:hAnsi="宋体" w:eastAsia="宋体" w:cs="宋体"/>
          <w:color w:val="000000"/>
          <w:sz w:val="21"/>
          <w:szCs w:val="21"/>
          <w:lang w:eastAsia="zh-CN"/>
        </w:rPr>
        <w:t xml:space="preserve">5</w:t>
      </w:r>
      <w:r>
        <w:rPr>
          <w:rFonts w:ascii="宋体" w:hAnsi="宋体" w:eastAsia="宋体" w:cs="宋体"/>
          <w:color w:val="000000"/>
          <w:sz w:val="21"/>
          <w:szCs w:val="21"/>
          <w:lang w:eastAsia="zh-CN"/>
        </w:rPr>
        <w:t xml:space="preserve">年</w:t>
      </w:r>
      <w:r>
        <w:rPr>
          <w:rFonts w:hint="eastAsia" w:ascii="宋体" w:hAnsi="宋体" w:eastAsia="宋体" w:cs="宋体"/>
          <w:color w:val="000000"/>
          <w:sz w:val="21"/>
          <w:szCs w:val="21"/>
          <w:lang w:val="en-US" w:eastAsia="zh-CN"/>
        </w:rPr>
        <w:t xml:space="preserve">4</w:t>
      </w:r>
      <w:r>
        <w:rPr>
          <w:rFonts w:ascii="宋体" w:hAnsi="宋体" w:eastAsia="宋体" w:cs="宋体"/>
          <w:color w:val="000000"/>
          <w:sz w:val="21"/>
          <w:szCs w:val="21"/>
          <w:lang w:eastAsia="zh-CN"/>
        </w:rPr>
        <w:t xml:space="preserve">月</w:t>
      </w:r>
      <w:r>
        <w:rPr>
          <w:rFonts w:hint="eastAsia" w:ascii="宋体" w:hAnsi="宋体" w:eastAsia="宋体" w:cs="宋体"/>
          <w:color w:val="000000"/>
          <w:sz w:val="21"/>
          <w:szCs w:val="21"/>
          <w:lang w:val="en-US" w:eastAsia="zh-CN"/>
        </w:rPr>
        <w:t xml:space="preserve">10</w:t>
      </w:r>
      <w:r>
        <w:rPr>
          <w:rFonts w:ascii="宋体" w:hAnsi="宋体" w:eastAsia="宋体" w:cs="宋体"/>
          <w:color w:val="000000"/>
          <w:sz w:val="21"/>
          <w:szCs w:val="21"/>
          <w:lang w:eastAsia="zh-CN"/>
        </w:rPr>
        <w:t xml:space="preserve">日，每天上午8：30至11：30，下午14：00至17：30（北京时间，法定节假日除外）</w:t>
      </w:r>
      <w:r/>
    </w:p>
    <w:p>
      <w:pPr>
        <w:ind w:firstLine="420"/>
        <w:spacing w:after="0" w:line="36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地点：线上或现场。</w:t>
      </w:r>
      <w:r/>
    </w:p>
    <w:p>
      <w:pPr>
        <w:ind w:firstLine="420"/>
        <w:spacing w:after="0" w:line="36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方式：欢迎符合条件的供应商获取文件，请供应商提供以下要求的证明文件的扫描件，且须加盖供应商公章后发送至</w:t>
      </w:r>
      <w:r>
        <w:rPr>
          <w:rFonts w:hint="eastAsia" w:ascii="宋体" w:hAnsi="宋体" w:eastAsia="宋体" w:cs="宋体"/>
          <w:color w:val="000000"/>
          <w:sz w:val="21"/>
          <w:szCs w:val="21"/>
          <w:lang w:val="en-US" w:eastAsia="zh-CN"/>
        </w:rPr>
        <w:t xml:space="preserve">1295783474</w:t>
      </w:r>
      <w:r>
        <w:rPr>
          <w:rFonts w:hint="eastAsia" w:ascii="宋体" w:hAnsi="宋体" w:eastAsia="宋体" w:cs="宋体"/>
          <w:color w:val="000000"/>
          <w:sz w:val="21"/>
          <w:szCs w:val="21"/>
        </w:rPr>
        <w:t xml:space="preserve">@qq.com方为有效报名，审核通过后获取文件：</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（1）供应商法人或者其他组织的营业执照；供应商为自然人的，提供其身份证；</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（2）供应商法定代表人身份证扫描件，法定代表人授权委托书原件的扫描件和委托代理人的身份证扫描件；</w:t>
      </w:r>
      <w:r>
        <w:rPr>
          <w:rFonts w:ascii="宋体" w:hAnsi="宋体" w:eastAsia="宋体" w:cs="宋体"/>
          <w:color w:val="000000"/>
          <w:sz w:val="21"/>
          <w:szCs w:val="21"/>
          <w:lang w:eastAsia="zh-CN"/>
        </w:rPr>
        <w:t xml:space="preserve">（如果是法定代表人直接参与招标的可以不提供授权书，上述资料均需加盖公章）</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（3）文件费缴纳付款凭证（需备注公司名称+项目名称，以便代理工作人员查询），</w:t>
      </w:r>
      <w:r>
        <w:rPr>
          <w:rFonts w:hint="eastAsia" w:ascii="宋体" w:hAnsi="宋体" w:eastAsia="宋体" w:cs="宋体"/>
          <w:color w:val="000000"/>
          <w:sz w:val="21"/>
          <w:szCs w:val="21"/>
          <w:lang w:val="zh-CN" w:eastAsia="zh-CN"/>
        </w:rPr>
        <w:t xml:space="preserve">文</w:t>
      </w:r>
      <w:r>
        <w:rPr>
          <w:rFonts w:hint="eastAsia" w:ascii="宋体" w:hAnsi="宋体" w:eastAsia="宋体" w:cs="宋体"/>
          <w:color w:val="000000"/>
          <w:sz w:val="21"/>
          <w:szCs w:val="21"/>
          <w:lang w:eastAsia="zh-CN"/>
        </w:rPr>
        <w:t xml:space="preserve">件费支付宝收取账户：18094225530（汇款时请备注单位名称+项目简称）。</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纸质采购文件工本费：500元/套，售不后退。</w:t>
      </w:r>
      <w:r/>
    </w:p>
    <w:p>
      <w:pPr>
        <w:ind w:firstLine="422"/>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五</w:t>
      </w:r>
      <w:r>
        <w:rPr>
          <w:rFonts w:ascii="宋体" w:hAnsi="宋体" w:eastAsia="宋体" w:cs="宋体"/>
          <w:b/>
          <w:color w:val="000000"/>
          <w:sz w:val="21"/>
          <w:szCs w:val="21"/>
          <w:lang w:eastAsia="zh-CN"/>
        </w:rPr>
        <w:t xml:space="preserve">、提交投标文件截止时间、开标时间和地点</w:t>
      </w:r>
      <w:r/>
    </w:p>
    <w:p>
      <w:pPr>
        <w:ind w:firstLine="42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202</w:t>
      </w:r>
      <w:r>
        <w:rPr>
          <w:rFonts w:hint="eastAsia" w:ascii="宋体" w:hAnsi="宋体" w:eastAsia="宋体" w:cs="宋体"/>
          <w:color w:val="000000"/>
          <w:sz w:val="21"/>
          <w:szCs w:val="21"/>
          <w:lang w:eastAsia="zh-CN"/>
        </w:rPr>
        <w:t xml:space="preserve">5</w:t>
      </w:r>
      <w:r>
        <w:rPr>
          <w:rFonts w:ascii="宋体" w:hAnsi="宋体" w:eastAsia="宋体" w:cs="宋体"/>
          <w:color w:val="000000"/>
          <w:sz w:val="21"/>
          <w:szCs w:val="21"/>
          <w:lang w:eastAsia="zh-CN"/>
        </w:rPr>
        <w:t xml:space="preserve">年</w:t>
      </w:r>
      <w:r>
        <w:rPr>
          <w:rFonts w:hint="eastAsia" w:ascii="宋体" w:hAnsi="宋体" w:eastAsia="宋体" w:cs="宋体"/>
          <w:color w:val="000000"/>
          <w:sz w:val="21"/>
          <w:szCs w:val="21"/>
          <w:lang w:val="en-US" w:eastAsia="zh-CN"/>
        </w:rPr>
        <w:t xml:space="preserve">4</w:t>
      </w:r>
      <w:r>
        <w:rPr>
          <w:rFonts w:ascii="宋体" w:hAnsi="宋体" w:eastAsia="宋体" w:cs="宋体"/>
          <w:color w:val="000000"/>
          <w:sz w:val="21"/>
          <w:szCs w:val="21"/>
          <w:lang w:eastAsia="zh-CN"/>
        </w:rPr>
        <w:t xml:space="preserve">月</w:t>
      </w:r>
      <w:r>
        <w:rPr>
          <w:rFonts w:hint="eastAsia" w:ascii="宋体" w:hAnsi="宋体" w:eastAsia="宋体" w:cs="宋体"/>
          <w:color w:val="000000"/>
          <w:sz w:val="21"/>
          <w:szCs w:val="21"/>
          <w:lang w:val="en-US" w:eastAsia="zh-CN"/>
        </w:rPr>
        <w:t xml:space="preserve">23</w:t>
      </w:r>
      <w:r>
        <w:rPr>
          <w:rFonts w:ascii="宋体" w:hAnsi="宋体" w:eastAsia="宋体" w:cs="宋体"/>
          <w:color w:val="000000"/>
          <w:sz w:val="21"/>
          <w:szCs w:val="21"/>
          <w:lang w:eastAsia="zh-CN"/>
        </w:rPr>
        <w:t xml:space="preserve">日</w:t>
      </w:r>
      <w:r>
        <w:rPr>
          <w:rFonts w:hint="eastAsia" w:ascii="宋体" w:hAnsi="宋体" w:eastAsia="宋体" w:cs="宋体"/>
          <w:color w:val="000000"/>
          <w:sz w:val="21"/>
          <w:szCs w:val="21"/>
          <w:lang w:val="en-US" w:eastAsia="zh-CN"/>
        </w:rPr>
        <w:t xml:space="preserve">上</w:t>
      </w:r>
      <w:r>
        <w:rPr>
          <w:rFonts w:ascii="宋体" w:hAnsi="宋体" w:eastAsia="宋体" w:cs="宋体"/>
          <w:color w:val="000000"/>
          <w:sz w:val="21"/>
          <w:szCs w:val="21"/>
          <w:lang w:eastAsia="zh-CN"/>
        </w:rPr>
        <w:t xml:space="preserve">午</w:t>
      </w:r>
      <w:r>
        <w:rPr>
          <w:rFonts w:hint="eastAsia" w:ascii="宋体" w:hAnsi="宋体" w:eastAsia="宋体" w:cs="宋体"/>
          <w:color w:val="000000"/>
          <w:sz w:val="21"/>
          <w:szCs w:val="21"/>
          <w:lang w:val="en-US" w:eastAsia="zh-CN"/>
        </w:rPr>
        <w:t xml:space="preserve">09</w:t>
      </w:r>
      <w:r>
        <w:rPr>
          <w:rFonts w:ascii="宋体" w:hAnsi="宋体" w:eastAsia="宋体" w:cs="宋体"/>
          <w:color w:val="000000"/>
          <w:sz w:val="21"/>
          <w:szCs w:val="21"/>
          <w:lang w:eastAsia="zh-CN"/>
        </w:rPr>
        <w:t xml:space="preserve">点</w:t>
      </w:r>
      <w:r>
        <w:rPr>
          <w:rFonts w:hint="eastAsia" w:ascii="宋体" w:hAnsi="宋体" w:eastAsia="宋体" w:cs="宋体"/>
          <w:color w:val="000000"/>
          <w:sz w:val="21"/>
          <w:szCs w:val="21"/>
          <w:lang w:val="en-US" w:eastAsia="zh-CN"/>
        </w:rPr>
        <w:t xml:space="preserve">00</w:t>
      </w:r>
      <w:r>
        <w:rPr>
          <w:rFonts w:ascii="宋体" w:hAnsi="宋体" w:eastAsia="宋体" w:cs="宋体"/>
          <w:color w:val="000000"/>
          <w:sz w:val="21"/>
          <w:szCs w:val="21"/>
          <w:lang w:eastAsia="zh-CN"/>
        </w:rPr>
        <w:t xml:space="preserve">分（北京时间）</w:t>
      </w:r>
      <w:r/>
    </w:p>
    <w:p>
      <w:pPr>
        <w:ind w:firstLine="42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地点：</w:t>
      </w:r>
      <w:r>
        <w:rPr>
          <w:rFonts w:hint="eastAsia" w:ascii="宋体" w:hAnsi="宋体" w:eastAsia="宋体" w:cs="宋体"/>
          <w:color w:val="000000"/>
          <w:sz w:val="21"/>
          <w:szCs w:val="21"/>
          <w:lang w:eastAsia="zh-CN"/>
        </w:rPr>
        <w:t xml:space="preserve">南京市建邺区嘉陵江东街18号1栋17层1号会议室</w:t>
      </w:r>
      <w:r>
        <w:rPr>
          <w:rFonts w:ascii="宋体" w:hAnsi="宋体" w:eastAsia="宋体" w:cs="宋体"/>
          <w:color w:val="000000"/>
          <w:sz w:val="21"/>
          <w:szCs w:val="21"/>
          <w:lang w:eastAsia="zh-CN"/>
        </w:rPr>
        <w:t xml:space="preserve"> </w:t>
      </w:r>
      <w:r/>
    </w:p>
    <w:p>
      <w:pPr>
        <w:ind w:firstLine="422"/>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六</w:t>
      </w:r>
      <w:r>
        <w:rPr>
          <w:rFonts w:ascii="宋体" w:hAnsi="宋体" w:eastAsia="宋体" w:cs="宋体"/>
          <w:b/>
          <w:color w:val="000000"/>
          <w:sz w:val="21"/>
          <w:szCs w:val="21"/>
          <w:lang w:eastAsia="zh-CN"/>
        </w:rPr>
        <w:t xml:space="preserve">、公告期限</w:t>
      </w:r>
      <w:r/>
    </w:p>
    <w:p>
      <w:pPr>
        <w:ind w:firstLine="42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自本公告发布之日起5个工作日。</w:t>
      </w:r>
      <w:r/>
    </w:p>
    <w:p>
      <w:pPr>
        <w:ind w:firstLine="422"/>
        <w:spacing w:after="0" w:line="360" w:lineRule="auto"/>
        <w:rPr>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七</w:t>
      </w:r>
      <w:r>
        <w:rPr>
          <w:rFonts w:ascii="宋体" w:hAnsi="宋体" w:eastAsia="宋体" w:cs="宋体"/>
          <w:b/>
          <w:color w:val="000000"/>
          <w:sz w:val="21"/>
          <w:szCs w:val="21"/>
        </w:rPr>
        <w:t xml:space="preserve">、其他补充事宜</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7.1本公告在江苏政府采购网(http://www.ccgp-jiangsu.gov.cn/)公示发布，敬请各投标人关注。</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7.2若有关本次采购存在变动或修改，敬请各投标人及时关注江苏政府采购网(http://www.ccgp-jiangsu.gov.cn/)发布的关于本项目的信息更正公告。</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7.3勘察现场或答疑：采购人不组织统一现场勘察；如供应商需勘察现场，可自行联系代理机构或采购人。中标后，供应商不得以未踏勘现场或未明确服务范围或项目实施现场情况不熟悉等理由进行投标报价调整。</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7.4响应文件份数：纸质响应文件一式伍份（正本壹份、副本肆份），电子版响应文件壹份，U盘（须为纸质正本响应文件加盖公章的扫描件，U盘上需标签注明单位名称）。当电子版文件和纸质正本文件不一致时，以纸质正本文件为准。电子版文件用于辅助评审和存档，供应商需承担前述不一致造成的不利后果。每份纸质文件须清楚标明“正本”或“副本”字样。一旦正本和副本不符，以正本为准，如未按上述要求，采购人有权拒收。</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7.5供应商应当从采购代理机构合法获得招标项目的招标文件。</w:t>
      </w:r>
      <w:r/>
    </w:p>
    <w:p>
      <w:pPr>
        <w:ind w:firstLine="422"/>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八</w:t>
      </w:r>
      <w:r>
        <w:rPr>
          <w:rFonts w:ascii="宋体" w:hAnsi="宋体" w:eastAsia="宋体" w:cs="宋体"/>
          <w:b/>
          <w:color w:val="000000"/>
          <w:sz w:val="21"/>
          <w:szCs w:val="21"/>
          <w:lang w:eastAsia="zh-CN"/>
        </w:rPr>
        <w:t xml:space="preserve">、对本次招标提出询问，请按以下方式联系。</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7.1采购人信息</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名称：江苏海事职业技术学院</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联系人：游老师 </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联系方式：13913049195 </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地址：江苏省南京市江宁区格致路309号</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7.2采购代理机构信息</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名称：正中国际项目管理集团有限公司</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地址：南京市建邺区嘉陵江东街18号1栋17层</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联系人：汪工 陈工</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联系方式：</w:t>
      </w:r>
      <w:bookmarkStart w:id="1" w:name="_Toc28359087"/>
      <w:r/>
      <w:bookmarkStart w:id="2" w:name="_Toc28359010"/>
      <w:r>
        <w:rPr>
          <w:rFonts w:hint="eastAsia" w:ascii="宋体" w:hAnsi="宋体" w:eastAsia="宋体" w:cs="宋体"/>
          <w:color w:val="000000"/>
          <w:sz w:val="21"/>
          <w:szCs w:val="21"/>
          <w:lang w:eastAsia="zh-CN"/>
        </w:rPr>
        <w:t xml:space="preserve">18828521350 18105178067</w:t>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7.3项目联系方式</w:t>
      </w:r>
      <w:bookmarkEnd w:id="1"/>
      <w:r/>
      <w:bookmarkEnd w:id="2"/>
      <w:r/>
      <w:r/>
    </w:p>
    <w:p>
      <w:pPr>
        <w:ind w:firstLine="42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联系人：汪工 陈工</w:t>
      </w:r>
      <w:r/>
    </w:p>
    <w:p>
      <w:pPr>
        <w:ind w:firstLine="420"/>
        <w:spacing w:after="0"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联系方式：18828521350 18105178067</w:t>
      </w:r>
      <w:r>
        <w:br w:type="page" w:clear="all"/>
      </w:r>
      <w:r/>
    </w:p>
    <w:p>
      <w:pPr>
        <w:numPr>
          <w:ilvl w:val="0"/>
          <w:numId w:val="1"/>
        </w:numPr>
        <w:jc w:val="center"/>
        <w:spacing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eastAsia="zh-CN"/>
        </w:rPr>
        <w:t xml:space="preserve">供应商</w:t>
      </w:r>
      <w:r>
        <w:rPr>
          <w:rFonts w:ascii="宋体" w:hAnsi="宋体" w:eastAsia="宋体" w:cs="宋体"/>
          <w:b/>
          <w:color w:val="000000"/>
          <w:sz w:val="36"/>
        </w:rPr>
        <w:t xml:space="preserve">须知</w:t>
      </w:r>
      <w:r/>
    </w:p>
    <w:p>
      <w:pPr>
        <w:pStyle w:val="730"/>
        <w:ind w:left="0" w:firstLine="3253"/>
        <w:jc w:val="both"/>
      </w:pPr>
      <w:r>
        <w:rPr>
          <w:rFonts w:hint="eastAsia" w:ascii="宋体" w:hAnsi="宋体" w:eastAsia="宋体" w:cs="宋体"/>
          <w:b/>
          <w:bCs/>
          <w:sz w:val="36"/>
          <w:szCs w:val="36"/>
        </w:rPr>
        <w:t xml:space="preserve">供应商须知前附表</w:t>
      </w:r>
      <w:r/>
    </w:p>
    <w:tbl>
      <w:tblPr>
        <w:tblStyle w:val="723"/>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3619"/>
        <w:gridCol w:w="5245"/>
      </w:tblGrid>
      <w:tr>
        <w:trPr>
          <w:jc w:val="center"/>
          <w:trHeight w:val="890"/>
        </w:trPr>
        <w:tc>
          <w:tcPr>
            <w:tcW w:w="600" w:type="dxa"/>
            <w:vAlign w:val="center"/>
            <w:textDirection w:val="lrTb"/>
            <w:noWrap w:val="false"/>
          </w:tcPr>
          <w:p>
            <w:pPr>
              <w:pStyle w:val="901"/>
              <w:jc w:val="center"/>
              <w:spacing w:line="360" w:lineRule="auto"/>
              <w:rPr>
                <w:rFonts w:hint="eastAsia" w:hAnsi="宋体" w:eastAsia="宋体" w:cs="宋体"/>
                <w:b/>
                <w:sz w:val="21"/>
                <w:szCs w:val="21"/>
              </w:rPr>
            </w:pPr>
            <w:r>
              <w:rPr>
                <w:rFonts w:hint="eastAsia" w:hAnsi="宋体" w:eastAsia="宋体" w:cs="宋体"/>
                <w:b/>
                <w:sz w:val="21"/>
                <w:szCs w:val="21"/>
              </w:rPr>
              <w:t xml:space="preserve">序号</w:t>
            </w:r>
            <w:r/>
          </w:p>
        </w:tc>
        <w:tc>
          <w:tcPr>
            <w:tcW w:w="3619" w:type="dxa"/>
            <w:vAlign w:val="center"/>
            <w:textDirection w:val="lrTb"/>
            <w:noWrap w:val="false"/>
          </w:tcPr>
          <w:p>
            <w:pPr>
              <w:pStyle w:val="901"/>
              <w:jc w:val="center"/>
              <w:spacing w:line="360" w:lineRule="auto"/>
              <w:rPr>
                <w:rFonts w:hint="eastAsia" w:hAnsi="宋体" w:eastAsia="宋体" w:cs="宋体"/>
                <w:b/>
                <w:sz w:val="21"/>
                <w:szCs w:val="21"/>
              </w:rPr>
            </w:pPr>
            <w:r>
              <w:rPr>
                <w:rFonts w:hint="eastAsia" w:hAnsi="宋体" w:eastAsia="宋体" w:cs="宋体"/>
                <w:b/>
                <w:sz w:val="21"/>
                <w:szCs w:val="21"/>
              </w:rPr>
              <w:t xml:space="preserve">条款名称</w:t>
            </w:r>
            <w:r/>
          </w:p>
        </w:tc>
        <w:tc>
          <w:tcPr>
            <w:tcW w:w="5245" w:type="dxa"/>
            <w:vAlign w:val="center"/>
            <w:textDirection w:val="lrTb"/>
            <w:noWrap w:val="false"/>
          </w:tcPr>
          <w:p>
            <w:pPr>
              <w:pStyle w:val="901"/>
              <w:jc w:val="center"/>
              <w:spacing w:line="360" w:lineRule="auto"/>
              <w:rPr>
                <w:rFonts w:hint="eastAsia" w:hAnsi="宋体" w:eastAsia="宋体" w:cs="宋体"/>
                <w:b/>
                <w:sz w:val="21"/>
                <w:szCs w:val="21"/>
              </w:rPr>
            </w:pPr>
            <w:r>
              <w:rPr>
                <w:rFonts w:hint="eastAsia" w:hAnsi="宋体" w:eastAsia="宋体" w:cs="宋体"/>
                <w:b/>
                <w:sz w:val="21"/>
                <w:szCs w:val="21"/>
              </w:rPr>
              <w:t xml:space="preserve">编列内容规定</w:t>
            </w:r>
            <w:r/>
          </w:p>
        </w:tc>
      </w:tr>
      <w:tr>
        <w:trPr>
          <w:jc w:val="center"/>
          <w:trHeight w:val="2347"/>
        </w:trPr>
        <w:tc>
          <w:tcPr>
            <w:tcW w:w="600" w:type="dxa"/>
            <w:vAlign w:val="center"/>
            <w:textDirection w:val="lrTb"/>
            <w:noWrap w:val="false"/>
          </w:tcPr>
          <w:p>
            <w:pPr>
              <w:pStyle w:val="901"/>
              <w:jc w:val="center"/>
              <w:spacing w:line="360" w:lineRule="auto"/>
              <w:rPr>
                <w:rFonts w:hint="eastAsia" w:hAnsi="宋体" w:eastAsia="宋体" w:cs="宋体"/>
                <w:sz w:val="21"/>
                <w:szCs w:val="21"/>
              </w:rPr>
            </w:pPr>
            <w:r>
              <w:rPr>
                <w:rFonts w:hint="eastAsia" w:hAnsi="宋体" w:eastAsia="宋体" w:cs="宋体"/>
                <w:sz w:val="21"/>
                <w:szCs w:val="21"/>
              </w:rPr>
              <w:t xml:space="preserve">1</w:t>
            </w:r>
            <w:r/>
          </w:p>
        </w:tc>
        <w:tc>
          <w:tcPr>
            <w:tcW w:w="3619" w:type="dxa"/>
            <w:vAlign w:val="center"/>
            <w:textDirection w:val="lrTb"/>
            <w:noWrap w:val="false"/>
          </w:tcPr>
          <w:p>
            <w:pPr>
              <w:pStyle w:val="901"/>
              <w:jc w:val="center"/>
              <w:spacing w:line="360" w:lineRule="auto"/>
              <w:rPr>
                <w:rFonts w:hint="eastAsia" w:hAnsi="宋体" w:eastAsia="宋体" w:cs="宋体"/>
                <w:sz w:val="21"/>
                <w:szCs w:val="21"/>
              </w:rPr>
            </w:pPr>
            <w:r>
              <w:rPr>
                <w:rFonts w:hint="eastAsia" w:hAnsi="宋体" w:eastAsia="宋体" w:cs="宋体"/>
                <w:sz w:val="21"/>
                <w:szCs w:val="21"/>
              </w:rPr>
              <w:t xml:space="preserve">采购人</w:t>
            </w:r>
            <w:r/>
          </w:p>
        </w:tc>
        <w:tc>
          <w:tcPr>
            <w:tcW w:w="5245" w:type="dxa"/>
            <w:vAlign w:val="center"/>
            <w:textDirection w:val="lrTb"/>
            <w:noWrap w:val="false"/>
          </w:tcPr>
          <w:p>
            <w:pPr>
              <w:pStyle w:val="902"/>
              <w:spacing w:before="160" w:line="360" w:lineRule="auto"/>
              <w:rPr>
                <w:rFonts w:hint="eastAsia"/>
                <w:sz w:val="21"/>
                <w:szCs w:val="21"/>
                <w:lang w:eastAsia="zh-CN"/>
              </w:rPr>
            </w:pPr>
            <w:r>
              <w:rPr>
                <w:rFonts w:hint="eastAsia"/>
                <w:sz w:val="21"/>
                <w:szCs w:val="21"/>
                <w:lang w:eastAsia="zh-CN"/>
              </w:rPr>
              <w:t xml:space="preserve">名称：江苏海事职业技术学院</w:t>
            </w:r>
            <w:r/>
          </w:p>
          <w:p>
            <w:pPr>
              <w:pStyle w:val="902"/>
              <w:spacing w:before="160" w:line="360" w:lineRule="auto"/>
              <w:rPr>
                <w:rFonts w:hint="eastAsia"/>
                <w:sz w:val="21"/>
                <w:szCs w:val="21"/>
                <w:lang w:val="en-US" w:eastAsia="zh-CN"/>
              </w:rPr>
            </w:pPr>
            <w:r>
              <w:rPr>
                <w:rFonts w:hint="eastAsia"/>
                <w:sz w:val="21"/>
                <w:szCs w:val="21"/>
                <w:lang w:eastAsia="zh-CN"/>
              </w:rPr>
              <w:t xml:space="preserve">联系人：</w:t>
            </w:r>
            <w:r>
              <w:rPr>
                <w:rFonts w:hint="eastAsia"/>
                <w:color w:val="000000"/>
                <w:sz w:val="21"/>
                <w:szCs w:val="21"/>
                <w:lang w:val="en-US" w:eastAsia="zh-CN"/>
              </w:rPr>
              <w:t xml:space="preserve">游老师</w:t>
            </w:r>
            <w:r/>
          </w:p>
          <w:p>
            <w:pPr>
              <w:rPr>
                <w:sz w:val="21"/>
                <w:szCs w:val="21"/>
                <w:lang w:eastAsia="zh-CN"/>
              </w:rPr>
            </w:pPr>
            <w:r>
              <w:rPr>
                <w:rFonts w:hint="eastAsia"/>
                <w:sz w:val="21"/>
                <w:szCs w:val="21"/>
                <w:lang w:eastAsia="zh-CN"/>
              </w:rPr>
              <w:t xml:space="preserve">联系方式</w:t>
            </w:r>
            <w:r>
              <w:rPr>
                <w:rFonts w:hint="eastAsia" w:ascii="宋体" w:hAnsi="宋体" w:eastAsia="宋体" w:cs="宋体"/>
                <w:sz w:val="21"/>
                <w:szCs w:val="21"/>
                <w:lang w:val="zh-CN" w:eastAsia="zh-CN" w:bidi="zh-CN"/>
              </w:rPr>
              <w:t xml:space="preserve">：</w:t>
            </w:r>
            <w:r>
              <w:rPr>
                <w:rFonts w:hint="eastAsia" w:ascii="宋体" w:hAnsi="宋体" w:eastAsia="宋体" w:cs="宋体"/>
                <w:color w:val="000000"/>
                <w:sz w:val="21"/>
                <w:szCs w:val="21"/>
                <w:lang w:eastAsia="zh-CN"/>
              </w:rPr>
              <w:t xml:space="preserve">13913049195</w:t>
            </w:r>
            <w:r/>
          </w:p>
          <w:p>
            <w:pPr>
              <w:pStyle w:val="902"/>
              <w:spacing w:before="160" w:line="360" w:lineRule="auto"/>
              <w:rPr>
                <w:rFonts w:hint="eastAsia"/>
                <w:sz w:val="21"/>
                <w:szCs w:val="21"/>
                <w:lang w:eastAsia="zh-CN"/>
              </w:rPr>
            </w:pPr>
            <w:r>
              <w:rPr>
                <w:rFonts w:hint="eastAsia"/>
                <w:sz w:val="21"/>
                <w:szCs w:val="21"/>
                <w:lang w:eastAsia="zh-CN"/>
              </w:rPr>
              <w:t xml:space="preserve">地址：江苏省南京市江宁区格致路309号</w:t>
            </w:r>
            <w:r/>
          </w:p>
        </w:tc>
      </w:tr>
      <w:tr>
        <w:trPr>
          <w:jc w:val="center"/>
          <w:trHeight w:val="90"/>
        </w:trPr>
        <w:tc>
          <w:tcPr>
            <w:tcW w:w="600" w:type="dxa"/>
            <w:vAlign w:val="center"/>
            <w:textDirection w:val="lrTb"/>
            <w:noWrap w:val="false"/>
          </w:tcPr>
          <w:p>
            <w:pPr>
              <w:pStyle w:val="901"/>
              <w:jc w:val="center"/>
              <w:spacing w:line="360" w:lineRule="auto"/>
              <w:rPr>
                <w:rFonts w:hint="eastAsia" w:hAnsi="宋体" w:eastAsia="宋体" w:cs="宋体"/>
                <w:sz w:val="21"/>
                <w:szCs w:val="21"/>
              </w:rPr>
            </w:pPr>
            <w:r>
              <w:rPr>
                <w:rFonts w:hint="eastAsia" w:hAnsi="宋体" w:eastAsia="宋体" w:cs="宋体"/>
                <w:sz w:val="21"/>
                <w:szCs w:val="21"/>
              </w:rPr>
              <w:t xml:space="preserve">2</w:t>
            </w:r>
            <w:r/>
          </w:p>
        </w:tc>
        <w:tc>
          <w:tcPr>
            <w:tcW w:w="3619" w:type="dxa"/>
            <w:vAlign w:val="center"/>
            <w:textDirection w:val="lrTb"/>
            <w:noWrap w:val="false"/>
          </w:tcPr>
          <w:p>
            <w:pPr>
              <w:pStyle w:val="901"/>
              <w:jc w:val="center"/>
              <w:spacing w:line="360" w:lineRule="auto"/>
              <w:rPr>
                <w:rFonts w:hint="eastAsia" w:hAnsi="宋体" w:eastAsia="宋体" w:cs="宋体"/>
                <w:sz w:val="21"/>
                <w:szCs w:val="21"/>
              </w:rPr>
            </w:pPr>
            <w:r>
              <w:rPr>
                <w:rFonts w:hint="eastAsia" w:hAnsi="宋体" w:eastAsia="宋体" w:cs="宋体"/>
                <w:sz w:val="21"/>
                <w:szCs w:val="21"/>
              </w:rPr>
              <w:t xml:space="preserve">采购代理机构</w:t>
            </w:r>
            <w:r/>
          </w:p>
        </w:tc>
        <w:tc>
          <w:tcPr>
            <w:tcW w:w="5245" w:type="dxa"/>
            <w:vAlign w:val="center"/>
            <w:textDirection w:val="lrTb"/>
            <w:noWrap w:val="false"/>
          </w:tcPr>
          <w:p>
            <w:pPr>
              <w:pStyle w:val="902"/>
              <w:spacing w:before="160" w:line="360" w:lineRule="auto"/>
              <w:rPr>
                <w:rFonts w:hint="eastAsia"/>
                <w:sz w:val="21"/>
                <w:szCs w:val="21"/>
                <w:lang w:eastAsia="zh-CN"/>
              </w:rPr>
            </w:pPr>
            <w:r>
              <w:rPr>
                <w:rFonts w:hint="eastAsia"/>
                <w:sz w:val="21"/>
                <w:szCs w:val="21"/>
                <w:lang w:eastAsia="zh-CN"/>
              </w:rPr>
              <w:t xml:space="preserve">名称：正中国际项目管理集团有限公司</w:t>
            </w:r>
            <w:r/>
          </w:p>
          <w:p>
            <w:pPr>
              <w:pStyle w:val="902"/>
              <w:spacing w:before="160" w:line="360" w:lineRule="auto"/>
              <w:rPr>
                <w:rFonts w:hint="eastAsia"/>
                <w:sz w:val="21"/>
                <w:szCs w:val="21"/>
                <w:lang w:eastAsia="zh-CN"/>
              </w:rPr>
            </w:pPr>
            <w:r>
              <w:rPr>
                <w:rFonts w:hint="eastAsia"/>
                <w:sz w:val="21"/>
                <w:szCs w:val="21"/>
                <w:lang w:eastAsia="zh-CN"/>
              </w:rPr>
              <w:t xml:space="preserve">地址：南京市建邺区嘉陵江东街18号1栋17层</w:t>
            </w:r>
            <w:r/>
          </w:p>
          <w:p>
            <w:pPr>
              <w:pStyle w:val="902"/>
              <w:spacing w:before="160" w:line="360" w:lineRule="auto"/>
              <w:rPr>
                <w:rFonts w:hint="eastAsia"/>
                <w:sz w:val="21"/>
                <w:szCs w:val="21"/>
                <w:lang w:val="en-US" w:eastAsia="zh-CN"/>
              </w:rPr>
            </w:pPr>
            <w:r>
              <w:rPr>
                <w:rFonts w:hint="eastAsia"/>
                <w:sz w:val="21"/>
                <w:szCs w:val="21"/>
                <w:lang w:eastAsia="zh-CN"/>
              </w:rPr>
              <w:t xml:space="preserve">联系人：</w:t>
            </w:r>
            <w:r>
              <w:rPr>
                <w:rFonts w:hint="eastAsia"/>
                <w:sz w:val="21"/>
                <w:szCs w:val="21"/>
                <w:lang w:val="en-US" w:eastAsia="zh-CN"/>
              </w:rPr>
              <w:t xml:space="preserve">汪</w:t>
            </w:r>
            <w:r>
              <w:rPr>
                <w:rFonts w:hint="eastAsia"/>
                <w:sz w:val="21"/>
                <w:szCs w:val="21"/>
                <w:lang w:eastAsia="zh-CN"/>
              </w:rPr>
              <w:t xml:space="preserve">工</w:t>
            </w:r>
            <w:r>
              <w:rPr>
                <w:rFonts w:hint="eastAsia"/>
                <w:sz w:val="21"/>
                <w:szCs w:val="21"/>
                <w:lang w:val="en-US" w:eastAsia="zh-CN"/>
              </w:rPr>
              <w:t xml:space="preserve"> 陈工</w:t>
            </w:r>
            <w:r/>
          </w:p>
          <w:p>
            <w:pPr>
              <w:spacing w:line="360" w:lineRule="auto"/>
              <w:widowControl w:val="off"/>
              <w:rPr>
                <w:rFonts w:eastAsia="宋体"/>
                <w:sz w:val="21"/>
                <w:szCs w:val="21"/>
                <w:lang w:eastAsia="zh-CN"/>
              </w:rPr>
            </w:pPr>
            <w:r>
              <w:rPr>
                <w:rFonts w:hint="eastAsia"/>
                <w:sz w:val="21"/>
                <w:szCs w:val="21"/>
                <w:lang w:eastAsia="zh-CN"/>
              </w:rPr>
              <w:t xml:space="preserve">联系</w:t>
            </w:r>
            <w:r>
              <w:rPr>
                <w:rFonts w:hint="eastAsia" w:ascii="宋体" w:hAnsi="宋体" w:eastAsia="宋体" w:cs="宋体"/>
                <w:sz w:val="21"/>
                <w:szCs w:val="21"/>
                <w:lang w:eastAsia="zh-CN"/>
              </w:rPr>
              <w:t xml:space="preserve">方式：18828521350  18105178067</w:t>
            </w:r>
            <w:r/>
          </w:p>
        </w:tc>
      </w:tr>
      <w:tr>
        <w:trPr>
          <w:jc w:val="center"/>
          <w:trHeight w:val="885"/>
        </w:trPr>
        <w:tc>
          <w:tcPr>
            <w:tcW w:w="600" w:type="dxa"/>
            <w:vAlign w:val="center"/>
            <w:textDirection w:val="lrTb"/>
            <w:noWrap w:val="false"/>
          </w:tcPr>
          <w:p>
            <w:pPr>
              <w:pStyle w:val="901"/>
              <w:jc w:val="center"/>
              <w:spacing w:line="360" w:lineRule="auto"/>
              <w:rPr>
                <w:rFonts w:hint="eastAsia" w:hAnsi="宋体" w:eastAsia="宋体" w:cs="宋体"/>
                <w:sz w:val="21"/>
                <w:szCs w:val="21"/>
              </w:rPr>
            </w:pPr>
            <w:r>
              <w:rPr>
                <w:rFonts w:hint="eastAsia" w:hAnsi="宋体" w:eastAsia="宋体" w:cs="宋体"/>
                <w:sz w:val="21"/>
                <w:szCs w:val="21"/>
              </w:rPr>
              <w:t xml:space="preserve">3</w:t>
            </w:r>
            <w:r/>
          </w:p>
        </w:tc>
        <w:tc>
          <w:tcPr>
            <w:tcW w:w="3619" w:type="dxa"/>
            <w:vAlign w:val="center"/>
            <w:textDirection w:val="lrTb"/>
            <w:noWrap w:val="false"/>
          </w:tcPr>
          <w:p>
            <w:pPr>
              <w:pStyle w:val="901"/>
              <w:jc w:val="center"/>
              <w:spacing w:line="360" w:lineRule="auto"/>
              <w:rPr>
                <w:rFonts w:hint="eastAsia" w:hAnsi="宋体" w:eastAsia="宋体" w:cs="宋体"/>
                <w:sz w:val="21"/>
                <w:szCs w:val="21"/>
                <w:lang w:eastAsia="zh-CN"/>
              </w:rPr>
            </w:pPr>
            <w:r>
              <w:rPr>
                <w:rFonts w:hint="eastAsia" w:hAnsi="宋体" w:eastAsia="宋体" w:cs="宋体"/>
                <w:sz w:val="21"/>
                <w:szCs w:val="21"/>
                <w:lang w:eastAsia="zh-CN"/>
              </w:rPr>
              <w:t xml:space="preserve">本项目执行的政府采购政策</w:t>
            </w:r>
            <w:r/>
          </w:p>
        </w:tc>
        <w:tc>
          <w:tcPr>
            <w:tcW w:w="5245" w:type="dxa"/>
            <w:vAlign w:val="center"/>
            <w:textDirection w:val="lrTb"/>
            <w:noWrap w:val="false"/>
          </w:tcPr>
          <w:p>
            <w:pPr>
              <w:spacing w:line="360" w:lineRule="auto"/>
              <w:rPr>
                <w:rFonts w:ascii="宋体" w:hAnsi="宋体" w:cs="宋体"/>
                <w:bCs/>
                <w:sz w:val="21"/>
                <w:szCs w:val="21"/>
                <w:lang w:eastAsia="zh-CN"/>
              </w:rPr>
            </w:pPr>
            <w:r>
              <w:rPr>
                <w:rFonts w:hint="eastAsia" w:ascii="宋体" w:hAnsi="宋体" w:cs="宋体"/>
                <w:bCs/>
                <w:sz w:val="21"/>
                <w:szCs w:val="21"/>
                <w:lang w:eastAsia="zh-CN"/>
              </w:rPr>
              <w:t xml:space="preserve">详见</w:t>
            </w:r>
            <w:r>
              <w:rPr>
                <w:rFonts w:hint="eastAsia" w:ascii="宋体" w:hAnsi="宋体" w:cs="宋体"/>
                <w:sz w:val="21"/>
                <w:szCs w:val="21"/>
                <w:lang w:eastAsia="zh-CN"/>
              </w:rPr>
              <w:t xml:space="preserve">招标文件第一章《招标公告》</w:t>
            </w:r>
            <w:r/>
          </w:p>
        </w:tc>
      </w:tr>
      <w:tr>
        <w:trPr>
          <w:jc w:val="center"/>
          <w:trHeight w:val="851"/>
        </w:trPr>
        <w:tc>
          <w:tcPr>
            <w:tcW w:w="600" w:type="dxa"/>
            <w:vAlign w:val="center"/>
            <w:textDirection w:val="lrTb"/>
            <w:noWrap w:val="false"/>
          </w:tcPr>
          <w:p>
            <w:pPr>
              <w:pStyle w:val="901"/>
              <w:jc w:val="center"/>
              <w:spacing w:line="360" w:lineRule="auto"/>
              <w:rPr>
                <w:rFonts w:hint="eastAsia" w:hAnsi="宋体" w:eastAsia="宋体" w:cs="宋体"/>
                <w:sz w:val="21"/>
                <w:szCs w:val="21"/>
              </w:rPr>
            </w:pPr>
            <w:r>
              <w:rPr>
                <w:rFonts w:hint="eastAsia" w:hAnsi="宋体" w:eastAsia="宋体" w:cs="宋体"/>
                <w:sz w:val="21"/>
                <w:szCs w:val="21"/>
              </w:rPr>
              <w:t xml:space="preserve">4</w:t>
            </w:r>
            <w:r/>
          </w:p>
        </w:tc>
        <w:tc>
          <w:tcPr>
            <w:tcW w:w="3619" w:type="dxa"/>
            <w:vAlign w:val="center"/>
            <w:textDirection w:val="lrTb"/>
            <w:noWrap w:val="false"/>
          </w:tcPr>
          <w:p>
            <w:pPr>
              <w:jc w:val="center"/>
              <w:spacing w:before="120" w:line="360" w:lineRule="auto"/>
              <w:rPr>
                <w:rFonts w:ascii="宋体" w:hAnsi="宋体" w:cs="宋体"/>
                <w:bCs/>
                <w:sz w:val="21"/>
                <w:szCs w:val="21"/>
              </w:rPr>
            </w:pPr>
            <w:r>
              <w:rPr>
                <w:rFonts w:hint="eastAsia" w:ascii="宋体" w:hAnsi="宋体" w:cs="宋体"/>
                <w:bCs/>
                <w:sz w:val="21"/>
                <w:szCs w:val="21"/>
              </w:rPr>
              <w:t xml:space="preserve">现场勘察</w:t>
            </w:r>
            <w:r/>
          </w:p>
        </w:tc>
        <w:tc>
          <w:tcPr>
            <w:tcW w:w="5245" w:type="dxa"/>
            <w:vAlign w:val="center"/>
            <w:textDirection w:val="lrTb"/>
            <w:noWrap w:val="false"/>
          </w:tcPr>
          <w:p>
            <w:pPr>
              <w:spacing w:before="120" w:line="360" w:lineRule="auto"/>
              <w:rPr>
                <w:rFonts w:hint="eastAsia" w:ascii="宋体" w:hAnsi="宋体" w:eastAsia="宋体" w:cs="宋体"/>
                <w:bCs/>
                <w:sz w:val="21"/>
                <w:szCs w:val="21"/>
                <w:lang w:eastAsia="zh-CN"/>
              </w:rPr>
            </w:pPr>
            <w:r>
              <w:rPr>
                <w:rFonts w:hint="eastAsia" w:ascii="宋体" w:hAnsi="宋体" w:eastAsia="宋体" w:cs="宋体"/>
                <w:sz w:val="21"/>
                <w:szCs w:val="21"/>
                <w:lang w:eastAsia="zh-CN"/>
              </w:rPr>
              <w:t xml:space="preserve">本项目不组织统一现场勘察。</w:t>
            </w:r>
            <w:r/>
          </w:p>
        </w:tc>
      </w:tr>
      <w:tr>
        <w:trPr>
          <w:jc w:val="center"/>
          <w:trHeight w:val="851"/>
        </w:trPr>
        <w:tc>
          <w:tcPr>
            <w:tcW w:w="600" w:type="dxa"/>
            <w:vAlign w:val="center"/>
            <w:textDirection w:val="lrTb"/>
            <w:noWrap w:val="false"/>
          </w:tcPr>
          <w:p>
            <w:pPr>
              <w:pStyle w:val="901"/>
              <w:jc w:val="center"/>
              <w:spacing w:line="360" w:lineRule="auto"/>
              <w:rPr>
                <w:rFonts w:hint="eastAsia" w:hAnsi="宋体" w:eastAsia="宋体" w:cs="宋体"/>
                <w:sz w:val="21"/>
                <w:szCs w:val="21"/>
              </w:rPr>
            </w:pPr>
            <w:r>
              <w:rPr>
                <w:rFonts w:hint="eastAsia" w:hAnsi="宋体" w:eastAsia="宋体" w:cs="宋体"/>
                <w:sz w:val="21"/>
                <w:szCs w:val="21"/>
              </w:rPr>
              <w:t xml:space="preserve">5</w:t>
            </w:r>
            <w:r/>
          </w:p>
        </w:tc>
        <w:tc>
          <w:tcPr>
            <w:tcW w:w="3619" w:type="dxa"/>
            <w:vAlign w:val="center"/>
            <w:textDirection w:val="lrTb"/>
            <w:noWrap w:val="false"/>
          </w:tcPr>
          <w:p>
            <w:pPr>
              <w:pStyle w:val="901"/>
              <w:jc w:val="center"/>
              <w:spacing w:line="360" w:lineRule="auto"/>
              <w:rPr>
                <w:rFonts w:hint="eastAsia" w:hAnsi="宋体" w:eastAsia="宋体" w:cs="宋体"/>
                <w:sz w:val="21"/>
                <w:szCs w:val="21"/>
              </w:rPr>
            </w:pPr>
            <w:r>
              <w:rPr>
                <w:rFonts w:hint="eastAsia" w:hAnsi="宋体" w:eastAsia="宋体" w:cs="宋体"/>
                <w:sz w:val="21"/>
                <w:szCs w:val="21"/>
              </w:rPr>
              <w:t xml:space="preserve">开标前答疑会</w:t>
            </w:r>
            <w:r/>
          </w:p>
        </w:tc>
        <w:tc>
          <w:tcPr>
            <w:tcW w:w="5245" w:type="dxa"/>
            <w:vAlign w:val="center"/>
            <w:textDirection w:val="lrTb"/>
            <w:noWrap w:val="false"/>
          </w:tcPr>
          <w:p>
            <w:pPr>
              <w:spacing w:before="120" w:line="360" w:lineRule="auto"/>
              <w:rPr>
                <w:rFonts w:ascii="宋体" w:hAnsi="宋体" w:cs="宋体"/>
                <w:bCs/>
                <w:sz w:val="21"/>
                <w:szCs w:val="21"/>
              </w:rPr>
            </w:pPr>
            <w:r>
              <w:rPr>
                <w:rFonts w:hint="eastAsia" w:ascii="宋体" w:hAnsi="宋体" w:cs="宋体"/>
                <w:bCs/>
                <w:sz w:val="21"/>
                <w:szCs w:val="21"/>
              </w:rPr>
              <w:t xml:space="preserve">■不召开</w:t>
            </w:r>
            <w:r/>
          </w:p>
        </w:tc>
      </w:tr>
      <w:tr>
        <w:trPr>
          <w:jc w:val="center"/>
          <w:trHeight w:val="851"/>
        </w:trPr>
        <w:tc>
          <w:tcPr>
            <w:tcW w:w="600" w:type="dxa"/>
            <w:vAlign w:val="center"/>
            <w:textDirection w:val="lrTb"/>
            <w:noWrap w:val="false"/>
          </w:tcPr>
          <w:p>
            <w:pPr>
              <w:pStyle w:val="901"/>
              <w:jc w:val="center"/>
              <w:spacing w:line="360" w:lineRule="auto"/>
              <w:rPr>
                <w:rFonts w:hint="eastAsia" w:hAnsi="宋体" w:eastAsia="宋体" w:cs="宋体"/>
                <w:sz w:val="21"/>
                <w:szCs w:val="21"/>
              </w:rPr>
            </w:pPr>
            <w:r>
              <w:rPr>
                <w:rFonts w:hint="eastAsia" w:hAnsi="宋体" w:eastAsia="宋体" w:cs="宋体"/>
                <w:sz w:val="21"/>
                <w:szCs w:val="21"/>
              </w:rPr>
              <w:t xml:space="preserve">6</w:t>
            </w:r>
            <w:r/>
          </w:p>
        </w:tc>
        <w:tc>
          <w:tcPr>
            <w:tcW w:w="3619" w:type="dxa"/>
            <w:vAlign w:val="center"/>
            <w:textDirection w:val="lrTb"/>
            <w:noWrap w:val="false"/>
          </w:tcPr>
          <w:p>
            <w:pPr>
              <w:pStyle w:val="901"/>
              <w:jc w:val="center"/>
              <w:spacing w:line="360" w:lineRule="auto"/>
              <w:rPr>
                <w:rFonts w:hint="eastAsia" w:hAnsi="宋体" w:eastAsia="宋体" w:cs="宋体"/>
                <w:sz w:val="21"/>
                <w:szCs w:val="21"/>
              </w:rPr>
            </w:pPr>
            <w:r>
              <w:rPr>
                <w:rFonts w:hint="eastAsia" w:hAnsi="宋体" w:eastAsia="宋体" w:cs="宋体"/>
                <w:sz w:val="21"/>
                <w:szCs w:val="21"/>
              </w:rPr>
              <w:t xml:space="preserve">联合体投标</w:t>
            </w:r>
            <w:r/>
          </w:p>
        </w:tc>
        <w:tc>
          <w:tcPr>
            <w:tcW w:w="5245" w:type="dxa"/>
            <w:vAlign w:val="center"/>
            <w:textDirection w:val="lrTb"/>
            <w:noWrap w:val="false"/>
          </w:tcPr>
          <w:p>
            <w:pPr>
              <w:spacing w:before="120" w:line="360" w:lineRule="auto"/>
              <w:rPr>
                <w:rFonts w:ascii="宋体" w:hAnsi="宋体" w:cs="宋体"/>
                <w:sz w:val="21"/>
                <w:szCs w:val="21"/>
              </w:rPr>
            </w:pPr>
            <w:r>
              <w:rPr>
                <w:rFonts w:hint="eastAsia" w:ascii="宋体" w:hAnsi="宋体" w:cs="宋体"/>
                <w:bCs/>
                <w:sz w:val="21"/>
                <w:szCs w:val="21"/>
              </w:rPr>
              <w:t xml:space="preserve">■不接受</w:t>
            </w:r>
            <w:r/>
          </w:p>
        </w:tc>
      </w:tr>
      <w:tr>
        <w:trPr>
          <w:jc w:val="center"/>
          <w:trHeight w:val="1406"/>
        </w:trPr>
        <w:tc>
          <w:tcPr>
            <w:tcW w:w="600" w:type="dxa"/>
            <w:vAlign w:val="center"/>
            <w:textDirection w:val="lrTb"/>
            <w:noWrap w:val="false"/>
          </w:tcPr>
          <w:p>
            <w:pPr>
              <w:pStyle w:val="901"/>
              <w:jc w:val="center"/>
              <w:spacing w:line="360" w:lineRule="auto"/>
              <w:rPr>
                <w:rFonts w:hint="eastAsia" w:hAnsi="宋体" w:eastAsia="宋体" w:cs="宋体"/>
                <w:sz w:val="21"/>
                <w:szCs w:val="21"/>
              </w:rPr>
            </w:pPr>
            <w:r>
              <w:rPr>
                <w:rFonts w:hint="eastAsia" w:hAnsi="宋体" w:eastAsia="宋体" w:cs="宋体"/>
                <w:sz w:val="21"/>
                <w:szCs w:val="21"/>
              </w:rPr>
              <w:t xml:space="preserve">7</w:t>
            </w:r>
            <w:r/>
          </w:p>
        </w:tc>
        <w:tc>
          <w:tcPr>
            <w:tcW w:w="3619" w:type="dxa"/>
            <w:vAlign w:val="center"/>
            <w:textDirection w:val="lrTb"/>
            <w:noWrap w:val="false"/>
          </w:tcPr>
          <w:p>
            <w:pPr>
              <w:pStyle w:val="901"/>
              <w:jc w:val="center"/>
              <w:spacing w:line="360" w:lineRule="auto"/>
              <w:rPr>
                <w:rFonts w:hint="eastAsia" w:hAnsi="宋体" w:eastAsia="宋体" w:cs="宋体"/>
                <w:sz w:val="21"/>
                <w:szCs w:val="21"/>
              </w:rPr>
            </w:pPr>
            <w:r>
              <w:rPr>
                <w:rFonts w:hint="eastAsia" w:hAnsi="宋体" w:eastAsia="宋体" w:cs="宋体"/>
                <w:sz w:val="21"/>
                <w:szCs w:val="21"/>
              </w:rPr>
              <w:t xml:space="preserve">分包</w:t>
            </w:r>
            <w:r/>
          </w:p>
        </w:tc>
        <w:tc>
          <w:tcPr>
            <w:tcW w:w="5245" w:type="dxa"/>
            <w:vAlign w:val="center"/>
            <w:textDirection w:val="lrTb"/>
            <w:noWrap w:val="false"/>
          </w:tcPr>
          <w:p>
            <w:pPr>
              <w:spacing w:before="120" w:line="360" w:lineRule="auto"/>
              <w:rPr>
                <w:rFonts w:ascii="宋体" w:hAnsi="宋体" w:cs="宋体"/>
                <w:bCs/>
                <w:sz w:val="21"/>
                <w:szCs w:val="21"/>
                <w:lang w:eastAsia="zh-CN"/>
              </w:rPr>
            </w:pPr>
            <w:r>
              <w:rPr>
                <w:rFonts w:hint="eastAsia" w:ascii="宋体" w:hAnsi="宋体" w:cs="宋体"/>
                <w:sz w:val="21"/>
                <w:szCs w:val="21"/>
                <w:lang w:eastAsia="zh-CN"/>
              </w:rPr>
              <w:t xml:space="preserve">本项目的非主体、非关键性工作是否允许分包：■不允许</w:t>
            </w:r>
            <w:r/>
          </w:p>
        </w:tc>
      </w:tr>
      <w:tr>
        <w:trPr>
          <w:jc w:val="center"/>
          <w:trHeight w:val="892"/>
        </w:trPr>
        <w:tc>
          <w:tcPr>
            <w:tcW w:w="600" w:type="dxa"/>
            <w:vAlign w:val="center"/>
            <w:textDirection w:val="lrTb"/>
            <w:noWrap w:val="false"/>
          </w:tcPr>
          <w:p>
            <w:pPr>
              <w:pStyle w:val="901"/>
              <w:jc w:val="center"/>
              <w:spacing w:line="360" w:lineRule="auto"/>
              <w:rPr>
                <w:rFonts w:hint="eastAsia" w:hAnsi="宋体" w:eastAsia="宋体" w:cs="宋体"/>
                <w:sz w:val="21"/>
                <w:szCs w:val="21"/>
              </w:rPr>
            </w:pPr>
            <w:r>
              <w:rPr>
                <w:rFonts w:hint="eastAsia" w:hAnsi="宋体" w:eastAsia="宋体" w:cs="宋体"/>
                <w:sz w:val="21"/>
                <w:szCs w:val="21"/>
              </w:rPr>
              <w:t xml:space="preserve">8</w:t>
            </w:r>
            <w:r/>
          </w:p>
        </w:tc>
        <w:tc>
          <w:tcPr>
            <w:tcW w:w="3619" w:type="dxa"/>
            <w:vAlign w:val="center"/>
            <w:textDirection w:val="lrTb"/>
            <w:noWrap w:val="false"/>
          </w:tcPr>
          <w:p>
            <w:pPr>
              <w:pStyle w:val="901"/>
              <w:jc w:val="center"/>
              <w:spacing w:line="360" w:lineRule="auto"/>
              <w:rPr>
                <w:rFonts w:hint="eastAsia" w:hAnsi="宋体" w:eastAsia="宋体" w:cs="宋体"/>
                <w:sz w:val="21"/>
                <w:szCs w:val="21"/>
              </w:rPr>
            </w:pPr>
            <w:r>
              <w:rPr>
                <w:rFonts w:hint="eastAsia" w:hAnsi="宋体" w:eastAsia="宋体" w:cs="宋体"/>
                <w:sz w:val="21"/>
                <w:szCs w:val="21"/>
              </w:rPr>
              <w:t xml:space="preserve">样品</w:t>
            </w:r>
            <w:r/>
          </w:p>
        </w:tc>
        <w:tc>
          <w:tcPr>
            <w:tcW w:w="5245" w:type="dxa"/>
            <w:vAlign w:val="center"/>
            <w:textDirection w:val="lrTb"/>
            <w:noWrap w:val="false"/>
          </w:tcPr>
          <w:p>
            <w:pPr>
              <w:spacing w:before="120" w:line="360" w:lineRule="auto"/>
              <w:rPr>
                <w:rFonts w:ascii="宋体" w:hAnsi="宋体" w:cs="宋体"/>
                <w:sz w:val="21"/>
                <w:szCs w:val="21"/>
                <w:lang w:eastAsia="zh-CN"/>
              </w:rPr>
            </w:pPr>
            <w:r>
              <w:rPr>
                <w:rFonts w:hint="eastAsia" w:ascii="宋体" w:hAnsi="宋体" w:cs="宋体"/>
                <w:bCs/>
                <w:sz w:val="21"/>
                <w:szCs w:val="21"/>
                <w:lang w:eastAsia="zh-CN"/>
              </w:rPr>
              <w:t xml:space="preserve">■本项目要求样品：不要求</w:t>
            </w:r>
            <w:r/>
          </w:p>
        </w:tc>
      </w:tr>
      <w:tr>
        <w:trPr>
          <w:jc w:val="center"/>
          <w:trHeight w:val="670"/>
        </w:trPr>
        <w:tc>
          <w:tcPr>
            <w:tcW w:w="600" w:type="dxa"/>
            <w:vAlign w:val="center"/>
            <w:textDirection w:val="lrTb"/>
            <w:noWrap w:val="false"/>
          </w:tcPr>
          <w:p>
            <w:pPr>
              <w:pStyle w:val="901"/>
              <w:jc w:val="center"/>
              <w:spacing w:line="360" w:lineRule="auto"/>
              <w:rPr>
                <w:rFonts w:hint="eastAsia" w:hAnsi="宋体" w:eastAsia="宋体" w:cs="宋体"/>
                <w:sz w:val="21"/>
                <w:szCs w:val="21"/>
              </w:rPr>
            </w:pPr>
            <w:r>
              <w:rPr>
                <w:rFonts w:hint="eastAsia" w:hAnsi="宋体" w:eastAsia="宋体" w:cs="宋体"/>
                <w:sz w:val="21"/>
                <w:szCs w:val="21"/>
              </w:rPr>
              <w:t xml:space="preserve">9</w:t>
            </w:r>
            <w:r/>
          </w:p>
        </w:tc>
        <w:tc>
          <w:tcPr>
            <w:tcW w:w="3619" w:type="dxa"/>
            <w:vAlign w:val="center"/>
            <w:textDirection w:val="lrTb"/>
            <w:noWrap w:val="false"/>
          </w:tcPr>
          <w:p>
            <w:pPr>
              <w:pStyle w:val="901"/>
              <w:jc w:val="center"/>
              <w:spacing w:line="360" w:lineRule="auto"/>
              <w:rPr>
                <w:rFonts w:hint="eastAsia" w:hAnsi="宋体" w:eastAsia="宋体" w:cs="宋体"/>
                <w:sz w:val="21"/>
                <w:szCs w:val="21"/>
              </w:rPr>
            </w:pPr>
            <w:r>
              <w:rPr>
                <w:rFonts w:hint="eastAsia" w:hAnsi="宋体" w:eastAsia="宋体" w:cs="宋体"/>
                <w:sz w:val="21"/>
                <w:szCs w:val="21"/>
              </w:rPr>
              <w:t xml:space="preserve">采购预算</w:t>
            </w:r>
            <w:r/>
          </w:p>
        </w:tc>
        <w:tc>
          <w:tcPr>
            <w:tcW w:w="5245" w:type="dxa"/>
            <w:vAlign w:val="center"/>
            <w:textDirection w:val="lrTb"/>
            <w:noWrap w:val="false"/>
          </w:tcPr>
          <w:p>
            <w:pPr>
              <w:spacing w:line="360" w:lineRule="auto"/>
              <w:rPr>
                <w:rFonts w:ascii="宋体" w:hAnsi="宋体" w:cs="宋体"/>
                <w:sz w:val="21"/>
                <w:szCs w:val="21"/>
                <w:lang w:eastAsia="zh-CN"/>
              </w:rPr>
            </w:pPr>
            <w:r>
              <w:rPr>
                <w:rFonts w:hint="eastAsia" w:ascii="宋体" w:hAnsi="宋体" w:cs="宋体"/>
                <w:bCs/>
                <w:sz w:val="21"/>
                <w:szCs w:val="21"/>
                <w:lang w:eastAsia="zh-CN"/>
              </w:rPr>
              <w:t xml:space="preserve">详见</w:t>
            </w:r>
            <w:r>
              <w:rPr>
                <w:rFonts w:hint="eastAsia" w:ascii="宋体" w:hAnsi="宋体" w:cs="宋体"/>
                <w:sz w:val="21"/>
                <w:szCs w:val="21"/>
                <w:lang w:eastAsia="zh-CN"/>
              </w:rPr>
              <w:t xml:space="preserve">招标文件第一章《招标公告》</w:t>
            </w:r>
            <w:r/>
          </w:p>
        </w:tc>
      </w:tr>
      <w:tr>
        <w:trPr>
          <w:jc w:val="center"/>
          <w:trHeight w:val="603"/>
        </w:trPr>
        <w:tc>
          <w:tcPr>
            <w:tcW w:w="600" w:type="dxa"/>
            <w:vAlign w:val="center"/>
            <w:textDirection w:val="lrTb"/>
            <w:noWrap w:val="false"/>
          </w:tcPr>
          <w:p>
            <w:pPr>
              <w:pStyle w:val="901"/>
              <w:jc w:val="center"/>
              <w:spacing w:line="360" w:lineRule="auto"/>
              <w:rPr>
                <w:rFonts w:hint="eastAsia" w:hAnsi="宋体" w:eastAsia="宋体" w:cs="宋体"/>
                <w:sz w:val="21"/>
                <w:szCs w:val="21"/>
              </w:rPr>
            </w:pPr>
            <w:r>
              <w:rPr>
                <w:rFonts w:hint="eastAsia" w:hAnsi="宋体" w:eastAsia="宋体" w:cs="宋体"/>
                <w:sz w:val="21"/>
                <w:szCs w:val="21"/>
              </w:rPr>
              <w:t xml:space="preserve">10</w:t>
            </w:r>
            <w:r/>
          </w:p>
        </w:tc>
        <w:tc>
          <w:tcPr>
            <w:tcW w:w="3619" w:type="dxa"/>
            <w:vAlign w:val="center"/>
            <w:textDirection w:val="lrTb"/>
            <w:noWrap w:val="false"/>
          </w:tcPr>
          <w:p>
            <w:pPr>
              <w:pStyle w:val="901"/>
              <w:jc w:val="center"/>
              <w:spacing w:line="360" w:lineRule="auto"/>
              <w:rPr>
                <w:rFonts w:hint="eastAsia" w:hAnsi="宋体" w:eastAsia="宋体" w:cs="宋体"/>
                <w:sz w:val="21"/>
                <w:szCs w:val="21"/>
                <w:lang w:eastAsia="zh-CN"/>
              </w:rPr>
            </w:pPr>
            <w:r>
              <w:rPr>
                <w:rFonts w:hint="eastAsia" w:hAnsi="宋体" w:eastAsia="宋体" w:cs="宋体"/>
                <w:sz w:val="21"/>
                <w:szCs w:val="21"/>
                <w:lang w:eastAsia="zh-CN"/>
              </w:rPr>
              <w:t xml:space="preserve">本项目设定的最高限价</w:t>
            </w:r>
            <w:r/>
          </w:p>
        </w:tc>
        <w:tc>
          <w:tcPr>
            <w:tcW w:w="5245" w:type="dxa"/>
            <w:vAlign w:val="center"/>
            <w:textDirection w:val="lrTb"/>
            <w:noWrap w:val="false"/>
          </w:tcPr>
          <w:p>
            <w:pPr>
              <w:spacing w:line="360" w:lineRule="auto"/>
              <w:rPr>
                <w:rFonts w:ascii="宋体" w:hAnsi="宋体" w:cs="宋体"/>
                <w:sz w:val="21"/>
                <w:szCs w:val="21"/>
                <w:lang w:eastAsia="zh-CN"/>
              </w:rPr>
            </w:pPr>
            <w:r>
              <w:rPr>
                <w:rFonts w:hint="eastAsia" w:ascii="宋体" w:hAnsi="宋体" w:cs="宋体"/>
                <w:bCs/>
                <w:sz w:val="21"/>
                <w:szCs w:val="21"/>
                <w:lang w:eastAsia="zh-CN"/>
              </w:rPr>
              <w:t xml:space="preserve">详见</w:t>
            </w:r>
            <w:r>
              <w:rPr>
                <w:rFonts w:hint="eastAsia" w:ascii="宋体" w:hAnsi="宋体" w:cs="宋体"/>
                <w:sz w:val="21"/>
                <w:szCs w:val="21"/>
                <w:lang w:eastAsia="zh-CN"/>
              </w:rPr>
              <w:t xml:space="preserve">招标文件第一章《招标公告》</w:t>
            </w:r>
            <w:r/>
          </w:p>
        </w:tc>
      </w:tr>
      <w:tr>
        <w:trPr>
          <w:jc w:val="center"/>
          <w:trHeight w:val="883"/>
        </w:trPr>
        <w:tc>
          <w:tcPr>
            <w:tcW w:w="600" w:type="dxa"/>
            <w:vAlign w:val="center"/>
            <w:textDirection w:val="lrTb"/>
            <w:noWrap w:val="false"/>
          </w:tcPr>
          <w:p>
            <w:pPr>
              <w:pStyle w:val="901"/>
              <w:jc w:val="center"/>
              <w:spacing w:line="360" w:lineRule="auto"/>
              <w:rPr>
                <w:rFonts w:hint="eastAsia" w:hAnsi="宋体" w:eastAsia="宋体" w:cs="宋体"/>
                <w:sz w:val="21"/>
                <w:szCs w:val="21"/>
              </w:rPr>
            </w:pPr>
            <w:r>
              <w:rPr>
                <w:rFonts w:hint="eastAsia" w:hAnsi="宋体" w:eastAsia="宋体" w:cs="宋体"/>
                <w:sz w:val="21"/>
                <w:szCs w:val="21"/>
              </w:rPr>
              <w:t xml:space="preserve">11</w:t>
            </w:r>
            <w:r/>
          </w:p>
        </w:tc>
        <w:tc>
          <w:tcPr>
            <w:tcW w:w="3619" w:type="dxa"/>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供应商资格条件</w:t>
            </w:r>
            <w:r/>
          </w:p>
        </w:tc>
        <w:tc>
          <w:tcPr>
            <w:tcW w:w="5245" w:type="dxa"/>
            <w:vAlign w:val="center"/>
            <w:textDirection w:val="lrTb"/>
            <w:noWrap w:val="false"/>
          </w:tcPr>
          <w:p>
            <w:pPr>
              <w:spacing w:line="360" w:lineRule="auto"/>
              <w:rPr>
                <w:rFonts w:ascii="宋体" w:hAnsi="宋体" w:cs="宋体"/>
                <w:bCs/>
                <w:sz w:val="21"/>
                <w:szCs w:val="21"/>
                <w:lang w:eastAsia="zh-CN"/>
              </w:rPr>
            </w:pPr>
            <w:r>
              <w:rPr>
                <w:rFonts w:hint="eastAsia" w:ascii="宋体" w:hAnsi="宋体" w:cs="宋体"/>
                <w:bCs/>
                <w:sz w:val="21"/>
                <w:szCs w:val="21"/>
                <w:lang w:eastAsia="zh-CN"/>
              </w:rPr>
              <w:t xml:space="preserve">详见招标文件第一章《招标公告》</w:t>
            </w:r>
            <w:r/>
          </w:p>
        </w:tc>
      </w:tr>
      <w:tr>
        <w:trPr>
          <w:jc w:val="center"/>
          <w:trHeight w:val="603"/>
        </w:trPr>
        <w:tc>
          <w:tcPr>
            <w:tcW w:w="600" w:type="dxa"/>
            <w:vAlign w:val="center"/>
            <w:textDirection w:val="lrTb"/>
            <w:noWrap w:val="false"/>
          </w:tcPr>
          <w:p>
            <w:pPr>
              <w:pStyle w:val="901"/>
              <w:jc w:val="center"/>
              <w:spacing w:line="360" w:lineRule="auto"/>
              <w:rPr>
                <w:rFonts w:hint="eastAsia" w:hAnsi="宋体" w:eastAsia="宋体" w:cs="宋体"/>
                <w:sz w:val="21"/>
                <w:szCs w:val="21"/>
              </w:rPr>
            </w:pPr>
            <w:r>
              <w:rPr>
                <w:rFonts w:hint="eastAsia" w:hAnsi="宋体" w:eastAsia="宋体" w:cs="宋体"/>
                <w:sz w:val="21"/>
                <w:szCs w:val="21"/>
              </w:rPr>
              <w:t xml:space="preserve">12</w:t>
            </w:r>
            <w:r/>
          </w:p>
        </w:tc>
        <w:tc>
          <w:tcPr>
            <w:tcW w:w="3619" w:type="dxa"/>
            <w:vAlign w:val="center"/>
            <w:textDirection w:val="lrTb"/>
            <w:noWrap w:val="false"/>
          </w:tcPr>
          <w:p>
            <w:pPr>
              <w:pStyle w:val="901"/>
              <w:jc w:val="center"/>
              <w:spacing w:line="360" w:lineRule="auto"/>
              <w:rPr>
                <w:rFonts w:hint="eastAsia" w:hAnsi="宋体" w:eastAsia="宋体" w:cs="宋体"/>
                <w:sz w:val="21"/>
                <w:szCs w:val="21"/>
              </w:rPr>
            </w:pPr>
            <w:r>
              <w:rPr>
                <w:rFonts w:hint="eastAsia" w:hAnsi="宋体" w:eastAsia="宋体" w:cs="宋体"/>
                <w:sz w:val="21"/>
                <w:szCs w:val="21"/>
              </w:rPr>
              <w:t xml:space="preserve">投标报价</w:t>
            </w:r>
            <w:r/>
          </w:p>
        </w:tc>
        <w:tc>
          <w:tcPr>
            <w:tcW w:w="5245" w:type="dxa"/>
            <w:vAlign w:val="center"/>
            <w:textDirection w:val="lrTb"/>
            <w:noWrap w:val="false"/>
          </w:tcPr>
          <w:p>
            <w:pPr>
              <w:numPr>
                <w:ilvl w:val="0"/>
                <w:numId w:val="2"/>
              </w:numPr>
              <w:spacing w:line="360" w:lineRule="auto"/>
              <w:rPr>
                <w:rFonts w:hint="eastAsia" w:ascii="宋体" w:hAnsi="宋体" w:eastAsia="宋体" w:cs="宋体"/>
                <w:spacing w:val="-2"/>
                <w:sz w:val="21"/>
                <w:szCs w:val="21"/>
                <w:lang w:eastAsia="zh-CN"/>
              </w:rPr>
            </w:pPr>
            <w:r>
              <w:rPr>
                <w:rFonts w:hint="eastAsia" w:ascii="宋体" w:hAnsi="宋体" w:eastAsia="宋体" w:cs="宋体"/>
                <w:sz w:val="21"/>
                <w:szCs w:val="21"/>
                <w:lang w:eastAsia="zh-CN"/>
              </w:rPr>
              <w:t xml:space="preserve">报价应包含完成本项目发生的所有含税费用、支付给员工的工资和国家强制缴纳的各种社会保障资金，</w:t>
            </w:r>
            <w:r>
              <w:rPr>
                <w:rFonts w:hint="eastAsia" w:ascii="宋体" w:hAnsi="宋体" w:eastAsia="宋体" w:cs="宋体"/>
                <w:spacing w:val="-2"/>
                <w:sz w:val="21"/>
                <w:szCs w:val="21"/>
                <w:lang w:eastAsia="zh-CN"/>
              </w:rPr>
              <w:t xml:space="preserve">完成该项目的相关软件开发、货物配置、安装、调试、安装中的相关费用、运行维护、培训、售后服务、维修、更换和质保、检验</w:t>
            </w:r>
            <w:r>
              <w:rPr>
                <w:rFonts w:hint="eastAsia" w:ascii="宋体" w:hAnsi="宋体" w:eastAsia="宋体" w:cs="宋体"/>
                <w:sz w:val="21"/>
                <w:szCs w:val="21"/>
                <w:lang w:eastAsia="zh-CN"/>
              </w:rPr>
              <w:t xml:space="preserve">以及供应商认为需要的其他费用等。供应商应充分考虑到市场价格变动，以及项目实施过程中的不可预见因素，一旦成交，结算综合单价不变。如果由于供应商原因导致的价格漏项，视同为让利。</w:t>
            </w:r>
            <w:r>
              <w:rPr>
                <w:rFonts w:hint="eastAsia" w:ascii="宋体" w:hAnsi="宋体" w:eastAsia="宋体" w:cs="宋体"/>
                <w:spacing w:val="-2"/>
                <w:sz w:val="21"/>
                <w:szCs w:val="21"/>
                <w:lang w:eastAsia="zh-CN"/>
              </w:rPr>
              <w:t xml:space="preserve">供应商原则上按采购需求描述的内容及采购清单报价。</w:t>
            </w:r>
            <w:r/>
          </w:p>
          <w:p>
            <w:pPr>
              <w:spacing w:line="360" w:lineRule="auto"/>
              <w:rPr>
                <w:rFonts w:hint="eastAsia" w:ascii="宋体" w:hAnsi="宋体" w:eastAsia="宋体" w:cs="宋体"/>
                <w:spacing w:val="-2"/>
                <w:sz w:val="21"/>
                <w:szCs w:val="21"/>
                <w:lang w:eastAsia="zh-CN"/>
              </w:rPr>
            </w:pPr>
            <w:r>
              <w:rPr>
                <w:rFonts w:hint="eastAsia" w:ascii="宋体" w:hAnsi="宋体" w:eastAsia="宋体" w:cs="宋体"/>
                <w:spacing w:val="-2"/>
                <w:sz w:val="21"/>
                <w:szCs w:val="21"/>
                <w:lang w:eastAsia="zh-CN"/>
              </w:rPr>
              <w:t xml:space="preserve">2、</w:t>
            </w:r>
            <w:r>
              <w:rPr>
                <w:rFonts w:ascii="宋体" w:hAnsi="宋体" w:eastAsia="宋体" w:cs="宋体"/>
                <w:spacing w:val="-2"/>
                <w:sz w:val="21"/>
                <w:szCs w:val="21"/>
                <w:lang w:eastAsia="zh-CN"/>
              </w:rPr>
              <w:t xml:space="preserve">本次采购为交钥匙项目，所有采购产品均须由中标供应商按采购人要求送货到指定地点，包含但不限于所有货物、运输、安装配件、调试等所有费用；采购人不再支付任何费用，供应商需按照采购人要求时间完成货物的进场安装及调试并保证采购人的正常使用；</w:t>
            </w:r>
            <w:r/>
          </w:p>
        </w:tc>
      </w:tr>
      <w:tr>
        <w:trPr>
          <w:jc w:val="center"/>
          <w:trHeight w:val="558"/>
        </w:trPr>
        <w:tc>
          <w:tcPr>
            <w:tcW w:w="600" w:type="dxa"/>
            <w:vAlign w:val="center"/>
            <w:textDirection w:val="lrTb"/>
            <w:noWrap w:val="false"/>
          </w:tcPr>
          <w:p>
            <w:pPr>
              <w:pStyle w:val="901"/>
              <w:jc w:val="center"/>
              <w:spacing w:line="360" w:lineRule="auto"/>
              <w:rPr>
                <w:rFonts w:hint="eastAsia" w:hAnsi="宋体" w:eastAsia="宋体" w:cs="宋体"/>
                <w:sz w:val="21"/>
                <w:szCs w:val="21"/>
              </w:rPr>
            </w:pPr>
            <w:r>
              <w:rPr>
                <w:rFonts w:hint="eastAsia" w:hAnsi="宋体" w:eastAsia="宋体" w:cs="宋体"/>
                <w:sz w:val="21"/>
                <w:szCs w:val="21"/>
              </w:rPr>
              <w:t xml:space="preserve">13</w:t>
            </w:r>
            <w:r/>
          </w:p>
        </w:tc>
        <w:tc>
          <w:tcPr>
            <w:tcW w:w="3619" w:type="dxa"/>
            <w:vAlign w:val="center"/>
            <w:textDirection w:val="lrTb"/>
            <w:noWrap w:val="false"/>
          </w:tcPr>
          <w:p>
            <w:pPr>
              <w:pStyle w:val="901"/>
              <w:jc w:val="center"/>
              <w:spacing w:line="360" w:lineRule="auto"/>
              <w:rPr>
                <w:rFonts w:hint="eastAsia" w:hAnsi="宋体" w:eastAsia="宋体" w:cs="宋体"/>
                <w:sz w:val="21"/>
                <w:szCs w:val="21"/>
              </w:rPr>
            </w:pPr>
            <w:r>
              <w:rPr>
                <w:rFonts w:hint="eastAsia" w:hAnsi="宋体" w:eastAsia="宋体" w:cs="宋体"/>
                <w:sz w:val="21"/>
                <w:szCs w:val="21"/>
              </w:rPr>
              <w:t xml:space="preserve">投标有效期</w:t>
            </w:r>
            <w:r/>
          </w:p>
        </w:tc>
        <w:tc>
          <w:tcPr>
            <w:tcW w:w="5245" w:type="dxa"/>
            <w:vAlign w:val="center"/>
            <w:textDirection w:val="lrTb"/>
            <w:noWrap w:val="false"/>
          </w:tcPr>
          <w:p>
            <w:pPr>
              <w:pStyle w:val="901"/>
              <w:jc w:val="left"/>
              <w:spacing w:line="360" w:lineRule="auto"/>
              <w:rPr>
                <w:rFonts w:hint="eastAsia" w:hAnsi="宋体" w:eastAsia="宋体" w:cs="宋体"/>
                <w:bCs/>
                <w:sz w:val="21"/>
                <w:szCs w:val="21"/>
                <w:lang w:eastAsia="zh-CN"/>
              </w:rPr>
            </w:pPr>
            <w:r>
              <w:rPr>
                <w:rFonts w:hint="eastAsia" w:hAnsi="宋体" w:eastAsia="宋体" w:cs="宋体"/>
                <w:bCs/>
                <w:sz w:val="21"/>
                <w:szCs w:val="21"/>
                <w:lang w:eastAsia="zh-CN"/>
              </w:rPr>
              <w:t xml:space="preserve">自提交响应文件的截止之日起算90日历天</w:t>
            </w:r>
            <w:r/>
          </w:p>
        </w:tc>
      </w:tr>
      <w:tr>
        <w:trPr>
          <w:jc w:val="center"/>
          <w:trHeight w:val="656"/>
        </w:trPr>
        <w:tc>
          <w:tcPr>
            <w:tcW w:w="600" w:type="dxa"/>
            <w:vAlign w:val="center"/>
            <w:textDirection w:val="lrTb"/>
            <w:noWrap w:val="false"/>
          </w:tcPr>
          <w:p>
            <w:pPr>
              <w:pStyle w:val="901"/>
              <w:jc w:val="center"/>
              <w:spacing w:line="360" w:lineRule="auto"/>
              <w:rPr>
                <w:rFonts w:hint="eastAsia" w:hAnsi="宋体" w:eastAsia="宋体" w:cs="宋体"/>
                <w:sz w:val="21"/>
                <w:szCs w:val="21"/>
                <w:lang w:eastAsia="zh-CN"/>
              </w:rPr>
            </w:pPr>
            <w:r>
              <w:rPr>
                <w:rFonts w:hint="eastAsia" w:hAnsi="宋体" w:eastAsia="宋体" w:cs="宋体"/>
                <w:sz w:val="21"/>
                <w:szCs w:val="21"/>
              </w:rPr>
              <w:t xml:space="preserve">1</w:t>
            </w:r>
            <w:r>
              <w:rPr>
                <w:rFonts w:hint="eastAsia" w:hAnsi="宋体" w:eastAsia="宋体" w:cs="宋体"/>
                <w:sz w:val="21"/>
                <w:szCs w:val="21"/>
                <w:lang w:eastAsia="zh-CN"/>
              </w:rPr>
              <w:t xml:space="preserve">4</w:t>
            </w:r>
            <w:r/>
          </w:p>
        </w:tc>
        <w:tc>
          <w:tcPr>
            <w:tcW w:w="3619" w:type="dxa"/>
            <w:vAlign w:val="center"/>
            <w:textDirection w:val="lrTb"/>
            <w:noWrap w:val="false"/>
          </w:tcPr>
          <w:p>
            <w:pPr>
              <w:pStyle w:val="901"/>
              <w:jc w:val="center"/>
              <w:spacing w:line="360" w:lineRule="auto"/>
              <w:rPr>
                <w:rFonts w:hint="eastAsia" w:hAnsi="宋体" w:eastAsia="宋体" w:cs="宋体"/>
                <w:sz w:val="21"/>
                <w:szCs w:val="21"/>
              </w:rPr>
            </w:pPr>
            <w:r>
              <w:rPr>
                <w:rFonts w:hint="eastAsia" w:hAnsi="宋体" w:eastAsia="宋体" w:cs="宋体"/>
                <w:sz w:val="21"/>
                <w:szCs w:val="21"/>
              </w:rPr>
              <w:t xml:space="preserve">响应文件份数</w:t>
            </w:r>
            <w:r/>
          </w:p>
        </w:tc>
        <w:tc>
          <w:tcPr>
            <w:tcW w:w="5245" w:type="dxa"/>
            <w:vAlign w:val="center"/>
            <w:textDirection w:val="lrTb"/>
            <w:noWrap w:val="false"/>
          </w:tcPr>
          <w:p>
            <w:pPr>
              <w:pStyle w:val="901"/>
              <w:jc w:val="left"/>
              <w:spacing w:line="360" w:lineRule="auto"/>
              <w:rPr>
                <w:rFonts w:hint="eastAsia" w:hAnsi="宋体" w:eastAsia="宋体" w:cs="宋体"/>
                <w:bCs/>
                <w:sz w:val="21"/>
                <w:szCs w:val="21"/>
                <w:lang w:eastAsia="zh-CN"/>
              </w:rPr>
            </w:pPr>
            <w:r>
              <w:rPr>
                <w:rFonts w:hint="eastAsia" w:hAnsi="宋体" w:eastAsia="宋体" w:cs="宋体"/>
                <w:bCs/>
                <w:sz w:val="21"/>
                <w:szCs w:val="21"/>
                <w:lang w:eastAsia="zh-CN"/>
              </w:rPr>
              <w:t xml:space="preserve">纸质响应文件一式伍份（正本壹份、副本肆份），电子版响应文件壹份，U盘（须为纸质正本响应文件加盖公章的PDF扫描件，U盘上需标签注明单位名称）。当电子版文件和纸质正本文件不一致时，以纸质正本文件为准。电子版文件用于辅助评审和存档，供应商需承担前述不一致造成的不利后果。每份纸质文件须清楚标明“正本”或“副本”字样，如未按上述要求，采购人有权拒收招标文件。</w:t>
            </w:r>
            <w:r/>
          </w:p>
        </w:tc>
      </w:tr>
      <w:tr>
        <w:trPr>
          <w:jc w:val="center"/>
          <w:trHeight w:val="90"/>
        </w:trPr>
        <w:tc>
          <w:tcPr>
            <w:tcW w:w="600" w:type="dxa"/>
            <w:vAlign w:val="center"/>
            <w:textDirection w:val="lrTb"/>
            <w:noWrap w:val="false"/>
          </w:tcPr>
          <w:p>
            <w:pPr>
              <w:pStyle w:val="901"/>
              <w:jc w:val="center"/>
              <w:spacing w:line="360" w:lineRule="auto"/>
              <w:rPr>
                <w:rFonts w:hint="eastAsia" w:hAnsi="宋体" w:eastAsia="宋体" w:cs="宋体"/>
                <w:sz w:val="21"/>
                <w:szCs w:val="21"/>
                <w:lang w:eastAsia="zh-CN"/>
              </w:rPr>
            </w:pPr>
            <w:r>
              <w:rPr>
                <w:rFonts w:hint="eastAsia" w:hAnsi="宋体" w:eastAsia="宋体" w:cs="宋体"/>
                <w:sz w:val="21"/>
                <w:szCs w:val="21"/>
              </w:rPr>
              <w:t xml:space="preserve">1</w:t>
            </w:r>
            <w:r>
              <w:rPr>
                <w:rFonts w:hint="eastAsia" w:hAnsi="宋体" w:eastAsia="宋体" w:cs="宋体"/>
                <w:sz w:val="21"/>
                <w:szCs w:val="21"/>
                <w:lang w:eastAsia="zh-CN"/>
              </w:rPr>
              <w:t xml:space="preserve">5</w:t>
            </w:r>
            <w:r/>
          </w:p>
        </w:tc>
        <w:tc>
          <w:tcPr>
            <w:tcW w:w="3619" w:type="dxa"/>
            <w:vAlign w:val="center"/>
            <w:textDirection w:val="lrTb"/>
            <w:noWrap w:val="false"/>
          </w:tcPr>
          <w:p>
            <w:pPr>
              <w:pStyle w:val="901"/>
              <w:jc w:val="center"/>
              <w:spacing w:line="360" w:lineRule="auto"/>
              <w:rPr>
                <w:rFonts w:hint="eastAsia" w:hAnsi="宋体" w:eastAsia="宋体" w:cs="宋体"/>
                <w:sz w:val="21"/>
                <w:szCs w:val="21"/>
                <w:lang w:eastAsia="zh-CN"/>
              </w:rPr>
            </w:pPr>
            <w:r>
              <w:rPr>
                <w:rFonts w:hint="eastAsia" w:hAnsi="宋体" w:eastAsia="宋体" w:cs="宋体"/>
                <w:sz w:val="21"/>
                <w:szCs w:val="21"/>
                <w:lang w:eastAsia="zh-CN"/>
              </w:rPr>
              <w:t xml:space="preserve">响应文件的密封和标记</w:t>
            </w:r>
            <w:r/>
          </w:p>
        </w:tc>
        <w:tc>
          <w:tcPr>
            <w:tcW w:w="5245" w:type="dxa"/>
            <w:vAlign w:val="center"/>
            <w:textDirection w:val="lrTb"/>
            <w:noWrap w:val="false"/>
          </w:tcPr>
          <w:p>
            <w:pPr>
              <w:pStyle w:val="725"/>
              <w:ind w:firstLine="0"/>
              <w:spacing w:line="360" w:lineRule="auto"/>
              <w:rPr>
                <w:sz w:val="21"/>
                <w:szCs w:val="21"/>
                <w:lang w:eastAsia="zh-CN"/>
              </w:rPr>
            </w:pPr>
            <w:r>
              <w:rPr>
                <w:rFonts w:hint="eastAsia" w:ascii="宋体" w:hAnsi="宋体" w:cs="宋体" w:eastAsiaTheme="minorEastAsia"/>
                <w:sz w:val="21"/>
                <w:szCs w:val="21"/>
                <w:lang w:eastAsia="zh-CN"/>
              </w:rPr>
              <w:t xml:space="preserve">★全部响应文件内容（包括正本、副本及电子版文件），所有响应文件（含电子版）应密封在一个档案袋内，否则投标将被拒绝。</w:t>
            </w:r>
            <w:r/>
          </w:p>
        </w:tc>
      </w:tr>
      <w:tr>
        <w:trPr>
          <w:jc w:val="center"/>
          <w:trHeight w:val="621"/>
        </w:trPr>
        <w:tc>
          <w:tcPr>
            <w:tcW w:w="600" w:type="dxa"/>
            <w:vAlign w:val="center"/>
            <w:vMerge w:val="restart"/>
            <w:textDirection w:val="lrTb"/>
            <w:noWrap w:val="false"/>
          </w:tcPr>
          <w:p>
            <w:pPr>
              <w:pStyle w:val="901"/>
              <w:jc w:val="center"/>
              <w:spacing w:line="360" w:lineRule="auto"/>
              <w:rPr>
                <w:rFonts w:hint="eastAsia" w:hAnsi="宋体" w:eastAsia="宋体" w:cs="宋体"/>
                <w:sz w:val="21"/>
                <w:szCs w:val="21"/>
                <w:lang w:eastAsia="zh-CN"/>
              </w:rPr>
            </w:pPr>
            <w:r>
              <w:rPr>
                <w:rFonts w:hint="eastAsia" w:hAnsi="宋体" w:eastAsia="宋体" w:cs="宋体"/>
                <w:sz w:val="21"/>
                <w:szCs w:val="21"/>
              </w:rPr>
              <w:t xml:space="preserve">1</w:t>
            </w:r>
            <w:r>
              <w:rPr>
                <w:rFonts w:hint="eastAsia" w:hAnsi="宋体" w:eastAsia="宋体" w:cs="宋体"/>
                <w:sz w:val="21"/>
                <w:szCs w:val="21"/>
                <w:lang w:eastAsia="zh-CN"/>
              </w:rPr>
              <w:t xml:space="preserve">6</w:t>
            </w:r>
            <w:r/>
          </w:p>
        </w:tc>
        <w:tc>
          <w:tcPr>
            <w:tcW w:w="3619" w:type="dxa"/>
            <w:vAlign w:val="center"/>
            <w:vMerge w:val="restart"/>
            <w:textDirection w:val="lrTb"/>
            <w:noWrap w:val="false"/>
          </w:tcPr>
          <w:p>
            <w:pPr>
              <w:pStyle w:val="901"/>
              <w:jc w:val="center"/>
              <w:spacing w:line="360" w:lineRule="auto"/>
              <w:rPr>
                <w:rFonts w:hint="eastAsia" w:hAnsi="宋体" w:eastAsia="宋体" w:cs="宋体"/>
                <w:sz w:val="21"/>
                <w:szCs w:val="21"/>
                <w:lang w:eastAsia="zh-CN"/>
              </w:rPr>
            </w:pPr>
            <w:r>
              <w:rPr>
                <w:rFonts w:hint="eastAsia" w:hAnsi="宋体" w:eastAsia="宋体" w:cs="宋体"/>
                <w:sz w:val="21"/>
                <w:szCs w:val="21"/>
                <w:lang w:eastAsia="zh-CN"/>
              </w:rPr>
            </w:r>
            <w:r/>
          </w:p>
          <w:p>
            <w:pPr>
              <w:pStyle w:val="901"/>
              <w:jc w:val="center"/>
              <w:spacing w:line="360" w:lineRule="auto"/>
              <w:rPr>
                <w:rFonts w:hint="eastAsia" w:hAnsi="宋体" w:eastAsia="宋体" w:cs="宋体"/>
                <w:sz w:val="21"/>
                <w:szCs w:val="21"/>
                <w:lang w:eastAsia="zh-CN"/>
              </w:rPr>
            </w:pPr>
            <w:r>
              <w:rPr>
                <w:rFonts w:hint="eastAsia" w:hAnsi="宋体" w:eastAsia="宋体" w:cs="宋体"/>
                <w:sz w:val="21"/>
                <w:szCs w:val="21"/>
                <w:lang w:eastAsia="zh-CN"/>
              </w:rPr>
              <w:t xml:space="preserve">提交响应文件的截止时间、地点</w:t>
            </w:r>
            <w:r/>
          </w:p>
        </w:tc>
        <w:tc>
          <w:tcPr>
            <w:tcW w:w="5245" w:type="dxa"/>
            <w:vAlign w:val="center"/>
            <w:textDirection w:val="lrTb"/>
            <w:noWrap w:val="false"/>
          </w:tcPr>
          <w:p>
            <w:pPr>
              <w:pStyle w:val="901"/>
              <w:jc w:val="left"/>
              <w:spacing w:line="360" w:lineRule="auto"/>
              <w:rPr>
                <w:rFonts w:hint="eastAsia" w:hAnsi="宋体" w:eastAsia="宋体" w:cs="宋体"/>
                <w:bCs/>
                <w:sz w:val="21"/>
                <w:szCs w:val="21"/>
                <w:lang w:eastAsia="zh-CN"/>
              </w:rPr>
            </w:pPr>
            <w:r>
              <w:rPr>
                <w:rFonts w:hint="eastAsia" w:hAnsi="宋体" w:eastAsia="宋体" w:cs="宋体"/>
                <w:bCs/>
                <w:sz w:val="21"/>
                <w:szCs w:val="21"/>
                <w:lang w:eastAsia="zh-CN"/>
              </w:rPr>
              <w:t xml:space="preserve">密封包装上可注明：</w:t>
            </w:r>
            <w:r/>
          </w:p>
          <w:p>
            <w:pPr>
              <w:pStyle w:val="901"/>
              <w:jc w:val="left"/>
              <w:spacing w:line="360" w:lineRule="auto"/>
              <w:rPr>
                <w:rFonts w:hint="eastAsia" w:hAnsi="宋体" w:eastAsia="宋体" w:cs="宋体"/>
                <w:sz w:val="21"/>
                <w:szCs w:val="21"/>
                <w:lang w:eastAsia="zh-CN"/>
              </w:rPr>
            </w:pPr>
            <w:r>
              <w:rPr>
                <w:rFonts w:hint="eastAsia" w:hAnsi="宋体" w:eastAsia="宋体" w:cs="宋体"/>
                <w:bCs/>
                <w:sz w:val="21"/>
                <w:szCs w:val="21"/>
                <w:lang w:eastAsia="zh-CN"/>
              </w:rPr>
              <w:t xml:space="preserve">项目名称：智能船舶鸿蒙应用开发创新中心设备采购项目</w:t>
            </w:r>
            <w:r/>
          </w:p>
          <w:p>
            <w:pPr>
              <w:pStyle w:val="901"/>
              <w:jc w:val="left"/>
              <w:spacing w:line="360" w:lineRule="auto"/>
              <w:rPr>
                <w:rFonts w:hint="eastAsia" w:hAnsi="宋体" w:eastAsia="宋体" w:cs="宋体"/>
                <w:bCs/>
                <w:sz w:val="21"/>
                <w:szCs w:val="21"/>
                <w:lang w:eastAsia="zh-CN"/>
              </w:rPr>
            </w:pPr>
            <w:r>
              <w:rPr>
                <w:rFonts w:hint="eastAsia" w:hAnsi="宋体" w:eastAsia="宋体" w:cs="宋体"/>
                <w:bCs/>
                <w:sz w:val="21"/>
                <w:szCs w:val="21"/>
                <w:lang w:eastAsia="zh-CN"/>
              </w:rPr>
              <w:t xml:space="preserve">项目编号：JSZC-320000-ZZGJ-G2025-0016</w:t>
            </w:r>
            <w:r/>
          </w:p>
          <w:p>
            <w:pPr>
              <w:pStyle w:val="901"/>
              <w:jc w:val="left"/>
              <w:spacing w:line="360" w:lineRule="auto"/>
              <w:rPr>
                <w:rFonts w:hint="eastAsia" w:hAnsi="宋体" w:eastAsia="宋体" w:cs="宋体"/>
                <w:bCs/>
                <w:sz w:val="21"/>
                <w:szCs w:val="21"/>
                <w:lang w:eastAsia="zh-CN"/>
              </w:rPr>
            </w:pPr>
            <w:r>
              <w:rPr>
                <w:rFonts w:hint="eastAsia" w:hAnsi="宋体" w:eastAsia="宋体" w:cs="宋体"/>
                <w:bCs/>
                <w:sz w:val="21"/>
                <w:szCs w:val="21"/>
                <w:lang w:eastAsia="zh-CN"/>
              </w:rPr>
              <w:t xml:space="preserve">本文件于2025年</w:t>
            </w:r>
            <w:r>
              <w:rPr>
                <w:rFonts w:hint="eastAsia" w:hAnsi="宋体" w:eastAsia="宋体" w:cs="宋体"/>
                <w:bCs/>
                <w:sz w:val="21"/>
                <w:szCs w:val="21"/>
                <w:lang w:val="en-US" w:eastAsia="zh-CN"/>
              </w:rPr>
              <w:t xml:space="preserve">4</w:t>
            </w:r>
            <w:r>
              <w:rPr>
                <w:rFonts w:hint="eastAsia" w:hAnsi="宋体" w:eastAsia="宋体" w:cs="宋体"/>
                <w:bCs/>
                <w:sz w:val="21"/>
                <w:szCs w:val="21"/>
                <w:lang w:eastAsia="zh-CN"/>
              </w:rPr>
              <w:t xml:space="preserve">月</w:t>
            </w:r>
            <w:r>
              <w:rPr>
                <w:rFonts w:hint="eastAsia" w:hAnsi="宋体" w:eastAsia="宋体" w:cs="宋体"/>
                <w:bCs/>
                <w:sz w:val="21"/>
                <w:szCs w:val="21"/>
                <w:lang w:val="en-US" w:eastAsia="zh-CN"/>
              </w:rPr>
              <w:t xml:space="preserve">23</w:t>
            </w:r>
            <w:r>
              <w:rPr>
                <w:rFonts w:hint="eastAsia" w:hAnsi="宋体" w:eastAsia="宋体" w:cs="宋体"/>
                <w:bCs/>
                <w:sz w:val="21"/>
                <w:szCs w:val="21"/>
                <w:lang w:eastAsia="zh-CN"/>
              </w:rPr>
              <w:t xml:space="preserve">日</w:t>
            </w:r>
            <w:r>
              <w:rPr>
                <w:rFonts w:hint="eastAsia" w:hAnsi="宋体" w:eastAsia="宋体" w:cs="宋体"/>
                <w:bCs/>
                <w:sz w:val="21"/>
                <w:szCs w:val="21"/>
                <w:lang w:val="en-US" w:eastAsia="zh-CN"/>
              </w:rPr>
              <w:t xml:space="preserve">09</w:t>
            </w:r>
            <w:r>
              <w:rPr>
                <w:rFonts w:hint="eastAsia" w:hAnsi="宋体" w:eastAsia="宋体" w:cs="宋体"/>
                <w:bCs/>
                <w:sz w:val="21"/>
                <w:szCs w:val="21"/>
                <w:lang w:eastAsia="zh-CN"/>
              </w:rPr>
              <w:t xml:space="preserve">点</w:t>
            </w:r>
            <w:r>
              <w:rPr>
                <w:rFonts w:hint="eastAsia" w:hAnsi="宋体" w:eastAsia="宋体" w:cs="宋体"/>
                <w:bCs/>
                <w:sz w:val="21"/>
                <w:szCs w:val="21"/>
                <w:lang w:val="en-US" w:eastAsia="zh-CN"/>
              </w:rPr>
              <w:t xml:space="preserve">00</w:t>
            </w:r>
            <w:r>
              <w:rPr>
                <w:rFonts w:hint="eastAsia" w:hAnsi="宋体" w:eastAsia="宋体" w:cs="宋体"/>
                <w:bCs/>
                <w:sz w:val="21"/>
                <w:szCs w:val="21"/>
                <w:lang w:eastAsia="zh-CN"/>
              </w:rPr>
              <w:t xml:space="preserve">分（投标截止时间）前不得开启。</w:t>
            </w:r>
            <w:r/>
          </w:p>
          <w:p>
            <w:pPr>
              <w:pStyle w:val="901"/>
              <w:jc w:val="left"/>
              <w:spacing w:line="360" w:lineRule="auto"/>
              <w:rPr>
                <w:rFonts w:hint="eastAsia" w:hAnsi="宋体" w:eastAsia="宋体" w:cs="宋体"/>
                <w:bCs/>
                <w:sz w:val="21"/>
                <w:szCs w:val="21"/>
                <w:lang w:eastAsia="zh-CN"/>
              </w:rPr>
            </w:pPr>
            <w:r>
              <w:rPr>
                <w:rFonts w:hint="eastAsia" w:hAnsi="宋体" w:eastAsia="宋体" w:cs="宋体"/>
                <w:bCs/>
                <w:sz w:val="21"/>
                <w:szCs w:val="21"/>
                <w:lang w:eastAsia="zh-CN"/>
              </w:rPr>
              <w:t xml:space="preserve">供应商名称：</w:t>
            </w:r>
            <w:r/>
          </w:p>
          <w:p>
            <w:pPr>
              <w:pStyle w:val="901"/>
              <w:jc w:val="left"/>
              <w:spacing w:line="360" w:lineRule="auto"/>
              <w:rPr>
                <w:rFonts w:hint="eastAsia" w:hAnsi="宋体" w:eastAsia="宋体" w:cs="宋体"/>
                <w:bCs/>
                <w:sz w:val="21"/>
                <w:szCs w:val="21"/>
                <w:lang w:eastAsia="zh-CN"/>
              </w:rPr>
            </w:pPr>
            <w:r>
              <w:rPr>
                <w:rFonts w:hint="eastAsia" w:hAnsi="宋体" w:eastAsia="宋体" w:cs="宋体"/>
                <w:bCs/>
                <w:sz w:val="21"/>
                <w:szCs w:val="21"/>
                <w:lang w:eastAsia="zh-CN"/>
              </w:rPr>
              <w:t xml:space="preserve">供应商地址、邮编：</w:t>
            </w:r>
            <w:r/>
          </w:p>
          <w:p>
            <w:pPr>
              <w:pStyle w:val="901"/>
              <w:jc w:val="left"/>
              <w:spacing w:line="360" w:lineRule="auto"/>
              <w:rPr>
                <w:rFonts w:hint="eastAsia" w:hAnsi="宋体" w:eastAsia="宋体" w:cs="宋体"/>
                <w:bCs/>
                <w:sz w:val="21"/>
                <w:szCs w:val="21"/>
                <w:lang w:eastAsia="zh-CN"/>
              </w:rPr>
            </w:pPr>
            <w:r>
              <w:rPr>
                <w:rFonts w:hint="eastAsia" w:hAnsi="宋体" w:eastAsia="宋体" w:cs="宋体"/>
                <w:bCs/>
                <w:sz w:val="21"/>
                <w:szCs w:val="21"/>
                <w:lang w:eastAsia="zh-CN"/>
              </w:rPr>
              <w:t xml:space="preserve">供应商联系人及联系方式：</w:t>
            </w:r>
            <w:r/>
          </w:p>
        </w:tc>
      </w:tr>
      <w:tr>
        <w:trPr>
          <w:jc w:val="center"/>
          <w:trHeight w:val="823"/>
        </w:trPr>
        <w:tc>
          <w:tcPr>
            <w:tcW w:w="600" w:type="dxa"/>
            <w:vAlign w:val="center"/>
            <w:vMerge w:val="continue"/>
            <w:textDirection w:val="lrTb"/>
            <w:noWrap w:val="false"/>
          </w:tcPr>
          <w:p>
            <w:pPr>
              <w:pStyle w:val="901"/>
              <w:jc w:val="center"/>
              <w:spacing w:line="360" w:lineRule="auto"/>
              <w:rPr>
                <w:rFonts w:hint="eastAsia" w:hAnsi="宋体" w:eastAsia="宋体" w:cs="宋体"/>
                <w:sz w:val="21"/>
                <w:szCs w:val="21"/>
                <w:lang w:eastAsia="zh-CN"/>
              </w:rPr>
            </w:pPr>
            <w:r>
              <w:rPr>
                <w:rFonts w:hint="eastAsia" w:hAnsi="宋体" w:eastAsia="宋体" w:cs="宋体"/>
                <w:sz w:val="21"/>
                <w:szCs w:val="21"/>
                <w:lang w:eastAsia="zh-CN"/>
              </w:rPr>
            </w:r>
            <w:r/>
          </w:p>
        </w:tc>
        <w:tc>
          <w:tcPr>
            <w:tcW w:w="3619" w:type="dxa"/>
            <w:vAlign w:val="center"/>
            <w:vMerge w:val="continue"/>
            <w:textDirection w:val="lrTb"/>
            <w:noWrap w:val="false"/>
          </w:tcPr>
          <w:p>
            <w:pPr>
              <w:pStyle w:val="901"/>
              <w:jc w:val="center"/>
              <w:spacing w:line="360" w:lineRule="auto"/>
              <w:rPr>
                <w:rFonts w:hint="eastAsia" w:hAnsi="宋体" w:eastAsia="宋体" w:cs="宋体"/>
                <w:sz w:val="21"/>
                <w:szCs w:val="21"/>
                <w:lang w:eastAsia="zh-CN"/>
              </w:rPr>
            </w:pPr>
            <w:r>
              <w:rPr>
                <w:rFonts w:hint="eastAsia" w:hAnsi="宋体" w:eastAsia="宋体" w:cs="宋体"/>
                <w:sz w:val="21"/>
                <w:szCs w:val="21"/>
                <w:lang w:eastAsia="zh-CN"/>
              </w:rPr>
            </w:r>
            <w:r/>
          </w:p>
        </w:tc>
        <w:tc>
          <w:tcPr>
            <w:tcW w:w="5245" w:type="dxa"/>
            <w:vAlign w:val="center"/>
            <w:textDirection w:val="lrTb"/>
            <w:noWrap w:val="false"/>
          </w:tcPr>
          <w:p>
            <w:pPr>
              <w:pStyle w:val="901"/>
              <w:jc w:val="left"/>
              <w:spacing w:line="360" w:lineRule="auto"/>
              <w:rPr>
                <w:rFonts w:hint="eastAsia" w:hAnsi="宋体" w:eastAsia="宋体" w:cs="宋体"/>
                <w:bCs/>
                <w:sz w:val="21"/>
                <w:szCs w:val="21"/>
                <w:lang w:eastAsia="zh-CN"/>
              </w:rPr>
            </w:pPr>
            <w:r>
              <w:rPr>
                <w:rFonts w:hint="eastAsia" w:hAnsi="宋体" w:eastAsia="宋体" w:cs="宋体"/>
                <w:sz w:val="21"/>
                <w:szCs w:val="21"/>
                <w:lang w:eastAsia="zh-CN"/>
              </w:rPr>
              <w:t xml:space="preserve">详见招标文件第一章《招标公告》</w:t>
            </w:r>
            <w:r/>
          </w:p>
        </w:tc>
      </w:tr>
      <w:tr>
        <w:trPr>
          <w:jc w:val="center"/>
          <w:trHeight w:val="885"/>
        </w:trPr>
        <w:tc>
          <w:tcPr>
            <w:tcW w:w="600" w:type="dxa"/>
            <w:vAlign w:val="center"/>
            <w:textDirection w:val="lrTb"/>
            <w:noWrap w:val="false"/>
          </w:tcPr>
          <w:p>
            <w:pPr>
              <w:pStyle w:val="901"/>
              <w:jc w:val="center"/>
              <w:spacing w:line="360" w:lineRule="auto"/>
              <w:rPr>
                <w:rFonts w:hint="eastAsia" w:hAnsi="宋体" w:eastAsia="宋体" w:cs="宋体"/>
                <w:sz w:val="21"/>
                <w:szCs w:val="21"/>
                <w:lang w:eastAsia="zh-CN"/>
              </w:rPr>
            </w:pPr>
            <w:r>
              <w:rPr>
                <w:rFonts w:hint="eastAsia" w:hAnsi="宋体" w:eastAsia="宋体" w:cs="宋体"/>
                <w:sz w:val="21"/>
                <w:szCs w:val="21"/>
              </w:rPr>
              <w:t xml:space="preserve">1</w:t>
            </w:r>
            <w:r>
              <w:rPr>
                <w:rFonts w:hint="eastAsia" w:hAnsi="宋体" w:eastAsia="宋体" w:cs="宋体"/>
                <w:sz w:val="21"/>
                <w:szCs w:val="21"/>
                <w:lang w:eastAsia="zh-CN"/>
              </w:rPr>
              <w:t xml:space="preserve">7</w:t>
            </w:r>
            <w:r/>
          </w:p>
        </w:tc>
        <w:tc>
          <w:tcPr>
            <w:tcW w:w="3619" w:type="dxa"/>
            <w:vAlign w:val="center"/>
            <w:textDirection w:val="lrTb"/>
            <w:noWrap w:val="false"/>
          </w:tcPr>
          <w:p>
            <w:pPr>
              <w:pStyle w:val="901"/>
              <w:jc w:val="center"/>
              <w:spacing w:line="360" w:lineRule="auto"/>
              <w:rPr>
                <w:rFonts w:hint="eastAsia" w:hAnsi="宋体" w:eastAsia="宋体" w:cs="宋体"/>
                <w:sz w:val="21"/>
                <w:szCs w:val="21"/>
              </w:rPr>
            </w:pPr>
            <w:r>
              <w:rPr>
                <w:rFonts w:hint="eastAsia" w:hAnsi="宋体" w:eastAsia="宋体" w:cs="宋体"/>
                <w:sz w:val="21"/>
                <w:szCs w:val="21"/>
              </w:rPr>
              <w:t xml:space="preserve">开标时间、地点</w:t>
            </w:r>
            <w:r/>
          </w:p>
        </w:tc>
        <w:tc>
          <w:tcPr>
            <w:tcW w:w="5245" w:type="dxa"/>
            <w:vAlign w:val="center"/>
            <w:textDirection w:val="lrTb"/>
            <w:noWrap w:val="false"/>
          </w:tcPr>
          <w:p>
            <w:pPr>
              <w:pStyle w:val="901"/>
              <w:jc w:val="left"/>
              <w:spacing w:line="360" w:lineRule="auto"/>
              <w:rPr>
                <w:rFonts w:hint="eastAsia" w:hAnsi="宋体" w:eastAsia="宋体" w:cs="宋体"/>
                <w:sz w:val="21"/>
                <w:szCs w:val="21"/>
                <w:lang w:eastAsia="zh-CN"/>
              </w:rPr>
            </w:pPr>
            <w:r>
              <w:rPr>
                <w:rFonts w:hint="eastAsia" w:hAnsi="宋体" w:eastAsia="宋体" w:cs="宋体"/>
                <w:sz w:val="21"/>
                <w:szCs w:val="21"/>
                <w:lang w:eastAsia="zh-CN"/>
              </w:rPr>
              <w:t xml:space="preserve">详见招标文件第一章《招标公告》</w:t>
            </w:r>
            <w:r/>
          </w:p>
        </w:tc>
      </w:tr>
      <w:tr>
        <w:trPr>
          <w:jc w:val="center"/>
          <w:trHeight w:val="603"/>
        </w:trPr>
        <w:tc>
          <w:tcPr>
            <w:tcW w:w="600" w:type="dxa"/>
            <w:vAlign w:val="center"/>
            <w:textDirection w:val="lrTb"/>
            <w:noWrap w:val="false"/>
          </w:tcPr>
          <w:p>
            <w:pPr>
              <w:pStyle w:val="901"/>
              <w:jc w:val="center"/>
              <w:spacing w:line="360" w:lineRule="auto"/>
              <w:rPr>
                <w:rFonts w:hint="eastAsia" w:hAnsi="宋体" w:eastAsia="宋体" w:cs="宋体"/>
                <w:sz w:val="21"/>
                <w:szCs w:val="21"/>
                <w:lang w:eastAsia="zh-CN"/>
              </w:rPr>
            </w:pPr>
            <w:r>
              <w:rPr>
                <w:rFonts w:hint="eastAsia" w:hAnsi="宋体" w:eastAsia="宋体" w:cs="宋体"/>
                <w:sz w:val="21"/>
                <w:szCs w:val="21"/>
              </w:rPr>
              <w:t xml:space="preserve">1</w:t>
            </w:r>
            <w:r>
              <w:rPr>
                <w:rFonts w:hint="eastAsia" w:hAnsi="宋体" w:eastAsia="宋体" w:cs="宋体"/>
                <w:sz w:val="21"/>
                <w:szCs w:val="21"/>
                <w:lang w:eastAsia="zh-CN"/>
              </w:rPr>
              <w:t xml:space="preserve">8</w:t>
            </w:r>
            <w:r/>
          </w:p>
        </w:tc>
        <w:tc>
          <w:tcPr>
            <w:tcW w:w="3619" w:type="dxa"/>
            <w:vAlign w:val="center"/>
            <w:textDirection w:val="lrTb"/>
            <w:noWrap w:val="false"/>
          </w:tcPr>
          <w:p>
            <w:pPr>
              <w:pStyle w:val="901"/>
              <w:jc w:val="center"/>
              <w:spacing w:line="360" w:lineRule="auto"/>
              <w:rPr>
                <w:rFonts w:hint="eastAsia" w:hAnsi="宋体" w:eastAsia="宋体" w:cs="宋体"/>
                <w:sz w:val="21"/>
                <w:szCs w:val="21"/>
              </w:rPr>
            </w:pPr>
            <w:r>
              <w:rPr>
                <w:rFonts w:hint="eastAsia" w:hAnsi="宋体" w:eastAsia="宋体" w:cs="宋体"/>
                <w:sz w:val="21"/>
                <w:szCs w:val="21"/>
              </w:rPr>
              <w:t xml:space="preserve">信用查询</w:t>
            </w:r>
            <w:r/>
          </w:p>
        </w:tc>
        <w:tc>
          <w:tcPr>
            <w:tcW w:w="5245" w:type="dxa"/>
            <w:vAlign w:val="center"/>
            <w:textDirection w:val="lrTb"/>
            <w:noWrap w:val="false"/>
          </w:tcPr>
          <w:p>
            <w:pPr>
              <w:pStyle w:val="901"/>
              <w:jc w:val="left"/>
              <w:spacing w:line="360" w:lineRule="auto"/>
              <w:rPr>
                <w:rFonts w:hint="eastAsia" w:hAnsi="宋体" w:eastAsia="宋体" w:cs="宋体"/>
                <w:bCs/>
                <w:sz w:val="21"/>
                <w:szCs w:val="21"/>
                <w:lang w:eastAsia="zh-CN"/>
              </w:rPr>
            </w:pPr>
            <w:r>
              <w:rPr>
                <w:rFonts w:hint="eastAsia" w:hAnsi="宋体" w:eastAsia="宋体" w:cs="宋体"/>
                <w:bCs/>
                <w:sz w:val="21"/>
                <w:szCs w:val="21"/>
              </w:rPr>
              <w:t xml:space="preserve">■在进行资格性审查的同时，将在“信用中国”网站（www.creditchina.gov.cn）、“中国政府采购网”（www.ccgp.gov.cn）对供应商是否被列入失信被执行人、重大税收违法案件当事人名单、政府采购严重违法失信行为记录名单的情况进行查询，以确定投标供应商是否具备投标资格。</w:t>
            </w:r>
            <w:r>
              <w:rPr>
                <w:rFonts w:hint="eastAsia" w:hAnsi="宋体" w:eastAsia="宋体" w:cs="宋体"/>
                <w:bCs/>
                <w:sz w:val="21"/>
                <w:szCs w:val="21"/>
                <w:lang w:eastAsia="zh-CN"/>
              </w:rPr>
              <w:t xml:space="preserve">（供应商需提供投标截止时间前三日的完整的信用报告复印件并加盖公章）</w:t>
            </w:r>
            <w:r/>
          </w:p>
        </w:tc>
      </w:tr>
      <w:tr>
        <w:trPr>
          <w:jc w:val="center"/>
          <w:trHeight w:val="775"/>
        </w:trPr>
        <w:tc>
          <w:tcPr>
            <w:tcW w:w="600" w:type="dxa"/>
            <w:vAlign w:val="center"/>
            <w:textDirection w:val="lrTb"/>
            <w:noWrap w:val="false"/>
          </w:tcPr>
          <w:p>
            <w:pPr>
              <w:pStyle w:val="901"/>
              <w:jc w:val="center"/>
              <w:spacing w:line="360" w:lineRule="auto"/>
              <w:rPr>
                <w:rFonts w:hint="eastAsia" w:hAnsi="宋体" w:eastAsia="宋体" w:cs="宋体"/>
                <w:sz w:val="21"/>
                <w:szCs w:val="21"/>
                <w:lang w:eastAsia="zh-CN"/>
              </w:rPr>
            </w:pPr>
            <w:r>
              <w:rPr>
                <w:rFonts w:hint="eastAsia" w:hAnsi="宋体" w:eastAsia="宋体" w:cs="宋体"/>
                <w:sz w:val="21"/>
                <w:szCs w:val="21"/>
                <w:lang w:eastAsia="zh-CN"/>
              </w:rPr>
              <w:t xml:space="preserve">19</w:t>
            </w:r>
            <w:r/>
          </w:p>
        </w:tc>
        <w:tc>
          <w:tcPr>
            <w:tcW w:w="3619" w:type="dxa"/>
            <w:vAlign w:val="center"/>
            <w:textDirection w:val="lrTb"/>
            <w:noWrap w:val="false"/>
          </w:tcPr>
          <w:p>
            <w:pPr>
              <w:pStyle w:val="901"/>
              <w:jc w:val="center"/>
              <w:spacing w:line="360" w:lineRule="auto"/>
              <w:rPr>
                <w:rFonts w:hint="eastAsia" w:hAnsi="宋体" w:eastAsia="宋体" w:cs="宋体"/>
                <w:sz w:val="21"/>
                <w:szCs w:val="21"/>
              </w:rPr>
            </w:pPr>
            <w:r>
              <w:rPr>
                <w:rFonts w:hint="eastAsia" w:hAnsi="宋体" w:eastAsia="宋体" w:cs="宋体"/>
                <w:sz w:val="21"/>
                <w:szCs w:val="21"/>
              </w:rPr>
              <w:t xml:space="preserve">评标委员会</w:t>
            </w:r>
            <w:r/>
          </w:p>
        </w:tc>
        <w:tc>
          <w:tcPr>
            <w:tcW w:w="5245" w:type="dxa"/>
            <w:vAlign w:val="center"/>
            <w:textDirection w:val="lrTb"/>
            <w:noWrap w:val="false"/>
          </w:tcPr>
          <w:p>
            <w:pPr>
              <w:pStyle w:val="901"/>
              <w:jc w:val="left"/>
              <w:spacing w:line="360" w:lineRule="auto"/>
              <w:rPr>
                <w:rFonts w:hint="eastAsia" w:hAnsi="宋体" w:eastAsia="宋体" w:cs="宋体"/>
                <w:bCs/>
                <w:sz w:val="21"/>
                <w:szCs w:val="21"/>
              </w:rPr>
            </w:pPr>
            <w:r>
              <w:rPr>
                <w:rFonts w:hint="eastAsia" w:hAnsi="宋体" w:eastAsia="宋体" w:cs="宋体"/>
                <w:bCs/>
                <w:sz w:val="21"/>
                <w:szCs w:val="21"/>
              </w:rPr>
              <w:t xml:space="preserve">5人及以上单数。</w:t>
            </w:r>
            <w:r/>
          </w:p>
        </w:tc>
      </w:tr>
      <w:tr>
        <w:trPr>
          <w:jc w:val="center"/>
          <w:trHeight w:val="1208"/>
        </w:trPr>
        <w:tc>
          <w:tcPr>
            <w:tcW w:w="600" w:type="dxa"/>
            <w:vAlign w:val="center"/>
            <w:textDirection w:val="lrTb"/>
            <w:noWrap w:val="false"/>
          </w:tcPr>
          <w:p>
            <w:pPr>
              <w:pStyle w:val="901"/>
              <w:jc w:val="center"/>
              <w:spacing w:line="360" w:lineRule="auto"/>
              <w:rPr>
                <w:rFonts w:hint="eastAsia" w:hAnsi="宋体" w:eastAsia="宋体" w:cs="宋体"/>
                <w:sz w:val="21"/>
                <w:szCs w:val="21"/>
                <w:lang w:eastAsia="zh-CN"/>
              </w:rPr>
            </w:pPr>
            <w:r>
              <w:rPr>
                <w:rFonts w:hint="eastAsia" w:hAnsi="宋体" w:eastAsia="宋体" w:cs="宋体"/>
                <w:sz w:val="21"/>
                <w:szCs w:val="21"/>
              </w:rPr>
              <w:t xml:space="preserve">2</w:t>
            </w:r>
            <w:r>
              <w:rPr>
                <w:rFonts w:hint="eastAsia" w:hAnsi="宋体" w:eastAsia="宋体" w:cs="宋体"/>
                <w:sz w:val="21"/>
                <w:szCs w:val="21"/>
                <w:lang w:eastAsia="zh-CN"/>
              </w:rPr>
              <w:t xml:space="preserve">0</w:t>
            </w:r>
            <w:r/>
          </w:p>
        </w:tc>
        <w:tc>
          <w:tcPr>
            <w:tcW w:w="3619" w:type="dxa"/>
            <w:vAlign w:val="center"/>
            <w:textDirection w:val="lrTb"/>
            <w:noWrap w:val="false"/>
          </w:tcPr>
          <w:p>
            <w:pPr>
              <w:pStyle w:val="901"/>
              <w:jc w:val="center"/>
              <w:spacing w:line="360" w:lineRule="auto"/>
              <w:rPr>
                <w:rFonts w:hint="eastAsia" w:hAnsi="宋体" w:eastAsia="宋体" w:cs="宋体"/>
                <w:sz w:val="21"/>
                <w:szCs w:val="21"/>
              </w:rPr>
            </w:pPr>
            <w:r>
              <w:rPr>
                <w:rFonts w:hint="eastAsia" w:hAnsi="宋体" w:eastAsia="宋体" w:cs="宋体"/>
                <w:sz w:val="21"/>
                <w:szCs w:val="21"/>
              </w:rPr>
              <w:t xml:space="preserve">核心产品</w:t>
            </w:r>
            <w:r/>
          </w:p>
        </w:tc>
        <w:tc>
          <w:tcPr>
            <w:tcW w:w="5245" w:type="dxa"/>
            <w:vAlign w:val="center"/>
            <w:textDirection w:val="lrTb"/>
            <w:noWrap w:val="false"/>
          </w:tcPr>
          <w:p>
            <w:pPr>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教学实训平台-基础模块、鸿蒙操作系统实验模块、鸿蒙智慧海事实训平台、鸿蒙智能座舱科研/实训平台、平台实训硬件</w:t>
            </w:r>
            <w:r/>
          </w:p>
        </w:tc>
      </w:tr>
      <w:tr>
        <w:trPr>
          <w:jc w:val="center"/>
          <w:trHeight w:val="603"/>
        </w:trPr>
        <w:tc>
          <w:tcPr>
            <w:tcW w:w="600" w:type="dxa"/>
            <w:vAlign w:val="center"/>
            <w:textDirection w:val="lrTb"/>
            <w:noWrap w:val="false"/>
          </w:tcPr>
          <w:p>
            <w:pPr>
              <w:pStyle w:val="901"/>
              <w:jc w:val="center"/>
              <w:spacing w:line="360" w:lineRule="auto"/>
              <w:rPr>
                <w:rFonts w:hint="eastAsia" w:hAnsi="宋体" w:eastAsia="宋体" w:cs="宋体"/>
                <w:sz w:val="21"/>
                <w:szCs w:val="21"/>
                <w:lang w:eastAsia="zh-CN"/>
              </w:rPr>
            </w:pPr>
            <w:r>
              <w:rPr>
                <w:rFonts w:hint="eastAsia" w:hAnsi="宋体" w:eastAsia="宋体" w:cs="宋体"/>
                <w:sz w:val="21"/>
                <w:szCs w:val="21"/>
              </w:rPr>
              <w:t xml:space="preserve">2</w:t>
            </w:r>
            <w:r>
              <w:rPr>
                <w:rFonts w:hint="eastAsia" w:hAnsi="宋体" w:eastAsia="宋体" w:cs="宋体"/>
                <w:sz w:val="21"/>
                <w:szCs w:val="21"/>
                <w:lang w:eastAsia="zh-CN"/>
              </w:rPr>
              <w:t xml:space="preserve">1</w:t>
            </w:r>
            <w:r/>
          </w:p>
        </w:tc>
        <w:tc>
          <w:tcPr>
            <w:tcW w:w="3619" w:type="dxa"/>
            <w:vAlign w:val="center"/>
            <w:textDirection w:val="lrTb"/>
            <w:noWrap w:val="false"/>
          </w:tcPr>
          <w:p>
            <w:pPr>
              <w:pStyle w:val="901"/>
              <w:jc w:val="center"/>
              <w:spacing w:line="360" w:lineRule="auto"/>
              <w:rPr>
                <w:rFonts w:hint="eastAsia" w:hAnsi="宋体" w:eastAsia="宋体" w:cs="宋体"/>
                <w:bCs/>
                <w:sz w:val="21"/>
                <w:szCs w:val="21"/>
              </w:rPr>
            </w:pPr>
            <w:r>
              <w:rPr>
                <w:rFonts w:hint="eastAsia" w:hAnsi="宋体" w:eastAsia="宋体" w:cs="宋体"/>
                <w:bCs/>
                <w:sz w:val="21"/>
                <w:szCs w:val="21"/>
              </w:rPr>
              <w:t xml:space="preserve">确定中标单位</w:t>
            </w:r>
            <w:r/>
          </w:p>
        </w:tc>
        <w:tc>
          <w:tcPr>
            <w:tcW w:w="5245" w:type="dxa"/>
            <w:vAlign w:val="center"/>
            <w:textDirection w:val="lrTb"/>
            <w:noWrap w:val="false"/>
          </w:tcPr>
          <w:p>
            <w:pPr>
              <w:pStyle w:val="901"/>
              <w:jc w:val="left"/>
              <w:spacing w:line="360" w:lineRule="auto"/>
              <w:rPr>
                <w:rFonts w:hint="eastAsia" w:hAnsi="宋体" w:eastAsia="宋体" w:cs="宋体"/>
                <w:bCs/>
                <w:sz w:val="21"/>
                <w:szCs w:val="21"/>
                <w:lang w:eastAsia="zh-CN"/>
              </w:rPr>
            </w:pPr>
            <w:r>
              <w:rPr>
                <w:rFonts w:hint="eastAsia" w:hAnsi="宋体" w:eastAsia="宋体" w:cs="宋体"/>
                <w:bCs/>
                <w:sz w:val="21"/>
                <w:szCs w:val="21"/>
                <w:lang w:eastAsia="zh-CN"/>
              </w:rPr>
              <w:t xml:space="preserve">1、从评标报告中响应文件满足招标文件全部实质性要求，按“第三章 评标标准 ” 综合总得分最高的供应商为排名第一。</w:t>
            </w:r>
            <w:r/>
          </w:p>
          <w:p>
            <w:pPr>
              <w:pStyle w:val="901"/>
              <w:jc w:val="left"/>
              <w:spacing w:line="360" w:lineRule="auto"/>
              <w:rPr>
                <w:rFonts w:hint="eastAsia" w:hAnsi="宋体" w:eastAsia="宋体" w:cs="宋体"/>
                <w:bCs/>
                <w:sz w:val="21"/>
                <w:szCs w:val="21"/>
                <w:lang w:eastAsia="zh-CN"/>
              </w:rPr>
            </w:pPr>
            <w:r>
              <w:rPr>
                <w:rFonts w:hint="eastAsia" w:hAnsi="宋体" w:eastAsia="宋体" w:cs="宋体"/>
                <w:bCs/>
                <w:sz w:val="21"/>
                <w:szCs w:val="21"/>
                <w:lang w:eastAsia="zh-CN"/>
              </w:rPr>
              <w:t xml:space="preserve">2、如最终综合总得分相同的，按以下方式排序：</w:t>
            </w:r>
            <w:r/>
          </w:p>
          <w:p>
            <w:pPr>
              <w:pStyle w:val="901"/>
              <w:jc w:val="left"/>
              <w:spacing w:line="360" w:lineRule="auto"/>
              <w:rPr>
                <w:rFonts w:hint="eastAsia" w:hAnsi="宋体" w:eastAsia="宋体" w:cs="宋体"/>
                <w:bCs/>
                <w:sz w:val="21"/>
                <w:szCs w:val="21"/>
                <w:lang w:eastAsia="zh-CN"/>
              </w:rPr>
            </w:pPr>
            <w:r>
              <w:rPr>
                <w:rFonts w:hint="eastAsia" w:hAnsi="宋体" w:eastAsia="宋体" w:cs="宋体"/>
                <w:bCs/>
                <w:sz w:val="21"/>
                <w:szCs w:val="21"/>
                <w:lang w:eastAsia="zh-CN"/>
              </w:rPr>
              <w:t xml:space="preserve">①如综合总得分相同的，按投标报价得分由高到低排列；</w:t>
            </w:r>
            <w:r/>
          </w:p>
          <w:p>
            <w:pPr>
              <w:pStyle w:val="901"/>
              <w:jc w:val="left"/>
              <w:spacing w:line="360" w:lineRule="auto"/>
              <w:rPr>
                <w:rFonts w:hint="eastAsia" w:hAnsi="宋体" w:eastAsia="宋体" w:cs="宋体"/>
                <w:bCs/>
                <w:sz w:val="21"/>
                <w:szCs w:val="21"/>
                <w:lang w:eastAsia="zh-CN"/>
              </w:rPr>
            </w:pPr>
            <w:r>
              <w:rPr>
                <w:rFonts w:hint="eastAsia" w:hAnsi="宋体" w:eastAsia="宋体" w:cs="宋体"/>
                <w:bCs/>
                <w:sz w:val="21"/>
                <w:szCs w:val="21"/>
                <w:lang w:eastAsia="zh-CN"/>
              </w:rPr>
              <w:t xml:space="preserve">②如综合总得分且投标报价得分相同的，按技术方案得分排列；</w:t>
            </w:r>
            <w:r/>
          </w:p>
          <w:p>
            <w:pPr>
              <w:pStyle w:val="901"/>
              <w:jc w:val="left"/>
              <w:spacing w:line="360" w:lineRule="auto"/>
              <w:rPr>
                <w:rFonts w:hint="eastAsia" w:hAnsi="宋体" w:eastAsia="宋体" w:cs="宋体"/>
                <w:bCs/>
                <w:sz w:val="21"/>
                <w:szCs w:val="21"/>
                <w:lang w:eastAsia="zh-CN"/>
              </w:rPr>
            </w:pPr>
            <w:r>
              <w:rPr>
                <w:rFonts w:hint="eastAsia" w:hAnsi="宋体" w:eastAsia="宋体" w:cs="宋体"/>
                <w:bCs/>
                <w:sz w:val="21"/>
                <w:szCs w:val="21"/>
                <w:lang w:eastAsia="zh-CN"/>
              </w:rPr>
              <w:t xml:space="preserve">③如综合总得分、投标报价、技术方案得分均相同的，由评标小组随机抽签决定。</w:t>
            </w:r>
            <w:r/>
          </w:p>
        </w:tc>
      </w:tr>
      <w:tr>
        <w:trPr>
          <w:jc w:val="center"/>
          <w:trHeight w:val="959"/>
        </w:trPr>
        <w:tc>
          <w:tcPr>
            <w:tcW w:w="600" w:type="dxa"/>
            <w:vAlign w:val="center"/>
            <w:textDirection w:val="lrTb"/>
            <w:noWrap w:val="false"/>
          </w:tcPr>
          <w:p>
            <w:pPr>
              <w:pStyle w:val="901"/>
              <w:jc w:val="center"/>
              <w:spacing w:line="360" w:lineRule="auto"/>
              <w:rPr>
                <w:rFonts w:hint="eastAsia" w:hAnsi="宋体" w:eastAsia="宋体" w:cs="宋体"/>
                <w:sz w:val="21"/>
                <w:szCs w:val="21"/>
                <w:lang w:eastAsia="zh-CN"/>
              </w:rPr>
            </w:pPr>
            <w:r>
              <w:rPr>
                <w:rFonts w:hint="eastAsia" w:hAnsi="宋体" w:eastAsia="宋体" w:cs="宋体"/>
                <w:sz w:val="21"/>
                <w:szCs w:val="21"/>
              </w:rPr>
              <w:t xml:space="preserve">2</w:t>
            </w:r>
            <w:r>
              <w:rPr>
                <w:rFonts w:hint="eastAsia" w:hAnsi="宋体" w:eastAsia="宋体" w:cs="宋体"/>
                <w:sz w:val="21"/>
                <w:szCs w:val="21"/>
                <w:lang w:eastAsia="zh-CN"/>
              </w:rPr>
              <w:t xml:space="preserve">2</w:t>
            </w:r>
            <w:r/>
          </w:p>
        </w:tc>
        <w:tc>
          <w:tcPr>
            <w:tcW w:w="3619" w:type="dxa"/>
            <w:vAlign w:val="center"/>
            <w:textDirection w:val="lrTb"/>
            <w:noWrap w:val="false"/>
          </w:tcPr>
          <w:p>
            <w:pPr>
              <w:pStyle w:val="901"/>
              <w:jc w:val="center"/>
              <w:spacing w:line="360" w:lineRule="auto"/>
              <w:rPr>
                <w:rFonts w:hint="eastAsia" w:hAnsi="宋体" w:eastAsia="宋体" w:cs="宋体"/>
                <w:sz w:val="21"/>
                <w:szCs w:val="21"/>
              </w:rPr>
            </w:pPr>
            <w:r>
              <w:rPr>
                <w:rFonts w:hint="eastAsia" w:hAnsi="宋体" w:eastAsia="宋体" w:cs="宋体"/>
                <w:sz w:val="21"/>
                <w:szCs w:val="21"/>
              </w:rPr>
              <w:t xml:space="preserve">公告媒体</w:t>
            </w:r>
            <w:r/>
          </w:p>
        </w:tc>
        <w:tc>
          <w:tcPr>
            <w:tcW w:w="5245" w:type="dxa"/>
            <w:vAlign w:val="center"/>
            <w:textDirection w:val="lrTb"/>
            <w:noWrap w:val="false"/>
          </w:tcPr>
          <w:p>
            <w:pPr>
              <w:spacing w:before="120" w:line="360" w:lineRule="auto"/>
              <w:rPr>
                <w:rFonts w:ascii="宋体" w:hAnsi="宋体" w:cs="宋体"/>
                <w:sz w:val="21"/>
                <w:szCs w:val="21"/>
                <w:lang w:eastAsia="zh-CN"/>
              </w:rPr>
            </w:pPr>
            <w:r>
              <w:rPr>
                <w:rFonts w:hint="eastAsia" w:ascii="宋体" w:hAnsi="宋体" w:eastAsia="宋体" w:cs="宋体"/>
                <w:sz w:val="21"/>
                <w:szCs w:val="21"/>
                <w:lang w:eastAsia="zh-CN"/>
              </w:rPr>
              <w:t xml:space="preserve">江苏省政府采购网和南京公共采购信息网</w:t>
            </w:r>
            <w:r/>
          </w:p>
        </w:tc>
      </w:tr>
      <w:tr>
        <w:trPr>
          <w:jc w:val="center"/>
          <w:trHeight w:val="90"/>
        </w:trPr>
        <w:tc>
          <w:tcPr>
            <w:tcW w:w="600" w:type="dxa"/>
            <w:vAlign w:val="center"/>
            <w:textDirection w:val="lrTb"/>
            <w:noWrap w:val="false"/>
          </w:tcPr>
          <w:p>
            <w:pPr>
              <w:pStyle w:val="901"/>
              <w:jc w:val="center"/>
              <w:spacing w:line="360" w:lineRule="auto"/>
              <w:rPr>
                <w:rFonts w:hint="eastAsia" w:hAnsi="宋体" w:eastAsia="宋体" w:cs="宋体"/>
                <w:sz w:val="21"/>
                <w:szCs w:val="21"/>
                <w:lang w:eastAsia="zh-CN"/>
              </w:rPr>
            </w:pPr>
            <w:r>
              <w:rPr>
                <w:rFonts w:hint="eastAsia" w:hAnsi="宋体" w:eastAsia="宋体" w:cs="宋体"/>
                <w:sz w:val="21"/>
                <w:szCs w:val="21"/>
              </w:rPr>
              <w:t xml:space="preserve">2</w:t>
            </w:r>
            <w:r>
              <w:rPr>
                <w:rFonts w:hint="eastAsia" w:hAnsi="宋体" w:eastAsia="宋体" w:cs="宋体"/>
                <w:sz w:val="21"/>
                <w:szCs w:val="21"/>
                <w:lang w:eastAsia="zh-CN"/>
              </w:rPr>
              <w:t xml:space="preserve">3</w:t>
            </w:r>
            <w:r/>
          </w:p>
        </w:tc>
        <w:tc>
          <w:tcPr>
            <w:tcW w:w="3619" w:type="dxa"/>
            <w:vAlign w:val="center"/>
            <w:textDirection w:val="lrTb"/>
            <w:noWrap w:val="false"/>
          </w:tcPr>
          <w:p>
            <w:pPr>
              <w:pStyle w:val="901"/>
              <w:jc w:val="center"/>
              <w:spacing w:line="360" w:lineRule="auto"/>
              <w:rPr>
                <w:rFonts w:hint="eastAsia" w:hAnsi="宋体" w:eastAsia="宋体" w:cs="宋体"/>
                <w:sz w:val="21"/>
                <w:szCs w:val="21"/>
              </w:rPr>
            </w:pPr>
            <w:r>
              <w:rPr>
                <w:rFonts w:hint="eastAsia" w:hAnsi="宋体" w:eastAsia="宋体" w:cs="宋体"/>
                <w:sz w:val="21"/>
                <w:szCs w:val="21"/>
              </w:rPr>
              <w:t xml:space="preserve">履约保证金</w:t>
            </w:r>
            <w:r/>
          </w:p>
        </w:tc>
        <w:tc>
          <w:tcPr>
            <w:tcW w:w="5245" w:type="dxa"/>
            <w:vAlign w:val="center"/>
            <w:textDirection w:val="lrTb"/>
            <w:noWrap w:val="false"/>
          </w:tcPr>
          <w:p>
            <w:pPr>
              <w:pStyle w:val="901"/>
              <w:jc w:val="left"/>
              <w:spacing w:line="360" w:lineRule="auto"/>
              <w:rPr>
                <w:rFonts w:hint="eastAsia" w:hAnsi="宋体" w:eastAsia="宋体" w:cs="宋体"/>
                <w:bCs/>
                <w:sz w:val="21"/>
                <w:szCs w:val="21"/>
              </w:rPr>
            </w:pPr>
            <w:r>
              <w:rPr>
                <w:rFonts w:hint="eastAsia" w:hAnsi="宋体" w:eastAsia="宋体" w:cs="宋体"/>
                <w:bCs/>
                <w:sz w:val="21"/>
                <w:szCs w:val="21"/>
              </w:rPr>
              <w:t xml:space="preserve">■不要求</w:t>
            </w:r>
            <w:r/>
          </w:p>
        </w:tc>
      </w:tr>
      <w:tr>
        <w:trPr>
          <w:jc w:val="center"/>
          <w:trHeight w:val="793"/>
        </w:trPr>
        <w:tc>
          <w:tcPr>
            <w:tcW w:w="600" w:type="dxa"/>
            <w:vAlign w:val="center"/>
            <w:textDirection w:val="lrTb"/>
            <w:noWrap w:val="false"/>
          </w:tcPr>
          <w:p>
            <w:pPr>
              <w:pStyle w:val="901"/>
              <w:jc w:val="center"/>
              <w:spacing w:line="360" w:lineRule="auto"/>
              <w:rPr>
                <w:rFonts w:hint="eastAsia" w:hAnsi="宋体" w:eastAsia="宋体" w:cs="宋体"/>
                <w:sz w:val="21"/>
                <w:szCs w:val="21"/>
                <w:lang w:eastAsia="zh-CN"/>
              </w:rPr>
            </w:pPr>
            <w:r>
              <w:rPr>
                <w:rFonts w:hint="eastAsia" w:hAnsi="宋体" w:eastAsia="宋体" w:cs="宋体"/>
                <w:sz w:val="21"/>
                <w:szCs w:val="21"/>
              </w:rPr>
              <w:t xml:space="preserve">2</w:t>
            </w:r>
            <w:r>
              <w:rPr>
                <w:rFonts w:hint="eastAsia" w:hAnsi="宋体" w:eastAsia="宋体" w:cs="宋体"/>
                <w:sz w:val="21"/>
                <w:szCs w:val="21"/>
                <w:lang w:eastAsia="zh-CN"/>
              </w:rPr>
              <w:t xml:space="preserve">4</w:t>
            </w:r>
            <w:r/>
          </w:p>
        </w:tc>
        <w:tc>
          <w:tcPr>
            <w:tcW w:w="3619" w:type="dxa"/>
            <w:vAlign w:val="center"/>
            <w:textDirection w:val="lrTb"/>
            <w:noWrap w:val="false"/>
          </w:tcPr>
          <w:p>
            <w:pPr>
              <w:ind w:left="-559" w:firstLine="533"/>
              <w:jc w:val="center"/>
              <w:spacing w:before="120" w:line="360" w:lineRule="auto"/>
              <w:rPr>
                <w:rFonts w:ascii="宋体" w:hAnsi="宋体" w:cs="宋体"/>
                <w:sz w:val="21"/>
                <w:szCs w:val="21"/>
                <w:lang w:eastAsia="zh-CN"/>
              </w:rPr>
            </w:pPr>
            <w:r>
              <w:rPr>
                <w:rFonts w:hint="eastAsia" w:ascii="宋体" w:hAnsi="宋体" w:cs="宋体"/>
                <w:sz w:val="21"/>
                <w:szCs w:val="21"/>
                <w:lang w:eastAsia="zh-CN"/>
              </w:rPr>
              <w:t xml:space="preserve">供应商对招标文件的询问</w:t>
            </w:r>
            <w:r/>
          </w:p>
        </w:tc>
        <w:tc>
          <w:tcPr>
            <w:tcW w:w="5245" w:type="dxa"/>
            <w:vAlign w:val="center"/>
            <w:textDirection w:val="lrTb"/>
            <w:noWrap w:val="false"/>
          </w:tcPr>
          <w:p>
            <w:pPr>
              <w:pStyle w:val="733"/>
              <w:jc w:val="left"/>
              <w:spacing w:line="360" w:lineRule="auto"/>
              <w:rPr>
                <w:rFonts w:hint="eastAsia" w:hAnsi="宋体" w:cs="宋体"/>
                <w:sz w:val="21"/>
                <w:szCs w:val="21"/>
              </w:rPr>
            </w:pPr>
            <w:r>
              <w:rPr>
                <w:rFonts w:hint="eastAsia" w:hAnsi="宋体" w:cs="宋体"/>
                <w:bCs/>
                <w:sz w:val="21"/>
                <w:szCs w:val="21"/>
              </w:rPr>
              <w:t xml:space="preserve">时间：</w:t>
            </w:r>
            <w:r>
              <w:rPr>
                <w:rFonts w:hint="eastAsia" w:hAnsi="宋体" w:cs="宋体"/>
                <w:sz w:val="21"/>
                <w:szCs w:val="21"/>
              </w:rPr>
              <w:t xml:space="preserve">2025年</w:t>
            </w:r>
            <w:r>
              <w:rPr>
                <w:rFonts w:hint="eastAsia" w:hAnsi="宋体" w:cs="宋体"/>
                <w:sz w:val="21"/>
                <w:szCs w:val="21"/>
                <w:lang w:val="en-US" w:eastAsia="zh-CN"/>
              </w:rPr>
              <w:t xml:space="preserve">4</w:t>
            </w:r>
            <w:r>
              <w:rPr>
                <w:rFonts w:hint="eastAsia" w:hAnsi="宋体" w:cs="宋体"/>
                <w:sz w:val="21"/>
                <w:szCs w:val="21"/>
              </w:rPr>
              <w:t xml:space="preserve">月</w:t>
            </w:r>
            <w:r>
              <w:rPr>
                <w:rFonts w:hint="eastAsia" w:hAnsi="宋体" w:cs="宋体"/>
                <w:sz w:val="21"/>
                <w:szCs w:val="21"/>
                <w:lang w:val="en-US" w:eastAsia="zh-CN"/>
              </w:rPr>
              <w:t xml:space="preserve">18</w:t>
            </w:r>
            <w:r>
              <w:rPr>
                <w:rFonts w:hint="eastAsia" w:hAnsi="宋体" w:cs="宋体"/>
                <w:sz w:val="21"/>
                <w:szCs w:val="21"/>
              </w:rPr>
              <w:t xml:space="preserve">日</w:t>
            </w:r>
            <w:r>
              <w:rPr>
                <w:rFonts w:hint="eastAsia" w:hAnsi="宋体" w:cs="宋体"/>
                <w:sz w:val="21"/>
                <w:szCs w:val="21"/>
                <w:lang w:val="en-US" w:eastAsia="zh-CN"/>
              </w:rPr>
              <w:t xml:space="preserve">17:00</w:t>
            </w:r>
            <w:bookmarkStart w:id="3" w:name="_GoBack"/>
            <w:r/>
            <w:bookmarkEnd w:id="3"/>
            <w:r>
              <w:rPr>
                <w:rFonts w:hint="eastAsia" w:hAnsi="宋体" w:cs="宋体"/>
                <w:sz w:val="21"/>
                <w:szCs w:val="21"/>
              </w:rPr>
              <w:t xml:space="preserve">前</w:t>
            </w:r>
            <w:r/>
          </w:p>
          <w:p>
            <w:pPr>
              <w:pStyle w:val="733"/>
              <w:jc w:val="left"/>
              <w:spacing w:line="360" w:lineRule="auto"/>
              <w:rPr>
                <w:rFonts w:hint="eastAsia" w:hAnsi="宋体" w:cs="宋体"/>
                <w:bCs/>
                <w:sz w:val="21"/>
                <w:szCs w:val="21"/>
              </w:rPr>
            </w:pPr>
            <w:r>
              <w:rPr>
                <w:rFonts w:hint="eastAsia" w:hAnsi="宋体" w:cs="宋体"/>
                <w:bCs/>
                <w:sz w:val="21"/>
                <w:szCs w:val="21"/>
              </w:rPr>
              <w:t xml:space="preserve">形式：以书面形式（盖</w:t>
            </w:r>
            <w:r>
              <w:rPr>
                <w:rFonts w:hint="eastAsia" w:hAnsi="宋体" w:cs="宋体"/>
                <w:bCs/>
                <w:sz w:val="21"/>
                <w:szCs w:val="21"/>
                <w:u w:val="single"/>
              </w:rPr>
              <w:t xml:space="preserve">章扫描件及WORD兼容格式文件发至1295783474@qq.com</w:t>
            </w:r>
            <w:r>
              <w:rPr>
                <w:rFonts w:hint="eastAsia" w:hAnsi="宋体" w:cs="宋体"/>
                <w:bCs/>
                <w:sz w:val="21"/>
                <w:szCs w:val="21"/>
              </w:rPr>
              <w:t xml:space="preserve">邮箱）通知</w:t>
            </w:r>
            <w:r>
              <w:rPr>
                <w:rFonts w:hint="eastAsia" w:hAnsi="宋体"/>
                <w:sz w:val="21"/>
                <w:szCs w:val="21"/>
              </w:rPr>
              <w:t xml:space="preserve">采购人</w:t>
            </w:r>
            <w:r>
              <w:rPr>
                <w:rFonts w:hint="eastAsia" w:hAnsi="宋体" w:cs="宋体"/>
                <w:bCs/>
                <w:sz w:val="21"/>
                <w:szCs w:val="21"/>
              </w:rPr>
              <w:t xml:space="preserve">或采购代理机构。</w:t>
            </w:r>
            <w:r/>
          </w:p>
        </w:tc>
      </w:tr>
      <w:tr>
        <w:trPr>
          <w:jc w:val="center"/>
          <w:trHeight w:val="736"/>
        </w:trPr>
        <w:tc>
          <w:tcPr>
            <w:tcW w:w="600" w:type="dxa"/>
            <w:vAlign w:val="center"/>
            <w:textDirection w:val="lrTb"/>
            <w:noWrap w:val="false"/>
          </w:tcPr>
          <w:p>
            <w:pPr>
              <w:pStyle w:val="901"/>
              <w:jc w:val="center"/>
              <w:spacing w:line="360" w:lineRule="auto"/>
              <w:rPr>
                <w:rFonts w:hint="eastAsia" w:hAnsi="宋体" w:eastAsia="宋体" w:cs="宋体"/>
                <w:sz w:val="21"/>
                <w:szCs w:val="21"/>
                <w:lang w:eastAsia="zh-CN"/>
              </w:rPr>
            </w:pPr>
            <w:r>
              <w:rPr>
                <w:rFonts w:hint="eastAsia" w:hAnsi="宋体" w:eastAsia="宋体" w:cs="宋体"/>
                <w:sz w:val="21"/>
                <w:szCs w:val="21"/>
              </w:rPr>
              <w:t xml:space="preserve">2</w:t>
            </w:r>
            <w:r>
              <w:rPr>
                <w:rFonts w:hint="eastAsia" w:hAnsi="宋体" w:eastAsia="宋体" w:cs="宋体"/>
                <w:sz w:val="21"/>
                <w:szCs w:val="21"/>
                <w:lang w:eastAsia="zh-CN"/>
              </w:rPr>
              <w:t xml:space="preserve">5</w:t>
            </w:r>
            <w:r/>
          </w:p>
        </w:tc>
        <w:tc>
          <w:tcPr>
            <w:tcW w:w="3619" w:type="dxa"/>
            <w:vAlign w:val="center"/>
            <w:textDirection w:val="lrTb"/>
            <w:noWrap w:val="false"/>
          </w:tcPr>
          <w:p>
            <w:pPr>
              <w:ind w:left="-559" w:firstLine="533"/>
              <w:jc w:val="center"/>
              <w:spacing w:before="120" w:line="360" w:lineRule="auto"/>
              <w:rPr>
                <w:rFonts w:ascii="宋体" w:hAnsi="宋体" w:cs="宋体"/>
                <w:sz w:val="21"/>
                <w:szCs w:val="21"/>
                <w:lang w:eastAsia="zh-CN"/>
              </w:rPr>
            </w:pPr>
            <w:r>
              <w:rPr>
                <w:rFonts w:hint="eastAsia" w:ascii="宋体" w:hAnsi="宋体" w:cs="宋体"/>
                <w:sz w:val="21"/>
                <w:szCs w:val="21"/>
                <w:lang w:eastAsia="zh-CN"/>
              </w:rPr>
              <w:t xml:space="preserve">供应商对招标文件提出的质疑</w:t>
            </w:r>
            <w:r/>
          </w:p>
        </w:tc>
        <w:tc>
          <w:tcPr>
            <w:tcW w:w="5245" w:type="dxa"/>
            <w:vAlign w:val="center"/>
            <w:textDirection w:val="lrTb"/>
            <w:noWrap w:val="false"/>
          </w:tcPr>
          <w:p>
            <w:pPr>
              <w:pStyle w:val="733"/>
              <w:jc w:val="left"/>
              <w:spacing w:line="360" w:lineRule="auto"/>
              <w:rPr>
                <w:rFonts w:hint="eastAsia" w:hAnsi="宋体" w:cs="宋体"/>
                <w:sz w:val="21"/>
                <w:szCs w:val="21"/>
                <w:lang w:eastAsia="zh-CN"/>
              </w:rPr>
            </w:pPr>
            <w:r>
              <w:rPr>
                <w:rFonts w:hint="eastAsia" w:hAnsi="宋体" w:cs="宋体"/>
                <w:bCs/>
                <w:sz w:val="21"/>
                <w:szCs w:val="21"/>
                <w:lang w:eastAsia="zh-CN"/>
              </w:rPr>
              <w:t xml:space="preserve">形式：以书面形式通知采购人或采购代理机构。</w:t>
            </w:r>
            <w:r/>
          </w:p>
        </w:tc>
      </w:tr>
      <w:tr>
        <w:trPr>
          <w:jc w:val="center"/>
          <w:trHeight w:val="270"/>
        </w:trPr>
        <w:tc>
          <w:tcPr>
            <w:tcW w:w="600" w:type="dxa"/>
            <w:vAlign w:val="center"/>
            <w:textDirection w:val="lrTb"/>
            <w:noWrap w:val="false"/>
          </w:tcPr>
          <w:p>
            <w:pPr>
              <w:pStyle w:val="901"/>
              <w:jc w:val="center"/>
              <w:spacing w:line="360" w:lineRule="auto"/>
              <w:rPr>
                <w:rFonts w:hint="eastAsia" w:hAnsi="宋体" w:eastAsia="宋体" w:cs="宋体"/>
                <w:sz w:val="21"/>
                <w:szCs w:val="21"/>
                <w:lang w:eastAsia="zh-CN"/>
              </w:rPr>
            </w:pPr>
            <w:r>
              <w:rPr>
                <w:rFonts w:hint="eastAsia" w:hAnsi="宋体" w:eastAsia="宋体" w:cs="宋体"/>
                <w:sz w:val="21"/>
                <w:szCs w:val="21"/>
              </w:rPr>
              <w:t xml:space="preserve">2</w:t>
            </w:r>
            <w:r>
              <w:rPr>
                <w:rFonts w:hint="eastAsia" w:hAnsi="宋体" w:eastAsia="宋体" w:cs="宋体"/>
                <w:sz w:val="21"/>
                <w:szCs w:val="21"/>
                <w:lang w:eastAsia="zh-CN"/>
              </w:rPr>
              <w:t xml:space="preserve">6</w:t>
            </w:r>
            <w:r/>
          </w:p>
        </w:tc>
        <w:tc>
          <w:tcPr>
            <w:tcW w:w="3619" w:type="dxa"/>
            <w:vAlign w:val="center"/>
            <w:textDirection w:val="lrTb"/>
            <w:noWrap w:val="false"/>
          </w:tcPr>
          <w:p>
            <w:pPr>
              <w:pStyle w:val="901"/>
              <w:jc w:val="center"/>
              <w:spacing w:line="360" w:lineRule="auto"/>
              <w:rPr>
                <w:rFonts w:hint="eastAsia" w:hAnsi="宋体" w:eastAsia="宋体" w:cs="宋体"/>
                <w:sz w:val="21"/>
                <w:szCs w:val="21"/>
              </w:rPr>
            </w:pPr>
            <w:r>
              <w:rPr>
                <w:rFonts w:hint="eastAsia" w:hAnsi="宋体" w:eastAsia="宋体" w:cs="宋体"/>
                <w:sz w:val="21"/>
                <w:szCs w:val="21"/>
              </w:rPr>
              <w:t xml:space="preserve">招标代理服务费</w:t>
            </w:r>
            <w:r/>
          </w:p>
        </w:tc>
        <w:tc>
          <w:tcPr>
            <w:tcW w:w="5245" w:type="dxa"/>
            <w:vAlign w:val="center"/>
            <w:textDirection w:val="lrTb"/>
            <w:noWrap w:val="false"/>
          </w:tcPr>
          <w:p>
            <w:pPr>
              <w:pStyle w:val="733"/>
              <w:jc w:val="left"/>
              <w:spacing w:line="360" w:lineRule="auto"/>
              <w:rPr>
                <w:rFonts w:hint="eastAsia" w:hAnsi="宋体" w:cs="宋体"/>
                <w:bCs/>
                <w:sz w:val="21"/>
                <w:szCs w:val="21"/>
                <w:lang w:eastAsia="zh-CN"/>
              </w:rPr>
            </w:pPr>
            <w:r>
              <w:rPr>
                <w:rFonts w:hint="eastAsia" w:hAnsi="宋体" w:cs="宋体"/>
                <w:bCs/>
                <w:sz w:val="21"/>
                <w:szCs w:val="21"/>
                <w:lang w:eastAsia="zh-CN"/>
              </w:rPr>
              <w:t xml:space="preserve">本次招标，代理服务费用由中标供应商承担，以中标价为计费基数，招标代理服务费按计价格[2002]1980号文收费标准的52%计取。专家评审费由代理机构先行垫付，最终由中标供应商按实支付。中标供应商须在向代理机构领取中标通知书前支付上述费用。</w:t>
            </w:r>
            <w:r/>
          </w:p>
        </w:tc>
      </w:tr>
    </w:tbl>
    <w:p>
      <w:pPr>
        <w:ind w:firstLine="482"/>
        <w:jc w:val="both"/>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一、</w:t>
      </w:r>
      <w:r>
        <w:rPr>
          <w:rFonts w:ascii="宋体" w:hAnsi="宋体" w:eastAsia="宋体" w:cs="宋体"/>
          <w:b/>
          <w:color w:val="000000"/>
          <w:sz w:val="21"/>
          <w:szCs w:val="21"/>
          <w:lang w:eastAsia="zh-CN"/>
        </w:rPr>
        <w:t xml:space="preserve">总则</w:t>
      </w:r>
      <w:r/>
    </w:p>
    <w:p>
      <w:pPr>
        <w:ind w:firstLine="482"/>
        <w:jc w:val="both"/>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l、采购方式</w:t>
      </w:r>
      <w:r/>
    </w:p>
    <w:p>
      <w:pPr>
        <w:ind w:firstLine="480"/>
        <w:jc w:val="both"/>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1.1本次采购采用公开招标方式，本采购文件仅适用于采购公告中所述项目。</w:t>
      </w:r>
      <w:r/>
    </w:p>
    <w:p>
      <w:pPr>
        <w:ind w:firstLine="482"/>
        <w:jc w:val="both"/>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2、合格的</w:t>
      </w:r>
      <w:r>
        <w:rPr>
          <w:rFonts w:hint="eastAsia" w:ascii="宋体" w:hAnsi="宋体" w:eastAsia="宋体" w:cs="宋体"/>
          <w:b/>
          <w:color w:val="000000"/>
          <w:sz w:val="21"/>
          <w:szCs w:val="21"/>
          <w:lang w:eastAsia="zh-CN"/>
        </w:rPr>
        <w:t xml:space="preserve">供应商</w:t>
      </w:r>
      <w:r/>
    </w:p>
    <w:p>
      <w:pPr>
        <w:ind w:firstLine="480"/>
        <w:jc w:val="both"/>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2.1满足采购公告中</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资质要求的规定。</w:t>
      </w:r>
      <w:r/>
    </w:p>
    <w:p>
      <w:pPr>
        <w:ind w:firstLine="480"/>
        <w:jc w:val="both"/>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2.2 满足本文件实质性条款的规定。</w:t>
      </w:r>
      <w:r/>
    </w:p>
    <w:p>
      <w:pPr>
        <w:ind w:firstLine="482"/>
        <w:jc w:val="both"/>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3、政策功能</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3.1促进中小企业发展政策：</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ascii="宋体" w:hAnsi="宋体" w:eastAsia="宋体" w:cs="宋体"/>
          <w:color w:val="000000"/>
          <w:sz w:val="21"/>
          <w:szCs w:val="21"/>
          <w:lang w:eastAsia="zh-CN"/>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3.2节能产品、环境标志产品政策</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（1）政府采购节能产品、环境标志产品实施品目清单管理。</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（2）拟采购产品属于节能产品、环境标志产品品目清单规定必须强制采购的，实行强制采购。</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（3）拟采购产品属于节能产品、环境标志产品品目清单规定优先采购的，在性能、技术、服务等指标同等条件下，实行优先采购，优先采购的评审标准详见本招标文件第三章。</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（4）参加政府采购活动的节能产品、环境标志产品供应商应当提供国家确定的认证机构出具的、处于有效期之内的节能产品、环境标志产品认证证书。</w:t>
      </w:r>
      <w:r/>
    </w:p>
    <w:p>
      <w:pPr>
        <w:ind w:firstLine="480"/>
        <w:jc w:val="both"/>
        <w:spacing w:after="0" w:line="360" w:lineRule="auto"/>
        <w:rPr>
          <w:rFonts w:hint="eastAsia" w:ascii="宋体" w:hAnsi="宋体" w:eastAsia="宋体" w:cs="宋体"/>
          <w:b/>
          <w:bCs/>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lang w:eastAsia="zh-CN"/>
        </w:rPr>
        <w:t xml:space="preserve">4、投标费用</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4.1</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应自行承担所有参与投标有关费用，无论投标过程中的做法和结果如何，采购人在任何情况下均无义务和责任承担这些费用。</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4.2</w:t>
      </w:r>
      <w:r>
        <w:rPr>
          <w:rFonts w:hint="eastAsia" w:ascii="宋体" w:hAnsi="宋体" w:eastAsia="宋体" w:cs="宋体"/>
          <w:color w:val="000000"/>
          <w:sz w:val="21"/>
          <w:szCs w:val="21"/>
          <w:lang w:eastAsia="zh-CN"/>
        </w:rPr>
        <w:t xml:space="preserve">代理服务费用由中标供应商承担，以中标价为计费基数，招标代理服务费按计价格[2002]1980号文收费标准的52%计取。专家评审费由代理机构先行垫付，最终由中标供应商按实支付。中标供应商须在向代理机构领取中标通知书前支付上述费用。</w:t>
      </w:r>
      <w:r/>
    </w:p>
    <w:p>
      <w:pPr>
        <w:ind w:firstLine="480"/>
        <w:jc w:val="both"/>
        <w:spacing w:after="0" w:line="360" w:lineRule="auto"/>
        <w:rPr>
          <w:rFonts w:hint="eastAsia" w:ascii="宋体" w:hAnsi="宋体" w:eastAsia="宋体" w:cs="宋体"/>
          <w:b/>
          <w:bCs/>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lang w:eastAsia="zh-CN"/>
        </w:rPr>
        <w:t xml:space="preserve">5、采购文件的约束力</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5.1</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一旦下载了本采购文件并参与投标，即被认为接受了本采购文件中的所有条件和规定。</w:t>
      </w:r>
      <w:r/>
    </w:p>
    <w:p>
      <w:pPr>
        <w:ind w:firstLine="480"/>
        <w:jc w:val="both"/>
        <w:spacing w:after="0" w:line="360" w:lineRule="auto"/>
        <w:rPr>
          <w:rFonts w:hint="eastAsia" w:ascii="宋体" w:hAnsi="宋体" w:eastAsia="宋体" w:cs="宋体"/>
          <w:b/>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lang w:eastAsia="zh-CN"/>
        </w:rPr>
        <w:t xml:space="preserve">二</w:t>
      </w:r>
      <w:r>
        <w:rPr>
          <w:rFonts w:ascii="宋体" w:hAnsi="宋体" w:eastAsia="宋体" w:cs="宋体"/>
          <w:b/>
          <w:bCs/>
          <w:color w:val="000000"/>
          <w:sz w:val="21"/>
          <w:szCs w:val="21"/>
          <w:lang w:eastAsia="zh-CN"/>
        </w:rPr>
        <w:t xml:space="preserve">、采购文件</w:t>
      </w:r>
      <w:r/>
    </w:p>
    <w:p>
      <w:pPr>
        <w:ind w:firstLine="480"/>
        <w:jc w:val="both"/>
        <w:spacing w:after="0" w:line="360" w:lineRule="auto"/>
        <w:rPr>
          <w:rFonts w:hint="eastAsia" w:ascii="宋体" w:hAnsi="宋体" w:eastAsia="宋体" w:cs="宋体"/>
          <w:b/>
          <w:bCs/>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lang w:eastAsia="zh-CN"/>
        </w:rPr>
        <w:t xml:space="preserve">6、采购文件的构成</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6.1采购文件由以下部分组成：</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（1）采购公告</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须知</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（3）合同条款及格式</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（4）项目需求</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（5）评标方法与评标标准</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（6）投标文件格式</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请仔细检查采购文件是否齐全，如有缺漏请立即与联系解决。</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6.2</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应认真阅读采购文件中所有的事项、格式、条款和规范等要求。按采购文件要求和规定编制投标文件，并保证所提供的全部资料的真实性，以使其投标文件对采购文件作出实质性响应，否则其风险由</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自行承担。</w:t>
      </w:r>
      <w:r/>
    </w:p>
    <w:p>
      <w:pPr>
        <w:ind w:firstLine="480"/>
        <w:jc w:val="both"/>
        <w:spacing w:after="0" w:line="360" w:lineRule="auto"/>
        <w:rPr>
          <w:rFonts w:hint="eastAsia" w:ascii="宋体" w:hAnsi="宋体" w:eastAsia="宋体" w:cs="宋体"/>
          <w:b/>
          <w:bCs/>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lang w:eastAsia="zh-CN"/>
        </w:rPr>
        <w:t xml:space="preserve">7、采购文件的澄清</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任何要求对采购文件进行澄清的</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，均应在投标截止期前十</w:t>
      </w:r>
      <w:r>
        <w:rPr>
          <w:rFonts w:hint="eastAsia" w:ascii="宋体" w:hAnsi="宋体" w:eastAsia="宋体" w:cs="宋体"/>
          <w:color w:val="000000"/>
          <w:sz w:val="21"/>
          <w:szCs w:val="21"/>
          <w:lang w:eastAsia="zh-CN"/>
        </w:rPr>
        <w:t xml:space="preserve">五</w:t>
      </w:r>
      <w:r>
        <w:rPr>
          <w:rFonts w:ascii="宋体" w:hAnsi="宋体" w:eastAsia="宋体" w:cs="宋体"/>
          <w:color w:val="000000"/>
          <w:sz w:val="21"/>
          <w:szCs w:val="21"/>
          <w:lang w:eastAsia="zh-CN"/>
        </w:rPr>
        <w:t xml:space="preserve">日前以书面形式通知代理机构。</w:t>
      </w:r>
      <w:r/>
    </w:p>
    <w:p>
      <w:pPr>
        <w:ind w:firstLine="480"/>
        <w:jc w:val="both"/>
        <w:spacing w:after="0" w:line="360" w:lineRule="auto"/>
        <w:rPr>
          <w:rFonts w:hint="eastAsia" w:ascii="宋体" w:hAnsi="宋体" w:eastAsia="宋体" w:cs="宋体"/>
          <w:b/>
          <w:bCs/>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lang w:eastAsia="zh-CN"/>
        </w:rPr>
        <w:t xml:space="preserve">8、采购文件的修改</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8.l在投标截止日期前，无论何种原因，采购人均可主动或在解答</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提出的澄清问题时对采购文件进行修改。</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8.2采购文件的修改将在</w:t>
      </w:r>
      <w:r>
        <w:rPr>
          <w:rFonts w:hint="eastAsia" w:ascii="宋体" w:hAnsi="宋体" w:eastAsia="宋体" w:cs="宋体"/>
          <w:color w:val="000000"/>
          <w:sz w:val="21"/>
          <w:szCs w:val="21"/>
          <w:lang w:eastAsia="zh-CN"/>
        </w:rPr>
        <w:t xml:space="preserve">江苏省政府采购网和</w:t>
      </w:r>
      <w:r>
        <w:rPr>
          <w:rFonts w:ascii="宋体" w:hAnsi="宋体" w:eastAsia="宋体" w:cs="宋体"/>
          <w:color w:val="000000"/>
          <w:sz w:val="21"/>
          <w:szCs w:val="21"/>
          <w:lang w:eastAsia="zh-CN"/>
        </w:rPr>
        <w:t xml:space="preserve">南京公共采购信息网上公布，并对所有</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具有约束力。</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8.3为使</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编写标书有充分时间对标书文件的修改部分进行分析、研究，采购人有权推迟投标截止日期和开标日期，并将此变更书面通知所有购买采购文件的</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w:t>
      </w:r>
      <w:r/>
    </w:p>
    <w:p>
      <w:pPr>
        <w:ind w:firstLine="480"/>
        <w:jc w:val="both"/>
        <w:spacing w:after="0" w:line="360" w:lineRule="auto"/>
        <w:rPr>
          <w:rFonts w:hint="eastAsia" w:ascii="宋体" w:hAnsi="宋体" w:eastAsia="宋体" w:cs="宋体"/>
          <w:b/>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lang w:eastAsia="zh-CN"/>
        </w:rPr>
        <w:t xml:space="preserve">三</w:t>
      </w:r>
      <w:r>
        <w:rPr>
          <w:rFonts w:ascii="宋体" w:hAnsi="宋体" w:eastAsia="宋体" w:cs="宋体"/>
          <w:b/>
          <w:bCs/>
          <w:color w:val="000000"/>
          <w:sz w:val="21"/>
          <w:szCs w:val="21"/>
          <w:lang w:eastAsia="zh-CN"/>
        </w:rPr>
        <w:t xml:space="preserve">、投标文件的编制</w:t>
      </w:r>
      <w:r/>
    </w:p>
    <w:p>
      <w:pPr>
        <w:ind w:firstLine="480"/>
        <w:jc w:val="both"/>
        <w:spacing w:after="0" w:line="360" w:lineRule="auto"/>
        <w:rPr>
          <w:rFonts w:hint="eastAsia" w:ascii="宋体" w:hAnsi="宋体" w:eastAsia="宋体" w:cs="宋体"/>
          <w:b/>
          <w:bCs/>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lang w:eastAsia="zh-CN"/>
        </w:rPr>
        <w:t xml:space="preserve">9、投标语言及度量衡单位</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9.1</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提供的投标文件以及</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与采购人就有关投标的所有来往通知、函件和文件均使用简体中文。</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9.2除技术性能另有规定外，投标文件所使用的度量衡单位，均采用国家法定计量单位。</w:t>
      </w:r>
      <w:r/>
    </w:p>
    <w:p>
      <w:pPr>
        <w:ind w:firstLine="480"/>
        <w:jc w:val="both"/>
        <w:spacing w:after="0" w:line="360" w:lineRule="auto"/>
        <w:rPr>
          <w:rFonts w:hint="eastAsia" w:ascii="宋体" w:hAnsi="宋体" w:eastAsia="宋体" w:cs="宋体"/>
          <w:b/>
          <w:bCs/>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lang w:eastAsia="zh-CN"/>
        </w:rPr>
        <w:t xml:space="preserve">10、投标文件的构成</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编写的投标文件应包括下列部分：</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10.1投标文件目录；</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10.2投标函：须含</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的开户名称、开户银行、账号、电话、传真、E-mail等联系方式；</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10.3</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资格证明材料；</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（1）法人或者其他组织的营业执照等证明文件（复印件）；</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（2）相关资质证明材料（复印件）；</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（3）法人授权委托书（复印件）；</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（4）法定代表人的身份证复印件；</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（5）授权代表的身份证复印件（开标现场查验原件）；</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（6）具有项目必须的技术条件或经营能力的书面声明；</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（7）无违法违规记录声明；</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（8）采购文件中的其他资格性要求（详见采购公告第二条</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资格要求）。</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上述文件均应加盖公章。</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10.4开标一览表：</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应按照采购文件中提供的格式完整、正确地填写开标一览表。</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应采用分项报价最终汇总的方式进行，按照采购文件要求报价，在表中标明所提供的设备品牌、规格型号和原产地，主要部件型号及其功能的中文说明，供货期等；每项货物和服务只允许有一个报价，任何有选择的报价将不予接受（如有备选配件，备选配件的报价不属于选择的报价）。</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（3）本项目报价采用</w:t>
      </w:r>
      <w:r>
        <w:rPr>
          <w:rFonts w:hint="eastAsia" w:ascii="宋体" w:hAnsi="宋体" w:eastAsia="宋体" w:cs="宋体"/>
          <w:color w:val="000000"/>
          <w:sz w:val="21"/>
          <w:szCs w:val="21"/>
          <w:lang w:eastAsia="zh-CN"/>
        </w:rPr>
        <w:t xml:space="preserve">固定总价方式</w:t>
      </w:r>
      <w:r>
        <w:rPr>
          <w:rFonts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的报价应包括但不限于所投产品全部费用、安装调试费、安装中的相关费用、运行维护费用、全部税金、培训、售后服务及其他有关的为完成本项目发生的所有费用，招标文件中另有规定的除外。</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4）开标一览表中的价格应与投标文件中的报价表中价格一致，如不一致，评标时一律按开标一览表中价格为准。开标一览表必须盖章，加盖公章后的“开标一览表”除应装订在投标文件中，还必须单独（此份不放在投标文件内）装在小信封内于投标截止时间前与投标文件一起递交。</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（5）报价必须充分考虑所有可能影响到报价的价格因素，一旦投标结束最终成交，总价将包定，合同期内不予调整。如发生漏、缺、少项，都将被认为是中标人的报价让利行为。</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10.5</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参照投标文件中技术条款对本项目所投产品的技术指标响应进行准确描述，并附《技术参数响应及偏离表》；技术部分是证明</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提供的产品和服务是合格的、并符合招标文件要求的证明文件，以及对投标报价表中的服务的详细说明，这些文件可以是文字资料、图纸（表）和数据等；若技术性能无特殊说明，则按国家有关部门最新颁布的标准及规范为准；提供的产品和服务如与招标文件要求有不符之处，应说明其差别之所在，并在《技术参数响应及偏离表》中逐条予以说明。</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10.6</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按照投标文件中商务条款提供交货安装、工期保证等方案以及产品售后服务和质量承诺，并附《商务条款响应及偏离表》；</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10.7</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的业绩情况；</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10.8</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认为有必要提供的文件材料；</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10.9</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应将投标文件装订成册。</w:t>
      </w:r>
      <w:r/>
    </w:p>
    <w:p>
      <w:pPr>
        <w:ind w:firstLine="480"/>
        <w:jc w:val="both"/>
        <w:spacing w:after="0" w:line="360" w:lineRule="auto"/>
        <w:rPr>
          <w:rFonts w:hint="eastAsia" w:ascii="宋体" w:hAnsi="宋体" w:eastAsia="宋体" w:cs="宋体"/>
          <w:b/>
          <w:bCs/>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lang w:eastAsia="zh-CN"/>
        </w:rPr>
        <w:t xml:space="preserve">11、其它费用处理</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采购文件未列明，而投标单位认为必需的费用也需列入报价。</w:t>
      </w:r>
      <w:r/>
    </w:p>
    <w:p>
      <w:pPr>
        <w:ind w:firstLine="480"/>
        <w:jc w:val="both"/>
        <w:spacing w:after="0" w:line="360" w:lineRule="auto"/>
        <w:rPr>
          <w:rFonts w:hint="eastAsia" w:ascii="宋体" w:hAnsi="宋体" w:eastAsia="宋体" w:cs="宋体"/>
          <w:b/>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lang w:eastAsia="zh-CN"/>
        </w:rPr>
        <w:t xml:space="preserve">12、</w:t>
      </w:r>
      <w:r>
        <w:rPr>
          <w:rFonts w:ascii="宋体" w:hAnsi="宋体" w:eastAsia="宋体" w:cs="宋体"/>
          <w:b/>
          <w:bCs/>
          <w:color w:val="000000"/>
          <w:sz w:val="21"/>
          <w:szCs w:val="21"/>
          <w:lang w:eastAsia="zh-CN"/>
        </w:rPr>
        <w:t xml:space="preserve">投标保证金</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本项目无投标保证金。</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12.1在开标时，对于未按要求提交投标保证金的投标无效。</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12.2投标保证金是为了保护采购人免遭因</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的不良行为而蒙受的损失，采购人在因</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的行为遭受损失时，可根据第12.4条的规定没收</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的投标保证金。</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12.3未中标的</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的投标保证金，将在中标通知书发出之日起5个工作日内退还，但不计利息。</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12.4下列任何情况发生时，投标保证金将被没收：</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在投标有效期内撤回其投标；</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提供的有关资料、资格证明文件被确认是不真实的；</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(3)</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之间被证实有串通（统一哄抬价格）、欺诈行为；</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(4)</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被证明有妨碍其他人公平竞争、损害采购人或者其他</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合法权益的；</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(5)中标人在规定期限内未能按本规定签订合同；</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(6)中标人在规定期限内不同意交纳履约保证金。</w:t>
      </w:r>
      <w:r/>
    </w:p>
    <w:p>
      <w:pPr>
        <w:ind w:firstLine="480"/>
        <w:jc w:val="both"/>
        <w:spacing w:after="0" w:line="360" w:lineRule="auto"/>
        <w:rPr>
          <w:rFonts w:hint="eastAsia" w:ascii="宋体" w:hAnsi="宋体" w:eastAsia="宋体" w:cs="宋体"/>
          <w:b/>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lang w:eastAsia="zh-CN"/>
        </w:rPr>
        <w:t xml:space="preserve">13、投标有效期</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投标有效期为采购人规定的开标之日后九十(90)天内有效。如果采购人在有效期之内，可向供应商提出延长投标有效期的要求。要求与答复均应采用书面形式。供应商可以拒绝采购人的这一要求而放弃投标，采购人在接到供应商书面答复后，将在原投标有效期满后五日内无息退还其投标保证金。同意延长投标有效期的供应商既不能要求也不允许修改其投标文件。第12条有关投标保证金的没收和退还的规定在延长期内继续有效，同时受投标有效期约束的所有权利与义务均延长至新的有效期。</w:t>
      </w:r>
      <w:r/>
    </w:p>
    <w:p>
      <w:pPr>
        <w:ind w:firstLine="480"/>
        <w:jc w:val="both"/>
        <w:spacing w:after="0" w:line="360" w:lineRule="auto"/>
        <w:rPr>
          <w:rFonts w:hint="eastAsia" w:ascii="宋体" w:hAnsi="宋体" w:eastAsia="宋体" w:cs="宋体"/>
          <w:b/>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lang w:eastAsia="zh-CN"/>
        </w:rPr>
        <w:t xml:space="preserve">14、投标文件份数和签署</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14.l投标文件一式伍份(正本壹份，副本肆份)。一旦正本和副本不符，以正本为准。 </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14.2投标文件中法定代表人或其授权代表签字。授权代表须将法人代表人以书面形式出具法人代表授权书(原件)附在投标文件中。</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14.3除供应商对错处做必要修改时，投标文件不得行间插字、涂改或增删。如有修改错漏处，必须由投标文件签署人签字并加盖公章。</w:t>
      </w:r>
      <w:r/>
    </w:p>
    <w:p>
      <w:pPr>
        <w:ind w:firstLine="480"/>
        <w:jc w:val="both"/>
        <w:spacing w:after="0" w:line="360" w:lineRule="auto"/>
        <w:rPr>
          <w:rFonts w:hint="eastAsia" w:ascii="宋体" w:hAnsi="宋体" w:eastAsia="宋体" w:cs="宋体"/>
          <w:b/>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lang w:eastAsia="zh-CN"/>
        </w:rPr>
        <w:t xml:space="preserve">四、投标文件的递交</w:t>
      </w:r>
      <w:r/>
    </w:p>
    <w:p>
      <w:pPr>
        <w:ind w:firstLine="480"/>
        <w:jc w:val="both"/>
        <w:spacing w:after="0" w:line="360" w:lineRule="auto"/>
        <w:rPr>
          <w:rFonts w:hint="eastAsia" w:ascii="宋体" w:hAnsi="宋体" w:eastAsia="宋体" w:cs="宋体"/>
          <w:b/>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lang w:eastAsia="zh-CN"/>
        </w:rPr>
        <w:t xml:space="preserve">15、投标文件的密封和标记</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15.1供应商应将投标文件密封，封口处要贴封签并加盖投标单位公章。不论供应商中标与否，投标文件均不退回。</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15.2文件袋上应注明投标项目名称、正、副本、投标单位、授权代表姓名及联系方式。如因标注不清而产生的后果由供应商自负。</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15.3未按要求密封和加写标记，采购人对误投或过早启封概不负责。对由此造成提前开封的投标文件，采购人将予以拒绝，作无效投标处理。</w:t>
      </w:r>
      <w:r/>
    </w:p>
    <w:p>
      <w:pPr>
        <w:ind w:firstLine="480"/>
        <w:jc w:val="both"/>
        <w:spacing w:after="0" w:line="360" w:lineRule="auto"/>
        <w:rPr>
          <w:rFonts w:hint="eastAsia" w:ascii="宋体" w:hAnsi="宋体" w:eastAsia="宋体" w:cs="宋体"/>
          <w:b/>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lang w:eastAsia="zh-CN"/>
        </w:rPr>
        <w:t xml:space="preserve">16、投标截止日期</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16.1 采购人收到投标文件的时间不得迟于采购公告中规定的截止时间。</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16.2 采购人可以按照规定，通过修改采购文件有权酌情延长投标截止日期，在此情况下，供应商的所有权利和义务以及供应商受制的截止日期均应以延长后新的截止日期为准。</w:t>
      </w:r>
      <w:r/>
    </w:p>
    <w:p>
      <w:pPr>
        <w:ind w:firstLine="480"/>
        <w:jc w:val="both"/>
        <w:spacing w:after="0" w:line="360" w:lineRule="auto"/>
        <w:rPr>
          <w:rFonts w:hint="eastAsia" w:ascii="宋体" w:hAnsi="宋体" w:eastAsia="宋体" w:cs="宋体"/>
          <w:b/>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lang w:eastAsia="zh-CN"/>
        </w:rPr>
        <w:t xml:space="preserve">17、迟交的投标文件</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迟交的投标文件将被拒收并原封退回。</w:t>
      </w:r>
      <w:r/>
    </w:p>
    <w:p>
      <w:pPr>
        <w:ind w:firstLine="480"/>
        <w:jc w:val="both"/>
        <w:spacing w:after="0" w:line="360" w:lineRule="auto"/>
        <w:rPr>
          <w:rFonts w:hint="eastAsia" w:ascii="宋体" w:hAnsi="宋体" w:eastAsia="宋体" w:cs="宋体"/>
          <w:b/>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lang w:eastAsia="zh-CN"/>
        </w:rPr>
        <w:t xml:space="preserve">18、投标文件的修改和撤回</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18.1供应商在递交投标书后，在规定的投标截止日期前可以修改或撤回其投标文件。修改文件必须在投标截止时间前送达。</w:t>
      </w:r>
      <w:r/>
    </w:p>
    <w:p>
      <w:pPr>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18.2投标截止日期后不可对其投标文件作任何修改或撤回，否则其投标保证金将被没收。</w:t>
      </w:r>
      <w:r/>
    </w:p>
    <w:p>
      <w:pPr>
        <w:ind w:firstLine="480"/>
        <w:jc w:val="both"/>
        <w:spacing w:after="0" w:line="360" w:lineRule="auto"/>
        <w:rPr>
          <w:rFonts w:hint="eastAsia" w:ascii="宋体" w:hAnsi="宋体" w:eastAsia="宋体" w:cs="宋体"/>
          <w:b/>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lang w:eastAsia="zh-CN"/>
        </w:rPr>
        <w:t xml:space="preserve">五、开标与评标</w:t>
      </w:r>
      <w:r/>
    </w:p>
    <w:p>
      <w:pPr>
        <w:ind w:firstLine="480"/>
        <w:jc w:val="both"/>
        <w:spacing w:after="0" w:line="360" w:lineRule="auto"/>
        <w:rPr>
          <w:rFonts w:hint="eastAsia" w:ascii="宋体" w:hAnsi="宋体" w:eastAsia="宋体" w:cs="宋体"/>
          <w:b/>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lang w:eastAsia="zh-CN"/>
        </w:rPr>
        <w:t xml:space="preserve">19、开标</w:t>
      </w:r>
      <w:r/>
    </w:p>
    <w:p>
      <w:pPr>
        <w:ind w:firstLine="480"/>
        <w:spacing w:after="0" w:line="360" w:lineRule="auto"/>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19.l采购人将在采购文件中规定的时间和地址组织公开开标。供应商法人代表或授权代表如需到场，须携本人身份证原件参加，如有必要可以让供应商有一定时间的陈述，或接收评标工作组成员的提问后退场。</w:t>
      </w:r>
      <w:r/>
    </w:p>
    <w:p>
      <w:pPr>
        <w:ind w:firstLine="480"/>
        <w:spacing w:after="0" w:line="360" w:lineRule="auto"/>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19.2开标时请供应商授权代表查验投标文件密封情况，确认无误后，采购人当众拆封宣读每份投标文件中“开标一览表”的各项内容，未列入开标一览表的内容一律不在开标时宣读。开标时未宣读的投标报价信息，不得在评标时采用。采购人将指定专人负责开标记录并存档备查，各供应商需仔细核对开标记录相关内容并签字确认。</w:t>
      </w:r>
      <w:r/>
    </w:p>
    <w:p>
      <w:pPr>
        <w:ind w:firstLine="482"/>
        <w:spacing w:after="0" w:line="360" w:lineRule="auto"/>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20、评标过程的保密与公正</w:t>
      </w:r>
      <w:r/>
    </w:p>
    <w:p>
      <w:pPr>
        <w:ind w:firstLine="480"/>
        <w:spacing w:after="0" w:line="360" w:lineRule="auto"/>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20.l公开开标后，直至通知供应商中标为止，凡是与审查、澄清、评价和比较投标的有关资料，均不得向供应商或与评标无关的人员透露。</w:t>
      </w:r>
      <w:r/>
    </w:p>
    <w:p>
      <w:pPr>
        <w:ind w:firstLine="480"/>
        <w:spacing w:after="0" w:line="360" w:lineRule="auto"/>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20.2供应商试图影响评标或授予合同方面的任何尝试，可能导致该供应商的标被废弃。</w:t>
      </w:r>
      <w:r/>
    </w:p>
    <w:p>
      <w:pPr>
        <w:ind w:firstLine="482"/>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21、投标的澄清</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21.1评标期间，为有助于对投标文件的审查、评价和比较，评标工作组有权要求</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对其投标文件进行澄清，但并非对每个</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都作澄清要求。</w:t>
      </w:r>
      <w:r/>
    </w:p>
    <w:p>
      <w:pPr>
        <w:ind w:firstLine="42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21.2接到澄清要求的</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应派人按要求做出澄清，书面澄清的内容须由</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法定代表人或授权代表签署，并作为投标文件的补充部分，但投标的价格和实质性的内容不得做任何更改。</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21.3接到澄清要求的</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如未按规定做出澄清，其风险由</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自行承担。</w:t>
      </w:r>
      <w:r/>
    </w:p>
    <w:p>
      <w:pPr>
        <w:ind w:firstLine="482"/>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22、对投标文件的初审</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22.1投标文件初审分为资格性检查和符合性检查。</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资格性检查：依据法律法规和采购文件的规定，由采购人或代理机构对投标文件中的资格证明文件进行审查。资格审查的结论，采购人或代理机构以书面形式向评标工作组进行反馈。</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符合性检查：依据采购文件的规定，由评标工作组从投标文件的有效性、完整性和对采购文件的响应程度进行审查，以确定是否对采购文件的实质性要求作出响应。</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22.2在详细评标之前，评标工作组将首先审查每份投标文件是否实质性响应了采购文件的要求。实质性响应的投标应该是与采购文件要求的全部条款、条件和规格相符，没有重大偏离或保留的投标。</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所谓重大偏离或保留是指与采购文件规定的实质性要求存在负偏离，或者在实质上与采购文件不一致，而且限制了合同中买方和见证方的权利或</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的义务，纠正这些偏离或保留将会对其他实质性响应要求的</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的竞争地位产生不公正的影响。重大偏离的认定需经过评标工作组三分之二及以上成员的认定。评委决定投标文件的响应性只根据投标文件本身的内容，而不寻求外部的证据。</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22.3如果投标文件实质上没有响应采购文件的要求，评标工作组将予以拒绝，</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不得通过修改或撤销不合要求的偏离或保留而使其投标成为实质性响应的投标。</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22.4评标工作组将对确定为实质性响应的投标进行进一步审核，看其是否有计算上或累加上的算术错误，修正错误的原则如下：</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 如果用数字表示的金额和用文字表示的金额不一致时，应以文字表示的金额为准进行修正；</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(2)当单价与数量的乘积和总价不一致时，以单价为准进行修正。只有在评标工作组认为单价有明显的小数点错误时，才能以标出的总价为准，并修改单价。</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22.5评标工作组将按上述修正错误的方法调整投标文件中的投标报价，调整后的价格应对</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具有约束力。如果</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不接受修正后的价格，则其投标将被拒绝，其投标保证金不予退还。</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22.6评标工作组将允许修正投标文件中不构成重大偏离的、微小的、非正规的、不一致的或不规则的地方，但这些修改不能影响任何</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相应的名次排列。</w:t>
      </w:r>
      <w:r/>
    </w:p>
    <w:p>
      <w:pPr>
        <w:ind w:firstLine="482"/>
        <w:spacing w:after="0" w:line="360" w:lineRule="auto"/>
        <w:shd w:val="clear" w:color="ffffff" w:fill="ffffff"/>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23、无效投标条款和废标条款</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23.1无效投标条款：</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（1）未按要求交纳投标保证金的；</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（2）未按照采购文件规定要求密封、签署、盖章的；</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（3）</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在报价时采用选择性报价的；</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（4）</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不具备采购文件中规定资格要求的；</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（5）</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的报价超过了采购预算或最高限价的；</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（6）未通过符合性检查的；</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（7）不符合采购文件中规定的其他实质性要求和条件的；</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（8）投标文件含有采购人不能接受的附加条件的；</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（9）评标工作组认为</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的报价明显低于其他通过符合性审查</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的报价，有可能影响产品质量或者不能诚信履约的，应当要求其在评标现场合理的时间内提供书面说明，必要时提交相关证明材料；</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不能证明其报价合理性的，评标工作组应当将其作为无效投标处理。</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（10）其他法律、法规及本采购文件规定的属无效投标的情形。</w:t>
      </w:r>
      <w:r/>
    </w:p>
    <w:p>
      <w:pPr>
        <w:ind w:firstLine="48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23.2废标条款：</w:t>
      </w:r>
      <w:r/>
    </w:p>
    <w:p>
      <w:pPr>
        <w:ind w:firstLine="48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（1）符合专业条件的</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或者对采购文件作实质响应的</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不足三家的；</w:t>
      </w:r>
      <w:r/>
    </w:p>
    <w:p>
      <w:pPr>
        <w:ind w:firstLine="48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（2）出现影响采购公正的违法、违规行为的；</w:t>
      </w:r>
      <w:r/>
    </w:p>
    <w:p>
      <w:pPr>
        <w:ind w:firstLine="48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（3）因重大变故，采购任务取消的；</w:t>
      </w:r>
      <w:r/>
    </w:p>
    <w:p>
      <w:pPr>
        <w:ind w:firstLine="48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（4）评标工作组会认定采购文件存在歧义、重大缺陷导致评审工作无法进行。</w:t>
      </w:r>
      <w:r/>
    </w:p>
    <w:p>
      <w:pPr>
        <w:ind w:firstLine="482"/>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六</w:t>
      </w:r>
      <w:r>
        <w:rPr>
          <w:rFonts w:ascii="宋体" w:hAnsi="宋体" w:eastAsia="宋体" w:cs="宋体"/>
          <w:b/>
          <w:color w:val="000000"/>
          <w:sz w:val="21"/>
          <w:szCs w:val="21"/>
          <w:lang w:eastAsia="zh-CN"/>
        </w:rPr>
        <w:t xml:space="preserve">、定标</w:t>
      </w:r>
      <w:r/>
    </w:p>
    <w:p>
      <w:pPr>
        <w:ind w:firstLine="482"/>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24、确定中标单位</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24.1评标工作组首先对所有合格</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按评标办法进行打分，根据综合得分，由高到低排列，向采购人推荐中标候选人。采购人应根据评标工作组推荐的中标候选人确定中标人。</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24.2中标人名单将在</w:t>
      </w:r>
      <w:r>
        <w:rPr>
          <w:rFonts w:hint="eastAsia" w:ascii="宋体" w:hAnsi="宋体" w:eastAsia="宋体" w:cs="宋体"/>
          <w:color w:val="000000"/>
          <w:sz w:val="21"/>
          <w:szCs w:val="21"/>
          <w:lang w:eastAsia="zh-CN"/>
        </w:rPr>
        <w:t xml:space="preserve">江苏省政府采购网和南京公共采购信息网</w:t>
      </w:r>
      <w:r>
        <w:rPr>
          <w:rFonts w:ascii="宋体" w:hAnsi="宋体" w:eastAsia="宋体" w:cs="宋体"/>
          <w:color w:val="000000"/>
          <w:sz w:val="21"/>
          <w:szCs w:val="21"/>
          <w:lang w:eastAsia="zh-CN"/>
        </w:rPr>
        <w:t xml:space="preserve">进行公示。</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24.3若有充分证据证明，中标人出现下列情况之一的，一经查实，将被取消中标资格：</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（1）提供虚假材料谋取中标的；</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（2）与评审专家、采购人或者其他</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恶意串通的；</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（3）向评审专家、采购人行贿或者提供其它不正当利益的；</w:t>
      </w:r>
      <w:r/>
    </w:p>
    <w:p>
      <w:pPr>
        <w:ind w:firstLine="42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（4）恶意竞争，投标总报价明显低于其自身合理成本且又无法提供证明的；</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（5）不满足本采购文件规定的实质性要求，但在评标过程中又未被评标工作组发现的；</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（6）不符合法律、法规的规定的其它情形。</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24.4有下列情形之一的，视为</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串通投标，投标无效：</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（1）不同</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的投标文件由同一单位或者个人编制。</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（2）不同</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委托同一单位或者个人办理投标事宜。</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（3）不同</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的投标文件载明的项目管理成员或者联系人员为同一人。</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（4）不同</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的投标文件异常一致或者投标报价呈规律性差异。</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（5）不同</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的投标文件相互混装。</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（6）不同</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的投标保证金从同一单位或者个人的账户转出。</w:t>
      </w:r>
      <w:r/>
    </w:p>
    <w:p>
      <w:pPr>
        <w:ind w:firstLine="482"/>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25、质疑处理</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25.1参加投标</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认为采购文件、采购过程和采购结果使自己的权益受到损害的，可以在知道或应知其权益受到损害之日起7个工作日内，以书面形式向代理机构提出质疑。</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（1）对可以质疑的采购文件提出质疑的，为收到采购文件之日或者采购文件公告期限届满之日；</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（2）对采购过程提出质疑的，为各采购程序环节结束之日；</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（3）对中标或者成交结果提出质疑的，为中标或者成交结果公告期限届满之日。</w:t>
      </w:r>
      <w:r/>
    </w:p>
    <w:p>
      <w:pPr>
        <w:ind w:firstLine="473"/>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25.2质疑必须以参加投标</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法人代表或授权代表（投标文件中所确定的）送达的方式提交，</w:t>
      </w:r>
      <w:r>
        <w:rPr>
          <w:rFonts w:hint="eastAsia" w:ascii="宋体" w:hAnsi="宋体" w:eastAsia="宋体" w:cs="宋体"/>
          <w:color w:val="000000"/>
          <w:sz w:val="21"/>
          <w:szCs w:val="21"/>
          <w:lang w:eastAsia="zh-CN"/>
        </w:rPr>
        <w:t xml:space="preserve">所递交的质疑函必须为盖有鲜章的原件，</w:t>
      </w:r>
      <w:r>
        <w:rPr>
          <w:rFonts w:ascii="宋体" w:hAnsi="宋体" w:eastAsia="宋体" w:cs="宋体"/>
          <w:color w:val="000000"/>
          <w:sz w:val="21"/>
          <w:szCs w:val="21"/>
          <w:lang w:eastAsia="zh-CN"/>
        </w:rPr>
        <w:t xml:space="preserve">未按上述要求提交的质疑函（含传真、电子邮件等）代理机构有权不予受理。</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25.3未参加投标的</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或在投标活动中本身权益未受到损害或从投标活动中受益的</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所提出的质疑也不予受理。</w:t>
      </w:r>
      <w:r/>
    </w:p>
    <w:p>
      <w:pPr>
        <w:ind w:firstLine="468"/>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25.4</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提出书面质疑必须有理、有据，不得恶意质疑或提交虚假质疑。否则，采购人将不予受理。</w:t>
      </w:r>
      <w:r/>
    </w:p>
    <w:p>
      <w:pPr>
        <w:ind w:firstLine="468"/>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25.5代理机构将在收到投标</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的书面质疑后在规定时间内作出答复，但答复的内容不得涉及商业秘密。</w:t>
      </w:r>
      <w:r/>
    </w:p>
    <w:p>
      <w:pPr>
        <w:ind w:firstLine="47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26、中标通知书</w:t>
      </w:r>
      <w:r/>
    </w:p>
    <w:p>
      <w:pPr>
        <w:ind w:firstLine="468"/>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26.l 中标结果发布2个工作日内，代理机构将向中标</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发出中标通知书。</w:t>
      </w:r>
      <w:r/>
    </w:p>
    <w:p>
      <w:pPr>
        <w:ind w:firstLine="468"/>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26.2中标人收到中标通知书后，须立即以书面形式回复代理机构，确认中标通知书已收到。若无书面回复，则公告后视同中标人已经知悉并同意接受。</w:t>
      </w:r>
      <w:r/>
    </w:p>
    <w:p>
      <w:pPr>
        <w:ind w:firstLine="468"/>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26.3中标通知书将是合同的一个组成部分。对采购人和中标</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均具有法律效力。中标通知书发出后，采购人改变中标结果的，或者中标</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放弃中标项目的，应当依法承担法律责任。</w:t>
      </w:r>
      <w:r/>
    </w:p>
    <w:p>
      <w:pPr>
        <w:ind w:firstLine="482"/>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七</w:t>
      </w:r>
      <w:r>
        <w:rPr>
          <w:rFonts w:ascii="宋体" w:hAnsi="宋体" w:eastAsia="宋体" w:cs="宋体"/>
          <w:b/>
          <w:color w:val="000000"/>
          <w:sz w:val="21"/>
          <w:szCs w:val="21"/>
          <w:lang w:eastAsia="zh-CN"/>
        </w:rPr>
        <w:t xml:space="preserve">、授予合同</w:t>
      </w:r>
      <w:r/>
    </w:p>
    <w:p>
      <w:pPr>
        <w:ind w:firstLine="482"/>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27、签订合同</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27.1中标人在中标通知书发出之日起30日内派代表前来与采购人具体商谈签订合同，若因中标人延误签订合同并由此给采购人造成损失的，中标人应承担赔偿责任。</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27.2采购文件、中标人的投标文件及澄清文件等，均为签订合同的依据。</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27.3签订合同后，</w:t>
      </w:r>
      <w:r>
        <w:rPr>
          <w:rFonts w:ascii="宋体" w:hAnsi="宋体" w:eastAsia="宋体" w:cs="宋体"/>
          <w:b/>
          <w:color w:val="000000"/>
          <w:sz w:val="21"/>
          <w:szCs w:val="21"/>
          <w:lang w:eastAsia="zh-CN"/>
        </w:rPr>
        <w:t xml:space="preserve">中标人不得将相关服务进行全部或部分转包。</w:t>
      </w:r>
      <w:r>
        <w:rPr>
          <w:rFonts w:ascii="宋体" w:hAnsi="宋体" w:eastAsia="宋体" w:cs="宋体"/>
          <w:color w:val="000000"/>
          <w:sz w:val="21"/>
          <w:szCs w:val="21"/>
          <w:lang w:eastAsia="zh-CN"/>
        </w:rPr>
        <w:t xml:space="preserve">未经采购人同意，中标人也不得采用分包的形式履行合同，否则采购人有权终止合同，中标人的履约保证金将不予退还。转包或分包造成采购人损失的，中标人应承担相应赔偿责任。</w:t>
      </w:r>
      <w:r/>
    </w:p>
    <w:p>
      <w:pPr>
        <w:ind w:firstLine="482"/>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28、服务的追加和减少</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28.1采购合同履行中，需追加与合同标的相同的服务的，在不改变价格水平、合同及其它条款的前提下，采购人可以与中标人协商签订补充合同，追加量不得超过合同总额的10%。</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28.2采购结束后，采购人若由于各种客观原因，必须对采购项目所牵涉的服务进行适当的减少时，在双方协商一致的前提下，可以按照中标时价格水平做相应的调减，并据此签订补充合同。</w:t>
      </w:r>
      <w:r/>
    </w:p>
    <w:p>
      <w:pPr>
        <w:ind w:firstLine="480"/>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pStyle w:val="727"/>
        <w:jc w:val="center"/>
        <w:rPr>
          <w:rFonts w:hint="eastAsia" w:ascii="宋体" w:hAnsi="宋体" w:eastAsia="宋体" w:cs="宋体"/>
          <w:b/>
          <w:color w:val="000000"/>
          <w:sz w:val="36"/>
          <w:lang w:eastAsia="zh-CN"/>
        </w:rPr>
      </w:pPr>
      <w:r>
        <w:rPr>
          <w:rFonts w:ascii="宋体" w:hAnsi="宋体" w:eastAsia="宋体" w:cs="宋体"/>
          <w:b/>
          <w:color w:val="000000"/>
          <w:sz w:val="36"/>
          <w:lang w:eastAsia="zh-CN"/>
        </w:rPr>
        <w:t xml:space="preserve">第三章</w:t>
      </w:r>
      <w:r>
        <w:rPr>
          <w:rStyle w:val="751"/>
          <w:rFonts w:hint="eastAsia" w:eastAsia="宋体"/>
          <w:lang w:eastAsia="zh-CN"/>
        </w:rPr>
        <w:t xml:space="preserve"> </w:t>
      </w:r>
      <w:r>
        <w:rPr>
          <w:rFonts w:ascii="宋体" w:hAnsi="宋体" w:eastAsia="宋体" w:cs="宋体"/>
          <w:b/>
          <w:color w:val="000000"/>
          <w:sz w:val="36"/>
          <w:lang w:eastAsia="zh-CN"/>
        </w:rPr>
        <w:t xml:space="preserve">评分标准</w:t>
      </w:r>
      <w:r/>
    </w:p>
    <w:p>
      <w:pPr>
        <w:ind w:firstLine="420"/>
        <w:spacing w:after="0" w:line="360" w:lineRule="auto"/>
        <w:shd w:val="clear" w:color="auto" w:fill="ffffff"/>
        <w:rPr>
          <w:rFonts w:asciiTheme="minorEastAsia" w:hAnsiTheme="minorEastAsia"/>
          <w:sz w:val="21"/>
          <w:szCs w:val="21"/>
        </w:rPr>
      </w:pPr>
      <w:r>
        <w:rPr>
          <w:sz w:val="21"/>
          <w:szCs w:val="21"/>
          <w:lang w:eastAsia="zh-CN"/>
        </w:rPr>
        <w:t xml:space="preserve">本项目</w:t>
      </w:r>
      <w:r>
        <w:rPr>
          <w:rFonts w:hint="eastAsia" w:ascii="宋体" w:hAnsi="宋体" w:eastAsia="宋体" w:cs="宋体"/>
          <w:sz w:val="21"/>
          <w:szCs w:val="21"/>
          <w:lang w:eastAsia="zh-CN"/>
        </w:rPr>
        <w:t xml:space="preserve">采用综合评分法确定中标候选人。评标委员会将按下列评分具体办法和标准进行打分，总分值为 100 分，小数点</w:t>
      </w:r>
      <w:r>
        <w:rPr>
          <w:sz w:val="21"/>
          <w:szCs w:val="21"/>
          <w:lang w:eastAsia="zh-CN"/>
        </w:rPr>
        <w:t xml:space="preserve">后保留两位</w:t>
      </w:r>
      <w:r>
        <w:rPr>
          <w:rFonts w:hint="eastAsia" w:asciiTheme="minorEastAsia" w:hAnsiTheme="minorEastAsia"/>
          <w:sz w:val="21"/>
          <w:szCs w:val="21"/>
          <w:lang w:eastAsia="zh-CN"/>
        </w:rPr>
        <w:t xml:space="preserve">。</w:t>
      </w:r>
      <w:r>
        <w:rPr>
          <w:rFonts w:hint="eastAsia" w:asciiTheme="minorEastAsia" w:hAnsiTheme="minorEastAsia"/>
          <w:sz w:val="21"/>
          <w:szCs w:val="21"/>
        </w:rPr>
        <w:t xml:space="preserve">具体评分办法如下：</w:t>
      </w:r>
      <w:r/>
    </w:p>
    <w:tbl>
      <w:tblPr>
        <w:tblStyle w:val="748"/>
        <w:tblW w:w="495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5"/>
        <w:gridCol w:w="1018"/>
        <w:gridCol w:w="7286"/>
        <w:gridCol w:w="724"/>
      </w:tblGrid>
      <w:tr>
        <w:trPr>
          <w:jc w:val="center"/>
          <w:trHeight w:val="81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 w:type="pct"/>
            <w:vAlign w:val="center"/>
            <w:textDirection w:val="lrTb"/>
            <w:noWrap w:val="false"/>
          </w:tcPr>
          <w:p>
            <w:pPr>
              <w:jc w:val="center"/>
              <w:spacing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6" w:type="pct"/>
            <w:vAlign w:val="center"/>
            <w:textDirection w:val="lrTb"/>
            <w:noWrap w:val="false"/>
          </w:tcPr>
          <w:p>
            <w:pPr>
              <w:jc w:val="center"/>
              <w:spacing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评分因素</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37" w:type="pct"/>
            <w:vAlign w:val="center"/>
            <w:textDirection w:val="lrTb"/>
            <w:noWrap w:val="false"/>
          </w:tcPr>
          <w:p>
            <w:pPr>
              <w:jc w:val="center"/>
              <w:spacing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评分标准</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pct"/>
            <w:vAlign w:val="center"/>
            <w:textDirection w:val="lrTb"/>
            <w:noWrap w:val="false"/>
          </w:tcPr>
          <w:p>
            <w:pPr>
              <w:jc w:val="center"/>
              <w:spacing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分值</w:t>
            </w:r>
            <w:r/>
          </w:p>
        </w:tc>
      </w:tr>
      <w:tr>
        <w:trPr>
          <w:jc w:val="center"/>
          <w:trHeight w:val="1134"/>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 w:type="pct"/>
            <w:vAlign w:val="center"/>
            <w:textDirection w:val="lrTb"/>
            <w:noWrap w:val="false"/>
          </w:tcPr>
          <w:p>
            <w:pPr>
              <w:jc w:val="center"/>
              <w:spacing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6" w:type="pct"/>
            <w:vAlign w:val="center"/>
            <w:textDirection w:val="lrTb"/>
            <w:noWrap w:val="false"/>
          </w:tcPr>
          <w:p>
            <w:pPr>
              <w:jc w:val="center"/>
              <w:spacing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价格</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37" w:type="pct"/>
            <w:vAlign w:val="center"/>
            <w:textDirection w:val="lrTb"/>
            <w:noWrap w:val="false"/>
          </w:tcPr>
          <w:p>
            <w:pPr>
              <w:jc w:val="both"/>
              <w:spacing w:after="0" w:line="36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投标最低报价为评标基准价：满足招标文件要求且投标价格最低的投标报价为评标基准价，其价格分为满分。其他供应商的价格分统一按照下列公式计算：投标报价得分=(评标基准价/投标报价)×30。</w:t>
            </w:r>
            <w:r>
              <w:rPr>
                <w:rFonts w:hint="eastAsia" w:ascii="宋体" w:hAnsi="宋体" w:eastAsia="宋体" w:cs="宋体"/>
                <w:color w:val="000000"/>
                <w:sz w:val="21"/>
                <w:szCs w:val="21"/>
              </w:rPr>
              <w:t xml:space="preserve">（结果保留两位小数）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pct"/>
            <w:vAlign w:val="center"/>
            <w:textDirection w:val="lrTb"/>
            <w:noWrap w:val="false"/>
          </w:tcPr>
          <w:p>
            <w:pPr>
              <w:jc w:val="center"/>
              <w:spacing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w:t>
            </w:r>
            <w:r/>
          </w:p>
        </w:tc>
      </w:tr>
      <w:tr>
        <w:trPr>
          <w:jc w:val="center"/>
          <w:trHeight w:val="1556"/>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 w:type="pct"/>
            <w:vAlign w:val="center"/>
            <w:textDirection w:val="lrTb"/>
            <w:noWrap w:val="false"/>
          </w:tcPr>
          <w:p>
            <w:pPr>
              <w:jc w:val="center"/>
              <w:spacing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6" w:type="pct"/>
            <w:vAlign w:val="center"/>
            <w:textDirection w:val="lrTb"/>
            <w:noWrap w:val="false"/>
          </w:tcPr>
          <w:p>
            <w:pPr>
              <w:jc w:val="center"/>
              <w:spacing w:after="0" w:line="24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技术参数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37" w:type="pct"/>
            <w:vAlign w:val="center"/>
            <w:textDirection w:val="lrTb"/>
            <w:noWrap w:val="false"/>
          </w:tcPr>
          <w:p>
            <w:pPr>
              <w:pStyle w:val="730"/>
              <w:ind w:left="0" w:right="0" w:firstLine="0"/>
              <w:spacing w:after="0"/>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供应商必须对“采购需求”中的所有条款进行逐条响应，在“投标技术响应偏差表”中如实详细填列所投产品的参数，并按招标文件要求提供相应证明材料且在偏差表中标明所在页码，否则评标委员会有权做负技术偏离处理，具体评审如下：</w:t>
            </w:r>
            <w:r/>
          </w:p>
          <w:p>
            <w:pPr>
              <w:pStyle w:val="730"/>
              <w:ind w:left="0" w:right="0" w:firstLine="0"/>
              <w:spacing w:after="0"/>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1）所投产品完全响应招标文件要求的得30分； </w:t>
            </w:r>
            <w:r/>
          </w:p>
          <w:p>
            <w:pPr>
              <w:pStyle w:val="730"/>
              <w:ind w:left="0" w:right="0" w:firstLine="0"/>
              <w:spacing w:after="0"/>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2）负偏离：▲号参数负偏离每有一项扣0.5分；其他未标注▲号参数负偏离每有一项扣0.2分，扣完为止。 </w:t>
            </w:r>
            <w:r/>
          </w:p>
          <w:p>
            <w:pPr>
              <w:pStyle w:val="730"/>
              <w:ind w:left="0" w:right="0" w:firstLine="0"/>
              <w:spacing w:after="0"/>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如为标注“▲”的指标必须提供相应的有效证明材料（供应商提供证明本次所投产品能够实现本次采购文件要求的功能或参数的证明材料即可，如白皮书、设备生产厂家证明原件、彩页、手册、检测报告等材料），未附有效证明材料或者所附的证明材料由评标委员会认为不能佐证技术指标的有效性的，则同样视为负偏离，本项不得分；提供的材料只要能证明该设备能够实现文件要求的功能或参数即可。如供应商提供的证明材料不能证明或有偏差则均不予认可，评委不承担判断不清的后果。</w:t>
            </w:r>
            <w:r/>
          </w:p>
          <w:p>
            <w:pPr>
              <w:pStyle w:val="730"/>
              <w:ind w:left="0" w:right="0" w:firstLine="0"/>
              <w:spacing w:after="0"/>
              <w:rPr>
                <w:sz w:val="21"/>
                <w:szCs w:val="21"/>
                <w:lang w:eastAsia="zh-CN"/>
              </w:rPr>
            </w:pPr>
            <w:r>
              <w:rPr>
                <w:rFonts w:hint="eastAsia" w:ascii="宋体" w:hAnsi="宋体" w:eastAsia="宋体" w:cs="宋体"/>
                <w:color w:val="000000"/>
                <w:sz w:val="21"/>
                <w:szCs w:val="21"/>
                <w:lang w:eastAsia="zh-CN"/>
              </w:rPr>
              <w:t xml:space="preserve">5）本项最低分0分，最高分得30分。</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pct"/>
            <w:vAlign w:val="center"/>
            <w:textDirection w:val="lrTb"/>
            <w:noWrap w:val="false"/>
          </w:tcPr>
          <w:p>
            <w:pPr>
              <w:jc w:val="center"/>
              <w:spacing w:after="0" w:line="24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30</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 w:type="pct"/>
            <w:vAlign w:val="center"/>
            <w:textDirection w:val="lrTb"/>
            <w:noWrap w:val="false"/>
          </w:tcPr>
          <w:p>
            <w:pPr>
              <w:jc w:val="center"/>
              <w:spacing w:after="0" w:line="24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6" w:type="pct"/>
            <w:vAlign w:val="center"/>
            <w:textDirection w:val="lrTb"/>
            <w:noWrap w:val="false"/>
          </w:tcPr>
          <w:p>
            <w:pPr>
              <w:jc w:val="center"/>
              <w:spacing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业绩</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37" w:type="pct"/>
            <w:vAlign w:val="center"/>
            <w:textDirection w:val="lrTb"/>
            <w:noWrap w:val="false"/>
          </w:tcPr>
          <w:p>
            <w:pPr>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根据供应商提供自2022年3月1日（含）以来，完成的类似项目业绩的每提供一个业绩得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分，本项最多得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分。</w:t>
            </w:r>
            <w:r/>
          </w:p>
          <w:p>
            <w:pPr>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（需提供合同复印件加盖公章，合同须能体现签订单位信息、签订时间、标的物、盖章签字部分等相关信息，时间以签订时间为准；否则视为无效合同不予计分）</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pct"/>
            <w:vAlign w:val="center"/>
            <w:textDirection w:val="lrTb"/>
            <w:noWrap w:val="false"/>
          </w:tcPr>
          <w:p>
            <w:pPr>
              <w:jc w:val="center"/>
              <w:spacing w:after="0" w:line="24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2</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 w:type="pct"/>
            <w:vAlign w:val="center"/>
            <w:textDirection w:val="lrTb"/>
            <w:noWrap w:val="false"/>
          </w:tcPr>
          <w:p>
            <w:pPr>
              <w:jc w:val="center"/>
              <w:spacing w:after="0" w:line="24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6" w:type="pct"/>
            <w:vAlign w:val="center"/>
            <w:textDirection w:val="lrTb"/>
            <w:noWrap w:val="false"/>
          </w:tcPr>
          <w:p>
            <w:pPr>
              <w:jc w:val="center"/>
              <w:spacing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质保期</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37" w:type="pct"/>
            <w:vAlign w:val="center"/>
            <w:textDirection w:val="lrTb"/>
            <w:noWrap w:val="false"/>
          </w:tcPr>
          <w:p>
            <w:pPr>
              <w:jc w:val="both"/>
              <w:spacing w:after="12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供应商质保期在满足采购文件采购项目需求的基础上（基础质保期为验收合格后36个月），每增加12个月的得0.5分，最多得1分</w:t>
            </w:r>
            <w:r/>
          </w:p>
          <w:p>
            <w:pPr>
              <w:jc w:val="both"/>
              <w:spacing w:after="12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（提供承诺书并加盖供应商公章，格式自拟，未提供的不得分）。</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pct"/>
            <w:vAlign w:val="center"/>
            <w:textDirection w:val="lrTb"/>
            <w:noWrap w:val="false"/>
          </w:tcPr>
          <w:p>
            <w:pPr>
              <w:jc w:val="center"/>
              <w:spacing w:after="0" w:line="24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w:t>
            </w:r>
            <w:r/>
          </w:p>
        </w:tc>
      </w:tr>
      <w:tr>
        <w:trPr>
          <w:jc w:val="center"/>
          <w:trHeight w:val="131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 w:type="pct"/>
            <w:vAlign w:val="center"/>
            <w:textDirection w:val="lrTb"/>
            <w:noWrap w:val="false"/>
          </w:tcPr>
          <w:p>
            <w:pPr>
              <w:jc w:val="center"/>
              <w:spacing w:after="0" w:line="24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6" w:type="pct"/>
            <w:vAlign w:val="center"/>
            <w:textDirection w:val="lrTb"/>
            <w:noWrap w:val="false"/>
          </w:tcPr>
          <w:p>
            <w:pPr>
              <w:jc w:val="center"/>
              <w:spacing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认证证书</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37" w:type="pct"/>
            <w:vAlign w:val="center"/>
            <w:textDirection w:val="lrTb"/>
            <w:noWrap w:val="false"/>
          </w:tcPr>
          <w:p>
            <w:pPr>
              <w:jc w:val="both"/>
              <w:spacing w:after="12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供应商具有有效期内的质量管理体系认证证书</w:t>
            </w:r>
            <w:r>
              <w:rPr>
                <w:rFonts w:hint="eastAsia" w:ascii="宋体" w:hAnsi="宋体" w:eastAsia="宋体" w:cs="宋体"/>
                <w:color w:val="000000"/>
                <w:sz w:val="21"/>
                <w:szCs w:val="21"/>
                <w:lang w:val="en-US" w:eastAsia="zh-CN"/>
              </w:rPr>
              <w:t xml:space="preserve">或</w:t>
            </w:r>
            <w:r>
              <w:rPr>
                <w:rFonts w:hint="eastAsia" w:ascii="宋体" w:hAnsi="宋体" w:eastAsia="宋体" w:cs="宋体"/>
                <w:color w:val="000000"/>
                <w:sz w:val="21"/>
                <w:szCs w:val="21"/>
                <w:lang w:eastAsia="zh-CN"/>
              </w:rPr>
              <w:t xml:space="preserve">有效期内的知识产权管理体系认证证书</w:t>
            </w:r>
            <w:r>
              <w:rPr>
                <w:rFonts w:hint="eastAsia" w:ascii="宋体" w:hAnsi="宋体" w:eastAsia="宋体" w:cs="宋体"/>
                <w:color w:val="000000"/>
                <w:sz w:val="21"/>
                <w:szCs w:val="21"/>
                <w:lang w:val="en-US" w:eastAsia="zh-CN"/>
              </w:rPr>
              <w:t xml:space="preserve">或</w:t>
            </w:r>
            <w:r>
              <w:rPr>
                <w:rFonts w:hint="eastAsia" w:ascii="宋体" w:hAnsi="宋体" w:eastAsia="宋体" w:cs="宋体"/>
                <w:color w:val="000000"/>
                <w:sz w:val="21"/>
                <w:szCs w:val="21"/>
                <w:lang w:eastAsia="zh-CN"/>
              </w:rPr>
              <w:t xml:space="preserve">有效期内的信息安全管理体系认证证书</w:t>
            </w:r>
            <w:r>
              <w:rPr>
                <w:rFonts w:hint="eastAsia" w:ascii="宋体" w:hAnsi="宋体" w:eastAsia="宋体" w:cs="宋体"/>
                <w:color w:val="000000"/>
                <w:sz w:val="21"/>
                <w:szCs w:val="21"/>
                <w:lang w:val="en-US" w:eastAsia="zh-CN"/>
              </w:rPr>
              <w:t xml:space="preserve">或</w:t>
            </w:r>
            <w:r>
              <w:rPr>
                <w:rFonts w:hint="eastAsia" w:ascii="宋体" w:hAnsi="宋体" w:eastAsia="宋体" w:cs="宋体"/>
                <w:color w:val="000000"/>
                <w:sz w:val="21"/>
                <w:szCs w:val="21"/>
                <w:lang w:eastAsia="zh-CN"/>
              </w:rPr>
              <w:t xml:space="preserve">有效期内的信息技术服务管理体系认证证书</w:t>
            </w:r>
            <w:r>
              <w:rPr>
                <w:rFonts w:hint="eastAsia" w:ascii="宋体" w:hAnsi="宋体" w:eastAsia="宋体" w:cs="宋体"/>
                <w:color w:val="000000"/>
                <w:sz w:val="21"/>
                <w:szCs w:val="21"/>
                <w:lang w:val="en-US" w:eastAsia="zh-CN"/>
              </w:rPr>
              <w:t xml:space="preserve">或有效期内的GB/T29490管理体系认证证书</w:t>
            </w:r>
            <w:r>
              <w:rPr>
                <w:rFonts w:hint="eastAsia" w:ascii="宋体" w:hAnsi="宋体" w:eastAsia="宋体" w:cs="宋体"/>
                <w:color w:val="000000"/>
                <w:sz w:val="21"/>
                <w:szCs w:val="21"/>
                <w:lang w:eastAsia="zh-CN"/>
              </w:rPr>
              <w:t xml:space="preserve">的，每提供1个得</w:t>
            </w: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lang w:eastAsia="zh-CN"/>
              </w:rPr>
              <w:t xml:space="preserve">分，最多得</w:t>
            </w:r>
            <w:r>
              <w:rPr>
                <w:rFonts w:hint="eastAsia" w:ascii="宋体" w:hAnsi="宋体" w:eastAsia="宋体" w:cs="宋体"/>
                <w:color w:val="000000"/>
                <w:sz w:val="21"/>
                <w:szCs w:val="21"/>
                <w:lang w:val="en-US" w:eastAsia="zh-CN"/>
              </w:rPr>
              <w:t xml:space="preserve">2.5</w:t>
            </w:r>
            <w:r>
              <w:rPr>
                <w:rFonts w:hint="eastAsia" w:ascii="宋体" w:hAnsi="宋体" w:eastAsia="宋体" w:cs="宋体"/>
                <w:color w:val="000000"/>
                <w:sz w:val="21"/>
                <w:szCs w:val="21"/>
                <w:lang w:eastAsia="zh-CN"/>
              </w:rPr>
              <w:t xml:space="preserve">分。</w:t>
            </w:r>
            <w:r/>
          </w:p>
          <w:p>
            <w:pPr>
              <w:jc w:val="both"/>
              <w:spacing w:after="12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（须提供有效期内的证书复印件或并加盖供应商公章，有效时间以认证证书上的时间为准，提供的证明材料需反映相关信息，否则视为未提供不予计分）。</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pct"/>
            <w:vAlign w:val="center"/>
            <w:textDirection w:val="lrTb"/>
            <w:noWrap w:val="false"/>
          </w:tcPr>
          <w:p>
            <w:pPr>
              <w:jc w:val="center"/>
              <w:spacing w:after="0" w:line="240" w:lineRule="auto"/>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2.5</w:t>
            </w:r>
            <w:r/>
          </w:p>
        </w:tc>
      </w:tr>
      <w:tr>
        <w:trPr>
          <w:jc w:val="center"/>
          <w:trHeight w:val="131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 w:type="pct"/>
            <w:vAlign w:val="center"/>
            <w:textDirection w:val="lrTb"/>
            <w:noWrap w:val="false"/>
          </w:tcPr>
          <w:p>
            <w:pPr>
              <w:jc w:val="center"/>
              <w:spacing w:after="0" w:line="240" w:lineRule="auto"/>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6" w:type="pct"/>
            <w:vAlign w:val="center"/>
            <w:textDirection w:val="lrTb"/>
            <w:noWrap w:val="false"/>
          </w:tcPr>
          <w:p>
            <w:pPr>
              <w:jc w:val="center"/>
              <w:spacing w:after="0" w:line="240" w:lineRule="auto"/>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拟投入的项目组成员</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37" w:type="pct"/>
            <w:vAlign w:val="center"/>
            <w:textDirection w:val="lrTb"/>
            <w:noWrap w:val="false"/>
          </w:tcPr>
          <w:p>
            <w:pPr>
              <w:jc w:val="both"/>
              <w:spacing w:after="120"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拟投入的项目组成员中具备相关计算机系统类专业或软件工程类专业或信息通信类专业或信息系统运维专业等专业人员的，每提供一个得2.5分，最高得5分。</w:t>
            </w:r>
            <w:r/>
          </w:p>
          <w:p>
            <w:pPr>
              <w:jc w:val="both"/>
              <w:spacing w:after="120"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需提供有效期内的证书复印件并加盖供应商公章和自2024年10月-2025年3月任意一个月为其缴纳社会保险缴纳凭证的复印件或扫描件（需明确缴费月份、个人姓名、缴费单位）材料并加盖社保中心章或社保中心参保缴费证明电子专用章，（加盖社保中心参保缴费证明电子专用章的社保材料可视为原件），</w:t>
            </w:r>
            <w:r>
              <w:rPr>
                <w:rFonts w:hint="eastAsia" w:ascii="宋体" w:hAnsi="宋体" w:eastAsia="宋体" w:cs="宋体"/>
                <w:color w:val="000000"/>
                <w:sz w:val="21"/>
                <w:szCs w:val="21"/>
                <w:lang w:eastAsia="zh-CN"/>
              </w:rPr>
              <w:t xml:space="preserve">有效时间以认证证书上的时间为准，提供的证明材料需反映相关信息，否则视为未提供不予计分</w:t>
            </w:r>
            <w:r>
              <w:rPr>
                <w:rFonts w:hint="eastAsia" w:ascii="宋体" w:hAnsi="宋体" w:eastAsia="宋体" w:cs="宋体"/>
                <w:color w:val="000000"/>
                <w:sz w:val="21"/>
                <w:szCs w:val="21"/>
                <w:lang w:val="en-US" w:eastAsia="zh-CN"/>
              </w:rPr>
              <w:t xml:space="preserve">）</w:t>
            </w:r>
            <w:r/>
          </w:p>
          <w:p>
            <w:pPr>
              <w:jc w:val="both"/>
              <w:spacing w:after="120" w:line="360" w:lineRule="auto"/>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注：每个人员对应一个证书，专业以毕业证书上明确的专业为准，一人多证按照一个证书计算。</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pct"/>
            <w:vAlign w:val="center"/>
            <w:textDirection w:val="lrTb"/>
            <w:noWrap w:val="false"/>
          </w:tcPr>
          <w:p>
            <w:pPr>
              <w:jc w:val="center"/>
              <w:spacing w:after="0" w:line="240" w:lineRule="auto"/>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5</w:t>
            </w:r>
            <w:r/>
          </w:p>
        </w:tc>
      </w:tr>
      <w:tr>
        <w:trPr>
          <w:jc w:val="center"/>
          <w:trHeight w:val="131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 w:type="pct"/>
            <w:vAlign w:val="center"/>
            <w:textDirection w:val="lrTb"/>
            <w:noWrap w:val="false"/>
          </w:tcPr>
          <w:p>
            <w:pPr>
              <w:jc w:val="center"/>
              <w:spacing w:after="0" w:line="24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6" w:type="pct"/>
            <w:vAlign w:val="center"/>
            <w:textDirection w:val="lrTb"/>
            <w:noWrap w:val="false"/>
          </w:tcPr>
          <w:p>
            <w:pPr>
              <w:jc w:val="center"/>
              <w:spacing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实训一致性保障</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37" w:type="pct"/>
            <w:textDirection w:val="lrTb"/>
            <w:noWrap w:val="false"/>
          </w:tcPr>
          <w:p>
            <w:pPr>
              <w:jc w:val="both"/>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供应商承诺所投产品的鸿蒙实训套件、教学实训平台-基础模块、鸿蒙操作系统实验模块、《移动应用开发基础》课程资源、《移动应用开发进阶》课程资源、《鸿蒙开发工程师认证课》课程资源、《鸿蒙开发工程师认证课》课程资源、《鸿蒙开发基础》课程资源为同一</w:t>
            </w:r>
            <w:r>
              <w:rPr>
                <w:rFonts w:hint="eastAsia" w:ascii="宋体" w:hAnsi="宋体" w:eastAsia="宋体" w:cs="宋体"/>
                <w:sz w:val="21"/>
                <w:szCs w:val="21"/>
                <w:lang w:eastAsia="zh-CN"/>
              </w:rPr>
              <w:t xml:space="preserve">品牌产品的得</w:t>
            </w:r>
            <w:r>
              <w:rPr>
                <w:rFonts w:hint="eastAsia" w:ascii="宋体" w:hAnsi="宋体" w:eastAsia="宋体" w:cs="宋体"/>
                <w:sz w:val="21"/>
                <w:szCs w:val="21"/>
                <w:lang w:val="en-US" w:eastAsia="zh-CN"/>
              </w:rPr>
              <w:t xml:space="preserve">2</w:t>
            </w:r>
            <w:r>
              <w:rPr>
                <w:rFonts w:hint="eastAsia" w:ascii="宋体" w:hAnsi="宋体" w:eastAsia="宋体" w:cs="宋体"/>
                <w:color w:val="000000"/>
                <w:sz w:val="21"/>
                <w:szCs w:val="21"/>
                <w:lang w:eastAsia="zh-CN"/>
              </w:rPr>
              <w:t xml:space="preserve">分。</w:t>
            </w:r>
            <w:r/>
          </w:p>
          <w:p>
            <w:pPr>
              <w:jc w:val="both"/>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（提供承诺书并加盖供应商公章，格式自拟，未提供的不得分）</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pct"/>
            <w:vAlign w:val="center"/>
            <w:textDirection w:val="lrTb"/>
            <w:noWrap w:val="false"/>
          </w:tcPr>
          <w:p>
            <w:pPr>
              <w:jc w:val="center"/>
              <w:spacing w:after="0" w:line="24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2</w:t>
            </w:r>
            <w:r/>
          </w:p>
        </w:tc>
      </w:tr>
      <w:tr>
        <w:trPr>
          <w:jc w:val="center"/>
          <w:trHeight w:val="131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 w:type="pct"/>
            <w:vAlign w:val="center"/>
            <w:textDirection w:val="lrTb"/>
            <w:noWrap w:val="false"/>
          </w:tcPr>
          <w:p>
            <w:pPr>
              <w:jc w:val="center"/>
              <w:spacing w:after="0" w:line="24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6" w:type="pct"/>
            <w:vAlign w:val="center"/>
            <w:textDirection w:val="lrTb"/>
            <w:noWrap w:val="false"/>
          </w:tcPr>
          <w:p>
            <w:pPr>
              <w:jc w:val="center"/>
              <w:spacing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系统功能演示</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37" w:type="pct"/>
            <w:vAlign w:val="center"/>
            <w:textDirection w:val="lrTb"/>
            <w:noWrap w:val="false"/>
          </w:tcPr>
          <w:p>
            <w:pPr>
              <w:jc w:val="both"/>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评委根据供应商的演示情况综合评分，需按照招标文件的要求提供以下功能演示的视频，时间不超过15分钟：</w:t>
            </w:r>
            <w:r/>
          </w:p>
          <w:p>
            <w:pPr>
              <w:jc w:val="both"/>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对鸿蒙智能座舱科研/实训平台有如下演示：</w:t>
            </w:r>
            <w:r/>
          </w:p>
          <w:p>
            <w:pPr>
              <w:ind w:firstLine="420"/>
              <w:jc w:val="both"/>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演示点1：实训平台系统需具备音乐播放器功能，需支持播放本地音乐和网络音乐，同时支持音乐的分布式播放。（</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分）</w:t>
            </w:r>
            <w:r/>
          </w:p>
          <w:p>
            <w:pPr>
              <w:ind w:firstLine="420"/>
              <w:jc w:val="both"/>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演示点2：实训平台系统需具备视频播放器功能，需支持播放本地视频和网络视频，同时支持视频的分布式播放。（</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分）</w:t>
            </w:r>
            <w:r/>
          </w:p>
          <w:p>
            <w:pPr>
              <w:jc w:val="both"/>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对教学实训平台基础模块有如下演示：</w:t>
            </w:r>
            <w:r/>
          </w:p>
          <w:p>
            <w:pPr>
              <w:ind w:firstLine="420"/>
              <w:jc w:val="both"/>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演示点3：支持自动生成证书管理可视化数据：含认证学员数、已获证学员数、未获证学员数、认证项目、获证率等；支持按班级、学员、认证状态等条件快速搜索查询。（</w:t>
            </w:r>
            <w:r>
              <w:rPr>
                <w:rFonts w:hint="eastAsia" w:ascii="宋体" w:hAnsi="宋体" w:eastAsia="宋体" w:cs="宋体"/>
                <w:color w:val="000000"/>
                <w:sz w:val="21"/>
                <w:szCs w:val="21"/>
                <w:lang w:val="en-US" w:eastAsia="zh-CN"/>
              </w:rPr>
              <w:t xml:space="preserve">2.5</w:t>
            </w:r>
            <w:r>
              <w:rPr>
                <w:rFonts w:hint="eastAsia" w:ascii="宋体" w:hAnsi="宋体" w:eastAsia="宋体" w:cs="宋体"/>
                <w:color w:val="000000"/>
                <w:sz w:val="21"/>
                <w:szCs w:val="21"/>
                <w:lang w:eastAsia="zh-CN"/>
              </w:rPr>
              <w:t xml:space="preserve">分）</w:t>
            </w:r>
            <w:r/>
          </w:p>
          <w:p>
            <w:pPr>
              <w:ind w:firstLine="420"/>
              <w:jc w:val="both"/>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演示点4：支持手动发证：支持教师上传证书模板数据，生成可下载的电子证书；教师自主下载并打印后，可为学员颁发（纸质）证书。（</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分）</w:t>
            </w:r>
            <w:r/>
          </w:p>
          <w:p>
            <w:pPr>
              <w:jc w:val="both"/>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对实训平台鸿蒙实验软件有如下演示：</w:t>
            </w:r>
            <w:r/>
          </w:p>
          <w:p>
            <w:pPr>
              <w:ind w:firstLine="42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演示点5：平台需提供操作系统实验软件工具集与参考，至少包含串口工具、编译环境工具、虚拟机相关工具、集成开发环境工具等；（每个</w:t>
            </w: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lang w:eastAsia="zh-CN"/>
              </w:rPr>
              <w:t xml:space="preserve">分，共2分）</w:t>
            </w:r>
            <w:r/>
          </w:p>
          <w:p>
            <w:pPr>
              <w:jc w:val="both"/>
              <w:spacing w:after="0" w:line="36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（演示所需设备由供应商自行准备，演示顺序按照签到顺序进行，每家演示时间不超过15分钟。</w:t>
            </w:r>
            <w:r>
              <w:rPr>
                <w:rFonts w:hint="eastAsia" w:ascii="宋体" w:hAnsi="宋体" w:eastAsia="宋体" w:cs="宋体"/>
                <w:color w:val="000000"/>
                <w:sz w:val="21"/>
                <w:szCs w:val="21"/>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pct"/>
            <w:vAlign w:val="center"/>
            <w:textDirection w:val="lrTb"/>
            <w:noWrap w:val="false"/>
          </w:tcPr>
          <w:p>
            <w:pPr>
              <w:jc w:val="center"/>
              <w:spacing w:after="0" w:line="240" w:lineRule="auto"/>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10.5</w:t>
            </w:r>
            <w:r/>
          </w:p>
        </w:tc>
      </w:tr>
      <w:tr>
        <w:trPr>
          <w:jc w:val="center"/>
          <w:trHeight w:val="131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 w:type="pct"/>
            <w:vAlign w:val="center"/>
            <w:textDirection w:val="lrTb"/>
            <w:noWrap w:val="false"/>
          </w:tcPr>
          <w:p>
            <w:pPr>
              <w:jc w:val="center"/>
              <w:spacing w:after="0" w:line="24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6" w:type="pct"/>
            <w:vAlign w:val="center"/>
            <w:textDirection w:val="lrTb"/>
            <w:noWrap w:val="false"/>
          </w:tcPr>
          <w:p>
            <w:pPr>
              <w:jc w:val="center"/>
              <w:spacing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实施方案</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37" w:type="pct"/>
            <w:vAlign w:val="center"/>
            <w:textDirection w:val="lrTb"/>
            <w:noWrap w:val="false"/>
          </w:tcPr>
          <w:p>
            <w:pPr>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根据供应商提供的实施方案（包括但不限于组织结构与部署、质量管理、配置参数、项目整体实施过程、项目需求分析、项目重难点及风险分析、合理化建议、项目方案深化等）进行综合评分；</w:t>
            </w:r>
            <w:r/>
          </w:p>
          <w:p>
            <w:pPr>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项目实施方案内容分析全面、准确、有创新的得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分；</w:t>
            </w:r>
            <w:r/>
          </w:p>
          <w:p>
            <w:pPr>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项目实施方案内容分析一般的得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分；</w:t>
            </w:r>
            <w:r/>
          </w:p>
          <w:p>
            <w:pPr>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项目实施方案内容分析不全面、不准确、有明显缺项的得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分；</w:t>
            </w:r>
            <w:r/>
          </w:p>
          <w:p>
            <w:pPr>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未提供实施方案不得分。</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pct"/>
            <w:vAlign w:val="center"/>
            <w:textDirection w:val="lrTb"/>
            <w:noWrap w:val="false"/>
          </w:tcPr>
          <w:p>
            <w:pPr>
              <w:jc w:val="center"/>
              <w:spacing w:after="0" w:line="240" w:lineRule="auto"/>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6</w:t>
            </w:r>
            <w:r/>
          </w:p>
        </w:tc>
      </w:tr>
      <w:tr>
        <w:trPr>
          <w:jc w:val="center"/>
          <w:trHeight w:val="47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 w:type="pct"/>
            <w:vAlign w:val="center"/>
            <w:textDirection w:val="lrTb"/>
            <w:noWrap w:val="false"/>
          </w:tcPr>
          <w:p>
            <w:pPr>
              <w:jc w:val="center"/>
              <w:spacing w:after="0" w:line="24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6" w:type="pct"/>
            <w:vAlign w:val="center"/>
            <w:textDirection w:val="lrTb"/>
            <w:noWrap w:val="false"/>
          </w:tcPr>
          <w:p>
            <w:pPr>
              <w:jc w:val="center"/>
              <w:spacing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质量保证措施</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37" w:type="pct"/>
            <w:textDirection w:val="lrTb"/>
            <w:noWrap w:val="false"/>
          </w:tcPr>
          <w:p>
            <w:pPr>
              <w:jc w:val="both"/>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根据供应商提供的质量保证措施（包括但不限于质量保证措施，时间进度安排（包括设备到货、安装、系统调试等）、应急响应措施等）进行综合评分：</w:t>
            </w:r>
            <w:r/>
          </w:p>
          <w:p>
            <w:pPr>
              <w:jc w:val="both"/>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质量保证措施合理、可行、有可操作性得5分；</w:t>
            </w:r>
            <w:r/>
          </w:p>
          <w:p>
            <w:pPr>
              <w:jc w:val="both"/>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质量保证措施较合理、较可行、较有可操作性得3分；</w:t>
            </w:r>
            <w:r/>
          </w:p>
          <w:p>
            <w:pPr>
              <w:jc w:val="both"/>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质量保证措施合理性一般、可行性一般、可操作性较弱得1分；</w:t>
            </w:r>
            <w:r/>
          </w:p>
          <w:p>
            <w:pPr>
              <w:jc w:val="both"/>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未提供不得分。</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pct"/>
            <w:vAlign w:val="center"/>
            <w:textDirection w:val="lrTb"/>
            <w:noWrap w:val="false"/>
          </w:tcPr>
          <w:p>
            <w:pPr>
              <w:jc w:val="center"/>
              <w:spacing w:after="0" w:line="24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5</w:t>
            </w:r>
            <w:r/>
          </w:p>
        </w:tc>
      </w:tr>
      <w:tr>
        <w:trPr>
          <w:jc w:val="center"/>
          <w:trHeight w:val="1556"/>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 w:type="pct"/>
            <w:vAlign w:val="center"/>
            <w:textDirection w:val="lrTb"/>
            <w:noWrap w:val="false"/>
          </w:tcPr>
          <w:p>
            <w:pPr>
              <w:jc w:val="center"/>
              <w:spacing w:after="0" w:line="240" w:lineRule="auto"/>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6" w:type="pct"/>
            <w:vAlign w:val="center"/>
            <w:textDirection w:val="lrTb"/>
            <w:noWrap w:val="false"/>
          </w:tcPr>
          <w:p>
            <w:pPr>
              <w:jc w:val="center"/>
              <w:spacing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售后服务</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37" w:type="pct"/>
            <w:vAlign w:val="center"/>
            <w:textDirection w:val="lrTb"/>
            <w:noWrap w:val="false"/>
          </w:tcPr>
          <w:p>
            <w:pPr>
              <w:jc w:val="both"/>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评委根据供应商提供的售后服务</w:t>
            </w:r>
            <w:r>
              <w:rPr>
                <w:rFonts w:hint="eastAsia" w:ascii="宋体" w:hAnsi="宋体" w:eastAsia="宋体" w:cs="宋体"/>
                <w:color w:val="000000"/>
                <w:sz w:val="21"/>
                <w:szCs w:val="21"/>
                <w:lang w:val="en-US" w:eastAsia="zh-CN"/>
              </w:rPr>
              <w:t xml:space="preserve">及供货服务</w:t>
            </w:r>
            <w:r>
              <w:rPr>
                <w:rFonts w:hint="eastAsia" w:ascii="宋体" w:hAnsi="宋体" w:eastAsia="宋体" w:cs="宋体"/>
                <w:color w:val="000000"/>
                <w:sz w:val="21"/>
                <w:szCs w:val="21"/>
                <w:lang w:eastAsia="zh-CN"/>
              </w:rPr>
              <w:t xml:space="preserve">方案（包括但不限于响应速度、售后服务内容、故障解决方案、响应次数、响应时间、软件升级、专业技术人员保障及售后技术装备、供货流程</w:t>
            </w:r>
            <w:r>
              <w:rPr>
                <w:rFonts w:hint="eastAsia" w:ascii="宋体" w:hAnsi="宋体" w:eastAsia="宋体" w:cs="宋体"/>
                <w:color w:val="000000"/>
                <w:sz w:val="21"/>
                <w:szCs w:val="21"/>
                <w:lang w:val="en-US" w:eastAsia="zh-CN"/>
              </w:rPr>
              <w:t xml:space="preserve">及</w:t>
            </w:r>
            <w:r>
              <w:rPr>
                <w:rFonts w:hint="eastAsia" w:ascii="宋体" w:hAnsi="宋体" w:eastAsia="宋体" w:cs="宋体"/>
                <w:color w:val="000000"/>
                <w:sz w:val="21"/>
                <w:szCs w:val="21"/>
                <w:lang w:eastAsia="zh-CN"/>
              </w:rPr>
              <w:t xml:space="preserve">方式、运输方案等）进行综合评分，</w:t>
            </w:r>
            <w:r/>
          </w:p>
          <w:p>
            <w:pPr>
              <w:jc w:val="both"/>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服务体系健全，解决方案切实有效，故障响应迅速，技术人员专业性强，进度安排合理的得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分；</w:t>
            </w:r>
            <w:r/>
          </w:p>
          <w:p>
            <w:pPr>
              <w:jc w:val="both"/>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服务体系健全，解决方案比较合理有效，故障响应较快，技术人员专业性较强，进度安排不合理的得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分；</w:t>
            </w:r>
            <w:r/>
          </w:p>
          <w:p>
            <w:pPr>
              <w:jc w:val="both"/>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服务体系不够健全，解决方案不够有效，故障响应缓慢，技术人员专业性较弱，进度安排不合理的得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分；</w:t>
            </w:r>
            <w:r/>
          </w:p>
          <w:p>
            <w:pPr>
              <w:jc w:val="both"/>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未提供方案的不得分。</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pct"/>
            <w:vAlign w:val="center"/>
            <w:textDirection w:val="lrTb"/>
            <w:noWrap w:val="false"/>
          </w:tcPr>
          <w:p>
            <w:pPr>
              <w:jc w:val="center"/>
              <w:spacing w:after="0" w:line="240" w:lineRule="auto"/>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6</w:t>
            </w:r>
            <w:r/>
          </w:p>
        </w:tc>
      </w:tr>
      <w:tr>
        <w:trPr>
          <w:jc w:val="center"/>
          <w:trHeight w:val="336"/>
        </w:trPr>
        <w:tc>
          <w:tcPr>
            <w:gridSpan w:val="3"/>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18" w:type="pct"/>
            <w:vAlign w:val="center"/>
            <w:textDirection w:val="lrTb"/>
            <w:noWrap w:val="false"/>
          </w:tcPr>
          <w:p>
            <w:pPr>
              <w:jc w:val="cente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pct"/>
            <w:vAlign w:val="center"/>
            <w:textDirection w:val="lrTb"/>
            <w:noWrap w:val="false"/>
          </w:tcPr>
          <w:p>
            <w:pPr>
              <w:jc w:val="center"/>
              <w:spacing w:after="0" w:line="24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100</w:t>
            </w:r>
            <w:r/>
          </w:p>
        </w:tc>
      </w:tr>
    </w:tbl>
    <w:p>
      <w:pPr>
        <w:pStyle w:val="727"/>
        <w:ind w:firstLine="42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p>
    <w:p>
      <w:pPr>
        <w:pStyle w:val="727"/>
        <w:ind w:firstLine="420"/>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1、供应商应将所有有效清晰的证明文件编辑在投标文件中；若评标委员会对递交资料（如业绩、证书等）的真实性存在疑问时，供应商须提供原件备查。</w:t>
      </w:r>
      <w:r/>
    </w:p>
    <w:p>
      <w:pPr>
        <w:pStyle w:val="727"/>
        <w:ind w:firstLine="420"/>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2、定标办法：从评标报告中投标文件满足招标文件全部实质性要求，按“第三章评标标准”综合总得分最高的供应商为排名第一；确定排名第一的为中标供应商。如最终综合总得分相同的，按以下方式排序：</w:t>
      </w:r>
      <w:r/>
    </w:p>
    <w:p>
      <w:pPr>
        <w:pStyle w:val="727"/>
        <w:ind w:firstLine="420"/>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①如综合总得分相同的，按投标报价得分由高到低排列；</w:t>
      </w:r>
      <w:r/>
    </w:p>
    <w:p>
      <w:pPr>
        <w:pStyle w:val="727"/>
        <w:ind w:firstLine="420"/>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②如综合总得分且报价得分相同的，按技术部分由高到低排列；</w:t>
      </w:r>
      <w:r/>
    </w:p>
    <w:p>
      <w:pPr>
        <w:pStyle w:val="727"/>
        <w:ind w:firstLine="420"/>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③如综合总得分、报价、技术部分均相同的，由评标小组随机抽签决定。</w:t>
      </w:r>
      <w:r/>
    </w:p>
    <w:p>
      <w:pPr>
        <w:rPr>
          <w:rFonts w:hint="eastAsia" w:ascii="宋体" w:hAnsi="宋体" w:eastAsia="宋体" w:cs="宋体"/>
          <w:b/>
          <w:color w:val="000000"/>
          <w:sz w:val="36"/>
          <w:lang w:eastAsia="zh-CN"/>
        </w:rPr>
      </w:pPr>
      <w:r>
        <w:rPr>
          <w:rFonts w:hint="eastAsia" w:ascii="宋体" w:hAnsi="宋体" w:eastAsia="宋体" w:cs="宋体"/>
          <w:b/>
          <w:color w:val="000000"/>
          <w:sz w:val="36"/>
          <w:lang w:eastAsia="zh-CN"/>
        </w:rPr>
      </w:r>
      <w:r/>
    </w:p>
    <w:p>
      <w:pPr>
        <w:rPr>
          <w:rFonts w:ascii="宋体" w:hAnsi="宋体" w:eastAsia="宋体" w:cs="宋体"/>
          <w:b/>
          <w:color w:val="000000"/>
          <w:sz w:val="36"/>
          <w:lang w:eastAsia="zh-CN"/>
        </w:rPr>
      </w:pPr>
      <w:r>
        <w:rPr>
          <w:rFonts w:ascii="宋体" w:hAnsi="宋体" w:eastAsia="宋体" w:cs="宋体"/>
          <w:b/>
          <w:color w:val="000000"/>
          <w:sz w:val="36"/>
          <w:lang w:eastAsia="zh-CN"/>
        </w:rPr>
        <w:br w:type="page" w:clear="all"/>
      </w:r>
      <w:r/>
    </w:p>
    <w:p>
      <w:pPr>
        <w:jc w:val="center"/>
        <w:rPr>
          <w:rFonts w:hint="eastAsia" w:ascii="宋体" w:hAnsi="宋体" w:eastAsia="宋体" w:cs="宋体"/>
          <w:b/>
          <w:color w:val="000000"/>
          <w:sz w:val="36"/>
          <w:lang w:eastAsia="zh-CN"/>
        </w:rPr>
      </w:pPr>
      <w:r>
        <w:rPr>
          <w:rFonts w:ascii="宋体" w:hAnsi="宋体" w:eastAsia="宋体" w:cs="宋体"/>
          <w:b/>
          <w:color w:val="000000"/>
          <w:sz w:val="36"/>
          <w:lang w:eastAsia="zh-CN"/>
        </w:rPr>
        <w:t xml:space="preserve">第四章 项目需求</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一、</w:t>
      </w:r>
      <w:r>
        <w:rPr>
          <w:rFonts w:hint="eastAsia" w:ascii="宋体" w:hAnsi="宋体" w:eastAsia="宋体" w:cs="宋体"/>
          <w:color w:val="000000"/>
          <w:sz w:val="21"/>
          <w:szCs w:val="21"/>
          <w:lang w:val="zh-CN" w:eastAsia="zh-CN"/>
        </w:rPr>
        <w:t xml:space="preserve">项目名称</w:t>
      </w:r>
      <w:r/>
    </w:p>
    <w:p>
      <w:pPr>
        <w:ind w:right="181"/>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智能船舶鸿蒙应用开发创新中心设备采购项目</w:t>
      </w:r>
      <w:r/>
    </w:p>
    <w:p>
      <w:pPr>
        <w:ind w:right="181" w:firstLine="480"/>
        <w:spacing w:after="0" w:line="360" w:lineRule="auto"/>
        <w:rPr>
          <w:rFonts w:hint="eastAsia" w:ascii="宋体" w:hAnsi="宋体" w:eastAsia="宋体" w:cs="宋体"/>
          <w:color w:val="000000"/>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rPr>
        <w:t xml:space="preserve">二、采购清单</w:t>
      </w:r>
      <w:r/>
    </w:p>
    <w:tbl>
      <w:tblPr>
        <w:tblStyle w:val="723"/>
        <w:tblW w:w="4995"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529"/>
        <w:gridCol w:w="1001"/>
        <w:gridCol w:w="5190"/>
        <w:gridCol w:w="509"/>
        <w:gridCol w:w="470"/>
        <w:gridCol w:w="1046"/>
        <w:gridCol w:w="641"/>
      </w:tblGrid>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82"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33"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763"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规格</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71"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50"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57"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 xml:space="preserve">单</w:t>
            </w:r>
            <w:r>
              <w:rPr>
                <w:rFonts w:hint="eastAsia" w:ascii="宋体" w:hAnsi="宋体" w:eastAsia="宋体" w:cs="宋体"/>
                <w:color w:val="000000"/>
                <w:sz w:val="21"/>
                <w:szCs w:val="21"/>
                <w:highlight w:val="none"/>
                <w:lang w:val="en-US" w:eastAsia="zh-CN"/>
              </w:rPr>
              <w:t xml:space="preserve">价</w:t>
            </w:r>
            <w:r>
              <w:rPr>
                <w:rFonts w:hint="eastAsia" w:ascii="宋体" w:hAnsi="宋体" w:eastAsia="宋体" w:cs="宋体"/>
                <w:color w:val="000000"/>
                <w:sz w:val="21"/>
                <w:szCs w:val="21"/>
                <w:lang w:eastAsia="zh-CN"/>
              </w:rPr>
              <w:t xml:space="preserve">最高限价</w:t>
            </w:r>
            <w:r>
              <w:rPr>
                <w:rFonts w:hint="eastAsia" w:ascii="宋体" w:hAnsi="宋体" w:eastAsia="宋体" w:cs="宋体"/>
                <w:color w:val="000000"/>
                <w:sz w:val="21"/>
                <w:szCs w:val="21"/>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41"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核心</w:t>
            </w:r>
            <w:r/>
          </w:p>
          <w:p>
            <w:pPr>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产品</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82"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33" w:type="pct"/>
            <w:vAlign w:val="center"/>
            <w:textDirection w:val="lrTb"/>
            <w:noWrap w:val="false"/>
          </w:tcPr>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平台实训硬件</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763"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内置国产处理器，使用ARM架构；支持国产标准操作系统，支持多系统；支撑教学平台部署；</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71"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50"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57"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85,000</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41"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是</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82"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33" w:type="pct"/>
            <w:vAlign w:val="center"/>
            <w:textDirection w:val="lrTb"/>
            <w:noWrap w:val="false"/>
          </w:tcPr>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鸿蒙实训套件</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763" w:type="pct"/>
            <w:vAlign w:val="center"/>
            <w:textDirection w:val="lrTb"/>
            <w:noWrap w:val="false"/>
          </w:tcPr>
          <w:p>
            <w:pP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至少包括：</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1路RS232串口、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1个USB串口,可用于代码调试、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1个有源蜂鸣器、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1个10M/100M/1000M以太网接口、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1个复位按钮,可用于复位MPU和3个功能按钮、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1个电源开关,控制整个板的电源、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1个SDIO WIFI＆BT模块；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1个JTAG调试接口，可以调试M4内核、</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1个温湿度传感器接口、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3个pwm接口，用于接RGB呼吸灯、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1个ADC接口、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1个RTC电池、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1路SPI接口、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1个2×22P，2.54mm间距的排针,引出44个IO,用户可自行使用，支持鸿蒙Liteos-M，LiteOS-A，linux三种内核。并配有相关的工具套件。</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71"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50"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57"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14,000</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41"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否</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82"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33"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鸿蒙智能座舱科研/实训平台</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763" w:type="pct"/>
            <w:vAlign w:val="center"/>
            <w:textDirection w:val="lrTb"/>
            <w:noWrap w:val="false"/>
          </w:tcPr>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一、车机系统</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（1）智能座舱车机系统基于国产化操作系统打造。</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（2）支持开机后直接显示车机系统桌面，桌面需显示车辆车门、后备箱盖开启/关闭状态，提供空调、音乐、视频、车辆设置等入口。</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（3）系统具备音乐播放器功能，支持播放本地音乐和网络音乐，同时支持音乐的分布式播放。</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（4）系统具备视频播放器功能，支持播放本地视频和网络视频，同时支持视频的分布式播放。</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（5）系统支持两路外置摄像头视频接入，用于模拟行车记录仪和倒车影像，在车辆档位切换至R档时，倒车影像自动开启。</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三、车联网网关</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（1）车联网网关支持国产操作系统和国产芯片。</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（2）实现车辆在未启动的状态下依然能够进行数据的监控。</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（3）支持通过NB-IoT接入云端物联网平台。</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（4）网关上报车辆基本信息，包括车辆车门、后备箱盖开启/关闭状态以及相关环境数据（如温湿度、PM2.5、光照情况）。</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三、配套开发资源</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（1）提供车机系统应用及移动应用所有源代码资源。</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（2）提供车辆传感与控制系统开发、车载空调与环境监测系统开发、车载影音娱乐系统开发、车载互联系统开发相关实验手册、源代码资源。</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71"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50"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57"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665,000</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41"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是</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82"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33"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鸿蒙智慧海事实训平台</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763" w:type="pct"/>
            <w:vAlign w:val="center"/>
            <w:textDirection w:val="lrTb"/>
            <w:noWrap w:val="false"/>
          </w:tcPr>
          <w:p>
            <w:pP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国产操作系统硬件参数：</w:t>
            </w:r>
            <w:r/>
          </w:p>
          <w:p>
            <w:pPr>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1）内置国产处理器，使用ARM架构；支持国产标准操作系统，支持多系统；</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auto"/>
                <w:sz w:val="21"/>
                <w:szCs w:val="21"/>
                <w:highlight w:val="none"/>
                <w:lang w:eastAsia="zh-CN"/>
              </w:rPr>
              <w:t xml:space="preserve">核心：≥</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4核、主频：≥</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2.0GHz、主频：≥2GHz：</w:t>
            </w:r>
            <w:r>
              <w:rPr>
                <w:rFonts w:hint="eastAsia" w:ascii="宋体" w:hAnsi="宋体" w:eastAsia="宋体" w:cs="宋体"/>
                <w:color w:val="auto"/>
                <w:sz w:val="21"/>
                <w:szCs w:val="21"/>
                <w:highlight w:val="none"/>
                <w:lang w:val="en-US" w:eastAsia="zh-CN"/>
              </w:rPr>
              <w:t xml:space="preserve">内存：</w:t>
            </w:r>
            <w:r>
              <w:rPr>
                <w:rFonts w:hint="eastAsia" w:ascii="宋体" w:hAnsi="宋体" w:eastAsia="宋体" w:cs="宋体"/>
                <w:color w:val="auto"/>
                <w:sz w:val="21"/>
                <w:szCs w:val="21"/>
                <w:highlight w:val="none"/>
                <w:lang w:eastAsia="zh-CN"/>
              </w:rPr>
              <w:t xml:space="preserve">≥2GB、存储空间：≥32GB；</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auto"/>
                <w:sz w:val="21"/>
                <w:szCs w:val="21"/>
                <w:highlight w:val="none"/>
              </w:rPr>
              <w:t xml:space="preserve">接口能力：USB端口：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2个、SATA接口：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1个、HDMI接口：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1个、千兆网络接口：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2个，支持WiFi与蓝牙；</w:t>
            </w:r>
            <w:r/>
          </w:p>
          <w:p>
            <w:pPr>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auto"/>
                <w:sz w:val="21"/>
                <w:szCs w:val="21"/>
                <w:highlight w:val="none"/>
                <w:lang w:eastAsia="zh-CN"/>
              </w:rPr>
              <w:t xml:space="preserve">底板尺寸：≥</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180mm×130mm</w:t>
            </w:r>
            <w:r/>
          </w:p>
          <w:p>
            <w:pPr>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auto"/>
                <w:sz w:val="21"/>
                <w:szCs w:val="21"/>
                <w:highlight w:val="none"/>
                <w:lang w:eastAsia="zh-CN"/>
              </w:rPr>
              <w:t xml:space="preserve">PCB规格：≥4层板</w:t>
            </w:r>
            <w:r/>
          </w:p>
          <w:p>
            <w:pPr>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6）水温传感器：≥1个</w:t>
            </w:r>
            <w:r/>
          </w:p>
          <w:p>
            <w:pPr>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7）PH值传感器：≥1个</w:t>
            </w:r>
            <w:r/>
          </w:p>
          <w:p>
            <w:pPr>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8）水位传感器：≥1个；</w:t>
            </w:r>
            <w:r/>
          </w:p>
          <w:p>
            <w:pPr>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9）电导率传感器：≥1个。</w:t>
            </w:r>
            <w:r/>
          </w:p>
          <w:p>
            <w:pPr>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边缘计算硬件参数：</w:t>
            </w:r>
            <w:r/>
          </w:p>
          <w:p>
            <w:pPr>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1）AI算力：</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rPr>
              <w:t xml:space="preserve">8 TOPS INT8</w:t>
            </w:r>
            <w:r/>
          </w:p>
          <w:p>
            <w:pPr>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2）内存规格：LPDDR4X，4GB，支持ECC</w:t>
            </w:r>
            <w:r/>
          </w:p>
          <w:p>
            <w:pPr>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3）CPU算力：4 core*1.0GHz</w:t>
            </w:r>
            <w:r/>
          </w:p>
          <w:p>
            <w:pPr>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4）编解码能力：支持H.264/H.265 Decoder硬件解码，20路1080P 30FPS，2路4K 75FPS JPEG解码1080P 512FPS，编码1080P 256FPS，分辨率最大16384 x 16384</w:t>
            </w:r>
            <w:r/>
          </w:p>
          <w:p>
            <w:pPr>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5）扩展接口：MIPI-CSI 51针连接器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rPr>
              <w:t xml:space="preserve">2，可接摄像头模组；MIPI-DSI 51针连接器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rPr>
              <w:t xml:space="preserve">1；RJ45网口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rPr>
              <w:t xml:space="preserve">2，支持自适应100 / 1000M；HDMI 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rPr>
              <w:t xml:space="preserve">2；USB 3.0 Type-A 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rPr>
              <w:t xml:space="preserve">2，兼容USB 2.0；USB 3.0 Type-C接口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rPr>
              <w:t xml:space="preserve">1；40针扩展接口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rPr>
              <w:t xml:space="preserve">1</w:t>
            </w:r>
            <w:r/>
          </w:p>
          <w:p>
            <w:pPr>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其他：</w:t>
            </w:r>
            <w:r/>
          </w:p>
          <w:p>
            <w:pPr>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1）摄像头：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w:t>
            </w:r>
            <w:r/>
          </w:p>
          <w:p>
            <w:pPr>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2）屏幕：1块，≥15英寸。</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71"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50"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57"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9,000</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41"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是</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82"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33" w:type="pct"/>
            <w:vAlign w:val="center"/>
            <w:textDirection w:val="lrTb"/>
            <w:noWrap w:val="false"/>
          </w:tcPr>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鸿蒙智能实训终端</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763"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提供配套显示屏幕完成鸿蒙实验的交互操作和实验实训。</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71"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50"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57"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20,000</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41"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否</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82"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33"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教学实训平台-基础模块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763"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平台包含日常教学管理、教学内容、教学活动、学情统计等功能。平台可部署各类专业课资源，支持在线学习课件、实验指导、提供软件工具、源代码等功能，配合硬件实训套件完成专业课教学和实验。</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71"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50"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57"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240,000</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41"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是</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82"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33"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鸿蒙操作系统实验模块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763"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提供鸿蒙基础实验功能，配套实验软件工具集、实验指导书、实验配套文档等资源</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71"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50"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57"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90,000</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41"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是</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82"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33"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《移动应用开发基础》课程资源</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763"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包含但不限于以下知识点及实验：分布式操作系统架构和核心概念、关键特性、应用开发流程、开发基础和框架、JS/Java UI界面设计、功能开发、功能调测与发布、多媒体应用开发、数据管理应用开发、分布式数据库创建、关闭和删除，分布式数据管理、分布式信息管理、分布式任务调度、分布式新闻发布、跨设备视频播放器设计等内容。</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71"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50"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57"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70,000</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41"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否</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82"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33"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《移动应用开发进阶》课程资源</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763"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包含但不限于以下知识点及实验：分布式操作系统设备定位开发、媒体管理控制开发、分布式早教系统开发、智能穿戴设备应用、线程间通信开发EventHandler、AI二维码识别、AI通用文字识别、AI语音播报功能、AI面部识别系统设计、使用UI构建复杂页面；环境搭建：媒体、网络、AI、设备管理、安全、网络与连接、数据管理、日志管理；网络功能调测与发布等内容。</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71"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50"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57"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75,000</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41"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否</w:t>
            </w:r>
            <w:r/>
          </w:p>
        </w:tc>
      </w:tr>
      <w:tr>
        <w:trPr>
          <w:jc w:val="center"/>
          <w:trHeight w:val="1215"/>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82"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33"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《鸿蒙应用开发工程认证课》程资源</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763"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包含但不限于以下知识点及实验：分布式操作系统介绍、应用开发入门、Ability设计与开发、UI页面设计与开发、功能开发、调试与发布等知识，并进行实战演练，Ability应用与管理、手机天气预报多城市＆自动更新功能开发，培养具备分布式操作系统应用开发能力的工程师。</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71"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50"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57"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70,000</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41"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否</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82"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33"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《鸿蒙高级应用开发工程师认证课》课程资源包</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763"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包含但不限于以下知识点及实验：分布式操作系统解决方案、方舟开发框架，分布式关键技术、服务卡片，工程调试、功能开发，应用设计介绍，多端部署，范式高级组件实验、设备参数语音播报、应用调试，综合案例实践。</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71"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50"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57"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75,000</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41"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否</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82"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33"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《鸿蒙设备开发基础》课程资源</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763"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包含但不限于以下知识点及实验：鸿蒙定义、鸿蒙关键技术、鸿蒙内核概述、鸿蒙任务管理、鸿蒙内存管理、鸿蒙中断和时钟、鸿蒙任务同步与通信、鸿蒙的双向链表、Linux内核介绍、硬件驱动介绍、鸿蒙支持的移植平台介绍、鸿蒙系统移植、鸿蒙中间件及物联网平台、开发环境搭建实验、基于鸿蒙实现终端业务实验、内存使用实验、定时器中断实验、队列和事件使用实验、互斥锁和信号量的使用实验、双向链表的使用实验Linux内核实验、驱动基础实验、鸿蒙移植实验、基于鸿蒙OS实现端到端物联实验</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71"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50"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57"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75,000</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41"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否</w:t>
            </w:r>
            <w:r/>
          </w:p>
        </w:tc>
      </w:tr>
    </w:tbl>
    <w:p>
      <w:pP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br/>
      </w:r>
      <w:r>
        <w:rPr>
          <w:rFonts w:hint="eastAsia" w:ascii="宋体" w:hAnsi="宋体" w:eastAsia="宋体" w:cs="宋体"/>
          <w:color w:val="000000"/>
          <w:sz w:val="21"/>
          <w:szCs w:val="21"/>
          <w:lang w:eastAsia="zh-CN"/>
        </w:rPr>
        <w:t xml:space="preserve">三、详细参数</w:t>
      </w:r>
      <w:r/>
    </w:p>
    <w:tbl>
      <w:tblPr>
        <w:tblStyle w:val="723"/>
        <w:tblW w:w="4998" w:type="pct"/>
        <w:jc w:val="center"/>
        <w:tblBorders>
          <w:top w:val="single" w:color="000000" w:sz="6" w:space="0"/>
          <w:left w:val="single" w:color="000000" w:sz="6" w:space="0"/>
          <w:bottom w:val="single" w:color="000000" w:sz="6" w:space="0"/>
          <w:right w:val="single" w:color="000000" w:sz="6"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658"/>
        <w:gridCol w:w="1305"/>
        <w:gridCol w:w="6427"/>
        <w:gridCol w:w="549"/>
        <w:gridCol w:w="426"/>
        <w:gridCol w:w="6"/>
      </w:tblGrid>
      <w:tr>
        <w:trPr>
          <w:jc w:val="center"/>
          <w:trHeight w:val="467"/>
        </w:trPr>
        <w:tc>
          <w:tcPr>
            <w:shd w:val="clear" w:color="auto" w:fill="ffffff"/>
            <w:tcBorders>
              <w:top w:val="single" w:color="auto" w:sz="4" w:space="0"/>
              <w:left w:val="single" w:color="auto" w:sz="4" w:space="0"/>
              <w:bottom w:val="single" w:color="auto" w:sz="4" w:space="0"/>
              <w:right w:val="single" w:color="auto" w:sz="4" w:space="0"/>
            </w:tcBorders>
            <w:tcW w:w="351" w:type="pct"/>
            <w:vAlign w:val="center"/>
            <w:vMerge w:val="restart"/>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696" w:type="pct"/>
            <w:vAlign w:val="center"/>
            <w:vMerge w:val="restart"/>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名称</w:t>
            </w:r>
            <w:r/>
          </w:p>
        </w:tc>
        <w:tc>
          <w:tcPr>
            <w:shd w:val="clear" w:color="auto" w:fill="ffffff"/>
            <w:tcBorders>
              <w:top w:val="single" w:color="auto" w:sz="4" w:space="0"/>
              <w:left w:val="single" w:color="auto" w:sz="4" w:space="0"/>
              <w:bottom w:val="single" w:color="auto" w:sz="4" w:space="0"/>
              <w:right w:val="single" w:color="auto" w:sz="4" w:space="0"/>
            </w:tcBorders>
            <w:tcW w:w="3427" w:type="pct"/>
            <w:vAlign w:val="center"/>
            <w:vMerge w:val="restart"/>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技术参数</w:t>
            </w:r>
            <w:r/>
          </w:p>
        </w:tc>
        <w:tc>
          <w:tcPr>
            <w:shd w:val="clear" w:color="auto" w:fill="ffffff"/>
            <w:tcBorders>
              <w:top w:val="single" w:color="auto" w:sz="4" w:space="0"/>
              <w:left w:val="single" w:color="auto" w:sz="4" w:space="0"/>
              <w:bottom w:val="single" w:color="auto" w:sz="4" w:space="0"/>
              <w:right w:val="single" w:color="auto" w:sz="4" w:space="0"/>
            </w:tcBorders>
            <w:tcW w:w="293" w:type="pct"/>
            <w:vAlign w:val="center"/>
            <w:vMerge w:val="restart"/>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单位</w:t>
            </w:r>
            <w:r/>
          </w:p>
        </w:tc>
        <w:tc>
          <w:tcPr>
            <w:gridSpan w:val="2"/>
            <w:shd w:val="clear" w:color="auto" w:fill="ffffff"/>
            <w:tcBorders>
              <w:top w:val="single" w:color="auto" w:sz="4" w:space="0"/>
              <w:left w:val="single" w:color="auto" w:sz="4" w:space="0"/>
              <w:bottom w:val="single" w:color="auto" w:sz="4" w:space="0"/>
              <w:right w:val="single" w:color="auto" w:sz="4" w:space="0"/>
            </w:tcBorders>
            <w:tcW w:w="230" w:type="pct"/>
            <w:vAlign w:val="center"/>
            <w:vMerge w:val="restart"/>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数量</w:t>
            </w:r>
            <w:r/>
          </w:p>
        </w:tc>
      </w:tr>
      <w:tr>
        <w:trPr>
          <w:gridAfter w:val="1"/>
          <w:jc w:val="center"/>
          <w:trHeight w:val="300"/>
        </w:trPr>
        <w:tc>
          <w:tcPr>
            <w:shd w:val="clear" w:color="auto" w:fill="ffffff"/>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平台实训硬件</w:t>
            </w:r>
            <w:r/>
          </w:p>
        </w:tc>
        <w:tc>
          <w:tcPr>
            <w:shd w:val="clear" w:color="auto" w:fill="ffffff"/>
            <w:tcBorders>
              <w:top w:val="single" w:color="auto" w:sz="4" w:space="0"/>
              <w:left w:val="single" w:color="auto" w:sz="4" w:space="0"/>
              <w:bottom w:val="single" w:color="auto" w:sz="4" w:space="0"/>
              <w:right w:val="single" w:color="auto" w:sz="4" w:space="0"/>
            </w:tcBorders>
            <w:tcW w:w="3427" w:type="pct"/>
            <w:vAlign w:val="center"/>
            <w:textDirection w:val="lrTb"/>
            <w:noWrap w:val="false"/>
          </w:tcPr>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1.总体要求：为国产化平台实训硬件；</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每台平台实训硬件配置≥2个国产ARM架构处理器，单颗核心数≥48核，主频≥2.6GHz</w:t>
            </w:r>
            <w:r>
              <w:rPr>
                <w:rFonts w:hint="eastAsia" w:ascii="宋体" w:hAnsi="宋体" w:eastAsia="宋体" w:cs="宋体"/>
                <w:b/>
                <w:bCs/>
                <w:i/>
                <w:iCs/>
                <w:color w:val="auto"/>
                <w:sz w:val="21"/>
                <w:szCs w:val="21"/>
                <w:highlight w:val="none"/>
                <w:lang w:eastAsia="zh-CN"/>
              </w:rPr>
              <w:t xml:space="preserve">【需提供技术白皮书或产品彩页】</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3.内存：≥256GBDDR4；硬盘：≥1T的通用硬盘和≥20T的企业级硬盘；</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4.具有图形化管理界面，支持自动平台实训硬件重启、风扇监视和控制、电源监控、温度监控、启动/关闭、按序重启、本地固件更新、错误日志等操作；</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5.配置独立的远程管理控制端口，可实现与操作系统无关的远程对平台实训硬件的完全控制，包括远程的开机、关机、重启、虚拟软驱、虚拟光驱等操作；</w:t>
            </w:r>
            <w:r/>
          </w:p>
          <w:p>
            <w:pPr>
              <w:spacing w:after="0" w:line="360" w:lineRule="auto"/>
              <w:rPr>
                <w:rFonts w:hint="eastAsia" w:ascii="宋体" w:hAnsi="宋体" w:eastAsia="宋体" w:cs="宋体"/>
                <w:b/>
                <w:bCs/>
                <w:i/>
                <w:iCs/>
                <w:color w:val="auto"/>
                <w:sz w:val="21"/>
                <w:szCs w:val="21"/>
                <w:highlight w:val="none"/>
                <w:lang w:eastAsia="zh-CN"/>
              </w:rPr>
            </w:pPr>
            <w:r>
              <w:rPr>
                <w:rFonts w:hint="eastAsia" w:ascii="宋体" w:hAnsi="宋体" w:eastAsia="宋体" w:cs="宋体"/>
                <w:color w:val="auto"/>
                <w:sz w:val="21"/>
                <w:szCs w:val="21"/>
                <w:highlight w:val="none"/>
                <w:lang w:eastAsia="zh-CN"/>
              </w:rPr>
              <w:t xml:space="preserve">6.平台实训硬件管理软件通过完善的信息安全评估，包括保密性、完善性、抗抵赖性、可核查性测试</w:t>
            </w:r>
            <w:r>
              <w:rPr>
                <w:rFonts w:hint="eastAsia" w:ascii="宋体" w:hAnsi="宋体" w:eastAsia="宋体" w:cs="宋体"/>
                <w:b/>
                <w:bCs/>
                <w:i/>
                <w:iCs/>
                <w:color w:val="auto"/>
                <w:sz w:val="21"/>
                <w:szCs w:val="21"/>
                <w:highlight w:val="none"/>
                <w:lang w:eastAsia="zh-CN"/>
              </w:rPr>
              <w:t xml:space="preserve">【提供带有CMA标识的检测报告并加供应商公章】；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7.平台实训硬件管理软件通过安全渗透测试，包含认证安全、权限管理安全、会话安全、信息泄露安全、输入输出合法性安全性测试</w:t>
            </w:r>
            <w:r>
              <w:rPr>
                <w:rFonts w:hint="eastAsia" w:ascii="宋体" w:hAnsi="宋体" w:eastAsia="宋体" w:cs="宋体"/>
                <w:b/>
                <w:bCs/>
                <w:i/>
                <w:iCs/>
                <w:color w:val="auto"/>
                <w:sz w:val="21"/>
                <w:szCs w:val="21"/>
                <w:highlight w:val="none"/>
                <w:lang w:eastAsia="zh-CN"/>
              </w:rPr>
              <w:t xml:space="preserve">【提供带有CMA标识的检测报告并加供应商公章】；</w:t>
            </w:r>
            <w:r/>
          </w:p>
        </w:tc>
        <w:tc>
          <w:tcPr>
            <w:shd w:val="clear" w:color="auto" w:fill="ffffff"/>
            <w:tcBorders>
              <w:top w:val="single" w:color="auto" w:sz="4" w:space="0"/>
              <w:left w:val="single" w:color="auto" w:sz="4" w:space="0"/>
              <w:bottom w:val="single" w:color="auto" w:sz="4" w:space="0"/>
              <w:right w:val="single" w:color="auto" w:sz="4" w:space="0"/>
            </w:tcBorders>
            <w:tcW w:w="293"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27"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300"/>
        </w:trPr>
        <w:tc>
          <w:tcPr>
            <w:shd w:val="clear" w:color="auto" w:fill="ffffff"/>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鸿蒙实训套件</w:t>
            </w:r>
            <w:r/>
          </w:p>
        </w:tc>
        <w:tc>
          <w:tcPr>
            <w:shd w:val="clear" w:color="auto" w:fill="ffffff"/>
            <w:tcBorders>
              <w:top w:val="single" w:color="auto" w:sz="4" w:space="0"/>
              <w:left w:val="single" w:color="auto" w:sz="4" w:space="0"/>
              <w:bottom w:val="single" w:color="auto" w:sz="4" w:space="0"/>
              <w:right w:val="single" w:color="auto" w:sz="4" w:space="0"/>
            </w:tcBorders>
            <w:tcW w:w="3427" w:type="pct"/>
            <w:vAlign w:val="center"/>
            <w:textDirection w:val="lrTb"/>
            <w:noWrap w:val="false"/>
          </w:tcPr>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通用底座：</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▲1.通用底座能支持LiteOS-A内核</w:t>
            </w:r>
            <w:r>
              <w:rPr>
                <w:rFonts w:hint="eastAsia" w:ascii="宋体" w:hAnsi="宋体" w:eastAsia="宋体" w:cs="宋体"/>
                <w:b/>
                <w:bCs/>
                <w:i/>
                <w:iCs/>
                <w:color w:val="auto"/>
                <w:sz w:val="21"/>
                <w:szCs w:val="21"/>
                <w:highlight w:val="none"/>
                <w:lang w:eastAsia="zh-CN"/>
              </w:rPr>
              <w:t xml:space="preserve">【提供截图或照片证明并加盖供应商公章】</w:t>
            </w:r>
            <w:r>
              <w:rPr>
                <w:rFonts w:hint="eastAsia" w:ascii="宋体" w:hAnsi="宋体" w:eastAsia="宋体" w:cs="宋体"/>
                <w:color w:val="auto"/>
                <w:sz w:val="21"/>
                <w:szCs w:val="21"/>
                <w:highlight w:val="none"/>
                <w:lang w:eastAsia="zh-CN"/>
              </w:rPr>
              <w:t xml:space="preserve">；</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2、具备≥1路RS232串口、≥1个USB串口,可用于代码调试、≥1个有源蜂鸣器、≥1个10M/100M/1000M以太网接口、≥1个电源开关、≥1个SDIO Wi-Fi模块；</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3、具备≥1个温湿度传感器接口、≥3个pwm接口，用于接呼吸灯、≥1个ADC接口、≥2个2×20P，2.54mm间距的排针，多个IO接口，≥1个12V电源；</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4、提供≥1个RGB接口的7寸显示屏，显示屏支持触控，可展示Logo，实验数据，实验效果；</w:t>
            </w:r>
            <w:r>
              <w:rPr>
                <w:rFonts w:hint="eastAsia" w:ascii="宋体" w:hAnsi="宋体" w:eastAsia="宋体" w:cs="宋体"/>
                <w:b/>
                <w:bCs/>
                <w:i/>
                <w:iCs/>
                <w:color w:val="auto"/>
                <w:sz w:val="21"/>
                <w:szCs w:val="21"/>
                <w:highlight w:val="none"/>
                <w:lang w:eastAsia="zh-CN"/>
              </w:rPr>
              <w:t xml:space="preserve">【提供实物照片证明并加盖供应商公章】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5、提供</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≥1个复位功能按键，可用于复位MPU，提供≥3个功能按钮。</w:t>
            </w:r>
            <w:r>
              <w:rPr>
                <w:rFonts w:hint="eastAsia" w:ascii="宋体" w:hAnsi="宋体" w:eastAsia="宋体" w:cs="宋体"/>
                <w:b/>
                <w:bCs/>
                <w:i/>
                <w:iCs/>
                <w:color w:val="auto"/>
                <w:sz w:val="21"/>
                <w:szCs w:val="21"/>
                <w:highlight w:val="none"/>
                <w:lang w:eastAsia="zh-CN"/>
              </w:rPr>
              <w:t xml:space="preserve">【提供实物照片证明并加盖供应商公章】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应用扩展板：</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1、提供环境监测和交通信号灯场景扩展板；</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2、扩展板须提供≥3颗LED指示灯，≥1个蜂鸣器，≥1个功能自定义按键，须包含光照强度、温湿度等多种传感器；</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3、至少支持LED指示灯控制、温湿度传感器数据展示、蜂鸣器控制等多种应用实验。</w:t>
            </w:r>
            <w:r>
              <w:rPr>
                <w:rFonts w:hint="eastAsia" w:ascii="宋体" w:hAnsi="宋体" w:eastAsia="宋体" w:cs="宋体"/>
                <w:b/>
                <w:bCs/>
                <w:i/>
                <w:iCs/>
                <w:color w:val="auto"/>
                <w:sz w:val="21"/>
                <w:szCs w:val="21"/>
                <w:highlight w:val="none"/>
                <w:lang w:eastAsia="zh-CN"/>
              </w:rPr>
              <w:t xml:space="preserve">【提供截图或照片证明并加盖供应商公章】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配套工具套件：</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1、配套工具套件应含TypeC数据线≥2根；</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2、所有器件有独立槽位，方便运输；</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3、配套实验工具箱，实验工具箱须为铝合金框架，内置抗震海绵。</w:t>
            </w:r>
            <w:r/>
          </w:p>
        </w:tc>
        <w:tc>
          <w:tcPr>
            <w:shd w:val="clear" w:color="auto" w:fill="ffffff"/>
            <w:tcBorders>
              <w:top w:val="single" w:color="auto" w:sz="4" w:space="0"/>
              <w:left w:val="single" w:color="auto" w:sz="4" w:space="0"/>
              <w:bottom w:val="single" w:color="auto" w:sz="4" w:space="0"/>
              <w:right w:val="single" w:color="auto" w:sz="4" w:space="0"/>
            </w:tcBorders>
            <w:tcW w:w="293"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gridSpan w:val="2"/>
            <w:shd w:val="clear" w:color="auto" w:fill="ffffff"/>
            <w:tcBorders>
              <w:top w:val="single" w:color="auto" w:sz="4" w:space="0"/>
              <w:left w:val="single" w:color="auto" w:sz="4" w:space="0"/>
              <w:bottom w:val="single" w:color="auto" w:sz="4" w:space="0"/>
              <w:right w:val="single" w:color="auto" w:sz="4" w:space="0"/>
            </w:tcBorders>
            <w:tcW w:w="230"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r>
      <w:tr>
        <w:trPr>
          <w:jc w:val="center"/>
          <w:trHeight w:val="300"/>
        </w:trPr>
        <w:tc>
          <w:tcPr>
            <w:shd w:val="clear" w:color="auto" w:fill="ffffff"/>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鸿蒙智能座舱科研/实训平台</w:t>
            </w:r>
            <w:r/>
          </w:p>
        </w:tc>
        <w:tc>
          <w:tcPr>
            <w:shd w:val="clear" w:color="auto" w:fill="ffffff"/>
            <w:tcBorders>
              <w:top w:val="single" w:color="auto" w:sz="4" w:space="0"/>
              <w:left w:val="single" w:color="auto" w:sz="4" w:space="0"/>
              <w:bottom w:val="single" w:color="auto" w:sz="4" w:space="0"/>
              <w:right w:val="single" w:color="auto" w:sz="4" w:space="0"/>
            </w:tcBorders>
            <w:tcW w:w="3427" w:type="pct"/>
            <w:vAlign w:val="center"/>
            <w:textDirection w:val="lrTb"/>
            <w:noWrap w:val="false"/>
          </w:tcPr>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一、车身</w:t>
            </w:r>
            <w:r/>
          </w:p>
          <w:p>
            <w:pPr>
              <w:spacing w:after="0" w:line="360" w:lineRule="auto"/>
              <w:rPr>
                <w:rFonts w:hint="eastAsia" w:ascii="宋体" w:hAnsi="宋体" w:eastAsia="宋体" w:cs="宋体"/>
                <w:b/>
                <w:bCs/>
                <w:i/>
                <w:iCs/>
                <w:color w:val="auto"/>
                <w:sz w:val="21"/>
                <w:szCs w:val="21"/>
                <w:highlight w:val="none"/>
                <w:lang w:eastAsia="zh-CN"/>
              </w:rPr>
            </w:pPr>
            <w:r>
              <w:rPr>
                <w:rFonts w:hint="eastAsia" w:ascii="宋体" w:hAnsi="宋体" w:eastAsia="宋体" w:cs="宋体"/>
                <w:color w:val="auto"/>
                <w:sz w:val="21"/>
                <w:szCs w:val="21"/>
                <w:highlight w:val="none"/>
                <w:lang w:eastAsia="zh-CN"/>
              </w:rPr>
              <w:t xml:space="preserve">▲1.需使用真实国产量产商用乘用车作为座舱车身。车辆需使用电能作为唯一能源。</w:t>
            </w:r>
            <w:r>
              <w:rPr>
                <w:rFonts w:hint="eastAsia" w:ascii="宋体" w:hAnsi="宋体" w:eastAsia="宋体" w:cs="宋体"/>
                <w:b/>
                <w:bCs/>
                <w:i/>
                <w:iCs/>
                <w:color w:val="auto"/>
                <w:sz w:val="21"/>
                <w:szCs w:val="21"/>
                <w:highlight w:val="none"/>
                <w:lang w:eastAsia="zh-CN"/>
              </w:rPr>
              <w:t xml:space="preserve">【需提供原始车辆品牌和产品说明证明】</w:t>
            </w:r>
            <w:r/>
          </w:p>
          <w:p>
            <w:pPr>
              <w:spacing w:after="0" w:line="360" w:lineRule="auto"/>
              <w:rPr>
                <w:rFonts w:hint="eastAsia" w:ascii="宋体" w:hAnsi="宋体" w:eastAsia="宋体" w:cs="宋体"/>
                <w:b/>
                <w:bCs/>
                <w:i/>
                <w:iCs/>
                <w:color w:val="auto"/>
                <w:sz w:val="21"/>
                <w:szCs w:val="21"/>
                <w:highlight w:val="none"/>
                <w:lang w:val="en-US" w:eastAsia="zh-CN"/>
              </w:rPr>
            </w:pPr>
            <w:r>
              <w:rPr>
                <w:rFonts w:hint="eastAsia" w:ascii="宋体" w:hAnsi="宋体" w:eastAsia="宋体" w:cs="宋体"/>
                <w:b/>
                <w:bCs/>
                <w:i/>
                <w:iCs/>
                <w:color w:val="auto"/>
                <w:sz w:val="21"/>
                <w:szCs w:val="21"/>
                <w:highlight w:val="none"/>
                <w:lang w:val="en-US" w:eastAsia="zh-CN"/>
              </w:rPr>
              <w:t xml:space="preserve">上市时间不早于2024年1月</w:t>
            </w:r>
            <w:r/>
          </w:p>
          <w:p>
            <w:pPr>
              <w:spacing w:after="0" w:line="360" w:lineRule="auto"/>
              <w:rPr>
                <w:rFonts w:hint="eastAsia" w:ascii="宋体" w:hAnsi="宋体" w:eastAsia="宋体" w:cs="宋体"/>
                <w:b/>
                <w:bCs/>
                <w:i/>
                <w:iCs/>
                <w:color w:val="auto"/>
                <w:sz w:val="21"/>
                <w:szCs w:val="21"/>
                <w:highlight w:val="none"/>
                <w:lang w:val="en-US" w:eastAsia="zh-CN"/>
              </w:rPr>
            </w:pPr>
            <w:r>
              <w:rPr>
                <w:rFonts w:hint="default" w:ascii="宋体" w:hAnsi="宋体" w:eastAsia="宋体" w:cs="宋体"/>
                <w:b/>
                <w:bCs/>
                <w:i/>
                <w:iCs/>
                <w:color w:val="auto"/>
                <w:sz w:val="21"/>
                <w:szCs w:val="21"/>
                <w:highlight w:val="none"/>
                <w:lang w:val="en-US" w:eastAsia="zh-CN"/>
              </w:rPr>
              <w:t xml:space="preserve">纯电续航里程(km)</w:t>
            </w:r>
            <w:r>
              <w:rPr>
                <w:rFonts w:hint="eastAsia" w:ascii="宋体" w:hAnsi="宋体" w:eastAsia="宋体" w:cs="宋体"/>
                <w:b/>
                <w:bCs/>
                <w:i/>
                <w:iCs/>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i/>
                <w:iCs/>
                <w:color w:val="auto"/>
                <w:sz w:val="21"/>
                <w:szCs w:val="21"/>
                <w:highlight w:val="none"/>
                <w:lang w:val="en-US" w:eastAsia="zh-CN"/>
              </w:rPr>
              <w:t xml:space="preserve">200km</w:t>
            </w:r>
            <w:r/>
          </w:p>
          <w:p>
            <w:pPr>
              <w:spacing w:after="0" w:line="360" w:lineRule="auto"/>
              <w:rPr>
                <w:rFonts w:hint="eastAsia" w:ascii="宋体" w:hAnsi="宋体" w:eastAsia="宋体" w:cs="宋体"/>
                <w:b/>
                <w:bCs/>
                <w:i/>
                <w:iCs/>
                <w:color w:val="auto"/>
                <w:sz w:val="21"/>
                <w:szCs w:val="21"/>
                <w:highlight w:val="none"/>
                <w:lang w:val="en-US" w:eastAsia="zh-CN"/>
              </w:rPr>
            </w:pPr>
            <w:r>
              <w:rPr>
                <w:rFonts w:hint="default" w:ascii="宋体" w:hAnsi="宋体" w:eastAsia="宋体" w:cs="宋体"/>
                <w:b/>
                <w:bCs/>
                <w:i/>
                <w:iCs/>
                <w:color w:val="auto"/>
                <w:sz w:val="21"/>
                <w:szCs w:val="21"/>
                <w:highlight w:val="none"/>
                <w:lang w:val="en-US" w:eastAsia="zh-CN"/>
              </w:rPr>
              <w:t xml:space="preserve">快充时间(小时)</w:t>
            </w:r>
            <w:r>
              <w:rPr>
                <w:rFonts w:hint="eastAsia" w:ascii="宋体" w:hAnsi="宋体" w:eastAsia="宋体" w:cs="宋体"/>
                <w:b/>
                <w:bCs/>
                <w:i/>
                <w:iCs/>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i/>
                <w:iCs/>
                <w:color w:val="auto"/>
                <w:sz w:val="21"/>
                <w:szCs w:val="21"/>
                <w:highlight w:val="none"/>
                <w:lang w:val="en-US" w:eastAsia="zh-CN"/>
              </w:rPr>
              <w:t xml:space="preserve">0.5h</w:t>
            </w:r>
            <w:r/>
          </w:p>
          <w:p>
            <w:pPr>
              <w:spacing w:after="0" w:line="360" w:lineRule="auto"/>
              <w:rPr>
                <w:rFonts w:hint="default" w:ascii="宋体" w:hAnsi="宋体" w:eastAsia="宋体" w:cs="宋体"/>
                <w:b/>
                <w:bCs/>
                <w:i/>
                <w:iCs/>
                <w:color w:val="auto"/>
                <w:sz w:val="21"/>
                <w:szCs w:val="21"/>
                <w:highlight w:val="none"/>
                <w:lang w:val="en-US" w:eastAsia="zh-CN"/>
              </w:rPr>
            </w:pPr>
            <w:r>
              <w:rPr>
                <w:rFonts w:hint="eastAsia" w:ascii="宋体" w:hAnsi="宋体" w:eastAsia="宋体" w:cs="宋体"/>
                <w:b/>
                <w:bCs/>
                <w:i/>
                <w:iCs/>
                <w:color w:val="auto"/>
                <w:sz w:val="21"/>
                <w:szCs w:val="21"/>
                <w:highlight w:val="none"/>
                <w:lang w:val="en-US" w:eastAsia="zh-CN"/>
              </w:rPr>
              <w:t xml:space="preserve">慢充时间(小时)：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i/>
                <w:iCs/>
                <w:color w:val="auto"/>
                <w:sz w:val="21"/>
                <w:szCs w:val="21"/>
                <w:highlight w:val="none"/>
                <w:lang w:val="en-US" w:eastAsia="zh-CN"/>
              </w:rPr>
              <w:t xml:space="preserve">4.5h</w:t>
            </w:r>
            <w:r/>
          </w:p>
          <w:p>
            <w:pPr>
              <w:spacing w:after="0" w:line="360" w:lineRule="auto"/>
              <w:rPr>
                <w:rFonts w:hint="eastAsia" w:ascii="宋体" w:hAnsi="宋体" w:eastAsia="宋体" w:cs="宋体"/>
                <w:b/>
                <w:bCs/>
                <w:i/>
                <w:iCs/>
                <w:color w:val="auto"/>
                <w:sz w:val="21"/>
                <w:szCs w:val="21"/>
                <w:highlight w:val="none"/>
                <w:lang w:val="en-US" w:eastAsia="zh-CN"/>
              </w:rPr>
            </w:pPr>
            <w:r>
              <w:rPr>
                <w:rFonts w:hint="eastAsia" w:ascii="宋体" w:hAnsi="宋体" w:eastAsia="宋体" w:cs="宋体"/>
                <w:b/>
                <w:bCs/>
                <w:i/>
                <w:iCs/>
                <w:color w:val="auto"/>
                <w:sz w:val="21"/>
                <w:szCs w:val="21"/>
                <w:highlight w:val="none"/>
                <w:lang w:val="en-US" w:eastAsia="zh-CN"/>
              </w:rPr>
              <w:t xml:space="preserve">最大功率(kW)：</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i/>
                <w:iCs/>
                <w:color w:val="auto"/>
                <w:sz w:val="21"/>
                <w:szCs w:val="21"/>
                <w:highlight w:val="none"/>
                <w:lang w:val="en-US" w:eastAsia="zh-CN"/>
              </w:rPr>
              <w:t xml:space="preserve">30</w:t>
            </w:r>
            <w:r/>
          </w:p>
          <w:p>
            <w:pPr>
              <w:spacing w:after="0" w:line="360" w:lineRule="auto"/>
              <w:rPr>
                <w:rFonts w:hint="eastAsia" w:ascii="宋体" w:hAnsi="宋体" w:eastAsia="宋体" w:cs="宋体"/>
                <w:b/>
                <w:bCs/>
                <w:i/>
                <w:iCs/>
                <w:color w:val="auto"/>
                <w:sz w:val="21"/>
                <w:szCs w:val="21"/>
                <w:highlight w:val="none"/>
                <w:lang w:val="en-US" w:eastAsia="zh-CN"/>
              </w:rPr>
            </w:pPr>
            <w:r>
              <w:rPr>
                <w:rFonts w:hint="eastAsia" w:ascii="宋体" w:hAnsi="宋体" w:eastAsia="宋体" w:cs="宋体"/>
                <w:b/>
                <w:bCs/>
                <w:i/>
                <w:iCs/>
                <w:color w:val="auto"/>
                <w:sz w:val="21"/>
                <w:szCs w:val="21"/>
                <w:highlight w:val="none"/>
                <w:lang w:val="en-US" w:eastAsia="zh-CN"/>
              </w:rPr>
              <w:t xml:space="preserve">最大扭矩(N·m)：</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i/>
                <w:iCs/>
                <w:color w:val="auto"/>
                <w:sz w:val="21"/>
                <w:szCs w:val="21"/>
                <w:highlight w:val="none"/>
                <w:lang w:val="en-US" w:eastAsia="zh-CN"/>
              </w:rPr>
              <w:t xml:space="preserve">110</w:t>
            </w:r>
            <w:r/>
          </w:p>
          <w:p>
            <w:pPr>
              <w:spacing w:after="0" w:line="360" w:lineRule="auto"/>
              <w:rPr>
                <w:rFonts w:hint="eastAsia" w:ascii="宋体" w:hAnsi="宋体" w:eastAsia="宋体" w:cs="宋体"/>
                <w:b/>
                <w:bCs/>
                <w:i/>
                <w:iCs/>
                <w:color w:val="auto"/>
                <w:sz w:val="21"/>
                <w:szCs w:val="21"/>
                <w:highlight w:val="none"/>
                <w:lang w:val="en-US" w:eastAsia="zh-CN"/>
              </w:rPr>
            </w:pPr>
            <w:r>
              <w:rPr>
                <w:rFonts w:hint="eastAsia" w:ascii="宋体" w:hAnsi="宋体" w:eastAsia="宋体" w:cs="宋体"/>
                <w:b/>
                <w:bCs/>
                <w:i/>
                <w:iCs/>
                <w:color w:val="auto"/>
                <w:sz w:val="21"/>
                <w:szCs w:val="21"/>
                <w:highlight w:val="none"/>
                <w:lang w:val="en-US" w:eastAsia="zh-CN"/>
              </w:rPr>
              <w:t xml:space="preserve">长*宽*高(mm)：</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i/>
                <w:iCs/>
                <w:color w:val="auto"/>
                <w:sz w:val="21"/>
                <w:szCs w:val="21"/>
                <w:highlight w:val="none"/>
                <w:lang w:val="en-US" w:eastAsia="zh-CN"/>
              </w:rPr>
              <w:t xml:space="preserve">3000*1500*1600</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2.具备汽车本身完整功能，可实验室中安全进行智能座舱相关实验实训。</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二、车机系统</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1.智能座舱车机系统需基于国产化操作系统打造。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2.需支持开机后直接显示车机系统桌面，桌面需显示车辆车门、后备箱盖开启/关闭状态，需提供空调、音乐、视频、车辆设置等入口。</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3.系统需支持不少于两路外置摄像头视频接入，用于模拟行车记录仪和倒车影像，在车辆档位切换至R档时，倒车影像自动开启。</w:t>
            </w:r>
            <w:r>
              <w:rPr>
                <w:rFonts w:hint="eastAsia" w:ascii="宋体" w:hAnsi="宋体" w:eastAsia="宋体" w:cs="宋体"/>
                <w:b/>
                <w:bCs/>
                <w:i/>
                <w:iCs/>
                <w:color w:val="auto"/>
                <w:sz w:val="21"/>
                <w:szCs w:val="21"/>
                <w:highlight w:val="none"/>
                <w:lang w:eastAsia="zh-CN"/>
              </w:rPr>
              <w:t xml:space="preserve">【需提供照片证明并加盖供应商公章】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▲4.系统需支持查看和控制空调状态，包括但不限于开关状态、空调A/C状态、内外循环状态、A/C MAX状态、前除霜状态。</w:t>
            </w:r>
            <w:r>
              <w:rPr>
                <w:rFonts w:hint="eastAsia" w:ascii="宋体" w:hAnsi="宋体" w:eastAsia="宋体" w:cs="宋体"/>
                <w:b/>
                <w:bCs/>
                <w:i/>
                <w:iCs/>
                <w:color w:val="auto"/>
                <w:sz w:val="21"/>
                <w:szCs w:val="21"/>
                <w:highlight w:val="none"/>
                <w:lang w:eastAsia="zh-CN"/>
              </w:rPr>
              <w:t xml:space="preserve">【需提供照片证明并加盖供应商公章】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5.系统需支持查看和控制空调吹风模式，包括但不限于吹面、吹脚、吹窗等多种状态组合。</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6.系统需支持查看和控制空调风速。</w:t>
            </w:r>
            <w:r>
              <w:rPr>
                <w:rFonts w:hint="eastAsia" w:ascii="宋体" w:hAnsi="宋体" w:eastAsia="宋体" w:cs="宋体"/>
                <w:b/>
                <w:bCs/>
                <w:i/>
                <w:iCs/>
                <w:color w:val="auto"/>
                <w:sz w:val="21"/>
                <w:szCs w:val="21"/>
                <w:highlight w:val="none"/>
                <w:lang w:eastAsia="zh-CN"/>
              </w:rPr>
              <w:t xml:space="preserve">【需提供照片证明并加盖供应商公章】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7.系统需支持查看空调温度。</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8.系统需支持开启车内阅读灯，开启之后，当打开车门的时候阅读灯会亮起。</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9.系统需支持雨刮维修模式设置，激活的时候雨刮会立起来，方便更换雨刮。</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eastAsia="zh-CN"/>
              </w:rPr>
              <w:t xml:space="preserve">.系统需支持胎压监测系统校准设置。</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.系统需支持车辆驾驶模式设置，包含但不限于sport和normal两种模式。</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三、车联网网关</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1.车联网网关需支持国产操作系统和国产芯片。</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.需支持通过NB-IoT接入云端物联网平台。</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.网关需上报车辆基本信息，包括但不限于车辆车门、后备箱盖开启/关闭状态。</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四、智能座舱硬件</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1.国产标准系统富设备核心板：内置国产处理器，使用ARM架构；支持国产标准操作系统，支持多系统；≥4核、主频≥2.0GHz、内存≥2GB、存储</w:t>
            </w:r>
            <w:r>
              <w:rPr>
                <w:rFonts w:hint="eastAsia" w:ascii="宋体" w:hAnsi="宋体" w:eastAsia="宋体" w:cs="宋体"/>
                <w:color w:val="auto"/>
                <w:sz w:val="21"/>
                <w:szCs w:val="21"/>
                <w:highlight w:val="none"/>
                <w:lang w:val="en-US" w:eastAsia="zh-CN"/>
              </w:rPr>
              <w:t xml:space="preserve">空间</w:t>
            </w:r>
            <w:r>
              <w:rPr>
                <w:rFonts w:hint="eastAsia" w:ascii="宋体" w:hAnsi="宋体" w:eastAsia="宋体" w:cs="宋体"/>
                <w:color w:val="auto"/>
                <w:sz w:val="21"/>
                <w:szCs w:val="21"/>
                <w:highlight w:val="none"/>
                <w:lang w:eastAsia="zh-CN"/>
              </w:rPr>
              <w:t xml:space="preserve">≥32GB，USB端口≥2个、SATA接口≥1个、HDMI接口≥1个、千兆网络接口≥2个，支持WiFi与蓝牙；底板尺寸≥180mm×130mm；PCB规格≥4层板。</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3.座舱屏幕：不小于10.1寸</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五、配套开发资源</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1.需提供车机系统应用及移动应用所有源代码资源。</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2.需提供包括但不限于车辆传感与控制系统开发、车载空调与环境监测系统开发、车载影音娱乐系统开发、车载互联系统开发相关实验手册、源代码资源。</w:t>
            </w:r>
            <w:r/>
          </w:p>
        </w:tc>
        <w:tc>
          <w:tcPr>
            <w:shd w:val="clear" w:color="auto" w:fill="ffffff"/>
            <w:tcBorders>
              <w:top w:val="single" w:color="auto" w:sz="4" w:space="0"/>
              <w:left w:val="single" w:color="auto" w:sz="4" w:space="0"/>
              <w:bottom w:val="single" w:color="auto" w:sz="4" w:space="0"/>
              <w:right w:val="single" w:color="auto" w:sz="4" w:space="0"/>
            </w:tcBorders>
            <w:tcW w:w="293"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gridSpan w:val="2"/>
            <w:shd w:val="clear" w:color="auto" w:fill="ffffff"/>
            <w:tcBorders>
              <w:top w:val="single" w:color="auto" w:sz="4" w:space="0"/>
              <w:left w:val="single" w:color="auto" w:sz="4" w:space="0"/>
              <w:bottom w:val="single" w:color="auto" w:sz="4" w:space="0"/>
              <w:right w:val="single" w:color="auto" w:sz="4" w:space="0"/>
            </w:tcBorders>
            <w:tcW w:w="230"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300"/>
        </w:trPr>
        <w:tc>
          <w:tcPr>
            <w:shd w:val="clear" w:color="auto" w:fill="ffffff"/>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鸿蒙智慧海事实训平台</w:t>
            </w:r>
            <w:r/>
          </w:p>
        </w:tc>
        <w:tc>
          <w:tcPr>
            <w:shd w:val="clear" w:color="auto" w:fill="ffffff"/>
            <w:tcBorders>
              <w:top w:val="single" w:color="auto" w:sz="4" w:space="0"/>
              <w:left w:val="single" w:color="auto" w:sz="4" w:space="0"/>
              <w:bottom w:val="single" w:color="auto" w:sz="4" w:space="0"/>
              <w:right w:val="single" w:color="auto" w:sz="4" w:space="0"/>
            </w:tcBorders>
            <w:tcW w:w="3427" w:type="pct"/>
            <w:vAlign w:val="center"/>
            <w:textDirection w:val="lrTb"/>
            <w:noWrap w:val="false"/>
          </w:tcPr>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国产操作系统硬件参数：</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1.内置国产处理器，使用ARM架构；支持国产标准操作系统，支持多系统；</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2.核心：≥</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4核、主频：≥</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2.0GHz、主频：≥2GHz：</w:t>
            </w:r>
            <w:r>
              <w:rPr>
                <w:rFonts w:hint="eastAsia" w:ascii="宋体" w:hAnsi="宋体" w:eastAsia="宋体" w:cs="宋体"/>
                <w:color w:val="auto"/>
                <w:sz w:val="21"/>
                <w:szCs w:val="21"/>
                <w:highlight w:val="none"/>
                <w:lang w:val="en-US" w:eastAsia="zh-CN"/>
              </w:rPr>
              <w:t xml:space="preserve">内存：</w:t>
            </w:r>
            <w:r>
              <w:rPr>
                <w:rFonts w:hint="eastAsia" w:ascii="宋体" w:hAnsi="宋体" w:eastAsia="宋体" w:cs="宋体"/>
                <w:color w:val="auto"/>
                <w:sz w:val="21"/>
                <w:szCs w:val="21"/>
                <w:highlight w:val="none"/>
                <w:lang w:eastAsia="zh-CN"/>
              </w:rPr>
              <w:t xml:space="preserve">≥2GB、存储空间：≥32GB；</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▲3.接口能力：USB端口：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2个、SATA接口：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1个、HDMI接口：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1个、千兆网络接口：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2个，支持WiFi与蓝牙；</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4.底板尺寸：≥</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180mm×130mm；</w:t>
            </w:r>
            <w:r>
              <w:rPr>
                <w:rFonts w:hint="eastAsia" w:ascii="宋体" w:hAnsi="宋体" w:eastAsia="宋体" w:cs="宋体"/>
                <w:b/>
                <w:bCs/>
                <w:i/>
                <w:iCs/>
                <w:color w:val="auto"/>
                <w:sz w:val="21"/>
                <w:szCs w:val="21"/>
                <w:highlight w:val="none"/>
                <w:lang w:eastAsia="zh-CN"/>
              </w:rPr>
              <w:t xml:space="preserve">【需提供照片证明并加盖供应商公章】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5.PCB规格：≥4层板；</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6.水温传感器：≥1个</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7.PH值传感器：≥1个</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8.水位传感器：≥1个；</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9.电导率传感器：≥1个。</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边缘计算硬件参数：</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1.AI算力：</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8 TOPS INT8</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2.内存规格：LPDDR4X，4GB，支持ECC</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3.CPU算力：4 core*1.0 GHz</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.扩展接口：MIPI-CSI 51针连接器</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2，可接摄像头模组；MIPI-DSI 51针连接器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1；RJ45网口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2；HDMI接口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2；USB 3.0 Type-A接口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2，兼容USB 2.0；USB 3.0 Type-C接口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1；40针扩展接口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其他：</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1.摄像头：≥1个；</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2.屏幕：1块，≥15英寸。</w:t>
            </w:r>
            <w:r/>
          </w:p>
        </w:tc>
        <w:tc>
          <w:tcPr>
            <w:shd w:val="clear" w:color="auto" w:fill="ffffff"/>
            <w:tcBorders>
              <w:top w:val="single" w:color="auto" w:sz="4" w:space="0"/>
              <w:left w:val="single" w:color="auto" w:sz="4" w:space="0"/>
              <w:bottom w:val="single" w:color="auto" w:sz="4" w:space="0"/>
              <w:right w:val="single" w:color="auto" w:sz="4" w:space="0"/>
            </w:tcBorders>
            <w:tcW w:w="293"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gridSpan w:val="2"/>
            <w:shd w:val="clear" w:color="auto" w:fill="ffffff"/>
            <w:tcBorders>
              <w:top w:val="single" w:color="auto" w:sz="4" w:space="0"/>
              <w:left w:val="single" w:color="auto" w:sz="4" w:space="0"/>
              <w:bottom w:val="single" w:color="auto" w:sz="4" w:space="0"/>
              <w:right w:val="single" w:color="auto" w:sz="4" w:space="0"/>
            </w:tcBorders>
            <w:tcW w:w="230"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r>
      <w:tr>
        <w:trPr>
          <w:jc w:val="center"/>
          <w:trHeight w:val="300"/>
        </w:trPr>
        <w:tc>
          <w:tcPr>
            <w:shd w:val="clear" w:color="auto" w:fill="ffffff"/>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鸿蒙智能实训终端</w:t>
            </w:r>
            <w:r/>
          </w:p>
        </w:tc>
        <w:tc>
          <w:tcPr>
            <w:shd w:val="clear" w:color="auto" w:fill="ffffff"/>
            <w:tcBorders>
              <w:top w:val="single" w:color="auto" w:sz="4" w:space="0"/>
              <w:left w:val="single" w:color="auto" w:sz="4" w:space="0"/>
              <w:bottom w:val="single" w:color="auto" w:sz="4" w:space="0"/>
              <w:right w:val="single" w:color="auto" w:sz="4" w:space="0"/>
            </w:tcBorders>
            <w:tcW w:w="3427" w:type="pct"/>
            <w:vAlign w:val="center"/>
            <w:textDirection w:val="lrTb"/>
            <w:noWrap w:val="false"/>
          </w:tcPr>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该模块分为三个部分：包含鸿蒙智能实训终端≥3套，配套电子交互实训看板≥1套，移动支架≥2套，具体如下：</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鸿蒙智能实训终端：</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1.鸿蒙智能实训终端尺寸≥86英寸，采用零贴合、红外感应技术，比例16:9，触摸高度≤2mm。</w:t>
            </w:r>
            <w:r/>
          </w:p>
          <w:p>
            <w:pPr>
              <w:spacing w:after="0" w:line="360" w:lineRule="auto"/>
              <w:rPr>
                <w:rFonts w:hint="eastAsia" w:ascii="宋体" w:hAnsi="宋体" w:eastAsia="宋体" w:cs="宋体"/>
                <w:b/>
                <w:bCs/>
                <w:i/>
                <w:iCs/>
                <w:color w:val="auto"/>
                <w:sz w:val="21"/>
                <w:szCs w:val="21"/>
                <w:highlight w:val="none"/>
                <w:lang w:eastAsia="zh-CN"/>
              </w:rPr>
            </w:pPr>
            <w:r>
              <w:rPr>
                <w:rFonts w:hint="eastAsia" w:ascii="宋体" w:hAnsi="宋体" w:eastAsia="宋体" w:cs="宋体"/>
                <w:color w:val="auto"/>
                <w:sz w:val="21"/>
                <w:szCs w:val="21"/>
                <w:highlight w:val="none"/>
                <w:lang w:eastAsia="zh-CN"/>
              </w:rPr>
              <w:t xml:space="preserve">▲2.须采用国产主要元器件，包括但不限于、CPU处理单元、视频编解码单元、音频编解码单元、可编程逻辑芯片、视频输入输出芯片、主板、摄像机镜头、麦克风、扬声器、面板、红外触控模组等。</w:t>
            </w:r>
            <w:r>
              <w:rPr>
                <w:rFonts w:hint="eastAsia" w:ascii="宋体" w:hAnsi="宋体" w:eastAsia="宋体" w:cs="宋体"/>
                <w:b/>
                <w:bCs/>
                <w:i/>
                <w:iCs/>
                <w:color w:val="auto"/>
                <w:sz w:val="21"/>
                <w:szCs w:val="21"/>
                <w:highlight w:val="none"/>
                <w:lang w:eastAsia="zh-CN"/>
              </w:rPr>
              <w:t xml:space="preserve">【提供带有CMA标识的检测报告并加供应商公章】</w:t>
            </w:r>
            <w:r/>
          </w:p>
          <w:p>
            <w:pPr>
              <w:spacing w:after="0" w:line="360" w:lineRule="auto"/>
              <w:rPr>
                <w:rFonts w:hint="eastAsia" w:ascii="宋体" w:hAnsi="宋体" w:eastAsia="宋体" w:cs="宋体"/>
                <w:b/>
                <w:bCs/>
                <w:i/>
                <w:iCs/>
                <w:color w:val="auto"/>
                <w:sz w:val="21"/>
                <w:szCs w:val="21"/>
                <w:highlight w:val="none"/>
                <w:lang w:eastAsia="zh-CN"/>
              </w:rPr>
            </w:pPr>
            <w:r>
              <w:rPr>
                <w:rFonts w:hint="eastAsia" w:ascii="宋体" w:hAnsi="宋体" w:eastAsia="宋体" w:cs="宋体"/>
                <w:color w:val="auto"/>
                <w:sz w:val="21"/>
                <w:szCs w:val="21"/>
                <w:highlight w:val="none"/>
                <w:lang w:eastAsia="zh-CN"/>
              </w:rPr>
              <w:t xml:space="preserve">▲3.须提供不低于4TOPS的AI算力能力，支持突发噪声抑制。</w:t>
            </w:r>
            <w:r>
              <w:rPr>
                <w:rFonts w:hint="eastAsia" w:ascii="宋体" w:hAnsi="宋体" w:eastAsia="宋体" w:cs="宋体"/>
                <w:b/>
                <w:bCs/>
                <w:i/>
                <w:iCs/>
                <w:color w:val="auto"/>
                <w:sz w:val="21"/>
                <w:szCs w:val="21"/>
                <w:highlight w:val="none"/>
                <w:lang w:eastAsia="zh-CN"/>
              </w:rPr>
              <w:t xml:space="preserve">【提供带有CMA或CNA标识的检测报告并加供应商公章】</w:t>
            </w:r>
            <w:r/>
          </w:p>
          <w:p>
            <w:pPr>
              <w:spacing w:after="0" w:line="360" w:lineRule="auto"/>
              <w:rPr>
                <w:rFonts w:hint="eastAsia" w:ascii="宋体" w:hAnsi="宋体" w:eastAsia="宋体" w:cs="宋体"/>
                <w:b/>
                <w:bCs/>
                <w:i/>
                <w:iCs/>
                <w:color w:val="auto"/>
                <w:sz w:val="21"/>
                <w:szCs w:val="21"/>
                <w:highlight w:val="none"/>
                <w:lang w:eastAsia="zh-CN"/>
              </w:rPr>
            </w:pPr>
            <w:r>
              <w:rPr>
                <w:rFonts w:hint="eastAsia" w:ascii="宋体" w:hAnsi="宋体" w:eastAsia="宋体" w:cs="宋体"/>
                <w:color w:val="auto"/>
                <w:sz w:val="21"/>
                <w:szCs w:val="21"/>
                <w:highlight w:val="none"/>
                <w:lang w:eastAsia="zh-CN"/>
              </w:rPr>
              <w:t xml:space="preserve">▲4.内置一体化摄像头，摄像头像素≥4800W，视场角≥135°，支持高清拍摄及畸变矫正功能，无需对焦可实现0.5米-20米的清晰画面。</w:t>
            </w:r>
            <w:r>
              <w:rPr>
                <w:rFonts w:hint="eastAsia" w:ascii="宋体" w:hAnsi="宋体" w:eastAsia="宋体" w:cs="宋体"/>
                <w:b/>
                <w:bCs/>
                <w:i/>
                <w:iCs/>
                <w:color w:val="auto"/>
                <w:sz w:val="21"/>
                <w:szCs w:val="21"/>
                <w:highlight w:val="none"/>
                <w:lang w:eastAsia="zh-CN"/>
              </w:rPr>
              <w:t xml:space="preserve">【提供带有CMA标识的检测报告并加供应商公章】</w:t>
            </w:r>
            <w:r/>
          </w:p>
          <w:p>
            <w:pPr>
              <w:spacing w:after="0" w:line="360" w:lineRule="auto"/>
              <w:rPr>
                <w:rFonts w:hint="eastAsia" w:ascii="宋体" w:hAnsi="宋体" w:eastAsia="宋体" w:cs="宋体"/>
                <w:b/>
                <w:bCs/>
                <w:i/>
                <w:iCs/>
                <w:color w:val="auto"/>
                <w:sz w:val="21"/>
                <w:szCs w:val="21"/>
                <w:highlight w:val="none"/>
                <w:lang w:eastAsia="zh-CN"/>
              </w:rPr>
            </w:pPr>
            <w:r>
              <w:rPr>
                <w:rFonts w:hint="eastAsia" w:ascii="宋体" w:hAnsi="宋体" w:eastAsia="宋体" w:cs="宋体"/>
                <w:color w:val="auto"/>
                <w:sz w:val="21"/>
                <w:szCs w:val="21"/>
                <w:highlight w:val="none"/>
                <w:lang w:eastAsia="zh-CN"/>
              </w:rPr>
              <w:t xml:space="preserve">5.设备须具有以下无转接前置接口：≥1*Type-C、≥2*USB Type-A。前置接口需采用隐藏式设计，具有翻转式防护盖板，盖板开合角度≥90°。防护盖板打开后可抵御推拉智能实验显示区的不低于3000N的侧面撞击力，关闭后可遮挡前置接口，防止灰层进入接口。</w:t>
            </w:r>
            <w:r>
              <w:rPr>
                <w:rFonts w:hint="eastAsia" w:ascii="宋体" w:hAnsi="宋体" w:eastAsia="宋体" w:cs="宋体"/>
                <w:b/>
                <w:bCs/>
                <w:i/>
                <w:iCs/>
                <w:color w:val="auto"/>
                <w:sz w:val="21"/>
                <w:szCs w:val="21"/>
                <w:highlight w:val="none"/>
                <w:lang w:eastAsia="zh-CN"/>
              </w:rPr>
              <w:t xml:space="preserve">【提供带有CMA标识的检测报告并加供应商公章】</w:t>
            </w:r>
            <w:r/>
          </w:p>
          <w:p>
            <w:pPr>
              <w:spacing w:after="0" w:line="360" w:lineRule="auto"/>
              <w:rPr>
                <w:rFonts w:hint="eastAsia" w:ascii="宋体" w:hAnsi="宋体" w:eastAsia="宋体" w:cs="宋体"/>
                <w:b/>
                <w:bCs/>
                <w:i/>
                <w:iCs/>
                <w:color w:val="auto"/>
                <w:sz w:val="21"/>
                <w:szCs w:val="21"/>
                <w:highlight w:val="none"/>
                <w:lang w:eastAsia="zh-CN"/>
              </w:rPr>
            </w:pPr>
            <w:r>
              <w:rPr>
                <w:rFonts w:hint="eastAsia" w:ascii="宋体" w:hAnsi="宋体" w:eastAsia="宋体" w:cs="宋体"/>
                <w:color w:val="auto"/>
                <w:sz w:val="21"/>
                <w:szCs w:val="21"/>
                <w:highlight w:val="none"/>
                <w:lang w:eastAsia="zh-CN"/>
              </w:rPr>
              <w:t xml:space="preserve">▲6.设备支持本地保存、邮件分享、浏览器等主流应用扫码带走文件功能，且支持文字和图形智能识别功能；支持中英文识别。上述智能识别能力，可在断网状态下实现上述操作。</w:t>
            </w:r>
            <w:r>
              <w:rPr>
                <w:rFonts w:hint="eastAsia" w:ascii="宋体" w:hAnsi="宋体" w:eastAsia="宋体" w:cs="宋体"/>
                <w:b/>
                <w:bCs/>
                <w:i/>
                <w:iCs/>
                <w:color w:val="auto"/>
                <w:sz w:val="21"/>
                <w:szCs w:val="21"/>
                <w:highlight w:val="none"/>
                <w:lang w:eastAsia="zh-CN"/>
              </w:rPr>
              <w:t xml:space="preserve">【提供带有CMA标识的检测报告并加供应商公章】</w:t>
            </w:r>
            <w:r/>
          </w:p>
          <w:p>
            <w:pPr>
              <w:spacing w:after="0" w:line="360" w:lineRule="auto"/>
              <w:rPr>
                <w:rFonts w:hint="eastAsia" w:ascii="宋体" w:hAnsi="宋体" w:eastAsia="宋体" w:cs="宋体"/>
                <w:b/>
                <w:bCs/>
                <w:i/>
                <w:iCs/>
                <w:color w:val="auto"/>
                <w:sz w:val="21"/>
                <w:szCs w:val="21"/>
                <w:highlight w:val="none"/>
                <w:lang w:eastAsia="zh-CN"/>
              </w:rPr>
            </w:pPr>
            <w:r>
              <w:rPr>
                <w:rFonts w:hint="eastAsia" w:ascii="宋体" w:hAnsi="宋体" w:eastAsia="宋体" w:cs="宋体"/>
                <w:color w:val="auto"/>
                <w:sz w:val="21"/>
                <w:szCs w:val="21"/>
                <w:highlight w:val="none"/>
                <w:lang w:eastAsia="zh-CN"/>
              </w:rPr>
              <w:t xml:space="preserve">▲7.无需使用教学软件的情况下，可实现设备内容镜像到手机或平板的小屏，小屏可控制设备的设置、返回首页操作，方便实验实训。</w:t>
            </w:r>
            <w:r>
              <w:rPr>
                <w:rFonts w:hint="eastAsia" w:ascii="宋体" w:hAnsi="宋体" w:eastAsia="宋体" w:cs="宋体"/>
                <w:b/>
                <w:bCs/>
                <w:i/>
                <w:iCs/>
                <w:color w:val="auto"/>
                <w:sz w:val="21"/>
                <w:szCs w:val="21"/>
                <w:highlight w:val="none"/>
                <w:lang w:eastAsia="zh-CN"/>
              </w:rPr>
              <w:t xml:space="preserve">【提供带有CMA标识的检测报告并加供应商公章】</w:t>
            </w:r>
            <w:r/>
          </w:p>
          <w:p>
            <w:pPr>
              <w:spacing w:after="0" w:line="360" w:lineRule="auto"/>
              <w:rPr>
                <w:rFonts w:hint="eastAsia" w:ascii="宋体" w:hAnsi="宋体" w:eastAsia="宋体" w:cs="宋体"/>
                <w:b/>
                <w:bCs/>
                <w:i/>
                <w:iCs/>
                <w:color w:val="auto"/>
                <w:sz w:val="21"/>
                <w:szCs w:val="21"/>
                <w:highlight w:val="none"/>
                <w:lang w:eastAsia="zh-CN"/>
              </w:rPr>
            </w:pPr>
            <w:r>
              <w:rPr>
                <w:rFonts w:hint="eastAsia" w:ascii="宋体" w:hAnsi="宋体" w:eastAsia="宋体" w:cs="宋体"/>
                <w:color w:val="auto"/>
                <w:sz w:val="21"/>
                <w:szCs w:val="21"/>
                <w:highlight w:val="none"/>
                <w:lang w:eastAsia="zh-CN"/>
              </w:rPr>
              <w:t xml:space="preserve">▲8.支持通过常用会议软件进行实验远程互动。</w:t>
            </w:r>
            <w:r>
              <w:rPr>
                <w:rFonts w:hint="eastAsia" w:ascii="宋体" w:hAnsi="宋体" w:eastAsia="宋体" w:cs="宋体"/>
                <w:b/>
                <w:bCs/>
                <w:i/>
                <w:iCs/>
                <w:color w:val="auto"/>
                <w:sz w:val="21"/>
                <w:szCs w:val="21"/>
                <w:highlight w:val="none"/>
                <w:lang w:eastAsia="zh-CN"/>
              </w:rPr>
              <w:t xml:space="preserve">【提供带有CMA标识的检测报告并加供应商公章】</w:t>
            </w:r>
            <w:r/>
          </w:p>
          <w:p>
            <w:pPr>
              <w:spacing w:after="0" w:line="360" w:lineRule="auto"/>
              <w:rPr>
                <w:rFonts w:hint="eastAsia" w:ascii="宋体" w:hAnsi="宋体" w:eastAsia="宋体" w:cs="宋体"/>
                <w:b/>
                <w:bCs/>
                <w:i/>
                <w:iCs/>
                <w:color w:val="auto"/>
                <w:sz w:val="21"/>
                <w:szCs w:val="21"/>
                <w:highlight w:val="none"/>
                <w:lang w:eastAsia="zh-CN"/>
              </w:rPr>
            </w:pPr>
            <w:r>
              <w:rPr>
                <w:rFonts w:hint="eastAsia" w:ascii="宋体" w:hAnsi="宋体" w:eastAsia="宋体" w:cs="宋体"/>
                <w:color w:val="auto"/>
                <w:sz w:val="21"/>
                <w:szCs w:val="21"/>
                <w:highlight w:val="none"/>
                <w:lang w:eastAsia="zh-CN"/>
              </w:rPr>
              <w:t xml:space="preserve">▲9.设备配置国产系统，内存≥8GB且硬盘≥128GB，可实现系统中常用的教学应用功能，支持系统在线升级。</w:t>
            </w:r>
            <w:r>
              <w:rPr>
                <w:rFonts w:hint="eastAsia" w:ascii="宋体" w:hAnsi="宋体" w:eastAsia="宋体" w:cs="宋体"/>
                <w:b/>
                <w:bCs/>
                <w:i/>
                <w:iCs/>
                <w:color w:val="auto"/>
                <w:sz w:val="21"/>
                <w:szCs w:val="21"/>
                <w:highlight w:val="none"/>
                <w:lang w:eastAsia="zh-CN"/>
              </w:rPr>
              <w:t xml:space="preserve">【提供带有CMA标识的检测报告和内存、硬盘参数界面的整机照片并加盖供应商公章】</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10.侧置须具有以下无转接接口：≥2*HDMI IN、≥1*HDMI OUT、≥1*MIC IN、≥1路MIC OUT、≥1*RJ45、≥1*控制串口（须支持RS232控制协议）、≥3*USB Type-A、≥1*USB Type-B。</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配件：电子交互实训看板</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color w:val="auto"/>
                <w:sz w:val="21"/>
                <w:szCs w:val="21"/>
                <w:highlight w:val="none"/>
                <w:lang w:eastAsia="zh-CN"/>
              </w:rPr>
              <w:t xml:space="preserve">1套，移动支架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color w:val="auto"/>
                <w:sz w:val="21"/>
                <w:szCs w:val="21"/>
                <w:highlight w:val="none"/>
                <w:lang w:eastAsia="zh-CN"/>
              </w:rPr>
              <w:t xml:space="preserve">2套，要求如下：</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电子交互实训看板</w:t>
            </w:r>
            <w:r>
              <w:rPr>
                <w:rFonts w:hint="eastAsia" w:ascii="宋体" w:hAnsi="宋体" w:eastAsia="宋体" w:cs="宋体"/>
                <w:color w:val="auto"/>
                <w:sz w:val="21"/>
                <w:szCs w:val="21"/>
                <w:highlight w:val="none"/>
                <w:lang w:eastAsia="zh-CN"/>
              </w:rPr>
              <w:t xml:space="preserve">：</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1.采用ABA结构，在实训软件在后台运行时，在显示区记录任意内容，显示设备可以同时进行交互式操作。</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▲2.记录模式：互联智能实验显示区实训软件可以设置≥</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2种记录模式，模式一支持一块实验显示区记录为一页页面，模式二支持实验显示区同时操作时在显示端同时显示。</w:t>
            </w:r>
            <w:r>
              <w:rPr>
                <w:rFonts w:hint="eastAsia" w:ascii="宋体" w:hAnsi="宋体" w:eastAsia="宋体" w:cs="宋体"/>
                <w:b/>
                <w:bCs/>
                <w:i/>
                <w:iCs/>
                <w:color w:val="auto"/>
                <w:sz w:val="21"/>
                <w:szCs w:val="21"/>
                <w:highlight w:val="none"/>
                <w:lang w:eastAsia="zh-CN"/>
              </w:rPr>
              <w:t xml:space="preserve">【提供CMA标识的检测报告】</w:t>
            </w:r>
            <w:r>
              <w:rPr>
                <w:rFonts w:hint="eastAsia" w:ascii="宋体" w:hAnsi="宋体" w:eastAsia="宋体" w:cs="宋体"/>
                <w:color w:val="auto"/>
                <w:sz w:val="21"/>
                <w:szCs w:val="21"/>
                <w:highlight w:val="none"/>
                <w:lang w:eastAsia="zh-CN"/>
              </w:rPr>
              <w:t xml:space="preserve">。</w:t>
            </w:r>
            <w:r/>
          </w:p>
          <w:p>
            <w:pPr>
              <w:spacing w:after="0" w:line="360" w:lineRule="auto"/>
              <w:rPr>
                <w:rFonts w:hint="eastAsia" w:ascii="宋体" w:hAnsi="宋体" w:eastAsia="宋体" w:cs="宋体"/>
                <w:b/>
                <w:bCs/>
                <w:i/>
                <w:iCs/>
                <w:color w:val="auto"/>
                <w:sz w:val="21"/>
                <w:szCs w:val="21"/>
                <w:highlight w:val="none"/>
                <w:lang w:eastAsia="zh-CN"/>
              </w:rPr>
            </w:pPr>
            <w:r>
              <w:rPr>
                <w:rFonts w:hint="eastAsia" w:ascii="宋体" w:hAnsi="宋体" w:eastAsia="宋体" w:cs="宋体"/>
                <w:color w:val="auto"/>
                <w:sz w:val="21"/>
                <w:szCs w:val="21"/>
                <w:highlight w:val="none"/>
                <w:lang w:eastAsia="zh-CN"/>
              </w:rPr>
              <w:t xml:space="preserve">3.比例设置：支持16:9/4:3或自定义模式。</w:t>
            </w:r>
            <w:r>
              <w:rPr>
                <w:rFonts w:hint="eastAsia" w:ascii="宋体" w:hAnsi="宋体" w:eastAsia="宋体" w:cs="宋体"/>
                <w:b/>
                <w:bCs/>
                <w:i/>
                <w:iCs/>
                <w:color w:val="auto"/>
                <w:sz w:val="21"/>
                <w:szCs w:val="21"/>
                <w:highlight w:val="none"/>
                <w:lang w:eastAsia="zh-CN"/>
              </w:rPr>
              <w:t xml:space="preserve">【提供CMA标识的检测报告】</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移动支架：</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搭配86寸鸿蒙智能实训终端使用</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产品重量≤</w:t>
            </w:r>
            <w:r>
              <w:rPr>
                <w:rFonts w:hint="eastAsia" w:ascii="宋体" w:hAnsi="宋体" w:eastAsia="宋体" w:cs="宋体"/>
                <w:color w:val="auto"/>
                <w:sz w:val="21"/>
                <w:szCs w:val="21"/>
                <w:highlight w:val="none"/>
                <w:lang w:eastAsia="zh-CN"/>
              </w:rPr>
              <w:t xml:space="preserve">95kg</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产品尺寸：1320*760*1500mm</w:t>
            </w:r>
            <w:r/>
          </w:p>
        </w:tc>
        <w:tc>
          <w:tcPr>
            <w:shd w:val="clear" w:color="auto" w:fill="ffffff"/>
            <w:tcBorders>
              <w:top w:val="single" w:color="auto" w:sz="4" w:space="0"/>
              <w:left w:val="single" w:color="auto" w:sz="4" w:space="0"/>
              <w:bottom w:val="single" w:color="auto" w:sz="4" w:space="0"/>
              <w:right w:val="single" w:color="auto" w:sz="4" w:space="0"/>
            </w:tcBorders>
            <w:tcW w:w="293"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gridSpan w:val="2"/>
            <w:shd w:val="clear" w:color="auto" w:fill="ffffff"/>
            <w:tcBorders>
              <w:top w:val="single" w:color="auto" w:sz="4" w:space="0"/>
              <w:left w:val="single" w:color="auto" w:sz="4" w:space="0"/>
              <w:bottom w:val="single" w:color="auto" w:sz="4" w:space="0"/>
              <w:right w:val="single" w:color="auto" w:sz="4" w:space="0"/>
            </w:tcBorders>
            <w:tcW w:w="230"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r>
      <w:tr>
        <w:trPr>
          <w:jc w:val="center"/>
          <w:trHeight w:val="300"/>
        </w:trPr>
        <w:tc>
          <w:tcPr>
            <w:shd w:val="clear" w:color="auto" w:fill="ffffff"/>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教学实训平台-基础模块</w:t>
            </w:r>
            <w:r/>
          </w:p>
        </w:tc>
        <w:tc>
          <w:tcPr>
            <w:shd w:val="clear" w:color="auto" w:fill="ffffff"/>
            <w:tcBorders>
              <w:top w:val="single" w:color="auto" w:sz="4" w:space="0"/>
              <w:left w:val="single" w:color="auto" w:sz="4" w:space="0"/>
              <w:bottom w:val="single" w:color="auto" w:sz="4" w:space="0"/>
              <w:right w:val="single" w:color="auto" w:sz="4" w:space="0"/>
            </w:tcBorders>
            <w:tcW w:w="3427" w:type="pct"/>
            <w:vAlign w:val="center"/>
            <w:textDirection w:val="lrTb"/>
            <w:noWrap w:val="false"/>
          </w:tcPr>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一、平台架构</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1.整体架构为B/S架构，基于微服务架构进行部署，支持Chrome等浏览器用户端访问。系统并发用户数≥100。</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2.平台能够通过建立多个资源库和一系列微服务对平台资源进行分类管理，并通过调用微服务的接口，以及不同的整合方式，以服务的形式展现给用户。</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二、用户管理</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1.支持管理员创建、删除、修改、查询学员账号，账号信息包含账号、姓名、学号/工号、组织信息、手机号、邮箱、备注说明等。</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2.支持教师批量导入学员账号，批量重置学员账号密码。</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3.支持管理员创建、删除、修改、查询组织，并将学员加入到组织，可以通过组织对学员进行快速管理，最多可创建5级子组织。</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4.支持创建组织结构，通过组织对学员进行快速管理，最多可创建5级子组织。</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5.支持管理员创建、删除、修改、查询管理员、教师账号，账号信息包含账号、姓名、学号/工号、角色、管理范围（组织）、手机号、邮箱、备注说明等。</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三、资源管理</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1.支持创建和管理：物理设备、模拟器、云实验、实验箱4类实验所需的实验资源</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2.支持监控实验环境（容器或虚拟机），包括实验环境规格、实验环境模板、开始时间、实验时长、实验名称、关联账号等，并支持管理员强制下线实验环境。</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3.支持技术方向管理，并将实验资源关联到技术方向。</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四、系统设置</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1.支持对平台进行基础设置，包括首次登录是否强制修改密码、可登录次数、账号锁定时间、验证码有效期、账号有效期、账号初始密码等。</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2.支持配置账号弱口令，学员及教师无法将账号密码设置为弱口令。</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3.支持自定义网站消息，包括Logo、网站名称、网站介绍、版权信息等。</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五、日志管理</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1.支持查询系统操作日志，包括操作名称、危险级别、操作员、时间、模块、操作对象、IP、结果、详情等。</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六、学员管理</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1.支持教师创建、删除、修改、查询学员账号，账号信息包含账号、姓名、学号/工号、组织信息、手机号、邮箱、备注说明等。</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2.支持教师批量导入学员账号，批量重置学员账号密码。</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七、班级管理</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1.支持教师创建、编辑、预览、发布、查询、删除班级，班级中支持配置教师和学员，以及配置班级的标准实验、自主实验、课程、云账号等资源。</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八、课程管理</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1.支持创建、编辑、预览、发布、复制、删除课程，课程可按卡片式和列表式进行切换呈现。</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2.支持对课程名称、课程学时、课程简介、课程目标、课程封面、目标学员等基本信息的编辑；支持章/节/小节3级课程目录结构，支持对课程目录进行修改与调序。</w:t>
            </w:r>
            <w:r/>
          </w:p>
          <w:p>
            <w:pPr>
              <w:spacing w:after="0" w:line="360" w:lineRule="auto"/>
              <w:rPr>
                <w:rFonts w:hint="eastAsia" w:ascii="宋体" w:hAnsi="宋体" w:eastAsia="宋体" w:cs="宋体"/>
                <w:b/>
                <w:bCs/>
                <w:i/>
                <w:iCs/>
                <w:color w:val="auto"/>
                <w:sz w:val="21"/>
                <w:szCs w:val="21"/>
                <w:highlight w:val="none"/>
                <w:lang w:eastAsia="zh-CN"/>
              </w:rPr>
            </w:pPr>
            <w:r>
              <w:rPr>
                <w:rFonts w:hint="eastAsia" w:ascii="宋体" w:hAnsi="宋体" w:eastAsia="宋体" w:cs="宋体"/>
                <w:color w:val="auto"/>
                <w:sz w:val="21"/>
                <w:szCs w:val="21"/>
                <w:highlight w:val="none"/>
                <w:lang w:eastAsia="zh-CN"/>
              </w:rPr>
              <w:t xml:space="preserve">3.支持课程创建添加图文、视频、实验、测一测等内容；支持不同的课程章节自定义不同的创课效果。</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4.支持创建、编辑、删除课程库，支持通过课程库对课程进行分类管理。</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九、课程素材</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1.支持上传ppt、pdf、mp4、doc、excel等格式的课程素材；支持编辑、修改课程素材名称。</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2.支持创建、编辑、删除素材库。</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3.支持素材上传时选择不同素材库，通过素材库对课程素材进行分类管理。</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十、实验管理</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1.支持创建、预览、发布、删除实验，支持按照实验名称、技术方向、实验类型、实验环境等检索实验。</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▲2.支持物理设备、模拟器、云实验、实验箱4种类型实验的创建与管理。</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▲3.支持不同类型实验启动不同实验环境及调取实验数据。</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4.支持创建标准实验，标准实验包含实验手册，学员根据实验手册指导完成实验。</w:t>
            </w:r>
            <w:r/>
          </w:p>
          <w:p>
            <w:pPr>
              <w:spacing w:after="0" w:line="360" w:lineRule="auto"/>
              <w:rPr>
                <w:rFonts w:hint="eastAsia" w:ascii="宋体" w:hAnsi="宋体" w:eastAsia="宋体" w:cs="宋体"/>
                <w:b/>
                <w:bCs/>
                <w:i/>
                <w:iCs/>
                <w:color w:val="auto"/>
                <w:sz w:val="21"/>
                <w:szCs w:val="21"/>
                <w:highlight w:val="none"/>
                <w:lang w:eastAsia="zh-CN"/>
              </w:rPr>
            </w:pPr>
            <w:r>
              <w:rPr>
                <w:rFonts w:hint="eastAsia" w:ascii="宋体" w:hAnsi="宋体" w:eastAsia="宋体" w:cs="宋体"/>
                <w:color w:val="auto"/>
                <w:sz w:val="21"/>
                <w:szCs w:val="21"/>
                <w:highlight w:val="none"/>
                <w:lang w:eastAsia="zh-CN"/>
              </w:rPr>
              <w:t xml:space="preserve">▲5.支持创建自主实验，自主实验不含实验手册，学员可以脱离实验手册，并自定义实验环境进行自主实验，培养学员实践探究能力。</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b/>
                <w:bCs/>
                <w:i/>
                <w:iCs/>
                <w:color w:val="auto"/>
                <w:sz w:val="21"/>
                <w:szCs w:val="21"/>
                <w:highlight w:val="none"/>
                <w:lang w:eastAsia="zh-CN"/>
              </w:rPr>
            </w:pPr>
            <w:r>
              <w:rPr>
                <w:rFonts w:hint="eastAsia" w:ascii="宋体" w:hAnsi="宋体" w:eastAsia="宋体" w:cs="宋体"/>
                <w:color w:val="auto"/>
                <w:sz w:val="21"/>
                <w:szCs w:val="21"/>
                <w:highlight w:val="none"/>
                <w:lang w:eastAsia="zh-CN"/>
              </w:rPr>
              <w:t xml:space="preserve">6.支持实验过程中，学员通过截屏和输入笔记生成实验报告。</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7.支持实验结束，教师查看全部实验报告，并给实验报告评分。</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十一、实验素材</w:t>
            </w:r>
            <w:r/>
          </w:p>
          <w:p>
            <w:pPr>
              <w:spacing w:after="0" w:line="360" w:lineRule="auto"/>
              <w:rPr>
                <w:rFonts w:hint="eastAsia" w:ascii="宋体" w:hAnsi="宋体" w:eastAsia="宋体" w:cs="宋体"/>
                <w:b/>
                <w:bCs/>
                <w:i/>
                <w:iCs/>
                <w:color w:val="auto"/>
                <w:sz w:val="21"/>
                <w:szCs w:val="21"/>
                <w:highlight w:val="none"/>
                <w:lang w:eastAsia="zh-CN"/>
              </w:rPr>
            </w:pPr>
            <w:r>
              <w:rPr>
                <w:rFonts w:hint="eastAsia" w:ascii="宋体" w:hAnsi="宋体" w:eastAsia="宋体" w:cs="宋体"/>
                <w:color w:val="auto"/>
                <w:sz w:val="21"/>
                <w:szCs w:val="21"/>
                <w:highlight w:val="none"/>
                <w:lang w:eastAsia="zh-CN"/>
              </w:rPr>
              <w:t xml:space="preserve">1.支持在线创建实验手册，支持导入本地实验手册，实验手册支持Markdown和PDF两种格式。</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2.支持本地导入实验视频和资料，支持pdf、mp4、zip等格式；支持在线修改实验素材名称。</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十二、知识点管理</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1.支持创建、删除、修改、查询知识点。</w:t>
            </w:r>
            <w:r/>
          </w:p>
          <w:p>
            <w:pPr>
              <w:spacing w:after="0" w:line="360" w:lineRule="auto"/>
              <w:rPr>
                <w:rFonts w:hint="eastAsia" w:ascii="宋体" w:hAnsi="宋体" w:eastAsia="宋体" w:cs="宋体"/>
                <w:b/>
                <w:bCs/>
                <w:i/>
                <w:iCs/>
                <w:color w:val="auto"/>
                <w:sz w:val="21"/>
                <w:szCs w:val="21"/>
                <w:highlight w:val="none"/>
                <w:lang w:eastAsia="zh-CN"/>
              </w:rPr>
            </w:pPr>
            <w:r>
              <w:rPr>
                <w:rFonts w:hint="eastAsia" w:ascii="宋体" w:hAnsi="宋体" w:eastAsia="宋体" w:cs="宋体"/>
                <w:color w:val="auto"/>
                <w:sz w:val="21"/>
                <w:szCs w:val="21"/>
                <w:highlight w:val="none"/>
                <w:lang w:eastAsia="zh-CN"/>
              </w:rPr>
              <w:t xml:space="preserve">2.支持将知识点和题目进行关联。</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十三、题目管理</w:t>
            </w:r>
            <w:r/>
          </w:p>
          <w:p>
            <w:pPr>
              <w:spacing w:after="0" w:line="360" w:lineRule="auto"/>
              <w:rPr>
                <w:rFonts w:hint="eastAsia" w:ascii="宋体" w:hAnsi="宋体" w:eastAsia="宋体" w:cs="宋体"/>
                <w:b/>
                <w:bCs/>
                <w:i/>
                <w:iCs/>
                <w:color w:val="auto"/>
                <w:sz w:val="21"/>
                <w:szCs w:val="21"/>
                <w:highlight w:val="none"/>
                <w:lang w:eastAsia="zh-CN"/>
              </w:rPr>
            </w:pPr>
            <w:r>
              <w:rPr>
                <w:rFonts w:hint="eastAsia" w:ascii="宋体" w:hAnsi="宋体" w:eastAsia="宋体" w:cs="宋体"/>
                <w:color w:val="auto"/>
                <w:sz w:val="21"/>
                <w:szCs w:val="21"/>
                <w:highlight w:val="none"/>
                <w:lang w:eastAsia="zh-CN"/>
              </w:rPr>
              <w:t xml:space="preserve">1.支持创建、删除、修改、预览题目，支持单选题、多选题、判断题、填空题、主观题5种题型，题目支持设置默认分值、关联知识点、正确答案、答案解析等。</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2.支持创建、修改、删除、移动试题库，支持通过题库对题目进行归类管理。</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3.支持在组卷时通过题库快速筛选定位试题，高效组卷。</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理论试卷管理</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4.支持创建、编辑、预览、复制和删除理论试卷；支持根据试卷名称、组卷类型、创建人等信息检索试卷。</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▲5.支持锁定考试编辑权限，锁定后，仅创建者可编辑修改试卷。</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6.支持创建、修改、删除、移动理论试卷库，支持通过试卷库对试卷进行归类管理。</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7.支持在创建理论考试时，通过试卷库筛选定位试卷，快速关联试卷。</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8.支持固定组卷，教师从题库中人工挑选题目组成试卷。</w:t>
            </w:r>
            <w:r/>
          </w:p>
          <w:p>
            <w:pPr>
              <w:spacing w:after="0" w:line="360" w:lineRule="auto"/>
              <w:rPr>
                <w:rFonts w:hint="eastAsia" w:ascii="宋体" w:hAnsi="宋体" w:eastAsia="宋体" w:cs="宋体"/>
                <w:b/>
                <w:bCs/>
                <w:i/>
                <w:iCs/>
                <w:color w:val="auto"/>
                <w:sz w:val="21"/>
                <w:szCs w:val="21"/>
                <w:highlight w:val="none"/>
                <w:lang w:eastAsia="zh-CN"/>
              </w:rPr>
            </w:pPr>
            <w:r>
              <w:rPr>
                <w:rFonts w:hint="eastAsia" w:ascii="宋体" w:hAnsi="宋体" w:eastAsia="宋体" w:cs="宋体"/>
                <w:color w:val="auto"/>
                <w:sz w:val="21"/>
                <w:szCs w:val="21"/>
                <w:highlight w:val="none"/>
                <w:lang w:eastAsia="zh-CN"/>
              </w:rPr>
              <w:t xml:space="preserve">9.支持随机组卷，系统根据设置的题库、难度、知识点等规则，从题库中自动挑选题目组成试卷，包括分库抽题和多库混合式抽题两种模式。</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10.支持灵活设置计分规则、题目顺序、及格分等。</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十四、实验试卷管理</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1.支持创建、编辑、预览、复制和删除实验试卷；支持根据试卷名称、技术方向检索试卷。</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2.支持锁定实验试卷编辑权限，锁定后，仅创建者可编辑修改实验试卷。</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3.支持创建、修改、删除、移动实验试卷库，支持通过试卷库对试卷进行归类管理。</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4.支持两种实验试卷创建模式：富文本编辑模式和上传PDF文件模式。</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十五、理论考试管理</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1.支持教师创建理论考试，可对考试名称、考试封面、考试简介、考试时间、考试时长、考试次数以及考试策略等进行设置。</w:t>
            </w:r>
            <w:r/>
          </w:p>
          <w:p>
            <w:pPr>
              <w:spacing w:after="0" w:line="360" w:lineRule="auto"/>
              <w:rPr>
                <w:rFonts w:hint="eastAsia" w:ascii="宋体" w:hAnsi="宋体" w:eastAsia="宋体" w:cs="宋体"/>
                <w:b/>
                <w:bCs/>
                <w:i/>
                <w:iCs/>
                <w:color w:val="auto"/>
                <w:sz w:val="21"/>
                <w:szCs w:val="21"/>
                <w:highlight w:val="none"/>
                <w:lang w:eastAsia="zh-CN"/>
              </w:rPr>
            </w:pPr>
            <w:r>
              <w:rPr>
                <w:rFonts w:hint="eastAsia" w:ascii="宋体" w:hAnsi="宋体" w:eastAsia="宋体" w:cs="宋体"/>
                <w:color w:val="auto"/>
                <w:sz w:val="21"/>
                <w:szCs w:val="21"/>
                <w:highlight w:val="none"/>
                <w:lang w:eastAsia="zh-CN"/>
              </w:rPr>
              <w:t xml:space="preserve">▲2.支持创建理论考试时关联单份试卷或多份试卷，可进行标准化考试或A/B卷考试，满足不同考试场景需求。</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3.支持教师设置考试防作弊措施，防作弊规则包括：题目乱序、答案乱序；支持内容不可复制、禁止使用F12，支持防切屏，支持设置最多允许切屏次数。</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4.支持教师设置是否允许考生查看考试成绩、答题结果、答案解析等。</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5.支持教师查看理论考试列表，可按照考试名称、发布状态、考试有效期等信息进行检索。</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6.支持教师对考试进行批阅，可查看已交卷学员基本信息及历次考试记录，批阅结果系统自动核算；支持重新批阅。</w:t>
            </w:r>
            <w:r/>
          </w:p>
          <w:p>
            <w:pPr>
              <w:spacing w:after="0" w:line="360" w:lineRule="auto"/>
              <w:rPr>
                <w:rFonts w:hint="eastAsia" w:ascii="宋体" w:hAnsi="宋体" w:eastAsia="宋体" w:cs="宋体"/>
                <w:b/>
                <w:bCs/>
                <w:i/>
                <w:iCs/>
                <w:color w:val="auto"/>
                <w:sz w:val="21"/>
                <w:szCs w:val="21"/>
                <w:highlight w:val="none"/>
                <w:lang w:eastAsia="zh-CN"/>
              </w:rPr>
            </w:pPr>
            <w:r>
              <w:rPr>
                <w:rFonts w:hint="eastAsia" w:ascii="宋体" w:hAnsi="宋体" w:eastAsia="宋体" w:cs="宋体"/>
                <w:color w:val="auto"/>
                <w:sz w:val="21"/>
                <w:szCs w:val="21"/>
                <w:highlight w:val="none"/>
                <w:lang w:eastAsia="zh-CN"/>
              </w:rPr>
              <w:t xml:space="preserve">7.支持教师查看班级整体考试情况，包括应考人数、实考人数、参考率、及格率、最高分、最低分、平均分、平均次数、平均时长等信息；支持导出统计结果。</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8.支持教师查看班级所有考生成绩详情，包括学员姓名、最高成绩、平均成绩、最近三次考试成绩；支持导出统计结果。</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▲9.支持教师查看班级习题统计，包括每一道试题答题人次、正确人次、正确率以及答题详情；支持导出统计结果。</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10.支持学生参加考试、查看考试结果、查看答案解析；支持系统自动评分。</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11.支持考试倒计时功能，考生可提前交卷，也可以计时结束后自动交卷。</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12.支持考试过程中开启全程防作弊：多次切屏后自动交卷，使用复制、F12按键时自动失效。</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13.支持考试过程中，考生通过答题卡快速定位试题；系统支持显示当前已答、未答和存疑题数。</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十六、实验考试管理</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1.支持教师创建实验考试，可对考试名称、考试封面、编辑权限、考试简介、考试时间、考试时长、考试次数以及考试成绩等进行自定义设置。</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2.支持为实验考试配置实验资源：含容器、虚拟机实验环境，及其关联的实验资源。</w:t>
            </w:r>
            <w:r/>
          </w:p>
          <w:p>
            <w:pPr>
              <w:spacing w:after="0" w:line="360" w:lineRule="auto"/>
              <w:rPr>
                <w:rFonts w:hint="eastAsia" w:ascii="宋体" w:hAnsi="宋体" w:eastAsia="宋体" w:cs="宋体"/>
                <w:b/>
                <w:bCs/>
                <w:i/>
                <w:iCs/>
                <w:color w:val="auto"/>
                <w:sz w:val="21"/>
                <w:szCs w:val="21"/>
                <w:highlight w:val="none"/>
                <w:lang w:eastAsia="zh-CN"/>
              </w:rPr>
            </w:pPr>
            <w:r>
              <w:rPr>
                <w:rFonts w:hint="eastAsia" w:ascii="宋体" w:hAnsi="宋体" w:eastAsia="宋体" w:cs="宋体"/>
                <w:color w:val="auto"/>
                <w:sz w:val="21"/>
                <w:szCs w:val="21"/>
                <w:highlight w:val="none"/>
                <w:lang w:eastAsia="zh-CN"/>
              </w:rPr>
              <w:t xml:space="preserve">3.支持创建实验考试时，关联1份或多份试卷，以进行标准化考试或A/B卷考试，满足不同考试场景。</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4.支持教师设置考试结果是否显示成绩。</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5.支持教师查看实验考试列表，可按照考试名称、技术方向、发布状态等信息进行检索。</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6.支持教师查看班级整体考试情况，包括班级应考人数、实考人数、参考率、及格率、最高分、最低分、平均分、实验平均时长等信息；支持导出统计结果。</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7.支持教师查看班级所有考生成绩详情，包括学员姓名、最佳成绩、平均成绩、最近三次考试成绩；支持导出统计结果。</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b/>
                <w:bCs/>
                <w:i/>
                <w:iCs/>
                <w:color w:val="auto"/>
                <w:sz w:val="21"/>
                <w:szCs w:val="21"/>
                <w:highlight w:val="none"/>
                <w:lang w:eastAsia="zh-CN"/>
              </w:rPr>
            </w:pPr>
            <w:r>
              <w:rPr>
                <w:rFonts w:hint="eastAsia" w:ascii="宋体" w:hAnsi="宋体" w:eastAsia="宋体" w:cs="宋体"/>
                <w:color w:val="auto"/>
                <w:sz w:val="21"/>
                <w:szCs w:val="21"/>
                <w:highlight w:val="none"/>
                <w:lang w:eastAsia="zh-CN"/>
              </w:rPr>
              <w:t xml:space="preserve">▲8.支持教师根据考试查看考生成绩详情，包括学员姓名、账号、班级、已考次数、最高分、总分、考试结果、考试状态等信息；支持按学员姓名、账号、班级检索。</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9.支持实验考试倒计时功能，考生可提前交卷，也可以计时结束后自动交卷。</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10.支持在实验考试过程中，考生通过实验菜单快速定位试题。</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十七、作业管理</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1.支持课前课后作业设置，包括作业创建、预览、编辑、复制、发布、删除及关联课程等操作；支持编辑作业名称及封面、关联试卷，设置作业时间和作答次数。</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2.支持教师查看作业列表，可按照作业名称、发布状态、作业有效期等信息进行检索。</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3.支持教师对作业进行批阅，可查看已交卷学员基本信息及历次作业记录，批阅结果系统自动核算；支持重新批阅。</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4.支持教师查看学员作业统计，包括班级学员成绩详情和试题统计详情。</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5.支持教师查看学员作业累计成绩、最高分、平均分，以综合评估学员课业完成情况。</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6.支持学生查看作业列表并在线答题，查看作业记录，包括作答提交时间、答题时长、得分、通过情况等；支持多次作答。</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十八、证书管理</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▲1.支持设置证书信息和发放规则，学员按要求完成学习或考试，可自动获得结课或结业证书。</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2.支持创建、编辑、预览、发布、删除、撤销、管理证书。</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3.支持查看班级学员获证情况与学习进度，可一键导出报表。</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4.支持自动生成发证记录：可查看学员证书领取历史信息，包括账号、班级、认证名称、认证状态、获证时间等，可一键导出报表。</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5.支持批量下载电子证书，支持单次下载多张证书。</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十九、课程教学</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1.支持教学前台显示班级已关联的课程，包括课程封面、课程名称、课程简介、课程章节数等信息；从课程卡片可进入课程详情页；支持通过名称对课程进行搜索。</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2.支持课程详情页展示课程名称、课程封面、课程目录、学习进度、关联资源统计等；</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3.支持以目录树形式展示课程章节，支持章节目录展开与收起；支持展示课程章节已关联的课件类型：文档、视频、实验、图文、测验。</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4.支持自动保存并展示课程进度，各章节学习进度实时更新，下次进入自动定位进入教学进度。</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5.支持在教学过程中，依照创课模式不同章节采用不同教学方法（如演示法教学，情境式教学），增强教学和课堂互动效果。</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6.支持在课程学习界面查看、发布和回复问答，添加、修改笔记，并支持上传图片。</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7.支持对章节关联的测验在线作答，提交后反馈作答结果。</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二十、实验教学</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1.支持教学前台显示班级已关联的实验，包括实验名称、实验简介、实验类型及难度、实验时长等信息；从实验卡片可进入实验操作界面；支持通过名称对实验进行搜索。</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2.支持在实验界面查看实验手册、实验资料、实验视频等信息；支持指导书界面展开和收起；在实验操作区可查看实验拓扑图、切换实验桌面等。</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3.支持学员提交实验报告，实验报告可多次提交。</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4.支持实验计时，手动结束实验或实验计时结束后，实验界面关闭。</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▲5.支持学生查看自己的实验报告，实验记录包括：实验名称、所属课程、提交次数、批阅和通过状态、报告详情。</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6.实验页面支持桌面与字符切换、桌面全屏、复制粘贴、上传与下载文件，不同类型的实验支持不同的操作工具栏。</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二十一、学情报表</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1.支持查看学员、班级、课程、实验、题目、考试等综合统计信息。</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2.支持以图形化界面，同时查看多个班级的班级学习时长、课程学习时长、实验学习时长等数据，进行学情分析总结。</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3.支持按7天、近1月、近1年时间维度进行班级间学情对比。</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4.支持按照学习时长，查看学员排行榜、课程排行榜、实验排行榜。</w:t>
            </w:r>
            <w:r/>
          </w:p>
        </w:tc>
        <w:tc>
          <w:tcPr>
            <w:shd w:val="clear" w:color="auto" w:fill="ffffff"/>
            <w:tcBorders>
              <w:top w:val="single" w:color="auto" w:sz="4" w:space="0"/>
              <w:left w:val="single" w:color="auto" w:sz="4" w:space="0"/>
              <w:bottom w:val="single" w:color="auto" w:sz="4" w:space="0"/>
              <w:right w:val="single" w:color="auto" w:sz="4" w:space="0"/>
            </w:tcBorders>
            <w:tcW w:w="293"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gridSpan w:val="2"/>
            <w:shd w:val="clear" w:color="auto" w:fill="ffffff"/>
            <w:tcBorders>
              <w:top w:val="single" w:color="auto" w:sz="4" w:space="0"/>
              <w:left w:val="single" w:color="auto" w:sz="4" w:space="0"/>
              <w:bottom w:val="single" w:color="auto" w:sz="4" w:space="0"/>
              <w:right w:val="single" w:color="auto" w:sz="4" w:space="0"/>
            </w:tcBorders>
            <w:tcW w:w="230"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300"/>
        </w:trPr>
        <w:tc>
          <w:tcPr>
            <w:shd w:val="clear" w:color="auto" w:fill="ffffff"/>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鸿蒙操作系统实验模块</w:t>
            </w:r>
            <w:r/>
          </w:p>
        </w:tc>
        <w:tc>
          <w:tcPr>
            <w:shd w:val="clear" w:color="auto" w:fill="ffffff"/>
            <w:tcBorders>
              <w:top w:val="single" w:color="auto" w:sz="4" w:space="0"/>
              <w:left w:val="single" w:color="auto" w:sz="4" w:space="0"/>
              <w:bottom w:val="single" w:color="auto" w:sz="4" w:space="0"/>
              <w:right w:val="single" w:color="auto" w:sz="4" w:space="0"/>
            </w:tcBorders>
            <w:tcW w:w="3427" w:type="pct"/>
            <w:vAlign w:val="center"/>
            <w:textDirection w:val="lrTb"/>
            <w:noWrap w:val="false"/>
          </w:tcPr>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▲1、平台需提供分布式操作系统实验设备配套电路原理图(包含：核心开发板、环境监测扩展板、交通信号扩展板、Wi-Fi扩展板)。</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2、平台需提供原始代码下载能力。</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3、平台文档可提供实验文档缩略图预览查看、全屏查看。</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4、平台文档可提供支持文档页面滚动查看，文档页面输入页码快速查看。</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5、实验模块可提供倒计时、延时服务。</w:t>
            </w:r>
            <w:r>
              <w:rPr>
                <w:rFonts w:hint="eastAsia" w:ascii="宋体" w:hAnsi="宋体" w:eastAsia="宋体" w:cs="宋体"/>
                <w:b/>
                <w:bCs/>
                <w:i/>
                <w:iCs/>
                <w:color w:val="auto"/>
                <w:sz w:val="21"/>
                <w:szCs w:val="21"/>
                <w:highlight w:val="none"/>
                <w:lang w:eastAsia="zh-CN"/>
              </w:rPr>
              <w:t xml:space="preserve">【提供图片证明并加盖供应商公章】</w:t>
            </w:r>
            <w:r/>
          </w:p>
        </w:tc>
        <w:tc>
          <w:tcPr>
            <w:shd w:val="clear" w:color="auto" w:fill="ffffff"/>
            <w:tcBorders>
              <w:top w:val="single" w:color="auto" w:sz="4" w:space="0"/>
              <w:left w:val="single" w:color="auto" w:sz="4" w:space="0"/>
              <w:bottom w:val="single" w:color="auto" w:sz="4" w:space="0"/>
              <w:right w:val="single" w:color="auto" w:sz="4" w:space="0"/>
            </w:tcBorders>
            <w:tcW w:w="293"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gridSpan w:val="2"/>
            <w:shd w:val="clear" w:color="auto" w:fill="ffffff"/>
            <w:tcBorders>
              <w:top w:val="single" w:color="auto" w:sz="4" w:space="0"/>
              <w:left w:val="single" w:color="auto" w:sz="4" w:space="0"/>
              <w:bottom w:val="single" w:color="auto" w:sz="4" w:space="0"/>
              <w:right w:val="single" w:color="auto" w:sz="4" w:space="0"/>
            </w:tcBorders>
            <w:tcW w:w="230"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300"/>
        </w:trPr>
        <w:tc>
          <w:tcPr>
            <w:shd w:val="clear" w:color="auto" w:fill="ffffff"/>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《移动应用开发基础》课程资源</w:t>
            </w:r>
            <w:r/>
          </w:p>
        </w:tc>
        <w:tc>
          <w:tcPr>
            <w:shd w:val="clear" w:color="auto" w:fill="ffffff"/>
            <w:tcBorders>
              <w:top w:val="single" w:color="auto" w:sz="4" w:space="0"/>
              <w:left w:val="single" w:color="auto" w:sz="4" w:space="0"/>
              <w:bottom w:val="single" w:color="auto" w:sz="4" w:space="0"/>
              <w:right w:val="single" w:color="auto" w:sz="4" w:space="0"/>
            </w:tcBorders>
            <w:tcW w:w="3427" w:type="pct"/>
            <w:vAlign w:val="center"/>
            <w:textDirection w:val="lrTb"/>
            <w:noWrap w:val="false"/>
          </w:tcPr>
          <w:p>
            <w:pPr>
              <w:spacing w:after="0" w:line="360" w:lineRule="auto"/>
              <w:rPr>
                <w:rFonts w:hint="eastAsia" w:ascii="宋体" w:hAnsi="宋体" w:eastAsia="宋体" w:cs="宋体"/>
                <w:b/>
                <w:bCs/>
                <w:i/>
                <w:iCs/>
                <w:color w:val="auto"/>
                <w:sz w:val="21"/>
                <w:szCs w:val="21"/>
                <w:highlight w:val="none"/>
                <w:lang w:eastAsia="zh-CN"/>
              </w:rPr>
            </w:pPr>
            <w:r>
              <w:rPr>
                <w:rFonts w:hint="eastAsia" w:ascii="宋体" w:hAnsi="宋体" w:eastAsia="宋体" w:cs="宋体"/>
                <w:color w:val="auto"/>
                <w:sz w:val="21"/>
                <w:szCs w:val="21"/>
                <w:highlight w:val="none"/>
                <w:lang w:eastAsia="zh-CN"/>
              </w:rPr>
              <w:t xml:space="preserve">▲1、配套资源要求：本课程需配置《移动应用开发基础》课程课程大纲、理论PPT和实验手册；具体数量至少为：≥1份课程大纲，≥12份文档PPT，≥650页ppt内容，≥12个实验，≥60个课时包含≥30个理论课时和≥30个实验课时；该课程配套的相关资源支持在平台上进行查看。</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2、知识点要求：鸿蒙应用基础开发概述、开发工具介绍、ArkTS程序设计、ArkTS声明式开发、ArkTS语言、应用模型、综合实践。</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3、课程大纲：</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一、概述</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基础课程概述</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开发环境搭建</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二、开发工具介绍</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DevEco Studio介绍</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三、ArkTS程序设计</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基本语法（一）</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基本语法（二）</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面向对象编程（一）</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面向对象编程（二）</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数据结构</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ArkTS算法</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三、ArkTS声明式开发</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状态管理</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渲染控制</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UI开发（一）</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UI开发（二）</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自定义组件</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四、ArkTS语言</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基础类库</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五、应用模型</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Stage模型</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六、综合实践</w:t>
            </w:r>
            <w:r/>
          </w:p>
        </w:tc>
        <w:tc>
          <w:tcPr>
            <w:shd w:val="clear" w:color="auto" w:fill="ffffff"/>
            <w:tcBorders>
              <w:top w:val="single" w:color="auto" w:sz="4" w:space="0"/>
              <w:left w:val="single" w:color="auto" w:sz="4" w:space="0"/>
              <w:bottom w:val="single" w:color="auto" w:sz="4" w:space="0"/>
              <w:right w:val="single" w:color="auto" w:sz="4" w:space="0"/>
            </w:tcBorders>
            <w:tcW w:w="293"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gridSpan w:val="2"/>
            <w:shd w:val="clear" w:color="auto" w:fill="ffffff"/>
            <w:tcBorders>
              <w:top w:val="single" w:color="auto" w:sz="4" w:space="0"/>
              <w:left w:val="single" w:color="auto" w:sz="4" w:space="0"/>
              <w:bottom w:val="single" w:color="auto" w:sz="4" w:space="0"/>
              <w:right w:val="single" w:color="auto" w:sz="4" w:space="0"/>
            </w:tcBorders>
            <w:tcW w:w="230"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300"/>
        </w:trPr>
        <w:tc>
          <w:tcPr>
            <w:shd w:val="clear" w:color="auto" w:fill="ffffff"/>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《移动应用开发进阶》课程资源</w:t>
            </w:r>
            <w:r/>
          </w:p>
        </w:tc>
        <w:tc>
          <w:tcPr>
            <w:shd w:val="clear" w:color="auto" w:fill="ffffff"/>
            <w:tcBorders>
              <w:top w:val="single" w:color="auto" w:sz="4" w:space="0"/>
              <w:left w:val="single" w:color="auto" w:sz="4" w:space="0"/>
              <w:bottom w:val="single" w:color="auto" w:sz="4" w:space="0"/>
              <w:right w:val="single" w:color="auto" w:sz="4" w:space="0"/>
            </w:tcBorders>
            <w:tcW w:w="3427" w:type="pct"/>
            <w:vAlign w:val="center"/>
            <w:textDirection w:val="lrTb"/>
            <w:noWrap w:val="false"/>
          </w:tcPr>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1、配套资源要求：本课程需配置《移动应用开发进阶》课程课程大纲、理论PPT和实验手册；具体数量至少为：≥1份课程大纲，≥10份文档PPT，≥400页ppt内容，≥8个实验，≥45个课时包含≥</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27个理论课时和</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≥18个实验课时；该课程配套的相关资源支持在平台上进行查看。</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2、知识点要求：鸿蒙应用开发进阶概述、UI开发高级技能、功能开发进阶技能、面向实战开发技能。</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3.课程大纲：</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一、概述</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进阶课程概述</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编译替换full-SDK</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二、UI开发高级技能</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动画设计与Canvas绘图</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一次开发，多端部署</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元服务与服务卡片</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三、功能开发进阶技能</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数据存储</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网络与通信</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多媒体</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后台任务管理</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设备管理</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面向实战开发技能</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Native API</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高级开发理论</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综合实验</w:t>
            </w:r>
            <w:r/>
          </w:p>
        </w:tc>
        <w:tc>
          <w:tcPr>
            <w:shd w:val="clear" w:color="auto" w:fill="ffffff"/>
            <w:tcBorders>
              <w:top w:val="single" w:color="auto" w:sz="4" w:space="0"/>
              <w:left w:val="single" w:color="auto" w:sz="4" w:space="0"/>
              <w:bottom w:val="single" w:color="auto" w:sz="4" w:space="0"/>
              <w:right w:val="single" w:color="auto" w:sz="4" w:space="0"/>
            </w:tcBorders>
            <w:tcW w:w="293"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gridSpan w:val="2"/>
            <w:shd w:val="clear" w:color="auto" w:fill="ffffff"/>
            <w:tcBorders>
              <w:top w:val="single" w:color="auto" w:sz="4" w:space="0"/>
              <w:left w:val="single" w:color="auto" w:sz="4" w:space="0"/>
              <w:bottom w:val="single" w:color="auto" w:sz="4" w:space="0"/>
              <w:right w:val="single" w:color="auto" w:sz="4" w:space="0"/>
            </w:tcBorders>
            <w:tcW w:w="230"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300"/>
        </w:trPr>
        <w:tc>
          <w:tcPr>
            <w:shd w:val="clear" w:color="auto" w:fill="ffffff"/>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《鸿蒙应用开发工程认证课》程资源</w:t>
            </w:r>
            <w:r/>
          </w:p>
        </w:tc>
        <w:tc>
          <w:tcPr>
            <w:shd w:val="clear" w:color="auto" w:fill="ffffff"/>
            <w:tcBorders>
              <w:top w:val="single" w:color="auto" w:sz="4" w:space="0"/>
              <w:left w:val="single" w:color="auto" w:sz="4" w:space="0"/>
              <w:bottom w:val="single" w:color="auto" w:sz="4" w:space="0"/>
              <w:right w:val="single" w:color="auto" w:sz="4" w:space="0"/>
            </w:tcBorders>
            <w:tcW w:w="3427" w:type="pct"/>
            <w:vAlign w:val="center"/>
            <w:textDirection w:val="lrTb"/>
            <w:noWrap w:val="false"/>
          </w:tcPr>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eastAsia="zh-CN"/>
              </w:rPr>
              <w:t xml:space="preserve">、配套资源要求：课程配置≥5份理论课件（≥450页ppt内容）和≥2份实验手册，≥80个视频，≥1份试题，≥35个课时包含≥12个理论课时和≥23实验课时；该课程配套的相关资源支持在平台上进行查看。</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eastAsia="zh-CN"/>
              </w:rPr>
              <w:t xml:space="preserve">、知识点要求：鸿蒙介绍、应用开发入门、Ability开发、ArkTS语法、声明式开发范式组件、类Web开发范式基础、类Web开发范式组件、模拟试题讲解。</w:t>
            </w:r>
            <w:r/>
          </w:p>
          <w:p>
            <w:pPr>
              <w:spacing w:after="0" w:line="360" w:lineRule="auto"/>
              <w:rPr>
                <w:rFonts w:hint="eastAsia"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eastAsia="zh-CN"/>
              </w:rPr>
              <w:t xml:space="preserve">、课程大纲：</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一、鸿蒙介绍</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鸿蒙简介</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设计理念</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鸿蒙技术架构</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鸿蒙部件化架构设计</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鸿蒙技术特性</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鸿蒙系统安全</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原子化服务介绍</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二、应用开发入门</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DevEco Studio集成开发环境</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调试工具介绍</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快速入门</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工程结构</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三、Ability开发</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Stage模型概述</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UIAbility开发</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UIAbility开发</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FormExtension</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四、ArkTS语法</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ArkTS介绍</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ArkTS基础语法</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组件定义装饰器</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动态管理装饰器</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状态管理装饰器</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状态管理装饰器</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渲染控制</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使用限制与扩展</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五、声明式开发范式组件</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基础组件</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容器组件</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媒体组件</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六、类Web开发范式基础</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JS UI框架说明</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开发基础语法</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构建用户界面</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七、类Web开发范式组件</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容器组件</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基础组件</w:t>
            </w:r>
            <w:r/>
          </w:p>
          <w:p>
            <w:pPr>
              <w:numPr>
                <w:ilvl w:val="0"/>
                <w:numId w:val="3"/>
              </w:num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综合实验</w:t>
            </w:r>
            <w:r/>
          </w:p>
          <w:p>
            <w:pPr>
              <w:numPr>
                <w:ilvl w:val="0"/>
                <w:numId w:val="0"/>
              </w:num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登录模块</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数据模型模块</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应用界面模块</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九、模拟题讲解</w:t>
            </w:r>
            <w:r/>
          </w:p>
        </w:tc>
        <w:tc>
          <w:tcPr>
            <w:shd w:val="clear" w:color="auto" w:fill="ffffff"/>
            <w:tcBorders>
              <w:top w:val="single" w:color="auto" w:sz="4" w:space="0"/>
              <w:left w:val="single" w:color="auto" w:sz="4" w:space="0"/>
              <w:bottom w:val="single" w:color="auto" w:sz="4" w:space="0"/>
              <w:right w:val="single" w:color="auto" w:sz="4" w:space="0"/>
            </w:tcBorders>
            <w:tcW w:w="293"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gridSpan w:val="2"/>
            <w:shd w:val="clear" w:color="auto" w:fill="ffffff"/>
            <w:tcBorders>
              <w:top w:val="single" w:color="auto" w:sz="4" w:space="0"/>
              <w:left w:val="single" w:color="auto" w:sz="4" w:space="0"/>
              <w:bottom w:val="single" w:color="auto" w:sz="4" w:space="0"/>
              <w:right w:val="single" w:color="auto" w:sz="4" w:space="0"/>
            </w:tcBorders>
            <w:tcW w:w="230"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300"/>
        </w:trPr>
        <w:tc>
          <w:tcPr>
            <w:shd w:val="clear" w:color="auto" w:fill="ffffff"/>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《鸿蒙高级应用开发工程师认证课》课程资源包</w:t>
            </w:r>
            <w:r/>
          </w:p>
        </w:tc>
        <w:tc>
          <w:tcPr>
            <w:shd w:val="clear" w:color="auto" w:fill="ffffff"/>
            <w:tcBorders>
              <w:top w:val="single" w:color="auto" w:sz="4" w:space="0"/>
              <w:left w:val="single" w:color="auto" w:sz="4" w:space="0"/>
              <w:bottom w:val="single" w:color="auto" w:sz="4" w:space="0"/>
              <w:right w:val="single" w:color="auto" w:sz="4" w:space="0"/>
            </w:tcBorders>
            <w:tcW w:w="3427" w:type="pct"/>
            <w:vAlign w:val="center"/>
            <w:textDirection w:val="lrTb"/>
            <w:noWrap w:val="false"/>
          </w:tcPr>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、配套资源要求：课程需配置≥8份理论课件（≥350页ppt内容）和≥2份实验手册，≥70个视频，≥1份试题，≥40个课时包含≥14个理论课时和≥26个实验课时；该课程配套的相关资源均支持在平台上进行查看。</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、知识点要求：系统及应用场景介绍、方舟开发框架高级组件、分布式关键技术、服务卡片、应用设计介绍、一次开发多端部署、功能开发、工程调测、综合实验讲解综、模拟题讲解。</w:t>
            </w:r>
            <w:r/>
          </w:p>
          <w:p>
            <w:pPr>
              <w:spacing w:after="0" w:line="360" w:lineRule="auto"/>
              <w:rPr>
                <w:rFonts w:hint="eastAsia" w:ascii="宋体" w:hAnsi="宋体" w:eastAsia="宋体" w:cs="宋体"/>
                <w:b/>
                <w:bCs/>
                <w:i/>
                <w:iCs/>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、课程大纲：</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一、系统及应用场景介绍</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鸿蒙特性</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鸿蒙Connect解决方案</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OpenHarmony生态组成</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二、方舟开发框架高级组件</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类Web开发范式</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声明式开发范式</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实验：鸿蒙应用开发实验环境搭建指南</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实验：方舟开发框架高级组件-类Web开发范式</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实验：方舟开发框架高级组件-声明式开发范式</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三、分布式关键技术</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流转</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分布式数据管理</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分布式案例分析</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实验：分布式文字编辑功能实验</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四、服务卡片</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服务卡片概述</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服务卡片开发</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其他可选功能</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实验：图库应用服务卡片开发实验</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五、应用设计介绍</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通用设计</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设备差异化设计</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设计工具</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六、一次开发多端部署</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一次开发多端部署解决方案</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多窗口交互</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动态布局</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Ability动态部署</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实验：一次开发多端部署</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七、功能开发</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AI能力概述</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鸿蒙常用AI能力介绍与开发</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其他功能</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实验：设备参数语音播报功能开发实验</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八、工程调测</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工程管理</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应用/服务调试</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实验：应用调试实验</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九、综合实验讲解</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十、模拟题讲解</w:t>
            </w:r>
            <w:r/>
          </w:p>
        </w:tc>
        <w:tc>
          <w:tcPr>
            <w:shd w:val="clear" w:color="auto" w:fill="ffffff"/>
            <w:tcBorders>
              <w:top w:val="single" w:color="auto" w:sz="4" w:space="0"/>
              <w:left w:val="single" w:color="auto" w:sz="4" w:space="0"/>
              <w:bottom w:val="single" w:color="auto" w:sz="4" w:space="0"/>
              <w:right w:val="single" w:color="auto" w:sz="4" w:space="0"/>
            </w:tcBorders>
            <w:tcW w:w="293"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gridSpan w:val="2"/>
            <w:shd w:val="clear" w:color="auto" w:fill="ffffff"/>
            <w:tcBorders>
              <w:top w:val="single" w:color="auto" w:sz="4" w:space="0"/>
              <w:left w:val="single" w:color="auto" w:sz="4" w:space="0"/>
              <w:bottom w:val="single" w:color="auto" w:sz="4" w:space="0"/>
              <w:right w:val="single" w:color="auto" w:sz="4" w:space="0"/>
            </w:tcBorders>
            <w:tcW w:w="230"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300"/>
        </w:trPr>
        <w:tc>
          <w:tcPr>
            <w:shd w:val="clear" w:color="auto" w:fill="ffffff"/>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《鸿蒙设备开发基础》课程资源</w:t>
            </w:r>
            <w:r/>
          </w:p>
        </w:tc>
        <w:tc>
          <w:tcPr>
            <w:shd w:val="clear" w:color="auto" w:fill="ffffff"/>
            <w:tcBorders>
              <w:top w:val="single" w:color="auto" w:sz="4" w:space="0"/>
              <w:left w:val="single" w:color="auto" w:sz="4" w:space="0"/>
              <w:bottom w:val="single" w:color="auto" w:sz="4" w:space="0"/>
              <w:right w:val="single" w:color="auto" w:sz="4" w:space="0"/>
            </w:tcBorders>
            <w:tcW w:w="3427" w:type="pct"/>
            <w:vAlign w:val="center"/>
            <w:textDirection w:val="lrTb"/>
            <w:noWrap w:val="false"/>
          </w:tcPr>
          <w:p>
            <w:pPr>
              <w:spacing w:after="0" w:line="360" w:lineRule="auto"/>
              <w:rPr>
                <w:rFonts w:hint="eastAsia" w:ascii="宋体" w:hAnsi="宋体" w:eastAsia="宋体" w:cs="宋体"/>
                <w:b/>
                <w:bCs/>
                <w:i/>
                <w:iCs/>
                <w:color w:val="auto"/>
                <w:sz w:val="21"/>
                <w:szCs w:val="21"/>
                <w:highlight w:val="none"/>
                <w:lang w:eastAsia="zh-CN"/>
              </w:rPr>
            </w:pPr>
            <w:r>
              <w:rPr>
                <w:rFonts w:hint="eastAsia" w:ascii="宋体" w:hAnsi="宋体" w:eastAsia="宋体" w:cs="宋体"/>
                <w:color w:val="auto"/>
                <w:sz w:val="21"/>
                <w:szCs w:val="21"/>
                <w:highlight w:val="none"/>
                <w:lang w:eastAsia="zh-CN"/>
              </w:rPr>
              <w:t xml:space="preserve">▲1、配套资源要求：本课程需配置《基于分布式操作系统设备开发基础》课程课程大纲、理论PPT和实验手册；具体数量至少为：≥1份课程大纲，≥10份文档PPT，≥500页ppt内容，≥10个实验，≥36个课时包含≥18个理论课时和≥18个实验课时；该课程配套的相关资源支持在平台上进行查看和操作。</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2、知识点要求：鸿蒙操作系统概述、鸿蒙设备开发入门述、鸿蒙操作系统内核、硬件驱动、鸿蒙操作系统移植、鸿蒙操作系统云端互通。</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▲3.课程大纲：</w:t>
            </w:r>
            <w:r>
              <w:rPr>
                <w:rFonts w:hint="eastAsia" w:ascii="宋体" w:hAnsi="宋体" w:eastAsia="宋体" w:cs="宋体"/>
                <w:b/>
                <w:bCs/>
                <w:i/>
                <w:iCs/>
                <w:color w:val="auto"/>
                <w:sz w:val="21"/>
                <w:szCs w:val="21"/>
                <w:highlight w:val="none"/>
                <w:lang w:eastAsia="zh-CN"/>
              </w:rPr>
              <w:t xml:space="preserve">【提供图片证明并加盖供应商公章】</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一、鸿蒙操作系统概述</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OpenHarmony概述</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OpenHarmony关键技术</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二、鸿蒙设备开发入门述</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OpenHarmony设备开发入门</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三、鸿蒙操作系统内核</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OpenHarmony内核概述</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OpenHarmony任务管理</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OpenHarmony内存管理</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OpenHarmony中断和时间</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OpenHarmony任务同步与通信</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OpenHarmony双向链表</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Linux内核</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四、硬件驱动</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硬件驱动</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五、鸿蒙操作系统移植</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OpenHarmony支持的移植平台介绍</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OpenHarmony系统移植</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六、鸿蒙操作系统云端互通</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OpenHarmony中间件及物联网平台</w:t>
            </w:r>
            <w:r/>
          </w:p>
        </w:tc>
        <w:tc>
          <w:tcPr>
            <w:shd w:val="clear" w:color="auto" w:fill="ffffff"/>
            <w:tcBorders>
              <w:top w:val="single" w:color="auto" w:sz="4" w:space="0"/>
              <w:left w:val="single" w:color="auto" w:sz="4" w:space="0"/>
              <w:bottom w:val="single" w:color="auto" w:sz="4" w:space="0"/>
              <w:right w:val="single" w:color="auto" w:sz="4" w:space="0"/>
            </w:tcBorders>
            <w:tcW w:w="293"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gridSpan w:val="2"/>
            <w:shd w:val="clear" w:color="auto" w:fill="ffffff"/>
            <w:tcBorders>
              <w:top w:val="single" w:color="auto" w:sz="4" w:space="0"/>
              <w:left w:val="single" w:color="auto" w:sz="4" w:space="0"/>
              <w:bottom w:val="single" w:color="auto" w:sz="4" w:space="0"/>
              <w:right w:val="single" w:color="auto" w:sz="4" w:space="0"/>
            </w:tcBorders>
            <w:tcW w:w="230" w:type="pct"/>
            <w:vAlign w:val="center"/>
            <w:textDirection w:val="lrTb"/>
            <w:noWrap w:val="false"/>
          </w:tcPr>
          <w:p>
            <w:pPr>
              <w:jc w:val="cente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bl>
    <w:p>
      <w:pPr>
        <w:rPr>
          <w:rFonts w:hint="eastAsia" w:ascii="宋体" w:hAnsi="宋体" w:eastAsia="宋体" w:cs="宋体"/>
          <w:b/>
          <w:color w:val="000000"/>
          <w:sz w:val="36"/>
          <w:lang w:eastAsia="zh-CN"/>
        </w:rPr>
      </w:pPr>
      <w:r>
        <w:rPr>
          <w:rFonts w:hint="eastAsia" w:ascii="宋体" w:hAnsi="宋体" w:eastAsia="宋体" w:cs="宋体"/>
          <w:b/>
          <w:color w:val="000000"/>
          <w:sz w:val="36"/>
          <w:lang w:eastAsia="zh-CN"/>
        </w:rPr>
        <w:br w:type="page" w:clear="all"/>
      </w:r>
      <w:r/>
    </w:p>
    <w:p>
      <w:pPr>
        <w:jc w:val="center"/>
        <w:spacing w:after="0"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eastAsia="zh-CN"/>
        </w:rPr>
        <w:t xml:space="preserve">第五章 </w:t>
      </w:r>
      <w:r>
        <w:rPr>
          <w:rFonts w:ascii="宋体" w:hAnsi="宋体" w:eastAsia="宋体" w:cs="宋体"/>
          <w:b/>
          <w:color w:val="000000"/>
          <w:sz w:val="36"/>
        </w:rPr>
        <w:t xml:space="preserve">合同条款及格式</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甲方（采购人）：江苏海事职业技术学院</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乙方（供应商）：</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签订时间：</w:t>
      </w:r>
      <w:r/>
    </w:p>
    <w:p>
      <w:pPr>
        <w:ind w:right="181" w:firstLine="48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根据《中华人民共和国政府采购法》、《中华人民共和国民法典》等法律、法规规定，按照智能船舶鸿蒙应用开发创新中心设备采购项目（项目编号：JSZC-320000-ZZGJ-G2025-0016）采购文件、投标文件规定条款和成交供应商承诺，甲方向乙方购置相关货物。本着诚实守信、友好协商的原则签署本合同。</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1.货物清单及金额</w:t>
      </w:r>
      <w:r/>
    </w:p>
    <w:tbl>
      <w:tblPr>
        <w:tblStyle w:val="723"/>
        <w:tblW w:w="4995"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fixed"/>
        <w:tblCellMar>
          <w:left w:w="10" w:type="dxa"/>
          <w:top w:w="0" w:type="dxa"/>
          <w:right w:w="10" w:type="dxa"/>
          <w:bottom w:w="0" w:type="dxa"/>
        </w:tblCellMar>
        <w:tblLook w:val="04A0" w:firstRow="1" w:lastRow="0" w:firstColumn="1" w:lastColumn="0" w:noHBand="0" w:noVBand="1"/>
      </w:tblPr>
      <w:tblGrid>
        <w:gridCol w:w="465"/>
        <w:gridCol w:w="890"/>
        <w:gridCol w:w="5068"/>
        <w:gridCol w:w="351"/>
        <w:gridCol w:w="352"/>
        <w:gridCol w:w="719"/>
        <w:gridCol w:w="840"/>
        <w:gridCol w:w="701"/>
      </w:tblGrid>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4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74"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699"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规格</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8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w:t>
            </w:r>
            <w:r>
              <w:rPr>
                <w:rFonts w:hint="eastAsia" w:ascii="宋体" w:hAnsi="宋体" w:eastAsia="宋体" w:cs="宋体"/>
                <w:color w:val="000000"/>
                <w:sz w:val="21"/>
                <w:szCs w:val="21"/>
                <w:highlight w:val="none"/>
                <w:lang w:val="en-US" w:eastAsia="zh-CN"/>
              </w:rPr>
              <w:t xml:space="preserve">价</w:t>
            </w:r>
            <w:r>
              <w:rPr>
                <w:rFonts w:hint="eastAsia" w:ascii="宋体" w:hAnsi="宋体" w:eastAsia="宋体" w:cs="宋体"/>
                <w:color w:val="000000"/>
                <w:sz w:val="21"/>
                <w:szCs w:val="21"/>
                <w:highlight w:val="none"/>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4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合价（元）</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7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核心</w:t>
            </w:r>
            <w:r/>
          </w:p>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产品</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47"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74" w:type="pct"/>
            <w:vAlign w:val="center"/>
            <w:textDirection w:val="lrTb"/>
            <w:noWrap w:val="false"/>
          </w:tcPr>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平台实训硬件</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699"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内置国产处理器，使用ARM架构；支持国产标准操作系统，支持多系统；支撑教学平台部署；</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8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4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7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是</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47" w:type="pct"/>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74" w:type="pct"/>
            <w:vAlign w:val="center"/>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鸿蒙实训套件</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699" w:type="pct"/>
            <w:vAlign w:val="center"/>
            <w:textDirection w:val="lrTb"/>
            <w:noWrap w:val="false"/>
          </w:tcPr>
          <w:p>
            <w:pP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至少包括：</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1路RS232串口、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1个USB串口,可用于代码调试、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1个有源蜂鸣器、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1个10M/100M/1000M以太网接口、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1个复位按钮,可用于复位MPU和3个功能按钮、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1个电源开关,控制整个板的电源、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1个SDIO WIFI＆BT模块；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1个JTAG调试接口，可以调试M4内核、</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1个温湿度传感器接口、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3个pwm接口，用于接RGB呼吸灯、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1个ADC接口、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1个RTC电池、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1路SPI接口、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1个2×22P，2.54mm间距的排针,引出44个IO,用户可自行使用，支持鸿蒙Liteos-M，LiteOS-A，linux三种内核。并配有相关的工具套件。</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8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4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7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否</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47"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74"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鸿蒙智能座舱科研/实训平台</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699" w:type="pct"/>
            <w:vAlign w:val="center"/>
            <w:textDirection w:val="lrTb"/>
            <w:noWrap w:val="false"/>
          </w:tcPr>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一、车机系统</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（1）智能座舱车机系统基于国产化操作系统打造。</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（2）支持开机后直接显示车机系统桌面，桌面需显示车辆车门、后备箱盖开启/关闭状态，提供空调、音乐、视频、车辆设置等入口。</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（3）系统具备音乐播放器功能，支持播放本地音乐和网络音乐，同时支持音乐的分布式播放。</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（4）系统具备视频播放器功能，支持播放本地视频和网络视频，同时支持视频的分布式播放。</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（5）系统支持两路外置摄像头视频接入，用于模拟行车记录仪和倒车影像，在车辆档位切换至R档时，倒车影像自动开启。</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三、车联网网关</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（1）车联网网关支持国产操作系统和国产芯片。</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（2）实现车辆在未启动的状态下依然能够进行数据的监控。</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（3）支持通过NB-IoT接入云端物联网平台。</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（4）网关上报车辆基本信息，包括车辆车门、后备箱盖开启/关闭状态以及相关环境数据（如温湿度、PM2.5、光照情况）。</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三、配套开发资源</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（1）提供车机系统应用及移动应用所有源代码资源。</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（2）提供车辆传感与控制系统开发、车载空调与环境监测系统开发、车载影音娱乐系统开发、车载互联系统开发相关实验手册、源代码资源。</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8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4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7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是</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47" w:type="pct"/>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74" w:type="pct"/>
            <w:vAlign w:val="center"/>
            <w:textDirection w:val="lrTb"/>
            <w:noWrap w:val="false"/>
          </w:tcPr>
          <w:p>
            <w:pP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鸿蒙智慧海事实训平台</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699" w:type="pct"/>
            <w:vAlign w:val="center"/>
            <w:textDirection w:val="lrTb"/>
            <w:noWrap w:val="false"/>
          </w:tcPr>
          <w:p>
            <w:pP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国产操作系统硬件参数：</w:t>
            </w:r>
            <w:r/>
          </w:p>
          <w:p>
            <w:pPr>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1）内置国产处理器，使用ARM架构；支持国产标准操作系统，支持多系统；</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auto"/>
                <w:sz w:val="21"/>
                <w:szCs w:val="21"/>
                <w:highlight w:val="none"/>
                <w:lang w:eastAsia="zh-CN"/>
              </w:rPr>
              <w:t xml:space="preserve">核心：≥</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4核、主频：≥</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2.0GHz、主频：≥2GHz：</w:t>
            </w:r>
            <w:r>
              <w:rPr>
                <w:rFonts w:hint="eastAsia" w:ascii="宋体" w:hAnsi="宋体" w:eastAsia="宋体" w:cs="宋体"/>
                <w:color w:val="auto"/>
                <w:sz w:val="21"/>
                <w:szCs w:val="21"/>
                <w:highlight w:val="none"/>
                <w:lang w:val="en-US" w:eastAsia="zh-CN"/>
              </w:rPr>
              <w:t xml:space="preserve">内存：</w:t>
            </w:r>
            <w:r>
              <w:rPr>
                <w:rFonts w:hint="eastAsia" w:ascii="宋体" w:hAnsi="宋体" w:eastAsia="宋体" w:cs="宋体"/>
                <w:color w:val="auto"/>
                <w:sz w:val="21"/>
                <w:szCs w:val="21"/>
                <w:highlight w:val="none"/>
                <w:lang w:eastAsia="zh-CN"/>
              </w:rPr>
              <w:t xml:space="preserve">≥2GB、存储空间：≥32GB；</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auto"/>
                <w:sz w:val="21"/>
                <w:szCs w:val="21"/>
                <w:highlight w:val="none"/>
              </w:rPr>
              <w:t xml:space="preserve">接口能力：USB端口：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2个、SATA接口：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1个、HDMI接口：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1个、千兆网络接口：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2个，支持WiFi与蓝牙；</w:t>
            </w:r>
            <w:r/>
          </w:p>
          <w:p>
            <w:pPr>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auto"/>
                <w:sz w:val="21"/>
                <w:szCs w:val="21"/>
                <w:highlight w:val="none"/>
                <w:lang w:eastAsia="zh-CN"/>
              </w:rPr>
              <w:t xml:space="preserve">底板尺寸：≥</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180mm×130mm</w:t>
            </w:r>
            <w:r/>
          </w:p>
          <w:p>
            <w:pPr>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auto"/>
                <w:sz w:val="21"/>
                <w:szCs w:val="21"/>
                <w:highlight w:val="none"/>
                <w:lang w:eastAsia="zh-CN"/>
              </w:rPr>
              <w:t xml:space="preserve">PCB规格：≥4层板</w:t>
            </w:r>
            <w:r/>
          </w:p>
          <w:p>
            <w:pPr>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6）水温传感器：≥1个</w:t>
            </w:r>
            <w:r/>
          </w:p>
          <w:p>
            <w:pPr>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7）PH值传感器：≥1个</w:t>
            </w:r>
            <w:r/>
          </w:p>
          <w:p>
            <w:pPr>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8）水位传感器：≥1个；</w:t>
            </w:r>
            <w:r/>
          </w:p>
          <w:p>
            <w:pPr>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9）电导率传感器：≥1个。</w:t>
            </w:r>
            <w:r/>
          </w:p>
          <w:p>
            <w:pPr>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边缘计算硬件参数：</w:t>
            </w:r>
            <w:r/>
          </w:p>
          <w:p>
            <w:pPr>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1）AI算力：</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rPr>
              <w:t xml:space="preserve">8 TOPS INT8</w:t>
            </w:r>
            <w:r/>
          </w:p>
          <w:p>
            <w:pPr>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2）内存规格：LPDDR4X，4GB，支持ECC</w:t>
            </w:r>
            <w:r/>
          </w:p>
          <w:p>
            <w:pPr>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3）CPU算力：4 core*1.0GHz</w:t>
            </w:r>
            <w:r/>
          </w:p>
          <w:p>
            <w:pPr>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4）编解码能力：支持H.264/H.265 Decoder硬件解码，20路1080P 30FPS，2路4K 75FPS JPEG解码1080P 512FPS，编码1080P 256FPS，分辨率最大16384 x 16384</w:t>
            </w:r>
            <w:r/>
          </w:p>
          <w:p>
            <w:pPr>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5）扩展接口：MIPI-CSI 51针连接器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rPr>
              <w:t xml:space="preserve">2，可接摄像头模组；MIPI-DSI 51针连接器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rPr>
              <w:t xml:space="preserve">1；RJ45网口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rPr>
              <w:t xml:space="preserve">2，支持自适应100 / 1000M；HDMI 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rPr>
              <w:t xml:space="preserve">2；USB 3.0 Type-A 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rPr>
              <w:t xml:space="preserve">2，兼容USB 2.0；USB 3.0 Type-C接口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rPr>
              <w:t xml:space="preserve">1；40针扩展接口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rPr>
              <w:t xml:space="preserve">1</w:t>
            </w:r>
            <w:r/>
          </w:p>
          <w:p>
            <w:pPr>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其他：</w:t>
            </w:r>
            <w:r/>
          </w:p>
          <w:p>
            <w:pPr>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1）摄像头：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w:t>
            </w:r>
            <w:r/>
          </w:p>
          <w:p>
            <w:pPr>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2）屏幕：1块，≥15英寸。</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8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4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7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是</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47"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74" w:type="pct"/>
            <w:vAlign w:val="center"/>
            <w:textDirection w:val="lrTb"/>
            <w:noWrap w:val="false"/>
          </w:tcPr>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鸿蒙智能实训终端</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699"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提供配套显示屏幕完成鸿蒙实验的交互操作和实验实训。</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8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4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7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否</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47"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74"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教学实训平台-基础模块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699"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平台包含日常教学管理、教学内容、教学活动、学情统计等功能。平台可部署各类专业课资源，支持在线学习课件、实验指导、提供软件工具、源代码等功能，配合硬件实训套件完成专业课教学和实验。</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8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4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7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是</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47"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74"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鸿蒙操作系统实验模块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699"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提供鸿蒙基础实验功能，配套实验软件工具集、实验指导书、实验配套文档等资源</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8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4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7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是</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47"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74"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《移动应用开发基础》课程资源</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699"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包含但不限于以下知识点及实验：分布式操作系统架构和核心概念、关键特性、应用开发流程、开发基础和框架、JS/Java UI界面设计、功能开发、功能调测与发布、多媒体应用开发、数据管理应用开发、分布式数据库创建、关闭和删除，分布式数据管理、分布式信息管理、分布式任务调度、分布式新闻发布、跨设备视频播放器设计等内容。</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8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4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7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否</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47"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74"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《移动应用开发进阶》课程资源</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699"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包含但不限于以下知识点及实验：分布式操作系统设备定位开发、媒体管理控制开发、分布式早教系统开发、智能穿戴设备应用、线程间通信开发EventHandler、AI二维码识别、AI通用文字识别、AI语音播报功能、AI面部识别系统设计、使用UI构建复杂页面；环境搭建：媒体、网络、AI、设备管理、安全、网络与连接、数据管理、日志管理；网络功能调测与发布等内容。</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8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4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7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否</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47"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74"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《鸿蒙应用开发工程认证课》程资源</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699"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包含但不限于以下知识点及实验：分布式操作系统介绍、应用开发入门、Ability设计与开发、UI页面设计与开发、功能开发、调试与发布等知识，并进行实战演练，Ability应用与管理、手机天气预报多城市＆自动更新功能开发，培养具备分布式操作系统应用开发能力的工程师。</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8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4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7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否</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47"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74"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《鸿蒙高级应用开发工程师认证课》课程资源包</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699"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包含但不限于以下知识点及实验：分布式操作系统解决方案、方舟开发框架，分布式关键技术、服务卡片，工程调试、功能开发，应用设计介绍，多端部署，范式高级组件实验、设备参数语音播报、应用调试，综合案例实践。</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8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4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7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否</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47" w:type="pct"/>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74"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《鸿蒙设备开发基础》课程资源</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699" w:type="pct"/>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包含但不限于以下知识点及实验：鸿蒙定义、鸿蒙关键技术、鸿蒙内核概述、鸿蒙任务管理、鸿蒙内存管理、鸿蒙中断和时钟、鸿蒙任务同步与通信、鸿蒙的双向链表、Linux内核介绍、硬件驱动介绍、鸿蒙支持的移植平台介绍、鸿蒙系统移植、鸿蒙中间件及物联网平台、开发环境搭建实验、基于鸿蒙实现终端业务实验、内存使用实验、定时器中断实验、队列和事件使用实验、互斥锁和信号量的使用实验、双向链表的使用实验Linux内核实验、驱动基础实验、鸿蒙移植实验、基于鸿蒙OS实现端到端物联实验</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8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4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7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否</w:t>
            </w:r>
            <w:r/>
          </w:p>
        </w:tc>
      </w:tr>
      <w:tr>
        <w:trPr>
          <w:jc w:val="center"/>
          <w:trHeight w:val="363"/>
        </w:trPr>
        <w:tc>
          <w:tcPr>
            <w:gridSpan w:val="5"/>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79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8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4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7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1.1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p>
    <w:p>
      <w:pPr>
        <w:spacing w:after="0"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1.2本次采购为交钥匙项目，所有采购产品均须由中标供应商按采购人要求送货到指定地点，包含但不限于所有货物、运输、安装配件、调试等所有费用；采购人不再支付任何费用，供应商需按照采购人要求时间完成货物的进场安装及调试并保证采购人的正常使用；</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1.3本合同总价款还包含乙方应当提供的伴随服务/售后服务费用。</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1.4</w:t>
      </w:r>
      <w:r>
        <w:rPr>
          <w:rFonts w:hint="eastAsia" w:ascii="宋体" w:hAnsi="宋体" w:eastAsia="宋体" w:cs="宋体"/>
          <w:color w:val="000000"/>
          <w:sz w:val="21"/>
          <w:szCs w:val="21"/>
          <w:lang w:val="zh-CN" w:eastAsia="zh-CN"/>
        </w:rPr>
        <w:t xml:space="preserve">本合同执行期间合同总价款不变。</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2.组成本合同的有关文件</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2.1下列关于与本次采购活动方式相适应的文件及有关附件是本合同不可分割的组成部分，与本合同具有同等法律效力，这些文件包括但不限于：</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（1）乙方提供的投标文件和报价表；</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（2）供货一览表；</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（3）交货一览表；</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（4）技术规格响应表；</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（5）乙方承诺；</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（6）服务承诺；</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（7）成交通知书；</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（8）甲乙双方商定的其他文件等。</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3.权利保证</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3.1乙方应保证甲方在使用该货物或其任何一部分时不受第三方提出侵犯其专利权、版权、商标权或其他权利的起诉。一旦出现侵权，乙方应承担全部责任。</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4.质量保证</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4.1免费质保期：自验收合格之日起，免费质保期</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val="zh-CN" w:eastAsia="zh-CN"/>
        </w:rPr>
        <w:t xml:space="preserve">个月。</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4.2乙方所提供的货物的技术规格应与招标文件规定的技术规格及所附的“技术规格响应表”相一致；若技术性能无特殊说明，则按国家有关部门最新颁布的标准及规范为准。</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4.3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5.包装要求</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5.1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5.2每一包装单元内应附详细的装箱单和质量合格凭证。</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6.交货时间</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自合同签订之日起，</w:t>
      </w:r>
      <w:r>
        <w:rPr>
          <w:rFonts w:hint="eastAsia" w:ascii="宋体" w:hAnsi="宋体" w:eastAsia="宋体" w:cs="宋体"/>
          <w:color w:val="000000"/>
          <w:sz w:val="21"/>
          <w:szCs w:val="21"/>
          <w:lang w:eastAsia="zh-CN"/>
        </w:rPr>
        <w:t xml:space="preserve">3</w:t>
      </w:r>
      <w:r>
        <w:rPr>
          <w:rFonts w:hint="eastAsia" w:ascii="宋体" w:hAnsi="宋体" w:eastAsia="宋体" w:cs="宋体"/>
          <w:color w:val="000000"/>
          <w:sz w:val="21"/>
          <w:szCs w:val="21"/>
          <w:lang w:val="zh-CN" w:eastAsia="zh-CN"/>
        </w:rPr>
        <w:t xml:space="preserve">0个日历日内，按甲方提供的地址供货到位（具体时间以甲方通知为准），并按甲方要求安装调试完毕。</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7.交货地点</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7.1交货地点：</w:t>
      </w:r>
      <w:r>
        <w:rPr>
          <w:rFonts w:hint="eastAsia" w:ascii="宋体" w:hAnsi="宋体" w:eastAsia="宋体" w:cs="宋体"/>
          <w:color w:val="000000"/>
          <w:sz w:val="21"/>
          <w:szCs w:val="21"/>
          <w:lang w:eastAsia="zh-CN"/>
        </w:rPr>
        <w:t xml:space="preserve">        </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8.验收</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8.1免费质保期：自验收合格之日起，免费质保期</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val="zh-CN" w:eastAsia="zh-CN"/>
        </w:rPr>
        <w:t xml:space="preserve">个月，终身维修，保修期内非使用方责任损坏 ,供应商免费负责维修。</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8.2乙方交付的货物应当完全符合本合同或者招投标文件所规定的货物、数量和规格要求。乙方提供的货物不符合招投标文件和合同规定的，甲方有权拒收货物，由此引起的风险，由乙方承担。</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8.3货物的到货验收包括：型号、规格、数量、外观质量、及货物包装是否完好。</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8.4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8.5货物和系统调试验收的标准：按行业通行标准、厂方出厂标准和乙方投标文件的承诺（详见合同附件载明的标准，并不低于国家相关标准）。</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9.伴随服务／售后服务</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9.1乙方应按照国家有关法律法规规章和“三包”规定以及合同所附的“服务承诺”提供服务。</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9.2除前款规定外，乙方还应提供下列服务：</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（1）货物的现场安装、调试和/或启动监督；</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（2）就货物的安装、启动、运行及维护等对甲方人员进行免费培训。</w:t>
      </w:r>
      <w:r>
        <w:rPr>
          <w:rFonts w:hint="eastAsia" w:ascii="宋体" w:hAnsi="宋体" w:eastAsia="宋体" w:cs="宋体"/>
          <w:color w:val="000000"/>
          <w:sz w:val="21"/>
          <w:szCs w:val="21"/>
          <w:lang w:val="zh-CN" w:eastAsia="zh-CN"/>
        </w:rPr>
        <w:br/>
      </w:r>
      <w:r>
        <w:rPr>
          <w:rFonts w:hint="eastAsia" w:ascii="宋体" w:hAnsi="宋体" w:eastAsia="宋体" w:cs="宋体"/>
          <w:color w:val="000000"/>
          <w:sz w:val="21"/>
          <w:szCs w:val="21"/>
          <w:lang w:val="zh-CN" w:eastAsia="zh-CN"/>
        </w:rPr>
        <w:t xml:space="preserve">9.3若采购文件中不包含有关伴随服务或售后服务的承诺，双方作如下约定：</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（2）所购货物按乙方投标承诺提供免费维护和质量保证，保修费用计入总价。</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（3）保修期内，乙方负责对其提供的货物整机进行维修和系统维护，不再收取任何费用，但不可抗力（如火灾、雷击等）造成的故障除外。</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（4）货物故障报修的响应时间按乙方响应承诺执行。</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（5）若货物故障在检修8工作小时后仍无法排除，乙方应在48小时内免费提供不低于故障货物规格型号档次的备用货物供甲方使用，直至故障货物修复。</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（6）所有货物保修服务方式均为乙方上门保修，即由乙方派员到货物使用现场维修，由此产生的一切费用均由乙方承担。</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（7）保修期后的货物维护由双方协商再定。</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10.履约保证金</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10.1本项目不需要缴纳履约保证金。</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11.合同款支付</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11.1本项目合同价格包括设备、运输、安装调试、培训等费用，采购人不再为本项目支付其它任何费用。</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11.2本合同项下的采购资金由甲方自行支付，乙方向甲方开具发票。</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11.3付款条件：合同签订生效后15个工作日内甲方向乙方支付合同总额的30％作为预付款，货物安装完成并验收通过后15个工作日内支付至合同总额的80％，试运行6个月后15个工作日内付清余款。</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11.4成交供应商需向采购人提供符合国家规定的相应数额的增值税发票。</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12.违约责任</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12.1甲方违约责任</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12.1.1甲方无正当理由拒收货物、拒付货物款的，由甲方向乙方偿付合同总价的5%违约金。</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12.1.2甲方未按合同规定的期限向乙方支付货款的，每逾期1天甲方向乙方偿付欠款总额的</w:t>
      </w: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lang w:val="zh-CN" w:eastAsia="zh-CN"/>
        </w:rPr>
        <w:t xml:space="preserve">‰滞纳金，但累计滞纳金总额不超过欠款总额的5%。</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12.2乙方违约责任</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12.2.1如乙方不能交付货物、完成安装调试的，乙方应向甲方支付合同总价5%的违约金。</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12.2.2乙方逾期交付的，每逾期1天，乙方向甲方偿付合同总额的</w:t>
      </w: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lang w:val="zh-CN" w:eastAsia="zh-CN"/>
        </w:rPr>
        <w:t xml:space="preserve">‰的滞纳金。如乙方逾期交付达</w:t>
      </w:r>
      <w:r>
        <w:rPr>
          <w:rFonts w:hint="eastAsia" w:ascii="宋体" w:hAnsi="宋体" w:eastAsia="宋体" w:cs="宋体"/>
          <w:color w:val="000000"/>
          <w:sz w:val="21"/>
          <w:szCs w:val="21"/>
          <w:lang w:eastAsia="zh-CN"/>
        </w:rPr>
        <w:t xml:space="preserve">3</w:t>
      </w:r>
      <w:r>
        <w:rPr>
          <w:rFonts w:hint="eastAsia" w:ascii="宋体" w:hAnsi="宋体" w:eastAsia="宋体" w:cs="宋体"/>
          <w:color w:val="000000"/>
          <w:sz w:val="21"/>
          <w:szCs w:val="21"/>
          <w:lang w:val="zh-CN" w:eastAsia="zh-CN"/>
        </w:rPr>
        <w:t xml:space="preserve">0天，甲方有权解除合同，解除合同的通知自到达乙方时生效。</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12.2.3</w:t>
      </w:r>
      <w:r>
        <w:rPr>
          <w:rFonts w:hint="eastAsia" w:ascii="宋体" w:hAnsi="宋体" w:eastAsia="宋体" w:cs="宋体"/>
          <w:color w:val="000000"/>
          <w:sz w:val="21"/>
          <w:szCs w:val="21"/>
          <w:lang w:val="zh-CN" w:eastAsia="zh-CN"/>
        </w:rPr>
        <w:t xml:space="preserve">乙方所交付的货物不符合合同规定的，甲方有权拒收。甲方拒收的，乙方应向甲方支付合同总款</w:t>
      </w:r>
      <w:r>
        <w:rPr>
          <w:rFonts w:ascii="宋体" w:hAnsi="宋体" w:eastAsia="宋体" w:cs="宋体"/>
          <w:color w:val="000000"/>
          <w:sz w:val="21"/>
          <w:szCs w:val="21"/>
          <w:lang w:val="zh-CN" w:eastAsia="zh-CN"/>
        </w:rPr>
        <w:t xml:space="preserve">5%</w:t>
      </w:r>
      <w:r>
        <w:rPr>
          <w:rFonts w:hint="eastAsia" w:ascii="宋体" w:hAnsi="宋体" w:eastAsia="宋体" w:cs="宋体"/>
          <w:color w:val="000000"/>
          <w:sz w:val="21"/>
          <w:szCs w:val="21"/>
          <w:lang w:val="zh-CN" w:eastAsia="zh-CN"/>
        </w:rPr>
        <w:t xml:space="preserve">的违约金。</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12.2.4</w:t>
      </w:r>
      <w:r>
        <w:rPr>
          <w:rFonts w:hint="eastAsia" w:ascii="宋体" w:hAnsi="宋体" w:eastAsia="宋体" w:cs="宋体"/>
          <w:color w:val="000000"/>
          <w:sz w:val="21"/>
          <w:szCs w:val="21"/>
          <w:lang w:val="zh-CN" w:eastAsia="zh-CN"/>
        </w:rPr>
        <w:t xml:space="preserve">在乙方承诺的或国家规定的质量保证期内（取两者中最长的期限），如经乙方两次整改仍不能达到合同约定的质量标准，乙方应退回全部合同价款，并按第</w:t>
      </w:r>
      <w:r>
        <w:rPr>
          <w:rFonts w:ascii="宋体" w:hAnsi="宋体" w:eastAsia="宋体" w:cs="宋体"/>
          <w:color w:val="000000"/>
          <w:sz w:val="21"/>
          <w:szCs w:val="21"/>
          <w:lang w:val="zh-CN" w:eastAsia="zh-CN"/>
        </w:rPr>
        <w:t xml:space="preserve">3</w:t>
      </w:r>
      <w:r>
        <w:rPr>
          <w:rFonts w:hint="eastAsia" w:ascii="宋体" w:hAnsi="宋体" w:eastAsia="宋体" w:cs="宋体"/>
          <w:color w:val="000000"/>
          <w:sz w:val="21"/>
          <w:szCs w:val="21"/>
          <w:lang w:val="zh-CN" w:eastAsia="zh-CN"/>
        </w:rPr>
        <w:t xml:space="preserve">款处理，同时，乙方还须赔偿甲方因此遭受的损失。</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12.2.5</w:t>
      </w:r>
      <w:r>
        <w:rPr>
          <w:rFonts w:hint="eastAsia" w:ascii="宋体" w:hAnsi="宋体" w:eastAsia="宋体" w:cs="宋体"/>
          <w:color w:val="000000"/>
          <w:sz w:val="21"/>
          <w:szCs w:val="21"/>
          <w:lang w:val="zh-CN" w:eastAsia="zh-CN"/>
        </w:rPr>
        <w:t xml:space="preserve">乙方未按本合同的规定和“服务承诺”提供伴随服务</w:t>
      </w:r>
      <w:r>
        <w:rPr>
          <w:rFonts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zh-CN" w:eastAsia="zh-CN"/>
        </w:rPr>
        <w:t xml:space="preserve">售后服务的，应按合同总价款的</w:t>
      </w:r>
      <w:r>
        <w:rPr>
          <w:rFonts w:ascii="宋体" w:hAnsi="宋体" w:eastAsia="宋体" w:cs="宋体"/>
          <w:color w:val="000000"/>
          <w:sz w:val="21"/>
          <w:szCs w:val="21"/>
          <w:lang w:val="zh-CN" w:eastAsia="zh-CN"/>
        </w:rPr>
        <w:t xml:space="preserve">5%</w:t>
      </w:r>
      <w:r>
        <w:rPr>
          <w:rFonts w:hint="eastAsia" w:ascii="宋体" w:hAnsi="宋体" w:eastAsia="宋体" w:cs="宋体"/>
          <w:color w:val="000000"/>
          <w:sz w:val="21"/>
          <w:szCs w:val="21"/>
          <w:lang w:val="zh-CN" w:eastAsia="zh-CN"/>
        </w:rPr>
        <w:t xml:space="preserve">向甲方承担违约责任。</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12.2.6</w:t>
      </w:r>
      <w:r>
        <w:rPr>
          <w:rFonts w:hint="eastAsia" w:ascii="宋体" w:hAnsi="宋体" w:eastAsia="宋体" w:cs="宋体"/>
          <w:color w:val="000000"/>
          <w:sz w:val="21"/>
          <w:szCs w:val="21"/>
          <w:lang w:val="zh-CN" w:eastAsia="zh-CN"/>
        </w:rPr>
        <w:t xml:space="preserve">乙方在承担上述</w:t>
      </w:r>
      <w:r>
        <w:rPr>
          <w:rFonts w:ascii="宋体" w:hAnsi="宋体" w:eastAsia="宋体" w:cs="宋体"/>
          <w:color w:val="000000"/>
          <w:sz w:val="21"/>
          <w:szCs w:val="21"/>
          <w:lang w:val="zh-CN" w:eastAsia="zh-CN"/>
        </w:rPr>
        <w:t xml:space="preserve">4-7</w:t>
      </w:r>
      <w:r>
        <w:rPr>
          <w:rFonts w:hint="eastAsia" w:ascii="宋体" w:hAnsi="宋体" w:eastAsia="宋体" w:cs="宋体"/>
          <w:color w:val="000000"/>
          <w:sz w:val="21"/>
          <w:szCs w:val="21"/>
          <w:lang w:val="zh-CN" w:eastAsia="zh-CN"/>
        </w:rPr>
        <w:t xml:space="preserve">款一项或多项违约责任后，仍应继续履行合同规定的义务（甲方解除合同的除外）。</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12.2.7</w:t>
      </w:r>
      <w:r>
        <w:rPr>
          <w:rFonts w:hint="eastAsia" w:ascii="宋体" w:hAnsi="宋体" w:eastAsia="宋体" w:cs="宋体"/>
          <w:color w:val="000000"/>
          <w:sz w:val="21"/>
          <w:szCs w:val="21"/>
          <w:lang w:val="zh-CN" w:eastAsia="zh-CN"/>
        </w:rPr>
        <w:t xml:space="preserve">乙方响应属虚假承诺，或经权威部门监测提供的货物或服务不能满足采购文件要求，或是由于乙方的过错造成合同无法继续履行的，乙方应向甲方支付不少于合同总价</w:t>
      </w:r>
      <w:r>
        <w:rPr>
          <w:rFonts w:ascii="宋体" w:hAnsi="宋体" w:eastAsia="宋体" w:cs="宋体"/>
          <w:color w:val="000000"/>
          <w:sz w:val="21"/>
          <w:szCs w:val="21"/>
          <w:lang w:val="zh-CN" w:eastAsia="zh-CN"/>
        </w:rPr>
        <w:t xml:space="preserve">30%</w:t>
      </w:r>
      <w:r>
        <w:rPr>
          <w:rFonts w:hint="eastAsia" w:ascii="宋体" w:hAnsi="宋体" w:eastAsia="宋体" w:cs="宋体"/>
          <w:color w:val="000000"/>
          <w:sz w:val="21"/>
          <w:szCs w:val="21"/>
          <w:lang w:val="zh-CN" w:eastAsia="zh-CN"/>
        </w:rPr>
        <w:t xml:space="preserve">赔偿金。</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13.合同的变更和终止</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13.1除《政府采购法》第50条第二款规定的情形外，本合同一经签订，甲乙双方不得擅自变更、中止或终止合同。</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13.2除发生法律规定的不能预见、不能避免并不能克服的客观情况外，甲乙双方不得放弃或拒绝履行合同。乙方放弃或拒绝履行合同，保证金不予退还，在三年内不得参加江苏海事职业技术学院组织的政府采购活动。</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14.合同的转让</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14.1乙方不得擅自部分或全部转让其应履行的合同义务。</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15.争议的解决</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15.1因货物的质量问题发生争议的，应当邀请国家认可的质量检测机构对货物质量进行鉴定。货物符合标准的，鉴定费由甲方承担；货物不符合质量标准的，鉴定费由乙方承担。</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15.2因履行本合同引起的或与本合同有关的争议，甲、乙双方应首先通过友好协商解决，如果协商不能解决争议，则采取以下第（1）种方式解决争议：</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（1）向甲方所在地有管辖权的人民法院提起诉讼；</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（2）向南京仲裁委员会按其仲裁规则申请仲裁。</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16.诚实信用</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16.1乙方应诚实信用，严格按照采购文件要求和投标文件承诺履行合同，不向甲方进行商业贿赂或者提供不正当利益。</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17.合同生效及其它</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17.1本合同自签订之日起生效。</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17.2本合同一式</w:t>
      </w:r>
      <w:r>
        <w:rPr>
          <w:rFonts w:hint="eastAsia" w:ascii="宋体" w:hAnsi="宋体" w:eastAsia="宋体" w:cs="宋体"/>
          <w:color w:val="000000"/>
          <w:sz w:val="21"/>
          <w:szCs w:val="21"/>
          <w:lang w:val="en-US" w:eastAsia="zh-CN"/>
        </w:rPr>
        <w:t xml:space="preserve">肆</w:t>
      </w:r>
      <w:r>
        <w:rPr>
          <w:rFonts w:hint="eastAsia" w:ascii="宋体" w:hAnsi="宋体" w:eastAsia="宋体" w:cs="宋体"/>
          <w:color w:val="000000"/>
          <w:sz w:val="21"/>
          <w:szCs w:val="21"/>
          <w:lang w:val="zh-CN" w:eastAsia="zh-CN"/>
        </w:rPr>
        <w:t xml:space="preserve">份，自甲、乙双方法定代表人或其授权代表签名并加盖单位印章（注：甲方加盖单位印章为甲方单位经济合同专用章）之日起生效，甲方持有</w:t>
      </w:r>
      <w:r>
        <w:rPr>
          <w:rFonts w:hint="eastAsia" w:ascii="宋体" w:hAnsi="宋体" w:eastAsia="宋体" w:cs="宋体"/>
          <w:color w:val="000000"/>
          <w:sz w:val="21"/>
          <w:szCs w:val="21"/>
          <w:lang w:val="en-US" w:eastAsia="zh-CN"/>
        </w:rPr>
        <w:t xml:space="preserve">叁</w:t>
      </w:r>
      <w:r>
        <w:rPr>
          <w:rFonts w:hint="eastAsia" w:ascii="宋体" w:hAnsi="宋体" w:eastAsia="宋体" w:cs="宋体"/>
          <w:color w:val="000000"/>
          <w:sz w:val="21"/>
          <w:szCs w:val="21"/>
          <w:lang w:val="zh-CN" w:eastAsia="zh-CN"/>
        </w:rPr>
        <w:t xml:space="preserve">份，乙方持有壹份。</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17.3本合同应按照中华人民共和国的现行法律进行解释。</w:t>
      </w:r>
      <w:r/>
    </w:p>
    <w:tbl>
      <w:tblPr>
        <w:tblStyle w:val="723"/>
        <w:tblW w:w="499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688"/>
        <w:gridCol w:w="4675"/>
      </w:tblGrid>
      <w:tr>
        <w:trPr>
          <w:trHeight w:val="1203"/>
        </w:trPr>
        <w:tc>
          <w:tcPr>
            <w:shd w:val="clear" w:color="auto" w:fill="ffffff"/>
            <w:tcBorders>
              <w:top w:val="single" w:color="000000" w:sz="4" w:space="0"/>
              <w:left w:val="single" w:color="000000" w:sz="4" w:space="0"/>
              <w:bottom w:val="single" w:color="000000" w:sz="4" w:space="0"/>
              <w:right w:val="single" w:color="000000" w:sz="4" w:space="0"/>
            </w:tcBorders>
            <w:tcW w:w="2503" w:type="pct"/>
            <w:textDirection w:val="lrTb"/>
            <w:noWrap w:val="false"/>
          </w:tcPr>
          <w:p>
            <w:pPr>
              <w:ind w:right="181"/>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甲方(公章)：江苏海事职业技术学院</w:t>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r>
            <w:r/>
          </w:p>
          <w:p>
            <w:pPr>
              <w:ind w:right="181" w:firstLine="480"/>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r>
            <w:r/>
          </w:p>
          <w:p>
            <w:pPr>
              <w:ind w:right="181"/>
              <w:spacing w:after="0" w:line="360" w:lineRule="auto"/>
              <w:rPr>
                <w:rFonts w:hint="eastAsia" w:ascii="宋体" w:hAnsi="宋体" w:eastAsia="宋体" w:cs="宋体"/>
                <w:color w:val="000000"/>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rPr>
              <w:t xml:space="preserve">年  月  日</w:t>
            </w:r>
            <w:r/>
          </w:p>
        </w:tc>
        <w:tc>
          <w:tcPr>
            <w:shd w:val="clear" w:color="auto" w:fill="ffffff"/>
            <w:tcBorders>
              <w:top w:val="single" w:color="000000" w:sz="4" w:space="0"/>
              <w:left w:val="single" w:color="000000" w:sz="4" w:space="0"/>
              <w:bottom w:val="single" w:color="000000" w:sz="4" w:space="0"/>
              <w:right w:val="single" w:color="000000" w:sz="4" w:space="0"/>
            </w:tcBorders>
            <w:tcW w:w="2496" w:type="pct"/>
            <w:textDirection w:val="lrTb"/>
            <w:noWrap w:val="false"/>
          </w:tcPr>
          <w:p>
            <w:pPr>
              <w:ind w:right="181"/>
              <w:spacing w:after="0" w:line="360" w:lineRule="auto"/>
              <w:rPr>
                <w:rFonts w:hint="eastAsia" w:ascii="宋体" w:hAnsi="宋体" w:eastAsia="宋体" w:cs="宋体"/>
                <w:color w:val="000000"/>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rPr>
              <w:t xml:space="preserve">乙方(公章):</w:t>
            </w:r>
            <w:r/>
          </w:p>
          <w:p>
            <w:pPr>
              <w:ind w:right="181" w:firstLine="480"/>
              <w:spacing w:after="0" w:line="360" w:lineRule="auto"/>
              <w:rPr>
                <w:rFonts w:hint="eastAsia" w:ascii="宋体" w:hAnsi="宋体" w:eastAsia="宋体" w:cs="宋体"/>
                <w:color w:val="000000"/>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rPr>
            </w:r>
            <w:r/>
          </w:p>
          <w:p>
            <w:pPr>
              <w:ind w:right="181" w:firstLine="480"/>
              <w:spacing w:after="0" w:line="360" w:lineRule="auto"/>
              <w:rPr>
                <w:rFonts w:hint="eastAsia" w:ascii="宋体" w:hAnsi="宋体" w:eastAsia="宋体" w:cs="宋体"/>
                <w:color w:val="000000"/>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rPr>
            </w:r>
            <w:r/>
          </w:p>
          <w:p>
            <w:pPr>
              <w:ind w:right="181"/>
              <w:spacing w:after="0" w:line="360" w:lineRule="auto"/>
              <w:rPr>
                <w:rFonts w:hint="eastAsia" w:ascii="宋体" w:hAnsi="宋体" w:eastAsia="宋体" w:cs="宋体"/>
                <w:color w:val="000000"/>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rPr>
              <w:t xml:space="preserve">年  月  日</w:t>
            </w:r>
            <w:r/>
          </w:p>
        </w:tc>
      </w:tr>
      <w:tr>
        <w:trPr>
          <w:trHeight w:val="373"/>
        </w:trPr>
        <w:tc>
          <w:tcPr>
            <w:shd w:val="clear" w:color="auto" w:fill="ffffff"/>
            <w:tcBorders>
              <w:top w:val="single" w:color="000000" w:sz="4" w:space="0"/>
              <w:left w:val="single" w:color="000000" w:sz="4" w:space="0"/>
              <w:bottom w:val="single" w:color="000000" w:sz="4" w:space="0"/>
              <w:right w:val="single" w:color="000000" w:sz="4" w:space="0"/>
            </w:tcBorders>
            <w:tcW w:w="2503" w:type="pct"/>
            <w:textDirection w:val="lrTb"/>
            <w:noWrap w:val="false"/>
          </w:tcPr>
          <w:p>
            <w:pPr>
              <w:ind w:right="181"/>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单位地址：江苏省南京市江宁区格致路309号</w:t>
            </w:r>
            <w:r/>
          </w:p>
        </w:tc>
        <w:tc>
          <w:tcPr>
            <w:shd w:val="clear" w:color="auto" w:fill="ffffff"/>
            <w:tcBorders>
              <w:top w:val="single" w:color="000000" w:sz="4" w:space="0"/>
              <w:left w:val="single" w:color="000000" w:sz="4" w:space="0"/>
              <w:bottom w:val="single" w:color="000000" w:sz="4" w:space="0"/>
              <w:right w:val="single" w:color="000000" w:sz="4" w:space="0"/>
            </w:tcBorders>
            <w:tcW w:w="2496" w:type="pct"/>
            <w:textDirection w:val="lrTb"/>
            <w:noWrap w:val="false"/>
          </w:tcPr>
          <w:p>
            <w:pPr>
              <w:ind w:right="181"/>
              <w:spacing w:after="0" w:line="360" w:lineRule="auto"/>
              <w:rPr>
                <w:rFonts w:hint="eastAsia" w:ascii="宋体" w:hAnsi="宋体" w:eastAsia="宋体" w:cs="宋体"/>
                <w:color w:val="000000"/>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rPr>
              <w:t xml:space="preserve">单位地址：</w:t>
            </w:r>
            <w:r/>
          </w:p>
        </w:tc>
      </w:tr>
      <w:tr>
        <w:trPr>
          <w:trHeight w:val="373"/>
        </w:trPr>
        <w:tc>
          <w:tcPr>
            <w:shd w:val="clear" w:color="auto" w:fill="ffffff"/>
            <w:tcBorders>
              <w:top w:val="single" w:color="000000" w:sz="4" w:space="0"/>
              <w:left w:val="single" w:color="000000" w:sz="4" w:space="0"/>
              <w:bottom w:val="single" w:color="000000" w:sz="4" w:space="0"/>
              <w:right w:val="single" w:color="000000" w:sz="4" w:space="0"/>
            </w:tcBorders>
            <w:tcW w:w="2503" w:type="pct"/>
            <w:textDirection w:val="lrTb"/>
            <w:noWrap w:val="false"/>
          </w:tcPr>
          <w:p>
            <w:pPr>
              <w:ind w:right="181"/>
              <w:spacing w:after="0" w:line="360" w:lineRule="auto"/>
              <w:rPr>
                <w:rFonts w:hint="eastAsia" w:ascii="宋体" w:hAnsi="宋体" w:eastAsia="宋体" w:cs="宋体"/>
                <w:color w:val="000000"/>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rPr>
              <w:t xml:space="preserve">邮政编码：215009</w:t>
            </w:r>
            <w:r/>
          </w:p>
        </w:tc>
        <w:tc>
          <w:tcPr>
            <w:shd w:val="clear" w:color="auto" w:fill="ffffff"/>
            <w:tcBorders>
              <w:top w:val="single" w:color="000000" w:sz="4" w:space="0"/>
              <w:left w:val="single" w:color="000000" w:sz="4" w:space="0"/>
              <w:bottom w:val="single" w:color="000000" w:sz="4" w:space="0"/>
              <w:right w:val="single" w:color="000000" w:sz="4" w:space="0"/>
            </w:tcBorders>
            <w:tcW w:w="2496" w:type="pct"/>
            <w:textDirection w:val="lrTb"/>
            <w:noWrap w:val="false"/>
          </w:tcPr>
          <w:p>
            <w:pPr>
              <w:ind w:right="181"/>
              <w:spacing w:after="0" w:line="360" w:lineRule="auto"/>
              <w:rPr>
                <w:rFonts w:hint="eastAsia" w:ascii="宋体" w:hAnsi="宋体" w:eastAsia="宋体" w:cs="宋体"/>
                <w:color w:val="000000"/>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rPr>
              <w:t xml:space="preserve">邮政编码：</w:t>
            </w:r>
            <w:r/>
          </w:p>
        </w:tc>
      </w:tr>
      <w:tr>
        <w:trPr>
          <w:trHeight w:val="643"/>
        </w:trPr>
        <w:tc>
          <w:tcPr>
            <w:shd w:val="clear" w:color="auto" w:fill="ffffff"/>
            <w:tcBorders>
              <w:top w:val="single" w:color="000000" w:sz="4" w:space="0"/>
              <w:left w:val="single" w:color="000000" w:sz="4" w:space="0"/>
              <w:bottom w:val="single" w:color="000000" w:sz="4" w:space="0"/>
              <w:right w:val="single" w:color="000000" w:sz="4" w:space="0"/>
            </w:tcBorders>
            <w:tcW w:w="2503" w:type="pct"/>
            <w:textDirection w:val="lrTb"/>
            <w:noWrap w:val="false"/>
          </w:tcPr>
          <w:p>
            <w:pPr>
              <w:ind w:right="181"/>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法定代表人（或委托代理人） （签字）：</w:t>
            </w:r>
            <w:r/>
          </w:p>
        </w:tc>
        <w:tc>
          <w:tcPr>
            <w:shd w:val="clear" w:color="auto" w:fill="ffffff"/>
            <w:tcBorders>
              <w:top w:val="single" w:color="000000" w:sz="4" w:space="0"/>
              <w:left w:val="single" w:color="000000" w:sz="4" w:space="0"/>
              <w:bottom w:val="single" w:color="000000" w:sz="4" w:space="0"/>
              <w:right w:val="single" w:color="000000" w:sz="4" w:space="0"/>
            </w:tcBorders>
            <w:tcW w:w="2496" w:type="pct"/>
            <w:textDirection w:val="lrTb"/>
            <w:noWrap w:val="false"/>
          </w:tcPr>
          <w:p>
            <w:pPr>
              <w:ind w:right="181"/>
              <w:spacing w:after="0" w:line="360" w:lineRule="auto"/>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法定代表人（或委托代理人） （签字）：</w:t>
            </w:r>
            <w:r/>
          </w:p>
        </w:tc>
      </w:tr>
      <w:tr>
        <w:trPr>
          <w:trHeight w:val="374"/>
        </w:trPr>
        <w:tc>
          <w:tcPr>
            <w:shd w:val="clear" w:color="auto" w:fill="ffffff"/>
            <w:tcBorders>
              <w:top w:val="single" w:color="000000" w:sz="4" w:space="0"/>
              <w:left w:val="single" w:color="000000" w:sz="4" w:space="0"/>
              <w:bottom w:val="single" w:color="000000" w:sz="4" w:space="0"/>
              <w:right w:val="single" w:color="000000" w:sz="4" w:space="0"/>
            </w:tcBorders>
            <w:tcW w:w="2503" w:type="pct"/>
            <w:textDirection w:val="lrTb"/>
            <w:noWrap w:val="false"/>
          </w:tcPr>
          <w:p>
            <w:pPr>
              <w:ind w:right="181"/>
              <w:spacing w:after="0" w:line="360" w:lineRule="auto"/>
              <w:rPr>
                <w:rFonts w:hint="eastAsia" w:ascii="宋体" w:hAnsi="宋体" w:eastAsia="宋体" w:cs="宋体"/>
                <w:color w:val="000000"/>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rPr>
              <w:t xml:space="preserve">联系人：</w:t>
            </w:r>
            <w:r/>
          </w:p>
        </w:tc>
        <w:tc>
          <w:tcPr>
            <w:shd w:val="clear" w:color="auto" w:fill="ffffff"/>
            <w:tcBorders>
              <w:top w:val="single" w:color="000000" w:sz="4" w:space="0"/>
              <w:left w:val="single" w:color="000000" w:sz="4" w:space="0"/>
              <w:bottom w:val="single" w:color="000000" w:sz="4" w:space="0"/>
              <w:right w:val="single" w:color="000000" w:sz="4" w:space="0"/>
            </w:tcBorders>
            <w:tcW w:w="2496" w:type="pct"/>
            <w:textDirection w:val="lrTb"/>
            <w:noWrap w:val="false"/>
          </w:tcPr>
          <w:p>
            <w:pPr>
              <w:ind w:right="181"/>
              <w:spacing w:after="0" w:line="360" w:lineRule="auto"/>
              <w:rPr>
                <w:rFonts w:hint="eastAsia" w:ascii="宋体" w:hAnsi="宋体" w:eastAsia="宋体" w:cs="宋体"/>
                <w:color w:val="000000"/>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rPr>
              <w:t xml:space="preserve">联系人：</w:t>
            </w:r>
            <w:r/>
          </w:p>
        </w:tc>
      </w:tr>
      <w:tr>
        <w:trPr>
          <w:trHeight w:val="374"/>
        </w:trPr>
        <w:tc>
          <w:tcPr>
            <w:shd w:val="clear" w:color="auto" w:fill="ffffff"/>
            <w:tcBorders>
              <w:top w:val="single" w:color="000000" w:sz="4" w:space="0"/>
              <w:left w:val="single" w:color="000000" w:sz="4" w:space="0"/>
              <w:bottom w:val="single" w:color="000000" w:sz="4" w:space="0"/>
              <w:right w:val="single" w:color="000000" w:sz="4" w:space="0"/>
            </w:tcBorders>
            <w:tcW w:w="2503" w:type="pct"/>
            <w:textDirection w:val="lrTb"/>
            <w:noWrap w:val="false"/>
          </w:tcPr>
          <w:p>
            <w:pPr>
              <w:ind w:right="181"/>
              <w:spacing w:after="0" w:line="360" w:lineRule="auto"/>
              <w:rPr>
                <w:rFonts w:hint="eastAsia" w:ascii="宋体" w:hAnsi="宋体" w:eastAsia="宋体" w:cs="宋体"/>
                <w:color w:val="000000"/>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rPr>
              <w:t xml:space="preserve">电话：</w:t>
            </w:r>
            <w:r/>
          </w:p>
        </w:tc>
        <w:tc>
          <w:tcPr>
            <w:shd w:val="clear" w:color="auto" w:fill="ffffff"/>
            <w:tcBorders>
              <w:top w:val="single" w:color="000000" w:sz="4" w:space="0"/>
              <w:left w:val="single" w:color="000000" w:sz="4" w:space="0"/>
              <w:bottom w:val="single" w:color="000000" w:sz="4" w:space="0"/>
              <w:right w:val="single" w:color="000000" w:sz="4" w:space="0"/>
            </w:tcBorders>
            <w:tcW w:w="2496" w:type="pct"/>
            <w:textDirection w:val="lrTb"/>
            <w:noWrap w:val="false"/>
          </w:tcPr>
          <w:p>
            <w:pPr>
              <w:ind w:right="181"/>
              <w:spacing w:after="0" w:line="360" w:lineRule="auto"/>
              <w:rPr>
                <w:rFonts w:hint="eastAsia" w:ascii="宋体" w:hAnsi="宋体" w:eastAsia="宋体" w:cs="宋体"/>
                <w:color w:val="000000"/>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rPr>
              <w:t xml:space="preserve">电话：</w:t>
            </w:r>
            <w:r/>
          </w:p>
        </w:tc>
      </w:tr>
      <w:tr>
        <w:trPr>
          <w:trHeight w:val="374"/>
        </w:trPr>
        <w:tc>
          <w:tcPr>
            <w:shd w:val="clear" w:color="auto" w:fill="ffffff"/>
            <w:tcBorders>
              <w:top w:val="single" w:color="000000" w:sz="4" w:space="0"/>
              <w:left w:val="single" w:color="000000" w:sz="4" w:space="0"/>
              <w:bottom w:val="single" w:color="000000" w:sz="4" w:space="0"/>
              <w:right w:val="single" w:color="000000" w:sz="4" w:space="0"/>
            </w:tcBorders>
            <w:tcW w:w="2503" w:type="pct"/>
            <w:textDirection w:val="lrTb"/>
            <w:noWrap w:val="false"/>
          </w:tcPr>
          <w:p>
            <w:pPr>
              <w:ind w:right="181"/>
              <w:spacing w:after="0" w:line="360" w:lineRule="auto"/>
              <w:rPr>
                <w:rFonts w:hint="eastAsia" w:ascii="宋体" w:hAnsi="宋体" w:eastAsia="宋体" w:cs="宋体"/>
                <w:color w:val="000000"/>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rPr>
              <w:t xml:space="preserve">开户银行：</w:t>
            </w:r>
            <w:r/>
          </w:p>
        </w:tc>
        <w:tc>
          <w:tcPr>
            <w:shd w:val="clear" w:color="auto" w:fill="ffffff"/>
            <w:tcBorders>
              <w:top w:val="single" w:color="000000" w:sz="4" w:space="0"/>
              <w:left w:val="single" w:color="000000" w:sz="4" w:space="0"/>
              <w:bottom w:val="single" w:color="000000" w:sz="4" w:space="0"/>
              <w:right w:val="single" w:color="000000" w:sz="4" w:space="0"/>
            </w:tcBorders>
            <w:tcW w:w="2496" w:type="pct"/>
            <w:textDirection w:val="lrTb"/>
            <w:noWrap w:val="false"/>
          </w:tcPr>
          <w:p>
            <w:pPr>
              <w:ind w:right="181"/>
              <w:spacing w:after="0" w:line="360" w:lineRule="auto"/>
              <w:rPr>
                <w:rFonts w:hint="eastAsia" w:ascii="宋体" w:hAnsi="宋体" w:eastAsia="宋体" w:cs="宋体"/>
                <w:color w:val="000000"/>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rPr>
              <w:t xml:space="preserve">开户银行：</w:t>
            </w:r>
            <w:r/>
          </w:p>
        </w:tc>
      </w:tr>
      <w:tr>
        <w:trPr>
          <w:trHeight w:val="381"/>
        </w:trPr>
        <w:tc>
          <w:tcPr>
            <w:shd w:val="clear" w:color="auto" w:fill="ffffff"/>
            <w:tcBorders>
              <w:top w:val="single" w:color="000000" w:sz="4" w:space="0"/>
              <w:left w:val="single" w:color="000000" w:sz="4" w:space="0"/>
              <w:bottom w:val="single" w:color="000000" w:sz="4" w:space="0"/>
              <w:right w:val="single" w:color="000000" w:sz="4" w:space="0"/>
            </w:tcBorders>
            <w:tcW w:w="2503" w:type="pct"/>
            <w:textDirection w:val="lrTb"/>
            <w:noWrap w:val="false"/>
          </w:tcPr>
          <w:p>
            <w:pPr>
              <w:ind w:right="181"/>
              <w:spacing w:after="0" w:line="360" w:lineRule="auto"/>
              <w:rPr>
                <w:rFonts w:hint="eastAsia" w:ascii="宋体" w:hAnsi="宋体" w:eastAsia="宋体" w:cs="宋体"/>
                <w:color w:val="000000"/>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rPr>
              <w:t xml:space="preserve">账号：</w:t>
            </w:r>
            <w:r/>
          </w:p>
        </w:tc>
        <w:tc>
          <w:tcPr>
            <w:shd w:val="clear" w:color="auto" w:fill="ffffff"/>
            <w:tcBorders>
              <w:top w:val="single" w:color="000000" w:sz="4" w:space="0"/>
              <w:left w:val="single" w:color="000000" w:sz="4" w:space="0"/>
              <w:bottom w:val="single" w:color="000000" w:sz="4" w:space="0"/>
              <w:right w:val="single" w:color="000000" w:sz="4" w:space="0"/>
            </w:tcBorders>
            <w:tcW w:w="2496" w:type="pct"/>
            <w:textDirection w:val="lrTb"/>
            <w:noWrap w:val="false"/>
          </w:tcPr>
          <w:p>
            <w:pPr>
              <w:ind w:right="181"/>
              <w:spacing w:after="0" w:line="360" w:lineRule="auto"/>
              <w:rPr>
                <w:rFonts w:hint="eastAsia" w:ascii="宋体" w:hAnsi="宋体" w:eastAsia="宋体" w:cs="宋体"/>
                <w:color w:val="000000"/>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rPr>
              <w:t xml:space="preserve">账号：</w:t>
            </w:r>
            <w:r/>
          </w:p>
        </w:tc>
      </w:tr>
    </w:tbl>
    <w:p>
      <w:pPr>
        <w:ind w:right="181" w:firstLine="480"/>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p>
      <w:pP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br w:type="page" w:clear="all"/>
      </w:r>
      <w:r/>
    </w:p>
    <w:p>
      <w:pPr>
        <w:jc w:val="center"/>
        <w:spacing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第六章</w:t>
      </w:r>
      <w:r>
        <w:rPr>
          <w:rFonts w:hint="eastAsia" w:ascii="宋体" w:hAnsi="宋体" w:eastAsia="宋体" w:cs="宋体"/>
          <w:b/>
          <w:color w:val="000000"/>
          <w:sz w:val="36"/>
          <w:lang w:eastAsia="zh-CN"/>
        </w:rPr>
        <w:t xml:space="preserve">  </w:t>
      </w:r>
      <w:r>
        <w:rPr>
          <w:rFonts w:ascii="宋体" w:hAnsi="宋体" w:eastAsia="宋体" w:cs="宋体"/>
          <w:b/>
          <w:color w:val="000000"/>
          <w:sz w:val="36"/>
        </w:rPr>
        <w:t xml:space="preserve">投标文件格式</w:t>
      </w:r>
      <w:r/>
    </w:p>
    <w:p>
      <w:pPr>
        <w:jc w:val="center"/>
        <w:spacing w:after="0" w:line="360" w:lineRule="auto"/>
        <w:rPr>
          <w:rFonts w:hint="eastAsia"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rPr>
      </w:r>
      <w:r/>
    </w:p>
    <w:p>
      <w:pPr>
        <w:jc w:val="center"/>
        <w:spacing w:after="0" w:line="360" w:lineRule="auto"/>
        <w:rPr>
          <w:rFonts w:hint="eastAsia"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rPr>
      </w:r>
      <w:r/>
    </w:p>
    <w:p>
      <w:pPr>
        <w:jc w:val="center"/>
        <w:spacing w:after="0" w:line="360" w:lineRule="auto"/>
        <w:rPr>
          <w:rFonts w:hint="eastAsia"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rPr>
      </w:r>
      <w:r/>
    </w:p>
    <w:p>
      <w:pPr>
        <w:jc w:val="center"/>
        <w:spacing w:after="0" w:line="360" w:lineRule="auto"/>
        <w:rPr>
          <w:rFonts w:hint="eastAsia"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rPr>
      </w:r>
      <w:r/>
    </w:p>
    <w:p>
      <w:pPr>
        <w:jc w:val="center"/>
        <w:spacing w:after="0" w:line="360" w:lineRule="auto"/>
        <w:rPr>
          <w:rFonts w:hint="eastAsia"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rPr>
      </w:r>
      <w:r/>
    </w:p>
    <w:p>
      <w:pPr>
        <w:jc w:val="center"/>
        <w:spacing w:after="0" w:line="360" w:lineRule="auto"/>
        <w:rPr>
          <w:b/>
          <w:bCs/>
          <w:sz w:val="36"/>
          <w:szCs w:val="36"/>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8"/>
          <w:szCs w:val="36"/>
        </w:rPr>
        <w:t xml:space="preserve">投 标 文 件</w:t>
      </w:r>
      <w:r/>
    </w:p>
    <w:p>
      <w:pPr>
        <w:jc w:val="both"/>
        <w:spacing w:after="0" w:line="360" w:lineRule="auto"/>
        <w:rPr>
          <w:rFonts w:hint="eastAsia" w:ascii="宋体" w:hAnsi="宋体" w:eastAsia="宋体" w:cs="宋体"/>
          <w:color w:val="000000"/>
          <w:sz w:val="28"/>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1"/>
        </w:rPr>
      </w:r>
      <w:r/>
    </w:p>
    <w:p>
      <w:pPr>
        <w:jc w:val="both"/>
        <w:spacing w:after="0" w:line="360" w:lineRule="auto"/>
        <w:rPr>
          <w:rFonts w:hint="eastAsia" w:ascii="宋体" w:hAnsi="宋体" w:eastAsia="宋体" w:cs="宋体"/>
          <w:color w:val="000000"/>
          <w:sz w:val="28"/>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1"/>
        </w:rPr>
      </w:r>
      <w:r/>
    </w:p>
    <w:p>
      <w:pPr>
        <w:jc w:val="both"/>
        <w:spacing w:after="0" w:line="360" w:lineRule="auto"/>
        <w:rPr>
          <w:rFonts w:hint="eastAsia" w:ascii="宋体" w:hAnsi="宋体" w:eastAsia="宋体" w:cs="宋体"/>
          <w:color w:val="000000"/>
          <w:sz w:val="28"/>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1"/>
        </w:rPr>
      </w:r>
      <w:r/>
    </w:p>
    <w:p>
      <w:pPr>
        <w:jc w:val="both"/>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1"/>
        </w:rPr>
        <w:t xml:space="preserve">项 目 名 称：</w:t>
      </w:r>
      <w:r>
        <w:rPr>
          <w:rFonts w:hint="eastAsia" w:ascii="宋体" w:hAnsi="宋体" w:eastAsia="宋体" w:cs="宋体"/>
          <w:b/>
          <w:color w:val="000000"/>
          <w:sz w:val="32"/>
          <w:szCs w:val="21"/>
          <w:lang w:eastAsia="zh-CN"/>
        </w:rPr>
        <w:t xml:space="preserve"> </w:t>
      </w:r>
      <w:r/>
    </w:p>
    <w:p>
      <w:pP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1"/>
        </w:rPr>
        <w:t xml:space="preserve">项 目 编 号：</w:t>
      </w:r>
      <w:r>
        <w:rPr>
          <w:rFonts w:hint="eastAsia" w:ascii="宋体" w:hAnsi="宋体" w:eastAsia="宋体" w:cs="宋体"/>
          <w:color w:val="000000"/>
          <w:sz w:val="28"/>
          <w:szCs w:val="21"/>
          <w:lang w:eastAsia="zh-CN"/>
        </w:rPr>
        <w:t xml:space="preserve"> </w:t>
      </w:r>
      <w:r/>
    </w:p>
    <w:p>
      <w:pPr>
        <w:spacing w:after="0" w:line="360" w:lineRule="auto"/>
        <w:pBdr>
          <w:top w:val="none" w:color="000000" w:sz="0" w:space="0"/>
          <w:left w:val="none" w:color="000000" w:sz="0" w:space="0"/>
          <w:bottom w:val="none" w:color="000000" w:sz="0" w:space="0"/>
          <w:right w:val="none" w:color="000000" w:sz="0" w:space="0"/>
        </w:pBdr>
      </w:pPr>
      <w:r/>
      <w:r/>
    </w:p>
    <w:p>
      <w:pPr>
        <w:spacing w:after="0" w:line="360" w:lineRule="auto"/>
        <w:pBdr>
          <w:top w:val="none" w:color="000000" w:sz="0" w:space="0"/>
          <w:left w:val="none" w:color="000000" w:sz="0" w:space="0"/>
          <w:bottom w:val="none" w:color="000000" w:sz="0" w:space="0"/>
          <w:right w:val="none" w:color="000000" w:sz="0" w:space="0"/>
        </w:pBdr>
      </w:pPr>
      <w:r/>
      <w:r/>
    </w:p>
    <w:p>
      <w:pPr>
        <w:spacing w:after="0" w:line="360" w:lineRule="auto"/>
        <w:pBdr>
          <w:top w:val="none" w:color="000000" w:sz="0" w:space="0"/>
          <w:left w:val="none" w:color="000000" w:sz="0" w:space="0"/>
          <w:bottom w:val="none" w:color="000000" w:sz="0" w:space="0"/>
          <w:right w:val="none" w:color="000000" w:sz="0" w:space="0"/>
        </w:pBdr>
      </w:pPr>
      <w:r/>
      <w:r/>
    </w:p>
    <w:p>
      <w:pPr>
        <w:spacing w:after="0" w:line="360" w:lineRule="auto"/>
        <w:pBdr>
          <w:top w:val="none" w:color="000000" w:sz="0" w:space="0"/>
          <w:left w:val="none" w:color="000000" w:sz="0" w:space="0"/>
          <w:bottom w:val="none" w:color="000000" w:sz="0" w:space="0"/>
          <w:right w:val="none" w:color="000000" w:sz="0" w:space="0"/>
        </w:pBdr>
      </w:pPr>
      <w:r/>
      <w:r/>
    </w:p>
    <w:p>
      <w:pPr>
        <w:spacing w:after="0" w:line="360" w:lineRule="auto"/>
        <w:pBdr>
          <w:top w:val="none" w:color="000000" w:sz="0" w:space="0"/>
          <w:left w:val="none" w:color="000000" w:sz="0" w:space="0"/>
          <w:bottom w:val="none" w:color="000000" w:sz="0" w:space="0"/>
          <w:right w:val="none" w:color="000000" w:sz="0" w:space="0"/>
        </w:pBdr>
      </w:pPr>
      <w:r/>
      <w:r/>
    </w:p>
    <w:p>
      <w:pPr>
        <w:spacing w:after="0" w:line="360" w:lineRule="auto"/>
        <w:pBdr>
          <w:top w:val="none" w:color="000000" w:sz="0" w:space="0"/>
          <w:left w:val="none" w:color="000000" w:sz="0" w:space="0"/>
          <w:bottom w:val="none" w:color="000000" w:sz="0" w:space="0"/>
          <w:right w:val="none" w:color="000000" w:sz="0" w:space="0"/>
        </w:pBdr>
      </w:pPr>
      <w:r/>
      <w:r/>
    </w:p>
    <w:p>
      <w:pPr>
        <w:spacing w:after="0" w:line="360" w:lineRule="auto"/>
        <w:pBdr>
          <w:top w:val="none" w:color="000000" w:sz="0" w:space="0"/>
          <w:left w:val="none" w:color="000000" w:sz="0" w:space="0"/>
          <w:bottom w:val="none" w:color="000000" w:sz="0" w:space="0"/>
          <w:right w:val="none" w:color="000000" w:sz="0" w:space="0"/>
        </w:pBdr>
      </w:pPr>
      <w:r/>
      <w:r/>
    </w:p>
    <w:p>
      <w:pPr>
        <w:spacing w:after="0"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lang w:eastAsia="zh-CN"/>
        </w:rPr>
        <w:t xml:space="preserve">供应商</w:t>
      </w:r>
      <w:r>
        <w:rPr>
          <w:rFonts w:ascii="宋体" w:hAnsi="宋体" w:eastAsia="宋体" w:cs="宋体"/>
          <w:color w:val="000000"/>
          <w:sz w:val="32"/>
        </w:rPr>
        <w:t xml:space="preserve">名称 ：</w:t>
      </w:r>
      <w:r/>
    </w:p>
    <w:p>
      <w:pPr>
        <w:spacing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法人（授权代表） ：</w:t>
      </w:r>
      <w:r/>
    </w:p>
    <w:p>
      <w:pPr>
        <w:spacing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联系电话：</w:t>
      </w:r>
      <w:r/>
    </w:p>
    <w:p>
      <w:pPr>
        <w:spacing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日 期：</w:t>
      </w:r>
      <w:r/>
    </w:p>
    <w:p>
      <w:pPr>
        <w:spacing w:after="0" w:line="360" w:lineRule="auto"/>
        <w:pBdr>
          <w:top w:val="none" w:color="000000" w:sz="0" w:space="0"/>
          <w:left w:val="none" w:color="000000" w:sz="0" w:space="0"/>
          <w:bottom w:val="none" w:color="000000" w:sz="0" w:space="0"/>
          <w:right w:val="none" w:color="000000" w:sz="0" w:space="0"/>
        </w:pBdr>
      </w:pPr>
      <w:r>
        <w:br w:type="page" w:clear="all"/>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lang w:eastAsia="zh-CN"/>
        </w:rPr>
        <w:t xml:space="preserve">资格性和符合性检查响应对照及评分索引表</w:t>
      </w:r>
      <w:r/>
    </w:p>
    <w:p>
      <w:pPr>
        <w:spacing w:before="120" w:after="120" w:line="360" w:lineRule="auto"/>
        <w:rPr>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全称（加盖公章）：</w:t>
      </w:r>
      <w:r/>
    </w:p>
    <w:tbl>
      <w:tblPr>
        <w:tblStyle w:val="748"/>
        <w:tblW w:w="0" w:type="auto"/>
        <w:tblInd w:w="-80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3"/>
        <w:gridCol w:w="6082"/>
        <w:gridCol w:w="2123"/>
        <w:gridCol w:w="1517"/>
      </w:tblGrid>
      <w:tr>
        <w:trPr>
          <w:trHeight w:val="60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3" w:type="dxa"/>
            <w:vAlign w:val="center"/>
            <w:textDirection w:val="lrTb"/>
            <w:noWrap w:val="false"/>
          </w:tcPr>
          <w:p>
            <w:pPr>
              <w:jc w:val="cente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2" w:type="dxa"/>
            <w:vAlign w:val="center"/>
            <w:textDirection w:val="lrTb"/>
            <w:noWrap w:val="false"/>
          </w:tcPr>
          <w:p>
            <w:pPr>
              <w:jc w:val="center"/>
              <w:spacing w:after="0" w:line="360" w:lineRule="auto"/>
              <w:rPr>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资格性和符合性检查响应内容</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23" w:type="dxa"/>
            <w:vAlign w:val="center"/>
            <w:textDirection w:val="lrTb"/>
            <w:noWrap w:val="false"/>
          </w:tcPr>
          <w:p>
            <w:pPr>
              <w:jc w:val="center"/>
              <w:spacing w:after="0" w:line="360" w:lineRule="auto"/>
              <w:rPr>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是否响应</w:t>
            </w:r>
            <w:r/>
          </w:p>
          <w:p>
            <w:pPr>
              <w:jc w:val="center"/>
              <w:spacing w:after="0" w:line="360" w:lineRule="auto"/>
              <w:rPr>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（填是或者否）</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7" w:type="dxa"/>
            <w:vAlign w:val="center"/>
            <w:textDirection w:val="lrTb"/>
            <w:noWrap w:val="false"/>
          </w:tcPr>
          <w:p>
            <w:pPr>
              <w:jc w:val="center"/>
              <w:spacing w:after="0" w:line="360" w:lineRule="auto"/>
              <w:rPr>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投标文件中的页码位置</w:t>
            </w:r>
            <w:r/>
          </w:p>
        </w:tc>
      </w:tr>
      <w:tr>
        <w:trPr>
          <w:trHeight w:val="809"/>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3" w:type="dxa"/>
            <w:vAlign w:val="center"/>
            <w:textDirection w:val="lrTb"/>
            <w:noWrap w:val="false"/>
          </w:tcPr>
          <w:p>
            <w:pPr>
              <w:jc w:val="cente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2" w:type="dxa"/>
            <w:vAlign w:val="center"/>
            <w:textDirection w:val="lrTb"/>
            <w:noWrap w:val="false"/>
          </w:tcPr>
          <w:p>
            <w:pP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23" w:type="dxa"/>
            <w:vAlign w:val="center"/>
            <w:textDirection w:val="lrTb"/>
            <w:noWrap w:val="false"/>
          </w:tcPr>
          <w:p>
            <w:pP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7" w:type="dxa"/>
            <w:vAlign w:val="center"/>
            <w:textDirection w:val="lrTb"/>
            <w:noWrap w:val="false"/>
          </w:tcPr>
          <w:p>
            <w:pP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color w:val="000000"/>
                <w:sz w:val="21"/>
                <w:szCs w:val="21"/>
              </w:rPr>
            </w:r>
            <w:r/>
          </w:p>
        </w:tc>
      </w:tr>
      <w:tr>
        <w:trPr>
          <w:trHeight w:val="92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3" w:type="dxa"/>
            <w:vAlign w:val="center"/>
            <w:textDirection w:val="lrTb"/>
            <w:noWrap w:val="false"/>
          </w:tcPr>
          <w:p>
            <w:pPr>
              <w:jc w:val="cente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2" w:type="dxa"/>
            <w:vAlign w:val="center"/>
            <w:textDirection w:val="lrTb"/>
            <w:noWrap w:val="false"/>
          </w:tcPr>
          <w:p>
            <w:pPr>
              <w:spacing w:before="50" w:after="120" w:line="360" w:lineRule="auto"/>
              <w:rPr>
                <w:color w:val="000000"/>
                <w:sz w:val="21"/>
                <w:szCs w:val="21"/>
              </w:rPr>
              <w:pBdr>
                <w:top w:val="none" w:color="000000" w:sz="0" w:space="0"/>
                <w:left w:val="none" w:color="000000" w:sz="0" w:space="0"/>
                <w:bottom w:val="none" w:color="000000" w:sz="0" w:space="0"/>
                <w:right w:val="none" w:color="000000" w:sz="0" w:space="0"/>
              </w:pBdr>
            </w:pPr>
            <w:r>
              <w:rPr>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23" w:type="dxa"/>
            <w:vAlign w:val="center"/>
            <w:textDirection w:val="lrTb"/>
            <w:noWrap w:val="false"/>
          </w:tcPr>
          <w:p>
            <w:pP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7" w:type="dxa"/>
            <w:vAlign w:val="center"/>
            <w:textDirection w:val="lrTb"/>
            <w:noWrap w:val="false"/>
          </w:tcPr>
          <w:p>
            <w:pP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color w:val="000000"/>
                <w:sz w:val="21"/>
                <w:szCs w:val="21"/>
              </w:rPr>
            </w:r>
            <w:r/>
          </w:p>
        </w:tc>
      </w:tr>
      <w:tr>
        <w:trPr>
          <w:trHeight w:val="1343"/>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3" w:type="dxa"/>
            <w:vAlign w:val="center"/>
            <w:textDirection w:val="lrTb"/>
            <w:noWrap w:val="false"/>
          </w:tcPr>
          <w:p>
            <w:pPr>
              <w:jc w:val="cente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2" w:type="dxa"/>
            <w:vAlign w:val="center"/>
            <w:textDirection w:val="lrTb"/>
            <w:noWrap w:val="false"/>
          </w:tcPr>
          <w:p>
            <w:pP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23" w:type="dxa"/>
            <w:vAlign w:val="center"/>
            <w:textDirection w:val="lrTb"/>
            <w:noWrap w:val="false"/>
          </w:tcPr>
          <w:p>
            <w:pP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7" w:type="dxa"/>
            <w:vAlign w:val="center"/>
            <w:textDirection w:val="lrTb"/>
            <w:noWrap w:val="false"/>
          </w:tcPr>
          <w:p>
            <w:pP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color w:val="000000"/>
                <w:sz w:val="21"/>
                <w:szCs w:val="21"/>
              </w:rPr>
            </w:r>
            <w:r/>
          </w:p>
        </w:tc>
      </w:tr>
      <w:tr>
        <w:trPr>
          <w:trHeight w:val="379"/>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3" w:type="dxa"/>
            <w:vAlign w:val="center"/>
            <w:textDirection w:val="lrTb"/>
            <w:noWrap w:val="false"/>
          </w:tcPr>
          <w:p>
            <w:pPr>
              <w:jc w:val="cente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2" w:type="dxa"/>
            <w:vAlign w:val="center"/>
            <w:textDirection w:val="lrTb"/>
            <w:noWrap w:val="false"/>
          </w:tcPr>
          <w:p>
            <w:pP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23" w:type="dxa"/>
            <w:vAlign w:val="center"/>
            <w:textDirection w:val="lrTb"/>
            <w:noWrap w:val="false"/>
          </w:tcPr>
          <w:p>
            <w:pP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7" w:type="dxa"/>
            <w:vAlign w:val="center"/>
            <w:textDirection w:val="lrTb"/>
            <w:noWrap w:val="false"/>
          </w:tcPr>
          <w:p>
            <w:pP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color w:val="000000"/>
                <w:sz w:val="21"/>
                <w:szCs w:val="21"/>
              </w:rPr>
            </w:r>
            <w:r/>
          </w:p>
        </w:tc>
      </w:tr>
      <w:tr>
        <w:trPr>
          <w:trHeight w:val="1292"/>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3" w:type="dxa"/>
            <w:vAlign w:val="center"/>
            <w:textDirection w:val="lrTb"/>
            <w:noWrap w:val="false"/>
          </w:tcPr>
          <w:p>
            <w:pPr>
              <w:jc w:val="cente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2" w:type="dxa"/>
            <w:vAlign w:val="center"/>
            <w:textDirection w:val="lrTb"/>
            <w:noWrap w:val="false"/>
          </w:tcPr>
          <w:p>
            <w:pP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23" w:type="dxa"/>
            <w:vAlign w:val="center"/>
            <w:textDirection w:val="lrTb"/>
            <w:noWrap w:val="false"/>
          </w:tcPr>
          <w:p>
            <w:pP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7" w:type="dxa"/>
            <w:vAlign w:val="center"/>
            <w:textDirection w:val="lrTb"/>
            <w:noWrap w:val="false"/>
          </w:tcPr>
          <w:p>
            <w:pP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color w:val="000000"/>
                <w:sz w:val="21"/>
                <w:szCs w:val="21"/>
              </w:rPr>
            </w:r>
            <w:r/>
          </w:p>
        </w:tc>
      </w:tr>
      <w:tr>
        <w:trPr>
          <w:trHeight w:val="1292"/>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3" w:type="dxa"/>
            <w:vAlign w:val="center"/>
            <w:textDirection w:val="lrTb"/>
            <w:noWrap w:val="false"/>
          </w:tcPr>
          <w:p>
            <w:pPr>
              <w:jc w:val="cente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2" w:type="dxa"/>
            <w:vAlign w:val="center"/>
            <w:textDirection w:val="lrTb"/>
            <w:noWrap w:val="false"/>
          </w:tcPr>
          <w:p>
            <w:pP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23" w:type="dxa"/>
            <w:vAlign w:val="center"/>
            <w:textDirection w:val="lrTb"/>
            <w:noWrap w:val="false"/>
          </w:tcPr>
          <w:p>
            <w:pP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7" w:type="dxa"/>
            <w:vAlign w:val="center"/>
            <w:textDirection w:val="lrTb"/>
            <w:noWrap w:val="false"/>
          </w:tcPr>
          <w:p>
            <w:pP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color w:val="000000"/>
                <w:sz w:val="21"/>
                <w:szCs w:val="21"/>
              </w:rPr>
            </w:r>
            <w:r/>
          </w:p>
        </w:tc>
      </w:tr>
      <w:tr>
        <w:trPr>
          <w:trHeight w:val="89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3" w:type="dxa"/>
            <w:vAlign w:val="center"/>
            <w:textDirection w:val="lrTb"/>
            <w:noWrap w:val="false"/>
          </w:tcPr>
          <w:p>
            <w:pPr>
              <w:jc w:val="cente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2" w:type="dxa"/>
            <w:vAlign w:val="center"/>
            <w:textDirection w:val="lrTb"/>
            <w:noWrap w:val="false"/>
          </w:tcPr>
          <w:p>
            <w:pP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23" w:type="dxa"/>
            <w:vAlign w:val="center"/>
            <w:textDirection w:val="lrTb"/>
            <w:noWrap w:val="false"/>
          </w:tcPr>
          <w:p>
            <w:pP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7" w:type="dxa"/>
            <w:vAlign w:val="center"/>
            <w:textDirection w:val="lrTb"/>
            <w:noWrap w:val="false"/>
          </w:tcPr>
          <w:p>
            <w:pP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color w:val="000000"/>
                <w:sz w:val="21"/>
                <w:szCs w:val="21"/>
              </w:rPr>
            </w:r>
            <w:r/>
          </w:p>
        </w:tc>
      </w:tr>
      <w:tr>
        <w:trPr>
          <w:trHeight w:val="489"/>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3" w:type="dxa"/>
            <w:vAlign w:val="center"/>
            <w:textDirection w:val="lrTb"/>
            <w:noWrap w:val="false"/>
          </w:tcPr>
          <w:p>
            <w:pPr>
              <w:jc w:val="cente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2" w:type="dxa"/>
            <w:vAlign w:val="center"/>
            <w:textDirection w:val="lrTb"/>
            <w:noWrap w:val="false"/>
          </w:tcPr>
          <w:p>
            <w:pP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23" w:type="dxa"/>
            <w:vAlign w:val="center"/>
            <w:textDirection w:val="lrTb"/>
            <w:noWrap w:val="false"/>
          </w:tcPr>
          <w:p>
            <w:pPr>
              <w:spacing w:after="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7" w:type="dxa"/>
            <w:vAlign w:val="center"/>
            <w:textDirection w:val="lrTb"/>
            <w:noWrap w:val="false"/>
          </w:tcPr>
          <w:p>
            <w:pPr>
              <w:spacing w:after="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3" w:type="dxa"/>
            <w:vAlign w:val="center"/>
            <w:textDirection w:val="lrTb"/>
            <w:noWrap w:val="false"/>
          </w:tcPr>
          <w:p>
            <w:pPr>
              <w:jc w:val="cente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2" w:type="dxa"/>
            <w:vAlign w:val="center"/>
            <w:textDirection w:val="lrTb"/>
            <w:noWrap w:val="false"/>
          </w:tcPr>
          <w:p>
            <w:pP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23" w:type="dxa"/>
            <w:vAlign w:val="center"/>
            <w:textDirection w:val="lrTb"/>
            <w:noWrap w:val="false"/>
          </w:tcPr>
          <w:p>
            <w:pPr>
              <w:spacing w:after="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7" w:type="dxa"/>
            <w:vAlign w:val="center"/>
            <w:textDirection w:val="lrTb"/>
            <w:noWrap w:val="false"/>
          </w:tcPr>
          <w:p>
            <w:pPr>
              <w:spacing w:after="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r>
    </w:tbl>
    <w:p>
      <w:pPr>
        <w:spacing w:after="0" w:line="360" w:lineRule="auto"/>
        <w:pBdr>
          <w:top w:val="none" w:color="000000" w:sz="0" w:space="0"/>
          <w:left w:val="none" w:color="000000" w:sz="0" w:space="0"/>
          <w:bottom w:val="none" w:color="000000" w:sz="0" w:space="0"/>
          <w:right w:val="none" w:color="000000" w:sz="0" w:space="0"/>
        </w:pBdr>
      </w:pPr>
      <w:r>
        <w:br w:type="page" w:clear="all"/>
      </w:r>
      <w:r/>
    </w:p>
    <w:p>
      <w:pPr>
        <w:spacing w:after="0" w:line="360" w:lineRule="auto"/>
        <w:pBdr>
          <w:top w:val="none" w:color="000000" w:sz="0" w:space="0"/>
          <w:left w:val="none" w:color="000000" w:sz="0" w:space="0"/>
          <w:bottom w:val="none" w:color="000000" w:sz="0" w:space="0"/>
          <w:right w:val="none" w:color="000000" w:sz="0" w:space="0"/>
        </w:pBdr>
      </w:pPr>
      <w:r/>
      <w:r/>
    </w:p>
    <w:p>
      <w:pPr>
        <w:jc w:val="center"/>
        <w:spacing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目录</w:t>
      </w:r>
      <w:r/>
    </w:p>
    <w:p>
      <w:pPr>
        <w:jc w:val="both"/>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一、投标函</w:t>
      </w:r>
      <w:r/>
    </w:p>
    <w:p>
      <w:pPr>
        <w:jc w:val="both"/>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二、投标一览表</w:t>
      </w:r>
      <w:r/>
    </w:p>
    <w:p>
      <w:pPr>
        <w:jc w:val="both"/>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三、资格证明文件</w:t>
      </w:r>
      <w:r/>
    </w:p>
    <w:p>
      <w:pPr>
        <w:jc w:val="both"/>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四、商务条款响应及偏离表</w:t>
      </w:r>
      <w:r/>
    </w:p>
    <w:p>
      <w:pPr>
        <w:jc w:val="both"/>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五、技术参数响应及偏离表</w:t>
      </w:r>
      <w:r/>
    </w:p>
    <w:p>
      <w:pPr>
        <w:jc w:val="both"/>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六、项目经验情况表</w:t>
      </w:r>
      <w:r/>
    </w:p>
    <w:p>
      <w:pPr>
        <w:jc w:val="both"/>
        <w:spacing w:after="0" w:line="360" w:lineRule="auto"/>
        <w:tabs>
          <w:tab w:val="left" w:pos="576" w:leader="none"/>
        </w:tabs>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七、技术力量情况表</w:t>
      </w:r>
      <w:r/>
    </w:p>
    <w:p>
      <w:pPr>
        <w:jc w:val="both"/>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八、技术方案</w:t>
      </w:r>
      <w:r/>
    </w:p>
    <w:p>
      <w:pPr>
        <w:jc w:val="both"/>
        <w:spacing w:after="0" w:line="360" w:lineRule="auto"/>
        <w:tabs>
          <w:tab w:val="left" w:pos="576" w:leader="none"/>
        </w:tabs>
        <w:rPr>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九</w:t>
      </w:r>
      <w:r>
        <w:rPr>
          <w:rFonts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认为有必要提供的文件材料</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482"/>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6.1 投标函</w:t>
      </w:r>
      <w:r/>
    </w:p>
    <w:p>
      <w:pPr>
        <w:jc w:val="center"/>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投标函</w:t>
      </w:r>
      <w:r/>
    </w:p>
    <w:p>
      <w:pP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致：</w:t>
      </w:r>
      <w:r>
        <w:rPr>
          <w:rFonts w:hint="eastAsia" w:ascii="宋体" w:hAnsi="宋体" w:eastAsia="宋体" w:cs="宋体"/>
          <w:color w:val="000000"/>
          <w:sz w:val="21"/>
          <w:szCs w:val="21"/>
          <w:lang w:eastAsia="zh-CN"/>
        </w:rPr>
        <w:t xml:space="preserve">江苏海事职业技术学院</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根据贵方</w:t>
      </w:r>
      <w:r>
        <w:rPr>
          <w:rFonts w:hint="eastAsia" w:ascii="宋体" w:hAnsi="宋体" w:eastAsia="宋体" w:cs="宋体"/>
          <w:color w:val="000000"/>
          <w:sz w:val="21"/>
          <w:szCs w:val="21"/>
          <w:u w:val="single"/>
          <w:lang w:eastAsia="zh-CN"/>
        </w:rPr>
        <w:t xml:space="preserve">智能船舶鸿蒙应用开发创新中心设备采购项目</w:t>
      </w:r>
      <w:r>
        <w:rPr>
          <w:rFonts w:ascii="宋体" w:hAnsi="宋体" w:eastAsia="宋体" w:cs="宋体"/>
          <w:color w:val="000000"/>
          <w:sz w:val="21"/>
          <w:szCs w:val="21"/>
          <w:lang w:eastAsia="zh-CN"/>
        </w:rPr>
        <w:t xml:space="preserve">（项目编号：）的采购文件，正式授权下述签字人____________（姓名和职务）代表我方____________（</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的名称），全权处理本次项目投标的有关事宜。</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据此函，</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宣布同意如下：</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1.按采购文件规定的各项要求，向买方提供所需货物与服务。</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2.我们完全理解贵方不一定将合同授予最低报价的</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3.我们已详细审核全部采购文件及其有效补充文件，我们知道必须放弃提出含糊不清或误解问题的权利。</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4.我们同意从规定的开标日期起遵循本投标文件，并在规定的投标有效期期满之前均具有约束力。</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5.如果在开标后规定的投标有效期内撤回投标或中标后拒绝签订合同，我们的投标保证金可被贵方没收。</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6.同意向贵方提供贵方可能另外要求的与投标有关的任何证据或资料，并保证我方已提供和将要提供的文件是真实的、准确的。</w:t>
      </w:r>
      <w:r/>
    </w:p>
    <w:p>
      <w:pPr>
        <w:ind w:firstLine="480"/>
        <w:spacing w:after="0" w:line="36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7.一旦我方中标,我方将根据采购文件的规定，严格履行合同的责任和义务,并保证在采购文件规定的时间完成项目，交付买方验收、使用。</w:t>
      </w:r>
      <w:r/>
    </w:p>
    <w:p>
      <w:pPr>
        <w:ind w:firstLine="480"/>
        <w:spacing w:after="0" w:line="360" w:lineRule="auto"/>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8.一旦我方中标,</w:t>
      </w:r>
      <w:r>
        <w:rPr>
          <w:rFonts w:hint="eastAsia" w:ascii="宋体" w:hAnsi="宋体" w:eastAsia="宋体" w:cs="宋体"/>
          <w:color w:val="000000"/>
          <w:sz w:val="21"/>
          <w:szCs w:val="21"/>
          <w:lang w:val="en-US" w:eastAsia="zh-CN"/>
        </w:rPr>
        <w:t xml:space="preserve">我方承诺合同签订后所提供产品将等于或优于投标时所响应的产品，并满足采购人要求。</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9</w:t>
      </w:r>
      <w:r>
        <w:rPr>
          <w:rFonts w:ascii="宋体" w:hAnsi="宋体" w:eastAsia="宋体" w:cs="宋体"/>
          <w:color w:val="000000"/>
          <w:sz w:val="21"/>
          <w:szCs w:val="21"/>
          <w:lang w:eastAsia="zh-CN"/>
        </w:rPr>
        <w:t xml:space="preserve">.遵守采购文件中要求的收费项目和标准。</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10</w:t>
      </w:r>
      <w:r>
        <w:rPr>
          <w:rFonts w:ascii="宋体" w:hAnsi="宋体" w:eastAsia="宋体" w:cs="宋体"/>
          <w:color w:val="000000"/>
          <w:sz w:val="21"/>
          <w:szCs w:val="21"/>
          <w:lang w:eastAsia="zh-CN"/>
        </w:rPr>
        <w:t xml:space="preserve">.与本投标有关的正式通讯地址为：</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地址：</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邮编：</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电话：</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传真：</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开户行：</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账户：</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授权代表姓名（签字）： </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名称（公章）： </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日期：________年____月____日</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480"/>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6.2 投标一览表</w:t>
      </w:r>
      <w:r/>
    </w:p>
    <w:p>
      <w:pPr>
        <w:jc w:val="center"/>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投标一览表</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全称（加盖公章）：</w:t>
      </w:r>
      <w:r/>
    </w:p>
    <w:p>
      <w:pPr>
        <w:ind w:firstLine="480"/>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项目名称：</w:t>
      </w:r>
      <w:r>
        <w:rPr>
          <w:rFonts w:hint="eastAsia" w:ascii="宋体" w:hAnsi="宋体" w:eastAsia="宋体" w:cs="宋体"/>
          <w:color w:val="000000"/>
          <w:sz w:val="21"/>
          <w:szCs w:val="21"/>
          <w:lang w:eastAsia="zh-CN"/>
        </w:rPr>
        <w:t xml:space="preserve">智能船舶鸿蒙应用开发创新中心设备采购项目</w:t>
      </w:r>
      <w:r/>
    </w:p>
    <w:p>
      <w:pPr>
        <w:ind w:firstLine="480"/>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项目编号：</w:t>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57"/>
        <w:gridCol w:w="2199"/>
        <w:gridCol w:w="1261"/>
        <w:gridCol w:w="2517"/>
      </w:tblGrid>
      <w:tr>
        <w:trPr>
          <w:trHeight w:val="702"/>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357" w:type="dxa"/>
            <w:vAlign w:val="center"/>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品名</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199" w:type="dxa"/>
            <w:vAlign w:val="center"/>
            <w:textDirection w:val="lrTb"/>
            <w:noWrap w:val="false"/>
          </w:tcPr>
          <w:p>
            <w:pPr>
              <w:jc w:val="center"/>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投标报价</w:t>
            </w:r>
            <w:r/>
          </w:p>
          <w:p>
            <w:pPr>
              <w:jc w:val="center"/>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（元，含税）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增值税率</w:t>
            </w:r>
            <w:r/>
          </w:p>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517" w:type="dxa"/>
            <w:vAlign w:val="center"/>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备注</w:t>
            </w:r>
            <w:r/>
          </w:p>
        </w:tc>
      </w:tr>
      <w:tr>
        <w:trPr>
          <w:trHeight w:val="464"/>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357" w:type="dxa"/>
            <w:vAlign w:val="center"/>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99" w:type="dxa"/>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517" w:type="dxa"/>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r>
      <w:tr>
        <w:trPr>
          <w:trHeight w:val="464"/>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357" w:type="dxa"/>
            <w:vAlign w:val="center"/>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99" w:type="dxa"/>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517" w:type="dxa"/>
            <w:vAlign w:val="center"/>
            <w:textDirection w:val="lrTb"/>
            <w:noWrap w:val="false"/>
          </w:tcPr>
          <w:p>
            <w:pPr>
              <w:jc w:val="both"/>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r>
      <w:tr>
        <w:trPr>
          <w:trHeight w:val="464"/>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357" w:type="dxa"/>
            <w:vAlign w:val="center"/>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合计</w:t>
            </w:r>
            <w:r/>
          </w:p>
        </w:tc>
        <w:tc>
          <w:tcPr>
            <w:gridSpan w:val="3"/>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977" w:type="dxa"/>
            <w:vAlign w:val="center"/>
            <w:textDirection w:val="lrTb"/>
            <w:noWrap w:val="false"/>
          </w:tcPr>
          <w:p>
            <w:pPr>
              <w:ind w:firstLine="2520"/>
              <w:jc w:val="both"/>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元</w:t>
            </w:r>
            <w:r/>
          </w:p>
        </w:tc>
      </w:tr>
      <w:tr>
        <w:trPr>
          <w:trHeight w:val="639"/>
        </w:trPr>
        <w:tc>
          <w:tcPr>
            <w:gridSpan w:val="2"/>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556" w:type="dxa"/>
            <w:vAlign w:val="center"/>
            <w:textDirection w:val="lrTb"/>
            <w:noWrap w:val="false"/>
          </w:tcPr>
          <w:p>
            <w:pPr>
              <w:jc w:val="center"/>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是否属于小微型企业</w:t>
            </w:r>
            <w:r/>
          </w:p>
        </w:tc>
        <w:tc>
          <w:tcPr>
            <w:gridSpan w:val="2"/>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3778" w:type="dxa"/>
            <w:vAlign w:val="center"/>
            <w:textDirection w:val="lrTb"/>
            <w:noWrap w:val="false"/>
          </w:tcPr>
          <w:p>
            <w:pPr>
              <w:jc w:val="center"/>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u w:val="single"/>
                <w:lang w:eastAsia="zh-CN"/>
              </w:rPr>
              <w:t xml:space="preserve"> </w:t>
            </w:r>
            <w:r>
              <w:rPr>
                <w:rFonts w:ascii="宋体" w:hAnsi="宋体" w:eastAsia="宋体" w:cs="宋体"/>
                <w:color w:val="000000"/>
                <w:sz w:val="21"/>
                <w:szCs w:val="21"/>
                <w:lang w:eastAsia="zh-CN"/>
              </w:rPr>
              <w:t xml:space="preserve">（填写“是”或“否）</w:t>
            </w:r>
            <w:r/>
          </w:p>
        </w:tc>
      </w:tr>
    </w:tbl>
    <w:p>
      <w:pPr>
        <w:jc w:val="right"/>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法定代表人（授权代表）签字：</w:t>
      </w:r>
      <w:r/>
    </w:p>
    <w:p>
      <w:pPr>
        <w:ind w:firstLine="58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日期：年月日</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填写说明：</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1、投标一览表必须加盖投标单位公章，并单独装在小信封内于投标截止时间前与投标文件一起递交。</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是否属于小微型企业”栏内填写“是”或“否”。如填写“是”，</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需提供《中小企业声明函》、《残疾人福利性单位声明函》、《属于监狱企业的证明文件》。</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3、投标报价不得高于最高限价，超过最高限价将否决投标。报价保留小数点后两位。</w:t>
      </w:r>
      <w:r/>
    </w:p>
    <w:p>
      <w:pPr>
        <w:rPr>
          <w:rFonts w:hint="eastAsia" w:ascii="宋体" w:hAnsi="宋体" w:eastAsia="宋体" w:cs="宋体"/>
          <w:b/>
          <w:color w:val="000000"/>
          <w:sz w:val="24"/>
          <w:lang w:eastAsia="zh-CN"/>
        </w:rPr>
      </w:pPr>
      <w:r>
        <w:rPr>
          <w:rFonts w:ascii="宋体" w:hAnsi="宋体" w:eastAsia="宋体" w:cs="宋体"/>
          <w:b/>
          <w:color w:val="000000"/>
          <w:sz w:val="24"/>
          <w:lang w:eastAsia="zh-CN"/>
        </w:rPr>
        <w:br w:type="page" w:clear="all"/>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6.3分项报价表</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投标分项报价表</w:t>
      </w:r>
      <w:r>
        <w:rPr>
          <w:rFonts w:ascii="宋体" w:hAnsi="宋体" w:eastAsia="宋体" w:cs="宋体"/>
          <w:color w:val="000000"/>
          <w:sz w:val="28"/>
          <w:lang w:eastAsia="zh-CN"/>
        </w:rPr>
        <w:br/>
      </w:r>
      <w:r/>
    </w:p>
    <w:tbl>
      <w:tblPr>
        <w:tblStyle w:val="723"/>
        <w:tblW w:w="4995"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fixed"/>
        <w:tblCellMar>
          <w:left w:w="10" w:type="dxa"/>
          <w:top w:w="0" w:type="dxa"/>
          <w:right w:w="10" w:type="dxa"/>
          <w:bottom w:w="0" w:type="dxa"/>
        </w:tblCellMar>
        <w:tblLook w:val="04A0" w:firstRow="1" w:lastRow="0" w:firstColumn="1" w:lastColumn="0" w:noHBand="0" w:noVBand="1"/>
      </w:tblPr>
      <w:tblGrid>
        <w:gridCol w:w="465"/>
        <w:gridCol w:w="890"/>
        <w:gridCol w:w="5068"/>
        <w:gridCol w:w="351"/>
        <w:gridCol w:w="352"/>
        <w:gridCol w:w="719"/>
        <w:gridCol w:w="840"/>
        <w:gridCol w:w="701"/>
      </w:tblGrid>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4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74"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2699"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规格</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8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w:t>
            </w:r>
            <w:r>
              <w:rPr>
                <w:rFonts w:hint="eastAsia" w:ascii="宋体" w:hAnsi="宋体" w:eastAsia="宋体" w:cs="宋体"/>
                <w:color w:val="000000"/>
                <w:sz w:val="21"/>
                <w:szCs w:val="21"/>
                <w:highlight w:val="none"/>
                <w:lang w:val="en-US" w:eastAsia="zh-CN"/>
              </w:rPr>
              <w:t xml:space="preserve">价</w:t>
            </w:r>
            <w:r>
              <w:rPr>
                <w:rFonts w:hint="eastAsia" w:ascii="宋体" w:hAnsi="宋体" w:eastAsia="宋体" w:cs="宋体"/>
                <w:color w:val="000000"/>
                <w:sz w:val="21"/>
                <w:szCs w:val="21"/>
                <w:highlight w:val="none"/>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4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合价（元）</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7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核心</w:t>
            </w:r>
            <w:r/>
          </w:p>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产品</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6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90" w:type="dxa"/>
            <w:vAlign w:val="center"/>
            <w:textDirection w:val="lrTb"/>
            <w:noWrap w:val="false"/>
          </w:tcPr>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平台实训硬件</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068" w:type="dxa"/>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内置国产处理器，使用ARM架构；支持国产标准操作系统，支持多系统；支撑教学平台部署；</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8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4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7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是</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65"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90" w:type="dxa"/>
            <w:vAlign w:val="center"/>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鸿蒙实训套件</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068" w:type="dxa"/>
            <w:vAlign w:val="center"/>
            <w:textDirection w:val="lrTb"/>
            <w:noWrap w:val="false"/>
          </w:tcPr>
          <w:p>
            <w:pP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至少包括：</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1路RS232串口、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1个USB串口,可用于代码调试、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1个有源蜂鸣器、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1个10M/100M/1000M以太网接口、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1个复位按钮,可用于复位MPU和3个功能按钮、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1个电源开关,控制整个板的电源、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1个SDIO WIFI＆BT模块；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1个JTAG调试接口，可以调试M4内核、</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1个温湿度传感器接口、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3个pwm接口，用于接RGB呼吸灯、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1个ADC接口、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1个RTC电池、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1路SPI接口、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1个2×22P，2.54mm间距的排针,引出44个IO,用户可自行使用，支持鸿蒙Liteos-M，LiteOS-A，linux三种内核。并配有相关的工具套件。</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8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4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7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否</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6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90" w:type="dxa"/>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鸿蒙智能座舱科研/实训平台</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068" w:type="dxa"/>
            <w:vAlign w:val="center"/>
            <w:textDirection w:val="lrTb"/>
            <w:noWrap w:val="false"/>
          </w:tcPr>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一、车机系统</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（1）智能座舱车机系统基于国产化操作系统打造。</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（2）支持开机后直接显示车机系统桌面，桌面需显示车辆车门、后备箱盖开启/关闭状态，提供空调、音乐、视频、车辆设置等入口。</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（3）系统具备音乐播放器功能，支持播放本地音乐和网络音乐，同时支持音乐的分布式播放。</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（4）系统具备视频播放器功能，支持播放本地视频和网络视频，同时支持视频的分布式播放。</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（5）系统支持两路外置摄像头视频接入，用于模拟行车记录仪和倒车影像，在车辆档位切换至R档时，倒车影像自动开启。</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三、车联网网关</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（1）车联网网关支持国产操作系统和国产芯片。</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（2）实现车辆在未启动的状态下依然能够进行数据的监控。</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（3）支持通过NB-IoT接入云端物联网平台。</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（4）网关上报车辆基本信息，包括车辆车门、后备箱盖开启/关闭状态以及相关环境数据（如温湿度、PM2.5、光照情况）。</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三、配套开发资源</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（1）提供车机系统应用及移动应用所有源代码资源。</w:t>
            </w:r>
            <w:r/>
          </w:p>
          <w:p>
            <w:pPr>
              <w:spacing w:after="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（2）提供车辆传感与控制系统开发、车载空调与环境监测系统开发、车载影音娱乐系统开发、车载互联系统开发相关实验手册、源代码资源。</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8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4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7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是</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65"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90" w:type="dxa"/>
            <w:vAlign w:val="center"/>
            <w:textDirection w:val="lrTb"/>
            <w:noWrap w:val="false"/>
          </w:tcPr>
          <w:p>
            <w:pP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鸿蒙智慧海事实训平台</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068" w:type="dxa"/>
            <w:vAlign w:val="center"/>
            <w:textDirection w:val="lrTb"/>
            <w:noWrap w:val="false"/>
          </w:tcPr>
          <w:p>
            <w:pP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国产操作系统硬件参数：</w:t>
            </w:r>
            <w:r/>
          </w:p>
          <w:p>
            <w:pPr>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1）内置国产处理器，使用ARM架构；支持国产标准操作系统，支持多系统；</w:t>
            </w:r>
            <w:r/>
          </w:p>
          <w:p>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auto"/>
                <w:sz w:val="21"/>
                <w:szCs w:val="21"/>
                <w:highlight w:val="none"/>
                <w:lang w:eastAsia="zh-CN"/>
              </w:rPr>
              <w:t xml:space="preserve">核心：≥</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4核、主频：≥</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2.0GHz、主频：≥2GHz：</w:t>
            </w:r>
            <w:r>
              <w:rPr>
                <w:rFonts w:hint="eastAsia" w:ascii="宋体" w:hAnsi="宋体" w:eastAsia="宋体" w:cs="宋体"/>
                <w:color w:val="auto"/>
                <w:sz w:val="21"/>
                <w:szCs w:val="21"/>
                <w:highlight w:val="none"/>
                <w:lang w:val="en-US" w:eastAsia="zh-CN"/>
              </w:rPr>
              <w:t xml:space="preserve">内存：</w:t>
            </w:r>
            <w:r>
              <w:rPr>
                <w:rFonts w:hint="eastAsia" w:ascii="宋体" w:hAnsi="宋体" w:eastAsia="宋体" w:cs="宋体"/>
                <w:color w:val="auto"/>
                <w:sz w:val="21"/>
                <w:szCs w:val="21"/>
                <w:highlight w:val="none"/>
                <w:lang w:eastAsia="zh-CN"/>
              </w:rPr>
              <w:t xml:space="preserve">≥2GB、存储空间：≥32GB；</w:t>
            </w:r>
            <w:r/>
          </w:p>
          <w:p>
            <w:pPr>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auto"/>
                <w:sz w:val="21"/>
                <w:szCs w:val="21"/>
                <w:highlight w:val="none"/>
              </w:rPr>
              <w:t xml:space="preserve">接口能力：USB端口：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2个、SATA接口：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1个、HDMI接口：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1个、千兆网络接口：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2个，支持WiFi与蓝牙；</w:t>
            </w:r>
            <w:r/>
          </w:p>
          <w:p>
            <w:pPr>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auto"/>
                <w:sz w:val="21"/>
                <w:szCs w:val="21"/>
                <w:highlight w:val="none"/>
                <w:lang w:eastAsia="zh-CN"/>
              </w:rPr>
              <w:t xml:space="preserve">底板尺寸：≥</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180mm×130mm</w:t>
            </w:r>
            <w:r/>
          </w:p>
          <w:p>
            <w:pPr>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auto"/>
                <w:sz w:val="21"/>
                <w:szCs w:val="21"/>
                <w:highlight w:val="none"/>
                <w:lang w:eastAsia="zh-CN"/>
              </w:rPr>
              <w:t xml:space="preserve">PCB规格：≥4层板</w:t>
            </w:r>
            <w:r/>
          </w:p>
          <w:p>
            <w:pPr>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6）水温传感器：≥1个</w:t>
            </w:r>
            <w:r/>
          </w:p>
          <w:p>
            <w:pPr>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7）PH值传感器：≥1个</w:t>
            </w:r>
            <w:r/>
          </w:p>
          <w:p>
            <w:pPr>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8）水位传感器：≥1个；</w:t>
            </w:r>
            <w:r/>
          </w:p>
          <w:p>
            <w:pPr>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9）电导率传感器：≥1个。</w:t>
            </w:r>
            <w:r/>
          </w:p>
          <w:p>
            <w:pPr>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边缘计算硬件参数：</w:t>
            </w:r>
            <w:r/>
          </w:p>
          <w:p>
            <w:pPr>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1）AI算力：</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rPr>
              <w:t xml:space="preserve">8 TOPS INT8</w:t>
            </w:r>
            <w:r/>
          </w:p>
          <w:p>
            <w:pPr>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2）内存规格：LPDDR4X，4GB，支持ECC</w:t>
            </w:r>
            <w:r/>
          </w:p>
          <w:p>
            <w:pPr>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3）CPU算力：4 core*1.0GHz</w:t>
            </w:r>
            <w:r/>
          </w:p>
          <w:p>
            <w:pPr>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4）编解码能力：支持H.264/H.265 Decoder硬件解码，20路1080P 30FPS，2路4K 75FPS JPEG解码1080P 512FPS，编码1080P 256FPS，分辨率最大16384 x 16384</w:t>
            </w:r>
            <w:r/>
          </w:p>
          <w:p>
            <w:pPr>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5）扩展接口：MIPI-CSI 51针连接器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rPr>
              <w:t xml:space="preserve">2，可接摄像头模组；MIPI-DSI 51针连接器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rPr>
              <w:t xml:space="preserve">1；RJ45网口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rPr>
              <w:t xml:space="preserve">2，支持自适应100 / 1000M；HDMI 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rPr>
              <w:t xml:space="preserve">2；USB 3.0 Type-A 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rPr>
              <w:t xml:space="preserve">2，兼容USB 2.0；USB 3.0 Type-C接口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rPr>
              <w:t xml:space="preserve">1；40针扩展接口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rPr>
              <w:t xml:space="preserve">1</w:t>
            </w:r>
            <w:r/>
          </w:p>
          <w:p>
            <w:pPr>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其他：</w:t>
            </w:r>
            <w:r/>
          </w:p>
          <w:p>
            <w:pPr>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1）摄像头：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1个；</w:t>
            </w:r>
            <w:r/>
          </w:p>
          <w:p>
            <w:pPr>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2）屏幕：1块，≥15英寸。</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8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4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7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是</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6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90" w:type="dxa"/>
            <w:vAlign w:val="center"/>
            <w:textDirection w:val="lrTb"/>
            <w:noWrap w:val="false"/>
          </w:tcPr>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鸿蒙智能实训终端</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068" w:type="dxa"/>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提供配套显示屏幕完成鸿蒙实验的交互操作和实验实训。</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8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4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7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否</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6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90" w:type="dxa"/>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教学实训平台-基础模块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068" w:type="dxa"/>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平台包含日常教学管理、教学内容、教学活动、学情统计等功能。平台可部署各类专业课资源，支持在线学习课件、实验指导、提供软件工具、源代码等功能，配合硬件实训套件完成专业课教学和实验。</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8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4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7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是</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6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90" w:type="dxa"/>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鸿蒙操作系统实验模块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068" w:type="dxa"/>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提供鸿蒙基础实验功能，配套实验软件工具集、实验指导书、实验配套文档等资源</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8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4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7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是</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6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90" w:type="dxa"/>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《移动应用开发基础》课程资源</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068" w:type="dxa"/>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包含但不限于以下知识点及实验：分布式操作系统架构和核心概念、关键特性、应用开发流程、开发基础和框架、JS/Java UI界面设计、功能开发、功能调测与发布、多媒体应用开发、数据管理应用开发、分布式数据库创建、关闭和删除，分布式数据管理、分布式信息管理、分布式任务调度、分布式新闻发布、跨设备视频播放器设计等内容。</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8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4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7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否</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6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90" w:type="dxa"/>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《移动应用开发进阶》课程资源</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068" w:type="dxa"/>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包含但不限于以下知识点及实验：分布式操作系统设备定位开发、媒体管理控制开发、分布式早教系统开发、智能穿戴设备应用、线程间通信开发EventHandler、AI二维码识别、AI通用文字识别、AI语音播报功能、AI面部识别系统设计、使用UI构建复杂页面；环境搭建：媒体、网络、AI、设备管理、安全、网络与连接、数据管理、日志管理；网络功能调测与发布等内容。</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8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4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7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否</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6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90" w:type="dxa"/>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《鸿蒙应用开发工程认证课》程资源</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068" w:type="dxa"/>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包含但不限于以下知识点及实验：分布式操作系统介绍、应用开发入门、Ability设计与开发、UI页面设计与开发、功能开发、调试与发布等知识，并进行实战演练，Ability应用与管理、手机天气预报多城市＆自动更新功能开发，培养具备分布式操作系统应用开发能力的工程师。</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8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4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7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否</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6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90" w:type="dxa"/>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《鸿蒙高级应用开发工程师认证课》课程资源包</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068" w:type="dxa"/>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包含但不限于以下知识点及实验：分布式操作系统解决方案、方舟开发框架，分布式关键技术、服务卡片，工程调试、功能开发，应用设计介绍，多端部署，范式高级组件实验、设备参数语音播报、应用调试，综合案例实践。</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8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4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7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否</w:t>
            </w:r>
            <w:r/>
          </w:p>
        </w:tc>
      </w:tr>
      <w:tr>
        <w:trPr>
          <w:jc w:val="center"/>
          <w:trHeight w:val="360"/>
        </w:trPr>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6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90" w:type="dxa"/>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《鸿蒙设备开发基础》课程资源</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5068" w:type="dxa"/>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包含但不限于以下知识点及实验：鸿蒙定义、鸿蒙关键技术、鸿蒙内核概述、鸿蒙任务管理、鸿蒙内存管理、鸿蒙中断和时钟、鸿蒙任务同步与通信、鸿蒙的双向链表、Linux内核介绍、硬件驱动介绍、鸿蒙支持的移植平台介绍、鸿蒙系统移植、鸿蒙中间件及物联网平台、开发环境搭建实验、基于鸿蒙实现终端业务实验、内存使用实验、定时器中断实验、队列和事件使用实验、互斥锁和信号量的使用实验、双向链表的使用实验Linux内核实验、驱动基础实验、鸿蒙移植实验、基于鸿蒙OS实现端到端物联实验</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8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8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4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7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否</w:t>
            </w:r>
            <w:r/>
          </w:p>
        </w:tc>
      </w:tr>
      <w:tr>
        <w:trPr>
          <w:jc w:val="center"/>
          <w:trHeight w:val="363"/>
        </w:trPr>
        <w:tc>
          <w:tcPr>
            <w:gridSpan w:val="5"/>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79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8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44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373"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3840"/>
        <w:jc w:val="right"/>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rPr>
        <w:t xml:space="preserve">全称（公章）</w:t>
      </w:r>
      <w:r>
        <w:rPr>
          <w:rFonts w:hint="eastAsia" w:ascii="宋体" w:hAnsi="宋体" w:eastAsia="宋体" w:cs="宋体"/>
          <w:color w:val="000000"/>
          <w:sz w:val="21"/>
          <w:szCs w:val="21"/>
          <w:lang w:eastAsia="zh-CN"/>
        </w:rPr>
        <w:t xml:space="preserve">:</w:t>
      </w:r>
      <w:r/>
    </w:p>
    <w:p>
      <w:pPr>
        <w:ind w:firstLine="3840"/>
        <w:jc w:val="right"/>
        <w:spacing w:after="0" w:line="360" w:lineRule="auto"/>
        <w:shd w:val="clear" w:color="ffffff" w:fill="ffffff"/>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法定代表人（授权代表）签字：</w:t>
      </w:r>
      <w:r/>
    </w:p>
    <w:p>
      <w:pPr>
        <w:ind w:firstLine="4320"/>
        <w:jc w:val="right"/>
        <w:spacing w:before="50" w:after="12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日期：年月日</w:t>
      </w:r>
      <w:r/>
    </w:p>
    <w:p>
      <w:pPr>
        <w:rPr>
          <w:rFonts w:ascii="宋体" w:hAnsi="宋体" w:eastAsia="宋体" w:cs="宋体"/>
          <w:b/>
          <w:color w:val="000000"/>
          <w:sz w:val="24"/>
          <w:lang w:eastAsia="zh-CN"/>
        </w:rPr>
      </w:pPr>
      <w:r>
        <w:rPr>
          <w:rFonts w:ascii="宋体" w:hAnsi="宋体" w:eastAsia="宋体" w:cs="宋体"/>
          <w:b/>
          <w:color w:val="000000"/>
          <w:sz w:val="24"/>
          <w:lang w:eastAsia="zh-CN"/>
        </w:rPr>
        <w:br w:type="page" w:clear="all"/>
      </w:r>
      <w:r/>
    </w:p>
    <w:p>
      <w:pPr>
        <w:ind w:firstLine="480"/>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6.4 商务（服务）条款响应及偏离表</w:t>
      </w:r>
      <w:r/>
    </w:p>
    <w:p>
      <w:pPr>
        <w:jc w:val="center"/>
        <w:spacing w:before="120" w:after="12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商务（服务）条款响应及偏离表</w:t>
      </w:r>
      <w:r/>
    </w:p>
    <w:p>
      <w:pPr>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全称（公章）：</w:t>
      </w:r>
      <w:r/>
    </w:p>
    <w:p>
      <w:pP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项目名称：</w:t>
      </w:r>
      <w:r>
        <w:rPr>
          <w:rFonts w:hint="eastAsia" w:ascii="宋体" w:hAnsi="宋体" w:eastAsia="宋体" w:cs="宋体"/>
          <w:color w:val="000000"/>
          <w:sz w:val="21"/>
          <w:szCs w:val="21"/>
          <w:lang w:eastAsia="zh-CN"/>
        </w:rPr>
        <w:t xml:space="preserve">智能船舶鸿蒙应用开发创新中心设备采购项目</w:t>
      </w:r>
      <w:r/>
    </w:p>
    <w:tbl>
      <w:tblPr>
        <w:tblStyle w:val="748"/>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1956"/>
        <w:gridCol w:w="3087"/>
        <w:gridCol w:w="1883"/>
        <w:gridCol w:w="1726"/>
      </w:tblGrid>
      <w:tr>
        <w:trPr>
          <w:trHeight w:val="8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 w:type="pct"/>
            <w:vAlign w:val="center"/>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pct"/>
            <w:vAlign w:val="center"/>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采购文件要求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4" w:type="pct"/>
            <w:vAlign w:val="center"/>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rPr>
              <w:t xml:space="preserve">的承诺或说明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2" w:type="pct"/>
            <w:vAlign w:val="center"/>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偏离情况</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pct"/>
            <w:vAlign w:val="center"/>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2"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pct"/>
            <w:vAlign w:val="center"/>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2"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pct"/>
            <w:vAlign w:val="center"/>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2"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pct"/>
            <w:vAlign w:val="center"/>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2"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pct"/>
            <w:vAlign w:val="center"/>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2"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pct"/>
            <w:vAlign w:val="center"/>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2"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pct"/>
            <w:vAlign w:val="center"/>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2"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pct"/>
            <w:vAlign w:val="center"/>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2"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pct"/>
            <w:vAlign w:val="center"/>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2" w:type="pct"/>
            <w:vAlign w:val="center"/>
            <w:textDirection w:val="lrTb"/>
            <w:noWrap w:val="false"/>
          </w:tcPr>
          <w:p>
            <w:pPr>
              <w:jc w:val="center"/>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tc>
      </w:tr>
    </w:tbl>
    <w:p>
      <w:pPr>
        <w:ind w:firstLine="4320"/>
        <w:jc w:val="right"/>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法定代表人（授权代表）签字：</w:t>
      </w:r>
      <w:r/>
    </w:p>
    <w:p>
      <w:pPr>
        <w:ind w:firstLine="5640"/>
        <w:jc w:val="right"/>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日期：年月日</w:t>
      </w:r>
      <w:r/>
    </w:p>
    <w:p>
      <w:pPr>
        <w:ind w:left="792" w:hanging="792"/>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注：</w:t>
      </w:r>
      <w:r/>
    </w:p>
    <w:p>
      <w:pPr>
        <w:ind w:firstLine="420"/>
        <w:spacing w:before="240" w:after="24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应当逐条对照招标文件合同条款，就投标文件对合同条款存在的偏差与例外逐条做出说明；</w:t>
      </w:r>
      <w:r/>
    </w:p>
    <w:p>
      <w:pPr>
        <w:ind w:firstLine="420"/>
        <w:spacing w:before="240" w:after="24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2．如投标文件对合同条款无任何偏差，</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仅需在本偏离表中填写“无偏离”即可。</w:t>
      </w:r>
      <w:r/>
    </w:p>
    <w:p>
      <w:pPr>
        <w:ind w:firstLine="420"/>
        <w:spacing w:before="240" w:after="24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3. </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未填写该表则表示完全满足招标文件合同条款要求。</w:t>
      </w:r>
      <w:r/>
    </w:p>
    <w:p>
      <w:pPr>
        <w:jc w:val="both"/>
        <w:spacing w:after="0" w:line="360" w:lineRule="auto"/>
        <w:rPr>
          <w:rFonts w:eastAsia="宋体"/>
          <w:lang w:eastAsia="zh-CN"/>
        </w:rPr>
        <w:pBdr>
          <w:top w:val="none" w:color="000000" w:sz="0" w:space="0"/>
          <w:left w:val="none" w:color="000000" w:sz="0" w:space="0"/>
          <w:bottom w:val="none" w:color="000000" w:sz="0" w:space="0"/>
          <w:right w:val="none" w:color="000000" w:sz="0" w:space="0"/>
        </w:pBdr>
      </w:pPr>
      <w:r>
        <w:rPr>
          <w:rFonts w:eastAsia="宋体"/>
          <w:lang w:eastAsia="zh-CN"/>
        </w:rPr>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rFonts w:ascii="宋体" w:hAnsi="宋体" w:eastAsia="宋体" w:cs="宋体"/>
          <w:b/>
          <w:color w:val="000000"/>
          <w:sz w:val="24"/>
          <w:lang w:eastAsia="zh-CN"/>
        </w:rPr>
        <w:t xml:space="preserve">6.5 技术参数响应及偏离表</w:t>
      </w:r>
      <w:r/>
    </w:p>
    <w:p>
      <w:pPr>
        <w:jc w:val="center"/>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技术参数响应及偏离表</w:t>
      </w:r>
      <w:r/>
    </w:p>
    <w:p>
      <w:pPr>
        <w:spacing w:before="120" w:after="240" w:line="360" w:lineRule="auto"/>
        <w:rPr>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全称（公章): </w:t>
      </w:r>
      <w:r/>
    </w:p>
    <w:p>
      <w:pPr>
        <w:spacing w:before="120" w:after="24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项目名称：</w:t>
      </w:r>
      <w:r>
        <w:rPr>
          <w:rFonts w:hint="eastAsia" w:ascii="宋体" w:hAnsi="宋体" w:eastAsia="宋体" w:cs="宋体"/>
          <w:color w:val="000000"/>
          <w:sz w:val="21"/>
          <w:szCs w:val="21"/>
          <w:lang w:eastAsia="zh-CN"/>
        </w:rPr>
        <w:t xml:space="preserve">智能船舶鸿蒙应用开发创新中心设备采购项目</w:t>
      </w:r>
      <w:r/>
    </w:p>
    <w:tbl>
      <w:tblPr>
        <w:tblStyle w:val="748"/>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1"/>
        <w:gridCol w:w="4192"/>
        <w:gridCol w:w="1686"/>
        <w:gridCol w:w="1413"/>
        <w:gridCol w:w="1235"/>
      </w:tblGrid>
      <w:tr>
        <w:trPr>
          <w:trHeight w:val="9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 w:type="pct"/>
            <w:vAlign w:val="center"/>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0" w:type="pct"/>
            <w:vAlign w:val="center"/>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采购文件要求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1" w:type="pct"/>
            <w:vAlign w:val="center"/>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rPr>
              <w:t xml:space="preserve">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 w:type="pct"/>
            <w:vAlign w:val="center"/>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原因</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pct"/>
            <w:textDirection w:val="lrTb"/>
            <w:noWrap w:val="false"/>
          </w:tcPr>
          <w:p>
            <w:pP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pct"/>
            <w:textDirection w:val="lrTb"/>
            <w:noWrap w:val="false"/>
          </w:tcPr>
          <w:p>
            <w:pP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pct"/>
            <w:textDirection w:val="lrTb"/>
            <w:noWrap w:val="false"/>
          </w:tcPr>
          <w:p>
            <w:pP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pct"/>
            <w:textDirection w:val="lrTb"/>
            <w:noWrap w:val="false"/>
          </w:tcPr>
          <w:p>
            <w:pP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pct"/>
            <w:textDirection w:val="lrTb"/>
            <w:noWrap w:val="false"/>
          </w:tcPr>
          <w:p>
            <w:pP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pct"/>
            <w:textDirection w:val="lrTb"/>
            <w:noWrap w:val="false"/>
          </w:tcPr>
          <w:p>
            <w:pP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pct"/>
            <w:textDirection w:val="lrTb"/>
            <w:noWrap w:val="false"/>
          </w:tcPr>
          <w:p>
            <w:pP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pct"/>
            <w:textDirection w:val="lrTb"/>
            <w:noWrap w:val="false"/>
          </w:tcPr>
          <w:p>
            <w:pP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pct"/>
            <w:textDirection w:val="lrTb"/>
            <w:noWrap w:val="false"/>
          </w:tcPr>
          <w:p>
            <w:pP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pct"/>
            <w:textDirection w:val="lrTb"/>
            <w:noWrap w:val="false"/>
          </w:tcPr>
          <w:p>
            <w:pPr>
              <w:jc w:val="center"/>
              <w:spacing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tc>
      </w:tr>
    </w:tbl>
    <w:p>
      <w:pPr>
        <w:ind w:firstLine="3000"/>
        <w:jc w:val="right"/>
        <w:spacing w:after="0" w:line="360" w:lineRule="auto"/>
        <w:shd w:val="clear" w:color="ffffff" w:fill="ffffff"/>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法定代表人（授权代表）签字：</w:t>
      </w:r>
      <w:r/>
    </w:p>
    <w:p>
      <w:pPr>
        <w:ind w:firstLine="4080"/>
        <w:jc w:val="right"/>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日期：年月日</w:t>
      </w:r>
      <w:r/>
    </w:p>
    <w:p>
      <w:pPr>
        <w:spacing w:before="240" w:after="24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注：1．</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应当逐条对照招标文件技术条款，就投标文件对技术条款存在的偏差与例外逐条做出说明；</w:t>
      </w:r>
      <w:r/>
    </w:p>
    <w:p>
      <w:pPr>
        <w:spacing w:before="240" w:after="24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2．如投标文件对技术条款无任何偏差，</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仅需在本偏离表中填写“无偏离”即可。</w:t>
      </w:r>
      <w:r/>
    </w:p>
    <w:p>
      <w:pPr>
        <w:spacing w:after="0" w:line="360" w:lineRule="auto"/>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3.</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未填写该表则表示完全满足招标文件技术条款要求。</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482"/>
        <w:spacing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6.6 </w:t>
      </w:r>
      <w:r>
        <w:rPr>
          <w:rFonts w:hint="eastAsia" w:ascii="宋体" w:hAnsi="宋体" w:eastAsia="宋体" w:cs="宋体"/>
          <w:b/>
          <w:color w:val="000000"/>
          <w:sz w:val="24"/>
          <w:lang w:eastAsia="zh-CN"/>
        </w:rPr>
        <w:t xml:space="preserve">业绩</w:t>
      </w:r>
      <w:r>
        <w:rPr>
          <w:rFonts w:ascii="宋体" w:hAnsi="宋体" w:eastAsia="宋体" w:cs="宋体"/>
          <w:b/>
          <w:color w:val="000000"/>
          <w:sz w:val="24"/>
        </w:rPr>
        <w:t xml:space="preserve">情况表</w:t>
      </w:r>
      <w:r/>
    </w:p>
    <w:tbl>
      <w:tblPr>
        <w:tblStyle w:val="748"/>
        <w:tblW w:w="4998"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934"/>
        <w:gridCol w:w="2370"/>
        <w:gridCol w:w="1411"/>
        <w:gridCol w:w="1467"/>
        <w:gridCol w:w="1514"/>
      </w:tblGrid>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5" w:type="pct"/>
            <w:vAlign w:val="center"/>
            <w:textDirection w:val="lrTb"/>
            <w:noWrap w:val="false"/>
          </w:tcPr>
          <w:p>
            <w:pPr>
              <w:jc w:val="cente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0" w:type="pct"/>
            <w:vAlign w:val="center"/>
            <w:textDirection w:val="lrTb"/>
            <w:noWrap w:val="false"/>
          </w:tcPr>
          <w:p>
            <w:pPr>
              <w:jc w:val="center"/>
              <w:spacing w:after="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eastAsia="宋体"/>
                <w:color w:val="000000"/>
                <w:sz w:val="21"/>
                <w:szCs w:val="21"/>
                <w:lang w:eastAsia="zh-CN"/>
              </w:rPr>
              <w:t xml:space="preserve">合同签订单位</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8" w:type="pct"/>
            <w:vAlign w:val="center"/>
            <w:textDirection w:val="lrTb"/>
            <w:noWrap w:val="false"/>
          </w:tcPr>
          <w:p>
            <w:pPr>
              <w:jc w:val="cente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pct"/>
            <w:vAlign w:val="center"/>
            <w:textDirection w:val="lrTb"/>
            <w:noWrap w:val="false"/>
          </w:tcPr>
          <w:p>
            <w:pPr>
              <w:jc w:val="cente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时间</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 w:type="pct"/>
            <w:vAlign w:val="center"/>
            <w:textDirection w:val="lrTb"/>
            <w:noWrap w:val="false"/>
          </w:tcPr>
          <w:p>
            <w:pPr>
              <w:jc w:val="center"/>
              <w:spacing w:after="0" w:line="360" w:lineRule="auto"/>
              <w:rPr>
                <w:color w:val="000000"/>
                <w:sz w:val="21"/>
                <w:szCs w:val="21"/>
              </w:rPr>
              <w:pBdr>
                <w:top w:val="none" w:color="000000" w:sz="0" w:space="0"/>
                <w:left w:val="none" w:color="000000" w:sz="0" w:space="0"/>
                <w:bottom w:val="none" w:color="000000" w:sz="0" w:space="0"/>
                <w:right w:val="none" w:color="000000" w:sz="0" w:space="0"/>
              </w:pBdr>
            </w:pPr>
            <w:r>
              <w:rPr>
                <w:rFonts w:hint="eastAsia" w:eastAsia="宋体"/>
                <w:color w:val="000000"/>
                <w:sz w:val="21"/>
                <w:szCs w:val="21"/>
                <w:lang w:eastAsia="zh-CN"/>
              </w:rPr>
              <w:t xml:space="preserve">合同签订单位</w:t>
            </w:r>
            <w:r>
              <w:rPr>
                <w:rFonts w:ascii="宋体" w:hAnsi="宋体" w:eastAsia="宋体" w:cs="宋体"/>
                <w:color w:val="000000"/>
                <w:sz w:val="21"/>
                <w:szCs w:val="21"/>
              </w:rPr>
              <w:t xml:space="preserve">联系人</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pct"/>
            <w:vAlign w:val="center"/>
            <w:textDirection w:val="lrTb"/>
            <w:noWrap w:val="false"/>
          </w:tcPr>
          <w:p>
            <w:pPr>
              <w:jc w:val="center"/>
              <w:spacing w:after="0" w:line="360" w:lineRule="auto"/>
              <w:rPr>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eastAsia="宋体"/>
                <w:color w:val="000000"/>
                <w:sz w:val="21"/>
                <w:szCs w:val="21"/>
                <w:lang w:eastAsia="zh-CN"/>
              </w:rPr>
              <w:t xml:space="preserve">合同签订单位</w:t>
            </w:r>
            <w:r>
              <w:rPr>
                <w:rFonts w:ascii="宋体" w:hAnsi="宋体" w:eastAsia="宋体" w:cs="宋体"/>
                <w:color w:val="000000"/>
                <w:sz w:val="21"/>
                <w:szCs w:val="21"/>
                <w:lang w:eastAsia="zh-CN"/>
              </w:rPr>
              <w:t xml:space="preserve">联系电话</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5"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0"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8"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5"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0"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8"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5"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0"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8"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r>
    </w:tbl>
    <w:p>
      <w:pPr>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此表格式可根据评分准则要求进行调整，并将要求提供的证明材料扫描件附后</w:t>
      </w:r>
      <w:r>
        <w:rPr>
          <w:rFonts w:ascii="宋体" w:hAnsi="宋体" w:eastAsia="宋体" w:cs="宋体"/>
          <w:color w:val="000000"/>
          <w:sz w:val="24"/>
          <w:lang w:eastAsia="zh-CN"/>
        </w:rPr>
        <w:t xml:space="preserve">。</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482"/>
        <w:spacing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6.7 </w:t>
      </w:r>
      <w:r>
        <w:rPr>
          <w:rFonts w:hint="eastAsia" w:ascii="宋体" w:hAnsi="宋体" w:eastAsia="宋体" w:cs="宋体"/>
          <w:b/>
          <w:color w:val="000000"/>
          <w:sz w:val="24"/>
          <w:lang w:eastAsia="zh-CN"/>
        </w:rPr>
        <w:t xml:space="preserve">人员配备</w:t>
      </w:r>
      <w:r>
        <w:rPr>
          <w:rFonts w:ascii="宋体" w:hAnsi="宋体" w:eastAsia="宋体" w:cs="宋体"/>
          <w:b/>
          <w:color w:val="000000"/>
          <w:sz w:val="24"/>
        </w:rPr>
        <w:t xml:space="preserve">表</w:t>
      </w:r>
      <w:r/>
    </w:p>
    <w:tbl>
      <w:tblPr>
        <w:tblStyle w:val="748"/>
        <w:tblW w:w="499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9"/>
        <w:gridCol w:w="1499"/>
        <w:gridCol w:w="1499"/>
        <w:gridCol w:w="2536"/>
        <w:gridCol w:w="2536"/>
      </w:tblGrid>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vAlign w:val="center"/>
            <w:textDirection w:val="lrTb"/>
            <w:noWrap w:val="false"/>
          </w:tcPr>
          <w:p>
            <w:pPr>
              <w:jc w:val="center"/>
              <w:spacing w:after="60" w:line="360" w:lineRule="auto"/>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vAlign w:val="center"/>
            <w:textDirection w:val="lrTb"/>
            <w:noWrap w:val="false"/>
          </w:tcPr>
          <w:p>
            <w:pPr>
              <w:jc w:val="center"/>
              <w:spacing w:after="60" w:line="360" w:lineRule="auto"/>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职务</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vAlign w:val="center"/>
            <w:textDirection w:val="lrTb"/>
            <w:noWrap w:val="false"/>
          </w:tcPr>
          <w:p>
            <w:pPr>
              <w:jc w:val="center"/>
              <w:spacing w:after="60" w:line="360" w:lineRule="auto"/>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姓名</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4" w:type="pct"/>
            <w:vAlign w:val="center"/>
            <w:textDirection w:val="lrTb"/>
            <w:noWrap w:val="false"/>
          </w:tcPr>
          <w:p>
            <w:pPr>
              <w:jc w:val="center"/>
              <w:spacing w:after="60" w:line="360" w:lineRule="auto"/>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相关证书</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4" w:type="pct"/>
            <w:vAlign w:val="center"/>
            <w:textDirection w:val="lrTb"/>
            <w:noWrap w:val="false"/>
          </w:tcPr>
          <w:p>
            <w:pPr>
              <w:jc w:val="center"/>
              <w:spacing w:after="60" w:line="360" w:lineRule="auto"/>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相关经验</w:t>
            </w:r>
            <w:r/>
          </w:p>
        </w:tc>
      </w:tr>
      <w:tr>
        <w:trPr>
          <w:jc w:val="center"/>
          <w:trHeight w:val="32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4"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4"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r>
      <w:tr>
        <w:trPr>
          <w:jc w:val="center"/>
          <w:trHeight w:val="32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4"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4"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r>
      <w:tr>
        <w:trPr>
          <w:jc w:val="center"/>
          <w:trHeight w:val="32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4"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4" w:type="pct"/>
            <w:textDirection w:val="lrTb"/>
            <w:noWrap w:val="false"/>
          </w:tcPr>
          <w:p>
            <w:pPr>
              <w:spacing w:after="60" w:line="360" w:lineRule="auto"/>
              <w:rPr>
                <w:rFonts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lang w:eastAsia="zh-CN"/>
              </w:rPr>
            </w:r>
            <w:r/>
          </w:p>
        </w:tc>
      </w:tr>
    </w:tbl>
    <w:p>
      <w:pPr>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此表格式可根据评分准则要求进行调整，并将要求提供的证明材料扫描件附后。</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482"/>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6.8 技术方案</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482"/>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6.</w:t>
      </w:r>
      <w:r>
        <w:rPr>
          <w:rFonts w:hint="eastAsia" w:ascii="宋体" w:hAnsi="宋体" w:eastAsia="宋体" w:cs="宋体"/>
          <w:b/>
          <w:color w:val="000000"/>
          <w:sz w:val="24"/>
          <w:lang w:eastAsia="zh-CN"/>
        </w:rPr>
        <w:t xml:space="preserve">9</w:t>
      </w:r>
      <w:r>
        <w:rPr>
          <w:rFonts w:ascii="宋体" w:hAnsi="宋体" w:eastAsia="宋体" w:cs="宋体"/>
          <w:b/>
          <w:color w:val="000000"/>
          <w:sz w:val="24"/>
          <w:lang w:eastAsia="zh-CN"/>
        </w:rPr>
        <w:t xml:space="preserve"> </w:t>
      </w:r>
      <w:r>
        <w:rPr>
          <w:rFonts w:hint="eastAsia" w:ascii="宋体" w:hAnsi="宋体" w:eastAsia="宋体" w:cs="宋体"/>
          <w:b/>
          <w:color w:val="000000"/>
          <w:sz w:val="24"/>
          <w:lang w:eastAsia="zh-CN"/>
        </w:rPr>
        <w:t xml:space="preserve">供应商</w:t>
      </w:r>
      <w:r>
        <w:rPr>
          <w:rFonts w:ascii="宋体" w:hAnsi="宋体" w:eastAsia="宋体" w:cs="宋体"/>
          <w:b/>
          <w:color w:val="000000"/>
          <w:sz w:val="24"/>
          <w:lang w:eastAsia="zh-CN"/>
        </w:rPr>
        <w:t xml:space="preserve">认为有必要提供的文件材料</w:t>
      </w:r>
      <w:r/>
    </w:p>
    <w:p>
      <w:pPr>
        <w:spacing w:after="0" w:line="360" w:lineRule="auto"/>
        <w:rPr>
          <w:rFonts w:eastAsia="宋体"/>
          <w:lang w:eastAsia="zh-CN"/>
        </w:rPr>
        <w:pBdr>
          <w:top w:val="none" w:color="000000" w:sz="0" w:space="0"/>
          <w:left w:val="none" w:color="000000" w:sz="0" w:space="0"/>
          <w:bottom w:val="none" w:color="000000" w:sz="0" w:space="0"/>
          <w:right w:val="none" w:color="000000" w:sz="0" w:space="0"/>
        </w:pBdr>
      </w:pPr>
      <w:r>
        <w:rPr>
          <w:rFonts w:eastAsia="宋体"/>
          <w:lang w:eastAsia="zh-CN"/>
        </w:rPr>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before="240" w:after="24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法定代表人授权委托书</w:t>
      </w:r>
      <w:r/>
    </w:p>
    <w:p>
      <w:pPr>
        <w:ind w:firstLine="482"/>
        <w:spacing w:after="0" w:line="360" w:lineRule="auto"/>
        <w:shd w:val="clear" w:color="ffffff" w:fill="ffffff"/>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本授权书声明：____________（</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名称）授权________________（被授权人的姓名、职务）为我方就</w:t>
      </w:r>
      <w:r>
        <w:rPr>
          <w:rFonts w:hint="eastAsia" w:ascii="宋体" w:hAnsi="宋体" w:eastAsia="宋体" w:cs="宋体"/>
          <w:color w:val="000000"/>
          <w:sz w:val="21"/>
          <w:szCs w:val="21"/>
          <w:u w:val="single"/>
          <w:lang w:eastAsia="zh-CN"/>
        </w:rPr>
        <w:t xml:space="preserve">智能船舶鸿蒙应用开发创新中心设备采购项目</w:t>
      </w:r>
      <w:r>
        <w:rPr>
          <w:rFonts w:ascii="宋体" w:hAnsi="宋体" w:eastAsia="宋体" w:cs="宋体"/>
          <w:color w:val="000000"/>
          <w:sz w:val="21"/>
          <w:szCs w:val="21"/>
          <w:lang w:eastAsia="zh-CN"/>
        </w:rPr>
        <w:t xml:space="preserve">（项目编号：）采购活动的合法代理人，以本单位名义全权处理一切与该项目采购有关的事务。</w:t>
      </w:r>
      <w:r/>
    </w:p>
    <w:p>
      <w:pPr>
        <w:ind w:firstLine="482"/>
        <w:spacing w:after="0" w:line="360" w:lineRule="auto"/>
        <w:shd w:val="clear" w:color="ffffff" w:fill="ffffff"/>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本授权书于______年____月____日起生效，特此声明。</w:t>
      </w:r>
      <w:r/>
    </w:p>
    <w:p>
      <w:pPr>
        <w:spacing w:after="0" w:line="360" w:lineRule="auto"/>
        <w:shd w:val="clear" w:color="ffffff" w:fill="ffffff"/>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 授权单位盖章：_________________________________</w:t>
      </w:r>
      <w:r/>
    </w:p>
    <w:p>
      <w:pPr>
        <w:spacing w:after="0" w:line="360" w:lineRule="auto"/>
        <w:shd w:val="clear" w:color="ffffff" w:fill="ffffff"/>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单位名称：_____________________________________</w:t>
      </w:r>
      <w:r/>
    </w:p>
    <w:p>
      <w:pPr>
        <w:spacing w:after="0" w:line="360" w:lineRule="auto"/>
        <w:shd w:val="clear" w:color="ffffff" w:fill="ffffff"/>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 法人签字：_____________________________________</w:t>
      </w:r>
      <w:r/>
    </w:p>
    <w:p>
      <w:pPr>
        <w:spacing w:after="0" w:line="360" w:lineRule="auto"/>
        <w:shd w:val="clear" w:color="ffffff" w:fill="ffffff"/>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代理人（被授权人）签字：_______________________</w:t>
      </w:r>
      <w:r/>
    </w:p>
    <w:p>
      <w:pPr>
        <w:spacing w:after="0" w:line="360" w:lineRule="auto"/>
        <w:shd w:val="clear" w:color="ffffff" w:fill="ffffff"/>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职务：_____________________________________</w:t>
      </w:r>
      <w:r/>
    </w:p>
    <w:p>
      <w:pPr>
        <w:spacing w:after="0" w:line="360" w:lineRule="auto"/>
        <w:shd w:val="clear" w:color="ffffff" w:fill="ffffff"/>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地址：</w:t>
      </w:r>
      <w:r/>
    </w:p>
    <w:p>
      <w:pPr>
        <w:spacing w:after="0" w:line="360" w:lineRule="auto"/>
        <w:shd w:val="clear" w:color="ffffff" w:fill="ffffff"/>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 日期：______年____月____日</w:t>
      </w:r>
      <w:r/>
    </w:p>
    <w:p>
      <w:pPr>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注：代理人应持本授权书参加投标，并提供一份原件在投标文件中。</w:t>
      </w:r>
      <w:r/>
    </w:p>
    <w:p>
      <w:pPr>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附：法人身份证复印件（需同时提供正面及背面）</w:t>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59"/>
        <w:gridCol w:w="3759"/>
      </w:tblGrid>
      <w:tr>
        <w:trPr>
          <w:trHeight w:val="2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jc w:val="center"/>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法人身份证复印件正面</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jc w:val="center"/>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法人身份证复印件背面</w:t>
            </w:r>
            <w:r/>
          </w:p>
        </w:tc>
      </w:tr>
    </w:tbl>
    <w:p>
      <w:pPr>
        <w:ind w:firstLine="482"/>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附：委托代理人身份证复印件（需同时提供正面及背面）</w:t>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59"/>
        <w:gridCol w:w="3759"/>
      </w:tblGrid>
      <w:tr>
        <w:trPr>
          <w:trHeight w:val="249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jc w:val="center"/>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代理人身份证复印件正面</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jc w:val="center"/>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代理人身份证复印件背面</w:t>
            </w:r>
            <w:r/>
          </w:p>
        </w:tc>
      </w:tr>
    </w:tbl>
    <w:p>
      <w:pPr>
        <w:jc w:val="both"/>
        <w:spacing w:before="120" w:after="12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委托代理人社保证明材料：</w:t>
      </w:r>
      <w:r/>
    </w:p>
    <w:p>
      <w:pPr>
        <w:jc w:val="center"/>
        <w:spacing w:before="120" w:after="120" w:line="360" w:lineRule="auto"/>
        <w:rPr>
          <w:rFonts w:eastAsia="宋体"/>
          <w:lang w:eastAsia="zh-CN"/>
        </w:rPr>
        <w:pBdr>
          <w:top w:val="none" w:color="000000" w:sz="0" w:space="0"/>
          <w:left w:val="none" w:color="000000" w:sz="0" w:space="0"/>
          <w:bottom w:val="none" w:color="000000" w:sz="0" w:space="0"/>
          <w:right w:val="none" w:color="000000" w:sz="0" w:space="0"/>
        </w:pBdr>
      </w:pPr>
      <w:r>
        <w:rPr>
          <w:rFonts w:eastAsia="宋体"/>
          <w:lang w:eastAsia="zh-CN"/>
        </w:rPr>
      </w:r>
      <w:r/>
    </w:p>
    <w:p>
      <w:pPr>
        <w:jc w:val="center"/>
        <w:spacing w:before="120" w:after="120" w:line="360" w:lineRule="auto"/>
        <w:rPr>
          <w:rFonts w:ascii="宋体" w:hAnsi="宋体" w:eastAsia="宋体" w:cs="宋体"/>
          <w:color w:val="000000"/>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lang w:eastAsia="zh-CN"/>
        </w:rPr>
        <w:br/>
      </w:r>
      <w:r/>
    </w:p>
    <w:p>
      <w:pPr>
        <w:rPr>
          <w:rFonts w:ascii="宋体" w:hAnsi="宋体" w:eastAsia="宋体" w:cs="宋体"/>
          <w:color w:val="000000"/>
          <w:sz w:val="28"/>
          <w:lang w:eastAsia="zh-CN"/>
        </w:rPr>
      </w:pPr>
      <w:r>
        <w:rPr>
          <w:rFonts w:ascii="宋体" w:hAnsi="宋体" w:eastAsia="宋体" w:cs="宋体"/>
          <w:color w:val="000000"/>
          <w:sz w:val="28"/>
          <w:lang w:eastAsia="zh-CN"/>
        </w:rPr>
        <w:br w:type="page" w:clear="all"/>
      </w:r>
      <w:r/>
    </w:p>
    <w:p>
      <w:pPr>
        <w:jc w:val="center"/>
        <w:spacing w:before="120" w:after="12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具备履行合同所必需的设备和专业技术能力的书面声明</w:t>
      </w:r>
      <w:r/>
    </w:p>
    <w:p>
      <w:pPr>
        <w:ind w:firstLine="492"/>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我公司郑重声明：我公司具备履行本项采购合同所必需的设备和专业技术能力，为履行本项采购合同我公司具备如下主要设备和主要专业技术能力：</w:t>
      </w:r>
      <w:r/>
    </w:p>
    <w:p>
      <w:pPr>
        <w:ind w:firstLine="492"/>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主要设备有： 。</w:t>
      </w:r>
      <w:r/>
    </w:p>
    <w:p>
      <w:pPr>
        <w:ind w:firstLine="492"/>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主要专业技术能力有： 。</w:t>
      </w:r>
      <w:r/>
    </w:p>
    <w:p>
      <w:pPr>
        <w:ind w:firstLine="492"/>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p>
      <w:pPr>
        <w:ind w:firstLine="432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声明人：</w:t>
      </w:r>
      <w:r/>
    </w:p>
    <w:p>
      <w:pPr>
        <w:ind w:firstLine="432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法定代表人（被授权人）签字：</w:t>
      </w:r>
      <w:r/>
    </w:p>
    <w:p>
      <w:pPr>
        <w:ind w:firstLine="432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日期：年月日</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before="120" w:after="12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无违法违规记录声明</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本单位参加政府采购活动近三年内，在经营活动中没有因违法经营受到刑事处罚或责令停产停业、吊销许可证或者执照、较大数额等行政处罚。</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特此声明。</w:t>
      </w:r>
      <w:r/>
    </w:p>
    <w:p>
      <w:pPr>
        <w:ind w:firstLine="480"/>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p>
      <w:pPr>
        <w:ind w:firstLine="40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声明人：</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法定代表人（被授权人）签字：</w:t>
      </w:r>
      <w:r/>
    </w:p>
    <w:p>
      <w:pPr>
        <w:ind w:firstLine="40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日期：年月日</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2640"/>
        <w:spacing w:before="120" w:after="120" w:line="360" w:lineRule="auto"/>
        <w:tabs>
          <w:tab w:val="left" w:pos="576" w:leader="none"/>
        </w:tabs>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非联合体投标声明</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本次投标非联合体投标。</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特此声明。</w:t>
      </w:r>
      <w:r/>
    </w:p>
    <w:p>
      <w:pPr>
        <w:ind w:firstLine="480"/>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声明人：</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法定代表人（被授权人）签字：</w:t>
      </w:r>
      <w:r/>
    </w:p>
    <w:p>
      <w:pPr>
        <w:spacing w:before="120" w:after="120" w:line="360" w:lineRule="auto"/>
        <w:tabs>
          <w:tab w:val="left" w:pos="576" w:leader="none"/>
        </w:tabs>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日期：年月日</w:t>
      </w:r>
      <w:r/>
    </w:p>
    <w:p>
      <w:pPr>
        <w:ind w:firstLine="2640"/>
        <w:spacing w:before="120" w:after="120" w:line="360" w:lineRule="auto"/>
        <w:tabs>
          <w:tab w:val="left" w:pos="576" w:leader="none"/>
        </w:tabs>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非进口产品投标声明</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本次投标产品非进口产品。</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特此声明。</w:t>
      </w:r>
      <w:r/>
    </w:p>
    <w:p>
      <w:pPr>
        <w:ind w:firstLine="480"/>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声明人：</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 法定代表人（被授权人）签字：</w:t>
      </w:r>
      <w:r/>
    </w:p>
    <w:p>
      <w:pPr>
        <w:ind w:firstLine="4080"/>
        <w:spacing w:before="120" w:after="120" w:line="360" w:lineRule="auto"/>
        <w:tabs>
          <w:tab w:val="left" w:pos="576"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日期：年月日</w:t>
      </w:r>
      <w:r/>
    </w:p>
    <w:p>
      <w:pPr>
        <w:rPr>
          <w:rFonts w:hint="eastAsia" w:ascii="宋体" w:hAnsi="宋体" w:eastAsia="宋体" w:cs="宋体"/>
          <w:b/>
          <w:color w:val="000000"/>
          <w:sz w:val="24"/>
          <w:lang w:eastAsia="zh-CN"/>
        </w:rPr>
      </w:pPr>
      <w:r>
        <w:rPr>
          <w:rFonts w:ascii="宋体" w:hAnsi="宋体" w:eastAsia="宋体" w:cs="宋体"/>
          <w:b/>
          <w:color w:val="000000"/>
          <w:sz w:val="24"/>
          <w:lang w:eastAsia="zh-CN"/>
        </w:rPr>
        <w:br w:type="page" w:clear="all"/>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供应商</w:t>
      </w:r>
      <w:r>
        <w:rPr>
          <w:rFonts w:ascii="宋体" w:hAnsi="宋体" w:eastAsia="宋体" w:cs="宋体"/>
          <w:b/>
          <w:color w:val="000000"/>
          <w:sz w:val="24"/>
          <w:lang w:eastAsia="zh-CN"/>
        </w:rPr>
        <w:t xml:space="preserve">若符合相关要求，请提供企业声明函。</w:t>
      </w:r>
      <w:r/>
    </w:p>
    <w:p>
      <w:pPr>
        <w:ind w:firstLine="482"/>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企业声明函格式</w:t>
      </w:r>
      <w:r/>
    </w:p>
    <w:p>
      <w:pPr>
        <w:ind w:right="14"/>
        <w:jc w:val="center"/>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中小企业声明函（货物）</w:t>
      </w:r>
      <w:r/>
    </w:p>
    <w:p>
      <w:pPr>
        <w:ind w:right="208" w:firstLine="396"/>
        <w:spacing w:after="0" w:line="360" w:lineRule="auto"/>
        <w:tabs>
          <w:tab w:val="left" w:pos="2429" w:leader="none"/>
          <w:tab w:val="left" w:pos="3656" w:leader="none"/>
        </w:tabs>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1"/>
          <w:szCs w:val="21"/>
          <w:lang w:eastAsia="zh-CN"/>
        </w:rPr>
        <w:t xml:space="preserve">本公司（联合体）郑重声明，根据《政府采购促进中小企业发展管理办法》（财库﹝2020﹞46号）的规定，本公司（联合体）参加</w:t>
      </w:r>
      <w:r>
        <w:rPr>
          <w:rFonts w:ascii="宋体" w:hAnsi="宋体" w:eastAsia="宋体" w:cs="宋体"/>
          <w:color w:val="000000"/>
          <w:spacing w:val="-5"/>
          <w:sz w:val="21"/>
          <w:szCs w:val="21"/>
          <w:u w:val="single"/>
          <w:lang w:eastAsia="zh-CN"/>
        </w:rPr>
        <w:t xml:space="preserve">（单位名称）</w:t>
      </w:r>
      <w:r>
        <w:rPr>
          <w:rFonts w:ascii="宋体" w:hAnsi="宋体" w:eastAsia="宋体" w:cs="宋体"/>
          <w:color w:val="000000"/>
          <w:spacing w:val="-5"/>
          <w:sz w:val="21"/>
          <w:szCs w:val="21"/>
          <w:lang w:eastAsia="zh-CN"/>
        </w:rPr>
        <w:t xml:space="preserve">的</w:t>
      </w:r>
      <w:r>
        <w:rPr>
          <w:rFonts w:ascii="宋体" w:hAnsi="宋体" w:eastAsia="宋体" w:cs="宋体"/>
          <w:color w:val="000000"/>
          <w:spacing w:val="-5"/>
          <w:sz w:val="21"/>
          <w:szCs w:val="21"/>
          <w:u w:val="single"/>
          <w:lang w:eastAsia="zh-CN"/>
        </w:rPr>
        <w:t xml:space="preserve">（项目名称）</w:t>
      </w:r>
      <w:r>
        <w:rPr>
          <w:rFonts w:ascii="宋体" w:hAnsi="宋体" w:eastAsia="宋体" w:cs="宋体"/>
          <w:color w:val="000000"/>
          <w:spacing w:val="-5"/>
          <w:sz w:val="21"/>
          <w:szCs w:val="21"/>
          <w:lang w:eastAsia="zh-CN"/>
        </w:rPr>
        <w:t xml:space="preserve">采购活动，提供的货物全部由符合政策要求的中小企业制造。相关企业（含联合体中的中小企业、签订分包意向协议的中小企业）的具体情况如下：</w:t>
      </w:r>
      <w:r/>
    </w:p>
    <w:p>
      <w:pPr>
        <w:ind w:right="208" w:firstLine="396"/>
        <w:spacing w:after="0" w:line="360" w:lineRule="auto"/>
        <w:tabs>
          <w:tab w:val="left" w:pos="2429" w:leader="none"/>
          <w:tab w:val="left" w:pos="3656" w:leader="none"/>
        </w:tabs>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1"/>
          <w:szCs w:val="21"/>
          <w:lang w:eastAsia="zh-CN"/>
        </w:rPr>
        <w:t xml:space="preserve">1.</w:t>
      </w:r>
      <w:r>
        <w:rPr>
          <w:rFonts w:ascii="宋体" w:hAnsi="宋体" w:eastAsia="宋体" w:cs="宋体"/>
          <w:color w:val="000000"/>
          <w:spacing w:val="-5"/>
          <w:sz w:val="21"/>
          <w:szCs w:val="21"/>
          <w:u w:val="single"/>
          <w:lang w:eastAsia="zh-CN"/>
        </w:rPr>
        <w:t xml:space="preserve">（标的名称）</w:t>
      </w:r>
      <w:r>
        <w:rPr>
          <w:rFonts w:ascii="宋体" w:hAnsi="宋体" w:eastAsia="宋体" w:cs="宋体"/>
          <w:color w:val="000000"/>
          <w:spacing w:val="-5"/>
          <w:sz w:val="21"/>
          <w:szCs w:val="21"/>
          <w:lang w:eastAsia="zh-CN"/>
        </w:rPr>
        <w:t xml:space="preserve">，属于</w:t>
      </w:r>
      <w:r>
        <w:rPr>
          <w:rFonts w:ascii="宋体" w:hAnsi="宋体" w:eastAsia="宋体" w:cs="宋体"/>
          <w:color w:val="000000"/>
          <w:spacing w:val="-5"/>
          <w:sz w:val="21"/>
          <w:szCs w:val="21"/>
          <w:u w:val="single"/>
          <w:lang w:eastAsia="zh-CN"/>
        </w:rPr>
        <w:t xml:space="preserve">（采购文件中明确的所属行业）行业</w:t>
      </w:r>
      <w:r>
        <w:rPr>
          <w:rFonts w:ascii="宋体" w:hAnsi="宋体" w:eastAsia="宋体" w:cs="宋体"/>
          <w:color w:val="000000"/>
          <w:spacing w:val="-5"/>
          <w:sz w:val="21"/>
          <w:szCs w:val="21"/>
          <w:lang w:eastAsia="zh-CN"/>
        </w:rPr>
        <w:t xml:space="preserve">；制造商为</w:t>
      </w:r>
      <w:r>
        <w:rPr>
          <w:rFonts w:ascii="宋体" w:hAnsi="宋体" w:eastAsia="宋体" w:cs="宋体"/>
          <w:color w:val="000000"/>
          <w:spacing w:val="-5"/>
          <w:sz w:val="21"/>
          <w:szCs w:val="21"/>
          <w:u w:val="single"/>
          <w:lang w:eastAsia="zh-CN"/>
        </w:rPr>
        <w:t xml:space="preserve">（企业名称）</w:t>
      </w:r>
      <w:r>
        <w:rPr>
          <w:rFonts w:ascii="宋体" w:hAnsi="宋体" w:eastAsia="宋体" w:cs="宋体"/>
          <w:color w:val="000000"/>
          <w:spacing w:val="-5"/>
          <w:sz w:val="21"/>
          <w:szCs w:val="21"/>
          <w:lang w:eastAsia="zh-CN"/>
        </w:rPr>
        <w:t xml:space="preserve">，从业人员人，营业收入为万元，资产总额为万元，属于</w:t>
      </w:r>
      <w:r>
        <w:rPr>
          <w:rFonts w:ascii="宋体" w:hAnsi="宋体" w:eastAsia="宋体" w:cs="宋体"/>
          <w:color w:val="000000"/>
          <w:spacing w:val="-5"/>
          <w:sz w:val="21"/>
          <w:szCs w:val="21"/>
          <w:u w:val="single"/>
          <w:lang w:eastAsia="zh-CN"/>
        </w:rPr>
        <w:t xml:space="preserve">（中型企业、小型企业、微型企业）</w:t>
      </w:r>
      <w:r>
        <w:rPr>
          <w:rFonts w:ascii="宋体" w:hAnsi="宋体" w:eastAsia="宋体" w:cs="宋体"/>
          <w:color w:val="000000"/>
          <w:spacing w:val="-5"/>
          <w:sz w:val="21"/>
          <w:szCs w:val="21"/>
          <w:lang w:eastAsia="zh-CN"/>
        </w:rPr>
        <w:t xml:space="preserve">；</w:t>
      </w:r>
      <w:r/>
    </w:p>
    <w:p>
      <w:pPr>
        <w:ind w:right="208" w:firstLine="396"/>
        <w:spacing w:after="0" w:line="360" w:lineRule="auto"/>
        <w:tabs>
          <w:tab w:val="left" w:pos="2429" w:leader="none"/>
          <w:tab w:val="left" w:pos="3656" w:leader="none"/>
        </w:tabs>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1"/>
          <w:szCs w:val="21"/>
          <w:lang w:eastAsia="zh-CN"/>
        </w:rPr>
        <w:t xml:space="preserve">2.</w:t>
      </w:r>
      <w:r>
        <w:rPr>
          <w:rFonts w:ascii="宋体" w:hAnsi="宋体" w:eastAsia="宋体" w:cs="宋体"/>
          <w:color w:val="000000"/>
          <w:spacing w:val="-5"/>
          <w:sz w:val="21"/>
          <w:szCs w:val="21"/>
          <w:u w:val="single"/>
          <w:lang w:eastAsia="zh-CN"/>
        </w:rPr>
        <w:t xml:space="preserve">（标的名称）</w:t>
      </w:r>
      <w:r>
        <w:rPr>
          <w:rFonts w:ascii="宋体" w:hAnsi="宋体" w:eastAsia="宋体" w:cs="宋体"/>
          <w:color w:val="000000"/>
          <w:spacing w:val="-5"/>
          <w:sz w:val="21"/>
          <w:szCs w:val="21"/>
          <w:lang w:eastAsia="zh-CN"/>
        </w:rPr>
        <w:t xml:space="preserve">，属于</w:t>
      </w:r>
      <w:r>
        <w:rPr>
          <w:rFonts w:ascii="宋体" w:hAnsi="宋体" w:eastAsia="宋体" w:cs="宋体"/>
          <w:color w:val="000000"/>
          <w:spacing w:val="-5"/>
          <w:sz w:val="21"/>
          <w:szCs w:val="21"/>
          <w:u w:val="single"/>
          <w:lang w:eastAsia="zh-CN"/>
        </w:rPr>
        <w:t xml:space="preserve">（采购文件中明确的所属行业）行业</w:t>
      </w:r>
      <w:r>
        <w:rPr>
          <w:rFonts w:ascii="宋体" w:hAnsi="宋体" w:eastAsia="宋体" w:cs="宋体"/>
          <w:color w:val="000000"/>
          <w:spacing w:val="-5"/>
          <w:sz w:val="21"/>
          <w:szCs w:val="21"/>
          <w:lang w:eastAsia="zh-CN"/>
        </w:rPr>
        <w:t xml:space="preserve">；制造商为</w:t>
      </w:r>
      <w:r>
        <w:rPr>
          <w:rFonts w:ascii="宋体" w:hAnsi="宋体" w:eastAsia="宋体" w:cs="宋体"/>
          <w:color w:val="000000"/>
          <w:spacing w:val="-5"/>
          <w:sz w:val="21"/>
          <w:szCs w:val="21"/>
          <w:u w:val="single"/>
          <w:lang w:eastAsia="zh-CN"/>
        </w:rPr>
        <w:t xml:space="preserve">（企业名称）</w:t>
      </w:r>
      <w:r>
        <w:rPr>
          <w:rFonts w:ascii="宋体" w:hAnsi="宋体" w:eastAsia="宋体" w:cs="宋体"/>
          <w:color w:val="000000"/>
          <w:spacing w:val="-5"/>
          <w:sz w:val="21"/>
          <w:szCs w:val="21"/>
          <w:lang w:eastAsia="zh-CN"/>
        </w:rPr>
        <w:t xml:space="preserve">，从业人员人，营业收入为万元，资产总额为万元，属于</w:t>
      </w:r>
      <w:r>
        <w:rPr>
          <w:rFonts w:ascii="宋体" w:hAnsi="宋体" w:eastAsia="宋体" w:cs="宋体"/>
          <w:color w:val="000000"/>
          <w:spacing w:val="-5"/>
          <w:sz w:val="21"/>
          <w:szCs w:val="21"/>
          <w:u w:val="single"/>
          <w:lang w:eastAsia="zh-CN"/>
        </w:rPr>
        <w:t xml:space="preserve">（中型企业、小型企业、微型企业）</w:t>
      </w:r>
      <w:r>
        <w:rPr>
          <w:rFonts w:ascii="宋体" w:hAnsi="宋体" w:eastAsia="宋体" w:cs="宋体"/>
          <w:color w:val="000000"/>
          <w:spacing w:val="-5"/>
          <w:sz w:val="21"/>
          <w:szCs w:val="21"/>
          <w:lang w:eastAsia="zh-CN"/>
        </w:rPr>
        <w:t xml:space="preserve">；</w:t>
      </w:r>
      <w:r/>
    </w:p>
    <w:p>
      <w:pPr>
        <w:ind w:right="208" w:firstLine="396"/>
        <w:spacing w:after="0" w:line="360" w:lineRule="auto"/>
        <w:tabs>
          <w:tab w:val="left" w:pos="2429" w:leader="none"/>
          <w:tab w:val="left" w:pos="3656" w:leader="none"/>
        </w:tabs>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1"/>
          <w:szCs w:val="21"/>
          <w:lang w:eastAsia="zh-CN"/>
        </w:rPr>
        <w:t xml:space="preserve">……</w:t>
      </w:r>
      <w:r/>
    </w:p>
    <w:p>
      <w:pPr>
        <w:ind w:right="208" w:firstLine="396"/>
        <w:spacing w:after="0" w:line="360" w:lineRule="auto"/>
        <w:tabs>
          <w:tab w:val="left" w:pos="2429" w:leader="none"/>
          <w:tab w:val="left" w:pos="3656" w:leader="none"/>
        </w:tabs>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1"/>
          <w:szCs w:val="21"/>
          <w:lang w:eastAsia="zh-CN"/>
        </w:rPr>
        <w:t xml:space="preserve">以上企业，不属于大企业的分支机构，不存在控股股东为大企业的情形，也不存在与大企业的负责人为同一人的情形。</w:t>
      </w:r>
      <w:r/>
    </w:p>
    <w:p>
      <w:pPr>
        <w:ind w:right="208" w:firstLine="396"/>
        <w:spacing w:after="0" w:line="360" w:lineRule="auto"/>
        <w:tabs>
          <w:tab w:val="left" w:pos="2429" w:leader="none"/>
          <w:tab w:val="left" w:pos="3656" w:leader="none"/>
        </w:tabs>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1"/>
          <w:szCs w:val="21"/>
          <w:lang w:eastAsia="zh-CN"/>
        </w:rPr>
        <w:t xml:space="preserve">本企业对上述声明内容的真实性负责。如有虚假，将依法承担相应责任。</w:t>
      </w:r>
      <w:r/>
    </w:p>
    <w:p>
      <w:pPr>
        <w:ind w:right="208" w:firstLine="396"/>
        <w:spacing w:after="0" w:line="360" w:lineRule="auto"/>
        <w:tabs>
          <w:tab w:val="left" w:pos="2429" w:leader="none"/>
          <w:tab w:val="left" w:pos="3656" w:leader="none"/>
        </w:tabs>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p>
      <w:pPr>
        <w:ind w:right="208" w:firstLine="5520"/>
        <w:spacing w:after="0" w:line="360" w:lineRule="auto"/>
        <w:tabs>
          <w:tab w:val="left" w:pos="2429" w:leader="none"/>
          <w:tab w:val="left" w:pos="3656" w:leader="none"/>
        </w:tabs>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1"/>
          <w:szCs w:val="21"/>
          <w:lang w:eastAsia="zh-CN"/>
        </w:rPr>
        <w:t xml:space="preserve">企业名称（盖章）：</w:t>
      </w:r>
      <w:r/>
    </w:p>
    <w:p>
      <w:pPr>
        <w:ind w:firstLine="59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1"/>
          <w:szCs w:val="21"/>
          <w:lang w:eastAsia="zh-CN"/>
        </w:rPr>
        <w:t xml:space="preserve">日期：</w:t>
      </w:r>
      <w:r>
        <w:rPr>
          <w:rFonts w:ascii="宋体" w:hAnsi="宋体" w:eastAsia="宋体" w:cs="宋体"/>
          <w:color w:val="000000"/>
          <w:sz w:val="21"/>
          <w:szCs w:val="21"/>
          <w:lang w:eastAsia="zh-CN"/>
        </w:rPr>
        <w:t xml:space="preserve"> </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360" w:lineRule="auto"/>
        <w:rPr>
          <w:rFonts w:eastAsia="宋体"/>
          <w:lang w:eastAsia="zh-CN"/>
        </w:rPr>
        <w:pBdr>
          <w:top w:val="none" w:color="000000" w:sz="0" w:space="0"/>
          <w:left w:val="none" w:color="000000" w:sz="0" w:space="0"/>
          <w:bottom w:val="none" w:color="000000" w:sz="0" w:space="0"/>
          <w:right w:val="none" w:color="000000" w:sz="0" w:space="0"/>
        </w:pBdr>
      </w:pPr>
      <w:r>
        <w:rPr>
          <w:rFonts w:eastAsia="宋体"/>
          <w:lang w:eastAsia="zh-CN"/>
        </w:rPr>
      </w:r>
      <w:r/>
    </w:p>
    <w:p>
      <w:pPr>
        <w:jc w:val="center"/>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残疾人福利性单位声明函</w:t>
      </w:r>
      <w:r/>
    </w:p>
    <w:p>
      <w:pPr>
        <w:ind w:firstLine="448"/>
        <w:spacing w:after="0" w:line="360" w:lineRule="auto"/>
        <w:tabs>
          <w:tab w:val="left" w:pos="2009" w:leader="none"/>
          <w:tab w:val="left" w:pos="3547" w:leader="none"/>
        </w:tabs>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szCs w:val="21"/>
          <w:lang w:eastAsia="zh-CN"/>
        </w:rPr>
        <w:t xml:space="preserve">本单位郑重声明，根据《财政部 </w:t>
      </w:r>
      <w:r>
        <w:rPr>
          <w:rFonts w:ascii="宋体" w:hAnsi="宋体" w:eastAsia="宋体" w:cs="宋体"/>
          <w:color w:val="000000"/>
          <w:sz w:val="21"/>
          <w:szCs w:val="21"/>
          <w:lang w:eastAsia="zh-CN"/>
        </w:rPr>
        <w:t xml:space="preserve">民政部中国残疾人联合会关于促进残疾人就业政府采</w:t>
      </w:r>
      <w:r>
        <w:rPr>
          <w:rFonts w:ascii="宋体" w:hAnsi="宋体" w:eastAsia="宋体" w:cs="宋体"/>
          <w:color w:val="000000"/>
          <w:spacing w:val="-3"/>
          <w:sz w:val="21"/>
          <w:szCs w:val="21"/>
          <w:lang w:eastAsia="zh-CN"/>
        </w:rPr>
        <w:t xml:space="preserve">购政策的通知》（财库〔2017〕</w:t>
      </w:r>
      <w:r>
        <w:rPr>
          <w:rFonts w:ascii="宋体" w:hAnsi="宋体" w:eastAsia="宋体" w:cs="宋体"/>
          <w:color w:val="000000"/>
          <w:sz w:val="21"/>
          <w:szCs w:val="21"/>
          <w:lang w:eastAsia="zh-CN"/>
        </w:rPr>
        <w:t xml:space="preserve">141号）的规定，本单位为符合条件的残疾人福利性单位，</w:t>
      </w:r>
      <w:r>
        <w:rPr>
          <w:rFonts w:ascii="宋体" w:hAnsi="宋体" w:eastAsia="宋体" w:cs="宋体"/>
          <w:color w:val="000000"/>
          <w:spacing w:val="-2"/>
          <w:sz w:val="21"/>
          <w:szCs w:val="21"/>
          <w:lang w:eastAsia="zh-CN"/>
        </w:rPr>
        <w:t xml:space="preserve">且本单位参加</w:t>
      </w:r>
      <w:r>
        <w:rPr>
          <w:rFonts w:ascii="宋体" w:hAnsi="宋体" w:eastAsia="宋体" w:cs="宋体"/>
          <w:color w:val="000000"/>
          <w:spacing w:val="-2"/>
          <w:sz w:val="21"/>
          <w:szCs w:val="21"/>
          <w:u w:val="single"/>
          <w:lang w:eastAsia="zh-CN"/>
        </w:rPr>
        <w:tab/>
      </w:r>
      <w:r>
        <w:rPr>
          <w:rFonts w:ascii="宋体" w:hAnsi="宋体" w:eastAsia="宋体" w:cs="宋体"/>
          <w:color w:val="000000"/>
          <w:spacing w:val="-1"/>
          <w:sz w:val="21"/>
          <w:szCs w:val="21"/>
          <w:lang w:eastAsia="zh-CN"/>
        </w:rPr>
        <w:t xml:space="preserve">单位的</w:t>
      </w:r>
      <w:r>
        <w:rPr>
          <w:rFonts w:ascii="宋体" w:hAnsi="宋体" w:eastAsia="宋体" w:cs="宋体"/>
          <w:color w:val="000000"/>
          <w:spacing w:val="-1"/>
          <w:sz w:val="21"/>
          <w:szCs w:val="21"/>
          <w:u w:val="single"/>
          <w:lang w:eastAsia="zh-CN"/>
        </w:rPr>
        <w:tab/>
      </w:r>
      <w:r>
        <w:rPr>
          <w:rFonts w:ascii="宋体" w:hAnsi="宋体" w:eastAsia="宋体" w:cs="宋体"/>
          <w:color w:val="000000"/>
          <w:spacing w:val="-5"/>
          <w:sz w:val="21"/>
          <w:szCs w:val="21"/>
          <w:lang w:eastAsia="zh-CN"/>
        </w:rPr>
        <w:t xml:space="preserve">项目采购活动提供本单位制造的货物（由本单位承担工程</w:t>
      </w:r>
      <w:r/>
    </w:p>
    <w:p>
      <w:pPr>
        <w:ind w:firstLine="472"/>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szCs w:val="21"/>
          <w:lang w:eastAsia="zh-CN"/>
        </w:rPr>
        <w:t xml:space="preserve">/提供服务），或者提供其他残疾人福利性单位制造的货物（不包括使用非残疾人福利性单</w:t>
      </w:r>
      <w:r>
        <w:rPr>
          <w:rFonts w:ascii="宋体" w:hAnsi="宋体" w:eastAsia="宋体" w:cs="宋体"/>
          <w:color w:val="000000"/>
          <w:sz w:val="21"/>
          <w:szCs w:val="21"/>
          <w:lang w:eastAsia="zh-CN"/>
        </w:rPr>
        <w:t xml:space="preserve">位注册商标的货物）。</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本单位对上述声明的真实性负责。如有虚假，将依法承担相应责任。</w:t>
      </w:r>
      <w:r/>
    </w:p>
    <w:p>
      <w:pPr>
        <w:ind w:firstLine="400"/>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p>
      <w:pPr>
        <w:ind w:left="4111" w:right="437" w:firstLine="403"/>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lang w:eastAsia="zh-CN"/>
        </w:rPr>
        <w:t xml:space="preserve">（盖章）：</w:t>
      </w:r>
      <w:r/>
    </w:p>
    <w:p>
      <w:pPr>
        <w:ind w:left="4111" w:right="437" w:firstLine="403"/>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日期：年月</w:t>
      </w:r>
      <w:r>
        <w:rPr>
          <w:rFonts w:ascii="宋体" w:hAnsi="宋体" w:eastAsia="宋体" w:cs="宋体"/>
          <w:color w:val="000000"/>
          <w:spacing w:val="-3"/>
          <w:sz w:val="21"/>
          <w:szCs w:val="21"/>
          <w:lang w:eastAsia="zh-CN"/>
        </w:rPr>
        <w:t xml:space="preserve">日</w:t>
      </w:r>
      <w:r/>
    </w:p>
    <w:p>
      <w:pPr>
        <w:ind w:firstLine="480"/>
        <w:spacing w:after="0" w:line="360" w:lineRule="auto"/>
        <w:rPr>
          <w:rFonts w:eastAsia="宋体"/>
          <w:lang w:eastAsia="zh-CN"/>
        </w:rPr>
        <w:pBdr>
          <w:top w:val="none" w:color="000000" w:sz="0" w:space="0"/>
          <w:left w:val="none" w:color="000000" w:sz="0" w:space="0"/>
          <w:bottom w:val="none" w:color="000000" w:sz="0" w:space="0"/>
          <w:right w:val="none" w:color="000000" w:sz="0" w:space="0"/>
        </w:pBdr>
      </w:pPr>
      <w:r>
        <w:rPr>
          <w:rFonts w:eastAsia="宋体"/>
          <w:lang w:eastAsia="zh-CN"/>
        </w:rPr>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360" w:lineRule="auto"/>
        <w:rPr>
          <w:rFonts w:eastAsia="宋体"/>
          <w:lang w:eastAsia="zh-CN"/>
        </w:rPr>
        <w:pBdr>
          <w:top w:val="none" w:color="000000" w:sz="0" w:space="0"/>
          <w:left w:val="none" w:color="000000" w:sz="0" w:space="0"/>
          <w:bottom w:val="none" w:color="000000" w:sz="0" w:space="0"/>
          <w:right w:val="none" w:color="000000" w:sz="0" w:space="0"/>
        </w:pBdr>
      </w:pPr>
      <w:r>
        <w:rPr>
          <w:rFonts w:eastAsia="宋体"/>
          <w:lang w:eastAsia="zh-CN"/>
        </w:rPr>
      </w:r>
      <w:r/>
    </w:p>
    <w:p>
      <w:pPr>
        <w:ind w:right="14"/>
        <w:jc w:val="center"/>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属于监狱企业的证明文件</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（提供由省级以上监狱管理局、戒毒管理局(含新疆生产建设兵团)出具的属于监狱企业的证 明文件）</w:t>
      </w:r>
      <w:r/>
    </w:p>
    <w:p>
      <w:pPr>
        <w:ind w:firstLine="480"/>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p>
      <w:pPr>
        <w:ind w:firstLine="480"/>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p>
      <w:pPr>
        <w:ind w:right="14"/>
        <w:jc w:val="center"/>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节能产品认证文件</w:t>
      </w:r>
      <w:r/>
    </w:p>
    <w:p>
      <w:pPr>
        <w:ind w:firstLine="480"/>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（提供产品在《节能产品政府采购清单》中相应的页面）</w:t>
      </w:r>
      <w:r/>
    </w:p>
    <w:p>
      <w:pPr>
        <w:ind w:firstLine="480"/>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p>
      <w:pPr>
        <w:ind w:firstLine="480"/>
        <w:spacing w:after="0" w:line="360" w:lineRule="auto"/>
        <w:rPr>
          <w:rFonts w:eastAsia="宋体"/>
          <w:sz w:val="21"/>
          <w:szCs w:val="21"/>
          <w:lang w:eastAsia="zh-CN"/>
        </w:rPr>
        <w:pBdr>
          <w:top w:val="none" w:color="000000" w:sz="0" w:space="0"/>
          <w:left w:val="none" w:color="000000" w:sz="0" w:space="0"/>
          <w:bottom w:val="none" w:color="000000" w:sz="0" w:space="0"/>
          <w:right w:val="none" w:color="000000" w:sz="0" w:space="0"/>
        </w:pBdr>
      </w:pPr>
      <w:r>
        <w:rPr>
          <w:rFonts w:eastAsia="宋体"/>
          <w:sz w:val="21"/>
          <w:szCs w:val="21"/>
          <w:lang w:eastAsia="zh-CN"/>
        </w:rPr>
      </w:r>
      <w:r/>
    </w:p>
    <w:p>
      <w:pPr>
        <w:ind w:right="14"/>
        <w:jc w:val="center"/>
        <w:spacing w:after="0" w:line="360" w:lineRule="auto"/>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环境标志产品认证文件</w:t>
      </w:r>
      <w:r/>
    </w:p>
    <w:p>
      <w:pPr>
        <w:spacing w:line="360" w:lineRule="auto"/>
        <w:rPr>
          <w:sz w:val="21"/>
          <w:szCs w:val="21"/>
          <w:lang w:eastAsia="zh-CN"/>
        </w:rPr>
      </w:pPr>
      <w:r>
        <w:rPr>
          <w:rFonts w:ascii="宋体" w:hAnsi="宋体" w:eastAsia="宋体" w:cs="宋体"/>
          <w:color w:val="000000"/>
          <w:sz w:val="21"/>
          <w:szCs w:val="21"/>
          <w:lang w:eastAsia="zh-CN"/>
        </w:rPr>
        <w:t xml:space="preserve">（提供产品在《环境标志产品政府采购清单》中相应的页面）</w:t>
      </w:r>
      <w:r/>
    </w:p>
    <w:sectPr>
      <w:footerReference w:type="default" r:id="rId9"/>
      <w:footnotePr/>
      <w:endnotePr/>
      <w:type w:val="nextPage"/>
      <w:pgSz w:w="11906" w:h="16838" w:orient="portrait"/>
      <w:pgMar w:top="1134" w:right="850" w:bottom="1134" w:left="1701" w:header="709" w:footer="709" w:gutter="0"/>
      <w:pgNumType w:start="1"/>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仿宋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5">
    <w:name w:val="Heading 1 Char"/>
    <w:basedOn w:val="722"/>
    <w:link w:val="713"/>
    <w:uiPriority w:val="9"/>
    <w:rPr>
      <w:rFonts w:ascii="Arial" w:hAnsi="Arial" w:eastAsia="Arial" w:cs="Arial"/>
      <w:sz w:val="40"/>
      <w:szCs w:val="40"/>
    </w:rPr>
  </w:style>
  <w:style w:type="character" w:styleId="676">
    <w:name w:val="Heading 2 Char"/>
    <w:basedOn w:val="722"/>
    <w:link w:val="714"/>
    <w:uiPriority w:val="9"/>
    <w:rPr>
      <w:rFonts w:ascii="Arial" w:hAnsi="Arial" w:eastAsia="Arial" w:cs="Arial"/>
      <w:sz w:val="34"/>
    </w:rPr>
  </w:style>
  <w:style w:type="character" w:styleId="677">
    <w:name w:val="Heading 3 Char"/>
    <w:basedOn w:val="722"/>
    <w:link w:val="715"/>
    <w:uiPriority w:val="9"/>
    <w:rPr>
      <w:rFonts w:ascii="Arial" w:hAnsi="Arial" w:eastAsia="Arial" w:cs="Arial"/>
      <w:sz w:val="30"/>
      <w:szCs w:val="30"/>
    </w:rPr>
  </w:style>
  <w:style w:type="character" w:styleId="678">
    <w:name w:val="Heading 4 Char"/>
    <w:basedOn w:val="722"/>
    <w:link w:val="716"/>
    <w:uiPriority w:val="9"/>
    <w:rPr>
      <w:rFonts w:ascii="Arial" w:hAnsi="Arial" w:eastAsia="Arial" w:cs="Arial"/>
      <w:b/>
      <w:bCs/>
      <w:sz w:val="26"/>
      <w:szCs w:val="26"/>
    </w:rPr>
  </w:style>
  <w:style w:type="character" w:styleId="679">
    <w:name w:val="Heading 5 Char"/>
    <w:basedOn w:val="722"/>
    <w:link w:val="717"/>
    <w:uiPriority w:val="9"/>
    <w:rPr>
      <w:rFonts w:ascii="Arial" w:hAnsi="Arial" w:eastAsia="Arial" w:cs="Arial"/>
      <w:b/>
      <w:bCs/>
      <w:sz w:val="24"/>
      <w:szCs w:val="24"/>
    </w:rPr>
  </w:style>
  <w:style w:type="character" w:styleId="680">
    <w:name w:val="Heading 6 Char"/>
    <w:basedOn w:val="722"/>
    <w:link w:val="718"/>
    <w:uiPriority w:val="9"/>
    <w:rPr>
      <w:rFonts w:ascii="Arial" w:hAnsi="Arial" w:eastAsia="Arial" w:cs="Arial"/>
      <w:b/>
      <w:bCs/>
      <w:sz w:val="22"/>
      <w:szCs w:val="22"/>
    </w:rPr>
  </w:style>
  <w:style w:type="character" w:styleId="681">
    <w:name w:val="Heading 7 Char"/>
    <w:basedOn w:val="722"/>
    <w:link w:val="719"/>
    <w:uiPriority w:val="9"/>
    <w:rPr>
      <w:rFonts w:ascii="Arial" w:hAnsi="Arial" w:eastAsia="Arial" w:cs="Arial"/>
      <w:b/>
      <w:bCs/>
      <w:i/>
      <w:iCs/>
      <w:sz w:val="22"/>
      <w:szCs w:val="22"/>
    </w:rPr>
  </w:style>
  <w:style w:type="character" w:styleId="682">
    <w:name w:val="Heading 8 Char"/>
    <w:basedOn w:val="722"/>
    <w:link w:val="720"/>
    <w:uiPriority w:val="9"/>
    <w:rPr>
      <w:rFonts w:ascii="Arial" w:hAnsi="Arial" w:eastAsia="Arial" w:cs="Arial"/>
      <w:i/>
      <w:iCs/>
      <w:sz w:val="22"/>
      <w:szCs w:val="22"/>
    </w:rPr>
  </w:style>
  <w:style w:type="character" w:styleId="683">
    <w:name w:val="Heading 9 Char"/>
    <w:basedOn w:val="722"/>
    <w:link w:val="721"/>
    <w:uiPriority w:val="9"/>
    <w:rPr>
      <w:rFonts w:ascii="Arial" w:hAnsi="Arial" w:eastAsia="Arial" w:cs="Arial"/>
      <w:i/>
      <w:iCs/>
      <w:sz w:val="21"/>
      <w:szCs w:val="21"/>
    </w:rPr>
  </w:style>
  <w:style w:type="character" w:styleId="684">
    <w:name w:val="Title Char"/>
    <w:basedOn w:val="722"/>
    <w:link w:val="746"/>
    <w:uiPriority w:val="10"/>
    <w:rPr>
      <w:sz w:val="48"/>
      <w:szCs w:val="48"/>
    </w:rPr>
  </w:style>
  <w:style w:type="character" w:styleId="685">
    <w:name w:val="Subtitle Char"/>
    <w:basedOn w:val="722"/>
    <w:link w:val="740"/>
    <w:uiPriority w:val="11"/>
    <w:rPr>
      <w:sz w:val="24"/>
      <w:szCs w:val="24"/>
    </w:rPr>
  </w:style>
  <w:style w:type="character" w:styleId="686">
    <w:name w:val="Quote Char"/>
    <w:link w:val="764"/>
    <w:uiPriority w:val="29"/>
    <w:rPr>
      <w:i/>
    </w:rPr>
  </w:style>
  <w:style w:type="character" w:styleId="687">
    <w:name w:val="Intense Quote Char"/>
    <w:link w:val="766"/>
    <w:uiPriority w:val="30"/>
    <w:rPr>
      <w:i/>
    </w:rPr>
  </w:style>
  <w:style w:type="character" w:styleId="688">
    <w:name w:val="Header Char"/>
    <w:basedOn w:val="722"/>
    <w:link w:val="737"/>
    <w:uiPriority w:val="99"/>
  </w:style>
  <w:style w:type="character" w:styleId="689">
    <w:name w:val="Caption Char"/>
    <w:basedOn w:val="726"/>
    <w:link w:val="736"/>
    <w:uiPriority w:val="99"/>
  </w:style>
  <w:style w:type="table" w:styleId="690">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0">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1">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2">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3">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4">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5">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7">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8">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9">
    <w:name w:val="Footnote Text Char"/>
    <w:link w:val="741"/>
    <w:uiPriority w:val="99"/>
    <w:rPr>
      <w:sz w:val="18"/>
    </w:rPr>
  </w:style>
  <w:style w:type="character" w:styleId="710">
    <w:name w:val="Endnote Text Char"/>
    <w:link w:val="735"/>
    <w:uiPriority w:val="99"/>
    <w:rPr>
      <w:sz w:val="20"/>
    </w:rPr>
  </w:style>
  <w:style w:type="paragraph" w:styleId="711">
    <w:name w:val="TOC Heading"/>
    <w:uiPriority w:val="39"/>
    <w:unhideWhenUsed/>
  </w:style>
  <w:style w:type="paragraph" w:styleId="712" w:default="1">
    <w:name w:val="Normal"/>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713">
    <w:name w:val="Heading 1"/>
    <w:basedOn w:val="712"/>
    <w:next w:val="712"/>
    <w:link w:val="753"/>
    <w:uiPriority w:val="9"/>
    <w:qFormat/>
    <w:pPr>
      <w:keepLines/>
      <w:keepNext/>
      <w:spacing w:before="480"/>
      <w:outlineLvl w:val="0"/>
    </w:pPr>
    <w:rPr>
      <w:rFonts w:ascii="Arial" w:hAnsi="Arial" w:eastAsia="Arial" w:cs="Arial"/>
      <w:sz w:val="40"/>
      <w:szCs w:val="40"/>
    </w:rPr>
  </w:style>
  <w:style w:type="paragraph" w:styleId="714">
    <w:name w:val="Heading 2"/>
    <w:basedOn w:val="712"/>
    <w:next w:val="712"/>
    <w:link w:val="754"/>
    <w:uiPriority w:val="9"/>
    <w:unhideWhenUsed/>
    <w:qFormat/>
    <w:pPr>
      <w:keepLines/>
      <w:keepNext/>
      <w:spacing w:before="360"/>
      <w:outlineLvl w:val="1"/>
    </w:pPr>
    <w:rPr>
      <w:rFonts w:ascii="Arial" w:hAnsi="Arial" w:eastAsia="Arial" w:cs="Arial"/>
      <w:sz w:val="34"/>
    </w:rPr>
  </w:style>
  <w:style w:type="paragraph" w:styleId="715">
    <w:name w:val="Heading 3"/>
    <w:basedOn w:val="712"/>
    <w:next w:val="712"/>
    <w:link w:val="755"/>
    <w:uiPriority w:val="9"/>
    <w:unhideWhenUsed/>
    <w:qFormat/>
    <w:pPr>
      <w:keepLines/>
      <w:keepNext/>
      <w:spacing w:before="320"/>
      <w:outlineLvl w:val="2"/>
    </w:pPr>
    <w:rPr>
      <w:rFonts w:ascii="Arial" w:hAnsi="Arial" w:eastAsia="Arial" w:cs="Arial"/>
      <w:sz w:val="30"/>
      <w:szCs w:val="30"/>
    </w:rPr>
  </w:style>
  <w:style w:type="paragraph" w:styleId="716">
    <w:name w:val="Heading 4"/>
    <w:basedOn w:val="712"/>
    <w:next w:val="712"/>
    <w:link w:val="756"/>
    <w:uiPriority w:val="9"/>
    <w:unhideWhenUsed/>
    <w:qFormat/>
    <w:pPr>
      <w:keepLines/>
      <w:keepNext/>
      <w:spacing w:before="320"/>
      <w:outlineLvl w:val="3"/>
    </w:pPr>
    <w:rPr>
      <w:rFonts w:ascii="Arial" w:hAnsi="Arial" w:eastAsia="Arial" w:cs="Arial"/>
      <w:b/>
      <w:bCs/>
      <w:sz w:val="26"/>
      <w:szCs w:val="26"/>
    </w:rPr>
  </w:style>
  <w:style w:type="paragraph" w:styleId="717">
    <w:name w:val="Heading 5"/>
    <w:basedOn w:val="712"/>
    <w:next w:val="712"/>
    <w:link w:val="757"/>
    <w:uiPriority w:val="9"/>
    <w:unhideWhenUsed/>
    <w:qFormat/>
    <w:pPr>
      <w:keepLines/>
      <w:keepNext/>
      <w:spacing w:before="320"/>
      <w:outlineLvl w:val="4"/>
    </w:pPr>
    <w:rPr>
      <w:rFonts w:ascii="Arial" w:hAnsi="Arial" w:eastAsia="Arial" w:cs="Arial"/>
      <w:b/>
      <w:bCs/>
      <w:sz w:val="24"/>
      <w:szCs w:val="24"/>
    </w:rPr>
  </w:style>
  <w:style w:type="paragraph" w:styleId="718">
    <w:name w:val="Heading 6"/>
    <w:basedOn w:val="712"/>
    <w:next w:val="712"/>
    <w:link w:val="758"/>
    <w:uiPriority w:val="9"/>
    <w:unhideWhenUsed/>
    <w:qFormat/>
    <w:pPr>
      <w:keepLines/>
      <w:keepNext/>
      <w:spacing w:before="320"/>
      <w:outlineLvl w:val="5"/>
    </w:pPr>
    <w:rPr>
      <w:rFonts w:ascii="Arial" w:hAnsi="Arial" w:eastAsia="Arial" w:cs="Arial"/>
      <w:b/>
      <w:bCs/>
    </w:rPr>
  </w:style>
  <w:style w:type="paragraph" w:styleId="719">
    <w:name w:val="Heading 7"/>
    <w:basedOn w:val="712"/>
    <w:next w:val="712"/>
    <w:link w:val="759"/>
    <w:uiPriority w:val="9"/>
    <w:unhideWhenUsed/>
    <w:qFormat/>
    <w:pPr>
      <w:keepLines/>
      <w:keepNext/>
      <w:spacing w:before="320"/>
      <w:outlineLvl w:val="6"/>
    </w:pPr>
    <w:rPr>
      <w:rFonts w:ascii="Arial" w:hAnsi="Arial" w:eastAsia="Arial" w:cs="Arial"/>
      <w:b/>
      <w:bCs/>
      <w:i/>
      <w:iCs/>
    </w:rPr>
  </w:style>
  <w:style w:type="paragraph" w:styleId="720">
    <w:name w:val="Heading 8"/>
    <w:basedOn w:val="712"/>
    <w:next w:val="712"/>
    <w:link w:val="760"/>
    <w:uiPriority w:val="9"/>
    <w:unhideWhenUsed/>
    <w:qFormat/>
    <w:pPr>
      <w:keepLines/>
      <w:keepNext/>
      <w:spacing w:before="320"/>
      <w:outlineLvl w:val="7"/>
    </w:pPr>
    <w:rPr>
      <w:rFonts w:ascii="Arial" w:hAnsi="Arial" w:eastAsia="Arial" w:cs="Arial"/>
      <w:i/>
      <w:iCs/>
    </w:rPr>
  </w:style>
  <w:style w:type="paragraph" w:styleId="721">
    <w:name w:val="Heading 9"/>
    <w:basedOn w:val="712"/>
    <w:next w:val="712"/>
    <w:link w:val="761"/>
    <w:uiPriority w:val="9"/>
    <w:unhideWhenUsed/>
    <w:qFormat/>
    <w:pPr>
      <w:keepLines/>
      <w:keepNext/>
      <w:spacing w:before="320"/>
      <w:outlineLvl w:val="8"/>
    </w:pPr>
    <w:rPr>
      <w:rFonts w:ascii="Arial" w:hAnsi="Arial" w:eastAsia="Arial" w:cs="Arial"/>
      <w:i/>
      <w:iCs/>
      <w:sz w:val="21"/>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toc 7"/>
    <w:basedOn w:val="712"/>
    <w:next w:val="712"/>
    <w:uiPriority w:val="39"/>
    <w:unhideWhenUsed/>
    <w:qFormat/>
    <w:pPr>
      <w:ind w:left="1701"/>
      <w:spacing w:after="57"/>
    </w:pPr>
  </w:style>
  <w:style w:type="paragraph" w:styleId="725">
    <w:name w:val="Normal Indent"/>
    <w:basedOn w:val="712"/>
    <w:uiPriority w:val="0"/>
    <w:qFormat/>
    <w:pPr>
      <w:ind w:firstLine="420"/>
      <w:jc w:val="both"/>
      <w:widowControl w:val="off"/>
    </w:pPr>
    <w:rPr>
      <w:rFonts w:ascii="Times New Roman" w:hAnsi="Times New Roman" w:eastAsia="宋体" w:cs="Times New Roman"/>
      <w:b/>
      <w:sz w:val="24"/>
      <w:szCs w:val="20"/>
    </w:rPr>
  </w:style>
  <w:style w:type="paragraph" w:styleId="726">
    <w:name w:val="Caption"/>
    <w:basedOn w:val="712"/>
    <w:next w:val="712"/>
    <w:uiPriority w:val="35"/>
    <w:semiHidden/>
    <w:unhideWhenUsed/>
    <w:qFormat/>
    <w:rPr>
      <w:b/>
      <w:bCs/>
      <w:color w:val="5b9bd5" w:themeColor="accent1"/>
      <w:sz w:val="18"/>
      <w:szCs w:val="18"/>
      <w14:textFill>
        <w14:solidFill>
          <w14:schemeClr w14:val="accent1"/>
        </w14:solidFill>
      </w14:textFill>
    </w:rPr>
  </w:style>
  <w:style w:type="paragraph" w:styleId="727">
    <w:name w:val="annotation text"/>
    <w:basedOn w:val="712"/>
    <w:link w:val="903"/>
    <w:uiPriority w:val="99"/>
    <w:unhideWhenUsed/>
    <w:qFormat/>
  </w:style>
  <w:style w:type="paragraph" w:styleId="728">
    <w:name w:val="Body Text"/>
    <w:basedOn w:val="712"/>
    <w:uiPriority w:val="99"/>
    <w:semiHidden/>
    <w:unhideWhenUsed/>
    <w:qFormat/>
    <w:pPr>
      <w:spacing w:after="120"/>
    </w:pPr>
  </w:style>
  <w:style w:type="paragraph" w:styleId="729">
    <w:name w:val="Body Text Indent"/>
    <w:basedOn w:val="712"/>
    <w:uiPriority w:val="0"/>
    <w:qFormat/>
    <w:pPr>
      <w:ind w:firstLine="420"/>
      <w:spacing w:line="360" w:lineRule="auto"/>
    </w:pPr>
    <w:rPr>
      <w:rFonts w:ascii="宋体"/>
      <w:sz w:val="24"/>
      <w:szCs w:val="20"/>
    </w:rPr>
  </w:style>
  <w:style w:type="paragraph" w:styleId="730">
    <w:name w:val="Block Text"/>
    <w:basedOn w:val="712"/>
    <w:uiPriority w:val="0"/>
    <w:unhideWhenUsed/>
    <w:qFormat/>
    <w:pPr>
      <w:ind w:left="630" w:right="-609" w:firstLine="420"/>
      <w:spacing w:line="360" w:lineRule="auto"/>
    </w:pPr>
    <w:rPr>
      <w:rFonts w:ascii="仿宋_GB2312" w:eastAsia="仿宋_GB2312"/>
    </w:rPr>
  </w:style>
  <w:style w:type="paragraph" w:styleId="731">
    <w:name w:val="toc 5"/>
    <w:basedOn w:val="712"/>
    <w:next w:val="712"/>
    <w:uiPriority w:val="39"/>
    <w:unhideWhenUsed/>
    <w:qFormat/>
    <w:pPr>
      <w:ind w:left="1134"/>
      <w:spacing w:after="57"/>
    </w:pPr>
  </w:style>
  <w:style w:type="paragraph" w:styleId="732">
    <w:name w:val="toc 3"/>
    <w:basedOn w:val="712"/>
    <w:next w:val="712"/>
    <w:uiPriority w:val="39"/>
    <w:unhideWhenUsed/>
    <w:qFormat/>
    <w:pPr>
      <w:ind w:left="567"/>
      <w:spacing w:after="57"/>
    </w:pPr>
  </w:style>
  <w:style w:type="paragraph" w:styleId="733">
    <w:name w:val="Plain Text"/>
    <w:basedOn w:val="712"/>
    <w:uiPriority w:val="0"/>
    <w:qFormat/>
    <w:pPr>
      <w:jc w:val="both"/>
      <w:widowControl w:val="off"/>
    </w:pPr>
    <w:rPr>
      <w:rFonts w:ascii="宋体" w:hAnsi="Courier New" w:eastAsia="宋体" w:cs="Times New Roman"/>
      <w:sz w:val="20"/>
      <w:szCs w:val="20"/>
    </w:rPr>
  </w:style>
  <w:style w:type="paragraph" w:styleId="734">
    <w:name w:val="toc 8"/>
    <w:basedOn w:val="712"/>
    <w:next w:val="712"/>
    <w:uiPriority w:val="39"/>
    <w:unhideWhenUsed/>
    <w:qFormat/>
    <w:pPr>
      <w:ind w:left="1984"/>
      <w:spacing w:after="57"/>
    </w:pPr>
  </w:style>
  <w:style w:type="paragraph" w:styleId="735">
    <w:name w:val="endnote text"/>
    <w:basedOn w:val="712"/>
    <w:link w:val="897"/>
    <w:uiPriority w:val="99"/>
    <w:semiHidden/>
    <w:unhideWhenUsed/>
    <w:qFormat/>
    <w:pPr>
      <w:spacing w:after="0" w:line="240" w:lineRule="auto"/>
    </w:pPr>
    <w:rPr>
      <w:sz w:val="20"/>
    </w:rPr>
  </w:style>
  <w:style w:type="paragraph" w:styleId="736">
    <w:name w:val="Footer"/>
    <w:basedOn w:val="712"/>
    <w:link w:val="770"/>
    <w:uiPriority w:val="99"/>
    <w:unhideWhenUsed/>
    <w:qFormat/>
    <w:pPr>
      <w:spacing w:after="0" w:line="240" w:lineRule="auto"/>
      <w:tabs>
        <w:tab w:val="center" w:pos="7143" w:leader="none"/>
        <w:tab w:val="right" w:pos="14287" w:leader="none"/>
      </w:tabs>
    </w:pPr>
  </w:style>
  <w:style w:type="paragraph" w:styleId="737">
    <w:name w:val="Header"/>
    <w:basedOn w:val="712"/>
    <w:link w:val="768"/>
    <w:uiPriority w:val="99"/>
    <w:unhideWhenUsed/>
    <w:qFormat/>
    <w:pPr>
      <w:spacing w:after="0" w:line="240" w:lineRule="auto"/>
      <w:tabs>
        <w:tab w:val="center" w:pos="7143" w:leader="none"/>
        <w:tab w:val="right" w:pos="14287" w:leader="none"/>
      </w:tabs>
    </w:pPr>
  </w:style>
  <w:style w:type="paragraph" w:styleId="738">
    <w:name w:val="toc 1"/>
    <w:basedOn w:val="712"/>
    <w:next w:val="712"/>
    <w:uiPriority w:val="39"/>
    <w:unhideWhenUsed/>
    <w:qFormat/>
    <w:pPr>
      <w:spacing w:after="57"/>
    </w:pPr>
  </w:style>
  <w:style w:type="paragraph" w:styleId="739">
    <w:name w:val="toc 4"/>
    <w:basedOn w:val="712"/>
    <w:next w:val="712"/>
    <w:uiPriority w:val="39"/>
    <w:unhideWhenUsed/>
    <w:qFormat/>
    <w:pPr>
      <w:ind w:left="850"/>
      <w:spacing w:after="57"/>
    </w:pPr>
  </w:style>
  <w:style w:type="paragraph" w:styleId="740">
    <w:name w:val="Subtitle"/>
    <w:basedOn w:val="712"/>
    <w:next w:val="712"/>
    <w:link w:val="763"/>
    <w:uiPriority w:val="11"/>
    <w:qFormat/>
    <w:pPr>
      <w:spacing w:before="200"/>
    </w:pPr>
    <w:rPr>
      <w:sz w:val="24"/>
      <w:szCs w:val="24"/>
    </w:rPr>
  </w:style>
  <w:style w:type="paragraph" w:styleId="741">
    <w:name w:val="footnote text"/>
    <w:basedOn w:val="712"/>
    <w:link w:val="896"/>
    <w:uiPriority w:val="99"/>
    <w:semiHidden/>
    <w:unhideWhenUsed/>
    <w:qFormat/>
    <w:pPr>
      <w:spacing w:after="40" w:line="240" w:lineRule="auto"/>
    </w:pPr>
    <w:rPr>
      <w:sz w:val="18"/>
    </w:rPr>
  </w:style>
  <w:style w:type="paragraph" w:styleId="742">
    <w:name w:val="toc 6"/>
    <w:basedOn w:val="712"/>
    <w:next w:val="712"/>
    <w:uiPriority w:val="39"/>
    <w:unhideWhenUsed/>
    <w:qFormat/>
    <w:pPr>
      <w:ind w:left="1417"/>
      <w:spacing w:after="57"/>
    </w:pPr>
  </w:style>
  <w:style w:type="paragraph" w:styleId="743">
    <w:name w:val="table of figures"/>
    <w:basedOn w:val="712"/>
    <w:next w:val="712"/>
    <w:uiPriority w:val="99"/>
    <w:unhideWhenUsed/>
    <w:qFormat/>
    <w:pPr>
      <w:spacing w:after="0"/>
    </w:pPr>
  </w:style>
  <w:style w:type="paragraph" w:styleId="744">
    <w:name w:val="toc 2"/>
    <w:basedOn w:val="712"/>
    <w:next w:val="712"/>
    <w:uiPriority w:val="39"/>
    <w:unhideWhenUsed/>
    <w:qFormat/>
    <w:pPr>
      <w:ind w:left="283"/>
      <w:spacing w:after="57"/>
    </w:pPr>
  </w:style>
  <w:style w:type="paragraph" w:styleId="745">
    <w:name w:val="toc 9"/>
    <w:basedOn w:val="712"/>
    <w:next w:val="712"/>
    <w:uiPriority w:val="39"/>
    <w:unhideWhenUsed/>
    <w:qFormat/>
    <w:pPr>
      <w:ind w:left="2268"/>
      <w:spacing w:after="57"/>
    </w:pPr>
  </w:style>
  <w:style w:type="paragraph" w:styleId="746">
    <w:name w:val="Title"/>
    <w:basedOn w:val="712"/>
    <w:next w:val="712"/>
    <w:link w:val="762"/>
    <w:uiPriority w:val="10"/>
    <w:qFormat/>
    <w:pPr>
      <w:contextualSpacing/>
      <w:spacing w:before="300"/>
    </w:pPr>
    <w:rPr>
      <w:sz w:val="48"/>
      <w:szCs w:val="48"/>
    </w:rPr>
  </w:style>
  <w:style w:type="paragraph" w:styleId="747">
    <w:name w:val="annotation subject"/>
    <w:basedOn w:val="727"/>
    <w:next w:val="727"/>
    <w:link w:val="904"/>
    <w:uiPriority w:val="99"/>
    <w:semiHidden/>
    <w:unhideWhenUsed/>
    <w:qFormat/>
    <w:rPr>
      <w:b/>
      <w:bCs/>
    </w:rPr>
  </w:style>
  <w:style w:type="table" w:styleId="748">
    <w:name w:val="Table Grid"/>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9">
    <w:name w:val="endnote reference"/>
    <w:uiPriority w:val="99"/>
    <w:semiHidden/>
    <w:unhideWhenUsed/>
    <w:qFormat/>
    <w:rPr>
      <w:vertAlign w:val="superscript"/>
    </w:rPr>
  </w:style>
  <w:style w:type="character" w:styleId="750">
    <w:name w:val="Hyperlink"/>
    <w:uiPriority w:val="99"/>
    <w:unhideWhenUsed/>
    <w:qFormat/>
    <w:rPr>
      <w:color w:val="0563c1" w:themeColor="hyperlink"/>
      <w:u w:val="single"/>
      <w14:textFill>
        <w14:solidFill>
          <w14:schemeClr w14:val="hlink"/>
        </w14:solidFill>
      </w14:textFill>
    </w:rPr>
  </w:style>
  <w:style w:type="character" w:styleId="751">
    <w:name w:val="annotation reference"/>
    <w:basedOn w:val="722"/>
    <w:uiPriority w:val="99"/>
    <w:semiHidden/>
    <w:unhideWhenUsed/>
    <w:qFormat/>
    <w:rPr>
      <w:sz w:val="21"/>
      <w:szCs w:val="21"/>
    </w:rPr>
  </w:style>
  <w:style w:type="character" w:styleId="752">
    <w:name w:val="footnote reference"/>
    <w:uiPriority w:val="99"/>
    <w:unhideWhenUsed/>
    <w:qFormat/>
    <w:rPr>
      <w:vertAlign w:val="superscript"/>
    </w:rPr>
  </w:style>
  <w:style w:type="character" w:styleId="753" w:customStyle="1">
    <w:name w:val="标题 1 字符"/>
    <w:link w:val="713"/>
    <w:uiPriority w:val="9"/>
    <w:qFormat/>
    <w:rPr>
      <w:rFonts w:ascii="Arial" w:hAnsi="Arial" w:eastAsia="Arial" w:cs="Arial"/>
      <w:sz w:val="40"/>
      <w:szCs w:val="40"/>
    </w:rPr>
  </w:style>
  <w:style w:type="character" w:styleId="754" w:customStyle="1">
    <w:name w:val="标题 2 字符"/>
    <w:link w:val="714"/>
    <w:uiPriority w:val="9"/>
    <w:qFormat/>
    <w:rPr>
      <w:rFonts w:ascii="Arial" w:hAnsi="Arial" w:eastAsia="Arial" w:cs="Arial"/>
      <w:sz w:val="34"/>
    </w:rPr>
  </w:style>
  <w:style w:type="character" w:styleId="755" w:customStyle="1">
    <w:name w:val="标题 3 字符"/>
    <w:link w:val="715"/>
    <w:uiPriority w:val="9"/>
    <w:qFormat/>
    <w:rPr>
      <w:rFonts w:ascii="Arial" w:hAnsi="Arial" w:eastAsia="Arial" w:cs="Arial"/>
      <w:sz w:val="30"/>
      <w:szCs w:val="30"/>
    </w:rPr>
  </w:style>
  <w:style w:type="character" w:styleId="756" w:customStyle="1">
    <w:name w:val="标题 4 字符"/>
    <w:link w:val="716"/>
    <w:uiPriority w:val="9"/>
    <w:qFormat/>
    <w:rPr>
      <w:rFonts w:ascii="Arial" w:hAnsi="Arial" w:eastAsia="Arial" w:cs="Arial"/>
      <w:b/>
      <w:bCs/>
      <w:sz w:val="26"/>
      <w:szCs w:val="26"/>
    </w:rPr>
  </w:style>
  <w:style w:type="character" w:styleId="757" w:customStyle="1">
    <w:name w:val="标题 5 字符"/>
    <w:link w:val="717"/>
    <w:uiPriority w:val="9"/>
    <w:qFormat/>
    <w:rPr>
      <w:rFonts w:ascii="Arial" w:hAnsi="Arial" w:eastAsia="Arial" w:cs="Arial"/>
      <w:b/>
      <w:bCs/>
      <w:sz w:val="24"/>
      <w:szCs w:val="24"/>
    </w:rPr>
  </w:style>
  <w:style w:type="character" w:styleId="758" w:customStyle="1">
    <w:name w:val="标题 6 字符"/>
    <w:link w:val="718"/>
    <w:uiPriority w:val="9"/>
    <w:qFormat/>
    <w:rPr>
      <w:rFonts w:ascii="Arial" w:hAnsi="Arial" w:eastAsia="Arial" w:cs="Arial"/>
      <w:b/>
      <w:bCs/>
      <w:sz w:val="22"/>
      <w:szCs w:val="22"/>
    </w:rPr>
  </w:style>
  <w:style w:type="character" w:styleId="759" w:customStyle="1">
    <w:name w:val="标题 7 字符"/>
    <w:link w:val="719"/>
    <w:uiPriority w:val="9"/>
    <w:qFormat/>
    <w:rPr>
      <w:rFonts w:ascii="Arial" w:hAnsi="Arial" w:eastAsia="Arial" w:cs="Arial"/>
      <w:b/>
      <w:bCs/>
      <w:i/>
      <w:iCs/>
      <w:sz w:val="22"/>
      <w:szCs w:val="22"/>
    </w:rPr>
  </w:style>
  <w:style w:type="character" w:styleId="760" w:customStyle="1">
    <w:name w:val="标题 8 字符"/>
    <w:link w:val="720"/>
    <w:uiPriority w:val="9"/>
    <w:qFormat/>
    <w:rPr>
      <w:rFonts w:ascii="Arial" w:hAnsi="Arial" w:eastAsia="Arial" w:cs="Arial"/>
      <w:i/>
      <w:iCs/>
      <w:sz w:val="22"/>
      <w:szCs w:val="22"/>
    </w:rPr>
  </w:style>
  <w:style w:type="character" w:styleId="761" w:customStyle="1">
    <w:name w:val="标题 9 字符"/>
    <w:link w:val="721"/>
    <w:uiPriority w:val="9"/>
    <w:qFormat/>
    <w:rPr>
      <w:rFonts w:ascii="Arial" w:hAnsi="Arial" w:eastAsia="Arial" w:cs="Arial"/>
      <w:i/>
      <w:iCs/>
      <w:sz w:val="21"/>
      <w:szCs w:val="21"/>
    </w:rPr>
  </w:style>
  <w:style w:type="character" w:styleId="762" w:customStyle="1">
    <w:name w:val="标题 字符"/>
    <w:link w:val="746"/>
    <w:uiPriority w:val="10"/>
    <w:qFormat/>
    <w:rPr>
      <w:sz w:val="48"/>
      <w:szCs w:val="48"/>
    </w:rPr>
  </w:style>
  <w:style w:type="character" w:styleId="763" w:customStyle="1">
    <w:name w:val="副标题 字符"/>
    <w:link w:val="740"/>
    <w:uiPriority w:val="11"/>
    <w:qFormat/>
    <w:rPr>
      <w:sz w:val="24"/>
      <w:szCs w:val="24"/>
    </w:rPr>
  </w:style>
  <w:style w:type="paragraph" w:styleId="764">
    <w:name w:val="Quote"/>
    <w:basedOn w:val="712"/>
    <w:next w:val="712"/>
    <w:link w:val="765"/>
    <w:uiPriority w:val="29"/>
    <w:qFormat/>
    <w:pPr>
      <w:ind w:left="720" w:right="720"/>
    </w:pPr>
    <w:rPr>
      <w:i/>
    </w:rPr>
  </w:style>
  <w:style w:type="character" w:styleId="765" w:customStyle="1">
    <w:name w:val="引用 字符"/>
    <w:link w:val="764"/>
    <w:uiPriority w:val="29"/>
    <w:qFormat/>
    <w:rPr>
      <w:i/>
    </w:rPr>
  </w:style>
  <w:style w:type="paragraph" w:styleId="766">
    <w:name w:val="Intense Quote"/>
    <w:basedOn w:val="712"/>
    <w:next w:val="712"/>
    <w:link w:val="7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明显引用 字符"/>
    <w:link w:val="766"/>
    <w:uiPriority w:val="30"/>
    <w:qFormat/>
    <w:rPr>
      <w:i/>
    </w:rPr>
  </w:style>
  <w:style w:type="character" w:styleId="768" w:customStyle="1">
    <w:name w:val="页眉 字符"/>
    <w:link w:val="737"/>
    <w:uiPriority w:val="99"/>
    <w:qFormat/>
  </w:style>
  <w:style w:type="character" w:styleId="769" w:customStyle="1">
    <w:name w:val="Footer Char"/>
    <w:uiPriority w:val="99"/>
    <w:qFormat/>
  </w:style>
  <w:style w:type="character" w:styleId="770" w:customStyle="1">
    <w:name w:val="页脚 字符"/>
    <w:link w:val="736"/>
    <w:uiPriority w:val="99"/>
    <w:qFormat/>
  </w:style>
  <w:style w:type="table" w:styleId="771" w:customStyle="1">
    <w:name w:val="Table Grid Light"/>
    <w:basedOn w:val="7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72" w:customStyle="1">
    <w:name w:val="无格式表格 11"/>
    <w:basedOn w:val="7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21"/>
    <w:basedOn w:val="72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无格式表格 31"/>
    <w:basedOn w:val="7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无格式表格 41"/>
    <w:basedOn w:val="7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无格式表格 51"/>
    <w:basedOn w:val="7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网格表 1 浅色1"/>
    <w:basedOn w:val="72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1"/>
    <w:basedOn w:val="72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2"/>
    <w:basedOn w:val="72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3"/>
    <w:basedOn w:val="72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4"/>
    <w:basedOn w:val="72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5"/>
    <w:basedOn w:val="72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6"/>
    <w:basedOn w:val="72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4" w:customStyle="1">
    <w:name w:val="网格表 21"/>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2 - Accent 1"/>
    <w:basedOn w:val="72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6" w:customStyle="1">
    <w:name w:val="Grid Table 2 - Accent 2"/>
    <w:basedOn w:val="72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7" w:customStyle="1">
    <w:name w:val="Grid Table 2 - Accent 3"/>
    <w:basedOn w:val="72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8" w:customStyle="1">
    <w:name w:val="Grid Table 2 - Accent 4"/>
    <w:basedOn w:val="72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9" w:customStyle="1">
    <w:name w:val="Grid Table 2 - Accent 5"/>
    <w:basedOn w:val="72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0" w:customStyle="1">
    <w:name w:val="Grid Table 2 - Accent 6"/>
    <w:basedOn w:val="72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1" w:customStyle="1">
    <w:name w:val="网格表 31"/>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1"/>
    <w:basedOn w:val="72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2"/>
    <w:basedOn w:val="72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3"/>
    <w:basedOn w:val="72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4"/>
    <w:basedOn w:val="72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5"/>
    <w:basedOn w:val="72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6"/>
    <w:basedOn w:val="72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网格表 41"/>
    <w:basedOn w:val="72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4 - Accent 1"/>
    <w:basedOn w:val="72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0" w:customStyle="1">
    <w:name w:val="Grid Table 4 - Accent 2"/>
    <w:basedOn w:val="72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1" w:customStyle="1">
    <w:name w:val="Grid Table 4 - Accent 3"/>
    <w:basedOn w:val="72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2" w:customStyle="1">
    <w:name w:val="Grid Table 4 - Accent 4"/>
    <w:basedOn w:val="72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3" w:customStyle="1">
    <w:name w:val="Grid Table 4 - Accent 5"/>
    <w:basedOn w:val="72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4" w:customStyle="1">
    <w:name w:val="Grid Table 4 - Accent 6"/>
    <w:basedOn w:val="72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5" w:customStyle="1">
    <w:name w:val="网格表 5 深色1"/>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5 Dark- Accent 1"/>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7" w:customStyle="1">
    <w:name w:val="Grid Table 5 Dark - Accent 2"/>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8" w:customStyle="1">
    <w:name w:val="Grid Table 5 Dark - Accent 3"/>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9" w:customStyle="1">
    <w:name w:val="Grid Table 5 Dark- Accent 4"/>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0" w:customStyle="1">
    <w:name w:val="Grid Table 5 Dark - Accent 5"/>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1" w:customStyle="1">
    <w:name w:val="Grid Table 5 Dark - Accent 6"/>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2" w:customStyle="1">
    <w:name w:val="网格表 6 彩色1"/>
    <w:basedOn w:val="72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Grid Table 6 Colorful - Accent 1"/>
    <w:basedOn w:val="72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4" w:customStyle="1">
    <w:name w:val="Grid Table 6 Colorful - Accent 2"/>
    <w:basedOn w:val="72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5" w:customStyle="1">
    <w:name w:val="Grid Table 6 Colorful - Accent 3"/>
    <w:basedOn w:val="72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16" w:customStyle="1">
    <w:name w:val="Grid Table 6 Colorful - Accent 4"/>
    <w:basedOn w:val="72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7" w:customStyle="1">
    <w:name w:val="Grid Table 6 Colorful - Accent 5"/>
    <w:basedOn w:val="72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8" w:customStyle="1">
    <w:name w:val="Grid Table 6 Colorful - Accent 6"/>
    <w:basedOn w:val="72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9" w:customStyle="1">
    <w:name w:val="网格表 7 彩色1"/>
    <w:basedOn w:val="72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Grid Table 7 Colorful - Accent 1"/>
    <w:basedOn w:val="72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1" w:customStyle="1">
    <w:name w:val="Grid Table 7 Colorful - Accent 2"/>
    <w:basedOn w:val="72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2" w:customStyle="1">
    <w:name w:val="Grid Table 7 Colorful - Accent 3"/>
    <w:basedOn w:val="72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3" w:customStyle="1">
    <w:name w:val="Grid Table 7 Colorful - Accent 4"/>
    <w:basedOn w:val="72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4" w:customStyle="1">
    <w:name w:val="Grid Table 7 Colorful - Accent 5"/>
    <w:basedOn w:val="72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5" w:customStyle="1">
    <w:name w:val="Grid Table 7 Colorful - Accent 6"/>
    <w:basedOn w:val="72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6" w:customStyle="1">
    <w:name w:val="清单表 1 浅色1"/>
    <w:basedOn w:val="72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1 Light - Accent 1"/>
    <w:basedOn w:val="72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8" w:customStyle="1">
    <w:name w:val="List Table 1 Light - Accent 2"/>
    <w:basedOn w:val="72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9" w:customStyle="1">
    <w:name w:val="List Table 1 Light - Accent 3"/>
    <w:basedOn w:val="72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0" w:customStyle="1">
    <w:name w:val="List Table 1 Light - Accent 4"/>
    <w:basedOn w:val="72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1" w:customStyle="1">
    <w:name w:val="List Table 1 Light - Accent 5"/>
    <w:basedOn w:val="72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2" w:customStyle="1">
    <w:name w:val="List Table 1 Light - Accent 6"/>
    <w:basedOn w:val="72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3" w:customStyle="1">
    <w:name w:val="清单表 21"/>
    <w:basedOn w:val="72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2 - Accent 1"/>
    <w:basedOn w:val="72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5" w:customStyle="1">
    <w:name w:val="List Table 2 - Accent 2"/>
    <w:basedOn w:val="72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6" w:customStyle="1">
    <w:name w:val="List Table 2 - Accent 3"/>
    <w:basedOn w:val="72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7" w:customStyle="1">
    <w:name w:val="List Table 2 - Accent 4"/>
    <w:basedOn w:val="72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8" w:customStyle="1">
    <w:name w:val="List Table 2 - Accent 5"/>
    <w:basedOn w:val="72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9" w:customStyle="1">
    <w:name w:val="List Table 2 - Accent 6"/>
    <w:basedOn w:val="72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0" w:customStyle="1">
    <w:name w:val="清单表 31"/>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3 - Accent 1"/>
    <w:basedOn w:val="72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2" w:customStyle="1">
    <w:name w:val="List Table 3 - Accent 2"/>
    <w:basedOn w:val="72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3" w:customStyle="1">
    <w:name w:val="List Table 3 - Accent 3"/>
    <w:basedOn w:val="72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4" w:customStyle="1">
    <w:name w:val="List Table 3 - Accent 4"/>
    <w:basedOn w:val="72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5" w:customStyle="1">
    <w:name w:val="List Table 3 - Accent 5"/>
    <w:basedOn w:val="72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6" w:customStyle="1">
    <w:name w:val="List Table 3 - Accent 6"/>
    <w:basedOn w:val="72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7" w:customStyle="1">
    <w:name w:val="清单表 41"/>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 Accent 1"/>
    <w:basedOn w:val="72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9" w:customStyle="1">
    <w:name w:val="List Table 4 - Accent 2"/>
    <w:basedOn w:val="72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0" w:customStyle="1">
    <w:name w:val="List Table 4 - Accent 3"/>
    <w:basedOn w:val="72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1" w:customStyle="1">
    <w:name w:val="List Table 4 - Accent 4"/>
    <w:basedOn w:val="72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2" w:customStyle="1">
    <w:name w:val="List Table 4 - Accent 5"/>
    <w:basedOn w:val="72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3" w:customStyle="1">
    <w:name w:val="List Table 4 - Accent 6"/>
    <w:basedOn w:val="72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4" w:customStyle="1">
    <w:name w:val="清单表 5 深色1"/>
    <w:basedOn w:val="72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1"/>
    <w:basedOn w:val="72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2"/>
    <w:basedOn w:val="72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3"/>
    <w:basedOn w:val="72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4"/>
    <w:basedOn w:val="72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5"/>
    <w:basedOn w:val="72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6"/>
    <w:basedOn w:val="72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清单表 6 彩色1"/>
    <w:basedOn w:val="72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List Table 6 Colorful - Accent 1"/>
    <w:basedOn w:val="72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3" w:customStyle="1">
    <w:name w:val="List Table 6 Colorful - Accent 2"/>
    <w:basedOn w:val="72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4" w:customStyle="1">
    <w:name w:val="List Table 6 Colorful - Accent 3"/>
    <w:basedOn w:val="72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5" w:customStyle="1">
    <w:name w:val="List Table 6 Colorful - Accent 4"/>
    <w:basedOn w:val="72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6" w:customStyle="1">
    <w:name w:val="List Table 6 Colorful - Accent 5"/>
    <w:basedOn w:val="72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7" w:customStyle="1">
    <w:name w:val="List Table 6 Colorful - Accent 6"/>
    <w:basedOn w:val="72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8" w:customStyle="1">
    <w:name w:val="清单表 7 彩色1"/>
    <w:basedOn w:val="72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7 Colorful - Accent 1"/>
    <w:basedOn w:val="72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basedOn w:val="72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basedOn w:val="72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basedOn w:val="72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basedOn w:val="72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basedOn w:val="72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5" w:customStyle="1">
    <w:name w:val="Lined - Accent"/>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7" w:customStyle="1">
    <w:name w:val="Lined - Accent 2"/>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8" w:customStyle="1">
    <w:name w:val="Lined - Accent 3"/>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9" w:customStyle="1">
    <w:name w:val="Lined - Accent 4"/>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0" w:customStyle="1">
    <w:name w:val="Lined - Accent 5"/>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1" w:customStyle="1">
    <w:name w:val="Lined - Accent 6"/>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2" w:customStyle="1">
    <w:name w:val="Bordered &amp; Lined - Accent"/>
    <w:basedOn w:val="72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basedOn w:val="72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4" w:customStyle="1">
    <w:name w:val="Bordered &amp; Lined - Accent 2"/>
    <w:basedOn w:val="72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5" w:customStyle="1">
    <w:name w:val="Bordered &amp; Lined - Accent 3"/>
    <w:basedOn w:val="72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6" w:customStyle="1">
    <w:name w:val="Bordered &amp; Lined - Accent 4"/>
    <w:basedOn w:val="72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7" w:customStyle="1">
    <w:name w:val="Bordered &amp; Lined - Accent 5"/>
    <w:basedOn w:val="72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8" w:customStyle="1">
    <w:name w:val="Bordered &amp; Lined - Accent 6"/>
    <w:basedOn w:val="72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9" w:customStyle="1">
    <w:name w:val="Bordered"/>
    <w:basedOn w:val="72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basedOn w:val="72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1" w:customStyle="1">
    <w:name w:val="Bordered - Accent 2"/>
    <w:basedOn w:val="72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2" w:customStyle="1">
    <w:name w:val="Bordered - Accent 3"/>
    <w:basedOn w:val="72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3" w:customStyle="1">
    <w:name w:val="Bordered - Accent 4"/>
    <w:basedOn w:val="72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4" w:customStyle="1">
    <w:name w:val="Bordered - Accent 5"/>
    <w:basedOn w:val="72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5" w:customStyle="1">
    <w:name w:val="Bordered - Accent 6"/>
    <w:basedOn w:val="72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6" w:customStyle="1">
    <w:name w:val="脚注文本 字符"/>
    <w:link w:val="741"/>
    <w:uiPriority w:val="99"/>
    <w:qFormat/>
    <w:rPr>
      <w:sz w:val="18"/>
    </w:rPr>
  </w:style>
  <w:style w:type="character" w:styleId="897" w:customStyle="1">
    <w:name w:val="尾注文本 字符"/>
    <w:link w:val="735"/>
    <w:uiPriority w:val="99"/>
    <w:qFormat/>
    <w:rPr>
      <w:sz w:val="20"/>
    </w:rPr>
  </w:style>
  <w:style w:type="paragraph" w:styleId="898"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899">
    <w:name w:val="No Spacing"/>
    <w:basedOn w:val="712"/>
    <w:uiPriority w:val="1"/>
    <w:qFormat/>
    <w:pPr>
      <w:spacing w:after="0" w:line="240" w:lineRule="auto"/>
    </w:pPr>
  </w:style>
  <w:style w:type="paragraph" w:styleId="900">
    <w:name w:val="List Paragraph"/>
    <w:basedOn w:val="712"/>
    <w:uiPriority w:val="34"/>
    <w:qFormat/>
    <w:pPr>
      <w:contextualSpacing/>
      <w:ind w:left="720"/>
    </w:pPr>
  </w:style>
  <w:style w:type="paragraph" w:styleId="901" w:customStyle="1">
    <w:name w:val="纯文本1"/>
    <w:basedOn w:val="712"/>
    <w:uiPriority w:val="0"/>
    <w:qFormat/>
    <w:pPr>
      <w:jc w:val="both"/>
      <w:widowControl w:val="off"/>
    </w:pPr>
    <w:rPr>
      <w:rFonts w:ascii="宋体" w:hAnsi="Courier New" w:eastAsia="楷体_GB2312"/>
      <w:sz w:val="26"/>
    </w:rPr>
  </w:style>
  <w:style w:type="paragraph" w:styleId="902" w:customStyle="1">
    <w:name w:val="Table Paragraph"/>
    <w:basedOn w:val="712"/>
    <w:uiPriority w:val="1"/>
    <w:qFormat/>
    <w:pPr>
      <w:widowControl w:val="off"/>
    </w:pPr>
    <w:rPr>
      <w:rFonts w:ascii="宋体" w:hAnsi="宋体" w:eastAsia="宋体" w:cs="宋体"/>
      <w:lang w:val="zh-CN" w:bidi="zh-CN"/>
    </w:rPr>
  </w:style>
  <w:style w:type="character" w:styleId="903" w:customStyle="1">
    <w:name w:val="批注文字 字符"/>
    <w:basedOn w:val="722"/>
    <w:link w:val="727"/>
    <w:uiPriority w:val="99"/>
    <w:qFormat/>
    <w:rPr>
      <w:rFonts w:eastAsiaTheme="minorHAnsi"/>
      <w:sz w:val="22"/>
      <w:szCs w:val="22"/>
      <w:lang w:eastAsia="en-US"/>
    </w:rPr>
  </w:style>
  <w:style w:type="character" w:styleId="904" w:customStyle="1">
    <w:name w:val="批注主题 字符"/>
    <w:basedOn w:val="903"/>
    <w:link w:val="747"/>
    <w:uiPriority w:val="99"/>
    <w:semiHidden/>
    <w:qFormat/>
    <w:rPr>
      <w:rFonts w:eastAsiaTheme="minorHAnsi"/>
      <w:b/>
      <w:bCs/>
      <w:sz w:val="22"/>
      <w:szCs w:val="22"/>
      <w:lang w:eastAsia="en-US"/>
    </w:rPr>
  </w:style>
  <w:style w:type="paragraph" w:styleId="905" w:customStyle="1">
    <w:name w:val="修订1"/>
    <w:hidden/>
    <w:uiPriority w:val="99"/>
    <w:unhideWhenUsed/>
    <w:qFormat/>
    <w:rPr>
      <w:rFonts w:asciiTheme="minorHAnsi" w:hAnsiTheme="minorHAnsi" w:eastAsiaTheme="minorHAnsi" w:cstheme="minorBidi"/>
      <w:sz w:val="22"/>
      <w:szCs w:val="22"/>
      <w:lang w:val="en-US" w:eastAsia="en-US" w:bidi="ar-SA"/>
    </w:rPr>
  </w:style>
  <w:style w:type="numbering" w:styleId="9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Huawei Technologies Co., Ltd.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Camille</dc:creator>
  <cp:lastModifiedBy>陈旻初</cp:lastModifiedBy>
  <cp:revision>42</cp:revision>
  <dcterms:created xsi:type="dcterms:W3CDTF">2025-02-19T15:43:00Z</dcterms:created>
  <dcterms:modified xsi:type="dcterms:W3CDTF">2025-04-02T07:26:27Z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1F1594CB6BE14885A246D7241D27FC09_13</vt:lpwstr>
  </property>
  <property fmtid="{D5CDD505-2E9C-101B-9397-08002B2CF9AE}" pid="4" name="KSOTemplateDocerSaveRecord">
    <vt:lpwstr>eyJoZGlkIjoiNGNkYzNjMDRjNmM1YzMxMTYyNDYzZGMyYTcwZmQwMjQiLCJ1c2VySWQiOiI4MjA4NTk2NjcifQ==</vt:lpwstr>
  </property>
</Properties>
</file>