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标书编号：JSZC-320506-DLHX-G2025-0009号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2700" w:leader="none"/>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2700" w:leader="none"/>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 开 招 标</w:t>
      </w:r>
      <w:r/>
    </w:p>
    <w:p>
      <w:pPr>
        <w:ind w:left="0" w:right="0" w:firstLine="0"/>
        <w:jc w:val="center"/>
        <w:spacing w:before="0" w:after="0" w:line="85" w:lineRule="atLeast"/>
        <w:tabs>
          <w:tab w:val="left" w:pos="2700" w:leader="none"/>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招标单位：苏州太湖新城吴中管理委员会</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招标项目：太湖新城土壤污染状况调查</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苏州华厦招投标代理有限公司</w:t>
      </w:r>
      <w:r/>
    </w:p>
    <w:p>
      <w:pPr>
        <w:ind w:left="0" w:right="0" w:firstLine="0"/>
        <w:jc w:val="center"/>
        <w:spacing w:before="156" w:after="156"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二0二五年三月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第二章：投标单位须知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第四章：招标书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第六章：评标方法、评标标准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4"/>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投标邀请函</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太湖新城土壤污染状况调查 JSZC-320506-DLHX-G2025-0009 招标项目的潜在投标人应在登录“苏采云”系统自行下载 获取招标文件，并于2025-04-17 09:30 （北京时间）前递交投标文件。</w:t>
            </w:r>
            <w:r/>
          </w:p>
        </w:tc>
      </w:tr>
    </w:tbl>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项目编号：JSZC-320506-DLHX-G2025-0009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项目名称：太湖新城土壤污染状况调查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预算金额：250.000000万元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最高限价（如有）：250.000000万元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务院印发的《土壤污染防治行动计划》（国发[2016]31号）文件要求，实施建设用地准入管理，土地开发利用必须符合土壤环境质量要求，由所在地市、县级人民政府负责开展土壤环境状况调查，符合相应规划用地土壤环境质量要求的地块，可进入用地程序。按照上述文件规定，为提前做好上市前期准备工作，拟对太湖新城范围内（太湖新城内旺山路以西片区）用地进行土壤环境调查工作。</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合同履行期限：自合同签订之日起至最终实际累计结算费用达到合同总金额的，合同自动解除。 注：若支付的结算金额累计后，剩余的款项不足以支付单个调查品目的，合同亦自动解除。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1.此项目专门面向中小微企业采购，供应商必须提供《中小企业声明函》或《残疾人福利性单位声明函》或由省级以上监狱管理局、戒毒管理局（含新疆生产建设兵团）出具的属于监狱企业的证明文件。</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地点：登录“苏采云”系统自行下载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方式：登录“苏采云”系统自行下载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t xml:space="preserve">四、提交投标文件截止时间、开标时间和地点</w:t>
      </w:r>
      <w:r/>
      <w:r>
        <w:rPr>
          <w:sz w:val="21"/>
        </w:rP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2025-04-17 09:30 （北京时间）</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地点：登录“苏采云”系统自行上传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1.CA相关说明：</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w:t>
      </w:r>
      <w:r>
        <w:rPr>
          <w:rFonts w:ascii="SimSun" w:hAnsi="SimSun" w:eastAsia="SimSun" w:cs="SimSun"/>
          <w:color w:val="000000"/>
          <w:sz w:val="24"/>
        </w:rPr>
        <w:t xml:space="preserve">34。</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https://czju.suzhou.gov.cn/zfcg/html/content/20231220161910031.shtml）。</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4.请供应商确保电脑、系统及其他设备（视频输入输出设备等）无误，且开标直至项目结束始终保持系统在线状态。</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单位名称：苏州太湖新城吴中管理委员会</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单位地址：苏州吴中区太湖街道东太湖路66号</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联系人：徐思源</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联系电话：051266589671</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单位名称：苏州华厦招投标代理有限公司</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单位地址：江苏省苏州市高新区锦峰路198号纽威大厦8楼801室</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联系人：于文婷</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联系电话：15262515871</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项目联系人：于文婷</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电话：15262515871</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投标单位须知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本招标文件仅适用于苏州华厦招投标代理有限公司组织的招标活动。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本次招标活动及因本次招标产生的合同受中国法律制约和保护。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本招标文件的解释权属于苏州华厦招投标代理有限公司。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采购单位:具体组织实施招标活动的法人。</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投标单位:经认定有资格响应招标,参加投标竞争的法人或其他组织和自然人。</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响应:投标单位根据代理人或采购单位发布的招标文件,编制投标文件并按规定投标的行为。</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合同:采供双方根据招标文件和中标的投标文件及中标通知书规定的内容签署的书面形式所达成的协议,包括所有的附件、附录和构成协议的所有文件。</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甲方(采购单位):合同中明确规定的实际购买货物和服务的法人或其他组织和自然人。</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乙方(供货方):合同中规定的向采购单位提供货物和服务的法人或其他组织和自然人。</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伴随服务:根据合同规定乙方应承担的与供货有关的辅助服务，比如运输、下力、保险、提供技术援助、培训、配合措施、服务响应及合同中规定乙方应承担的其它义务。</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知识产权:指专利权、商标权、著作权等无形财产专有权的统称。</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天:日历日。</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服务地点:合同中明确约定的乙方提交的货物和服务最终到达地点。</w:t>
      </w:r>
      <w:r/>
    </w:p>
    <w:p>
      <w:pPr>
        <w:ind w:left="7" w:right="0" w:hanging="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合同价款:根据合同规定,乙方在正确地履行合同义务后采购单位应支付乙方的价款。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不可抗力:不能预见、不能避免并且不能克服的客观情况。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3.合格投标单位的范围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具有独立承担民事责任的能力；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具有良好的商业信誉和健全的财务会计制度；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具有履行合同所必须的设备和专业技术能力；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有依法缴纳税收和社会保障资金的良好记录；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参加政府采购活动前三年内，在经营活动中没有重大违法记录；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如投标单位代表不是法定代表人，须持有《法定代表人授权委托书》（格式见第三章）。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5.投标费用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无论投标过程中的做法和结果如何，投标单位自行承担所有与参加投标有关的全部费用。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6.相关法规要求：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次采购清单中涉及政府采购协议供货产品的，供应商须按照苏州市政府采购共享江苏省级最新一期的政府采购协议供货中标结果的基础上提供响应产品，其产品及服务必须同时满足采购文件及协议供货的相关要求，描述不一致时从优选择，否则其投标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三、招标文件的说明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7.1招标文件由招标文件总目录所列内容组成。投标单位应详细阅读招标文件的全部内容。不按招标文件的要求提供的投标文件和资料，可能导致投标被拒绝。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8.招标文件的质疑、澄清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根据《政府采购质疑和投诉办法》财政部第94号令，供应商认为采购文件、采购过程、中标结果使自己的权益受到损害的，可以在知道或者应知（供应商进行网上报名后在报名系统中自行下载采购文件，报名日期视同为依法获取采购文件日期）其权益受到损害之日起7个工作日内，以书面形式向采购人、采购代理机构提出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8.2本次招标文件要求供应商在法定质疑期内一次性提出针对同一采购程序环节的质疑，质疑时与质疑函一并提交“投标确认函”。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8.3采购人、采购代理机构收到质疑供应商在法定质疑期内发出的质疑函，应当在收到质疑函后7个工作日内作出答复，并以书面形式通知质疑供应商和其他有关供应商。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8.4供应商提出质疑应当提交质疑函和必要的证明材料。质疑函应当包括下列内容：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8.4.1供应商的姓名或者名称、地址、邮编、联系人及联系电话；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8.4.2质疑项目的名称、编号；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8.4.3具体、明确的质疑事项和与质疑事项相关的请求；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8.4.4事实依据；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8.4.5必要的法律依据；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8.4.6提出质疑的日期；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8.4.7投标确认函。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8.4.7质疑接收人：苏州华厦招投标代理有限公司：于文婷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质疑接收方式：现场递交或邮寄（拒绝到付）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质疑接收地址：苏州市虎丘区锦峰路198号纽威大厦8层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质疑联系电话：15262515871/（0512）68700399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9.1在投标截止时间15日前，招标代理人无论出于自己的考虑，还是出于对投标单位提问的澄清，均可对招标文件用补充文件的方式进行修改。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9.2招标代理人对招标文件的修改，将以政府采购信息媒体上发布更正公告的形式通知每一个投标单位。补充文件将作为招标文件的组成部分，对所有投标单位具有约束力。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9.3为使投标单位有足够的时间按招标文件的修改要求考虑修正投标文件，或出于其他原因，招标代理人可酌情推迟投标截止日期和开标日期，于投标时间截止前将在政府采购信息媒体上发布变更公告。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10.投标的澄清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10.1对于投标文件中含义不明确、同类问题表述不一致或者有明显文字和计算错误的内容，评标委员会应当以书面形式要求投标人作出必要的澄清、说明或者补正。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10.2投标人的澄清、说明或者补正应当采用书面形式，并加盖其单位电子公章。投标人的澄清、说明或者补正不得超出投标文件的范围或者改变投标文件的实质性内容。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11.投标文件计量单位和使用文字</w:t>
      </w:r>
      <w:r/>
    </w:p>
    <w:p>
      <w:pPr>
        <w:ind w:left="17" w:right="0" w:hanging="1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11.1投标文件中所使用的计量单位，除招标文件中有特殊要求外，应采用国家法定计量单位。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投标文件应使用中文编制，投标文件中必须使用其他文字的，必须附有中文译本。对于未附有中文译本和中文译本不准确的投标文件可能引起的对投标单位不利的后果，采购代理机构概不负责。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单位应对招标文件内所要采购的全部内容进行响应，只投其中部分内容者，其投标书将被拒绝。但如果招标文件要求分标段投标的，则投标单位可以根据自己经营许可内容有选择地只投其中一个或几个或全部标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12.投标文件的组成和顺序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12.1投标书一（报价部分）</w:t>
      </w:r>
      <w:r>
        <w:rPr>
          <w:rFonts w:ascii="SimSun" w:hAnsi="SimSun" w:eastAsia="SimSun" w:cs="SimSun"/>
          <w:color w:val="000000"/>
          <w:sz w:val="24"/>
        </w:rPr>
        <w:t xml:space="preserve"> </w:t>
      </w:r>
      <w:r>
        <w:rPr>
          <w:rFonts w:ascii="SimSun" w:hAnsi="SimSun" w:eastAsia="SimSun" w:cs="SimSun"/>
          <w:b/>
          <w:color w:val="000000"/>
          <w:sz w:val="24"/>
        </w:rPr>
        <w:t xml:space="preserve">(格式见第三章)：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12.1.1投标函；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12.1.3开标一览表(统一格式见第三章，用于唱标)；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12.1.4投标单位证明其符合资格要求的证明材料或承诺函（由采购代理机构在开标后进行现场审核，资格审核不通过的投标单位不得进入下一步技术评审部分）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12.2投标书二（技术部分及资格证明文件，不得出现价格）：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12.2.1关于资格文件的声明函（格式见第三章）；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12.2.2投标单位情况表（格式见第三章）；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12.2.3投标单位营业执照副本、税务登记证副本复印件或三证合一的营业执照复印件；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12.2.4投标单位法定代表人身份证复印件、投标单位被授权委托人身份证复印件（如有授权）；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12.2.5针对本项目的具体实施方案；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12.2.6服务期间人员配备方案，并应体现相关的人员资质、人员职称、工作年限、所任职务等；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12.2.7《商务条款偏离表》、《服务要求条款偏离表》，投标单位的投标文件与招标文件规定的有偏离的，应在此表中说明。未在表中说明的，将被认为完全响应招标文件的规定；（格式见第三章）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12.2.8《企业类似业绩一览表》、《类似业绩业主反馈表》（如有），（格式第三章）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12.2.9其它有关资格证明文件：</w:t>
      </w:r>
      <w:r/>
    </w:p>
    <w:p>
      <w:pPr>
        <w:ind w:left="0" w:right="0" w:firstLine="0"/>
        <w:spacing w:before="240" w:after="240" w:line="85" w:lineRule="atLeast"/>
        <w:tabs>
          <w:tab w:val="left" w:pos="2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注：投标单位必须提交上述12.1、12.2.1—12.2.6款规定的资料。否则，投标文件将因未实质性响应招标文件而被拒绝。</w:t>
      </w:r>
      <w:r/>
    </w:p>
    <w:p>
      <w:pPr>
        <w:ind w:left="4" w:right="0" w:hanging="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12.3投标文件由“12.1”、“12.2”款规定的内容共同组成，其中“12.1”的全部资料不可缺少，“12.2”按规定提交，否则，投标无效。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13、投标文件编制要求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13.1本项目采用电子招投标形式，请供应商按照</w:t>
      </w:r>
      <w:r>
        <w:rPr>
          <w:rFonts w:ascii="SimSun" w:hAnsi="SimSun" w:eastAsia="SimSun" w:cs="SimSun"/>
          <w:b/>
          <w:color w:val="000000"/>
          <w:sz w:val="24"/>
        </w:rPr>
        <w:t xml:space="preserve">《苏采云系统供应商操作手册》</w:t>
      </w:r>
      <w:r>
        <w:rPr>
          <w:rFonts w:ascii="SimSun" w:hAnsi="SimSun" w:eastAsia="SimSun" w:cs="SimSun"/>
          <w:color w:val="000000"/>
          <w:sz w:val="24"/>
        </w:rPr>
        <w:t xml:space="preserve">进行制作、上传电子投标文件。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13.2制作电子投标文件时，应按照招标文件要求加盖投标人电子公章。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rPr>
          <w:rFonts w:ascii="SimSun" w:hAnsi="SimSun" w:eastAsia="SimSun" w:cs="SimSun"/>
          <w:b/>
          <w:color w:val="000000"/>
          <w:sz w:val="24"/>
        </w:rPr>
        <w:t xml:space="preserve">电子投标文件制作完成后请于投标文件网上提交截止时间前成功上传至“苏采云”系统，否则视为放弃参加该采购项目。</w:t>
      </w:r>
      <w:r>
        <w:rPr>
          <w:rFonts w:ascii="SimSun" w:hAnsi="SimSun" w:eastAsia="SimSun" w:cs="SimSun"/>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13.4《开标一览表》为在开标仪式上唱标的内容，要求按格式填写，统一规范，不得自行增减内容。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14、投标报价（编制）要求的说明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14.1除非合同中另有规定，投标单位对《投标报价表》 中的全部内容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14.2《投标报价表》由法定代表人或代理人签署。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单位应对采购文件内所要采购的全部内容进行报价，只投其中部分内容者，其标书将被拒绝。但如果采购文件要求分标段投标的，则投标单位可以有选择的只投其中一个或几个标段，也可以投全部标段，但各标段应分别计算填写单价和总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一项投标内容只允许一个报价，采购代理机构不接受任何有选择性的投标报价。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14.5最低的投标报价或最高的折扣比例是中标的重要条件，但不是中标的唯一条件。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15、投标文件的签署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投标文件每一页均应加盖供应商电子签章，如投标（响应）文件制作机器码信息一致，视为不同投标供应商使用同一台电脑编制投标（响应）文件，投标（响应）无效。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17.1自投标截止时间之日起</w:t>
      </w:r>
      <w:r>
        <w:rPr>
          <w:rFonts w:ascii="SimSun" w:hAnsi="SimSun" w:eastAsia="SimSun" w:cs="SimSun"/>
          <w:color w:val="000000"/>
          <w:sz w:val="24"/>
          <w:u w:val="single"/>
        </w:rPr>
        <w:t xml:space="preserve"> 90</w:t>
      </w:r>
      <w:r>
        <w:rPr>
          <w:rFonts w:ascii="SimSun" w:hAnsi="SimSun" w:eastAsia="SimSun" w:cs="SimSun"/>
          <w:color w:val="000000"/>
          <w:sz w:val="24"/>
        </w:rPr>
        <w:t xml:space="preserve"> 天，投标书应保持有效。有效期短于这个规定期限的投标，将被拒绝。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17.2在特殊情况下，采购代理机构可与投标单位协商延长投标书的有效期。这种要求和答复都应以书面、传真的形式进行。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五、投标文件的递交（上传）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18.1投标人应当在招标文件要求投标文件网上提交截止时间前，将投标文件完成提交（上传）。逾期提交（上传）的投标文件，采购人和采购代理机构拒绝接收。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18.2采购人和采购代理机构推迟投标截止时间时，将按本须知规定的更正公告的方式对外发布。在这种情况下，采购人、采购代理机构和投标人的权利和义务将受到新的截止期的约束。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18.3在投标截止时间止成功解密的投标文件少于三份，采购代理机构有权宣布本次招标失败。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六、开标和评标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19、开标</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20、资格审查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20.1公开招标采购项目开标结束后，采购人或者采购代理机构应当依法对投标单位的资格进行审查。</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20.2.1查询时间：投标文件递交截止时间。</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20.2.2查询渠道：“信用中国”、“信用江苏”及中国政府采购网上的信用信息。</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rPr>
          <w:rFonts w:ascii="SimSun" w:hAnsi="SimSun" w:eastAsia="SimSun" w:cs="SimSun"/>
          <w:b/>
          <w:color w:val="000000"/>
          <w:sz w:val="24"/>
        </w:rPr>
        <w:t xml:space="preserve">经采购人或者采购代理机构审查供应商存在上述失信行为的，投标无效。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20.4单位负责人为同一人或者存在直接控股、管理关系的不同供应商，不得参与同一合同项下的投标活动。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20.5通过上述资格审查的合格投标单位不足3家的，不得评标。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21.1评标委员会（以下简称评委会）成员依法组建；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21.2评标委员会将对符合资格的投标单位的投标文件进行符合性审查，以确定其是否满足采购文件的实质性要求。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21.3评委会组负责具体的评标事务，并独立履行以下职责：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21.3.1审查、评价投标文件是否符合采购文件的商务、技术等实质性要求；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21.3.2要求投标单位对投标文件有关事项作出澄清或者说明；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21.3.4签署评标报告、推荐中标候选人并根据采购单位委托从中确定中标单位；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21.4评委会成员应当履行下列义务：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21.4.2按照采购文件规定的评标办法和评标标准进行评标，对评审意见承担个人责任；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21.4.3对评标过程和结果，以及投标单位的商业秘密保密；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21.4.4参与评标报告的起草；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21.4.5配合招标采购人答复投标单位提出的质疑；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21.4.6配合有关部门的投诉处理工作。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22、保密要求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22.1评标将在严格保密的情况下进行。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22.2有关人员应当遵守评标工作纪律，不得泄露评标文件、评标情况和评标中获悉的国家秘密、商业秘密。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23、对投标文件初审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23.1评委会将对资格符合的投标文件进行符合性审查。即依据采购文件规定，从投标文件的有效性、完整性和对采购文件的响应程度进行审查，以确定是否对采购文件的实质性要求作出响应。投标单位存在下列情况之一的，投标无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（二）不具备招标文件中规定的资格要求的；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（五）法律、法规和招标文件规定的其他无效情形；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（六）不同投标单位的投标文件以及投标文件制作过程出现了评标委员会认为不应当雷同的情况的；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（七）不同投标单位的投标文件存在“视为串通投标”的情形；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（八）投标单位的报价存在选择性的；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（九）投标单位的报价或响应只响应了项目中部分招标内容；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（十）投标单位拒绝修正错误影响评标的；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注：招标文件规定的其它无效情形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23.2实质性响应的投标应该是与采购文件要求的条款相符。不得限制合同中买方的权利或投标单位的义务，也不得对其他实质性响应的投标单位的竞争地位产生不公正影响。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23.3对于投标文件中含义不明确、同类问题表述不一致或者有明显文字和计算错误的内容，评标委员会应当以书面形式要求投标单位作出必要的澄清、说明或者补正。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23.4投标单位的澄清、说明或者补正应当采用书面形式，并加盖公章，或者由法定代表人或其授权的代表签字。投标单位的澄清、说明或者补正不得超出投标文件的范围或者改变投标文件的实质性内容。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23.5投标文件报价出现前后不一致的，除采购文件另有规定外，按照下列规定修正：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同时出现两种以上不一致的，按照前款规定的顺序修正。修正后的报价按照本须知规定经投标单位确认后产生约束力，投标单位不确认的，其投标无效。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23.6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23.7除上述情形外，对投标文件的判定，只依据投标文件本身，不依靠开标后的任何外来证明。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23.8采购代理机构将拒绝被确定为非实质性响应的投标，投标单位不能通过修正或撤销不符之处而使其投标成为实质性响应的投标。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23.9对不同文字文本投标文件的解释发生异议的，以中文文本为准；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24.1 在招标过程中，出现下列情况之一的，应予废标：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24.1.1符合专业条件的供应商或者对采购文件作实质响应的供应商不足三家的；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24.1.2出现影响采购公正的违法、违规行为的；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24.1.3投标单位的报价均超过了采购预算或者最高限价，采购人不能支付的；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24.1.4因重大变故，采购任务取消的；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24.1.5投标单位对电子投标文件解密失败的。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废标后，采购代理机构将发布废标公告。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25、投标文件的评价和比较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25.1评标委员会将仅对按采购文件有关规定确定为实质上响应采购文件要求的投标文件进行评价和比较。</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25.2评价和比较采用综合评分法，评委会严格按照采购文件的规定要求、条件、评分标准，对投标单位所提供货物或服务的先进性、可靠性、售后服务承诺、质量保证承诺等实质性响应内容进行比较评价。</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七、确定中标原则：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评标委员会根据投标单位资格审查情况，投标文件的评价和比较，按照招标文件的评分标准进行打分和汇总评分结果。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评标委员会根据评审后得分由高到低顺序排列，向采购人推荐中标候选人。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评标委员会推荐和招标采购单位确定的中标候选人，采购人或者采购代理机构应当自中标单位确定之日起2个工作日内，在省级以上财政部门指定的媒体上公告中标结果，投标单位如有质疑，应于中标公告公示期满之日起七个工作日内向招标代理人提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八、发出中标通知书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26.2中标通知书将成为合同的组成部分，对采购人和中标人具有同等法律效力。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26.3中标通知书发出后，采购人不得违法改变中标结果，中标人无正当理由不得放弃中标。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九、告知招标结果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对未通过资格审查的投标单位，告知其未通过的原因。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根据《中华人民共和国财政部令第87号》第六十六条规定，有关人员对评标情况以及在评标过程中获悉的国家秘密、商业秘密负有保密责任。故招标代理人对未中标单位不承担解释未中标原因的义务。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28.1中标供应商应当自发出中标通知书之日起30日内，与采购人签订合同。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28.2招标文件、中标供应商的投标文件及其澄清文件等，均为签订合同的依据。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28.3中标单位无正当理由不得拒绝签订政府采购合同。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十一、其他事项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中标服务费率：根据以下的收费标准支付中标服务费。该费用应在领取中标通知书时付清。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中标服务费：预算金额100万元以下部分，费率为该部分预算金额的1.5%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预算金额500万元（含）-1000万元部分，费率为该部分预算金额的0.8%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预算金额1000万元（含）-5000万元部分，费率为该部分预算金额的0.5%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预算金额5000万元以上部分，费率为该部分预算金额的0.25%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本次中标服务费为：31500元，账号信息：苏州华厦招投标代理有限公司，开户行：江苏银行苏州科技城支行，账号：30530188000070877。</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30、监督</w:t>
      </w:r>
      <w:r/>
    </w:p>
    <w:p>
      <w:pPr>
        <w:ind w:left="420" w:right="0" w:firstLine="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采购代理机构的开标、评标过程由相关部门进行监督。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31、未尽事宜</w:t>
      </w:r>
      <w:r/>
    </w:p>
    <w:p>
      <w:pPr>
        <w:ind w:left="420" w:right="0" w:firstLine="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按《中华人民共和国政府采购法》及其他有关政府采购的法律法规的规定执行。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4"/>
        <w:ind w:left="0" w:right="0" w:firstLine="0"/>
        <w:jc w:val="center"/>
        <w:spacing w:before="156" w:after="156"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156" w:after="156"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对本章所有的投标书格式 ，投标单位可根据自身情况进行补充和修改，但补充和修改不得造成与本格式内容有实质性的违背。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1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1、（投标单位）法定代表人授权委托书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授权委托书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（姓名）为我公司被授权人，以本公司的名义参加苏州华厦招投标代理有限公司组织实施的编号为</w:t>
      </w:r>
      <w:r>
        <w:rPr>
          <w:rFonts w:ascii="SimSun" w:hAnsi="SimSun" w:eastAsia="SimSun" w:cs="SimSun"/>
          <w:color w:val="000000"/>
          <w:sz w:val="24"/>
          <w:u w:val="single"/>
        </w:rPr>
        <w:t xml:space="preserve">JSZC-320506-DLHX-G2025-0009</w:t>
      </w:r>
      <w:r>
        <w:rPr>
          <w:rFonts w:ascii="SimSun" w:hAnsi="SimSun" w:eastAsia="SimSun" w:cs="SimSun"/>
          <w:color w:val="000000"/>
          <w:sz w:val="24"/>
        </w:rPr>
        <w:t xml:space="preserve">号的招标活动。被授权人在开标、评标、合同谈判过程中所签署的一切文件和处理与这有关的一切事务，我均予以承认。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被授权人在授权委托书有效期内签署的所有文件不因授权委托的撤销而失效，除非有撤销授权委托的书面通知，本授权委托书自投标开始至合同履行完毕止。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1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苏州华厦招投标代理有限公司</w:t>
      </w:r>
      <w:r>
        <w:rPr>
          <w:rFonts w:ascii="SimSun" w:hAnsi="SimSun" w:eastAsia="SimSun" w:cs="SimSun"/>
          <w:color w:val="000000"/>
          <w:sz w:val="24"/>
        </w:rPr>
        <w:t xml:space="preserve">：</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JSZC-320506-DLHX-G2025-0009</w:t>
      </w:r>
      <w:r>
        <w:rPr>
          <w:rFonts w:ascii="SimSun" w:hAnsi="SimSun" w:eastAsia="SimSun" w:cs="SimSun"/>
          <w:color w:val="000000"/>
          <w:sz w:val="24"/>
        </w:rPr>
        <w:t xml:space="preserve">号招标文件，经仔细阅读和研究，我们同意招标文件的各条款要求并决定参加投标。</w:t>
      </w:r>
      <w:r/>
    </w:p>
    <w:p>
      <w:pPr>
        <w:ind w:left="0" w:right="0" w:firstLine="3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 包括吴中太湖新城土壤污染状况调查（包括但不限于：地块第一阶段调查，地块第二阶段调查，风险评估，采样与分析，出具地块土壤污染状况调查报告，报告的完善修改,通过专家评审论证等）所需要的货物、机械设备、人工费、运输费、管理费、利润、税金、询价费、代理服务费及政策性文件规定和合同包含的所有风险、责任等各项应有费用。投标报价为最终报价，除非因特殊原因并经买卖双方协商同意，投标单位不得再要求追加任何费用。</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2、如果我们的投标书被接受，我们将严格履行招标文件中规定的每一项要求，按期、按质、按量履行合同的义务。</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90</w:t>
      </w:r>
      <w:r>
        <w:rPr>
          <w:rFonts w:ascii="SimSun" w:hAnsi="SimSun" w:eastAsia="SimSun" w:cs="SimSun"/>
          <w:color w:val="000000"/>
          <w:sz w:val="24"/>
        </w:rPr>
        <w:t xml:space="preserve">天。</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4、我们愿意提供招标代理人在招标文件中要求的所有资料。</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6、我们愿意遵守招标文件中所列的收费标准。</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8、如果我们中标，我们愿意在签订合同时按招标文件中要求支付中标服务费。</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9、综合说明：</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（2）要求采购单位提供的配合；</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（3）对招标文件有不同意见的偏离说明；</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38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所有有关标书的函电，请按下列地址联系：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          联系电话：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34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法定代表人或被授权人：（签字或盖章）</w:t>
      </w:r>
      <w:r/>
    </w:p>
    <w:p>
      <w:pPr>
        <w:ind w:left="3459" w:right="0" w:firstLine="99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 </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07"/>
        <w:gridCol w:w="1298"/>
        <w:gridCol w:w="1306"/>
        <w:gridCol w:w="3613"/>
        <w:gridCol w:w="2053"/>
      </w:tblGrid>
      <w:tr>
        <w:trPr>
          <w:trHeight w:val="32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6"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结算价</w:t>
            </w:r>
            <w:r/>
          </w:p>
        </w:tc>
      </w:tr>
      <w:tr>
        <w:trPr>
          <w:trHeight w:val="312"/>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（下浮率）%</w:t>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12万元+（实际面积-1ha）*3.5万元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vMerge w:val="restart"/>
            <w:textDirection w:val="lrTb"/>
            <w:noWrap/>
          </w:tcPr>
          <w:p>
            <w:pPr>
              <w:spacing w:before="0" w:after="0" w:line="57" w:lineRule="atLeast"/>
            </w:pPr>
            <w:r/>
          </w:p>
        </w:tc>
      </w:tr>
      <w:tr>
        <w:trPr>
          <w:trHeight w:val="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28万元+（实际面积-1ha）*12.0万元</w:t>
            </w:r>
            <w:r/>
          </w:p>
        </w:tc>
        <w:tc>
          <w:tcPr>
            <w:vMerge w:val="continue"/>
            <w:textDirection w:val="lrTb"/>
            <w:noWrap w:val="false"/>
          </w:tcPr>
          <w:p>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8万元+（实际面积-1ha）*3.0万元</w:t>
            </w:r>
            <w:r/>
          </w:p>
        </w:tc>
        <w:tc>
          <w:tcPr>
            <w:vMerge w:val="continue"/>
            <w:textDirection w:val="lrTb"/>
            <w:noWrap w:val="false"/>
          </w:tcPr>
          <w:p>
            <w:r/>
            <w:r/>
          </w:p>
        </w:tc>
      </w:tr>
      <w:tr>
        <w:trPr>
          <w:trHeight w:val="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24万元+（实际面积-1ha）*10.0万元</w:t>
            </w:r>
            <w:r/>
          </w:p>
        </w:tc>
        <w:tc>
          <w:tcPr>
            <w:vMerge w:val="continue"/>
            <w:textDirection w:val="lrTb"/>
            <w:noWrap w:val="false"/>
          </w:tcPr>
          <w:p>
            <w:r/>
            <w:r/>
          </w:p>
        </w:tc>
      </w:tr>
      <w:tr>
        <w:trPr>
          <w:trHeight w:val="33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78" w:type="dxa"/>
            <w:vAlign w:val="center"/>
            <w:textDirection w:val="lrTb"/>
            <w:noWrap w:val="false"/>
          </w:tcPr>
          <w:p>
            <w:pPr>
              <w:numPr>
                <w:ilvl w:val="0"/>
                <w:numId w:val="18"/>
              </w:numPr>
              <w:spacing w:before="0" w:after="0" w:line="85" w:lineRule="atLeast"/>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重点行业包括：有色金属冶炼、化工、焦化、电镀、铅蓄电池、农药、钢铁、制革、危险废弃物处置、医药、危险化学品等行业。                                                      </w:t>
            </w:r>
            <w:r/>
          </w:p>
          <w:p>
            <w:pPr>
              <w:numPr>
                <w:ilvl w:val="0"/>
                <w:numId w:val="18"/>
              </w:numPr>
              <w:spacing w:before="0" w:after="0" w:line="85" w:lineRule="atLeast"/>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服务内容包括：资料收集、现场踏勘、样品采集、样品实验室分析、报告编制、专家评审、项目备案。                                                                        </w:t>
            </w:r>
            <w:r/>
          </w:p>
          <w:p>
            <w:pPr>
              <w:ind w:left="0" w:right="0" w:firstLine="0"/>
              <w:spacing w:before="0" w:after="0" w:line="85" w:lineRule="atLeast"/>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报价为综合报价，应包括吴中太湖新城土壤污染状况调查（包括但不限于：地块第一阶段调查，地块第二阶段调查，风险评估，采样与分析，出具地块土壤污染状况调查报告，报告的完善修改,通过专家评审论证等）所需要的货物、机械设备、人工费、运输费、管理费、利润、税金、询价费、代理服务费及政策性文件规定和合同包含的所有风险、责任等各项应有费用。采购人不再支付其他任何费用。</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9"/>
        <w:gridCol w:w="2099"/>
        <w:gridCol w:w="2440"/>
        <w:gridCol w:w="2412"/>
        <w:gridCol w:w="733"/>
      </w:tblGrid>
      <w:tr>
        <w:trPr>
          <w:trHeight w:val="3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0"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单位的投标文件（除服务要求部分）与招标文件规定的有偏离的，应在此表中说明。未在上表中说明的，如在投标文件其他内容中已有文字说明的，则以已有文字说明为准，否则，将被认为完全响应招标文件的规定。但该表不作为投标单位对所投标的物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shd w:val="nil"/>
        <w:rPr>
          <w:sz w:val="21"/>
          <w:szCs w:val="21"/>
        </w:rPr>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5、项目服务人员配置表</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项目服务人员配置表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36"/>
        <w:gridCol w:w="1036"/>
        <w:gridCol w:w="818"/>
        <w:gridCol w:w="1054"/>
        <w:gridCol w:w="1255"/>
        <w:gridCol w:w="1145"/>
        <w:gridCol w:w="942"/>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职称或专业资格证书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请将相关人员证明材料复印件加盖公章后附在本表后面。若事项较多，供应商可根据响应内容的实际情况另纸说明。</w:t>
      </w:r>
      <w:r/>
    </w:p>
    <w:p>
      <w:pPr>
        <w:ind w:left="0" w:right="840" w:firstLine="5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rPr>
          <w:rFonts w:ascii="SimSun" w:hAnsi="SimSun" w:eastAsia="SimSun" w:cs="SimSun"/>
          <w:b/>
          <w:color w:val="000000"/>
          <w:sz w:val="24"/>
        </w:rPr>
        <w:t xml:space="preserve">、企业类似业绩一览表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企业类似业绩一览表 </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2406"/>
        <w:gridCol w:w="2639"/>
        <w:gridCol w:w="1467"/>
        <w:gridCol w:w="18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注：1.列出相关业绩，并提供合同或协议或合作证明相关复印件。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投标方：（单位盖章）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pStyle w:val="718"/>
        <w:ind w:left="420" w:right="0" w:hanging="420"/>
        <w:jc w:val="both"/>
        <w:spacing w:before="120" w:after="120" w:line="85" w:lineRule="atLeast"/>
        <w:tabs>
          <w:tab w:val="left" w:pos="567"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18"/>
        <w:ind w:left="420" w:right="0" w:hanging="420"/>
        <w:jc w:val="both"/>
        <w:spacing w:before="120" w:after="120" w:line="85" w:lineRule="atLeast"/>
        <w:tabs>
          <w:tab w:val="left" w:pos="567" w:leader="none"/>
          <w:tab w:val="left" w:pos="1080" w:leader="none"/>
        </w:tabs>
        <w:pBdr>
          <w:top w:val="none" w:color="000000" w:sz="4" w:space="0"/>
          <w:left w:val="none" w:color="000000" w:sz="4" w:space="0"/>
          <w:bottom w:val="none" w:color="000000" w:sz="4" w:space="0"/>
          <w:right w:val="none" w:color="000000" w:sz="4" w:space="0"/>
        </w:pBdr>
      </w:pPr>
      <w:r>
        <w:br w:type="page" w:clear="all"/>
      </w:r>
      <w:r/>
    </w:p>
    <w:p>
      <w:pPr>
        <w:pStyle w:val="718"/>
        <w:ind w:left="420" w:right="0" w:hanging="420"/>
        <w:jc w:val="both"/>
        <w:spacing w:before="120" w:after="120" w:line="85" w:lineRule="atLeast"/>
        <w:tabs>
          <w:tab w:val="left" w:pos="567"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苏州华厦招投标代理有限公司</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JSZC-320506-DLHX-G2025-0009</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tabs>
          <w:tab w:val="left" w:pos="29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w:t>
        <w:tab/>
        <w:t xml:space="preserve"> 月 </w:t>
        <w:tab/>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8"/>
        <w:ind w:left="420" w:right="0" w:hanging="420"/>
        <w:jc w:val="both"/>
        <w:spacing w:before="120" w:after="120" w:line="85" w:lineRule="atLeast"/>
        <w:tabs>
          <w:tab w:val="left" w:pos="567" w:leader="none"/>
          <w:tab w:val="left" w:pos="1080" w:leader="none"/>
        </w:tabs>
        <w:pBdr>
          <w:top w:val="none" w:color="000000" w:sz="4" w:space="0"/>
          <w:left w:val="none" w:color="000000" w:sz="4" w:space="0"/>
          <w:bottom w:val="none" w:color="000000" w:sz="4" w:space="0"/>
          <w:right w:val="none" w:color="000000" w:sz="4" w:space="0"/>
        </w:pBdr>
      </w:pPr>
      <w:r>
        <w:br w:type="page" w:clear="all"/>
      </w:r>
      <w:r/>
    </w:p>
    <w:p>
      <w:pPr>
        <w:pStyle w:val="718"/>
        <w:ind w:left="420" w:right="0" w:hanging="420"/>
        <w:jc w:val="both"/>
        <w:spacing w:before="120" w:after="120" w:line="85" w:lineRule="atLeast"/>
        <w:tabs>
          <w:tab w:val="left" w:pos="567"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8、投标单位情况表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投标单位情况表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单位名称（盖公章）</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6"/>
        <w:gridCol w:w="2160"/>
        <w:gridCol w:w="935"/>
        <w:gridCol w:w="326"/>
        <w:gridCol w:w="2602"/>
        <w:gridCol w:w="11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4"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4" w:type="dxa"/>
            <w:vAlign w:val="top"/>
            <w:textDirection w:val="lrTb"/>
            <w:noWrap w:val="false"/>
          </w:tcPr>
          <w:p>
            <w:pPr>
              <w:ind w:left="0" w:right="0" w:firstLine="16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最近一年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最近一年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 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 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880" w:firstLine="4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38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38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4"/>
        <w:ind w:left="0" w:right="0" w:firstLine="0"/>
        <w:jc w:val="center"/>
        <w:spacing w:before="156" w:after="156"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pStyle w:val="714"/>
        <w:ind w:left="0" w:right="0" w:firstLine="0"/>
        <w:jc w:val="center"/>
        <w:spacing w:before="156" w:after="156"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招标书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受苏州太湖新城吴中管理委员会的委托，苏州华厦招投标代理有限公司作为招标代理人，为委托人拟采购的太湖新城土壤污染状况调查项目进行国内公开招标。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一、招标编号：</w:t>
      </w:r>
      <w:r>
        <w:rPr>
          <w:rFonts w:ascii="SimSun" w:hAnsi="SimSun" w:eastAsia="SimSun" w:cs="SimSun"/>
          <w:color w:val="000000"/>
          <w:sz w:val="24"/>
        </w:rPr>
        <w:t xml:space="preserve">JSZC-320506-DLHX-G2025-0009号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二、预算金额：</w:t>
      </w:r>
      <w:r>
        <w:rPr>
          <w:rFonts w:ascii="SimSun" w:hAnsi="SimSun" w:eastAsia="SimSun" w:cs="SimSun"/>
          <w:color w:val="000000"/>
          <w:sz w:val="24"/>
        </w:rPr>
        <w:t xml:space="preserve">人民币250.000000万元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三、最高限价：</w:t>
      </w:r>
      <w:r>
        <w:rPr>
          <w:rFonts w:ascii="SimSun" w:hAnsi="SimSun" w:eastAsia="SimSun" w:cs="SimSun"/>
          <w:color w:val="000000"/>
          <w:sz w:val="24"/>
        </w:rPr>
        <w:t xml:space="preserve">人民币250.000000万元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四、招标内容：</w:t>
      </w:r>
      <w:r>
        <w:rPr>
          <w:rFonts w:ascii="SimSun" w:hAnsi="SimSun" w:eastAsia="SimSun" w:cs="SimSun"/>
          <w:color w:val="000000"/>
          <w:sz w:val="24"/>
        </w:rPr>
        <w:t xml:space="preserve">太湖新城土壤污染状况调查项目</w:t>
      </w:r>
      <w:r/>
    </w:p>
    <w:p>
      <w:pPr>
        <w:ind w:left="0" w:right="0" w:firstLine="385"/>
        <w:jc w:val="both"/>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1.项目概述：</w:t>
      </w:r>
      <w:r/>
    </w:p>
    <w:p>
      <w:pPr>
        <w:ind w:left="0" w:right="0" w:firstLine="38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中华人民共和国土壤污染防治法》、《土壤污染防治行动计划》等相关政策要求，实施建设用地准入管理，土地开发利用必须符合土壤环境质量要求，由所在地市、县级人民政府负责开展土壤环境状况调查评估，符合相应规划用地土壤环境质量要求的地块，可进入用地程序。按照上述文件规定，为提前做好上市前期准备工作，拟对太湖新城范围内（太湖新城内旺山路以西片区）用地进行土壤环境状况调查工作。</w:t>
      </w:r>
      <w:r/>
    </w:p>
    <w:p>
      <w:pPr>
        <w:ind w:left="0" w:right="0" w:firstLine="38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展地块土壤污染状况调查，主要包括但不限于以下工作内容：调查方案编制、地块历史资料收集、现场踏勘、人员访谈、样品采集、土壤现场快速筛查、土壤及地下水样品实验室检测，土壤污染状况调查报告编制、专家评审及备案等内容。</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2.调查实施要求：</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（1）中标单位根据采购单位的具体要求开展工作，并对采购单位负责；完成指定项目后，按采购单位的要求出具相关书面材料。</w:t>
      </w:r>
      <w:r/>
    </w:p>
    <w:p>
      <w:pPr>
        <w:ind w:left="0" w:right="0" w:firstLine="480"/>
        <w:jc w:val="both"/>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根据委托调查协议书的要求开展调查工作。中标单位向采购单位出具地块土壤污染状况调查报告，报告应附具专家评审意见，从业人员责任页，明确项目负责人，各分项工作承担者，从业单位应建立内部审核制度，明确报告的审核、审定人，上述人员均需亲笔签字确认。</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应加强对检测、采样工作的管理，对采样、检测的样品采集、制备、保存、流转和分析负责，中标单位和检测单位不能为关联企业，如出现违反国家法律法规、违反行业规定，或者弄虚作假，采购单位将对中标单位予以警告直至不再对其进行委托，并保留追究造成采购单位损失的责任。</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应加强对土壤环境调查资料的保管，土壤环境调查工作全面完成后，土壤环境调查中标单位应将采购单位认为必要的有关资料返还给采购单位；其余资料，中标单位应按采购单位的要求存档保管，并应及时满足采购单位对调查资料有关调用、审核等要求。对档案管理不完善造成资料遗失的中标单位，采购单位将予以警告直至不再对其进行委托。</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在合同期限内因从事本项目或其他项目的委托人委托的土壤环境检测相关业务存在违规违纪行为，或在从业过程中被有关部门进行处理或行政处罚的（包括但不限于通报、警告、行政处罚、禁业等），采购单位有权解除本合同。</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（6）中标单位需按照国家现行法律法规组织并协调检测、开展地块调查，并对采样、检测和调查结果承担责任。</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（7）中标单位在调查期间，须按照相关规范妥善保管样品，样品保管时间按国家相关规定执行，并做好采样、检测质量管理工作，调查报告中体现质量管理情况，质量控制相关资料原件备查。</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（8）未经采购单位同意，地块调查、采样等工作不得分包转包，否则采购单位有权解除合同。</w:t>
      </w:r>
      <w:r/>
    </w:p>
    <w:p>
      <w:pPr>
        <w:ind w:left="0" w:right="0" w:firstLine="480"/>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（9）中标单位应严格按照《建设用地土壤污染状况调查技术导则》等相关行业标准在规定时间内制作完成土壤环境初步调查报告。土壤环境初步调查报告须达到国家相关的技术要求和规范。</w:t>
      </w:r>
      <w:r/>
    </w:p>
    <w:p>
      <w:pPr>
        <w:ind w:left="0" w:right="0" w:firstLine="482"/>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3.土壤检测相关要求：</w:t>
      </w:r>
      <w:r>
        <w:rPr>
          <w:rFonts w:ascii="SimSun" w:hAnsi="SimSun" w:eastAsia="SimSun" w:cs="SimSun"/>
          <w:color w:val="000000"/>
          <w:sz w:val="24"/>
        </w:rPr>
        <w:t xml:space="preserve">按照《土壤环境质量建设用地土壤污染风险管控标准（试行）》（GB36600-2018）等标准进行。</w:t>
      </w:r>
      <w:r/>
    </w:p>
    <w:p>
      <w:pPr>
        <w:ind w:left="0" w:right="0" w:firstLine="482"/>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4.投入本项目技术人员要求：</w:t>
      </w:r>
      <w:r/>
    </w:p>
    <w:p>
      <w:pPr>
        <w:ind w:left="0" w:right="0" w:firstLine="482"/>
        <w:spacing w:before="0" w:after="0" w:line="85" w:lineRule="atLeast"/>
        <w:tabs>
          <w:tab w:val="left" w:pos="142" w:leader="none"/>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配备一定数量的服务人员，含项目负责人、技术负责人、项目安全负责人及项目组人员等等，以保证本项目顺利开展。中标单位须为本项目服务人员购买用工意外伤害保险，参与本项目的人员如在工作期间发生意外，均由中标单位承担，采购单位不承担任何法律和经济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（1）服务期限内，中标单位的服务人员因执行本项目出现的伤亡及在服务中造成他人人身伤亡、财产损失的，均由中标单位负责处理。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（2）中标单位在服务期限内违反国家相关法律法规，均由中标单位负责处理，采购人不予承担任何责任。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（3）成果形式与数量：包括资料汇编、现场材料及照片（纸质或电子文件两种形式），具体数量按照项目检查、验收、汇交、归档的要求。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（4）检查成果所有权和使用权均属于采购人，未经允许，任何单位和个人不得转让和使用本项目的检查成果，否则承担由此产生的一切法律和经济责任。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须建立严格的保密制度，并加强对工作人员的保密管理及保密知识教育。中标单位应对采购人各项服务内容以及一切相关资料、数据保密，妥善保管为履行委托服务内容而完成的一切工作成果（包括但不限于相关数据、成果等），未经采购人书面同意，中标单位不得用作本合同以外的用途或向第三方泄露中标单位应对合作过程中知悉的采购人商业秘密保密，不得向第三方泄露。中标单位的保密义务为永久生效条款，不因本合同的终止而解除。否则，采购人有权向中标单位追索由此而引起的直接和间接的经济损失，并保留进一步追究中标单位相应法律责任的权利</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使用的标准未在本采购文件中明确规定的，则应明确说明并提供使用的标准或规范；若承包人使用的标准在本采购文件的规定外，则应明确说明并提供使用的标准或规范，该标准必须是国际公认的同等或更高级的标准。</w:t>
      </w:r>
      <w:r/>
    </w:p>
    <w:p>
      <w:pPr>
        <w:ind w:left="0" w:right="0" w:firstLine="482"/>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（7）甲方根据实际中标单位服务时，工作人员的服务能力及专业水平，有权利向中标单位提出更换更适合本项目服务的现场工作人员。</w:t>
      </w:r>
      <w:r/>
    </w:p>
    <w:p>
      <w:pPr>
        <w:ind w:left="0" w:right="0" w:firstLine="482"/>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（8）餐费、住宿费、人员出行交通费已经包含在中标供应商的投标报价中，采购方不再另行支付。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6.保密要求：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（1）中标单位负责对采购单位所提供资料及最终成果的保密，中标单位及中标单位（包含工作人员）需遵守采购单位的保密规定，不以任何形式将收集的所有资料、数据等进行泄漏、传播；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（2）项目服务人员需签署相关保密协议，承担工作中接触相关内容的保密义务；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（3）项目成果最终所有权属采购单位，在项目完成时中标单位必须全部移交；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（4）中标单位须维护项目服务成果，不得转让给第三方重复使用；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（5）以上保密规定如有违反，采购单位有权追究中标单位相关法律责任。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五、综合说明及其它要求：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1.投标人所提供的服务能够至少达到以上要求，同时明确详细的服务方案。</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2.投标人必须承诺招标文件中提出的全部要求，如果其中某些条款不响应时，应在文件中逐条列出，未列出的视同响应。</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总报价一次报定，报价应包括吴中太湖新城土壤污染状况调查（包括但不限于：地块第一阶段调查，地块第二阶段调查，风险评估，采样与分析，出具地块土壤污染状况调查报告，报告的完善修改,通过专家评审论证等）所需要的货物、机械设备、人工费、运输费、管理费、利润、税金、询价费、代理服务费及政策性文件规定和合同包含的所有风险、责任等各项应有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4.投标人应对所投项目的全部服务内容进行报价，只投其中部分内容者，其投标文件将被拒绝。中标单位对服务缺陷不予更正，采购单位有权另请其他单位更正，所发生的费用由中标单位承担。</w:t>
      </w:r>
      <w:r/>
    </w:p>
    <w:p>
      <w:pPr>
        <w:ind w:left="0" w:right="0" w:firstLine="3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5.凡涉及招标文件的补充说明和修改，均以苏州政府采购网等相关规定媒体发布的通知为准。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rPr>
          <w:sz w:val="21"/>
          <w:szCs w:val="21"/>
        </w:rPr>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甲方：苏州太湖新城吴中管理委员会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42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u w:val="single"/>
        </w:rPr>
        <w:t xml:space="preserve">主合同：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根据苏州华厦招投标代理有限公司招标编号为</w:t>
      </w:r>
      <w:r>
        <w:rPr>
          <w:rFonts w:ascii="SimSun" w:hAnsi="SimSun" w:eastAsia="SimSun" w:cs="SimSun"/>
          <w:color w:val="000000"/>
          <w:sz w:val="24"/>
          <w:u w:val="single"/>
        </w:rPr>
        <w:t xml:space="preserve">JSZC-320506-DLHX-G2025-0009</w:t>
      </w:r>
      <w:r>
        <w:rPr>
          <w:rFonts w:ascii="SimSun" w:hAnsi="SimSun" w:eastAsia="SimSun" w:cs="SimSun"/>
          <w:color w:val="000000"/>
          <w:sz w:val="24"/>
        </w:rPr>
        <w:t xml:space="preserve">号的招标文件及该文件的投标文件和中标通知书，甲乙双方就甲方聘用乙方从事</w:t>
      </w:r>
      <w:r>
        <w:rPr>
          <w:rFonts w:ascii="SimSun" w:hAnsi="SimSun" w:eastAsia="SimSun" w:cs="SimSun"/>
          <w:color w:val="000000"/>
          <w:sz w:val="24"/>
          <w:u w:val="single"/>
        </w:rPr>
        <w:t xml:space="preserve">太湖新城土壤污染状况调查</w:t>
      </w:r>
      <w:r>
        <w:rPr>
          <w:rFonts w:ascii="SimSun" w:hAnsi="SimSun" w:eastAsia="SimSun" w:cs="SimSun"/>
          <w:color w:val="000000"/>
          <w:sz w:val="24"/>
        </w:rPr>
        <w:t xml:space="preserve">工作，签订本合同书。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一、合同所涉及的基本情况及范围</w:t>
      </w:r>
      <w:r/>
    </w:p>
    <w:p>
      <w:pPr>
        <w:ind w:left="0" w:right="0" w:firstLine="3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1、服务对象：苏州太湖新城吴中管理委员会</w:t>
      </w:r>
      <w:r/>
    </w:p>
    <w:p>
      <w:pPr>
        <w:ind w:left="0" w:right="0" w:firstLine="3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①按相关的技术规范进行现场土壤及地下水的采样、分析、数据处理及评价；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②组织咨询服务工作并承担相关费用；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③编制《土壤污染状况调查报告》。</w:t>
      </w:r>
      <w:r/>
    </w:p>
    <w:p>
      <w:pPr>
        <w:ind w:left="0" w:right="0" w:firstLine="3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3、范围以本合同规定的服务范围、作业内容为准。</w:t>
      </w:r>
      <w:r/>
    </w:p>
    <w:p>
      <w:pPr>
        <w:ind w:left="0" w:right="0" w:firstLine="3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4、主要技术指标：按照目前国家现有的各种技术导则和技术规范开展工作：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①确定调查范围、监测因子和取样深度；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②进行土壤和地下水采样与分析；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③编制报告；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④专家评审。</w:t>
      </w:r>
      <w:r/>
    </w:p>
    <w:p>
      <w:pPr>
        <w:ind w:left="0" w:right="0" w:firstLine="38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highlight w:val="white"/>
        </w:rPr>
        <w:t xml:space="preserve">合同履行期限：自合同签订之日起至最终实际累计结算费用达到合同总金额的，合同自动解除。</w:t>
      </w:r>
      <w:r/>
    </w:p>
    <w:p>
      <w:pPr>
        <w:ind w:left="0" w:right="0" w:firstLine="38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注：若支付的结算金额累计后，剩余的款项不足以支付单个调查品目的，合同亦自动解除。</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二、合同价格与支付</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5"/>
        <w:gridCol w:w="1309"/>
        <w:gridCol w:w="1244"/>
        <w:gridCol w:w="3568"/>
        <w:gridCol w:w="1688"/>
      </w:tblGrid>
      <w:tr>
        <w:trPr>
          <w:trHeight w:val="47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结算价</w:t>
            </w:r>
            <w:r/>
          </w:p>
        </w:tc>
      </w:tr>
      <w:tr>
        <w:trPr>
          <w:trHeight w:val="476"/>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（下浮率）%</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12万元+（实际面积-1ha）*3.5万元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vMerge w:val="restart"/>
            <w:textDirection w:val="lrTb"/>
            <w:noWrap/>
          </w:tcPr>
          <w:p>
            <w:pPr>
              <w:spacing w:before="0" w:after="0" w:line="57" w:lineRule="atLeast"/>
            </w:pPr>
            <w:r/>
          </w:p>
        </w:tc>
      </w:tr>
      <w:tr>
        <w:trPr>
          <w:trHeight w:val="4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28万元+（实际面积-1ha）*12.0万元</w:t>
            </w:r>
            <w:r/>
          </w:p>
        </w:tc>
        <w:tc>
          <w:tcPr>
            <w:vMerge w:val="continue"/>
            <w:textDirection w:val="lrTb"/>
            <w:noWrap w:val="false"/>
          </w:tcPr>
          <w:p>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8万元+（实际面积-1ha）*3.0万元</w:t>
            </w:r>
            <w:r/>
          </w:p>
        </w:tc>
        <w:tc>
          <w:tcPr>
            <w:vMerge w:val="continue"/>
            <w:textDirection w:val="lrTb"/>
            <w:noWrap w:val="false"/>
          </w:tcPr>
          <w:p>
            <w:r/>
            <w:r/>
          </w:p>
        </w:tc>
      </w:tr>
      <w:tr>
        <w:trPr>
          <w:trHeight w:val="4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24万元+（实际面积-1ha）*10.0万元</w:t>
            </w:r>
            <w:r/>
          </w:p>
        </w:tc>
        <w:tc>
          <w:tcPr>
            <w:vMerge w:val="continue"/>
            <w:textDirection w:val="lrTb"/>
            <w:noWrap w:val="false"/>
          </w:tcPr>
          <w:p>
            <w:r/>
            <w:r/>
          </w:p>
        </w:tc>
      </w:tr>
      <w:tr>
        <w:trPr>
          <w:trHeight w:val="32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4" w:type="dxa"/>
            <w:vAlign w:val="center"/>
            <w:textDirection w:val="lrTb"/>
            <w:noWrap w:val="false"/>
          </w:tcPr>
          <w:p>
            <w:pPr>
              <w:numPr>
                <w:ilvl w:val="0"/>
                <w:numId w:val="19"/>
              </w:numPr>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重点行业包括：有色金属冶炼、化工、焦化、电镀、铅蓄电池、农药、钢铁、制革、危险废弃物处置、医药、危险化学品等行业。 </w:t>
            </w:r>
            <w:r/>
          </w:p>
          <w:p>
            <w:pPr>
              <w:numPr>
                <w:ilvl w:val="0"/>
                <w:numId w:val="19"/>
              </w:numPr>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服务内容包括：资料收集、现场踏勘、样品采集、样品实验室分析、报告编制、专家评审、项目备案。</w:t>
            </w:r>
            <w:r/>
          </w:p>
          <w:p>
            <w:pPr>
              <w:ind w:left="0" w:right="0" w:firstLine="0"/>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报价为综合报价，包括吴中太湖新城土壤污染状况调查（包括但不限于：地块第一阶段调查，地块第二阶段调查，风险评估，采样与分析，出具地块土壤污染状况调查报告，报告的完善修改,通过专家评审论证等）所需要的货物、机械设备、人工费、运输费、管理费、利润、税金、询价费、代理服务费及政策性文件规定和合同包含的所有风险、责任等各项应有费用。除甲乙双方另有约定外，甲方不再向乙方支付其他任何费用。</w:t>
            </w:r>
            <w:r/>
          </w:p>
        </w:tc>
      </w:tr>
    </w:tbl>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1、本合同总金额：贰佰伍拾万元整（¥2500000.00）。</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2、乙方以固定单价方式承包本项目；数量按实结算；遵照采购相关规定执行。</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3、支付方式和时间：</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根据地块现场实际条件逐块安排乙方进行土壤污染状况调查和风险评估，乙方完成该地块的土壤调查和风险评估，并通过专家论证后将土壤污染状况调查报告和风险评估报告递交甲方，每完成一块后按实结算。</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3、付款时，乙方须提供等值发票。</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4、根据现行税法对甲方征收的与本合同有关的一切税费均由甲方承担；根据现行税法对乙方征收的与本合同有关的一切税费均由乙方承担。</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5、支付方式：银行汇票或转账支票。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三、履行合同的期限、地点和方式：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1.合同生效后，乙方需在30个工作日内完成土壤污染状况初步调查报告的编制，需在40个工作日内完成土壤污染状况详细调查报告的编制，专家评审工作在管理部门规定的时间内完成。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2.乙方应向甲方提交纸质版报告各2份，电子版报告各1份。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四、服务标准：</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详见中标单位的招标文件及本技术服务文件及招标过程中的相关承诺、澄清等有关内容。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五、验收标准：</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1.项目质量按国家相关法律法规及招标文件及合同要求进行验收，并提供给甲方纸质版报告各2份，电子版报告各1份。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2.乙方应确保出具的报告满足技术规范的相关要求，并可通过专家审查，未满足不主张报酬。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六、合同双方的权利和义务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1、为乙方提供所需相关设备的技术资料及材料，并指定专人作为甲方联系人予以协调工作。加强与乙方勾通，交流情况，互通信息。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2、甲方应教育所属人员尊重乙方工作人员的劳动成果，积极配合乙方工作人员履行好合同所规定的职责和义务。对甲方人员因使用设备、器材、器械不当而造成的损失与乙方无关。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1、乙方在从事管理工作中应当做到文明工作、安全生产，采取必要的安全防范措施，合同期内若发生安全事故由乙方承担，与甲方无关。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2、乙方应及时调整不适应工作需求的管理人员及其员工。如甲方认为该员工不能胜任本职工作的，必须调整。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①在合同生效后，甲方要求解除合同的，应向乙方偿付3000元的违约金，违约金不足以补偿损失的，乙方有权要求甲方补足。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②如因甲方原因，造成乙方未完成规定管理目标或直接造成乙方经济损失的，甲方应给予乙方相应补偿；乙方有权要求甲方限期整改，并有权终止协议。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①乙方不能履行合同从而影响甲方按期实施的，甲方有权解除合同，乙方向甲方偿付3000元的违约金，违约金不足以补偿损失的甲方有权要求乙方补足。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②乙方应制定相关的应急与安全保障措施，在服务过程中如发生安全等相关事件，责任由乙方承担。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③因乙方编制的调查报告存在问题造成未通过专家评审或政府主管部门不认可的，甲方有权要求乙方限期整改，整改后仍通过专家评审或政府主管部门不认可的，甲方有权终止合同。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2、合同的部分和全部都不得转让。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①中标通知书； ②乙方中标的投标文件；③招标文件。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签订后双方即直接产生权利与义务的关系，合同执行过程中出现的问题应按照《中华人民共和国民法典》的规定处理，在合同履行过程中，双方如有争议，首先应进行友好协商，协商不成，任何一方均可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3、合同在执行过程中出现的未尽事宜，双方在不违背本合同和招标文件的原则下协商解决，协商结果以书面形式盖章记录在案，作为本合同的附件，与本合同具有同等效力。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4、乙方除应做好服务人员的安全教育外，还应为服务人员提供必要的劳动保护条件，为服务人员办理作业时的人身安全保险和意外伤害险，一切安全责任事故均由乙方负责（保险种类由乙方自行选择）。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1、合同份数：本合同一式八份，甲方四份、乙方两份、招标代理机构一份、政府采购管理部门一份。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2、合同的生效：本合同在双方签字盖章后生效，合同须经网上公示。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3、未尽事宜：本合同未尽事宜应按《中华人民共和国民法典》、《中华人民共和国政府采购法》以及其同相关法律、法规之规定解释。</w:t>
      </w:r>
      <w:r/>
    </w:p>
    <w:p>
      <w:pPr>
        <w:ind w:left="0" w:right="0" w:firstLine="3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法定（授权）代表人（签章）：法定（授权）代表人（签章）：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w:t>
        <w:tab/>
        <w:tab/>
        <w:tab/>
        <w:tab/>
        <w:tab/>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合同签订地：苏州太湖新城吴中管理委员会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子合同：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登记编号：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同 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778" w:right="0" w:hanging="177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太湖新城土壤污染状况调查        </w:t>
      </w:r>
      <w:r/>
    </w:p>
    <w:p>
      <w:pPr>
        <w:ind w:left="1778" w:right="0" w:hanging="17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委托方（甲方）：</w:t>
      </w:r>
      <w:r>
        <w:rPr>
          <w:rFonts w:ascii="SimSun" w:hAnsi="SimSun" w:eastAsia="SimSun" w:cs="SimSun"/>
          <w:color w:val="000000"/>
          <w:sz w:val="24"/>
          <w:u w:val="single"/>
        </w:rPr>
        <w:t xml:space="preserve">    苏州太湖新城吴中管理委员会          </w:t>
      </w:r>
      <w:r/>
    </w:p>
    <w:p>
      <w:pPr>
        <w:ind w:left="1778" w:right="0" w:hanging="17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受托方（乙方）：</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二〇二五年  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根据苏州太湖新城吴中管理委员会采购的《太湖新城土壤污染初步调查》（项目编号：JSZC-320506-DLHX-G2025-0009）（以下简称中标合同），兹委托</w:t>
      </w:r>
      <w:r>
        <w:rPr>
          <w:rFonts w:ascii="SimSun" w:hAnsi="SimSun" w:eastAsia="SimSun" w:cs="SimSun"/>
          <w:b/>
          <w:color w:val="000000"/>
          <w:sz w:val="24"/>
          <w:u w:val="single"/>
        </w:rPr>
        <w:t xml:space="preserve">            </w:t>
      </w:r>
      <w:r>
        <w:rPr>
          <w:rFonts w:ascii="SimSun" w:hAnsi="SimSun" w:eastAsia="SimSun" w:cs="SimSun"/>
          <w:b/>
          <w:color w:val="000000"/>
          <w:sz w:val="24"/>
        </w:rPr>
        <w:t xml:space="preserve">对我区域内</w:t>
      </w:r>
      <w:r>
        <w:rPr>
          <w:rFonts w:ascii="SimSun" w:hAnsi="SimSun" w:eastAsia="SimSun" w:cs="SimSun"/>
          <w:b/>
          <w:color w:val="000000"/>
          <w:sz w:val="24"/>
          <w:u w:val="single"/>
        </w:rPr>
        <w:t xml:space="preserve">                    </w:t>
      </w:r>
      <w:r>
        <w:rPr>
          <w:rFonts w:ascii="SimSun" w:hAnsi="SimSun" w:eastAsia="SimSun" w:cs="SimSun"/>
          <w:b/>
          <w:color w:val="000000"/>
          <w:sz w:val="24"/>
        </w:rPr>
        <w:t xml:space="preserve">开展土壤污染调查。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一、地块位置</w:t>
      </w:r>
      <w:r/>
    </w:p>
    <w:p>
      <w:pPr>
        <w:ind w:left="4" w:right="0" w:hanging="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甲方委托乙方对</w:t>
      </w:r>
      <w:r>
        <w:rPr>
          <w:rFonts w:ascii="SimSun" w:hAnsi="SimSun" w:eastAsia="SimSun" w:cs="SimSun"/>
          <w:color w:val="000000"/>
          <w:sz w:val="24"/>
          <w:u w:val="single"/>
        </w:rPr>
        <w:t xml:space="preserve">                   </w:t>
      </w:r>
      <w:r>
        <w:rPr>
          <w:rFonts w:ascii="SimSun" w:hAnsi="SimSun" w:eastAsia="SimSun" w:cs="SimSun"/>
          <w:color w:val="000000"/>
          <w:sz w:val="24"/>
        </w:rPr>
        <w:t xml:space="preserve">，面积</w:t>
      </w:r>
      <w:r>
        <w:rPr>
          <w:rFonts w:ascii="SimSun" w:hAnsi="SimSun" w:eastAsia="SimSun" w:cs="SimSun"/>
          <w:color w:val="000000"/>
          <w:sz w:val="24"/>
          <w:u w:val="single"/>
        </w:rPr>
        <w:t xml:space="preserve">             </w:t>
      </w:r>
      <w:r>
        <w:rPr>
          <w:rFonts w:ascii="SimSun" w:hAnsi="SimSun" w:eastAsia="SimSun" w:cs="SimSun"/>
          <w:color w:val="000000"/>
          <w:sz w:val="24"/>
        </w:rPr>
        <w:t xml:space="preserve">，规划用途：</w:t>
      </w:r>
      <w:r>
        <w:rPr>
          <w:rFonts w:ascii="SimSun" w:hAnsi="SimSun" w:eastAsia="SimSun" w:cs="SimSun"/>
          <w:color w:val="000000"/>
          <w:sz w:val="24"/>
          <w:u w:val="single"/>
        </w:rPr>
        <w:t xml:space="preserve">         。</w:t>
      </w:r>
      <w:r>
        <w:rPr>
          <w:rFonts w:ascii="SimSun" w:hAnsi="SimSun" w:eastAsia="SimSun" w:cs="SimSun"/>
          <w:color w:val="000000"/>
          <w:sz w:val="24"/>
        </w:rPr>
        <w:t xml:space="preserve">位置：</w:t>
      </w:r>
      <w:r>
        <w:rPr>
          <w:rFonts w:ascii="SimSun" w:hAnsi="SimSun" w:eastAsia="SimSun" w:cs="SimSun"/>
          <w:color w:val="000000"/>
          <w:sz w:val="24"/>
          <w:u w:val="single"/>
        </w:rPr>
        <w:t xml:space="preserve">             </w:t>
      </w:r>
      <w:r>
        <w:rPr>
          <w:rFonts w:ascii="SimSun" w:hAnsi="SimSun" w:eastAsia="SimSun" w:cs="SimSun"/>
          <w:color w:val="000000"/>
          <w:sz w:val="24"/>
        </w:rPr>
        <w:t xml:space="preserve">壤污染状况开展调查, 并编制</w:t>
      </w:r>
      <w:r>
        <w:rPr>
          <w:rFonts w:ascii="SimSun" w:hAnsi="SimSun" w:eastAsia="SimSun" w:cs="SimSun"/>
          <w:color w:val="000000"/>
          <w:sz w:val="24"/>
          <w:u w:val="single"/>
        </w:rPr>
        <w:t xml:space="preserve">《     地块土壤污染状况调查报告》</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1、在合同签定后三天内，乙方安排工程师到该场地现场进行踏勘。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2、乙方应根据项目的具体内容，组建专业技术团队，并根据国家相关法律、法规及技术导则要求完成场地环境质量初步调查方案的编写，经专家评审后，进行土壤、地下水的钻井采样工作。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3、乙方将采集的样品委托有资质的检测机构进行分析检测，并取得检测机构出具的检测报告。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4、乙方应按合同约定的工作进度完成调查报告的编制工作，并应确保内容的真实性、准确性，调查报告中应有明确的结论；乙方在调查报告编写完成后，根据规范组织专家评审。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5、乙方根据专家评审意见修改完善调查报告后，提交给甲方完整的场地污染状况调查报告文本一式二份。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6、乙方在从事管理工作中应当做到文明工作、安全生产，采取必要的安全防范措施，合同期内若发生安全事故由乙方承担，与甲方无关。甲方或第三方因此遭受任何损失的，乙方应承担一切赔偿责任。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7、乙方应及时调整不适应工作需求的管理人员及其员工。如甲方认为该员工不能胜任本职工作的，必须调整。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8、乙方应经常对员工进行岗位职责和安全教育，加强岗位责任考核。因管理不当、违规操作发生设备损坏、被盗等安全事故对甲方或第三方造成一定损失的，乙方需承担相应的赔偿责任。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1、在合同签定后，甲方应及时提供现场采集样品所必需的该场地相关的资料和数据；现场采集样品时，甲方应即时协调解决可能影响采集样品工作的相关事宜。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2、甲方应按合同约定的费用及支付方式支付咨询费用。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四、工作进度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1、合同生效后，乙方需在</w:t>
      </w:r>
      <w:r>
        <w:rPr>
          <w:rFonts w:ascii="SimSun" w:hAnsi="SimSun" w:eastAsia="SimSun" w:cs="SimSun"/>
          <w:color w:val="000000"/>
          <w:sz w:val="24"/>
          <w:u w:val="single"/>
        </w:rPr>
        <w:t xml:space="preserve">30个工作日内</w:t>
      </w:r>
      <w:r>
        <w:rPr>
          <w:rFonts w:ascii="SimSun" w:hAnsi="SimSun" w:eastAsia="SimSun" w:cs="SimSun"/>
          <w:color w:val="000000"/>
          <w:sz w:val="24"/>
        </w:rPr>
        <w:t xml:space="preserve">完成土壤污染状况初步调查报告编制，后续专家评审工作在管理部门规定的时间内完成。项目质量按国家相关法律法规及招标文件及合同要求进行验收，并提供给甲方纸质版报告各2份，电子版报告各1份。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2、若遇恶劣天气等不可抗拒因素影响现场采集样品工作进度或甲方原因造成工作时间延迟的，则合同约定的时间进度顺延。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五、费用及支付方式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1、费用金额: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本项目金额根据“中标合同”价格收费标准计算得出，甲方应向乙方支付咨询费用人民币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元</w:t>
      </w:r>
      <w:r>
        <w:rPr>
          <w:rFonts w:ascii="SimSun" w:hAnsi="SimSun" w:eastAsia="SimSun" w:cs="SimSun"/>
          <w:color w:val="000000"/>
          <w:sz w:val="24"/>
        </w:rPr>
        <w:t xml:space="preserve">），（含该项目所有的专家评审费及会务费、调查所需要的货物、机械设备、人工费、运输费、管理费、利润、税金、询价费、代理服务费及政策性文件规定和合同包含的所有风险、责任等各项应有费用。）甲方不再支付其他任何费用。</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5"/>
        <w:gridCol w:w="1309"/>
        <w:gridCol w:w="1244"/>
        <w:gridCol w:w="3568"/>
        <w:gridCol w:w="1688"/>
      </w:tblGrid>
      <w:tr>
        <w:trPr>
          <w:trHeight w:val="47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结算价</w:t>
            </w:r>
            <w:r/>
          </w:p>
        </w:tc>
      </w:tr>
      <w:tr>
        <w:trPr>
          <w:trHeight w:val="476"/>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（下浮率）%</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12万元+（实际面积-1ha）*3.5万元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vMerge w:val="restart"/>
            <w:textDirection w:val="lrTb"/>
            <w:noWrap/>
          </w:tcPr>
          <w:p>
            <w:pPr>
              <w:spacing w:before="0" w:after="0" w:line="57" w:lineRule="atLeast"/>
            </w:pPr>
            <w:r/>
          </w:p>
        </w:tc>
      </w:tr>
      <w:tr>
        <w:trPr>
          <w:trHeight w:val="4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28万元+（实际面积-1ha）*12.0万元</w:t>
            </w:r>
            <w:r/>
          </w:p>
        </w:tc>
        <w:tc>
          <w:tcPr>
            <w:vMerge w:val="continue"/>
            <w:textDirection w:val="lrTb"/>
            <w:noWrap w:val="false"/>
          </w:tcPr>
          <w:p>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8万元+（实际面积-1ha）*3.0万元</w:t>
            </w:r>
            <w:r/>
          </w:p>
        </w:tc>
        <w:tc>
          <w:tcPr>
            <w:vMerge w:val="continue"/>
            <w:textDirection w:val="lrTb"/>
            <w:noWrap w:val="false"/>
          </w:tcPr>
          <w:p>
            <w:r/>
            <w:r/>
          </w:p>
        </w:tc>
      </w:tr>
      <w:tr>
        <w:trPr>
          <w:trHeight w:val="4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24万元+（实际面积-1ha）*10.0万元</w:t>
            </w:r>
            <w:r/>
          </w:p>
        </w:tc>
        <w:tc>
          <w:tcPr>
            <w:vMerge w:val="continue"/>
            <w:textDirection w:val="lrTb"/>
            <w:noWrap w:val="false"/>
          </w:tcPr>
          <w:p>
            <w:r/>
            <w:r/>
          </w:p>
        </w:tc>
      </w:tr>
      <w:tr>
        <w:trPr>
          <w:trHeight w:val="32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4" w:type="dxa"/>
            <w:vAlign w:val="center"/>
            <w:textDirection w:val="lrTb"/>
            <w:noWrap w:val="false"/>
          </w:tcPr>
          <w:p>
            <w:pPr>
              <w:numPr>
                <w:ilvl w:val="0"/>
                <w:numId w:val="20"/>
              </w:numPr>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重点行业包括：有色金属冶炼、化工、焦化、电镀、铅蓄电池、农药、钢铁、制革、危险废弃物处置、医药、危险化学品等行业。 </w:t>
            </w:r>
            <w:r/>
          </w:p>
          <w:p>
            <w:pPr>
              <w:numPr>
                <w:ilvl w:val="0"/>
                <w:numId w:val="20"/>
              </w:numPr>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服务内容包括：资料收集、现场踏勘、样品采集、样品实验室分析、报告编制、专家评审、项目备案。</w:t>
            </w:r>
            <w:r/>
          </w:p>
          <w:p>
            <w:pPr>
              <w:ind w:left="0" w:right="0" w:firstLine="0"/>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报价为综合报价，包括吴中太湖新城土壤污染状况调查（包括但不限于：地块第一阶段调查，地块第二阶段调查，风险评估，采样与分析，出具地块土壤污染状况调查报告，报告的完善修改,通过专家评审论证等）所需要的货物、机械设备、人工费、运输费、管理费、利润、税金、询价费、代理服务费及政策性文件规定和合同包含的所有风险、责任等各项应有费用。除甲乙双方另有约定外，甲方不再向乙方支付其他任何费用。</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乙方根据专家评审意见修改完善调查报告后，向甲方提供完整的场地污染状况调查报告文本后付清合同金额，即人民币</w:t>
      </w:r>
      <w:r>
        <w:rPr>
          <w:rFonts w:ascii="SimSun" w:hAnsi="SimSun" w:eastAsia="SimSun" w:cs="SimSun"/>
          <w:color w:val="000000"/>
          <w:sz w:val="24"/>
          <w:u w:val="single"/>
        </w:rPr>
        <w:t xml:space="preserve">        元整</w:t>
      </w:r>
      <w:r>
        <w:rPr>
          <w:rFonts w:ascii="SimSun" w:hAnsi="SimSun" w:eastAsia="SimSun" w:cs="SimSun"/>
          <w:color w:val="000000"/>
          <w:sz w:val="24"/>
        </w:rPr>
        <w:t xml:space="preserve">（¥</w:t>
      </w:r>
      <w:r>
        <w:rPr>
          <w:rFonts w:ascii="SimSun" w:hAnsi="SimSun" w:eastAsia="SimSun" w:cs="SimSun"/>
          <w:color w:val="000000"/>
          <w:sz w:val="24"/>
          <w:u w:val="single"/>
        </w:rPr>
        <w:t xml:space="preserve">       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乙方应确保出具的报告满足技术规范的相关要求，并可通过专家审查，未满足无权向甲方主张报酬。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3、乙方应于甲方付款前向甲方开具咨询费用等额的发票（6%）。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六、其它有关约定事项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1、本合同自双方签字盖章之日起生效，有效期至乙方报告编制完成并交付甲方，甲方向乙方支付全部费用后终止。</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2、合同履行过程中，如项目工程发生变更或撤销时，甲方应及时通知乙方，双方根据工程的变化情况及时协商修改或停止工作事宜，甲方应支付乙方已完成工作的所有费用。</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3、甲方委托乙方编制的报告文本所有权归甲方所有，乙方有署名权，乙方对报告和甲方提供的其他资料、信息等予以保密，未经甲方书面同意，不得向其他任何第三人提供，否则乙方承担违约责任。</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4、受托方无转委托权。</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5、合同一方不履行合同义务或者履行合同义务不符合约定的，应当承担继续履行、采取补救措施或者赔偿损失等违约责任。</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6、乙方违约责任</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（1）不能履行合同从而影响甲方按期实施的，甲方有权解除合同，乙方向甲方偿付3000元的违约金，违约金不足以补偿损失的甲方有权要求乙方补足。</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（2）乙方应制定相关的应急与安全保障措施，在服务过程中如发生安全等相关事件，责任由乙方承担。甲方或第三方因此遭受任何损失的，乙方应承担一切赔偿责任。</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乙方编制的调查报告存在问题造成未通过专家评审或政府主管部门不认可的，甲方有权要求乙方限期整改，整改后仍通过专家评审或政府主管部门不认可的，甲方有权终止合同并要求乙方赔偿甲方遭受的一切损失，包括直接损失和间接损失。</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除应做好服务人员的安全教育外，还应为服务人员提供必要的劳动保护条件，为服务人员办理作业时的人身安全保险和意外伤害险，一切安全责任事故均由乙方负责（保险种类由乙方自行选择）。甲方或第三方因此遭受任何损失的，乙方应承担一切赔偿责任。</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8、不可抗力</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（2）合同一方因不可抗力不能履行合同的，应当及时通知对方，以減轻可能给对方造成的损失，并应当在合理期限内提供证明。</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9、合同的解除和转让</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a.因不可抗力致使不能实现合同目的，未受不可抗力影响的一方有权 解除合同；</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b.因合同一方违约导致合同不能履行，另一方有权解除合同；</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c.有权解除合同的一方，应当在违约事实或不可抗力发生之后三十天内书面通知对方以主张解除合同，合同在书面通知到达对方时解除。</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（3）合同的部分和全部都不得转让。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七、争议的解决办法</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合同履行过程中，如发生异议由双方友好协商解决；协商不成，可向甲方所在地人民法院提起诉讼。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在执行过程中出现的未尽事宜，双方在不违背本合同和采购合同及招标文件的原则下协商解决，协商结果以书面形式盖章记录在案，作为本合同的附件，与本合同具有同等效力。本合同正本一式六份，甲方四份，乙方二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 签字盖章页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4"/>
        <w:gridCol w:w="1644"/>
        <w:gridCol w:w="3213"/>
        <w:gridCol w:w="1774"/>
        <w:gridCol w:w="1111"/>
      </w:tblGrid>
      <w:tr>
        <w:trPr>
          <w:trHeight w:val="8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苏州太湖新城吴中管理委员会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84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82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vMerge w:val="continue"/>
            <w:textDirection w:val="lrTb"/>
            <w:noWrap w:val="false"/>
          </w:tcPr>
          <w:p>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85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r>
        <w:trPr>
          <w:trHeight w:val="7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vMerge w:val="continue"/>
            <w:textDirection w:val="lrTb"/>
            <w:noWrap w:val="false"/>
          </w:tcPr>
          <w:p>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地块土壤污染状况初步调查合同金额计算公式如下：</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5"/>
        <w:gridCol w:w="1309"/>
        <w:gridCol w:w="1244"/>
        <w:gridCol w:w="3568"/>
        <w:gridCol w:w="1688"/>
      </w:tblGrid>
      <w:tr>
        <w:trPr>
          <w:trHeight w:val="47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结算价</w:t>
            </w:r>
            <w:r/>
          </w:p>
        </w:tc>
      </w:tr>
      <w:tr>
        <w:trPr>
          <w:trHeight w:val="476"/>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面积＞1ha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（下浮率）%</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12万元+（实际面积-1ha）*3.5万元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vMerge w:val="restart"/>
            <w:textDirection w:val="lrTb"/>
            <w:noWrap/>
          </w:tcPr>
          <w:p>
            <w:pPr>
              <w:spacing w:before="0" w:after="0" w:line="57" w:lineRule="atLeast"/>
            </w:pPr>
            <w:r/>
          </w:p>
        </w:tc>
      </w:tr>
      <w:tr>
        <w:trPr>
          <w:trHeight w:val="4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28万元+（实际面积-1ha）*12.0万元</w:t>
            </w:r>
            <w:r/>
          </w:p>
        </w:tc>
        <w:tc>
          <w:tcPr>
            <w:vMerge w:val="continue"/>
            <w:textDirection w:val="lrTb"/>
            <w:noWrap w:val="false"/>
          </w:tcPr>
          <w:p>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非重点行业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初步调查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8万元+（实际面积-1ha）*3.0万元</w:t>
            </w:r>
            <w:r/>
          </w:p>
        </w:tc>
        <w:tc>
          <w:tcPr>
            <w:vMerge w:val="continue"/>
            <w:textDirection w:val="lrTb"/>
            <w:noWrap w:val="false"/>
          </w:tcPr>
          <w:p>
            <w:r/>
            <w:r/>
          </w:p>
        </w:tc>
      </w:tr>
      <w:tr>
        <w:trPr>
          <w:trHeight w:val="4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24万元+（实际面积-1ha）*10.0万元</w:t>
            </w:r>
            <w:r/>
          </w:p>
        </w:tc>
        <w:tc>
          <w:tcPr>
            <w:vMerge w:val="continue"/>
            <w:textDirection w:val="lrTb"/>
            <w:noWrap w:val="false"/>
          </w:tcPr>
          <w:p>
            <w:r/>
            <w:r/>
          </w:p>
        </w:tc>
      </w:tr>
      <w:tr>
        <w:trPr>
          <w:trHeight w:val="32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4" w:type="dxa"/>
            <w:vAlign w:val="center"/>
            <w:textDirection w:val="lrTb"/>
            <w:noWrap w:val="false"/>
          </w:tcPr>
          <w:p>
            <w:pPr>
              <w:numPr>
                <w:ilvl w:val="0"/>
                <w:numId w:val="21"/>
              </w:numPr>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重点行业包括：有色金属冶炼、化工、焦化、电镀、铅蓄电池、农药、钢铁、制革、危险废弃物处置、医药、危险化学品等行业。 </w:t>
            </w:r>
            <w:r/>
          </w:p>
          <w:p>
            <w:pPr>
              <w:numPr>
                <w:ilvl w:val="0"/>
                <w:numId w:val="21"/>
              </w:numPr>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服务内容包括：资料收集、现场踏勘、样品采集、样品实验室分析、报告编制、专家评审、项目备案。</w:t>
            </w:r>
            <w:r/>
          </w:p>
          <w:p>
            <w:pPr>
              <w:ind w:left="0" w:right="0" w:firstLine="0"/>
              <w:spacing w:before="0" w:after="0"/>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报价为综合报价，包括吴中太湖新城土壤污染状况调查（包括但不限于：地块第一阶段调查，地块第二阶段调查，风险评估，采样与分析，出具地块土壤污染状况调查报告，报告的完善修改,通过专家评审论证等）所需要的货物、机械设备、人工费、运输费、管理费、利润、税金、询价费、代理服务费及政策性文件规定和合同包含的所有风险、责任等各项应有费用。除甲乙双方另有约定外，甲方不再向乙方支付其他任何费用。</w:t>
            </w:r>
            <w:r/>
          </w:p>
        </w:tc>
      </w:tr>
    </w:tbl>
    <w:p>
      <w:pPr>
        <w:pStyle w:val="714"/>
        <w:ind w:left="0" w:right="0" w:firstLine="422"/>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pStyle w:val="714"/>
        <w:ind w:left="0" w:right="0" w:firstLine="422"/>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评标方法、评分标准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1.本次招标评标采用为综合评分法，即在满足招标文件实质性要求前提下，按照招标文件中规定的评分标准和各项因素进行综合评审后，以评标总得分最高的投标单位作为中标候选人。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2.评标委员会各成员独立对每个进入打分程序的有效投标单位的标书技术和资质部分以打分的形式进行评审和评价。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3.对评委的评分(除价格分外)进行统计汇总，直接算术平均计算得分；计算出每个投标单位的得分，加上价格得分即为每个投标单位的综合得分。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4.如出现评标总得分最高的投标单位有两个或两个以上的，以投标报价较低者优先作为中标候选人，如果投标报价也相同的，则以由采购人以抽签方式确定中标候选人。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5.针对中小型企业的评审加分：</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根据财政部、工业和信息化部关于印发《政府采购促进中小企业发展管理办法》的相关通知规定：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（1）本项目专门面向中小企业，不再执行价格评审优惠的扶持政策。</w:t>
      </w:r>
      <w:r/>
    </w:p>
    <w:p>
      <w:pPr>
        <w:ind w:left="0" w:right="0" w:firstLine="422"/>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（2）本项目采购标的对应的中小企业划分标准所属行业为：其他未列明行业。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（3）依据《政府采购促进中小企业发展管理办法》规定享受扶持政策获得政府采购合同的，小微企业不得将合同分包给大中型企业，中型企业不得将合同分包给大型企业。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（4）中小企业参加政府采购活动，应当出具《政府采购促进中小企业发展管理办法》附件规定《中小企业声明函》，否则不得享受相关中小企业扶持政策。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（5）本项目中，供应商提供的服务由中小企业承接，即提供服务的人员为中小企业依照《中华人民共和国劳动合同法》订立劳动合同的从业人员，才可享受规定的中小企业扶持政策。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（6）若供应商提供的《中小企业声明函》为虚假声明则视同提供虚假材料，按政府采购相关规定处理并报请政府监管部门给予行政处罚。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6.残疾人福利性单位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根据《关于贯彻执行绿色采购、促进残疾人就业和支持监狱企业发展有关政策的通知（苏财购〔2020〕10 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7.监狱企业 </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根据苏财购〔2019〕10 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第一步：投标报价在等于或者低于采购预算价格的，为有效投标报价。超出此范围的投标报价为无效投标报价。无效投标报价的投标文件不进行评审，也不得标。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第二步：以满足招标文件实质性要求且投标价格最低的投标有效报价为评标基准价，其价格分为满分，即10分。其他有效投标报价分统一按照下列公式计算：</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投标报价得分＝（基准报价/投标报价）×10％×100（保留到小数点后二位）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（二）技术部分：（47分）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1.技术方案：（7分）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须依据国家现行《建设用地土壤环境调查评估技术指南》、《场地环境调查技术导则》、《场地环境监测技术导则》、《工业企业场地环境调查评估与修复工作指南（试行）》等导则标准的要求，设计调查技术方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技术方案全面、阐述详尽，表达精准的得7分；分析合理，表达准确，略有缺失的得5分；分析涉及少的得3分；不提供不得分。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2.服务质量保障方案：（7分）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服务质量保障方案，内容应包括：组织措施、工作任务分解、质量控制措施等。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方案全面、阐述详尽，表达精准的得7分；方案分析合理，表达准确，略有缺失的得5分；方案分析涉及少的得3分；不提供不得分。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3.项目实施进度计划安排：（7分）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拟投入本项目实施进度计划安排科学、合理、时间进度保障措施完善，附有详细及规范的计划进度图表的得7分；项目实施进度计划安排合理、时间进度保障措施不完善，附有粗略的计划进度图表的得5分；项目实施进度计划安排合理、时间进度保障措施不完善，未附有计划进度图表的得3分；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4.本项目调查过程的重点、难点分析：（7分）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根据投标人提供的本项目编制的调查服务实施方案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方案全面、阐述详尽，表达精准的得7分；方案分析合理，表达准确，略有缺失的得5分；方案分析涉及少的得3分。不提供不得分。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5.土壤及地下水采样组织实施方案：（7分）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方案详细、全面、合理、可行性强的得7分；方案简略、全面、合理、基本可行的得5分；方案粗略、不全面、合理性差、可行性差的得3分；不提供不得分。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6.土壤及地下水样品实验室分析检测组织实施方案：（7分）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方案详细、全面、合理、可行性强的得7分；方案简略、全面、合理、基本可行的得5分；方案粗略、不全面、合理性差、可行性差的得3分；不提供不得分。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7.调查安全保证措施：（5分）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措施合理可行得5分；措施较合理可行的得3分；措施基本可行得1分；未提供不得分。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（三）人员配备：（18分）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1.项目负责人具有土壤类、环保类、化工类、环境类博士学位的得3分，硕士及以下学位的得1分，最高3分；具有环保类专业正高级职称的得3分，高级及以下职称的得1分，最高3分；本项最高6分。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2.项目负责人获得过环保类国家级科学技术奖的得3分，获得过环保类省级科学技术奖的得1分；最高3分。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3.技术负责人具有环保类高级工程师及以上职称的得2分，中级及以下的得1分。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4.项目安全负责人环保类高级工程师及以上职称的得2分，中级及以下的得1分。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5.项目组人员（不含项目负责人、技术负责人、项目安全负责人）中有土壤类、环保类、化工类专业高级工程师及以上职称且具有环境影响评价工程师资格证书的，有1人得1分，本项最高5分。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1～5项人员不得重复得分。并提供有效期内的职称证书、学历证明、资格证书（证书原件扫描件上传至电子投标文件中，不提供不得分）及投标单位为其缴纳的最近一期的社保证明复印件，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（四）综合实力：（25分）</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1.投标单位具有有效的</w:t>
      </w:r>
      <w:r>
        <w:rPr>
          <w:rFonts w:ascii="SimSun" w:hAnsi="SimSun" w:eastAsia="SimSun" w:cs="SimSun"/>
          <w:color w:val="000000"/>
          <w:sz w:val="24"/>
        </w:rPr>
        <w:t xml:space="preserve">污染修复工程资质得</w:t>
      </w:r>
      <w:r>
        <w:rPr>
          <w:rFonts w:ascii="SimSun" w:hAnsi="SimSun" w:eastAsia="SimSun" w:cs="SimSun"/>
          <w:color w:val="000000"/>
          <w:spacing w:val="4"/>
          <w:sz w:val="24"/>
        </w:rPr>
        <w:t xml:space="preserve">，得4分，需提供资质证书复印件，否则不得分。</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pacing w:val="4"/>
          <w:sz w:val="24"/>
        </w:rPr>
        <w:t xml:space="preserve">投标单位</w:t>
      </w:r>
      <w:r>
        <w:rPr>
          <w:rFonts w:ascii="SimSun" w:hAnsi="SimSun" w:eastAsia="SimSun" w:cs="SimSun"/>
          <w:color w:val="000000"/>
          <w:sz w:val="24"/>
        </w:rPr>
        <w:t xml:space="preserve">具有有效的水文水资源调查评价及水资源论证资质的</w:t>
      </w:r>
      <w:r>
        <w:rPr>
          <w:rFonts w:ascii="SimSun" w:hAnsi="SimSun" w:eastAsia="SimSun" w:cs="SimSun"/>
          <w:color w:val="000000"/>
          <w:spacing w:val="4"/>
          <w:sz w:val="24"/>
        </w:rPr>
        <w:t xml:space="preserve">得5分。需提供资质证书复印件，否则不得分。</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3.投标单位具有CMA资质证书，且检测范围包含土壤、水、固废的得3分，需提供资质证书复印件，否则不得分。</w:t>
      </w:r>
      <w:r/>
    </w:p>
    <w:p>
      <w:pPr>
        <w:ind w:left="0" w:right="0" w:firstLine="4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4.投标单位具备有效期内的质量管理体系认证、环境管理体系认证、职业健康安全管理体系认证的，有1项得1分，最高3分，</w:t>
      </w:r>
      <w:r>
        <w:rPr>
          <w:rFonts w:ascii="SimSun" w:hAnsi="SimSun" w:eastAsia="SimSun" w:cs="SimSun"/>
          <w:color w:val="000000"/>
          <w:sz w:val="24"/>
        </w:rPr>
        <w:t xml:space="preserve">需提供有效期内的加盖投标单位公章的证书复印件，否则不得分。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5.投标单位自2022年1月1日以来（以合同签订日期为准）承担过类似土壤调查业绩，每个业绩得2分，最高10分，需提供业绩合同复印件，否则不得分。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5" w:right="0" w:hanging="424"/>
        <w:spacing w:before="240" w:after="24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5" w:right="0" w:hanging="424"/>
        <w:spacing w:before="240" w:after="24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4" w:right="0" w:hanging="4"/>
        <w:spacing w:before="240" w:after="240" w:line="85"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1.评标时，未能按以上要求提供相应证明的，不作为评标依据，仅以按上述要求实际提供相关证明的数量作为评标依据。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2.采购单位有权对投标单位提供的全部投标资料进行核查，投标单位所提供资料如有虚假，则取消其中标资格并承担相应责任及处罚。</w:t>
      </w:r>
      <w:r/>
    </w:p>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pStyle w:val="92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sectPr>
      <w:footerReference w:type="default" r:id="rId9"/>
      <w:footnotePr/>
      <w:endnotePr/>
      <w:type w:val="nextPage"/>
      <w:pgSz w:w="11906" w:h="16838" w:orient="portrait"/>
      <w:pgMar w:top="1065" w:right="986" w:bottom="1293" w:left="10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Helvetica-Light">
    <w:panose1 w:val="020B0503020202020204"/>
  </w:font>
  <w:font w:name="Garamond MT">
    <w:panose1 w:val="02020404030301010803"/>
  </w:font>
  <w:font w:name="PMingLiU">
    <w:panose1 w:val="02020500000000000000"/>
  </w:font>
  <w:font w:name="Palatino Linotype">
    <w:panose1 w:val="02040502050505030304"/>
  </w:font>
  <w:font w:name="楷体">
    <w:panose1 w:val="02010609060101010101"/>
  </w:font>
  <w:font w:name="Cambria">
    <w:panose1 w:val="02040503050406030204"/>
  </w:font>
  <w:font w:name="_x000B__x000C_">
    <w:panose1 w:val="020B0503020202020204"/>
  </w:font>
  <w:font w:name="楷体_GB2312">
    <w:panose1 w:val="02010609060101010101"/>
  </w:font>
  <w:font w:name="ˎ̥">
    <w:panose1 w:val="020B0503020202020204"/>
  </w:font>
  <w:font w:name="Courier New">
    <w:panose1 w:val="02070309020205020404"/>
  </w:font>
  <w:font w:name="Calibri">
    <w:panose1 w:val="020F0502020204030204"/>
  </w:font>
  <w:font w:name="Book Antiqua">
    <w:panose1 w:val="02040602050305030304"/>
  </w:font>
  <w:font w:name="方正仿宋简体">
    <w:panose1 w:val="020B0503020202020204"/>
  </w:font>
  <w:font w:name="Tahoma">
    <w:panose1 w:val="020B0604030504040204"/>
  </w:font>
  <w:font w:name="仿宋_GB2312">
    <w:panose1 w:val="02010609060101010101"/>
  </w:font>
  <w:font w:name="Verdana">
    <w:panose1 w:val="020B0604030504040204"/>
  </w:font>
  <w:font w:name="Tms Rmn">
    <w:panose1 w:val="020B050302020202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6"/>
      <w:isLgl w:val="false"/>
      <w:suff w:val="tab"/>
      <w:lvlText w:val="%1."/>
      <w:lvlJc w:val="left"/>
      <w:pPr>
        <w:pStyle w:val="891"/>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4"/>
      <w:isLgl w:val="false"/>
      <w:suff w:val="tab"/>
      <w:lvlText w:val="%1、"/>
      <w:lvlJc w:val="left"/>
      <w:pPr>
        <w:pStyle w:val="891"/>
        <w:ind w:left="1928" w:hanging="510"/>
        <w:tabs>
          <w:tab w:val="num" w:pos="1928" w:leader="none"/>
        </w:tabs>
      </w:pPr>
      <w:rPr>
        <w:rFonts w:hint="eastAsia"/>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5">
    <w:multiLevelType w:val="hybridMultilevel"/>
    <w:lvl w:ilvl="0">
      <w:start w:val="1"/>
      <w:numFmt w:val="bullet"/>
      <w:pStyle w:val="1198"/>
      <w:isLgl w:val="false"/>
      <w:suff w:val="tab"/>
      <w:lvlText w:val=""/>
      <w:lvlJc w:val="left"/>
      <w:pPr>
        <w:pStyle w:val="891"/>
        <w:ind w:left="840" w:hanging="420"/>
        <w:tabs>
          <w:tab w:val="num" w:pos="840" w:leader="none"/>
        </w:tabs>
      </w:pPr>
      <w:rPr>
        <w:rFonts w:ascii="Wingdings" w:hAnsi="Wingdings"/>
        <w:color w:val="000000"/>
      </w:rPr>
    </w:lvl>
    <w:lvl w:ilvl="1">
      <w:start w:val="1"/>
      <w:numFmt w:val="bullet"/>
      <w:isLgl w:val="false"/>
      <w:suff w:val="tab"/>
      <w:lvlText w:val=""/>
      <w:lvlJc w:val="left"/>
      <w:pPr>
        <w:pStyle w:val="891"/>
        <w:ind w:left="840" w:hanging="420"/>
        <w:tabs>
          <w:tab w:val="num" w:pos="840" w:leader="none"/>
        </w:tabs>
      </w:pPr>
      <w:rPr>
        <w:rFonts w:ascii="Wingdings" w:hAnsi="Wingdings"/>
      </w:rPr>
    </w:lvl>
    <w:lvl w:ilvl="2">
      <w:start w:val="1"/>
      <w:numFmt w:val="bullet"/>
      <w:isLgl w:val="false"/>
      <w:suff w:val="tab"/>
      <w:lvlText w:val=""/>
      <w:lvlJc w:val="left"/>
      <w:pPr>
        <w:pStyle w:val="891"/>
        <w:ind w:left="1260" w:hanging="420"/>
        <w:tabs>
          <w:tab w:val="num" w:pos="1260" w:leader="none"/>
        </w:tabs>
      </w:pPr>
      <w:rPr>
        <w:rFonts w:ascii="Wingdings" w:hAnsi="Wingdings"/>
      </w:rPr>
    </w:lvl>
    <w:lvl w:ilvl="3">
      <w:start w:val="1"/>
      <w:numFmt w:val="bullet"/>
      <w:isLgl w:val="false"/>
      <w:suff w:val="tab"/>
      <w:lvlText w:val=""/>
      <w:lvlJc w:val="left"/>
      <w:pPr>
        <w:pStyle w:val="891"/>
        <w:ind w:left="1680" w:hanging="420"/>
        <w:tabs>
          <w:tab w:val="num" w:pos="1680" w:leader="none"/>
        </w:tabs>
      </w:pPr>
      <w:rPr>
        <w:rFonts w:ascii="Wingdings" w:hAnsi="Wingdings"/>
      </w:rPr>
    </w:lvl>
    <w:lvl w:ilvl="4">
      <w:start w:val="1"/>
      <w:numFmt w:val="bullet"/>
      <w:isLgl w:val="false"/>
      <w:suff w:val="tab"/>
      <w:lvlText w:val=""/>
      <w:lvlJc w:val="left"/>
      <w:pPr>
        <w:pStyle w:val="891"/>
        <w:ind w:left="2100" w:hanging="420"/>
        <w:tabs>
          <w:tab w:val="num" w:pos="2100" w:leader="none"/>
        </w:tabs>
      </w:pPr>
      <w:rPr>
        <w:rFonts w:ascii="Wingdings" w:hAnsi="Wingdings"/>
      </w:rPr>
    </w:lvl>
    <w:lvl w:ilvl="5">
      <w:start w:val="1"/>
      <w:numFmt w:val="bullet"/>
      <w:isLgl w:val="false"/>
      <w:suff w:val="tab"/>
      <w:lvlText w:val=""/>
      <w:lvlJc w:val="left"/>
      <w:pPr>
        <w:pStyle w:val="891"/>
        <w:ind w:left="2520" w:hanging="420"/>
        <w:tabs>
          <w:tab w:val="num" w:pos="2520" w:leader="none"/>
        </w:tabs>
      </w:pPr>
      <w:rPr>
        <w:rFonts w:ascii="Wingdings" w:hAnsi="Wingdings"/>
      </w:rPr>
    </w:lvl>
    <w:lvl w:ilvl="6">
      <w:start w:val="1"/>
      <w:numFmt w:val="bullet"/>
      <w:isLgl w:val="false"/>
      <w:suff w:val="tab"/>
      <w:lvlText w:val=""/>
      <w:lvlJc w:val="left"/>
      <w:pPr>
        <w:pStyle w:val="891"/>
        <w:ind w:left="2940" w:hanging="420"/>
        <w:tabs>
          <w:tab w:val="num" w:pos="2940" w:leader="none"/>
        </w:tabs>
      </w:pPr>
      <w:rPr>
        <w:rFonts w:ascii="Wingdings" w:hAnsi="Wingdings"/>
      </w:rPr>
    </w:lvl>
    <w:lvl w:ilvl="7">
      <w:start w:val="1"/>
      <w:numFmt w:val="bullet"/>
      <w:isLgl w:val="false"/>
      <w:suff w:val="tab"/>
      <w:lvlText w:val=""/>
      <w:lvlJc w:val="left"/>
      <w:pPr>
        <w:pStyle w:val="891"/>
        <w:ind w:left="3360" w:hanging="420"/>
        <w:tabs>
          <w:tab w:val="num" w:pos="3360" w:leader="none"/>
        </w:tabs>
      </w:pPr>
      <w:rPr>
        <w:rFonts w:ascii="Wingdings" w:hAnsi="Wingdings"/>
      </w:rPr>
    </w:lvl>
    <w:lvl w:ilvl="8">
      <w:start w:val="1"/>
      <w:numFmt w:val="bullet"/>
      <w:isLgl w:val="false"/>
      <w:suff w:val="tab"/>
      <w:lvlText w:val=""/>
      <w:lvlJc w:val="left"/>
      <w:pPr>
        <w:pStyle w:val="891"/>
        <w:ind w:left="3780" w:hanging="420"/>
        <w:tabs>
          <w:tab w:val="num" w:pos="3780" w:leader="none"/>
        </w:tabs>
      </w:pPr>
      <w:rPr>
        <w:rFonts w:ascii="Wingdings" w:hAnsi="Wingdings"/>
      </w:rPr>
    </w:lvl>
  </w:abstractNum>
  <w:abstractNum w:abstractNumId="6">
    <w:multiLevelType w:val="hybridMultilevel"/>
    <w:lvl w:ilvl="0">
      <w:start w:val="1"/>
      <w:numFmt w:val="japaneseCounting"/>
      <w:pStyle w:val="919"/>
      <w:isLgl w:val="false"/>
      <w:suff w:val="tab"/>
      <w:lvlText w:val="%1、"/>
      <w:lvlJc w:val="left"/>
      <w:pPr>
        <w:pStyle w:val="891"/>
        <w:ind w:left="480" w:hanging="480"/>
        <w:tabs>
          <w:tab w:val="num" w:pos="480" w:leader="none"/>
        </w:tabs>
      </w:pPr>
      <w:rPr>
        <w:rFonts w:hint="eastAsia"/>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891"/>
        <w:ind w:left="284" w:hanging="284"/>
        <w:tabs>
          <w:tab w:val="num" w:pos="360" w:leader="none"/>
        </w:tabs>
      </w:pPr>
      <w:rPr>
        <w:rFonts w:hint="eastAsia" w:ascii="黑体" w:eastAsia="黑体"/>
        <w:b w:val="0"/>
        <w:i w:val="0"/>
        <w:sz w:val="44"/>
      </w:rPr>
    </w:lvl>
    <w:lvl w:ilvl="1">
      <w:start w:val="1"/>
      <w:numFmt w:val="decimal"/>
      <w:pStyle w:val="1070"/>
      <w:isLgl w:val="false"/>
      <w:suff w:val="tab"/>
      <w:lvlText w:val="%1.%2"/>
      <w:lvlJc w:val="left"/>
      <w:pPr>
        <w:pStyle w:val="891"/>
        <w:ind w:left="567" w:hanging="567"/>
        <w:tabs>
          <w:tab w:val="num" w:pos="567" w:leader="none"/>
        </w:tabs>
      </w:pPr>
      <w:rPr>
        <w:rFonts w:hint="eastAsia" w:ascii="黑体" w:eastAsia="黑体"/>
        <w:b w:val="0"/>
        <w:i w:val="0"/>
        <w:sz w:val="32"/>
      </w:rPr>
    </w:lvl>
    <w:lvl w:ilvl="2">
      <w:start w:val="1"/>
      <w:numFmt w:val="decimal"/>
      <w:isLgl w:val="false"/>
      <w:suff w:val="tab"/>
      <w:lvlText w:val="%1.%2.%3"/>
      <w:lvlJc w:val="left"/>
      <w:pPr>
        <w:pStyle w:val="891"/>
        <w:ind w:left="851" w:hanging="851"/>
        <w:tabs>
          <w:tab w:val="num" w:pos="851" w:leader="none"/>
        </w:tabs>
      </w:pPr>
      <w:rPr>
        <w:rFonts w:hint="eastAsia" w:ascii="黑体" w:eastAsia="黑体"/>
        <w:b w:val="0"/>
        <w:i w:val="0"/>
        <w:sz w:val="28"/>
      </w:rPr>
    </w:lvl>
    <w:lvl w:ilvl="3">
      <w:start w:val="1"/>
      <w:numFmt w:val="decimal"/>
      <w:isLgl w:val="false"/>
      <w:suff w:val="tab"/>
      <w:lvlText w:val="%1.%2.%3.%4"/>
      <w:lvlJc w:val="left"/>
      <w:pPr>
        <w:pStyle w:val="891"/>
        <w:ind w:left="864" w:hanging="864"/>
        <w:tabs>
          <w:tab w:val="num" w:pos="864" w:leader="none"/>
        </w:tabs>
      </w:pPr>
      <w:rPr>
        <w:rFonts w:hint="eastAsia"/>
      </w:rPr>
    </w:lvl>
    <w:lvl w:ilvl="4">
      <w:start w:val="1"/>
      <w:numFmt w:val="decimal"/>
      <w:isLgl w:val="false"/>
      <w:suff w:val="tab"/>
      <w:lvlText w:val="%1.%2.%3.%4.%5"/>
      <w:lvlJc w:val="left"/>
      <w:pPr>
        <w:pStyle w:val="891"/>
        <w:ind w:left="1008" w:hanging="1008"/>
        <w:tabs>
          <w:tab w:val="num" w:pos="1008" w:leader="none"/>
        </w:tabs>
      </w:pPr>
      <w:rPr>
        <w:rFonts w:hint="eastAsia"/>
      </w:rPr>
    </w:lvl>
    <w:lvl w:ilvl="5">
      <w:start w:val="1"/>
      <w:numFmt w:val="decimal"/>
      <w:isLgl w:val="false"/>
      <w:suff w:val="tab"/>
      <w:lvlText w:val="%1.%2.%3.%4.%5.%6"/>
      <w:lvlJc w:val="left"/>
      <w:pPr>
        <w:pStyle w:val="891"/>
        <w:ind w:left="1152" w:hanging="1152"/>
        <w:tabs>
          <w:tab w:val="num" w:pos="1152" w:leader="none"/>
        </w:tabs>
      </w:pPr>
      <w:rPr>
        <w:rFonts w:hint="eastAsia"/>
      </w:rPr>
    </w:lvl>
    <w:lvl w:ilvl="6">
      <w:start w:val="1"/>
      <w:numFmt w:val="decimal"/>
      <w:isLgl w:val="false"/>
      <w:suff w:val="tab"/>
      <w:lvlText w:val="%1.%2.%3.%4.%5.%6.%7"/>
      <w:lvlJc w:val="left"/>
      <w:pPr>
        <w:pStyle w:val="891"/>
        <w:ind w:left="1296" w:hanging="1296"/>
        <w:tabs>
          <w:tab w:val="num" w:pos="1296" w:leader="none"/>
        </w:tabs>
      </w:pPr>
      <w:rPr>
        <w:rFonts w:hint="eastAsia"/>
      </w:rPr>
    </w:lvl>
    <w:lvl w:ilvl="7">
      <w:start w:val="1"/>
      <w:numFmt w:val="decimal"/>
      <w:isLgl w:val="false"/>
      <w:suff w:val="tab"/>
      <w:lvlText w:val="%1.%2.%3.%4.%5.%6.%7.%8"/>
      <w:lvlJc w:val="left"/>
      <w:pPr>
        <w:pStyle w:val="891"/>
        <w:ind w:left="1440" w:hanging="1440"/>
        <w:tabs>
          <w:tab w:val="num" w:pos="1440" w:leader="none"/>
        </w:tabs>
      </w:pPr>
      <w:rPr>
        <w:rFonts w:hint="eastAsia"/>
      </w:rPr>
    </w:lvl>
    <w:lvl w:ilvl="8">
      <w:start w:val="1"/>
      <w:numFmt w:val="decimal"/>
      <w:isLgl w:val="false"/>
      <w:suff w:val="tab"/>
      <w:lvlText w:val="%1.%2.%3.%4.%5.%6.%7.%8.%9"/>
      <w:lvlJc w:val="left"/>
      <w:pPr>
        <w:pStyle w:val="891"/>
        <w:ind w:left="1584" w:hanging="1584"/>
        <w:tabs>
          <w:tab w:val="num" w:pos="1584" w:leader="none"/>
        </w:tabs>
      </w:pPr>
      <w:rPr>
        <w:rFonts w:hint="eastAsia"/>
      </w:rPr>
    </w:lvl>
  </w:abstractNum>
  <w:abstractNum w:abstractNumId="8">
    <w:multiLevelType w:val="hybridMultilevel"/>
    <w:lvl w:ilvl="0">
      <w:start w:val="1"/>
      <w:numFmt w:val="bullet"/>
      <w:pStyle w:val="1120"/>
      <w:isLgl w:val="false"/>
      <w:suff w:val="tab"/>
      <w:lvlText w:val=""/>
      <w:lvlJc w:val="left"/>
      <w:pPr>
        <w:pStyle w:val="891"/>
        <w:ind w:left="980" w:hanging="420"/>
        <w:tabs>
          <w:tab w:val="num" w:pos="980" w:leader="none"/>
        </w:tabs>
      </w:pPr>
      <w:rPr>
        <w:rFonts w:ascii="Wingdings" w:hAnsi="Wingdings"/>
      </w:rPr>
    </w:lvl>
    <w:lvl w:ilvl="1">
      <w:start w:val="1"/>
      <w:numFmt w:val="bullet"/>
      <w:isLgl w:val="false"/>
      <w:suff w:val="tab"/>
      <w:lvlText w:val=""/>
      <w:lvlJc w:val="left"/>
      <w:pPr>
        <w:pStyle w:val="891"/>
        <w:ind w:left="1400" w:hanging="420"/>
        <w:tabs>
          <w:tab w:val="num" w:pos="1400" w:leader="none"/>
        </w:tabs>
      </w:pPr>
      <w:rPr>
        <w:rFonts w:ascii="Wingdings" w:hAnsi="Wingdings"/>
      </w:rPr>
    </w:lvl>
    <w:lvl w:ilvl="2">
      <w:start w:val="1"/>
      <w:numFmt w:val="bullet"/>
      <w:isLgl w:val="false"/>
      <w:suff w:val="tab"/>
      <w:lvlText w:val=""/>
      <w:lvlJc w:val="left"/>
      <w:pPr>
        <w:pStyle w:val="891"/>
        <w:ind w:left="1820" w:hanging="420"/>
        <w:tabs>
          <w:tab w:val="num" w:pos="1820" w:leader="none"/>
        </w:tabs>
      </w:pPr>
      <w:rPr>
        <w:rFonts w:ascii="Wingdings" w:hAnsi="Wingdings"/>
      </w:rPr>
    </w:lvl>
    <w:lvl w:ilvl="3">
      <w:start w:val="1"/>
      <w:numFmt w:val="bullet"/>
      <w:isLgl w:val="false"/>
      <w:suff w:val="tab"/>
      <w:lvlText w:val=""/>
      <w:lvlJc w:val="left"/>
      <w:pPr>
        <w:pStyle w:val="891"/>
        <w:ind w:left="2240" w:hanging="420"/>
        <w:tabs>
          <w:tab w:val="num" w:pos="2240" w:leader="none"/>
        </w:tabs>
      </w:pPr>
      <w:rPr>
        <w:rFonts w:ascii="Wingdings" w:hAnsi="Wingdings"/>
      </w:rPr>
    </w:lvl>
    <w:lvl w:ilvl="4">
      <w:start w:val="1"/>
      <w:numFmt w:val="bullet"/>
      <w:isLgl w:val="false"/>
      <w:suff w:val="tab"/>
      <w:lvlText w:val=""/>
      <w:lvlJc w:val="left"/>
      <w:pPr>
        <w:pStyle w:val="891"/>
        <w:ind w:left="2660" w:hanging="420"/>
        <w:tabs>
          <w:tab w:val="num" w:pos="2660" w:leader="none"/>
        </w:tabs>
      </w:pPr>
      <w:rPr>
        <w:rFonts w:ascii="Wingdings" w:hAnsi="Wingdings"/>
      </w:rPr>
    </w:lvl>
    <w:lvl w:ilvl="5">
      <w:start w:val="1"/>
      <w:numFmt w:val="bullet"/>
      <w:isLgl w:val="false"/>
      <w:suff w:val="tab"/>
      <w:lvlText w:val=""/>
      <w:lvlJc w:val="left"/>
      <w:pPr>
        <w:pStyle w:val="891"/>
        <w:ind w:left="3080" w:hanging="420"/>
        <w:tabs>
          <w:tab w:val="num" w:pos="3080" w:leader="none"/>
        </w:tabs>
      </w:pPr>
      <w:rPr>
        <w:rFonts w:ascii="Wingdings" w:hAnsi="Wingdings"/>
      </w:rPr>
    </w:lvl>
    <w:lvl w:ilvl="6">
      <w:start w:val="1"/>
      <w:numFmt w:val="bullet"/>
      <w:isLgl w:val="false"/>
      <w:suff w:val="tab"/>
      <w:lvlText w:val=""/>
      <w:lvlJc w:val="left"/>
      <w:pPr>
        <w:pStyle w:val="891"/>
        <w:ind w:left="3500" w:hanging="420"/>
        <w:tabs>
          <w:tab w:val="num" w:pos="3500" w:leader="none"/>
        </w:tabs>
      </w:pPr>
      <w:rPr>
        <w:rFonts w:ascii="Wingdings" w:hAnsi="Wingdings"/>
      </w:rPr>
    </w:lvl>
    <w:lvl w:ilvl="7">
      <w:start w:val="1"/>
      <w:numFmt w:val="bullet"/>
      <w:isLgl w:val="false"/>
      <w:suff w:val="tab"/>
      <w:lvlText w:val=""/>
      <w:lvlJc w:val="left"/>
      <w:pPr>
        <w:pStyle w:val="891"/>
        <w:ind w:left="3920" w:hanging="420"/>
        <w:tabs>
          <w:tab w:val="num" w:pos="3920" w:leader="none"/>
        </w:tabs>
      </w:pPr>
      <w:rPr>
        <w:rFonts w:ascii="Wingdings" w:hAnsi="Wingdings"/>
      </w:rPr>
    </w:lvl>
    <w:lvl w:ilvl="8">
      <w:start w:val="1"/>
      <w:numFmt w:val="bullet"/>
      <w:isLgl w:val="false"/>
      <w:suff w:val="tab"/>
      <w:lvlText w:val=""/>
      <w:lvlJc w:val="left"/>
      <w:pPr>
        <w:pStyle w:val="891"/>
        <w:ind w:left="4340" w:hanging="420"/>
        <w:tabs>
          <w:tab w:val="num" w:pos="4340" w:leader="none"/>
        </w:tabs>
      </w:pPr>
      <w:rPr>
        <w:rFonts w:ascii="Wingdings" w:hAnsi="Wingdings"/>
      </w:rPr>
    </w:lvl>
  </w:abstractNum>
  <w:abstractNum w:abstractNumId="9">
    <w:multiLevelType w:val="hybridMultilevel"/>
    <w:lvl w:ilvl="0">
      <w:start w:val="1"/>
      <w:numFmt w:val="chineseCountingThousand"/>
      <w:pStyle w:val="1154"/>
      <w:isLgl w:val="false"/>
      <w:suff w:val="tab"/>
      <w:lvlText w:val="%1、"/>
      <w:lvlJc w:val="left"/>
      <w:pPr>
        <w:pStyle w:val="891"/>
        <w:ind w:left="420" w:hanging="420"/>
        <w:tabs>
          <w:tab w:val="num" w:pos="420" w:leader="none"/>
        </w:tabs>
      </w:pPr>
      <w:rPr>
        <w:rFonts w:hint="eastAsia"/>
      </w:rPr>
    </w:lvl>
    <w:lvl w:ilvl="1">
      <w:start w:val="1"/>
      <w:numFmt w:val="decimal"/>
      <w:pStyle w:val="1134"/>
      <w:isLgl w:val="false"/>
      <w:suff w:val="tab"/>
      <w:lvlText w:val="%1.%2."/>
      <w:lvlJc w:val="left"/>
      <w:pPr>
        <w:pStyle w:val="891"/>
        <w:ind w:left="567" w:hanging="567"/>
        <w:tabs>
          <w:tab w:val="num" w:pos="720" w:leader="none"/>
        </w:tabs>
      </w:pPr>
      <w:rPr>
        <w:rFonts w:hint="eastAsia"/>
      </w:rPr>
    </w:lvl>
    <w:lvl w:ilvl="2">
      <w:start w:val="1"/>
      <w:numFmt w:val="decimal"/>
      <w:pStyle w:val="1185"/>
      <w:isLgl w:val="false"/>
      <w:suff w:val="tab"/>
      <w:lvlText w:val="%1.%2.%3."/>
      <w:lvlJc w:val="left"/>
      <w:pPr>
        <w:pStyle w:val="891"/>
        <w:ind w:left="709" w:hanging="709"/>
        <w:tabs>
          <w:tab w:val="num" w:pos="1080" w:leader="none"/>
        </w:tabs>
      </w:pPr>
      <w:rPr>
        <w:rFonts w:hint="eastAsia"/>
      </w:rPr>
    </w:lvl>
    <w:lvl w:ilvl="3">
      <w:start w:val="1"/>
      <w:numFmt w:val="decimal"/>
      <w:isLgl w:val="false"/>
      <w:suff w:val="tab"/>
      <w:lvlText w:val="%1.%2.%3.%4."/>
      <w:lvlJc w:val="left"/>
      <w:pPr>
        <w:pStyle w:val="891"/>
        <w:ind w:left="851" w:hanging="851"/>
        <w:tabs>
          <w:tab w:val="num" w:pos="1080" w:leader="none"/>
        </w:tabs>
      </w:pPr>
      <w:rPr>
        <w:rFonts w:hint="eastAsia"/>
      </w:rPr>
    </w:lvl>
    <w:lvl w:ilvl="4">
      <w:start w:val="1"/>
      <w:numFmt w:val="decimal"/>
      <w:isLgl w:val="false"/>
      <w:suff w:val="tab"/>
      <w:lvlText w:val="%1.%2.%3.%4.%5."/>
      <w:lvlJc w:val="left"/>
      <w:pPr>
        <w:pStyle w:val="891"/>
        <w:ind w:left="992" w:hanging="992"/>
        <w:tabs>
          <w:tab w:val="num" w:pos="1440"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10">
    <w:multiLevelType w:val="hybridMultilevel"/>
    <w:lvl w:ilvl="0">
      <w:start w:val="0"/>
      <w:numFmt w:val="decimal"/>
      <w:pStyle w:val="935"/>
      <w:isLgl w:val="false"/>
      <w:suff w:val="tab"/>
      <w:lvlText w:val="*"/>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pStyle w:val="1130"/>
      <w:isLgl w:val="false"/>
      <w:suff w:val="tab"/>
      <w:lvlText w:val="%1．"/>
      <w:lvlJc w:val="left"/>
      <w:pPr>
        <w:pStyle w:val="891"/>
        <w:ind w:left="360" w:hanging="360"/>
        <w:tabs>
          <w:tab w:val="num" w:pos="360" w:leader="none"/>
        </w:tabs>
      </w:p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12">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3"/>
  </w:num>
  <w:num w:numId="4">
    <w:abstractNumId w:val="7"/>
  </w:num>
  <w:num w:numId="5">
    <w:abstractNumId w:val="8"/>
  </w:num>
  <w:num w:numId="6">
    <w:abstractNumId w:val="11"/>
  </w:num>
  <w:num w:numId="7">
    <w:abstractNumId w:val="9"/>
  </w:num>
  <w:num w:numId="8">
    <w:abstractNumId w:val="5"/>
  </w:num>
  <w:num w:numId="9">
    <w:abstractNumId w:val="4"/>
  </w:num>
  <w:num w:numId="10">
    <w:abstractNumId w:val="0"/>
  </w:num>
  <w:num w:numId="11">
    <w:abstractNumId w:val="12"/>
  </w:num>
  <w:num w:numId="12">
    <w:abstractNumId w:val="1"/>
  </w:num>
  <w:num w:numId="13">
    <w:abstractNumId w:val="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1"/>
    <w:next w:val="891"/>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1"/>
    <w:next w:val="891"/>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1"/>
    <w:next w:val="891"/>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1"/>
    <w:next w:val="891"/>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1"/>
    <w:next w:val="891"/>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1"/>
    <w:next w:val="891"/>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1"/>
    <w:next w:val="891"/>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1"/>
    <w:next w:val="891"/>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1"/>
    <w:next w:val="891"/>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sz w:val="21"/>
      <w:lang w:val="en-US" w:eastAsia="zh-CN" w:bidi="ar-SA"/>
    </w:rPr>
  </w:style>
  <w:style w:type="paragraph" w:styleId="892">
    <w:name w:val="标题 1"/>
    <w:basedOn w:val="891"/>
    <w:next w:val="891"/>
    <w:link w:val="907"/>
    <w:qFormat/>
    <w:pPr>
      <w:jc w:val="center"/>
      <w:keepLines/>
      <w:keepNext/>
      <w:spacing w:before="156" w:beforeAutospacing="0" w:after="156" w:afterAutospacing="0"/>
      <w:tabs>
        <w:tab w:val="left" w:pos="1134" w:leader="none"/>
      </w:tabs>
      <w:outlineLvl w:val="0"/>
    </w:pPr>
    <w:rPr>
      <w:rFonts w:ascii="宋体" w:hAnsi="宋体"/>
      <w:b/>
    </w:rPr>
  </w:style>
  <w:style w:type="paragraph" w:styleId="893">
    <w:name w:val="标题 2"/>
    <w:basedOn w:val="891"/>
    <w:next w:val="891"/>
    <w:link w:val="908"/>
    <w:qFormat/>
    <w:pPr>
      <w:keepLines/>
      <w:keepNext/>
      <w:spacing w:before="260" w:beforeAutospacing="0" w:after="260" w:afterAutospacing="0" w:line="413" w:lineRule="auto"/>
      <w:outlineLvl w:val="1"/>
    </w:pPr>
    <w:rPr>
      <w:rFonts w:ascii="Arial" w:hAnsi="Arial" w:eastAsia="黑体"/>
      <w:b/>
      <w:sz w:val="32"/>
    </w:rPr>
  </w:style>
  <w:style w:type="paragraph" w:styleId="894">
    <w:name w:val="标题 3"/>
    <w:basedOn w:val="891"/>
    <w:next w:val="891"/>
    <w:link w:val="909"/>
    <w:qFormat/>
    <w:pPr>
      <w:ind w:left="420" w:hanging="420"/>
      <w:keepLines/>
      <w:keepNext/>
      <w:spacing w:before="120" w:beforeAutospacing="0" w:after="120" w:afterAutospacing="0" w:line="360" w:lineRule="auto"/>
      <w:tabs>
        <w:tab w:val="left" w:pos="567" w:leader="none"/>
        <w:tab w:val="left" w:pos="1080" w:leader="none"/>
      </w:tabs>
      <w:outlineLvl w:val="2"/>
    </w:pPr>
    <w:rPr>
      <w:rFonts w:ascii="宋体" w:hAnsi="宋体"/>
      <w:b/>
      <w:sz w:val="24"/>
    </w:rPr>
  </w:style>
  <w:style w:type="paragraph" w:styleId="895">
    <w:name w:val="标题 4"/>
    <w:basedOn w:val="891"/>
    <w:next w:val="911"/>
    <w:link w:val="910"/>
    <w:qFormat/>
    <w:pPr>
      <w:keepLines/>
      <w:keepNext/>
      <w:spacing w:before="120" w:beforeAutospacing="0" w:after="120" w:afterAutospacing="0" w:line="360" w:lineRule="auto"/>
      <w:outlineLvl w:val="3"/>
    </w:pPr>
    <w:rPr>
      <w:rFonts w:ascii="宋体" w:hAnsi="宋体"/>
      <w:b/>
      <w:sz w:val="24"/>
    </w:rPr>
  </w:style>
  <w:style w:type="paragraph" w:styleId="896">
    <w:name w:val="标题 5"/>
    <w:basedOn w:val="891"/>
    <w:next w:val="891"/>
    <w:link w:val="912"/>
    <w:qFormat/>
    <w:pPr>
      <w:keepLines/>
      <w:keepNext/>
      <w:spacing w:before="280" w:beforeAutospacing="0" w:after="290" w:afterAutospacing="0" w:line="376" w:lineRule="atLeast"/>
      <w:outlineLvl w:val="4"/>
    </w:pPr>
    <w:rPr>
      <w:b/>
      <w:sz w:val="28"/>
    </w:rPr>
  </w:style>
  <w:style w:type="paragraph" w:styleId="897">
    <w:name w:val="标题 6"/>
    <w:basedOn w:val="891"/>
    <w:next w:val="891"/>
    <w:link w:val="913"/>
    <w:qFormat/>
    <w:pPr>
      <w:keepLines/>
      <w:keepNext/>
      <w:spacing w:before="240" w:beforeAutospacing="0" w:after="64" w:afterAutospacing="0" w:line="320" w:lineRule="atLeast"/>
      <w:outlineLvl w:val="5"/>
    </w:pPr>
    <w:rPr>
      <w:rFonts w:ascii="Arial" w:hAnsi="Arial" w:eastAsia="黑体"/>
      <w:b/>
      <w:sz w:val="24"/>
    </w:rPr>
  </w:style>
  <w:style w:type="paragraph" w:styleId="898">
    <w:name w:val="标题 7"/>
    <w:basedOn w:val="891"/>
    <w:next w:val="891"/>
    <w:link w:val="914"/>
    <w:qFormat/>
    <w:pPr>
      <w:keepLines/>
      <w:keepNext/>
      <w:spacing w:before="240" w:beforeAutospacing="0" w:after="64" w:afterAutospacing="0" w:line="320" w:lineRule="atLeast"/>
      <w:outlineLvl w:val="6"/>
    </w:pPr>
    <w:rPr>
      <w:b/>
      <w:sz w:val="24"/>
    </w:rPr>
  </w:style>
  <w:style w:type="paragraph" w:styleId="899">
    <w:name w:val="标题 8"/>
    <w:basedOn w:val="891"/>
    <w:next w:val="891"/>
    <w:link w:val="915"/>
    <w:qFormat/>
    <w:pPr>
      <w:keepLines/>
      <w:keepNext/>
      <w:spacing w:before="240" w:beforeAutospacing="0" w:after="64" w:afterAutospacing="0" w:line="320" w:lineRule="atLeast"/>
      <w:outlineLvl w:val="7"/>
    </w:pPr>
    <w:rPr>
      <w:rFonts w:ascii="Arial" w:hAnsi="Arial" w:eastAsia="黑体"/>
      <w:sz w:val="24"/>
    </w:rPr>
  </w:style>
  <w:style w:type="paragraph" w:styleId="900">
    <w:name w:val="标题 9"/>
    <w:basedOn w:val="891"/>
    <w:next w:val="891"/>
    <w:link w:val="916"/>
    <w:qFormat/>
    <w:pPr>
      <w:keepLines/>
      <w:keepNext/>
      <w:spacing w:before="240" w:beforeAutospacing="0" w:after="64" w:afterAutospacing="0" w:line="320" w:lineRule="atLeast"/>
      <w:outlineLvl w:val="8"/>
    </w:pPr>
    <w:rPr>
      <w:rFonts w:ascii="Arial" w:hAnsi="Arial" w:eastAsia="黑体"/>
    </w:rPr>
  </w:style>
  <w:style w:type="character" w:styleId="901">
    <w:name w:val="默认段落字体"/>
    <w:next w:val="901"/>
    <w:link w:val="891"/>
    <w:rPr>
      <w:rFonts w:ascii="Times New Roman" w:hAnsi="Times New Roman" w:eastAsia="宋体" w:cs="Times New Roman"/>
    </w:rPr>
  </w:style>
  <w:style w:type="table" w:styleId="902">
    <w:name w:val="普通表格"/>
    <w:next w:val="902"/>
    <w:link w:val="891"/>
    <w:rPr>
      <w:rFonts w:ascii="Times New Roman" w:hAnsi="Times New Roman" w:eastAsia="宋体" w:cs="Times New Roman"/>
    </w:rPr>
    <w:tblPr/>
  </w:style>
  <w:style w:type="paragraph" w:styleId="903">
    <w:name w:val="正文首行缩进 2"/>
    <w:basedOn w:val="904"/>
    <w:next w:val="903"/>
    <w:link w:val="891"/>
    <w:pPr>
      <w:ind w:firstLine="420"/>
    </w:pPr>
    <w:rPr>
      <w:rFonts w:ascii="Times New Roman" w:hAnsi="Times New Roman" w:eastAsia="宋体" w:cs="Times New Roman"/>
    </w:rPr>
  </w:style>
  <w:style w:type="paragraph" w:styleId="904">
    <w:name w:val="正文文本缩进"/>
    <w:basedOn w:val="891"/>
    <w:next w:val="906"/>
    <w:link w:val="905"/>
    <w:pPr>
      <w:ind w:left="570"/>
      <w:spacing w:line="520" w:lineRule="atLeast"/>
    </w:pPr>
    <w:rPr>
      <w:rFonts w:ascii="方正仿宋简体" w:hAnsi="创艺简仿宋" w:eastAsia="方正仿宋简体"/>
      <w:sz w:val="24"/>
    </w:rPr>
  </w:style>
  <w:style w:type="character" w:styleId="905">
    <w:name w:val="正文文本缩进 Char"/>
    <w:next w:val="905"/>
    <w:link w:val="904"/>
    <w:rPr>
      <w:rFonts w:ascii="方正仿宋简体" w:hAnsi="创艺简仿宋" w:eastAsia="方正仿宋简体" w:cs="Times New Roman"/>
      <w:sz w:val="24"/>
      <w:lang w:val="en-US" w:eastAsia="zh-CN"/>
    </w:rPr>
  </w:style>
  <w:style w:type="paragraph" w:styleId="906">
    <w:name w:val="寄信人地址"/>
    <w:basedOn w:val="891"/>
    <w:next w:val="906"/>
    <w:link w:val="891"/>
    <w:qFormat/>
    <w:pPr>
      <w:jc w:val="both"/>
      <w:widowControl w:val="off"/>
    </w:pPr>
    <w:rPr>
      <w:rFonts w:ascii="Arial" w:hAnsi="Arial" w:eastAsia="宋体" w:cs="Times New Roman"/>
      <w:sz w:val="21"/>
      <w:szCs w:val="24"/>
      <w:lang w:val="en-US" w:eastAsia="zh-CN" w:bidi="ar-SA"/>
    </w:rPr>
  </w:style>
  <w:style w:type="character" w:styleId="907">
    <w:name w:val="标题 1 Char"/>
    <w:next w:val="907"/>
    <w:link w:val="892"/>
    <w:rPr>
      <w:rFonts w:ascii="宋体" w:hAnsi="宋体" w:eastAsia="宋体" w:cs="Times New Roman"/>
      <w:b/>
      <w:sz w:val="21"/>
      <w:lang w:val="en-US" w:eastAsia="zh-CN" w:bidi="ar-SA"/>
    </w:rPr>
  </w:style>
  <w:style w:type="character" w:styleId="908">
    <w:name w:val="标题 2 Char1"/>
    <w:next w:val="908"/>
    <w:link w:val="893"/>
    <w:rPr>
      <w:rFonts w:ascii="Arial" w:hAnsi="Arial" w:eastAsia="黑体" w:cs="Times New Roman"/>
      <w:b/>
      <w:sz w:val="32"/>
      <w:lang w:val="en-US" w:eastAsia="zh-CN" w:bidi="ar-SA"/>
    </w:rPr>
  </w:style>
  <w:style w:type="character" w:styleId="909">
    <w:name w:val="标题 3 Char"/>
    <w:next w:val="909"/>
    <w:link w:val="894"/>
    <w:rPr>
      <w:rFonts w:ascii="宋体" w:hAnsi="宋体" w:eastAsia="宋体" w:cs="Times New Roman"/>
      <w:b/>
      <w:sz w:val="24"/>
      <w:lang w:val="en-US" w:eastAsia="zh-CN" w:bidi="ar-SA"/>
    </w:rPr>
  </w:style>
  <w:style w:type="character" w:styleId="910">
    <w:name w:val="标题 4 Char1"/>
    <w:next w:val="910"/>
    <w:link w:val="895"/>
    <w:rPr>
      <w:rFonts w:ascii="宋体" w:hAnsi="宋体" w:eastAsia="宋体" w:cs="Times New Roman"/>
      <w:b/>
      <w:sz w:val="24"/>
      <w:lang w:val="en-US" w:eastAsia="zh-CN" w:bidi="ar-SA"/>
    </w:rPr>
  </w:style>
  <w:style w:type="paragraph" w:styleId="911">
    <w:name w:val="正文文本 Char Char"/>
    <w:basedOn w:val="891"/>
    <w:next w:val="911"/>
    <w:link w:val="891"/>
    <w:pPr>
      <w:jc w:val="center"/>
    </w:pPr>
    <w:rPr>
      <w:rFonts w:ascii="Times New Roman" w:hAnsi="Times New Roman" w:eastAsia="宋体" w:cs="Times New Roman"/>
    </w:rPr>
  </w:style>
  <w:style w:type="character" w:styleId="912">
    <w:name w:val="标题 5 Char"/>
    <w:next w:val="912"/>
    <w:link w:val="896"/>
    <w:rPr>
      <w:rFonts w:ascii="Times New Roman" w:hAnsi="Times New Roman" w:eastAsia="宋体" w:cs="Times New Roman"/>
      <w:b/>
      <w:sz w:val="28"/>
      <w:lang w:val="en-US" w:eastAsia="zh-CN" w:bidi="ar-SA"/>
    </w:rPr>
  </w:style>
  <w:style w:type="character" w:styleId="913">
    <w:name w:val="标题 6 Char"/>
    <w:next w:val="913"/>
    <w:link w:val="897"/>
    <w:rPr>
      <w:rFonts w:ascii="Arial" w:hAnsi="Arial" w:eastAsia="黑体" w:cs="Times New Roman"/>
      <w:b/>
      <w:sz w:val="24"/>
      <w:lang w:val="en-US" w:eastAsia="zh-CN" w:bidi="ar-SA"/>
    </w:rPr>
  </w:style>
  <w:style w:type="character" w:styleId="914">
    <w:name w:val="标题 7 Char"/>
    <w:next w:val="914"/>
    <w:link w:val="898"/>
    <w:rPr>
      <w:rFonts w:ascii="Times New Roman" w:hAnsi="Times New Roman" w:eastAsia="宋体" w:cs="Times New Roman"/>
      <w:b/>
      <w:sz w:val="24"/>
      <w:lang w:val="en-US" w:eastAsia="zh-CN" w:bidi="ar-SA"/>
    </w:rPr>
  </w:style>
  <w:style w:type="character" w:styleId="915">
    <w:name w:val="标题 8 Char"/>
    <w:next w:val="915"/>
    <w:link w:val="899"/>
    <w:rPr>
      <w:rFonts w:ascii="Arial" w:hAnsi="Arial" w:eastAsia="黑体" w:cs="Times New Roman"/>
      <w:sz w:val="24"/>
      <w:lang w:val="en-US" w:eastAsia="zh-CN" w:bidi="ar-SA"/>
    </w:rPr>
  </w:style>
  <w:style w:type="character" w:styleId="916">
    <w:name w:val="标题 9 Char"/>
    <w:next w:val="916"/>
    <w:link w:val="900"/>
    <w:rPr>
      <w:rFonts w:ascii="Arial" w:hAnsi="Arial" w:eastAsia="黑体" w:cs="Times New Roman"/>
      <w:sz w:val="21"/>
      <w:lang w:val="en-US" w:eastAsia="zh-CN" w:bidi="ar-SA"/>
    </w:rPr>
  </w:style>
  <w:style w:type="paragraph" w:styleId="917">
    <w:name w:val="列表 3"/>
    <w:basedOn w:val="891"/>
    <w:next w:val="917"/>
    <w:link w:val="891"/>
    <w:pPr>
      <w:ind w:left="100" w:hanging="200"/>
    </w:pPr>
    <w:rPr>
      <w:rFonts w:ascii="Times New Roman" w:hAnsi="Times New Roman" w:eastAsia="宋体" w:cs="Times New Roman"/>
    </w:rPr>
  </w:style>
  <w:style w:type="paragraph" w:styleId="918">
    <w:name w:val="目录 7"/>
    <w:basedOn w:val="891"/>
    <w:next w:val="891"/>
    <w:link w:val="891"/>
    <w:pPr>
      <w:ind w:left="2520"/>
    </w:pPr>
    <w:rPr>
      <w:rFonts w:ascii="Calibri" w:hAnsi="Calibri" w:eastAsia="宋体" w:cs="Times New Roman"/>
    </w:rPr>
  </w:style>
  <w:style w:type="paragraph" w:styleId="919">
    <w:name w:val="列表编号 2"/>
    <w:basedOn w:val="891"/>
    <w:next w:val="919"/>
    <w:link w:val="891"/>
    <w:pPr>
      <w:numPr>
        <w:ilvl w:val="0"/>
        <w:numId w:val="1"/>
      </w:numPr>
      <w:ind w:left="1620"/>
      <w:tabs>
        <w:tab w:val="left" w:pos="1620" w:leader="none"/>
      </w:tabs>
      <w:outlineLvl w:val="0"/>
    </w:pPr>
    <w:rPr>
      <w:rFonts w:ascii="Times New Roman" w:hAnsi="Times New Roman" w:eastAsia="宋体" w:cs="Times New Roman"/>
      <w:color w:val="0000ff"/>
      <w:sz w:val="24"/>
    </w:rPr>
  </w:style>
  <w:style w:type="paragraph" w:styleId="920">
    <w:name w:val="正文缩进"/>
    <w:basedOn w:val="891"/>
    <w:next w:val="920"/>
    <w:link w:val="921"/>
    <w:pPr>
      <w:ind w:firstLine="420"/>
    </w:pPr>
  </w:style>
  <w:style w:type="character" w:styleId="921">
    <w:name w:val="正文缩进 Char"/>
    <w:next w:val="921"/>
    <w:link w:val="920"/>
    <w:rPr>
      <w:rFonts w:ascii="Times New Roman" w:hAnsi="Times New Roman" w:eastAsia="宋体" w:cs="Times New Roman"/>
      <w:sz w:val="21"/>
      <w:lang w:val="en-US" w:eastAsia="zh-CN"/>
    </w:rPr>
  </w:style>
  <w:style w:type="paragraph" w:styleId="922">
    <w:name w:val="文档结构图"/>
    <w:basedOn w:val="891"/>
    <w:next w:val="922"/>
    <w:link w:val="891"/>
    <w:pPr>
      <w:shd w:val="clear" w:color="auto" w:fill="000080"/>
    </w:pPr>
    <w:rPr>
      <w:rFonts w:ascii="Times New Roman" w:hAnsi="Times New Roman" w:eastAsia="宋体" w:cs="Times New Roman"/>
    </w:rPr>
  </w:style>
  <w:style w:type="paragraph" w:styleId="923">
    <w:name w:val="批注文字"/>
    <w:basedOn w:val="891"/>
    <w:next w:val="923"/>
    <w:link w:val="924"/>
    <w:pPr>
      <w:jc w:val="left"/>
      <w:widowControl/>
    </w:pPr>
    <w:rPr>
      <w:sz w:val="20"/>
      <w:lang w:eastAsia="en-US"/>
    </w:rPr>
  </w:style>
  <w:style w:type="character" w:styleId="924">
    <w:name w:val="批注文字 Char"/>
    <w:next w:val="924"/>
    <w:link w:val="923"/>
    <w:rPr>
      <w:rFonts w:ascii="Times New Roman" w:hAnsi="Times New Roman" w:eastAsia="宋体" w:cs="Times New Roman"/>
      <w:lang w:val="en-US" w:eastAsia="en-US" w:bidi="ar-SA"/>
    </w:rPr>
  </w:style>
  <w:style w:type="paragraph" w:styleId="925">
    <w:name w:val="正文文本 3"/>
    <w:basedOn w:val="891"/>
    <w:next w:val="925"/>
    <w:link w:val="926"/>
    <w:pPr>
      <w:spacing w:after="120" w:afterAutospacing="0"/>
    </w:pPr>
    <w:rPr>
      <w:sz w:val="16"/>
    </w:rPr>
  </w:style>
  <w:style w:type="character" w:styleId="926">
    <w:name w:val="正文文本 3 Char"/>
    <w:next w:val="926"/>
    <w:link w:val="925"/>
    <w:rPr>
      <w:rFonts w:ascii="Times New Roman" w:hAnsi="Times New Roman" w:eastAsia="宋体" w:cs="Times New Roman"/>
      <w:sz w:val="16"/>
      <w:lang w:val="en-US" w:eastAsia="zh-CN" w:bidi="ar-SA"/>
    </w:rPr>
  </w:style>
  <w:style w:type="paragraph" w:styleId="927">
    <w:name w:val="正文文本"/>
    <w:basedOn w:val="891"/>
    <w:next w:val="920"/>
    <w:link w:val="928"/>
    <w:pPr>
      <w:spacing w:after="120" w:afterAutospacing="0"/>
    </w:pPr>
  </w:style>
  <w:style w:type="character" w:styleId="928">
    <w:name w:val="正文文本 Char1"/>
    <w:next w:val="928"/>
    <w:link w:val="927"/>
    <w:rPr>
      <w:rFonts w:ascii="Times New Roman" w:hAnsi="Times New Roman" w:eastAsia="宋体" w:cs="Times New Roman"/>
      <w:sz w:val="21"/>
      <w:lang w:val="en-US" w:eastAsia="zh-CN" w:bidi="ar-SA"/>
    </w:rPr>
  </w:style>
  <w:style w:type="paragraph" w:styleId="929">
    <w:name w:val="列表 2"/>
    <w:basedOn w:val="891"/>
    <w:next w:val="929"/>
    <w:link w:val="891"/>
    <w:pPr>
      <w:ind w:left="840" w:hanging="420"/>
      <w:jc w:val="left"/>
    </w:pPr>
    <w:rPr>
      <w:rFonts w:ascii="Times New Roman" w:hAnsi="Times New Roman" w:eastAsia="宋体" w:cs="Times New Roman"/>
    </w:rPr>
  </w:style>
  <w:style w:type="paragraph" w:styleId="930">
    <w:name w:val="文本块"/>
    <w:basedOn w:val="891"/>
    <w:next w:val="930"/>
    <w:link w:val="891"/>
    <w:pPr>
      <w:ind w:left="630" w:firstLine="420"/>
      <w:spacing w:line="380" w:lineRule="exact"/>
    </w:pPr>
    <w:rPr>
      <w:rFonts w:ascii="宋体" w:hAnsi="宋体" w:eastAsia="宋体" w:cs="Times New Roman"/>
    </w:rPr>
  </w:style>
  <w:style w:type="paragraph" w:styleId="931">
    <w:name w:val="目录 5"/>
    <w:basedOn w:val="891"/>
    <w:next w:val="891"/>
    <w:link w:val="891"/>
    <w:pPr>
      <w:ind w:left="1680"/>
    </w:pPr>
    <w:rPr>
      <w:rFonts w:ascii="Calibri" w:hAnsi="Calibri" w:eastAsia="宋体" w:cs="Times New Roman"/>
    </w:rPr>
  </w:style>
  <w:style w:type="paragraph" w:styleId="932">
    <w:name w:val="目录 3"/>
    <w:basedOn w:val="891"/>
    <w:next w:val="891"/>
    <w:link w:val="891"/>
    <w:pPr>
      <w:ind w:left="840"/>
    </w:pPr>
    <w:rPr>
      <w:rFonts w:ascii="Times New Roman" w:hAnsi="Times New Roman" w:eastAsia="宋体" w:cs="Times New Roman"/>
    </w:rPr>
  </w:style>
  <w:style w:type="paragraph" w:styleId="933">
    <w:name w:val="纯文本"/>
    <w:basedOn w:val="891"/>
    <w:next w:val="933"/>
    <w:link w:val="934"/>
    <w:rPr>
      <w:rFonts w:hint="eastAsia" w:ascii="宋体" w:hAnsi="Courier New" w:eastAsia="楷体_GB2312"/>
      <w:sz w:val="28"/>
    </w:rPr>
  </w:style>
  <w:style w:type="character" w:styleId="934">
    <w:name w:val="纯文本 Char"/>
    <w:next w:val="934"/>
    <w:link w:val="933"/>
    <w:rPr>
      <w:rFonts w:hint="eastAsia" w:ascii="宋体" w:hAnsi="Courier New" w:eastAsia="楷体_GB2312" w:cs="Times New Roman"/>
      <w:sz w:val="28"/>
      <w:lang w:val="en-US" w:eastAsia="zh-CN"/>
    </w:rPr>
  </w:style>
  <w:style w:type="paragraph" w:styleId="935">
    <w:name w:val="列表项目符号 5"/>
    <w:basedOn w:val="891"/>
    <w:next w:val="935"/>
    <w:link w:val="891"/>
    <w:pPr>
      <w:numPr>
        <w:ilvl w:val="0"/>
        <w:numId w:val="2"/>
      </w:numPr>
      <w:ind w:left="2040"/>
      <w:tabs>
        <w:tab w:val="left" w:pos="2040" w:leader="none"/>
      </w:tabs>
    </w:pPr>
    <w:rPr>
      <w:rFonts w:ascii="Times New Roman" w:hAnsi="Times New Roman" w:eastAsia="宋体" w:cs="Times New Roman"/>
    </w:rPr>
  </w:style>
  <w:style w:type="paragraph" w:styleId="936">
    <w:name w:val="目录 8"/>
    <w:basedOn w:val="891"/>
    <w:next w:val="891"/>
    <w:link w:val="891"/>
    <w:pPr>
      <w:ind w:left="2940"/>
    </w:pPr>
    <w:rPr>
      <w:rFonts w:ascii="Calibri" w:hAnsi="Calibri" w:eastAsia="宋体" w:cs="Times New Roman"/>
    </w:rPr>
  </w:style>
  <w:style w:type="paragraph" w:styleId="937">
    <w:name w:val="日期"/>
    <w:basedOn w:val="892"/>
    <w:next w:val="891"/>
    <w:link w:val="938"/>
    <w:pPr>
      <w:tabs>
        <w:tab w:val="left" w:pos="1134" w:leader="none"/>
      </w:tabs>
    </w:pPr>
    <w:rPr>
      <w:rFonts w:ascii="黑体"/>
      <w:position w:val="6"/>
    </w:rPr>
  </w:style>
  <w:style w:type="character" w:styleId="938">
    <w:name w:val="日期 Char"/>
    <w:next w:val="938"/>
    <w:link w:val="937"/>
    <w:rPr>
      <w:rFonts w:ascii="黑体" w:hAnsi="Times New Roman" w:eastAsia="宋体" w:cs="Times New Roman"/>
      <w:position w:val="6"/>
      <w:sz w:val="21"/>
      <w:lang w:val="en-US" w:eastAsia="zh-CN"/>
    </w:rPr>
  </w:style>
  <w:style w:type="paragraph" w:styleId="939">
    <w:name w:val="正文文本缩进 2"/>
    <w:basedOn w:val="891"/>
    <w:next w:val="939"/>
    <w:link w:val="940"/>
    <w:pPr>
      <w:ind w:firstLine="570"/>
      <w:spacing w:line="520" w:lineRule="atLeast"/>
    </w:pPr>
    <w:rPr>
      <w:rFonts w:ascii="方正仿宋简体" w:hAnsi="创艺简仿宋" w:eastAsia="方正仿宋简体"/>
      <w:sz w:val="24"/>
    </w:rPr>
  </w:style>
  <w:style w:type="character" w:styleId="940">
    <w:name w:val="正文文本缩进 2 Char"/>
    <w:next w:val="940"/>
    <w:link w:val="939"/>
    <w:rPr>
      <w:rFonts w:ascii="方正仿宋简体" w:hAnsi="创艺简仿宋" w:eastAsia="方正仿宋简体" w:cs="Times New Roman"/>
      <w:sz w:val="24"/>
      <w:lang w:val="en-US" w:eastAsia="zh-CN" w:bidi="ar-SA"/>
    </w:rPr>
  </w:style>
  <w:style w:type="paragraph" w:styleId="941">
    <w:name w:val="批注框文本"/>
    <w:basedOn w:val="891"/>
    <w:next w:val="941"/>
    <w:link w:val="942"/>
    <w:rPr>
      <w:sz w:val="18"/>
    </w:rPr>
  </w:style>
  <w:style w:type="character" w:styleId="942">
    <w:name w:val="批注框文本 Char"/>
    <w:next w:val="942"/>
    <w:link w:val="941"/>
    <w:rPr>
      <w:rFonts w:ascii="Times New Roman" w:hAnsi="Times New Roman" w:eastAsia="宋体" w:cs="Times New Roman"/>
      <w:sz w:val="18"/>
      <w:lang w:val="en-US" w:eastAsia="zh-CN" w:bidi="ar-SA"/>
    </w:rPr>
  </w:style>
  <w:style w:type="paragraph" w:styleId="943">
    <w:name w:val="页脚"/>
    <w:basedOn w:val="891"/>
    <w:next w:val="943"/>
    <w:link w:val="944"/>
    <w:pPr>
      <w:jc w:val="left"/>
      <w:tabs>
        <w:tab w:val="center" w:pos="4153" w:leader="none"/>
        <w:tab w:val="right" w:pos="8306" w:leader="none"/>
      </w:tabs>
    </w:pPr>
    <w:rPr>
      <w:sz w:val="18"/>
    </w:rPr>
  </w:style>
  <w:style w:type="character" w:styleId="944">
    <w:name w:val="页脚 Char1"/>
    <w:next w:val="944"/>
    <w:link w:val="943"/>
    <w:rPr>
      <w:rFonts w:ascii="Times New Roman" w:hAnsi="Times New Roman" w:eastAsia="宋体" w:cs="Times New Roman"/>
      <w:sz w:val="18"/>
      <w:lang w:val="en-US" w:eastAsia="zh-CN" w:bidi="ar-SA"/>
    </w:rPr>
  </w:style>
  <w:style w:type="paragraph" w:styleId="945">
    <w:name w:val="页眉"/>
    <w:basedOn w:val="891"/>
    <w:next w:val="945"/>
    <w:link w:val="946"/>
    <w:pPr>
      <w:jc w:val="center"/>
      <w:tabs>
        <w:tab w:val="center" w:pos="4153" w:leader="none"/>
        <w:tab w:val="right" w:pos="8306" w:leader="none"/>
      </w:tabs>
      <w:pBdr>
        <w:bottom w:val="single" w:color="000000" w:sz="6" w:space="1"/>
      </w:pBdr>
    </w:pPr>
    <w:rPr>
      <w:sz w:val="18"/>
    </w:rPr>
  </w:style>
  <w:style w:type="character" w:styleId="946">
    <w:name w:val="页眉 Char1"/>
    <w:next w:val="946"/>
    <w:link w:val="945"/>
    <w:rPr>
      <w:rFonts w:ascii="Times New Roman" w:hAnsi="Times New Roman" w:eastAsia="宋体" w:cs="Times New Roman"/>
      <w:sz w:val="18"/>
      <w:lang w:val="en-US" w:eastAsia="zh-CN" w:bidi="ar-SA"/>
    </w:rPr>
  </w:style>
  <w:style w:type="paragraph" w:styleId="947">
    <w:name w:val="目录 1"/>
    <w:basedOn w:val="891"/>
    <w:next w:val="891"/>
    <w:link w:val="891"/>
    <w:pPr>
      <w:jc w:val="center"/>
    </w:pPr>
    <w:rPr>
      <w:rFonts w:ascii="Times New Roman" w:hAnsi="Times New Roman" w:eastAsia="宋体" w:cs="Times New Roman"/>
    </w:rPr>
  </w:style>
  <w:style w:type="paragraph" w:styleId="948">
    <w:name w:val="目录 4"/>
    <w:basedOn w:val="891"/>
    <w:next w:val="891"/>
    <w:link w:val="891"/>
    <w:pPr>
      <w:ind w:left="1260"/>
    </w:pPr>
    <w:rPr>
      <w:rFonts w:ascii="Calibri" w:hAnsi="Calibri" w:eastAsia="宋体" w:cs="Times New Roman"/>
    </w:rPr>
  </w:style>
  <w:style w:type="paragraph" w:styleId="949">
    <w:name w:val="列表"/>
    <w:basedOn w:val="891"/>
    <w:next w:val="949"/>
    <w:link w:val="891"/>
    <w:pPr>
      <w:ind w:left="200" w:hanging="200"/>
    </w:pPr>
    <w:rPr>
      <w:rFonts w:ascii="Times New Roman" w:hAnsi="Times New Roman" w:eastAsia="宋体" w:cs="Times New Roman"/>
    </w:rPr>
  </w:style>
  <w:style w:type="paragraph" w:styleId="950">
    <w:name w:val="脚注文本"/>
    <w:basedOn w:val="891"/>
    <w:next w:val="950"/>
    <w:link w:val="891"/>
    <w:uiPriority w:val="99"/>
    <w:unhideWhenUsed/>
    <w:pPr>
      <w:jc w:val="left"/>
    </w:pPr>
    <w:rPr>
      <w:sz w:val="18"/>
      <w:szCs w:val="18"/>
    </w:rPr>
  </w:style>
  <w:style w:type="paragraph" w:styleId="951">
    <w:name w:val="目录 6"/>
    <w:basedOn w:val="891"/>
    <w:next w:val="891"/>
    <w:link w:val="891"/>
    <w:pPr>
      <w:ind w:left="1050"/>
      <w:jc w:val="left"/>
    </w:pPr>
    <w:rPr>
      <w:rFonts w:ascii="Times New Roman" w:hAnsi="Times New Roman" w:eastAsia="宋体" w:cs="Times New Roman"/>
    </w:rPr>
  </w:style>
  <w:style w:type="paragraph" w:styleId="952">
    <w:name w:val="正文文本缩进 3"/>
    <w:basedOn w:val="891"/>
    <w:next w:val="952"/>
    <w:link w:val="953"/>
    <w:pPr>
      <w:ind w:left="420"/>
      <w:spacing w:after="120" w:afterAutospacing="0"/>
    </w:pPr>
    <w:rPr>
      <w:sz w:val="16"/>
    </w:rPr>
  </w:style>
  <w:style w:type="character" w:styleId="953">
    <w:name w:val="正文文本缩进 3 Char"/>
    <w:next w:val="953"/>
    <w:link w:val="952"/>
    <w:rPr>
      <w:rFonts w:ascii="Times New Roman" w:hAnsi="Times New Roman" w:eastAsia="宋体" w:cs="Times New Roman"/>
      <w:sz w:val="16"/>
      <w:lang w:val="en-US" w:eastAsia="zh-CN" w:bidi="ar-SA"/>
    </w:rPr>
  </w:style>
  <w:style w:type="paragraph" w:styleId="954">
    <w:name w:val="目录 2"/>
    <w:basedOn w:val="891"/>
    <w:next w:val="891"/>
    <w:link w:val="891"/>
    <w:pPr>
      <w:ind w:left="420"/>
    </w:pPr>
    <w:rPr>
      <w:rFonts w:ascii="Times New Roman" w:hAnsi="Times New Roman" w:eastAsia="宋体" w:cs="Times New Roman"/>
    </w:rPr>
  </w:style>
  <w:style w:type="paragraph" w:styleId="955">
    <w:name w:val="目录 9"/>
    <w:basedOn w:val="891"/>
    <w:next w:val="891"/>
    <w:link w:val="891"/>
    <w:pPr>
      <w:ind w:left="3360"/>
    </w:pPr>
    <w:rPr>
      <w:rFonts w:ascii="Calibri" w:hAnsi="Calibri" w:eastAsia="宋体" w:cs="Times New Roman"/>
    </w:rPr>
  </w:style>
  <w:style w:type="paragraph" w:styleId="956">
    <w:name w:val="正文文本 2"/>
    <w:basedOn w:val="891"/>
    <w:next w:val="956"/>
    <w:link w:val="957"/>
    <w:rPr>
      <w:rFonts w:ascii="仿宋_GB2312" w:hAnsi="宋体" w:eastAsia="仿宋_GB2312"/>
      <w:spacing w:val="20"/>
      <w:sz w:val="24"/>
    </w:rPr>
  </w:style>
  <w:style w:type="character" w:styleId="957">
    <w:name w:val="正文文本 2 Char"/>
    <w:next w:val="957"/>
    <w:link w:val="956"/>
    <w:rPr>
      <w:rFonts w:ascii="仿宋_GB2312" w:hAnsi="宋体" w:eastAsia="仿宋_GB2312" w:cs="Times New Roman"/>
      <w:spacing w:val="20"/>
      <w:sz w:val="24"/>
      <w:lang w:val="en-US" w:eastAsia="zh-CN" w:bidi="ar-SA"/>
    </w:rPr>
  </w:style>
  <w:style w:type="paragraph" w:styleId="958">
    <w:name w:val="列表 4"/>
    <w:basedOn w:val="891"/>
    <w:next w:val="958"/>
    <w:link w:val="891"/>
    <w:pPr>
      <w:ind w:left="100" w:hanging="200"/>
    </w:pPr>
    <w:rPr>
      <w:rFonts w:ascii="Times New Roman" w:hAnsi="Times New Roman" w:eastAsia="宋体" w:cs="Times New Roman"/>
    </w:rPr>
  </w:style>
  <w:style w:type="paragraph" w:styleId="959">
    <w:name w:val="HTML 预设格式"/>
    <w:basedOn w:val="891"/>
    <w:next w:val="959"/>
    <w:link w:val="96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60">
    <w:name w:val="HTML 预设格式 Char"/>
    <w:next w:val="960"/>
    <w:link w:val="959"/>
    <w:rPr>
      <w:rFonts w:ascii="黑体" w:hAnsi="Courier New" w:eastAsia="黑体" w:cs="Times New Roman"/>
      <w:lang w:val="en-US" w:eastAsia="zh-CN" w:bidi="ar-SA"/>
    </w:rPr>
  </w:style>
  <w:style w:type="paragraph" w:styleId="961">
    <w:name w:val="普通(网站)"/>
    <w:basedOn w:val="891"/>
    <w:next w:val="961"/>
    <w:link w:val="891"/>
    <w:pPr>
      <w:jc w:val="left"/>
      <w:spacing w:before="100" w:beforeAutospacing="1" w:after="100" w:afterAutospacing="1"/>
      <w:widowControl/>
    </w:pPr>
    <w:rPr>
      <w:rFonts w:hint="eastAsia" w:ascii="宋体" w:hAnsi="宋体" w:eastAsia="宋体" w:cs="Times New Roman"/>
      <w:sz w:val="24"/>
    </w:rPr>
  </w:style>
  <w:style w:type="paragraph" w:styleId="962">
    <w:name w:val="列表接续 3"/>
    <w:basedOn w:val="891"/>
    <w:next w:val="962"/>
    <w:link w:val="891"/>
    <w:pPr>
      <w:ind w:left="1260"/>
      <w:spacing w:after="120" w:afterAutospacing="0"/>
    </w:pPr>
    <w:rPr>
      <w:rFonts w:ascii="Times New Roman" w:hAnsi="Times New Roman" w:eastAsia="宋体" w:cs="Times New Roman"/>
    </w:rPr>
  </w:style>
  <w:style w:type="paragraph" w:styleId="963">
    <w:name w:val="索引 1"/>
    <w:basedOn w:val="891"/>
    <w:next w:val="891"/>
    <w:link w:val="891"/>
    <w:rPr>
      <w:rFonts w:ascii="Times New Roman" w:hAnsi="Times New Roman" w:eastAsia="楷体_GB2312" w:cs="Times New Roman"/>
      <w:sz w:val="28"/>
    </w:rPr>
  </w:style>
  <w:style w:type="paragraph" w:styleId="964">
    <w:name w:val="标题"/>
    <w:basedOn w:val="891"/>
    <w:next w:val="891"/>
    <w:link w:val="965"/>
    <w:qFormat/>
    <w:pPr>
      <w:jc w:val="center"/>
      <w:spacing w:before="240" w:beforeAutospacing="0" w:after="60" w:afterAutospacing="0"/>
      <w:outlineLvl w:val="0"/>
    </w:pPr>
    <w:rPr>
      <w:rFonts w:ascii="Arial" w:hAnsi="Arial"/>
      <w:b/>
      <w:sz w:val="32"/>
    </w:rPr>
  </w:style>
  <w:style w:type="character" w:styleId="965">
    <w:name w:val="标题 Char"/>
    <w:next w:val="965"/>
    <w:link w:val="964"/>
    <w:rPr>
      <w:rFonts w:ascii="Arial" w:hAnsi="Arial" w:eastAsia="宋体" w:cs="Times New Roman"/>
      <w:b/>
      <w:sz w:val="32"/>
      <w:lang w:val="en-US" w:eastAsia="zh-CN"/>
    </w:rPr>
  </w:style>
  <w:style w:type="paragraph" w:styleId="966">
    <w:name w:val="正文首行缩进"/>
    <w:basedOn w:val="927"/>
    <w:next w:val="903"/>
    <w:link w:val="967"/>
    <w:pPr>
      <w:ind w:firstLine="420"/>
      <w:jc w:val="both"/>
      <w:spacing w:after="120" w:afterAutospacing="0"/>
    </w:pPr>
    <w:rPr>
      <w:sz w:val="20"/>
    </w:rPr>
  </w:style>
  <w:style w:type="character" w:styleId="967">
    <w:name w:val="正文首行缩进 Char"/>
    <w:next w:val="967"/>
    <w:link w:val="966"/>
    <w:rPr>
      <w:rFonts w:ascii="Times New Roman" w:hAnsi="Times New Roman" w:eastAsia="宋体" w:cs="Times New Roman"/>
      <w:lang w:val="en-US" w:eastAsia="zh-CN"/>
    </w:rPr>
  </w:style>
  <w:style w:type="table" w:styleId="968">
    <w:name w:val="网格型"/>
    <w:basedOn w:val="902"/>
    <w:next w:val="968"/>
    <w:link w:val="891"/>
    <w:pPr>
      <w:jc w:val="both"/>
      <w:widowControl w:val="off"/>
    </w:pPr>
    <w:rPr>
      <w:rFonts w:ascii="Times New Roman" w:hAnsi="Times New Roman" w:eastAsia="宋体" w:cs="Times New Roman"/>
    </w:rPr>
    <w:tblPr/>
  </w:style>
  <w:style w:type="character" w:styleId="969">
    <w:name w:val="要点"/>
    <w:next w:val="969"/>
    <w:link w:val="891"/>
    <w:qFormat/>
    <w:rPr>
      <w:rFonts w:ascii="Times New Roman" w:hAnsi="Times New Roman" w:eastAsia="宋体" w:cs="Times New Roman"/>
      <w:b/>
    </w:rPr>
  </w:style>
  <w:style w:type="character" w:styleId="970">
    <w:name w:val="页码"/>
    <w:basedOn w:val="901"/>
    <w:next w:val="970"/>
    <w:link w:val="891"/>
    <w:rPr>
      <w:rFonts w:ascii="Times New Roman" w:hAnsi="Times New Roman" w:eastAsia="宋体" w:cs="Times New Roman"/>
    </w:rPr>
  </w:style>
  <w:style w:type="character" w:styleId="971">
    <w:name w:val="已访问的超链接"/>
    <w:next w:val="971"/>
    <w:link w:val="891"/>
    <w:rPr>
      <w:rFonts w:ascii="Times New Roman" w:hAnsi="Times New Roman" w:eastAsia="宋体" w:cs="Times New Roman"/>
      <w:color w:val="800080"/>
      <w:u w:val="single"/>
    </w:rPr>
  </w:style>
  <w:style w:type="character" w:styleId="972">
    <w:name w:val="超链接"/>
    <w:next w:val="972"/>
    <w:link w:val="891"/>
    <w:rPr>
      <w:rFonts w:ascii="Times New Roman" w:hAnsi="Times New Roman" w:eastAsia="宋体" w:cs="Times New Roman"/>
      <w:color w:val="0000ff"/>
      <w:u w:val="single"/>
    </w:rPr>
  </w:style>
  <w:style w:type="character" w:styleId="973">
    <w:name w:val="脚注引用"/>
    <w:next w:val="973"/>
    <w:link w:val="891"/>
    <w:unhideWhenUsed/>
    <w:qFormat/>
    <w:rPr>
      <w:vertAlign w:val="superscript"/>
    </w:rPr>
  </w:style>
  <w:style w:type="paragraph" w:styleId="974">
    <w:name w:val="文本块1"/>
    <w:basedOn w:val="891"/>
    <w:next w:val="974"/>
    <w:link w:val="891"/>
    <w:qFormat/>
    <w:pPr>
      <w:ind w:left="630" w:right="-609" w:firstLine="420"/>
      <w:spacing w:line="360" w:lineRule="auto"/>
    </w:pPr>
    <w:rPr>
      <w:rFonts w:hint="eastAsia" w:ascii="仿宋_GB2312" w:hAnsi="Times New Roman" w:eastAsia="仿宋_GB2312" w:cs="Times New Roman"/>
      <w:szCs w:val="20"/>
    </w:rPr>
  </w:style>
  <w:style w:type="paragraph" w:styleId="975">
    <w:name w:val="Char Char Char Char Char Char Char Char Char Char Char Char Char"/>
    <w:basedOn w:val="892"/>
    <w:next w:val="891"/>
    <w:link w:val="891"/>
    <w:qFormat/>
    <w:pPr>
      <w:ind w:left="0" w:firstLine="3584"/>
      <w:spacing w:before="0" w:after="160" w:line="240" w:lineRule="exact"/>
      <w:tabs>
        <w:tab w:val="left" w:pos="1134" w:leader="none"/>
      </w:tabs>
    </w:pPr>
    <w:rPr>
      <w:rFonts w:ascii="Times New Roman" w:hAnsi="Times New Roman" w:cs="Times New Roman"/>
    </w:rPr>
  </w:style>
  <w:style w:type="character" w:styleId="976">
    <w:name w:val="title_emph"/>
    <w:next w:val="976"/>
    <w:link w:val="891"/>
    <w:rPr>
      <w:rFonts w:ascii="Times New Roman" w:hAnsi="Times New Roman" w:eastAsia="宋体" w:cs="Times New Roman"/>
    </w:rPr>
  </w:style>
  <w:style w:type="character" w:styleId="977">
    <w:name w:val="title_emph1"/>
    <w:next w:val="977"/>
    <w:link w:val="891"/>
    <w:rPr>
      <w:rFonts w:ascii="Arial" w:hAnsi="Arial" w:eastAsia="宋体" w:cs="Times New Roman"/>
      <w:b/>
      <w:sz w:val="18"/>
    </w:rPr>
  </w:style>
  <w:style w:type="character" w:styleId="978">
    <w:name w:val="font31"/>
    <w:next w:val="978"/>
    <w:link w:val="891"/>
    <w:rPr>
      <w:rFonts w:hint="eastAsia" w:ascii="宋体" w:hAnsi="宋体" w:eastAsia="宋体" w:cs="宋体"/>
      <w:color w:val="ff0000"/>
      <w:sz w:val="20"/>
      <w:szCs w:val="20"/>
      <w:u w:val="none"/>
    </w:rPr>
  </w:style>
  <w:style w:type="character" w:styleId="979">
    <w:name w:val="zw"/>
    <w:next w:val="979"/>
    <w:link w:val="891"/>
    <w:rPr>
      <w:rFonts w:ascii="Times New Roman" w:hAnsi="宋体" w:eastAsia="宋体" w:cs="Times New Roman"/>
      <w:color w:val="000000"/>
      <w:sz w:val="24"/>
    </w:rPr>
  </w:style>
  <w:style w:type="character" w:styleId="980">
    <w:name w:val="Plain Text Char Char"/>
    <w:next w:val="980"/>
    <w:link w:val="891"/>
    <w:rPr>
      <w:rFonts w:ascii="宋体" w:hAnsi="Courier New" w:eastAsia="楷体_GB2312" w:cs="Times New Roman"/>
      <w:sz w:val="20"/>
      <w:szCs w:val="20"/>
    </w:rPr>
  </w:style>
  <w:style w:type="character" w:styleId="981">
    <w:name w:val="bct1"/>
    <w:next w:val="981"/>
    <w:link w:val="891"/>
    <w:rPr>
      <w:rFonts w:ascii="Times New Roman" w:hAnsi="Times New Roman" w:eastAsia="宋体" w:cs="Times New Roman"/>
      <w:color w:val="cccccc"/>
    </w:rPr>
  </w:style>
  <w:style w:type="character" w:styleId="982">
    <w:name w:val="pt11"/>
    <w:next w:val="982"/>
    <w:link w:val="891"/>
    <w:rPr>
      <w:rFonts w:ascii="Times New Roman" w:hAnsi="Times New Roman" w:eastAsia="宋体" w:cs="Times New Roman"/>
    </w:rPr>
  </w:style>
  <w:style w:type="character" w:styleId="983">
    <w:name w:val=" Char Char17"/>
    <w:next w:val="983"/>
    <w:link w:val="891"/>
    <w:rPr>
      <w:rFonts w:ascii="Times New Roman" w:hAnsi="Times New Roman" w:eastAsia="宋体" w:cs="Times New Roman"/>
      <w:b/>
      <w:sz w:val="24"/>
      <w:szCs w:val="20"/>
    </w:rPr>
  </w:style>
  <w:style w:type="character" w:styleId="984">
    <w:name w:val=" Char Char23"/>
    <w:next w:val="984"/>
    <w:link w:val="891"/>
    <w:rPr>
      <w:rFonts w:ascii="宋体" w:hAnsi="宋体" w:eastAsia="宋体" w:cs="Times New Roman"/>
      <w:b/>
      <w:szCs w:val="20"/>
    </w:rPr>
  </w:style>
  <w:style w:type="character" w:styleId="985">
    <w:name w:val="textred1"/>
    <w:next w:val="985"/>
    <w:link w:val="891"/>
    <w:rPr>
      <w:rFonts w:ascii="Times New Roman" w:hAnsi="Times New Roman" w:eastAsia="宋体" w:cs="Times New Roman"/>
      <w:color w:val="ff0000"/>
      <w:u w:val="none"/>
    </w:rPr>
  </w:style>
  <w:style w:type="character" w:styleId="986">
    <w:name w:val=" Char Char11"/>
    <w:next w:val="986"/>
    <w:link w:val="891"/>
    <w:rPr>
      <w:rFonts w:ascii="Arial" w:hAnsi="Arial" w:eastAsia="宋体" w:cs="Times New Roman"/>
      <w:b/>
      <w:sz w:val="32"/>
    </w:rPr>
  </w:style>
  <w:style w:type="character" w:styleId="987">
    <w:name w:val="unnamed41"/>
    <w:next w:val="987"/>
    <w:link w:val="891"/>
    <w:rPr>
      <w:rFonts w:ascii="Times New Roman" w:hAnsi="Times New Roman" w:eastAsia="宋体" w:cs="Times New Roman"/>
      <w:sz w:val="20"/>
    </w:rPr>
  </w:style>
  <w:style w:type="character" w:styleId="988">
    <w:name w:val="word1"/>
    <w:next w:val="988"/>
    <w:link w:val="891"/>
    <w:rPr>
      <w:rFonts w:ascii="_x000B__x000C_" w:hAnsi="_x000B__x000C_" w:eastAsia="宋体" w:cs="Times New Roman"/>
      <w:color w:val="000000"/>
      <w:spacing w:val="270"/>
      <w:sz w:val="18"/>
    </w:rPr>
  </w:style>
  <w:style w:type="character" w:styleId="989">
    <w:name w:val="apple-style-span"/>
    <w:next w:val="989"/>
    <w:link w:val="891"/>
    <w:rPr>
      <w:rFonts w:ascii="Times New Roman" w:hAnsi="Times New Roman" w:eastAsia="宋体" w:cs="Times New Roman"/>
    </w:rPr>
  </w:style>
  <w:style w:type="character" w:styleId="990">
    <w:name w:val=" Char Char12"/>
    <w:next w:val="990"/>
    <w:link w:val="891"/>
    <w:rPr>
      <w:rFonts w:ascii="Times New Roman" w:hAnsi="Times New Roman" w:eastAsia="宋体" w:cs="Times New Roman"/>
      <w:lang w:val="en-US" w:eastAsia="zh-CN"/>
    </w:rPr>
  </w:style>
  <w:style w:type="character" w:styleId="991">
    <w:name w:val="页眉 Char"/>
    <w:next w:val="991"/>
    <w:link w:val="891"/>
    <w:rPr>
      <w:rFonts w:ascii="Times New Roman" w:hAnsi="Times New Roman" w:eastAsia="宋体" w:cs="Times New Roman"/>
      <w:sz w:val="18"/>
      <w:szCs w:val="18"/>
    </w:rPr>
  </w:style>
  <w:style w:type="character" w:styleId="992">
    <w:name w:val="Figure Description Char Char"/>
    <w:next w:val="992"/>
    <w:link w:val="993"/>
    <w:rPr>
      <w:rFonts w:ascii="Arial" w:hAnsi="Arial" w:eastAsia="黑体"/>
      <w:sz w:val="18"/>
      <w:lang w:val="en-US" w:eastAsia="zh-CN" w:bidi="ar-SA"/>
    </w:rPr>
  </w:style>
  <w:style w:type="paragraph" w:styleId="993">
    <w:name w:val="Figure Description"/>
    <w:next w:val="891"/>
    <w:link w:val="992"/>
    <w:pPr>
      <w:ind w:left="1701"/>
      <w:jc w:val="center"/>
      <w:spacing w:before="80" w:after="320"/>
    </w:pPr>
    <w:rPr>
      <w:rFonts w:ascii="Arial" w:hAnsi="Arial" w:eastAsia="黑体"/>
      <w:sz w:val="18"/>
      <w:lang w:val="en-US" w:eastAsia="zh-CN" w:bidi="ar-SA"/>
    </w:rPr>
  </w:style>
  <w:style w:type="character" w:styleId="994">
    <w:name w:val="tpc_content1"/>
    <w:next w:val="994"/>
    <w:link w:val="891"/>
    <w:rPr>
      <w:rFonts w:ascii="Times New Roman" w:hAnsi="Times New Roman" w:eastAsia="宋体" w:cs="Times New Roman"/>
      <w:sz w:val="20"/>
    </w:rPr>
  </w:style>
  <w:style w:type="character" w:styleId="995">
    <w:name w:val=" Char Char19"/>
    <w:next w:val="995"/>
    <w:link w:val="891"/>
    <w:rPr>
      <w:rFonts w:ascii="Times New Roman" w:hAnsi="Times New Roman" w:eastAsia="宋体" w:cs="Times New Roman"/>
      <w:b/>
      <w:sz w:val="28"/>
      <w:szCs w:val="20"/>
    </w:rPr>
  </w:style>
  <w:style w:type="character" w:styleId="996">
    <w:name w:val=" Char Char8"/>
    <w:next w:val="996"/>
    <w:link w:val="891"/>
    <w:rPr>
      <w:rFonts w:ascii="方正仿宋简体" w:hAnsi="创艺简仿宋" w:eastAsia="方正仿宋简体" w:cs="Times New Roman"/>
      <w:sz w:val="24"/>
      <w:szCs w:val="20"/>
    </w:rPr>
  </w:style>
  <w:style w:type="character" w:styleId="997">
    <w:name w:val="text"/>
    <w:next w:val="997"/>
    <w:link w:val="891"/>
    <w:rPr>
      <w:rFonts w:ascii="Times New Roman" w:hAnsi="Times New Roman" w:eastAsia="宋体" w:cs="Times New Roman"/>
    </w:rPr>
  </w:style>
  <w:style w:type="character" w:styleId="998">
    <w:name w:val="font81"/>
    <w:next w:val="998"/>
    <w:link w:val="891"/>
    <w:rPr>
      <w:rFonts w:hint="eastAsia" w:ascii="宋体" w:hAnsi="宋体" w:eastAsia="宋体" w:cs="宋体"/>
      <w:color w:val="000000"/>
      <w:sz w:val="20"/>
      <w:szCs w:val="20"/>
      <w:u w:val="none"/>
    </w:rPr>
  </w:style>
  <w:style w:type="character" w:styleId="999">
    <w:name w:val=" Char Char15"/>
    <w:next w:val="999"/>
    <w:link w:val="891"/>
    <w:rPr>
      <w:rFonts w:ascii="Arial" w:hAnsi="Arial" w:eastAsia="黑体" w:cs="Times New Roman"/>
      <w:szCs w:val="20"/>
    </w:rPr>
  </w:style>
  <w:style w:type="character" w:styleId="1000">
    <w:name w:val="yxMark"/>
    <w:next w:val="1000"/>
    <w:link w:val="891"/>
    <w:rPr>
      <w:rFonts w:ascii="Courier New" w:hAnsi="Courier New" w:eastAsia="宋体" w:cs="Times New Roman"/>
      <w:vanish/>
      <w:color w:val="800000"/>
      <w:sz w:val="20"/>
      <w:vertAlign w:val="subscript"/>
    </w:rPr>
  </w:style>
  <w:style w:type="character" w:styleId="1001">
    <w:name w:val=" Char Char10"/>
    <w:next w:val="1001"/>
    <w:link w:val="891"/>
    <w:rPr>
      <w:rFonts w:ascii="宋体" w:hAnsi="Courier New" w:eastAsia="楷体_GB2312" w:cs="Times New Roman"/>
      <w:sz w:val="28"/>
    </w:rPr>
  </w:style>
  <w:style w:type="character" w:styleId="1002">
    <w:name w:val="Table Text Char Char Char Char Char Char"/>
    <w:next w:val="1002"/>
    <w:link w:val="891"/>
    <w:rPr>
      <w:rFonts w:ascii="Arial" w:hAnsi="Arial" w:eastAsia="宋体" w:cs="Times New Roman"/>
      <w:sz w:val="18"/>
      <w:lang w:val="en-US" w:eastAsia="zh-CN"/>
    </w:rPr>
  </w:style>
  <w:style w:type="character" w:styleId="1003">
    <w:name w:val=" Char Char18"/>
    <w:next w:val="1003"/>
    <w:link w:val="891"/>
    <w:rPr>
      <w:rFonts w:ascii="Arial" w:hAnsi="Arial" w:eastAsia="黑体" w:cs="Times New Roman"/>
      <w:b/>
      <w:sz w:val="24"/>
      <w:szCs w:val="20"/>
    </w:rPr>
  </w:style>
  <w:style w:type="character" w:styleId="1004">
    <w:name w:val="xl26"/>
    <w:next w:val="1004"/>
    <w:link w:val="891"/>
    <w:rPr>
      <w:rFonts w:ascii="Times New Roman" w:hAnsi="Times New Roman" w:eastAsia="宋体" w:cs="Times New Roman"/>
    </w:rPr>
  </w:style>
  <w:style w:type="character" w:styleId="1005">
    <w:name w:val="pt101"/>
    <w:next w:val="1005"/>
    <w:link w:val="891"/>
    <w:rPr>
      <w:rFonts w:ascii="Times New Roman" w:hAnsi="Times New Roman" w:eastAsia="宋体" w:cs="Times New Roman"/>
      <w:sz w:val="14"/>
    </w:rPr>
  </w:style>
  <w:style w:type="character" w:styleId="1006">
    <w:name w:val="fontsize1"/>
    <w:next w:val="1006"/>
    <w:link w:val="891"/>
    <w:rPr>
      <w:rFonts w:ascii="Times New Roman" w:hAnsi="Times New Roman" w:eastAsia="宋体" w:cs="Times New Roman"/>
      <w:spacing w:val="40"/>
      <w:vertAlign w:val="subscript"/>
    </w:rPr>
  </w:style>
  <w:style w:type="character" w:styleId="1007">
    <w:name w:val="hang1"/>
    <w:next w:val="1007"/>
    <w:link w:val="891"/>
    <w:rPr>
      <w:rFonts w:ascii="Times New Roman" w:hAnsi="Times New Roman" w:eastAsia="宋体" w:cs="Times New Roman"/>
    </w:rPr>
  </w:style>
  <w:style w:type="character" w:styleId="1008">
    <w:name w:val="lineby1"/>
    <w:next w:val="1008"/>
    <w:link w:val="891"/>
    <w:rPr>
      <w:rFonts w:ascii="ˎ̥" w:hAnsi="ˎ̥" w:eastAsia="宋体" w:cs="Times New Roman"/>
      <w:color w:val="000000"/>
      <w:sz w:val="18"/>
    </w:rPr>
  </w:style>
  <w:style w:type="character" w:styleId="1009">
    <w:name w:val="hei12b1"/>
    <w:next w:val="1009"/>
    <w:link w:val="891"/>
    <w:rPr>
      <w:rFonts w:ascii="Times New Roman" w:hAnsi="Times New Roman" w:eastAsia="宋体" w:cs="Times New Roman"/>
      <w:b/>
      <w:color w:val="000000"/>
      <w:sz w:val="18"/>
    </w:rPr>
  </w:style>
  <w:style w:type="character" w:styleId="1010">
    <w:name w:val="prod_content_font_011"/>
    <w:next w:val="1010"/>
    <w:link w:val="891"/>
    <w:rPr>
      <w:rFonts w:ascii="Verdana" w:hAnsi="Verdana" w:eastAsia="宋体" w:cs="Times New Roman"/>
      <w:color w:val="5e5e5e"/>
      <w:sz w:val="22"/>
    </w:rPr>
  </w:style>
  <w:style w:type="character" w:styleId="1011">
    <w:name w:val="titleblack14px1"/>
    <w:next w:val="1011"/>
    <w:link w:val="891"/>
    <w:rPr>
      <w:rFonts w:ascii="Times New Roman" w:hAnsi="Times New Roman" w:eastAsia="宋体" w:cs="Times New Roman"/>
      <w:b/>
      <w:color w:val="000000"/>
      <w:sz w:val="21"/>
    </w:rPr>
  </w:style>
  <w:style w:type="character" w:styleId="1012">
    <w:name w:val="css011"/>
    <w:next w:val="1012"/>
    <w:link w:val="891"/>
    <w:rPr>
      <w:rFonts w:ascii="Times New Roman" w:hAnsi="Times New Roman" w:eastAsia="宋体" w:cs="Times New Roman"/>
    </w:rPr>
  </w:style>
  <w:style w:type="character" w:styleId="1013">
    <w:name w:val="Table Description Char Char Char"/>
    <w:next w:val="1013"/>
    <w:link w:val="1014"/>
    <w:rPr>
      <w:rFonts w:ascii="Arial" w:hAnsi="Arial" w:eastAsia="黑体"/>
      <w:sz w:val="18"/>
      <w:lang w:val="en-US" w:eastAsia="zh-CN" w:bidi="ar-SA"/>
    </w:rPr>
  </w:style>
  <w:style w:type="paragraph" w:styleId="1014">
    <w:name w:val="Table Description Char"/>
    <w:next w:val="891"/>
    <w:link w:val="1013"/>
    <w:pPr>
      <w:ind w:left="1701"/>
      <w:jc w:val="center"/>
      <w:keepNext/>
      <w:spacing w:before="160" w:after="80"/>
    </w:pPr>
    <w:rPr>
      <w:rFonts w:ascii="Arial" w:hAnsi="Arial" w:eastAsia="黑体"/>
      <w:sz w:val="18"/>
      <w:lang w:val="en-US" w:eastAsia="zh-CN" w:bidi="ar-SA"/>
    </w:rPr>
  </w:style>
  <w:style w:type="character" w:styleId="1015">
    <w:name w:val=" Char Char22"/>
    <w:next w:val="1015"/>
    <w:link w:val="891"/>
    <w:rPr>
      <w:rFonts w:ascii="Arial" w:hAnsi="Arial" w:eastAsia="黑体" w:cs="Times New Roman"/>
      <w:b/>
      <w:sz w:val="32"/>
      <w:szCs w:val="20"/>
    </w:rPr>
  </w:style>
  <w:style w:type="character" w:styleId="1016">
    <w:name w:val="正文（首行缩进两字） Char Char Char"/>
    <w:next w:val="1016"/>
    <w:link w:val="891"/>
    <w:rPr>
      <w:rFonts w:ascii="Times New Roman" w:hAnsi="Times New Roman" w:eastAsia="宋体" w:cs="Times New Roman"/>
      <w:sz w:val="21"/>
      <w:lang w:val="en-US" w:eastAsia="zh-CN"/>
    </w:rPr>
  </w:style>
  <w:style w:type="character" w:styleId="1017">
    <w:name w:val=" Char Char20"/>
    <w:next w:val="1017"/>
    <w:link w:val="891"/>
    <w:rPr>
      <w:rFonts w:ascii="宋体" w:hAnsi="宋体" w:eastAsia="宋体" w:cs="Times New Roman"/>
      <w:b/>
      <w:sz w:val="24"/>
      <w:szCs w:val="20"/>
    </w:rPr>
  </w:style>
  <w:style w:type="character" w:styleId="1018">
    <w:name w:val="Date Char"/>
    <w:next w:val="1018"/>
    <w:link w:val="891"/>
    <w:rPr>
      <w:rFonts w:ascii="宋体" w:hAnsi="宋体" w:eastAsia="楷体_GB2312" w:cs="Times New Roman"/>
      <w:sz w:val="20"/>
      <w:szCs w:val="20"/>
    </w:rPr>
  </w:style>
  <w:style w:type="character" w:styleId="1019">
    <w:name w:val="标题 2 Char"/>
    <w:next w:val="1019"/>
    <w:link w:val="891"/>
    <w:rPr>
      <w:rFonts w:hint="eastAsia" w:ascii="宋体" w:hAnsi="宋体" w:eastAsia="楷体_GB2312" w:cs="Times New Roman"/>
      <w:b/>
      <w:sz w:val="28"/>
      <w:lang w:val="en-US" w:eastAsia="zh-CN"/>
    </w:rPr>
  </w:style>
  <w:style w:type="character" w:styleId="1020">
    <w:name w:val="小表格内容 Char Char"/>
    <w:next w:val="1020"/>
    <w:link w:val="1021"/>
    <w:rPr>
      <w:rFonts w:ascii="Arial" w:hAnsi="Arial" w:eastAsia="仿宋_GB2312"/>
      <w:sz w:val="21"/>
      <w:lang w:val="en-US" w:eastAsia="zh-CN" w:bidi="ar-SA"/>
    </w:rPr>
  </w:style>
  <w:style w:type="paragraph" w:styleId="1021">
    <w:name w:val="小表格内容"/>
    <w:next w:val="1021"/>
    <w:link w:val="1020"/>
    <w:pPr>
      <w:spacing w:line="0" w:lineRule="atLeast"/>
    </w:pPr>
    <w:rPr>
      <w:rFonts w:ascii="Arial" w:hAnsi="Arial" w:eastAsia="仿宋_GB2312"/>
      <w:sz w:val="21"/>
      <w:lang w:val="en-US" w:eastAsia="zh-CN" w:bidi="ar-SA"/>
    </w:rPr>
  </w:style>
  <w:style w:type="character" w:styleId="1022">
    <w:name w:val=" Char Char21"/>
    <w:next w:val="1022"/>
    <w:link w:val="891"/>
    <w:rPr>
      <w:rFonts w:ascii="宋体" w:hAnsi="宋体" w:eastAsia="宋体" w:cs="Times New Roman"/>
      <w:b/>
      <w:sz w:val="24"/>
      <w:szCs w:val="20"/>
    </w:rPr>
  </w:style>
  <w:style w:type="character" w:styleId="1023">
    <w:name w:val="style3"/>
    <w:next w:val="1023"/>
    <w:link w:val="891"/>
    <w:rPr>
      <w:rFonts w:ascii="Times New Roman" w:hAnsi="Times New Roman" w:eastAsia="宋体" w:cs="Times New Roman"/>
    </w:rPr>
  </w:style>
  <w:style w:type="character" w:styleId="1024">
    <w:name w:val="para1"/>
    <w:next w:val="1024"/>
    <w:link w:val="891"/>
    <w:rPr>
      <w:rFonts w:ascii="Arial" w:hAnsi="Arial" w:eastAsia="宋体" w:cs="Times New Roman"/>
      <w:sz w:val="18"/>
    </w:rPr>
  </w:style>
  <w:style w:type="character" w:styleId="1025">
    <w:name w:val="clolr_21"/>
    <w:next w:val="1025"/>
    <w:link w:val="891"/>
    <w:rPr>
      <w:rFonts w:ascii="Times New Roman" w:hAnsi="Times New Roman" w:eastAsia="宋体" w:cs="Times New Roman"/>
      <w:shd w:val="clear" w:color="auto" w:fill="f5f5f5"/>
    </w:rPr>
  </w:style>
  <w:style w:type="character" w:styleId="1026">
    <w:name w:val="blacktext"/>
    <w:next w:val="1026"/>
    <w:link w:val="891"/>
    <w:rPr>
      <w:rFonts w:ascii="Times New Roman" w:hAnsi="Times New Roman" w:eastAsia="宋体" w:cs="Times New Roman"/>
    </w:rPr>
  </w:style>
  <w:style w:type="character" w:styleId="1027">
    <w:name w:val="h3 Char"/>
    <w:next w:val="1027"/>
    <w:link w:val="891"/>
    <w:rPr>
      <w:rFonts w:hint="eastAsia" w:ascii="楷体_GB2312" w:hAnsi="Times New Roman" w:eastAsia="楷体_GB2312" w:cs="Times New Roman"/>
      <w:b/>
      <w:sz w:val="28"/>
      <w:lang w:val="en-US" w:eastAsia="zh-CN"/>
    </w:rPr>
  </w:style>
  <w:style w:type="character" w:styleId="1028">
    <w:name w:val="point_normal1"/>
    <w:next w:val="1028"/>
    <w:link w:val="891"/>
    <w:rPr>
      <w:rFonts w:ascii="Arial" w:hAnsi="Arial" w:eastAsia="宋体" w:cs="Times New Roman"/>
      <w:sz w:val="18"/>
    </w:rPr>
  </w:style>
  <w:style w:type="character" w:styleId="1029">
    <w:name w:val="三级目录1 Char"/>
    <w:next w:val="1029"/>
    <w:link w:val="891"/>
    <w:rPr>
      <w:rFonts w:ascii="宋体" w:hAnsi="宋体" w:eastAsia="宋体" w:cs="Times New Roman"/>
      <w:b/>
      <w:sz w:val="24"/>
      <w:szCs w:val="24"/>
      <w:lang w:val="en-US" w:eastAsia="zh-CN" w:bidi="ar-SA"/>
    </w:rPr>
  </w:style>
  <w:style w:type="character" w:styleId="1030">
    <w:name w:val="small-text"/>
    <w:next w:val="1030"/>
    <w:link w:val="891"/>
    <w:rPr>
      <w:rFonts w:ascii="Times New Roman" w:hAnsi="Times New Roman" w:eastAsia="宋体" w:cs="Times New Roman"/>
    </w:rPr>
  </w:style>
  <w:style w:type="character" w:styleId="1031">
    <w:name w:val=" Char Char13"/>
    <w:next w:val="1031"/>
    <w:link w:val="891"/>
    <w:rPr>
      <w:rFonts w:ascii="方正仿宋简体" w:hAnsi="创艺简仿宋" w:eastAsia="方正仿宋简体" w:cs="Times New Roman"/>
      <w:sz w:val="24"/>
    </w:rPr>
  </w:style>
  <w:style w:type="character" w:styleId="1032">
    <w:name w:val="p101"/>
    <w:next w:val="1032"/>
    <w:link w:val="891"/>
    <w:rPr>
      <w:rFonts w:ascii="Times New Roman" w:hAnsi="Times New Roman" w:eastAsia="宋体" w:cs="Times New Roman"/>
      <w:color w:val="000000"/>
      <w:sz w:val="21"/>
      <w:u w:val="none"/>
    </w:rPr>
  </w:style>
  <w:style w:type="character" w:styleId="1033">
    <w:name w:val="表格 Char Char"/>
    <w:next w:val="1033"/>
    <w:link w:val="891"/>
    <w:rPr>
      <w:rFonts w:ascii="宋体" w:hAnsi="宋体" w:eastAsia="宋体" w:cs="Times New Roman"/>
      <w:lang w:val="en-US" w:eastAsia="zh-CN"/>
    </w:rPr>
  </w:style>
  <w:style w:type="character" w:styleId="1034">
    <w:name w:val=" Char Char9"/>
    <w:next w:val="1034"/>
    <w:link w:val="891"/>
    <w:rPr>
      <w:rFonts w:ascii="Times New Roman" w:hAnsi="Times New Roman" w:eastAsia="宋体" w:cs="Times New Roman"/>
      <w:sz w:val="18"/>
      <w:szCs w:val="20"/>
    </w:rPr>
  </w:style>
  <w:style w:type="character" w:styleId="1035">
    <w:name w:val="pagetitle"/>
    <w:next w:val="1035"/>
    <w:link w:val="891"/>
    <w:rPr>
      <w:rFonts w:ascii="Times New Roman" w:hAnsi="Times New Roman" w:eastAsia="宋体" w:cs="Times New Roman"/>
    </w:rPr>
  </w:style>
  <w:style w:type="character" w:styleId="1036">
    <w:name w:val="Body Text Indent Char"/>
    <w:next w:val="1036"/>
    <w:link w:val="891"/>
    <w:rPr>
      <w:rFonts w:ascii="方正仿宋简体" w:hAnsi="创艺简仿宋" w:eastAsia="方正仿宋简体" w:cs="Times New Roman"/>
      <w:sz w:val="20"/>
      <w:szCs w:val="20"/>
    </w:rPr>
  </w:style>
  <w:style w:type="character" w:styleId="1037">
    <w:name w:val="正文文字 Char Char"/>
    <w:next w:val="1037"/>
    <w:link w:val="891"/>
    <w:rPr>
      <w:rFonts w:ascii="Times New Roman" w:hAnsi="Times New Roman" w:eastAsia="宋体" w:cs="Times New Roman"/>
      <w:szCs w:val="20"/>
    </w:rPr>
  </w:style>
  <w:style w:type="character" w:styleId="1038">
    <w:name w:val="3zw1"/>
    <w:next w:val="1038"/>
    <w:link w:val="891"/>
    <w:rPr>
      <w:rFonts w:ascii="Times New Roman" w:hAnsi="Times New Roman" w:eastAsia="宋体" w:cs="Times New Roman"/>
    </w:rPr>
  </w:style>
  <w:style w:type="character" w:styleId="1039">
    <w:name w:val="五级文本 Char Char"/>
    <w:next w:val="1039"/>
    <w:link w:val="891"/>
    <w:rPr>
      <w:rFonts w:ascii="宋体" w:hAnsi="宋体" w:eastAsia="宋体" w:cs="Times New Roman"/>
      <w:sz w:val="24"/>
      <w:szCs w:val="24"/>
      <w:lang w:val="en-US" w:eastAsia="zh-CN" w:bidi="ar-SA"/>
    </w:rPr>
  </w:style>
  <w:style w:type="character" w:styleId="1040">
    <w:name w:val="Table Heading Char Char"/>
    <w:next w:val="1040"/>
    <w:link w:val="891"/>
    <w:rPr>
      <w:rFonts w:ascii="Arial" w:hAnsi="Arial" w:eastAsia="黑体" w:cs="Times New Roman"/>
      <w:sz w:val="18"/>
      <w:lang w:val="en-US" w:eastAsia="zh-CN"/>
    </w:rPr>
  </w:style>
  <w:style w:type="character" w:styleId="1041">
    <w:name w:val=" Char Char16"/>
    <w:next w:val="1041"/>
    <w:link w:val="891"/>
    <w:rPr>
      <w:rFonts w:ascii="Arial" w:hAnsi="Arial" w:eastAsia="黑体" w:cs="Times New Roman"/>
      <w:sz w:val="24"/>
      <w:szCs w:val="20"/>
    </w:rPr>
  </w:style>
  <w:style w:type="character" w:styleId="1042">
    <w:name w:val="style11"/>
    <w:next w:val="1042"/>
    <w:link w:val="891"/>
    <w:rPr>
      <w:rFonts w:ascii="Times New Roman" w:hAnsi="Times New Roman" w:eastAsia="宋体" w:cs="Times New Roman"/>
      <w:color w:val="ffffff"/>
    </w:rPr>
  </w:style>
  <w:style w:type="character" w:styleId="1043">
    <w:name w:val="标题 4 Char"/>
    <w:next w:val="1043"/>
    <w:link w:val="891"/>
    <w:rPr>
      <w:rFonts w:ascii="Arial" w:hAnsi="Arial" w:eastAsia="黑体" w:cs="Times New Roman"/>
      <w:b/>
      <w:sz w:val="28"/>
      <w:lang w:val="en-US" w:eastAsia="zh-CN"/>
    </w:rPr>
  </w:style>
  <w:style w:type="character" w:styleId="1044">
    <w:name w:val=" Char Char14"/>
    <w:next w:val="1044"/>
    <w:link w:val="891"/>
    <w:rPr>
      <w:rFonts w:ascii="黑体" w:hAnsi="Times New Roman" w:eastAsia="宋体" w:cs="Times New Roman"/>
      <w:position w:val="6"/>
    </w:rPr>
  </w:style>
  <w:style w:type="character" w:styleId="1045">
    <w:name w:val="h9"/>
    <w:next w:val="1045"/>
    <w:link w:val="891"/>
    <w:rPr>
      <w:rFonts w:ascii="Times New Roman" w:hAnsi="Times New Roman" w:eastAsia="宋体" w:cs="Times New Roman"/>
    </w:rPr>
  </w:style>
  <w:style w:type="character" w:styleId="1046">
    <w:name w:val="contenttitle1"/>
    <w:next w:val="1046"/>
    <w:link w:val="891"/>
    <w:rPr>
      <w:rFonts w:ascii="Arial" w:hAnsi="Arial" w:eastAsia="宋体" w:cs="Times New Roman"/>
      <w:b/>
      <w:color w:val="000000"/>
      <w:sz w:val="21"/>
      <w:u w:val="none"/>
    </w:rPr>
  </w:style>
  <w:style w:type="character" w:styleId="1047">
    <w:name w:val="fontblank12"/>
    <w:next w:val="1047"/>
    <w:link w:val="891"/>
    <w:rPr>
      <w:rFonts w:ascii="Times New Roman" w:hAnsi="Times New Roman" w:eastAsia="宋体" w:cs="Times New Roman"/>
    </w:rPr>
  </w:style>
  <w:style w:type="character" w:styleId="1048">
    <w:name w:val="页脚 Char"/>
    <w:next w:val="1048"/>
    <w:link w:val="891"/>
    <w:rPr>
      <w:rFonts w:ascii="Times New Roman" w:hAnsi="Times New Roman" w:eastAsia="宋体" w:cs="Times New Roman"/>
      <w:sz w:val="18"/>
      <w:szCs w:val="18"/>
    </w:rPr>
  </w:style>
  <w:style w:type="character" w:styleId="1049">
    <w:name w:val="标题 Char1"/>
    <w:next w:val="1049"/>
    <w:link w:val="891"/>
    <w:rPr>
      <w:rFonts w:ascii="Cambria" w:hAnsi="Cambria" w:eastAsia="宋体" w:cs="Times New Roman"/>
      <w:b/>
      <w:bCs/>
      <w:sz w:val="32"/>
      <w:szCs w:val="32"/>
    </w:rPr>
  </w:style>
  <w:style w:type="character" w:styleId="1050">
    <w:name w:val="正文文本 Char"/>
    <w:next w:val="1050"/>
    <w:link w:val="891"/>
    <w:rPr>
      <w:rFonts w:hint="eastAsia" w:ascii="楷体_GB2312" w:hAnsi="Times New Roman" w:eastAsia="楷体_GB2312" w:cs="Times New Roman"/>
      <w:sz w:val="28"/>
      <w:lang w:val="en-US" w:eastAsia="zh-CN"/>
    </w:rPr>
  </w:style>
  <w:style w:type="character" w:styleId="1051">
    <w:name w:val="ca-1"/>
    <w:next w:val="1051"/>
    <w:link w:val="891"/>
    <w:rPr>
      <w:rFonts w:ascii="Times New Roman" w:hAnsi="Times New Roman" w:eastAsia="宋体" w:cs="Times New Roman"/>
    </w:rPr>
  </w:style>
  <w:style w:type="paragraph" w:styleId="1052">
    <w:name w:val="xl38"/>
    <w:basedOn w:val="891"/>
    <w:next w:val="1052"/>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053">
    <w:name w:val="xl66"/>
    <w:basedOn w:val="891"/>
    <w:next w:val="1053"/>
    <w:link w:val="891"/>
    <w:pPr>
      <w:jc w:val="left"/>
      <w:spacing w:before="100" w:beforeAutospacing="1" w:after="100" w:afterAutospacing="1"/>
      <w:widowControl/>
      <w:pBdr>
        <w:top w:val="single" w:color="000000" w:sz="4" w:space="0"/>
        <w:bottom w:val="single" w:color="000000" w:sz="4" w:space="0"/>
      </w:pBdr>
    </w:pPr>
    <w:rPr>
      <w:rFonts w:hint="eastAsia" w:ascii="宋体" w:hAnsi="宋体" w:eastAsia="宋体" w:cs="Times New Roman"/>
      <w:b/>
      <w:sz w:val="24"/>
    </w:rPr>
  </w:style>
  <w:style w:type="paragraph" w:styleId="1054">
    <w:name w:val="并列样式"/>
    <w:basedOn w:val="891"/>
    <w:next w:val="891"/>
    <w:link w:val="891"/>
    <w:pPr>
      <w:numPr>
        <w:ilvl w:val="0"/>
        <w:numId w:val="2"/>
      </w:numPr>
      <w:spacing w:before="120" w:after="120" w:line="360" w:lineRule="exact"/>
    </w:pPr>
    <w:rPr>
      <w:rFonts w:ascii="Times New Roman" w:hAnsi="Times New Roman" w:eastAsia="宋体" w:cs="Times New Roman"/>
      <w:sz w:val="24"/>
    </w:rPr>
  </w:style>
  <w:style w:type="paragraph" w:styleId="1055">
    <w:name w:val="FY3"/>
    <w:basedOn w:val="894"/>
    <w:next w:val="1055"/>
    <w:link w:val="891"/>
    <w:pPr>
      <w:ind w:left="0" w:firstLine="0"/>
      <w:spacing w:before="0" w:beforeAutospacing="0" w:after="0" w:afterAutospacing="0" w:line="360" w:lineRule="exact"/>
      <w:tabs>
        <w:tab w:val="clear" w:pos="567" w:leader="none"/>
        <w:tab w:val="clear" w:pos="1080" w:leader="none"/>
      </w:tabs>
    </w:pPr>
    <w:rPr>
      <w:rFonts w:ascii="Times New Roman" w:hAnsi="Times New Roman" w:eastAsia="宋体" w:cs="Times New Roman"/>
      <w:b w:val="0"/>
    </w:rPr>
  </w:style>
  <w:style w:type="paragraph" w:styleId="1056">
    <w:name w:val="c正文"/>
    <w:basedOn w:val="891"/>
    <w:next w:val="1056"/>
    <w:link w:val="891"/>
    <w:pPr>
      <w:ind w:firstLine="567"/>
      <w:spacing w:before="120" w:beforeAutospacing="0" w:line="360" w:lineRule="auto"/>
    </w:pPr>
    <w:rPr>
      <w:rFonts w:ascii="Times New Roman" w:hAnsi="Times New Roman" w:eastAsia="宋体" w:cs="Times New Roman"/>
      <w:b/>
      <w:sz w:val="28"/>
    </w:rPr>
  </w:style>
  <w:style w:type="paragraph" w:styleId="1057">
    <w:name w:val="列出段落"/>
    <w:basedOn w:val="891"/>
    <w:next w:val="1057"/>
    <w:link w:val="891"/>
    <w:qFormat/>
    <w:pPr>
      <w:ind w:firstLine="420"/>
    </w:pPr>
    <w:rPr>
      <w:rFonts w:ascii="Calibri" w:hAnsi="Calibri" w:eastAsia="宋体" w:cs="Times New Roman"/>
      <w:szCs w:val="22"/>
    </w:rPr>
  </w:style>
  <w:style w:type="paragraph" w:styleId="1058">
    <w:name w:val="默认段落字体 Para Char Char Char Char Char Char Char Char Char1 Char Char Char Char Char Char Char"/>
    <w:basedOn w:val="922"/>
    <w:next w:val="1058"/>
    <w:link w:val="891"/>
    <w:rPr>
      <w:rFonts w:ascii="Tahoma" w:hAnsi="Tahoma" w:eastAsia="宋体" w:cs="Times New Roman"/>
      <w:sz w:val="24"/>
      <w:szCs w:val="24"/>
    </w:rPr>
  </w:style>
  <w:style w:type="paragraph" w:styleId="1059">
    <w:name w:val="xl31"/>
    <w:basedOn w:val="891"/>
    <w:next w:val="1059"/>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060">
    <w:name w:val="xl41"/>
    <w:basedOn w:val="891"/>
    <w:next w:val="1060"/>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061">
    <w:name w:val="Default"/>
    <w:next w:val="1061"/>
    <w:link w:val="891"/>
    <w:pPr>
      <w:widowControl w:val="off"/>
    </w:pPr>
    <w:rPr>
      <w:rFonts w:ascii="Arial" w:hAnsi="Arial"/>
      <w:color w:val="000000"/>
      <w:sz w:val="24"/>
      <w:lang w:val="en-US" w:eastAsia="zh-CN" w:bidi="ar-SA"/>
    </w:rPr>
  </w:style>
  <w:style w:type="paragraph" w:styleId="1062">
    <w:name w:val="CM10"/>
    <w:basedOn w:val="1061"/>
    <w:next w:val="1061"/>
    <w:link w:val="891"/>
    <w:pPr>
      <w:spacing w:after="318" w:afterAutospacing="0"/>
    </w:pPr>
    <w:rPr>
      <w:rFonts w:ascii="Times New Roman" w:hAnsi="Times New Roman" w:eastAsia="宋体" w:cs="Times New Roman"/>
      <w:color w:val="000000"/>
    </w:rPr>
  </w:style>
  <w:style w:type="paragraph" w:styleId="1063">
    <w:name w:val="小表格项目"/>
    <w:next w:val="1063"/>
    <w:link w:val="891"/>
    <w:pPr>
      <w:jc w:val="center"/>
      <w:spacing w:line="0" w:lineRule="atLeast"/>
    </w:pPr>
    <w:rPr>
      <w:rFonts w:ascii="Arial" w:hAnsi="Arial"/>
      <w:b/>
      <w:caps/>
      <w:sz w:val="24"/>
      <w:lang w:val="en-US" w:eastAsia="zh-CN" w:bidi="ar-SA"/>
    </w:rPr>
  </w:style>
  <w:style w:type="paragraph" w:styleId="1064">
    <w:name w:val="首行缩进"/>
    <w:basedOn w:val="891"/>
    <w:next w:val="1064"/>
    <w:link w:val="891"/>
    <w:pPr>
      <w:ind w:firstLine="480"/>
    </w:pPr>
    <w:rPr>
      <w:rFonts w:ascii="Times New Roman" w:hAnsi="Times New Roman" w:eastAsia="宋体" w:cs="Times New Roman"/>
      <w:lang w:val="zh-CN"/>
    </w:rPr>
  </w:style>
  <w:style w:type="paragraph" w:styleId="1065">
    <w:name w:val="xl52"/>
    <w:basedOn w:val="891"/>
    <w:next w:val="1065"/>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066">
    <w:name w:val="cnfont"/>
    <w:basedOn w:val="891"/>
    <w:next w:val="1066"/>
    <w:link w:val="891"/>
    <w:pPr>
      <w:numPr>
        <w:ilvl w:val="0"/>
        <w:numId w:val="3"/>
      </w:numPr>
      <w:ind w:left="0" w:firstLine="0"/>
      <w:jc w:val="left"/>
      <w:spacing w:before="100" w:beforeAutospacing="1" w:after="100" w:afterAutospacing="1" w:line="315" w:lineRule="atLeast"/>
      <w:widowControl/>
      <w:tabs>
        <w:tab w:val="clear" w:pos="1620" w:leader="none"/>
      </w:tabs>
    </w:pPr>
    <w:rPr>
      <w:rFonts w:ascii="_x000B__x000C_" w:hAnsi="_x000B__x000C_" w:eastAsia="Arial Unicode MS" w:cs="Times New Roman"/>
      <w:color w:val="000000"/>
      <w:sz w:val="18"/>
    </w:rPr>
  </w:style>
  <w:style w:type="paragraph" w:styleId="1067">
    <w:name w:val="Sourcetext bullet"/>
    <w:basedOn w:val="891"/>
    <w:next w:val="1067"/>
    <w:link w:val="891"/>
    <w:pPr>
      <w:ind w:left="2160" w:hanging="360"/>
      <w:jc w:val="left"/>
      <w:spacing w:after="120" w:afterAutospacing="0"/>
      <w:widowControl/>
      <w:tabs>
        <w:tab w:val="left" w:pos="1200" w:leader="none"/>
      </w:tabs>
    </w:pPr>
    <w:rPr>
      <w:rFonts w:ascii="Book Antiqua" w:hAnsi="Book Antiqua" w:eastAsia="宋体" w:cs="Times New Roman"/>
      <w:sz w:val="20"/>
      <w:lang w:eastAsia="en-US"/>
    </w:rPr>
  </w:style>
  <w:style w:type="paragraph" w:styleId="1068">
    <w:name w:val="CM3"/>
    <w:basedOn w:val="1061"/>
    <w:next w:val="1061"/>
    <w:link w:val="891"/>
    <w:pPr>
      <w:spacing w:line="391" w:lineRule="atLeast"/>
    </w:pPr>
    <w:rPr>
      <w:rFonts w:ascii="Times New Roman" w:hAnsi="Times New Roman" w:eastAsia="宋体" w:cs="Times New Roman"/>
      <w:color w:val="000000"/>
    </w:rPr>
  </w:style>
  <w:style w:type="paragraph" w:styleId="1069">
    <w:name w:val="default"/>
    <w:basedOn w:val="891"/>
    <w:next w:val="1069"/>
    <w:link w:val="891"/>
    <w:pPr>
      <w:jc w:val="left"/>
      <w:spacing w:before="100" w:beforeAutospacing="1" w:after="100" w:afterAutospacing="1"/>
      <w:widowControl/>
    </w:pPr>
    <w:rPr>
      <w:rFonts w:ascii="宋体" w:hAnsi="宋体" w:eastAsia="宋体" w:cs="Times New Roman"/>
      <w:sz w:val="24"/>
    </w:rPr>
  </w:style>
  <w:style w:type="paragraph" w:styleId="1070">
    <w:name w:val="test1"/>
    <w:basedOn w:val="891"/>
    <w:next w:val="1070"/>
    <w:link w:val="891"/>
    <w:pPr>
      <w:numPr>
        <w:ilvl w:val="1"/>
        <w:numId w:val="4"/>
      </w:numPr>
      <w:ind w:left="480" w:firstLine="0"/>
      <w:jc w:val="left"/>
      <w:spacing w:line="288" w:lineRule="auto"/>
      <w:tabs>
        <w:tab w:val="clear" w:pos="567" w:leader="none"/>
      </w:tabs>
    </w:pPr>
    <w:rPr>
      <w:rFonts w:ascii="宋体" w:hAnsi="Times New Roman" w:eastAsia="宋体" w:cs="Times New Roman"/>
    </w:rPr>
  </w:style>
  <w:style w:type="paragraph" w:styleId="1071">
    <w:name w:val="a"/>
    <w:basedOn w:val="891"/>
    <w:next w:val="1071"/>
    <w:link w:val="891"/>
    <w:pPr>
      <w:jc w:val="left"/>
      <w:spacing w:before="100" w:beforeAutospacing="1" w:after="100" w:afterAutospacing="1" w:line="240" w:lineRule="atLeast"/>
      <w:widowControl/>
    </w:pPr>
    <w:rPr>
      <w:rFonts w:ascii="宋体" w:hAnsi="宋体" w:eastAsia="宋体" w:cs="Times New Roman"/>
      <w:sz w:val="18"/>
    </w:rPr>
  </w:style>
  <w:style w:type="paragraph" w:styleId="1072">
    <w:name w:val="para"/>
    <w:basedOn w:val="891"/>
    <w:next w:val="1072"/>
    <w:link w:val="891"/>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73">
    <w:name w:val="text1"/>
    <w:basedOn w:val="891"/>
    <w:next w:val="1073"/>
    <w:link w:val="891"/>
    <w:pPr>
      <w:jc w:val="left"/>
      <w:spacing w:before="100" w:beforeAutospacing="1" w:after="100" w:afterAutospacing="1"/>
      <w:widowControl/>
    </w:pPr>
    <w:rPr>
      <w:rFonts w:ascii="宋体" w:hAnsi="宋体" w:eastAsia="宋体" w:cs="Times New Roman"/>
      <w:sz w:val="24"/>
    </w:rPr>
  </w:style>
  <w:style w:type="paragraph" w:styleId="1074">
    <w:name w:val="xl47"/>
    <w:basedOn w:val="891"/>
    <w:next w:val="1074"/>
    <w:link w:val="89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75">
    <w:name w:val="_Style 1"/>
    <w:basedOn w:val="891"/>
    <w:next w:val="1075"/>
    <w:link w:val="891"/>
    <w:pPr>
      <w:ind w:firstLine="420"/>
    </w:pPr>
    <w:rPr>
      <w:rFonts w:ascii="Times New Roman" w:hAnsi="Times New Roman" w:eastAsia="仿宋_GB2312" w:cs="Times New Roman"/>
      <w:bCs/>
      <w:iCs/>
      <w:szCs w:val="24"/>
    </w:rPr>
  </w:style>
  <w:style w:type="paragraph" w:styleId="1076">
    <w:name w:val="正文 New New New New"/>
    <w:next w:val="1076"/>
    <w:link w:val="891"/>
    <w:pPr>
      <w:jc w:val="both"/>
      <w:widowControl w:val="off"/>
    </w:pPr>
    <w:rPr>
      <w:sz w:val="21"/>
      <w:szCs w:val="24"/>
      <w:lang w:val="en-US" w:eastAsia="zh-CN" w:bidi="ar-SA"/>
    </w:rPr>
  </w:style>
  <w:style w:type="paragraph" w:styleId="1077">
    <w:name w:val="Table Heading"/>
    <w:next w:val="1077"/>
    <w:link w:val="891"/>
    <w:pPr>
      <w:jc w:val="center"/>
      <w:keepNext/>
      <w:spacing w:before="80" w:after="80"/>
    </w:pPr>
    <w:rPr>
      <w:rFonts w:ascii="Arial" w:hAnsi="Arial" w:eastAsia="黑体"/>
      <w:sz w:val="18"/>
      <w:lang w:val="en-US" w:eastAsia="zh-CN" w:bidi="ar-SA"/>
    </w:rPr>
  </w:style>
  <w:style w:type="paragraph" w:styleId="1078">
    <w:name w:val="首行缩进1"/>
    <w:basedOn w:val="891"/>
    <w:next w:val="1078"/>
    <w:link w:val="891"/>
    <w:qFormat/>
    <w:pPr>
      <w:ind w:firstLine="480"/>
    </w:pPr>
    <w:rPr>
      <w:szCs w:val="20"/>
      <w:lang w:val="zh-CN"/>
    </w:rPr>
  </w:style>
  <w:style w:type="paragraph" w:styleId="1079">
    <w:name w:val="font0"/>
    <w:basedOn w:val="891"/>
    <w:next w:val="1079"/>
    <w:link w:val="891"/>
    <w:pPr>
      <w:jc w:val="left"/>
      <w:spacing w:before="100" w:beforeAutospacing="1" w:after="100" w:afterAutospacing="1"/>
      <w:widowControl/>
    </w:pPr>
    <w:rPr>
      <w:rFonts w:hint="eastAsia" w:ascii="宋体" w:hAnsi="宋体" w:eastAsia="宋体" w:cs="Times New Roman"/>
      <w:sz w:val="24"/>
    </w:rPr>
  </w:style>
  <w:style w:type="paragraph" w:styleId="1080">
    <w:name w:val="xl35"/>
    <w:basedOn w:val="891"/>
    <w:next w:val="1080"/>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81">
    <w:name w:val="正文缩进1"/>
    <w:next w:val="1081"/>
    <w:link w:val="891"/>
    <w:pPr>
      <w:ind w:firstLine="420"/>
      <w:jc w:val="both"/>
      <w:widowControl w:val="off"/>
      <w:framePr w:wrap="around" w:vAnchor="margin" w:hAnchor="text" w:yAlign="top"/>
    </w:pPr>
    <w:rPr>
      <w:rFonts w:eastAsia="Times New Roman"/>
      <w:color w:val="000000"/>
      <w:sz w:val="21"/>
      <w:szCs w:val="21"/>
      <w:lang w:val="en-US" w:eastAsia="zh-CN" w:bidi="ar-SA"/>
    </w:rPr>
  </w:style>
  <w:style w:type="paragraph" w:styleId="1082">
    <w:name w:val="xl46"/>
    <w:basedOn w:val="891"/>
    <w:next w:val="1082"/>
    <w:link w:val="89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083">
    <w:name w:val="Item Step in Table"/>
    <w:next w:val="1083"/>
    <w:link w:val="891"/>
    <w:pPr>
      <w:ind w:left="397" w:hanging="397"/>
      <w:jc w:val="both"/>
      <w:spacing w:before="40" w:after="40"/>
      <w:tabs>
        <w:tab w:val="left" w:pos="397" w:leader="none"/>
      </w:tabs>
    </w:pPr>
    <w:rPr>
      <w:rFonts w:ascii="Arial" w:hAnsi="Arial" w:cs="Arial"/>
      <w:sz w:val="18"/>
      <w:szCs w:val="18"/>
      <w:lang w:val="en-US" w:eastAsia="zh-CN" w:bidi="ar-SA"/>
    </w:rPr>
  </w:style>
  <w:style w:type="paragraph" w:styleId="1084">
    <w:name w:val=" Char1 Char Char Char Char Char Char"/>
    <w:basedOn w:val="891"/>
    <w:next w:val="1084"/>
    <w:link w:val="891"/>
    <w:rPr>
      <w:rFonts w:ascii="Tahoma" w:hAnsi="Tahoma" w:eastAsia="宋体" w:cs="Times New Roman"/>
      <w:sz w:val="24"/>
    </w:rPr>
  </w:style>
  <w:style w:type="paragraph" w:styleId="1085">
    <w:name w:val=" Char"/>
    <w:basedOn w:val="922"/>
    <w:next w:val="1085"/>
    <w:link w:val="891"/>
    <w:rPr>
      <w:rFonts w:ascii="Arial" w:hAnsi="Arial" w:eastAsia="宋体" w:cs="Times New Roman"/>
      <w:b/>
      <w:sz w:val="32"/>
      <w:lang w:val="en-US" w:eastAsia="zh-CN"/>
    </w:rPr>
  </w:style>
  <w:style w:type="paragraph" w:styleId="1086">
    <w:name w:val="正文 A"/>
    <w:next w:val="1086"/>
    <w:link w:val="891"/>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87">
    <w:name w:val="xl45"/>
    <w:basedOn w:val="891"/>
    <w:next w:val="1087"/>
    <w:link w:val="891"/>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088">
    <w:name w:val="tabletext"/>
    <w:basedOn w:val="891"/>
    <w:next w:val="1088"/>
    <w:link w:val="891"/>
    <w:pPr>
      <w:jc w:val="left"/>
      <w:spacing w:before="100" w:beforeAutospacing="1" w:after="100" w:afterAutospacing="1" w:line="240" w:lineRule="atLeast"/>
      <w:widowControl/>
    </w:pPr>
    <w:rPr>
      <w:rFonts w:hint="eastAsia" w:ascii="宋体" w:hAnsi="宋体" w:eastAsia="宋体" w:cs="Times New Roman"/>
      <w:sz w:val="18"/>
    </w:rPr>
  </w:style>
  <w:style w:type="paragraph" w:styleId="1089">
    <w:name w:val="Char Char1"/>
    <w:basedOn w:val="891"/>
    <w:next w:val="1089"/>
    <w:link w:val="891"/>
    <w:pPr>
      <w:jc w:val="left"/>
      <w:spacing w:after="160" w:line="240" w:lineRule="exact"/>
      <w:widowControl/>
    </w:pPr>
    <w:rPr>
      <w:rFonts w:ascii="Verdana" w:hAnsi="Verdana" w:eastAsia="宋体" w:cs="Times New Roman"/>
      <w:sz w:val="20"/>
      <w:lang w:eastAsia="en-US"/>
    </w:rPr>
  </w:style>
  <w:style w:type="paragraph" w:styleId="1090">
    <w:name w:val="Char1 Char Char Char Char Char Char Char Char Char Char Char"/>
    <w:basedOn w:val="891"/>
    <w:next w:val="1090"/>
    <w:link w:val="891"/>
    <w:pPr>
      <w:ind w:left="432" w:hanging="432"/>
      <w:pageBreakBefore/>
      <w:tabs>
        <w:tab w:val="left" w:pos="432" w:leader="none"/>
      </w:tabs>
    </w:pPr>
    <w:rPr>
      <w:rFonts w:ascii="Tahoma" w:hAnsi="Tahoma" w:eastAsia="宋体" w:cs="Times New Roman"/>
      <w:sz w:val="24"/>
    </w:rPr>
  </w:style>
  <w:style w:type="paragraph" w:styleId="1091">
    <w:name w:val="列出段落1"/>
    <w:basedOn w:val="891"/>
    <w:next w:val="1091"/>
    <w:link w:val="891"/>
    <w:pPr>
      <w:ind w:firstLine="420"/>
    </w:pPr>
    <w:rPr>
      <w:rFonts w:ascii="Times New Roman" w:hAnsi="Times New Roman" w:eastAsia="宋体" w:cs="Times New Roman"/>
    </w:rPr>
  </w:style>
  <w:style w:type="paragraph" w:styleId="1092">
    <w:name w:val="xl63"/>
    <w:basedOn w:val="891"/>
    <w:next w:val="1092"/>
    <w:link w:val="891"/>
    <w:pPr>
      <w:jc w:val="left"/>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eastAsia="宋体" w:cs="Times New Roman"/>
      <w:b/>
      <w:color w:val="000000"/>
      <w:sz w:val="24"/>
    </w:rPr>
  </w:style>
  <w:style w:type="paragraph" w:styleId="1093">
    <w:name w:val="CM5"/>
    <w:basedOn w:val="1061"/>
    <w:next w:val="1061"/>
    <w:link w:val="891"/>
    <w:pPr>
      <w:spacing w:line="340" w:lineRule="atLeast"/>
    </w:pPr>
    <w:rPr>
      <w:rFonts w:ascii="Times New Roman" w:hAnsi="Times New Roman" w:eastAsia="宋体" w:cs="Times New Roman"/>
      <w:color w:val="000000"/>
    </w:rPr>
  </w:style>
  <w:style w:type="paragraph" w:styleId="1094">
    <w:name w:val="纯文本21"/>
    <w:basedOn w:val="891"/>
    <w:next w:val="1094"/>
    <w:link w:val="891"/>
    <w:rPr>
      <w:rFonts w:hint="eastAsia" w:ascii="宋体" w:hAnsi="Courier New" w:eastAsia="楷体_GB2312" w:cs="Times New Roman"/>
      <w:sz w:val="28"/>
    </w:rPr>
  </w:style>
  <w:style w:type="paragraph" w:styleId="1095">
    <w:name w:val="xl33"/>
    <w:basedOn w:val="891"/>
    <w:next w:val="1095"/>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096">
    <w:name w:val="font7"/>
    <w:basedOn w:val="891"/>
    <w:next w:val="1096"/>
    <w:link w:val="891"/>
    <w:pPr>
      <w:jc w:val="left"/>
      <w:spacing w:before="100" w:beforeAutospacing="1" w:after="100" w:afterAutospacing="1"/>
      <w:widowControl/>
    </w:pPr>
    <w:rPr>
      <w:rFonts w:ascii="Times New Roman" w:hAnsi="Times New Roman" w:eastAsia="宋体" w:cs="Times New Roman"/>
      <w:sz w:val="24"/>
    </w:rPr>
  </w:style>
  <w:style w:type="paragraph" w:styleId="1097">
    <w:name w:val="Subject Title"/>
    <w:basedOn w:val="891"/>
    <w:next w:val="1097"/>
    <w:link w:val="891"/>
    <w:pPr>
      <w:ind w:left="360" w:right="360"/>
      <w:jc w:val="left"/>
      <w:spacing w:before="40" w:beforeAutospacing="0" w:after="120" w:afterAutospacing="0" w:line="500" w:lineRule="atLeast"/>
      <w:widowControl/>
    </w:pPr>
    <w:rPr>
      <w:rFonts w:ascii="Verdana" w:hAnsi="Verdana" w:eastAsia="宋体" w:cs="Times New Roman"/>
      <w:sz w:val="48"/>
    </w:rPr>
  </w:style>
  <w:style w:type="paragraph" w:styleId="1098">
    <w:name w:val="xl43"/>
    <w:basedOn w:val="891"/>
    <w:next w:val="1098"/>
    <w:link w:val="891"/>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099">
    <w:name w:val="xl50"/>
    <w:basedOn w:val="891"/>
    <w:next w:val="1099"/>
    <w:link w:val="891"/>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sz w:val="24"/>
    </w:rPr>
  </w:style>
  <w:style w:type="paragraph" w:styleId="1100">
    <w:name w:val="xl64"/>
    <w:basedOn w:val="891"/>
    <w:next w:val="1100"/>
    <w:link w:val="891"/>
    <w:pPr>
      <w:jc w:val="left"/>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eastAsia="宋体" w:cs="Times New Roman"/>
      <w:b/>
      <w:color w:val="000000"/>
      <w:sz w:val="24"/>
    </w:rPr>
  </w:style>
  <w:style w:type="paragraph" w:styleId="1101">
    <w:name w:val="font6"/>
    <w:basedOn w:val="891"/>
    <w:next w:val="1101"/>
    <w:link w:val="891"/>
    <w:pPr>
      <w:jc w:val="left"/>
      <w:spacing w:before="100" w:beforeAutospacing="1" w:after="100" w:afterAutospacing="1"/>
      <w:widowControl/>
    </w:pPr>
    <w:rPr>
      <w:rFonts w:hint="eastAsia" w:ascii="宋体" w:hAnsi="宋体" w:eastAsia="宋体" w:cs="Times New Roman"/>
      <w:sz w:val="18"/>
    </w:rPr>
  </w:style>
  <w:style w:type="paragraph" w:styleId="1102">
    <w:name w:val="p0"/>
    <w:basedOn w:val="891"/>
    <w:next w:val="1102"/>
    <w:link w:val="891"/>
    <w:pPr>
      <w:jc w:val="left"/>
      <w:spacing w:before="100" w:beforeAutospacing="1" w:after="100" w:afterAutospacing="1"/>
      <w:widowControl/>
    </w:pPr>
    <w:rPr>
      <w:rFonts w:ascii="宋体" w:hAnsi="宋体" w:eastAsia="宋体" w:cs="宋体"/>
      <w:sz w:val="24"/>
      <w:szCs w:val="24"/>
    </w:rPr>
  </w:style>
  <w:style w:type="paragraph" w:styleId="1103">
    <w:name w:val="xl39"/>
    <w:basedOn w:val="891"/>
    <w:next w:val="1103"/>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04">
    <w:name w:val="xl70"/>
    <w:basedOn w:val="891"/>
    <w:next w:val="1104"/>
    <w:link w:val="891"/>
    <w:pPr>
      <w:jc w:val="right"/>
      <w:spacing w:before="100" w:beforeAutospacing="1" w:after="100" w:afterAutospacing="1"/>
      <w:widowControl/>
      <w:pBdr>
        <w:top w:val="single" w:color="000000" w:sz="4" w:space="0"/>
        <w:bottom w:val="single" w:color="000000" w:sz="4" w:space="0"/>
      </w:pBdr>
    </w:pPr>
    <w:rPr>
      <w:rFonts w:hint="eastAsia" w:ascii="宋体" w:hAnsi="宋体" w:eastAsia="宋体" w:cs="Times New Roman"/>
      <w:b/>
      <w:sz w:val="28"/>
    </w:rPr>
  </w:style>
  <w:style w:type="paragraph" w:styleId="1105">
    <w:name w:val="Char Char Char"/>
    <w:basedOn w:val="891"/>
    <w:next w:val="1105"/>
    <w:link w:val="891"/>
    <w:pPr>
      <w:ind w:left="780" w:hanging="420"/>
      <w:tabs>
        <w:tab w:val="left" w:pos="1545" w:leader="none"/>
      </w:tabs>
    </w:pPr>
    <w:rPr>
      <w:rFonts w:ascii="Times New Roman" w:hAnsi="Times New Roman" w:eastAsia="宋体" w:cs="Times New Roman"/>
      <w:szCs w:val="24"/>
    </w:rPr>
  </w:style>
  <w:style w:type="paragraph" w:styleId="1106">
    <w:name w:val="xl42"/>
    <w:basedOn w:val="891"/>
    <w:next w:val="1106"/>
    <w:link w:val="891"/>
    <w:pPr>
      <w:jc w:val="cente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cs="Times New Roman"/>
      <w:b/>
      <w:sz w:val="24"/>
    </w:rPr>
  </w:style>
  <w:style w:type="paragraph" w:styleId="1107">
    <w:name w:val="List Paragraph"/>
    <w:basedOn w:val="891"/>
    <w:next w:val="1107"/>
    <w:link w:val="891"/>
    <w:pPr>
      <w:ind w:firstLine="420"/>
    </w:pPr>
    <w:rPr>
      <w:rFonts w:ascii="Calibri" w:hAnsi="Calibri"/>
      <w:szCs w:val="22"/>
    </w:rPr>
  </w:style>
  <w:style w:type="paragraph" w:styleId="1108">
    <w:name w:val="四号线第四级"/>
    <w:basedOn w:val="891"/>
    <w:next w:val="1108"/>
    <w:link w:val="891"/>
    <w:pPr>
      <w:ind w:left="600" w:hanging="420"/>
      <w:tabs>
        <w:tab w:val="left" w:pos="600" w:leader="none"/>
      </w:tabs>
    </w:pPr>
    <w:rPr>
      <w:rFonts w:ascii="Times New Roman" w:hAnsi="Times New Roman" w:eastAsia="宋体" w:cs="Times New Roman"/>
      <w:szCs w:val="24"/>
    </w:rPr>
  </w:style>
  <w:style w:type="paragraph" w:styleId="1109">
    <w:name w:val="cm15"/>
    <w:basedOn w:val="891"/>
    <w:next w:val="1109"/>
    <w:link w:val="891"/>
    <w:pPr>
      <w:jc w:val="left"/>
      <w:spacing w:before="100" w:beforeAutospacing="1" w:after="100" w:afterAutospacing="1"/>
      <w:widowControl/>
    </w:pPr>
    <w:rPr>
      <w:rFonts w:ascii="宋体" w:hAnsi="宋体" w:eastAsia="宋体" w:cs="Times New Roman"/>
      <w:sz w:val="24"/>
    </w:rPr>
  </w:style>
  <w:style w:type="paragraph" w:styleId="1110">
    <w:name w:val="FF"/>
    <w:basedOn w:val="920"/>
    <w:next w:val="1110"/>
    <w:link w:val="891"/>
    <w:pPr>
      <w:ind w:firstLine="482"/>
      <w:spacing w:line="360" w:lineRule="exact"/>
    </w:pPr>
    <w:rPr>
      <w:rFonts w:ascii="Times New Roman" w:hAnsi="Times New Roman" w:eastAsia="宋体" w:cs="Times New Roman"/>
      <w:sz w:val="24"/>
    </w:rPr>
  </w:style>
  <w:style w:type="paragraph" w:styleId="1111">
    <w:name w:val="Default Text"/>
    <w:basedOn w:val="891"/>
    <w:next w:val="1111"/>
    <w:link w:val="891"/>
    <w:pPr>
      <w:jc w:val="left"/>
    </w:pPr>
    <w:rPr>
      <w:rFonts w:ascii="楷体" w:hAnsi="Tms Rmn" w:eastAsia="楷体" w:cs="Times New Roman"/>
      <w:sz w:val="28"/>
    </w:rPr>
  </w:style>
  <w:style w:type="paragraph" w:styleId="1112">
    <w:name w:val="xl28"/>
    <w:basedOn w:val="891"/>
    <w:next w:val="1112"/>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b/>
      <w:sz w:val="24"/>
    </w:rPr>
  </w:style>
  <w:style w:type="paragraph" w:styleId="1113">
    <w:name w:val="表中文字"/>
    <w:basedOn w:val="891"/>
    <w:next w:val="1113"/>
    <w:link w:val="891"/>
    <w:pPr>
      <w:spacing w:line="400" w:lineRule="exact"/>
      <w:widowControl/>
    </w:pPr>
    <w:rPr>
      <w:rFonts w:ascii="Times New Roman" w:hAnsi="Times New Roman" w:eastAsia="仿宋_GB2312" w:cs="Times New Roman"/>
    </w:rPr>
  </w:style>
  <w:style w:type="paragraph" w:styleId="1114">
    <w:name w:val="Char"/>
    <w:basedOn w:val="891"/>
    <w:next w:val="1114"/>
    <w:link w:val="891"/>
    <w:pPr>
      <w:ind w:left="360" w:hanging="360"/>
      <w:tabs>
        <w:tab w:val="left" w:pos="360" w:leader="none"/>
      </w:tabs>
    </w:pPr>
    <w:rPr>
      <w:rFonts w:ascii="Times New Roman" w:hAnsi="Times New Roman" w:eastAsia="宋体" w:cs="Times New Roman"/>
      <w:szCs w:val="24"/>
    </w:rPr>
  </w:style>
  <w:style w:type="paragraph" w:styleId="1115">
    <w:name w:val="表格"/>
    <w:basedOn w:val="891"/>
    <w:next w:val="1115"/>
    <w:link w:val="891"/>
    <w:pPr>
      <w:ind w:firstLine="42"/>
    </w:pPr>
    <w:rPr>
      <w:rFonts w:ascii="宋体" w:hAnsi="宋体" w:eastAsia="宋体" w:cs="Times New Roman"/>
      <w:sz w:val="20"/>
    </w:rPr>
  </w:style>
  <w:style w:type="paragraph" w:styleId="1116">
    <w:name w:val="xl56"/>
    <w:basedOn w:val="891"/>
    <w:next w:val="1116"/>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17">
    <w:name w:val="tableheading"/>
    <w:basedOn w:val="891"/>
    <w:next w:val="1117"/>
    <w:link w:val="891"/>
    <w:pPr>
      <w:jc w:val="left"/>
      <w:spacing w:before="100" w:beforeAutospacing="1" w:after="100" w:afterAutospacing="1" w:line="240" w:lineRule="atLeast"/>
      <w:widowControl/>
    </w:pPr>
    <w:rPr>
      <w:rFonts w:hint="eastAsia" w:ascii="宋体" w:hAnsi="宋体" w:eastAsia="宋体" w:cs="Times New Roman"/>
      <w:sz w:val="18"/>
    </w:rPr>
  </w:style>
  <w:style w:type="paragraph" w:styleId="1118">
    <w:name w:val="style4"/>
    <w:basedOn w:val="891"/>
    <w:next w:val="1118"/>
    <w:link w:val="891"/>
    <w:pPr>
      <w:jc w:val="left"/>
      <w:spacing w:before="100" w:beforeAutospacing="1" w:after="100" w:afterAutospacing="1"/>
      <w:widowControl/>
    </w:pPr>
    <w:rPr>
      <w:rFonts w:ascii="宋体" w:hAnsi="宋体" w:eastAsia="宋体" w:cs="Times New Roman"/>
      <w:b/>
      <w:color w:val="003300"/>
      <w:sz w:val="24"/>
    </w:rPr>
  </w:style>
  <w:style w:type="paragraph" w:styleId="1119">
    <w:name w:val="xl34"/>
    <w:basedOn w:val="891"/>
    <w:next w:val="1119"/>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20">
    <w:name w:val="文档正文"/>
    <w:basedOn w:val="891"/>
    <w:next w:val="1120"/>
    <w:link w:val="891"/>
    <w:pPr>
      <w:numPr>
        <w:ilvl w:val="0"/>
        <w:numId w:val="5"/>
      </w:numPr>
      <w:spacing w:line="300" w:lineRule="auto"/>
      <w:tabs>
        <w:tab w:val="left" w:pos="980" w:leader="none"/>
      </w:tabs>
    </w:pPr>
    <w:rPr>
      <w:rFonts w:ascii="仿宋_GB2312" w:hAnsi="宋体" w:eastAsia="宋体" w:cs="Times New Roman"/>
      <w:sz w:val="24"/>
    </w:rPr>
  </w:style>
  <w:style w:type="paragraph" w:styleId="1121">
    <w:name w:val="Table Text/Title"/>
    <w:basedOn w:val="891"/>
    <w:next w:val="1121"/>
    <w:link w:val="891"/>
    <w:pPr>
      <w:jc w:val="left"/>
      <w:widowControl/>
    </w:pPr>
    <w:rPr>
      <w:rFonts w:ascii="Arial Narrow" w:hAnsi="Arial Narrow" w:eastAsia="宋体" w:cs="Times New Roman"/>
      <w:b/>
      <w:sz w:val="20"/>
      <w:lang w:eastAsia="en-US"/>
    </w:rPr>
  </w:style>
  <w:style w:type="paragraph" w:styleId="1122">
    <w:name w:val="111111"/>
    <w:basedOn w:val="891"/>
    <w:next w:val="1122"/>
    <w:link w:val="891"/>
    <w:pPr>
      <w:jc w:val="center"/>
      <w:spacing w:before="120" w:after="120"/>
    </w:pPr>
    <w:rPr>
      <w:rFonts w:ascii="宋体" w:hAnsi="宋体" w:eastAsia="黑体" w:cs="Times New Roman"/>
      <w:b/>
      <w:bCs/>
      <w:szCs w:val="21"/>
    </w:rPr>
  </w:style>
  <w:style w:type="paragraph" w:styleId="1123">
    <w:name w:val="xl30"/>
    <w:basedOn w:val="891"/>
    <w:next w:val="1123"/>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24">
    <w:name w:val="xl24"/>
    <w:basedOn w:val="891"/>
    <w:next w:val="1124"/>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5">
    <w:name w:val="五级文本"/>
    <w:basedOn w:val="891"/>
    <w:next w:val="1125"/>
    <w:link w:val="891"/>
    <w:pPr>
      <w:ind w:firstLine="100"/>
      <w:spacing w:line="400" w:lineRule="exact"/>
    </w:pPr>
    <w:rPr>
      <w:rFonts w:ascii="宋体" w:hAnsi="宋体" w:eastAsia="宋体" w:cs="Times New Roman"/>
      <w:sz w:val="24"/>
      <w:szCs w:val="24"/>
    </w:rPr>
  </w:style>
  <w:style w:type="paragraph" w:styleId="1126">
    <w:name w:val="Default Paragraph Font Para Char"/>
    <w:basedOn w:val="891"/>
    <w:next w:val="1126"/>
    <w:link w:val="891"/>
    <w:pPr>
      <w:jc w:val="left"/>
      <w:spacing w:after="160" w:afterAutospacing="0" w:line="240" w:lineRule="exact"/>
      <w:widowControl/>
    </w:pPr>
    <w:rPr>
      <w:rFonts w:ascii="Verdana" w:hAnsi="Verdana" w:eastAsia="宋体" w:cs="Times New Roman"/>
      <w:sz w:val="20"/>
      <w:lang w:eastAsia="en-US"/>
    </w:rPr>
  </w:style>
  <w:style w:type="paragraph" w:styleId="1127">
    <w:name w:val="无间隔"/>
    <w:next w:val="1127"/>
    <w:link w:val="891"/>
    <w:qFormat/>
    <w:pPr>
      <w:jc w:val="both"/>
      <w:widowControl w:val="off"/>
    </w:pPr>
    <w:rPr>
      <w:rFonts w:ascii="Calibri" w:hAnsi="Calibri"/>
      <w:sz w:val="24"/>
      <w:szCs w:val="22"/>
      <w:lang w:val="en-US" w:eastAsia="zh-CN" w:bidi="ar-SA"/>
    </w:rPr>
  </w:style>
  <w:style w:type="paragraph" w:styleId="1128">
    <w:name w:val="正文缩进 Char Char"/>
    <w:basedOn w:val="891"/>
    <w:next w:val="1128"/>
    <w:link w:val="891"/>
    <w:pPr>
      <w:ind w:firstLine="420"/>
    </w:pPr>
    <w:rPr>
      <w:rFonts w:ascii="Times New Roman" w:hAnsi="Times New Roman" w:eastAsia="宋体" w:cs="Times New Roman"/>
    </w:rPr>
  </w:style>
  <w:style w:type="paragraph" w:styleId="1129">
    <w:name w:val="List Paragraph1"/>
    <w:basedOn w:val="891"/>
    <w:next w:val="1129"/>
    <w:link w:val="891"/>
    <w:pPr>
      <w:ind w:firstLine="420"/>
    </w:pPr>
    <w:rPr>
      <w:rFonts w:ascii="Times New Roman" w:hAnsi="Times New Roman" w:eastAsia="宋体" w:cs="Times New Roman"/>
    </w:rPr>
  </w:style>
  <w:style w:type="paragraph" w:styleId="1130">
    <w:name w:val="Normal Bullets"/>
    <w:basedOn w:val="891"/>
    <w:next w:val="1130"/>
    <w:link w:val="891"/>
    <w:pPr>
      <w:numPr>
        <w:ilvl w:val="0"/>
        <w:numId w:val="6"/>
      </w:numPr>
      <w:jc w:val="left"/>
      <w:spacing w:after="120"/>
      <w:widowControl/>
      <w:tabs>
        <w:tab w:val="left" w:pos="360" w:leader="none"/>
      </w:tabs>
    </w:pPr>
    <w:rPr>
      <w:rFonts w:ascii="Palatino Linotype" w:hAnsi="Palatino Linotype" w:eastAsia="宋体" w:cs="Times New Roman"/>
      <w:sz w:val="20"/>
      <w:lang w:eastAsia="en-US"/>
    </w:rPr>
  </w:style>
  <w:style w:type="paragraph" w:styleId="1131">
    <w:name w:val="font5"/>
    <w:basedOn w:val="891"/>
    <w:next w:val="1131"/>
    <w:link w:val="891"/>
    <w:pPr>
      <w:jc w:val="left"/>
      <w:spacing w:before="100" w:beforeAutospacing="1" w:after="100" w:afterAutospacing="1"/>
      <w:widowControl/>
    </w:pPr>
    <w:rPr>
      <w:rFonts w:hint="eastAsia" w:ascii="宋体" w:hAnsi="宋体" w:eastAsia="宋体" w:cs="Times New Roman"/>
      <w:sz w:val="24"/>
    </w:rPr>
  </w:style>
  <w:style w:type="paragraph" w:styleId="1132">
    <w:name w:val="样式3"/>
    <w:basedOn w:val="891"/>
    <w:next w:val="1132"/>
    <w:link w:val="891"/>
    <w:rPr>
      <w:rFonts w:ascii="Times New Roman" w:hAnsi="Times New Roman" w:eastAsia="宋体" w:cs="Times New Roman"/>
      <w:szCs w:val="24"/>
    </w:rPr>
  </w:style>
  <w:style w:type="paragraph" w:styleId="1133">
    <w:name w:val="表格（小四，宋体）"/>
    <w:basedOn w:val="891"/>
    <w:next w:val="1133"/>
    <w:link w:val="891"/>
    <w:pPr>
      <w:contextualSpacing/>
      <w:jc w:val="left"/>
      <w:widowControl/>
    </w:pPr>
    <w:rPr>
      <w:rFonts w:ascii="宋体" w:hAnsi="宋体" w:eastAsia="Times New Roman" w:cs="Times New Roman"/>
      <w:sz w:val="24"/>
    </w:rPr>
  </w:style>
  <w:style w:type="paragraph" w:styleId="1134">
    <w:name w:val="分标题"/>
    <w:basedOn w:val="891"/>
    <w:next w:val="920"/>
    <w:link w:val="891"/>
    <w:pPr>
      <w:numPr>
        <w:ilvl w:val="1"/>
        <w:numId w:val="7"/>
      </w:numPr>
      <w:spacing w:before="120" w:after="120" w:line="360" w:lineRule="exact"/>
      <w:tabs>
        <w:tab w:val="left" w:pos="567" w:leader="none"/>
      </w:tabs>
      <w:outlineLvl w:val="3"/>
    </w:pPr>
    <w:rPr>
      <w:rFonts w:ascii="宋体" w:hAnsi="宋体" w:eastAsia="宋体" w:cs="Times New Roman"/>
      <w:b/>
      <w:sz w:val="24"/>
    </w:rPr>
  </w:style>
  <w:style w:type="paragraph" w:styleId="1135">
    <w:name w:val="xl74"/>
    <w:basedOn w:val="891"/>
    <w:next w:val="1135"/>
    <w:link w:val="891"/>
    <w:pPr>
      <w:jc w:val="right"/>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eastAsia="宋体" w:cs="Times New Roman"/>
      <w:b/>
      <w:sz w:val="28"/>
    </w:rPr>
  </w:style>
  <w:style w:type="paragraph" w:styleId="1136">
    <w:name w:val="xl51"/>
    <w:basedOn w:val="891"/>
    <w:next w:val="1136"/>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37">
    <w:name w:val="xl49"/>
    <w:basedOn w:val="891"/>
    <w:next w:val="1137"/>
    <w:link w:val="891"/>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color w:val="000000"/>
      <w:sz w:val="24"/>
    </w:rPr>
  </w:style>
  <w:style w:type="paragraph" w:styleId="1138">
    <w:name w:val="段"/>
    <w:next w:val="891"/>
    <w:link w:val="891"/>
    <w:pPr>
      <w:ind w:firstLine="200"/>
      <w:jc w:val="both"/>
    </w:pPr>
    <w:rPr>
      <w:rFonts w:ascii="宋体"/>
      <w:sz w:val="21"/>
      <w:lang w:val="en-US" w:eastAsia="zh-CN" w:bidi="ar-SA"/>
    </w:rPr>
  </w:style>
  <w:style w:type="paragraph" w:styleId="1139">
    <w:name w:val="Sourcetext"/>
    <w:basedOn w:val="891"/>
    <w:next w:val="1139"/>
    <w:link w:val="891"/>
    <w:pPr>
      <w:ind w:left="2160"/>
      <w:jc w:val="left"/>
      <w:spacing w:after="120" w:afterAutospacing="0"/>
      <w:widowControl/>
    </w:pPr>
    <w:rPr>
      <w:rFonts w:ascii="Book Antiqua" w:hAnsi="Book Antiqua" w:eastAsia="宋体" w:cs="Times New Roman"/>
      <w:sz w:val="20"/>
      <w:lang w:eastAsia="en-US"/>
    </w:rPr>
  </w:style>
  <w:style w:type="paragraph" w:styleId="1140">
    <w:name w:val="Char1 Char Char Char"/>
    <w:basedOn w:val="891"/>
    <w:next w:val="1140"/>
    <w:link w:val="891"/>
    <w:pPr>
      <w:ind w:left="840" w:hanging="420"/>
      <w:tabs>
        <w:tab w:val="left" w:pos="840" w:leader="none"/>
      </w:tabs>
    </w:pPr>
    <w:rPr>
      <w:rFonts w:ascii="Times New Roman" w:hAnsi="Times New Roman" w:eastAsia="宋体" w:cs="Times New Roman"/>
    </w:rPr>
  </w:style>
  <w:style w:type="paragraph" w:styleId="1141">
    <w:name w:val="注解（小四，楷体）"/>
    <w:basedOn w:val="891"/>
    <w:next w:val="1141"/>
    <w:link w:val="891"/>
    <w:pPr>
      <w:contextualSpacing/>
      <w:jc w:val="left"/>
      <w:widowControl/>
    </w:pPr>
    <w:rPr>
      <w:rFonts w:ascii="楷体" w:hAnsi="楷体" w:eastAsia="楷体" w:cs="Times New Roman"/>
      <w:sz w:val="24"/>
    </w:rPr>
  </w:style>
  <w:style w:type="paragraph" w:styleId="1142">
    <w:name w:val="CM9"/>
    <w:basedOn w:val="1061"/>
    <w:next w:val="1061"/>
    <w:link w:val="891"/>
    <w:pPr>
      <w:spacing w:after="550" w:afterAutospacing="0"/>
    </w:pPr>
    <w:rPr>
      <w:rFonts w:ascii="Times New Roman" w:hAnsi="Times New Roman" w:eastAsia="宋体" w:cs="Times New Roman"/>
      <w:color w:val="000000"/>
    </w:rPr>
  </w:style>
  <w:style w:type="paragraph" w:styleId="1143">
    <w:name w:val="纯文本1"/>
    <w:basedOn w:val="891"/>
    <w:next w:val="1143"/>
    <w:link w:val="891"/>
    <w:rPr>
      <w:rFonts w:ascii="宋体" w:hAnsi="Courier New" w:eastAsia="楷体_GB2312" w:cs="Times New Roman"/>
      <w:sz w:val="26"/>
    </w:rPr>
  </w:style>
  <w:style w:type="paragraph" w:styleId="1144">
    <w:name w:val="Table Text"/>
    <w:next w:val="1144"/>
    <w:link w:val="891"/>
    <w:pPr>
      <w:spacing w:before="80" w:after="80"/>
    </w:pPr>
    <w:rPr>
      <w:rFonts w:ascii="Arial" w:hAnsi="Arial"/>
      <w:sz w:val="18"/>
      <w:lang w:val="en-US" w:eastAsia="zh-CN" w:bidi="ar-SA"/>
    </w:rPr>
  </w:style>
  <w:style w:type="paragraph" w:styleId="1145">
    <w:name w:val="xl29"/>
    <w:basedOn w:val="891"/>
    <w:next w:val="1145"/>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b/>
      <w:sz w:val="24"/>
    </w:rPr>
  </w:style>
  <w:style w:type="paragraph" w:styleId="1146">
    <w:name w:val="a1"/>
    <w:basedOn w:val="891"/>
    <w:next w:val="1146"/>
    <w:link w:val="891"/>
    <w:pPr>
      <w:jc w:val="left"/>
      <w:spacing w:before="100" w:beforeAutospacing="1" w:after="100" w:afterAutospacing="1" w:line="240" w:lineRule="atLeast"/>
      <w:widowControl/>
    </w:pPr>
    <w:rPr>
      <w:rFonts w:ascii="宋体" w:hAnsi="宋体" w:eastAsia="宋体" w:cs="Times New Roman"/>
      <w:sz w:val="18"/>
    </w:rPr>
  </w:style>
  <w:style w:type="paragraph" w:styleId="1147">
    <w:name w:val="c标题2"/>
    <w:basedOn w:val="893"/>
    <w:next w:val="1147"/>
    <w:link w:val="891"/>
    <w:pPr>
      <w:numPr>
        <w:ilvl w:val="1"/>
        <w:numId w:val="7"/>
      </w:numPr>
      <w:ind w:left="425" w:hanging="425"/>
      <w:tabs>
        <w:tab w:val="left" w:pos="425" w:leader="none"/>
      </w:tabs>
    </w:pPr>
    <w:rPr>
      <w:rFonts w:ascii="黑体" w:hAnsi="Times New Roman" w:eastAsia="宋体" w:cs="Times New Roman"/>
    </w:rPr>
  </w:style>
  <w:style w:type="paragraph" w:styleId="1148">
    <w:name w:val="纯文本11"/>
    <w:basedOn w:val="891"/>
    <w:next w:val="1148"/>
    <w:link w:val="891"/>
    <w:rPr>
      <w:rFonts w:ascii="宋体" w:hAnsi="Courier New" w:eastAsia="楷体_GB2312" w:cs="Times New Roman"/>
      <w:sz w:val="28"/>
      <w:szCs w:val="24"/>
    </w:rPr>
  </w:style>
  <w:style w:type="paragraph" w:styleId="1149">
    <w:name w:val="xl55"/>
    <w:basedOn w:val="891"/>
    <w:next w:val="1149"/>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150">
    <w:name w:val="條列1"/>
    <w:basedOn w:val="891"/>
    <w:next w:val="1150"/>
    <w:link w:val="891"/>
    <w:pPr>
      <w:ind w:left="112" w:hanging="112"/>
      <w:jc w:val="left"/>
      <w:spacing w:before="80" w:beforeAutospacing="0"/>
      <w:widowControl/>
    </w:pPr>
    <w:rPr>
      <w:rFonts w:ascii="PMingLiU" w:hAnsi="Garamond MT" w:eastAsia="PMingLiU" w:cs="Times New Roman"/>
      <w:sz w:val="16"/>
    </w:rPr>
  </w:style>
  <w:style w:type="paragraph" w:styleId="1151">
    <w:name w:val=" Char1 Char Char Char"/>
    <w:basedOn w:val="891"/>
    <w:next w:val="1151"/>
    <w:link w:val="891"/>
    <w:pPr>
      <w:ind w:left="840" w:hanging="420"/>
      <w:tabs>
        <w:tab w:val="left" w:pos="840" w:leader="none"/>
      </w:tabs>
    </w:pPr>
    <w:rPr>
      <w:rFonts w:ascii="Times New Roman" w:hAnsi="Times New Roman" w:eastAsia="宋体" w:cs="Times New Roman"/>
      <w:sz w:val="24"/>
    </w:rPr>
  </w:style>
  <w:style w:type="paragraph" w:styleId="1152">
    <w:name w:val="Body Text Indent"/>
    <w:basedOn w:val="891"/>
    <w:next w:val="1152"/>
    <w:link w:val="891"/>
    <w:pPr>
      <w:ind w:left="420"/>
      <w:spacing w:after="120"/>
    </w:pPr>
    <w:rPr>
      <w:rFonts w:ascii="Times New Roman" w:hAnsi="Times New Roman" w:eastAsia="宋体" w:cs="Times New Roman"/>
      <w:szCs w:val="24"/>
    </w:rPr>
  </w:style>
  <w:style w:type="paragraph" w:styleId="1153">
    <w:name w:val="Plain Text"/>
    <w:basedOn w:val="891"/>
    <w:next w:val="1153"/>
    <w:link w:val="891"/>
    <w:rPr>
      <w:rFonts w:hint="eastAsia" w:ascii="宋体" w:hAnsi="Courier New" w:eastAsia="楷体_GB2312" w:cs="Times New Roman"/>
      <w:sz w:val="28"/>
    </w:rPr>
  </w:style>
  <w:style w:type="paragraph" w:styleId="1154">
    <w:name w:val="节标题"/>
    <w:basedOn w:val="891"/>
    <w:next w:val="920"/>
    <w:link w:val="891"/>
    <w:pPr>
      <w:numPr>
        <w:ilvl w:val="0"/>
        <w:numId w:val="7"/>
      </w:numPr>
      <w:spacing w:before="120" w:after="120" w:line="360" w:lineRule="exact"/>
      <w:tabs>
        <w:tab w:val="left" w:pos="420" w:leader="none"/>
      </w:tabs>
      <w:outlineLvl w:val="1"/>
    </w:pPr>
    <w:rPr>
      <w:rFonts w:ascii="Times New Roman" w:hAnsi="Times New Roman" w:eastAsia="宋体" w:cs="Times New Roman"/>
      <w:b/>
      <w:sz w:val="28"/>
    </w:rPr>
  </w:style>
  <w:style w:type="paragraph" w:styleId="1155">
    <w:name w:val="內文1"/>
    <w:basedOn w:val="891"/>
    <w:next w:val="1155"/>
    <w:link w:val="891"/>
    <w:pPr>
      <w:ind w:firstLine="406"/>
      <w:jc w:val="left"/>
      <w:spacing w:before="240" w:beforeAutospacing="0" w:line="360" w:lineRule="auto"/>
      <w:widowControl/>
    </w:pPr>
    <w:rPr>
      <w:rFonts w:ascii="Times New Roman" w:hAnsi="Times New Roman" w:eastAsia="PMingLiU" w:cs="Times New Roman"/>
      <w:sz w:val="20"/>
      <w:lang w:eastAsia="zh-TW"/>
    </w:rPr>
  </w:style>
  <w:style w:type="paragraph" w:styleId="1156">
    <w:name w:val="font9"/>
    <w:basedOn w:val="891"/>
    <w:next w:val="1156"/>
    <w:link w:val="891"/>
    <w:pPr>
      <w:jc w:val="left"/>
      <w:spacing w:before="100" w:beforeAutospacing="1" w:after="100" w:afterAutospacing="1"/>
      <w:widowControl/>
    </w:pPr>
    <w:rPr>
      <w:rFonts w:ascii="Times New Roman" w:hAnsi="Times New Roman" w:eastAsia="宋体" w:cs="Times New Roman"/>
      <w:color w:val="000000"/>
      <w:sz w:val="24"/>
    </w:rPr>
  </w:style>
  <w:style w:type="paragraph" w:styleId="1157">
    <w:name w:val="标书正文格式 Char Char"/>
    <w:next w:val="1157"/>
    <w:link w:val="891"/>
    <w:pPr>
      <w:ind w:firstLine="200"/>
      <w:spacing w:line="360" w:lineRule="auto"/>
    </w:pPr>
    <w:rPr>
      <w:rFonts w:eastAsia="楷体_GB2312"/>
      <w:sz w:val="24"/>
      <w:szCs w:val="22"/>
      <w:lang w:val="en-US" w:eastAsia="zh-CN" w:bidi="ar-SA"/>
    </w:rPr>
  </w:style>
  <w:style w:type="paragraph" w:styleId="1158">
    <w:name w:val="xl25"/>
    <w:basedOn w:val="891"/>
    <w:next w:val="1158"/>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9">
    <w:name w:val="fontsize"/>
    <w:basedOn w:val="891"/>
    <w:next w:val="1159"/>
    <w:link w:val="891"/>
    <w:pPr>
      <w:ind w:firstLine="180"/>
      <w:jc w:val="left"/>
      <w:spacing w:before="100" w:beforeAutospacing="1" w:after="100" w:afterAutospacing="1"/>
      <w:widowControl/>
    </w:pPr>
    <w:rPr>
      <w:rFonts w:ascii="宋体" w:hAnsi="宋体" w:eastAsia="宋体" w:cs="Times New Roman"/>
      <w:color w:val="000000"/>
      <w:spacing w:val="40"/>
      <w:sz w:val="24"/>
      <w:vertAlign w:val="subscript"/>
    </w:rPr>
  </w:style>
  <w:style w:type="paragraph" w:styleId="1160">
    <w:name w:val="style2"/>
    <w:basedOn w:val="891"/>
    <w:next w:val="1160"/>
    <w:link w:val="891"/>
    <w:pPr>
      <w:jc w:val="left"/>
      <w:spacing w:before="100" w:beforeAutospacing="1" w:after="100" w:afterAutospacing="1"/>
      <w:widowControl/>
    </w:pPr>
    <w:rPr>
      <w:rFonts w:ascii="宋体" w:hAnsi="宋体" w:eastAsia="宋体" w:cs="Times New Roman"/>
      <w:sz w:val="24"/>
    </w:rPr>
  </w:style>
  <w:style w:type="paragraph" w:styleId="1161">
    <w:name w:val="CM11"/>
    <w:basedOn w:val="891"/>
    <w:next w:val="891"/>
    <w:link w:val="891"/>
    <w:pPr>
      <w:jc w:val="left"/>
      <w:spacing w:after="85" w:afterAutospacing="0"/>
    </w:pPr>
    <w:rPr>
      <w:rFonts w:ascii="Arial" w:hAnsi="Arial" w:eastAsia="宋体" w:cs="Times New Roman"/>
      <w:sz w:val="24"/>
    </w:rPr>
  </w:style>
  <w:style w:type="paragraph" w:styleId="1162">
    <w:name w:val="_Style 189"/>
    <w:basedOn w:val="892"/>
    <w:next w:val="891"/>
    <w:link w:val="891"/>
    <w:pPr>
      <w:jc w:val="left"/>
      <w:keepLines w:val="0"/>
      <w:keepNext w:val="0"/>
      <w:spacing w:before="480" w:beforeAutospacing="0" w:after="0" w:afterAutospacing="0" w:line="276" w:lineRule="auto"/>
      <w:widowControl/>
      <w:tabs>
        <w:tab w:val="clear" w:pos="1134" w:leader="none"/>
      </w:tabs>
      <w:outlineLvl w:val="9"/>
    </w:pPr>
    <w:rPr>
      <w:rFonts w:ascii="Cambria" w:hAnsi="Cambria" w:eastAsia="宋体" w:cs="Times New Roman"/>
      <w:color w:val="365f91"/>
      <w:sz w:val="28"/>
    </w:rPr>
  </w:style>
  <w:style w:type="paragraph" w:styleId="1163">
    <w:name w:val="正文2"/>
    <w:basedOn w:val="891"/>
    <w:next w:val="1163"/>
    <w:link w:val="891"/>
    <w:pPr>
      <w:ind w:firstLine="200"/>
      <w:jc w:val="left"/>
      <w:spacing w:after="160" w:afterAutospacing="0" w:line="360" w:lineRule="auto"/>
      <w:widowControl/>
    </w:pPr>
    <w:rPr>
      <w:rFonts w:ascii="Times New Roman" w:hAnsi="Times New Roman" w:eastAsia="宋体" w:cs="Times New Roman"/>
    </w:rPr>
  </w:style>
  <w:style w:type="paragraph" w:styleId="1164">
    <w:name w:val="xl60"/>
    <w:basedOn w:val="891"/>
    <w:next w:val="1164"/>
    <w:link w:val="891"/>
    <w:pPr>
      <w:jc w:val="left"/>
      <w:spacing w:before="100" w:beforeAutospacing="1" w:after="100" w:afterAutospacing="1"/>
      <w:widowControl/>
      <w:pBdr>
        <w:top w:val="single" w:color="000000" w:sz="4" w:space="0"/>
        <w:right w:val="single" w:color="000000" w:sz="4" w:space="0"/>
      </w:pBdr>
    </w:pPr>
    <w:rPr>
      <w:rFonts w:hint="eastAsia" w:ascii="宋体" w:hAnsi="宋体" w:eastAsia="宋体" w:cs="Times New Roman"/>
      <w:color w:val="000000"/>
      <w:sz w:val="24"/>
    </w:rPr>
  </w:style>
  <w:style w:type="paragraph" w:styleId="1165">
    <w:name w:val="CM8"/>
    <w:basedOn w:val="1061"/>
    <w:next w:val="1061"/>
    <w:link w:val="891"/>
    <w:pPr>
      <w:spacing w:line="380" w:lineRule="atLeast"/>
    </w:pPr>
    <w:rPr>
      <w:rFonts w:ascii="Times New Roman" w:hAnsi="Times New Roman" w:eastAsia="宋体" w:cs="Times New Roman"/>
      <w:color w:val="000000"/>
    </w:rPr>
  </w:style>
  <w:style w:type="paragraph" w:styleId="1166">
    <w:name w:val="No Spacing1"/>
    <w:next w:val="1166"/>
    <w:link w:val="891"/>
    <w:pPr>
      <w:jc w:val="both"/>
      <w:widowControl w:val="off"/>
    </w:pPr>
    <w:rPr>
      <w:rFonts w:ascii="Calibri" w:hAnsi="Calibri"/>
      <w:sz w:val="21"/>
      <w:szCs w:val="22"/>
      <w:lang w:val="en-US" w:eastAsia="zh-CN" w:bidi="ar-SA"/>
    </w:rPr>
  </w:style>
  <w:style w:type="paragraph" w:styleId="1167">
    <w:name w:val="CM7"/>
    <w:basedOn w:val="1061"/>
    <w:next w:val="1061"/>
    <w:link w:val="891"/>
    <w:pPr>
      <w:spacing w:line="336" w:lineRule="atLeast"/>
    </w:pPr>
    <w:rPr>
      <w:rFonts w:ascii="Times New Roman" w:hAnsi="Times New Roman" w:eastAsia="宋体" w:cs="Times New Roman"/>
      <w:color w:val="000000"/>
    </w:rPr>
  </w:style>
  <w:style w:type="paragraph" w:styleId="1168">
    <w:name w:val="xl72"/>
    <w:basedOn w:val="891"/>
    <w:next w:val="1168"/>
    <w:link w:val="891"/>
    <w:pPr>
      <w:jc w:val="right"/>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eastAsia="宋体" w:cs="Times New Roman"/>
      <w:b/>
      <w:sz w:val="28"/>
    </w:rPr>
  </w:style>
  <w:style w:type="paragraph" w:styleId="1169">
    <w:name w:val="Sub Bullets"/>
    <w:basedOn w:val="1130"/>
    <w:next w:val="1169"/>
    <w:link w:val="891"/>
    <w:pPr>
      <w:numPr>
        <w:ilvl w:val="0"/>
        <w:numId w:val="0"/>
      </w:numPr>
      <w:ind w:left="2880" w:hanging="315"/>
      <w:spacing w:after="0" w:afterAutospacing="0"/>
      <w:tabs>
        <w:tab w:val="left" w:pos="735" w:leader="none"/>
        <w:tab w:val="left" w:pos="3240" w:leader="none"/>
      </w:tabs>
    </w:pPr>
    <w:rPr>
      <w:rFonts w:ascii="Times New Roman" w:hAnsi="Times New Roman" w:eastAsia="宋体" w:cs="Times New Roman"/>
    </w:rPr>
  </w:style>
  <w:style w:type="paragraph" w:styleId="1170">
    <w:name w:val="正文文本 21"/>
    <w:basedOn w:val="891"/>
    <w:next w:val="1170"/>
    <w:link w:val="891"/>
    <w:pPr>
      <w:ind w:left="1134"/>
      <w:jc w:val="left"/>
      <w:spacing w:before="120" w:line="360" w:lineRule="auto"/>
    </w:pPr>
    <w:rPr>
      <w:rFonts w:ascii="宋体" w:hAnsi="Times New Roman" w:eastAsia="宋体" w:cs="Times New Roman"/>
      <w:sz w:val="24"/>
    </w:rPr>
  </w:style>
  <w:style w:type="paragraph" w:styleId="1171">
    <w:name w:val="xl62"/>
    <w:basedOn w:val="891"/>
    <w:next w:val="1171"/>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72">
    <w:name w:val="xl75"/>
    <w:basedOn w:val="891"/>
    <w:next w:val="1172"/>
    <w:link w:val="891"/>
    <w:pPr>
      <w:jc w:val="left"/>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eastAsia="宋体" w:cs="Times New Roman"/>
      <w:b/>
      <w:sz w:val="28"/>
    </w:rPr>
  </w:style>
  <w:style w:type="paragraph" w:styleId="1173">
    <w:name w:val="xl48"/>
    <w:basedOn w:val="891"/>
    <w:next w:val="1173"/>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74">
    <w:name w:val="xl53"/>
    <w:basedOn w:val="891"/>
    <w:next w:val="1174"/>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75">
    <w:name w:val="CM6"/>
    <w:basedOn w:val="1061"/>
    <w:next w:val="1061"/>
    <w:link w:val="891"/>
    <w:pPr>
      <w:spacing w:line="340" w:lineRule="atLeast"/>
    </w:pPr>
    <w:rPr>
      <w:rFonts w:ascii="Times New Roman" w:hAnsi="Times New Roman" w:eastAsia="宋体" w:cs="Times New Roman"/>
      <w:color w:val="000000"/>
    </w:rPr>
  </w:style>
  <w:style w:type="paragraph" w:styleId="1176">
    <w:name w:val="font8"/>
    <w:basedOn w:val="891"/>
    <w:next w:val="1176"/>
    <w:link w:val="891"/>
    <w:pPr>
      <w:jc w:val="left"/>
      <w:spacing w:before="100" w:beforeAutospacing="1" w:after="100" w:afterAutospacing="1"/>
      <w:widowControl/>
    </w:pPr>
    <w:rPr>
      <w:rFonts w:ascii="Times New Roman" w:hAnsi="Times New Roman" w:eastAsia="宋体" w:cs="Times New Roman"/>
      <w:b/>
      <w:sz w:val="28"/>
    </w:rPr>
  </w:style>
  <w:style w:type="paragraph" w:styleId="1177">
    <w:name w:val="Figure and Table Title"/>
    <w:basedOn w:val="891"/>
    <w:next w:val="1177"/>
    <w:link w:val="891"/>
    <w:pPr>
      <w:ind w:left="2160"/>
      <w:jc w:val="left"/>
      <w:widowControl/>
    </w:pPr>
    <w:rPr>
      <w:rFonts w:ascii="Helvetica-Light" w:hAnsi="Helvetica-Light" w:eastAsia="宋体" w:cs="Times New Roman"/>
      <w:b/>
      <w:sz w:val="20"/>
      <w:lang w:eastAsia="en-US"/>
    </w:rPr>
  </w:style>
  <w:style w:type="paragraph" w:styleId="1178">
    <w:name w:val="contentnoteheader"/>
    <w:basedOn w:val="891"/>
    <w:next w:val="1178"/>
    <w:link w:val="891"/>
    <w:pPr>
      <w:ind w:left="90"/>
      <w:jc w:val="left"/>
      <w:spacing w:before="30" w:beforeAutospacing="0" w:after="100" w:afterAutospacing="1"/>
      <w:widowControl/>
    </w:pPr>
    <w:rPr>
      <w:rFonts w:ascii="宋体" w:hAnsi="宋体" w:eastAsia="宋体" w:cs="Times New Roman"/>
      <w:b/>
      <w:color w:val="990000"/>
      <w:sz w:val="18"/>
    </w:rPr>
  </w:style>
  <w:style w:type="paragraph" w:styleId="1179">
    <w:name w:val="缺省文本"/>
    <w:basedOn w:val="891"/>
    <w:next w:val="1179"/>
    <w:link w:val="891"/>
    <w:pPr>
      <w:jc w:val="left"/>
    </w:pPr>
    <w:rPr>
      <w:rFonts w:ascii="Times New Roman" w:hAnsi="Times New Roman" w:eastAsia="宋体" w:cs="Times New Roman"/>
      <w:sz w:val="24"/>
    </w:rPr>
  </w:style>
  <w:style w:type="paragraph" w:styleId="1180">
    <w:name w:val="unnamed1"/>
    <w:basedOn w:val="891"/>
    <w:next w:val="1180"/>
    <w:link w:val="891"/>
    <w:pPr>
      <w:jc w:val="left"/>
      <w:spacing w:before="100" w:beforeAutospacing="1" w:after="100" w:afterAutospacing="1"/>
      <w:widowControl/>
    </w:pPr>
    <w:rPr>
      <w:rFonts w:ascii="宋体" w:hAnsi="宋体" w:eastAsia="宋体" w:cs="Times New Roman"/>
      <w:sz w:val="24"/>
    </w:rPr>
  </w:style>
  <w:style w:type="paragraph" w:styleId="1181">
    <w:name w:val="xl58"/>
    <w:basedOn w:val="891"/>
    <w:next w:val="1181"/>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182">
    <w:name w:val="xl37"/>
    <w:basedOn w:val="891"/>
    <w:next w:val="1182"/>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183">
    <w:name w:val="纯文本111"/>
    <w:basedOn w:val="891"/>
    <w:next w:val="1183"/>
    <w:link w:val="891"/>
    <w:rPr>
      <w:rFonts w:ascii="宋体" w:hAnsi="Courier New" w:eastAsia="楷体_GB2312" w:cs="Times New Roman"/>
      <w:sz w:val="28"/>
    </w:rPr>
  </w:style>
  <w:style w:type="paragraph" w:styleId="1184">
    <w:name w:val="正文1"/>
    <w:basedOn w:val="891"/>
    <w:next w:val="891"/>
    <w:link w:val="891"/>
    <w:qFormat/>
    <w:pPr>
      <w:ind w:left="2160"/>
      <w:spacing w:line="360" w:lineRule="auto"/>
      <w:tabs>
        <w:tab w:val="left" w:pos="1980" w:leader="none"/>
        <w:tab w:val="left" w:pos="2160" w:leader="none"/>
      </w:tabs>
    </w:pPr>
    <w:rPr>
      <w:rFonts w:ascii="宋体" w:hAnsi="宋体"/>
      <w:szCs w:val="24"/>
    </w:rPr>
  </w:style>
  <w:style w:type="paragraph" w:styleId="1185">
    <w:name w:val="分层标题"/>
    <w:basedOn w:val="891"/>
    <w:next w:val="920"/>
    <w:link w:val="891"/>
    <w:pPr>
      <w:numPr>
        <w:ilvl w:val="2"/>
        <w:numId w:val="7"/>
      </w:numPr>
      <w:spacing w:before="120" w:after="120" w:line="360" w:lineRule="exact"/>
      <w:tabs>
        <w:tab w:val="left" w:pos="1080" w:leader="none"/>
      </w:tabs>
      <w:outlineLvl w:val="4"/>
    </w:pPr>
    <w:rPr>
      <w:rFonts w:ascii="Times New Roman" w:hAnsi="Times New Roman" w:eastAsia="宋体" w:cs="Times New Roman"/>
      <w:b/>
      <w:sz w:val="24"/>
    </w:rPr>
  </w:style>
  <w:style w:type="paragraph" w:styleId="1186">
    <w:name w:val="CM14"/>
    <w:basedOn w:val="1061"/>
    <w:next w:val="1061"/>
    <w:link w:val="891"/>
    <w:pPr>
      <w:spacing w:after="418" w:afterAutospacing="0"/>
    </w:pPr>
    <w:rPr>
      <w:rFonts w:ascii="Times New Roman" w:hAnsi="Times New Roman" w:eastAsia="宋体" w:cs="Times New Roman"/>
      <w:color w:val="000000"/>
    </w:rPr>
  </w:style>
  <w:style w:type="paragraph" w:styleId="1187">
    <w:name w:val="xl44"/>
    <w:basedOn w:val="891"/>
    <w:next w:val="1187"/>
    <w:link w:val="891"/>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sz w:val="24"/>
    </w:rPr>
  </w:style>
  <w:style w:type="paragraph" w:styleId="1188">
    <w:name w:val="xl61"/>
    <w:basedOn w:val="891"/>
    <w:next w:val="1188"/>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89">
    <w:name w:val=" Char Char Char Char"/>
    <w:basedOn w:val="891"/>
    <w:next w:val="1189"/>
    <w:link w:val="891"/>
    <w:pPr>
      <w:jc w:val="left"/>
      <w:spacing w:after="160" w:afterAutospacing="0" w:line="240" w:lineRule="exact"/>
      <w:widowControl/>
    </w:pPr>
    <w:rPr>
      <w:rFonts w:ascii="Verdana" w:hAnsi="Verdana" w:eastAsia="仿宋_GB2312" w:cs="Times New Roman"/>
      <w:sz w:val="24"/>
      <w:lang w:eastAsia="en-US"/>
    </w:rPr>
  </w:style>
  <w:style w:type="paragraph" w:styleId="1190">
    <w:name w:val=" Char1"/>
    <w:basedOn w:val="922"/>
    <w:next w:val="1190"/>
    <w:link w:val="891"/>
    <w:pPr>
      <w:ind w:firstLine="556"/>
      <w:spacing w:before="156" w:beforeAutospacing="0" w:after="156" w:afterAutospacing="0"/>
    </w:pPr>
    <w:rPr>
      <w:rFonts w:ascii="Tahoma" w:hAnsi="Tahoma" w:eastAsia="宋体" w:cs="Times New Roman"/>
      <w:sz w:val="24"/>
    </w:rPr>
  </w:style>
  <w:style w:type="paragraph" w:styleId="1191">
    <w:name w:val="xl71"/>
    <w:basedOn w:val="891"/>
    <w:next w:val="1191"/>
    <w:link w:val="891"/>
    <w:pPr>
      <w:jc w:val="righ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b/>
      <w:sz w:val="28"/>
    </w:rPr>
  </w:style>
  <w:style w:type="paragraph" w:styleId="1192">
    <w:name w:val="xl40"/>
    <w:basedOn w:val="891"/>
    <w:next w:val="1192"/>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93">
    <w:name w:val="xl67"/>
    <w:basedOn w:val="891"/>
    <w:next w:val="1193"/>
    <w:link w:val="891"/>
    <w:pPr>
      <w:jc w:val="left"/>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eastAsia="宋体" w:cs="Times New Roman"/>
      <w:b/>
      <w:sz w:val="24"/>
    </w:rPr>
  </w:style>
  <w:style w:type="paragraph" w:styleId="1194">
    <w:name w:val="xl36"/>
    <w:basedOn w:val="891"/>
    <w:next w:val="1194"/>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color w:val="000000"/>
      <w:sz w:val="24"/>
    </w:rPr>
  </w:style>
  <w:style w:type="paragraph" w:styleId="1195">
    <w:name w:val="xl54"/>
    <w:basedOn w:val="891"/>
    <w:next w:val="1195"/>
    <w:link w:val="8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eastAsia="宋体" w:cs="Times New Roman"/>
      <w:b/>
      <w:sz w:val="24"/>
    </w:rPr>
  </w:style>
  <w:style w:type="paragraph" w:styleId="1196">
    <w:name w:val="tabletextcharcharchar"/>
    <w:basedOn w:val="891"/>
    <w:next w:val="1196"/>
    <w:link w:val="891"/>
    <w:pPr>
      <w:jc w:val="left"/>
      <w:spacing w:before="100" w:beforeAutospacing="1" w:after="100" w:afterAutospacing="1" w:line="240" w:lineRule="atLeast"/>
      <w:widowControl/>
    </w:pPr>
    <w:rPr>
      <w:rFonts w:ascii="宋体" w:hAnsi="宋体" w:eastAsia="宋体" w:cs="Times New Roman"/>
      <w:sz w:val="18"/>
    </w:rPr>
  </w:style>
  <w:style w:type="paragraph" w:styleId="1197">
    <w:name w:val="xl65"/>
    <w:basedOn w:val="891"/>
    <w:next w:val="1197"/>
    <w:link w:val="891"/>
    <w:pPr>
      <w:jc w:val="left"/>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eastAsia="宋体" w:cs="Times New Roman"/>
      <w:b/>
      <w:sz w:val="24"/>
    </w:rPr>
  </w:style>
  <w:style w:type="paragraph" w:styleId="1198">
    <w:name w:val="列表内容"/>
    <w:basedOn w:val="891"/>
    <w:next w:val="891"/>
    <w:link w:val="891"/>
    <w:pPr>
      <w:numPr>
        <w:ilvl w:val="0"/>
        <w:numId w:val="8"/>
      </w:numPr>
      <w:ind w:left="0" w:firstLine="200"/>
      <w:jc w:val="left"/>
      <w:widowControl/>
      <w:tabs>
        <w:tab w:val="clear" w:pos="840" w:leader="none"/>
      </w:tabs>
    </w:pPr>
    <w:rPr>
      <w:rFonts w:ascii="Times New Roman" w:hAnsi="Times New Roman" w:eastAsia="宋体" w:cs="Times New Roman"/>
      <w:sz w:val="18"/>
    </w:rPr>
  </w:style>
  <w:style w:type="paragraph" w:styleId="1199">
    <w:name w:val="xl59"/>
    <w:basedOn w:val="891"/>
    <w:next w:val="1199"/>
    <w:link w:val="891"/>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2"/>
    </w:rPr>
  </w:style>
  <w:style w:type="paragraph" w:styleId="1200">
    <w:name w:val=" Char Char Char Char Char Char Char Char"/>
    <w:basedOn w:val="891"/>
    <w:next w:val="1200"/>
    <w:link w:val="891"/>
    <w:rPr>
      <w:rFonts w:ascii="仿宋_GB2312" w:hAnsi="Times New Roman" w:eastAsia="仿宋_GB2312" w:cs="Times New Roman"/>
      <w:b/>
      <w:sz w:val="32"/>
    </w:rPr>
  </w:style>
  <w:style w:type="paragraph" w:styleId="1201">
    <w:name w:val="表头"/>
    <w:basedOn w:val="891"/>
    <w:next w:val="1201"/>
    <w:link w:val="891"/>
    <w:pPr>
      <w:jc w:val="center"/>
      <w:spacing w:line="288" w:lineRule="auto"/>
    </w:pPr>
    <w:rPr>
      <w:rFonts w:ascii="Times New Roman" w:hAnsi="Times New Roman" w:eastAsia="宋体" w:cs="Times New Roman"/>
      <w:b/>
      <w:spacing w:val="-2"/>
    </w:rPr>
  </w:style>
  <w:style w:type="paragraph" w:styleId="1202">
    <w:name w:val="纯文本4"/>
    <w:basedOn w:val="891"/>
    <w:next w:val="1202"/>
    <w:link w:val="891"/>
    <w:rPr>
      <w:rFonts w:ascii="宋体" w:hAnsi="Courier New" w:eastAsia="楷体_GB2312" w:cs="Times New Roman"/>
      <w:sz w:val="28"/>
    </w:rPr>
  </w:style>
  <w:style w:type="paragraph" w:styleId="1203">
    <w:name w:val="Char Char Char Char Char Char Char Char Char1 Char"/>
    <w:basedOn w:val="922"/>
    <w:next w:val="1203"/>
    <w:link w:val="891"/>
    <w:pPr>
      <w:spacing w:line="360" w:lineRule="auto"/>
    </w:pPr>
    <w:rPr>
      <w:rFonts w:ascii="Times New Roman" w:hAnsi="Times New Roman" w:eastAsia="楷体_GB2312" w:cs="Times New Roman"/>
      <w:sz w:val="26"/>
    </w:rPr>
  </w:style>
  <w:style w:type="paragraph" w:styleId="1204">
    <w:name w:val="xl57"/>
    <w:basedOn w:val="891"/>
    <w:next w:val="1204"/>
    <w:link w:val="891"/>
    <w:pPr>
      <w:jc w:val="left"/>
      <w:spacing w:before="100" w:beforeAutospacing="1" w:after="100" w:afterAutospacing="1"/>
      <w:widowControl/>
      <w:pBdr>
        <w:top w:val="single" w:color="000000" w:sz="4" w:space="0"/>
        <w:right w:val="single" w:color="000000" w:sz="4" w:space="0"/>
      </w:pBdr>
    </w:pPr>
    <w:rPr>
      <w:rFonts w:hint="eastAsia" w:ascii="宋体" w:hAnsi="宋体" w:eastAsia="宋体" w:cs="Times New Roman"/>
      <w:sz w:val="24"/>
    </w:rPr>
  </w:style>
  <w:style w:type="paragraph" w:styleId="1205">
    <w:name w:val="test2"/>
    <w:basedOn w:val="891"/>
    <w:next w:val="1205"/>
    <w:link w:val="891"/>
    <w:pPr>
      <w:numPr>
        <w:ilvl w:val="0"/>
        <w:numId w:val="5"/>
      </w:numPr>
      <w:ind w:left="1382" w:hanging="288"/>
      <w:spacing w:before="120"/>
      <w:widowControl/>
      <w:tabs>
        <w:tab w:val="left" w:pos="980" w:leader="none"/>
      </w:tabs>
    </w:pPr>
    <w:rPr>
      <w:rFonts w:ascii="宋体" w:hAnsi="Times New Roman" w:eastAsia="宋体" w:cs="Times New Roman"/>
    </w:rPr>
  </w:style>
  <w:style w:type="paragraph" w:styleId="1206">
    <w:name w:val="CM13"/>
    <w:basedOn w:val="1061"/>
    <w:next w:val="1061"/>
    <w:link w:val="891"/>
    <w:pPr>
      <w:spacing w:after="235" w:afterAutospacing="0"/>
    </w:pPr>
    <w:rPr>
      <w:rFonts w:ascii="Times New Roman" w:hAnsi="Times New Roman" w:eastAsia="宋体" w:cs="Times New Roman"/>
      <w:color w:val="000000"/>
    </w:rPr>
  </w:style>
  <w:style w:type="paragraph" w:styleId="1207">
    <w:name w:val=" Char Char1"/>
    <w:basedOn w:val="891"/>
    <w:next w:val="1207"/>
    <w:link w:val="891"/>
    <w:pPr>
      <w:jc w:val="left"/>
      <w:spacing w:after="160" w:afterAutospacing="0" w:line="240" w:lineRule="exact"/>
      <w:widowControl/>
    </w:pPr>
    <w:rPr>
      <w:rFonts w:ascii="Verdana" w:hAnsi="Verdana" w:eastAsia="宋体" w:cs="Times New Roman"/>
      <w:sz w:val="20"/>
      <w:lang w:eastAsia="en-US"/>
    </w:rPr>
  </w:style>
  <w:style w:type="paragraph" w:styleId="1208">
    <w:name w:val="xl68"/>
    <w:basedOn w:val="891"/>
    <w:next w:val="1208"/>
    <w:link w:val="89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sz w:val="28"/>
    </w:rPr>
  </w:style>
  <w:style w:type="paragraph" w:styleId="1209">
    <w:name w:val="xl69"/>
    <w:basedOn w:val="891"/>
    <w:next w:val="1209"/>
    <w:link w:val="891"/>
    <w:pPr>
      <w:jc w:val="right"/>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eastAsia="宋体" w:cs="Times New Roman"/>
      <w:b/>
      <w:sz w:val="28"/>
    </w:rPr>
  </w:style>
  <w:style w:type="paragraph" w:styleId="1210">
    <w:name w:val="纯文本2"/>
    <w:basedOn w:val="891"/>
    <w:next w:val="1210"/>
    <w:link w:val="891"/>
    <w:rPr>
      <w:rFonts w:hint="eastAsia" w:ascii="宋体" w:hAnsi="Courier New" w:eastAsia="楷体_GB2312" w:cs="Times New Roman"/>
      <w:sz w:val="28"/>
    </w:rPr>
  </w:style>
  <w:style w:type="paragraph" w:styleId="1211">
    <w:name w:val="缩进编号"/>
    <w:basedOn w:val="891"/>
    <w:next w:val="1211"/>
    <w:link w:val="891"/>
    <w:pPr>
      <w:ind w:left="1620" w:hanging="360"/>
      <w:jc w:val="left"/>
      <w:spacing w:line="400" w:lineRule="exact"/>
      <w:widowControl/>
      <w:tabs>
        <w:tab w:val="left" w:pos="1620" w:leader="none"/>
      </w:tabs>
    </w:pPr>
    <w:rPr>
      <w:rFonts w:ascii="宋体" w:hAnsi="Times New Roman" w:eastAsia="宋体" w:cs="Times New Roman"/>
    </w:rPr>
  </w:style>
  <w:style w:type="paragraph" w:styleId="1212">
    <w:name w:val="普通(网站)1"/>
    <w:basedOn w:val="891"/>
    <w:next w:val="1212"/>
    <w:link w:val="891"/>
    <w:rPr>
      <w:rFonts w:ascii="Times New Roman" w:hAnsi="Times New Roman" w:eastAsia="宋体" w:cs="Times New Roman"/>
      <w:sz w:val="24"/>
    </w:rPr>
  </w:style>
  <w:style w:type="paragraph" w:styleId="1213">
    <w:name w:val="_Style 4"/>
    <w:next w:val="1213"/>
    <w:link w:val="891"/>
    <w:rPr>
      <w:rFonts w:ascii="Calibri" w:hAnsi="Calibri" w:cs="Calibri"/>
      <w:sz w:val="22"/>
      <w:szCs w:val="22"/>
      <w:lang w:val="en-US" w:eastAsia="zh-CN" w:bidi="ar-SA"/>
    </w:rPr>
  </w:style>
  <w:style w:type="paragraph" w:styleId="1214">
    <w:name w:val="red"/>
    <w:basedOn w:val="891"/>
    <w:next w:val="1214"/>
    <w:link w:val="891"/>
    <w:pPr>
      <w:numPr>
        <w:ilvl w:val="0"/>
        <w:numId w:val="9"/>
      </w:numPr>
      <w:ind w:left="0" w:firstLine="0"/>
      <w:jc w:val="left"/>
      <w:spacing w:before="100" w:after="100"/>
      <w:widowControl/>
      <w:tabs>
        <w:tab w:val="left" w:pos="1928" w:leader="none"/>
      </w:tabs>
    </w:pPr>
    <w:rPr>
      <w:rFonts w:ascii="Arial" w:hAnsi="Arial" w:eastAsia="仿宋_GB2312" w:cs="Times New Roman"/>
      <w:color w:val="ff0000"/>
      <w:sz w:val="18"/>
    </w:rPr>
  </w:style>
  <w:style w:type="paragraph" w:styleId="1215">
    <w:name w:val="xl73"/>
    <w:basedOn w:val="891"/>
    <w:next w:val="1215"/>
    <w:link w:val="891"/>
    <w:pPr>
      <w:jc w:val="right"/>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eastAsia="宋体" w:cs="Times New Roman"/>
      <w:b/>
      <w:sz w:val="28"/>
    </w:rPr>
  </w:style>
  <w:style w:type="paragraph" w:styleId="1216">
    <w:name w:val="xl32"/>
    <w:basedOn w:val="891"/>
    <w:next w:val="121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4"/>
    </w:rPr>
  </w:style>
  <w:style w:type="paragraph" w:styleId="1217">
    <w:name w:val="CM4"/>
    <w:basedOn w:val="1061"/>
    <w:next w:val="1061"/>
    <w:link w:val="891"/>
    <w:pPr>
      <w:spacing w:line="340" w:lineRule="atLeast"/>
    </w:pPr>
    <w:rPr>
      <w:rFonts w:ascii="Times New Roman" w:hAnsi="Times New Roman" w:eastAsia="宋体" w:cs="Times New Roman"/>
      <w:color w:val="000000"/>
    </w:rPr>
  </w:style>
  <w:style w:type="paragraph" w:styleId="1218">
    <w:name w:val="a0"/>
    <w:basedOn w:val="891"/>
    <w:next w:val="1218"/>
    <w:link w:val="891"/>
    <w:pPr>
      <w:jc w:val="left"/>
      <w:spacing w:before="100" w:beforeAutospacing="1" w:after="100" w:afterAutospacing="1" w:line="240" w:lineRule="atLeast"/>
      <w:widowControl/>
    </w:pPr>
    <w:rPr>
      <w:rFonts w:ascii="宋体" w:hAnsi="宋体" w:eastAsia="宋体" w:cs="Times New Roman"/>
      <w:sz w:val="18"/>
    </w:rPr>
  </w:style>
  <w:style w:type="paragraph" w:styleId="1219">
    <w:name w:val="xl27"/>
    <w:basedOn w:val="891"/>
    <w:next w:val="1219"/>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20">
    <w:name w:val="正文缩进 Char Char Char"/>
    <w:basedOn w:val="891"/>
    <w:next w:val="1220"/>
    <w:link w:val="891"/>
    <w:pPr>
      <w:ind w:firstLine="420"/>
    </w:pPr>
    <w:rPr>
      <w:rFonts w:ascii="宋体" w:hAnsi="宋体" w:eastAsia="宋体" w:cs="Times New Roman"/>
      <w:bCs/>
      <w:sz w:val="24"/>
    </w:rPr>
  </w:style>
  <w:style w:type="paragraph" w:styleId="1221">
    <w:name w:val="CM12"/>
    <w:basedOn w:val="1061"/>
    <w:next w:val="1061"/>
    <w:link w:val="891"/>
    <w:pPr>
      <w:spacing w:after="180" w:afterAutospacing="0"/>
    </w:pPr>
    <w:rPr>
      <w:rFonts w:ascii="Times New Roman" w:hAnsi="Times New Roman" w:eastAsia="宋体" w:cs="Times New Roman"/>
      <w:color w:val="000000"/>
    </w:rPr>
  </w:style>
  <w:style w:type="paragraph" w:styleId="1222">
    <w:name w:val="小标1"/>
    <w:basedOn w:val="891"/>
    <w:next w:val="1222"/>
    <w:link w:val="891"/>
    <w:pPr>
      <w:spacing w:before="240" w:beforeAutospacing="0"/>
    </w:pPr>
    <w:rPr>
      <w:rFonts w:ascii="Times New Roman" w:hAnsi="Times New Roman" w:eastAsia="宋体" w:cs="Times New Roman"/>
      <w:b/>
    </w:rPr>
  </w:style>
  <w:style w:type="paragraph" w:styleId="1223">
    <w:name w:val="正文段"/>
    <w:basedOn w:val="891"/>
    <w:next w:val="1223"/>
    <w:link w:val="891"/>
    <w:pPr>
      <w:ind w:firstLine="454"/>
      <w:spacing w:after="240" w:afterAutospacing="0" w:line="360" w:lineRule="atLeast"/>
      <w:widowControl/>
    </w:pPr>
    <w:rPr>
      <w:rFonts w:ascii="宋体" w:hAnsi="Times New Roman" w:eastAsia="宋体" w:cs="Times New Roman"/>
      <w:sz w:val="24"/>
    </w:rPr>
  </w:style>
  <w:style w:type="paragraph" w:styleId="1224">
    <w:name w:val="批注文字1"/>
    <w:basedOn w:val="891"/>
    <w:next w:val="1224"/>
    <w:link w:val="891"/>
    <w:qFormat/>
    <w:pPr>
      <w:jc w:val="left"/>
      <w:widowControl/>
    </w:pPr>
    <w:rPr>
      <w:rFonts w:eastAsia="宋体"/>
      <w:sz w:val="20"/>
      <w:lang w:val="en-GB"/>
    </w:rPr>
  </w:style>
  <w:style w:type="character" w:styleId="1225" w:default="1">
    <w:name w:val="Default Paragraph Font"/>
    <w:uiPriority w:val="1"/>
    <w:semiHidden/>
    <w:unhideWhenUsed/>
  </w:style>
  <w:style w:type="numbering" w:styleId="1226" w:default="1">
    <w:name w:val="No List"/>
    <w:uiPriority w:val="99"/>
    <w:semiHidden/>
    <w:unhideWhenUsed/>
  </w:style>
  <w:style w:type="table" w:styleId="12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h</dc:creator>
  <cp:lastModifiedBy>于文婷</cp:lastModifiedBy>
  <cp:revision>6</cp:revision>
  <dcterms:created xsi:type="dcterms:W3CDTF">2015-07-24T00:11:00Z</dcterms:created>
  <dcterms:modified xsi:type="dcterms:W3CDTF">2025-03-27T02:16:31Z</dcterms:modified>
</cp:coreProperties>
</file>