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4AB58">
      <w:pPr>
        <w:jc w:val="center"/>
        <w:rPr>
          <w:rFonts w:hint="default" w:eastAsiaTheme="minorEastAsia"/>
          <w:b/>
          <w:bCs/>
          <w:sz w:val="44"/>
          <w:szCs w:val="44"/>
          <w:lang w:val="en-US" w:eastAsia="zh-CN"/>
        </w:rPr>
      </w:pPr>
      <w:r>
        <w:rPr>
          <w:rFonts w:hint="eastAsia"/>
          <w:b/>
          <w:bCs/>
          <w:sz w:val="44"/>
          <w:szCs w:val="44"/>
          <w:lang w:val="en-US" w:eastAsia="zh-CN"/>
        </w:rPr>
        <w:t>音视频项目相关标准</w:t>
      </w:r>
    </w:p>
    <w:p w14:paraId="7627A19F"/>
    <w:tbl>
      <w:tblPr>
        <w:tblStyle w:val="5"/>
        <w:tblW w:w="14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574"/>
        <w:gridCol w:w="1896"/>
        <w:gridCol w:w="1266"/>
        <w:gridCol w:w="4372"/>
        <w:gridCol w:w="2836"/>
      </w:tblGrid>
      <w:tr w14:paraId="4FE2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blHeader/>
        </w:trPr>
        <w:tc>
          <w:tcPr>
            <w:tcW w:w="701" w:type="dxa"/>
            <w:vAlign w:val="center"/>
          </w:tcPr>
          <w:p w14:paraId="60B513AA">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3574" w:type="dxa"/>
            <w:vAlign w:val="center"/>
          </w:tcPr>
          <w:p w14:paraId="1E58FE90">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标准名称</w:t>
            </w:r>
          </w:p>
        </w:tc>
        <w:tc>
          <w:tcPr>
            <w:tcW w:w="1896" w:type="dxa"/>
            <w:vAlign w:val="center"/>
          </w:tcPr>
          <w:p w14:paraId="54E2C4D1">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标准编号</w:t>
            </w:r>
          </w:p>
        </w:tc>
        <w:tc>
          <w:tcPr>
            <w:tcW w:w="1266" w:type="dxa"/>
            <w:vAlign w:val="center"/>
          </w:tcPr>
          <w:p w14:paraId="434FB3C8">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标准状态</w:t>
            </w:r>
          </w:p>
        </w:tc>
        <w:tc>
          <w:tcPr>
            <w:tcW w:w="4372" w:type="dxa"/>
            <w:vAlign w:val="center"/>
          </w:tcPr>
          <w:p w14:paraId="723824A0">
            <w:pPr>
              <w:spacing w:line="240" w:lineRule="auto"/>
              <w:jc w:val="left"/>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对应产品或适用情况</w:t>
            </w:r>
          </w:p>
        </w:tc>
        <w:tc>
          <w:tcPr>
            <w:tcW w:w="2836" w:type="dxa"/>
            <w:vAlign w:val="center"/>
          </w:tcPr>
          <w:p w14:paraId="26CDB14F">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相关标准</w:t>
            </w:r>
          </w:p>
        </w:tc>
      </w:tr>
      <w:tr w14:paraId="7349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46102923">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3574" w:type="dxa"/>
            <w:shd w:val="clear" w:color="auto" w:fill="auto"/>
            <w:vAlign w:val="center"/>
          </w:tcPr>
          <w:p w14:paraId="0816E1E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声系统设备 第1部分：概述</w:t>
            </w:r>
          </w:p>
        </w:tc>
        <w:tc>
          <w:tcPr>
            <w:tcW w:w="1896" w:type="dxa"/>
            <w:shd w:val="clear" w:color="auto" w:fill="auto"/>
            <w:vAlign w:val="center"/>
          </w:tcPr>
          <w:p w14:paraId="3514709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12060.1-2017</w:t>
            </w:r>
          </w:p>
        </w:tc>
        <w:tc>
          <w:tcPr>
            <w:tcW w:w="1266" w:type="dxa"/>
            <w:shd w:val="clear" w:color="auto" w:fill="auto"/>
            <w:vAlign w:val="center"/>
          </w:tcPr>
          <w:p w14:paraId="1D6FF35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100697E0">
            <w:pPr>
              <w:spacing w:line="240" w:lineRule="auto"/>
              <w:jc w:val="left"/>
              <w:rPr>
                <w:rFonts w:hint="eastAsia" w:ascii="仿宋" w:hAnsi="仿宋" w:eastAsia="仿宋" w:cs="仿宋"/>
                <w:color w:val="auto"/>
                <w:sz w:val="21"/>
                <w:szCs w:val="21"/>
                <w:highlight w:val="none"/>
                <w:vertAlign w:val="baseline"/>
              </w:rPr>
            </w:pPr>
          </w:p>
        </w:tc>
        <w:tc>
          <w:tcPr>
            <w:tcW w:w="2836" w:type="dxa"/>
            <w:shd w:val="clear" w:color="auto" w:fill="auto"/>
            <w:vAlign w:val="center"/>
          </w:tcPr>
          <w:p w14:paraId="63BBA2E5">
            <w:pPr>
              <w:spacing w:line="240" w:lineRule="auto"/>
              <w:jc w:val="center"/>
              <w:rPr>
                <w:rFonts w:hint="eastAsia" w:ascii="仿宋" w:hAnsi="仿宋" w:eastAsia="仿宋" w:cs="仿宋"/>
                <w:color w:val="auto"/>
                <w:sz w:val="21"/>
                <w:szCs w:val="21"/>
                <w:highlight w:val="none"/>
                <w:vertAlign w:val="baseline"/>
              </w:rPr>
            </w:pPr>
          </w:p>
        </w:tc>
      </w:tr>
      <w:tr w14:paraId="518E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6C62EB21">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w:t>
            </w:r>
          </w:p>
        </w:tc>
        <w:tc>
          <w:tcPr>
            <w:tcW w:w="3574" w:type="dxa"/>
            <w:shd w:val="clear" w:color="auto" w:fill="auto"/>
            <w:vAlign w:val="center"/>
          </w:tcPr>
          <w:p w14:paraId="374F68E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声系统设备 第2部分：一般术语解释和计算方法</w:t>
            </w:r>
          </w:p>
        </w:tc>
        <w:tc>
          <w:tcPr>
            <w:tcW w:w="1896" w:type="dxa"/>
            <w:shd w:val="clear" w:color="auto" w:fill="auto"/>
            <w:vAlign w:val="center"/>
          </w:tcPr>
          <w:p w14:paraId="088E37E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12060.2-2011</w:t>
            </w:r>
          </w:p>
        </w:tc>
        <w:tc>
          <w:tcPr>
            <w:tcW w:w="1266" w:type="dxa"/>
            <w:shd w:val="clear" w:color="auto" w:fill="auto"/>
            <w:vAlign w:val="center"/>
          </w:tcPr>
          <w:p w14:paraId="226E98A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735590E4">
            <w:pPr>
              <w:spacing w:line="240" w:lineRule="auto"/>
              <w:jc w:val="left"/>
              <w:rPr>
                <w:rFonts w:hint="eastAsia" w:ascii="仿宋" w:hAnsi="仿宋" w:eastAsia="仿宋" w:cs="仿宋"/>
                <w:color w:val="auto"/>
                <w:sz w:val="21"/>
                <w:szCs w:val="21"/>
                <w:highlight w:val="none"/>
                <w:vertAlign w:val="baseline"/>
              </w:rPr>
            </w:pPr>
          </w:p>
        </w:tc>
        <w:tc>
          <w:tcPr>
            <w:tcW w:w="2836" w:type="dxa"/>
            <w:shd w:val="clear" w:color="auto" w:fill="auto"/>
            <w:vAlign w:val="center"/>
          </w:tcPr>
          <w:p w14:paraId="3B6CDAED">
            <w:pPr>
              <w:spacing w:line="240" w:lineRule="auto"/>
              <w:jc w:val="center"/>
              <w:rPr>
                <w:rFonts w:hint="eastAsia" w:ascii="仿宋" w:hAnsi="仿宋" w:eastAsia="仿宋" w:cs="仿宋"/>
                <w:color w:val="auto"/>
                <w:sz w:val="21"/>
                <w:szCs w:val="21"/>
                <w:highlight w:val="none"/>
                <w:vertAlign w:val="baseline"/>
              </w:rPr>
            </w:pPr>
          </w:p>
        </w:tc>
      </w:tr>
      <w:tr w14:paraId="3D3E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08245F7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w:t>
            </w:r>
          </w:p>
        </w:tc>
        <w:tc>
          <w:tcPr>
            <w:tcW w:w="3574" w:type="dxa"/>
            <w:shd w:val="clear" w:color="auto" w:fill="auto"/>
            <w:vAlign w:val="center"/>
          </w:tcPr>
          <w:p w14:paraId="35406DE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声系统设备 第3部分:声频放大器测量方法</w:t>
            </w:r>
          </w:p>
        </w:tc>
        <w:tc>
          <w:tcPr>
            <w:tcW w:w="1896" w:type="dxa"/>
            <w:shd w:val="clear" w:color="auto" w:fill="auto"/>
            <w:vAlign w:val="center"/>
          </w:tcPr>
          <w:p w14:paraId="1739579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12060.3-2011</w:t>
            </w:r>
          </w:p>
        </w:tc>
        <w:tc>
          <w:tcPr>
            <w:tcW w:w="1266" w:type="dxa"/>
            <w:shd w:val="clear" w:color="auto" w:fill="auto"/>
            <w:vAlign w:val="center"/>
          </w:tcPr>
          <w:p w14:paraId="5D3A10A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62C69E5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本部分规定了放大器规范中应给出的特性,以及其相应的测量方法。</w:t>
            </w:r>
          </w:p>
          <w:p w14:paraId="68EF800E">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本部分适用于组成专业或家用声系统的</w:t>
            </w:r>
            <w:r>
              <w:rPr>
                <w:rFonts w:hint="eastAsia" w:ascii="仿宋" w:hAnsi="仿宋" w:eastAsia="仿宋" w:cs="仿宋"/>
                <w:color w:val="0000FF"/>
                <w:sz w:val="21"/>
                <w:szCs w:val="21"/>
                <w:highlight w:val="none"/>
                <w:vertAlign w:val="baseline"/>
              </w:rPr>
              <w:t>模拟放大器</w:t>
            </w:r>
            <w:r>
              <w:rPr>
                <w:rFonts w:hint="eastAsia" w:ascii="仿宋" w:hAnsi="仿宋" w:eastAsia="仿宋" w:cs="仿宋"/>
                <w:color w:val="auto"/>
                <w:sz w:val="21"/>
                <w:szCs w:val="21"/>
                <w:highlight w:val="none"/>
                <w:vertAlign w:val="baseline"/>
              </w:rPr>
              <w:t>以及模拟/数字放大器中的</w:t>
            </w:r>
            <w:r>
              <w:rPr>
                <w:rFonts w:hint="eastAsia" w:ascii="仿宋" w:hAnsi="仿宋" w:eastAsia="仿宋" w:cs="仿宋"/>
                <w:color w:val="0000FF"/>
                <w:sz w:val="21"/>
                <w:szCs w:val="21"/>
                <w:highlight w:val="none"/>
                <w:vertAlign w:val="baseline"/>
              </w:rPr>
              <w:t>模拟部分</w:t>
            </w:r>
            <w:r>
              <w:rPr>
                <w:rFonts w:hint="eastAsia" w:ascii="仿宋" w:hAnsi="仿宋" w:eastAsia="仿宋" w:cs="仿宋"/>
                <w:color w:val="auto"/>
                <w:sz w:val="21"/>
                <w:szCs w:val="21"/>
                <w:highlight w:val="none"/>
                <w:vertAlign w:val="baseline"/>
              </w:rPr>
              <w:t>。</w:t>
            </w:r>
          </w:p>
        </w:tc>
        <w:tc>
          <w:tcPr>
            <w:tcW w:w="2836" w:type="dxa"/>
            <w:shd w:val="clear" w:color="auto" w:fill="auto"/>
            <w:vAlign w:val="center"/>
          </w:tcPr>
          <w:p w14:paraId="3495475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等同  IEC 60268-3:2000</w:t>
            </w:r>
          </w:p>
        </w:tc>
      </w:tr>
      <w:tr w14:paraId="0050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3AA416D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w:t>
            </w:r>
          </w:p>
        </w:tc>
        <w:tc>
          <w:tcPr>
            <w:tcW w:w="3574" w:type="dxa"/>
            <w:shd w:val="clear" w:color="auto" w:fill="auto"/>
            <w:vAlign w:val="center"/>
          </w:tcPr>
          <w:p w14:paraId="0E47B5B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广播收音机、广播电视接收机、磁带录音机、声频功率放大器(扩音机)的环境试验要求和试验方法</w:t>
            </w:r>
          </w:p>
        </w:tc>
        <w:tc>
          <w:tcPr>
            <w:tcW w:w="1896" w:type="dxa"/>
            <w:shd w:val="clear" w:color="auto" w:fill="auto"/>
            <w:vAlign w:val="center"/>
          </w:tcPr>
          <w:p w14:paraId="59FB322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9384-2011</w:t>
            </w:r>
          </w:p>
        </w:tc>
        <w:tc>
          <w:tcPr>
            <w:tcW w:w="1266" w:type="dxa"/>
            <w:shd w:val="clear" w:color="auto" w:fill="auto"/>
            <w:vAlign w:val="center"/>
          </w:tcPr>
          <w:p w14:paraId="7987509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5758D250">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本标准规定了</w:t>
            </w:r>
            <w:r>
              <w:rPr>
                <w:rFonts w:hint="eastAsia" w:ascii="仿宋" w:hAnsi="仿宋" w:eastAsia="仿宋" w:cs="仿宋"/>
                <w:color w:val="auto"/>
                <w:sz w:val="21"/>
                <w:szCs w:val="21"/>
                <w:highlight w:val="yellow"/>
                <w:vertAlign w:val="baseline"/>
              </w:rPr>
              <w:t>广播收音机、广播电视接收机(包括CRT接收机、LCD接收机、PDP接收机等)、磁带录音机等音视频录放产品、声频功率放大器(扩音机)</w:t>
            </w:r>
            <w:r>
              <w:rPr>
                <w:rFonts w:hint="eastAsia" w:ascii="仿宋" w:hAnsi="仿宋" w:eastAsia="仿宋" w:cs="仿宋"/>
                <w:color w:val="auto"/>
                <w:sz w:val="21"/>
                <w:szCs w:val="21"/>
                <w:highlight w:val="none"/>
                <w:vertAlign w:val="baseline"/>
              </w:rPr>
              <w:t>的环境试验要求及试验方法。</w:t>
            </w:r>
          </w:p>
        </w:tc>
        <w:tc>
          <w:tcPr>
            <w:tcW w:w="2836" w:type="dxa"/>
            <w:shd w:val="clear" w:color="auto" w:fill="auto"/>
            <w:vAlign w:val="center"/>
          </w:tcPr>
          <w:p w14:paraId="019B5F3D">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0DAE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37162EE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5</w:t>
            </w:r>
          </w:p>
        </w:tc>
        <w:tc>
          <w:tcPr>
            <w:tcW w:w="3574" w:type="dxa"/>
            <w:vAlign w:val="center"/>
          </w:tcPr>
          <w:p w14:paraId="4047395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声系统设备 第5部分：扬声器主要性能测试方法 </w:t>
            </w:r>
          </w:p>
        </w:tc>
        <w:tc>
          <w:tcPr>
            <w:tcW w:w="1896" w:type="dxa"/>
            <w:vAlign w:val="center"/>
          </w:tcPr>
          <w:p w14:paraId="53536E5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GB/T12060.5-2011</w:t>
            </w:r>
          </w:p>
        </w:tc>
        <w:tc>
          <w:tcPr>
            <w:tcW w:w="1266" w:type="dxa"/>
            <w:vAlign w:val="center"/>
          </w:tcPr>
          <w:p w14:paraId="6C8A904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1AD3F682">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本部分适用于声系统中的扬声器,完全作为无源元件来处理,不包括带内置放大器的扬声器系统。 </w:t>
            </w:r>
          </w:p>
          <w:p w14:paraId="49DA14F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本部分的目的是给出特性解释及使用正弦、指定噪声或脉冲信号时扬声器的相关测量方法。</w:t>
            </w:r>
          </w:p>
        </w:tc>
        <w:tc>
          <w:tcPr>
            <w:tcW w:w="2836" w:type="dxa"/>
            <w:vAlign w:val="center"/>
          </w:tcPr>
          <w:p w14:paraId="52816437">
            <w:pPr>
              <w:spacing w:line="240" w:lineRule="auto"/>
              <w:jc w:val="center"/>
              <w:rPr>
                <w:rFonts w:hint="eastAsia" w:ascii="仿宋" w:hAnsi="仿宋" w:eastAsia="仿宋" w:cs="仿宋"/>
                <w:color w:val="auto"/>
                <w:sz w:val="21"/>
                <w:szCs w:val="21"/>
                <w:highlight w:val="none"/>
                <w:vertAlign w:val="baseline"/>
                <w:lang w:eastAsia="zh-CN"/>
              </w:rPr>
            </w:pPr>
            <w:r>
              <w:rPr>
                <w:rFonts w:hint="eastAsia" w:ascii="仿宋" w:hAnsi="仿宋" w:eastAsia="仿宋" w:cs="仿宋"/>
                <w:color w:val="auto"/>
                <w:sz w:val="21"/>
                <w:szCs w:val="21"/>
                <w:highlight w:val="none"/>
                <w:vertAlign w:val="baseline"/>
              </w:rPr>
              <w:t>等同  IEC 60268-</w:t>
            </w:r>
            <w:r>
              <w:rPr>
                <w:rFonts w:hint="eastAsia" w:ascii="仿宋" w:hAnsi="仿宋" w:eastAsia="仿宋" w:cs="仿宋"/>
                <w:color w:val="auto"/>
                <w:sz w:val="21"/>
                <w:szCs w:val="21"/>
                <w:highlight w:val="none"/>
                <w:vertAlign w:val="baseline"/>
                <w:lang w:val="en-US" w:eastAsia="zh-CN"/>
              </w:rPr>
              <w:t>5</w:t>
            </w:r>
            <w:r>
              <w:rPr>
                <w:rFonts w:hint="eastAsia" w:ascii="仿宋" w:hAnsi="仿宋" w:eastAsia="仿宋" w:cs="仿宋"/>
                <w:color w:val="auto"/>
                <w:sz w:val="21"/>
                <w:szCs w:val="21"/>
                <w:highlight w:val="none"/>
                <w:vertAlign w:val="baseline"/>
              </w:rPr>
              <w:t>:200</w:t>
            </w:r>
            <w:r>
              <w:rPr>
                <w:rFonts w:hint="eastAsia" w:ascii="仿宋" w:hAnsi="仿宋" w:eastAsia="仿宋" w:cs="仿宋"/>
                <w:color w:val="auto"/>
                <w:sz w:val="21"/>
                <w:szCs w:val="21"/>
                <w:highlight w:val="none"/>
                <w:vertAlign w:val="baseline"/>
                <w:lang w:val="en-US" w:eastAsia="zh-CN"/>
              </w:rPr>
              <w:t>7</w:t>
            </w:r>
          </w:p>
        </w:tc>
      </w:tr>
      <w:tr w14:paraId="456F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6C5D83E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6</w:t>
            </w:r>
          </w:p>
        </w:tc>
        <w:tc>
          <w:tcPr>
            <w:tcW w:w="3574" w:type="dxa"/>
            <w:vAlign w:val="center"/>
          </w:tcPr>
          <w:p w14:paraId="0880B04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声系统设备 第9部分：人工混响、时间延迟和移频装置测量方法</w:t>
            </w:r>
          </w:p>
        </w:tc>
        <w:tc>
          <w:tcPr>
            <w:tcW w:w="1896" w:type="dxa"/>
            <w:vAlign w:val="center"/>
          </w:tcPr>
          <w:p w14:paraId="59967DD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12060.9-2011</w:t>
            </w:r>
          </w:p>
        </w:tc>
        <w:tc>
          <w:tcPr>
            <w:tcW w:w="1266" w:type="dxa"/>
            <w:vAlign w:val="center"/>
          </w:tcPr>
          <w:p w14:paraId="71AAA8E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49DDE50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GB/T12060的本部分规定了人工混响、时间延迟和移频装置专用特性的解释和测量方法。</w:t>
            </w:r>
          </w:p>
          <w:p w14:paraId="1B3694AB">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本部分适用于</w:t>
            </w:r>
            <w:r>
              <w:rPr>
                <w:rFonts w:hint="eastAsia" w:ascii="仿宋" w:hAnsi="仿宋" w:eastAsia="仿宋" w:cs="仿宋"/>
                <w:color w:val="FF0000"/>
                <w:sz w:val="21"/>
                <w:szCs w:val="21"/>
                <w:highlight w:val="none"/>
                <w:vertAlign w:val="baseline"/>
              </w:rPr>
              <w:t>录音、广播和扩声系统</w:t>
            </w:r>
            <w:r>
              <w:rPr>
                <w:rFonts w:hint="eastAsia" w:ascii="仿宋" w:hAnsi="仿宋" w:eastAsia="仿宋" w:cs="仿宋"/>
                <w:color w:val="auto"/>
                <w:sz w:val="21"/>
                <w:szCs w:val="21"/>
                <w:highlight w:val="none"/>
                <w:vertAlign w:val="baseline"/>
              </w:rPr>
              <w:t>中对于原始声信号产生混响效果、时间延迟和频率偏移的装置。主要内容包括对这些装置的一般和特殊特性的说明、测量条件和测量方法。其他未规定项目由生产方与使用方协商解决。不排除能给出等效结果的其他方法。</w:t>
            </w:r>
          </w:p>
        </w:tc>
        <w:tc>
          <w:tcPr>
            <w:tcW w:w="2836" w:type="dxa"/>
            <w:vAlign w:val="center"/>
          </w:tcPr>
          <w:p w14:paraId="219AE6FF">
            <w:pPr>
              <w:spacing w:line="240" w:lineRule="auto"/>
              <w:jc w:val="center"/>
              <w:rPr>
                <w:rFonts w:hint="eastAsia" w:ascii="仿宋" w:hAnsi="仿宋" w:eastAsia="仿宋" w:cs="仿宋"/>
                <w:color w:val="auto"/>
                <w:sz w:val="21"/>
                <w:szCs w:val="21"/>
                <w:highlight w:val="none"/>
                <w:vertAlign w:val="baseline"/>
              </w:rPr>
            </w:pPr>
          </w:p>
        </w:tc>
      </w:tr>
      <w:tr w14:paraId="3B0D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2A57C4D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7</w:t>
            </w:r>
          </w:p>
        </w:tc>
        <w:tc>
          <w:tcPr>
            <w:tcW w:w="3574" w:type="dxa"/>
            <w:vAlign w:val="center"/>
          </w:tcPr>
          <w:p w14:paraId="3FEB808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声系统设备 第11部分：声系统设备互连用连接器的应用</w:t>
            </w:r>
          </w:p>
        </w:tc>
        <w:tc>
          <w:tcPr>
            <w:tcW w:w="1896" w:type="dxa"/>
            <w:vAlign w:val="center"/>
          </w:tcPr>
          <w:p w14:paraId="418F1DA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12060.11-2012</w:t>
            </w:r>
          </w:p>
        </w:tc>
        <w:tc>
          <w:tcPr>
            <w:tcW w:w="1266" w:type="dxa"/>
            <w:vAlign w:val="center"/>
          </w:tcPr>
          <w:p w14:paraId="79057EF3">
            <w:pPr>
              <w:spacing w:line="240" w:lineRule="auto"/>
              <w:jc w:val="center"/>
              <w:rPr>
                <w:rFonts w:hint="eastAsia" w:ascii="仿宋" w:hAnsi="仿宋" w:eastAsia="仿宋" w:cs="仿宋"/>
                <w:color w:val="auto"/>
                <w:sz w:val="21"/>
                <w:szCs w:val="21"/>
                <w:highlight w:val="none"/>
                <w:vertAlign w:val="baseline"/>
                <w:lang w:val="en-US" w:eastAsia="zh-CN"/>
              </w:rPr>
            </w:pPr>
          </w:p>
        </w:tc>
        <w:tc>
          <w:tcPr>
            <w:tcW w:w="4372" w:type="dxa"/>
            <w:vAlign w:val="center"/>
          </w:tcPr>
          <w:p w14:paraId="47B22293">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12060的本部分规定了声系统设备互连用连接器的类型和应用。</w:t>
            </w:r>
          </w:p>
          <w:p w14:paraId="1DCBB0A5">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本部分适用于声系统设备互连用圆形连接器、插塞、插口和同心连接器。</w:t>
            </w:r>
          </w:p>
        </w:tc>
        <w:tc>
          <w:tcPr>
            <w:tcW w:w="2836" w:type="dxa"/>
            <w:vAlign w:val="center"/>
          </w:tcPr>
          <w:p w14:paraId="5E6F70A0">
            <w:pPr>
              <w:spacing w:line="240" w:lineRule="auto"/>
              <w:jc w:val="center"/>
              <w:rPr>
                <w:rFonts w:hint="eastAsia" w:ascii="仿宋" w:hAnsi="仿宋" w:eastAsia="仿宋" w:cs="仿宋"/>
                <w:color w:val="auto"/>
                <w:sz w:val="21"/>
                <w:szCs w:val="21"/>
                <w:highlight w:val="none"/>
                <w:vertAlign w:val="baseline"/>
              </w:rPr>
            </w:pPr>
          </w:p>
        </w:tc>
      </w:tr>
      <w:tr w14:paraId="53AE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C0F3C2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8</w:t>
            </w:r>
          </w:p>
        </w:tc>
        <w:tc>
          <w:tcPr>
            <w:tcW w:w="3574" w:type="dxa"/>
            <w:shd w:val="clear" w:color="auto" w:fill="auto"/>
            <w:vAlign w:val="center"/>
          </w:tcPr>
          <w:p w14:paraId="50E90101">
            <w:pPr>
              <w:spacing w:line="240" w:lineRule="auto"/>
              <w:jc w:val="center"/>
              <w:rPr>
                <w:rFonts w:hint="eastAsia" w:ascii="仿宋" w:hAnsi="仿宋" w:eastAsia="仿宋" w:cs="仿宋"/>
                <w:color w:val="0000FF"/>
                <w:kern w:val="2"/>
                <w:sz w:val="21"/>
                <w:szCs w:val="21"/>
                <w:highlight w:val="none"/>
                <w:vertAlign w:val="baseline"/>
                <w:lang w:val="en-US" w:eastAsia="zh-CN" w:bidi="ar-SA"/>
              </w:rPr>
            </w:pPr>
            <w:r>
              <w:rPr>
                <w:rFonts w:hint="eastAsia" w:ascii="仿宋" w:hAnsi="仿宋" w:eastAsia="仿宋" w:cs="仿宋"/>
                <w:color w:val="0000FF"/>
                <w:sz w:val="21"/>
                <w:szCs w:val="21"/>
                <w:highlight w:val="none"/>
                <w:vertAlign w:val="baseline"/>
                <w:lang w:val="en-US" w:eastAsia="zh-CN"/>
              </w:rPr>
              <w:t>声系统设备 第16部分：通过语音传输指数客观评价言语可懂度</w:t>
            </w:r>
          </w:p>
        </w:tc>
        <w:tc>
          <w:tcPr>
            <w:tcW w:w="1896" w:type="dxa"/>
            <w:shd w:val="clear" w:color="auto" w:fill="auto"/>
            <w:vAlign w:val="center"/>
          </w:tcPr>
          <w:p w14:paraId="0079FD16">
            <w:pPr>
              <w:spacing w:line="240" w:lineRule="auto"/>
              <w:jc w:val="center"/>
              <w:rPr>
                <w:rFonts w:hint="eastAsia" w:ascii="仿宋" w:hAnsi="仿宋" w:eastAsia="仿宋" w:cs="仿宋"/>
                <w:color w:val="0000FF"/>
                <w:kern w:val="2"/>
                <w:sz w:val="21"/>
                <w:szCs w:val="21"/>
                <w:highlight w:val="none"/>
                <w:vertAlign w:val="baseline"/>
                <w:lang w:val="en-US" w:eastAsia="zh-CN" w:bidi="ar-SA"/>
              </w:rPr>
            </w:pPr>
            <w:r>
              <w:rPr>
                <w:rFonts w:hint="eastAsia" w:ascii="仿宋" w:hAnsi="仿宋" w:eastAsia="仿宋" w:cs="仿宋"/>
                <w:color w:val="0000FF"/>
                <w:sz w:val="21"/>
                <w:szCs w:val="21"/>
                <w:highlight w:val="none"/>
                <w:vertAlign w:val="baseline"/>
                <w:lang w:val="en-US" w:eastAsia="zh-CN"/>
              </w:rPr>
              <w:t>GB/T 12060.16-2017</w:t>
            </w:r>
          </w:p>
        </w:tc>
        <w:tc>
          <w:tcPr>
            <w:tcW w:w="1266" w:type="dxa"/>
            <w:shd w:val="clear" w:color="auto" w:fill="auto"/>
            <w:vAlign w:val="center"/>
          </w:tcPr>
          <w:p w14:paraId="59B039B6">
            <w:pPr>
              <w:spacing w:line="240" w:lineRule="auto"/>
              <w:jc w:val="center"/>
              <w:rPr>
                <w:rFonts w:hint="eastAsia" w:ascii="仿宋" w:hAnsi="仿宋" w:eastAsia="仿宋" w:cs="仿宋"/>
                <w:color w:val="0000FF"/>
                <w:kern w:val="2"/>
                <w:sz w:val="21"/>
                <w:szCs w:val="21"/>
                <w:highlight w:val="none"/>
                <w:vertAlign w:val="baseline"/>
                <w:lang w:val="en-US" w:eastAsia="zh-CN" w:bidi="ar-SA"/>
              </w:rPr>
            </w:pPr>
            <w:r>
              <w:rPr>
                <w:rFonts w:hint="eastAsia" w:ascii="仿宋" w:hAnsi="仿宋" w:eastAsia="仿宋" w:cs="仿宋"/>
                <w:color w:val="0000FF"/>
                <w:sz w:val="21"/>
                <w:szCs w:val="21"/>
                <w:highlight w:val="none"/>
                <w:vertAlign w:val="baseline"/>
                <w:lang w:val="en-US" w:eastAsia="zh-CN"/>
              </w:rPr>
              <w:t>现行</w:t>
            </w:r>
          </w:p>
        </w:tc>
        <w:tc>
          <w:tcPr>
            <w:tcW w:w="4372" w:type="dxa"/>
            <w:shd w:val="clear" w:color="auto" w:fill="auto"/>
            <w:vAlign w:val="center"/>
          </w:tcPr>
          <w:p w14:paraId="3849FC0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本部分规定了与可懂度相关的语音传输品质的客观评价方法，包括测量技术和预测技术。</w:t>
            </w:r>
          </w:p>
          <w:p w14:paraId="4910FEF0">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0000FF"/>
                <w:sz w:val="21"/>
                <w:szCs w:val="21"/>
                <w:highlight w:val="none"/>
                <w:vertAlign w:val="baseline"/>
              </w:rPr>
              <w:t>本部分适用于公共广播系统和扩声系统、语音报警系统和紧急通知系统、通信电路（系统）、自然声或使用扩声系统的房间和厅堂、直接的言语交流以及听力辅助系统的语音传输指数测量及预测。</w:t>
            </w:r>
          </w:p>
        </w:tc>
        <w:tc>
          <w:tcPr>
            <w:tcW w:w="2836" w:type="dxa"/>
            <w:vAlign w:val="center"/>
          </w:tcPr>
          <w:p w14:paraId="4CA6EB01">
            <w:pPr>
              <w:spacing w:line="240" w:lineRule="auto"/>
              <w:jc w:val="center"/>
              <w:rPr>
                <w:rFonts w:hint="eastAsia" w:ascii="仿宋" w:hAnsi="仿宋" w:eastAsia="仿宋" w:cs="仿宋"/>
                <w:color w:val="auto"/>
                <w:sz w:val="21"/>
                <w:szCs w:val="21"/>
                <w:highlight w:val="none"/>
                <w:vertAlign w:val="baseline"/>
              </w:rPr>
            </w:pPr>
          </w:p>
        </w:tc>
      </w:tr>
      <w:tr w14:paraId="0F86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724CFDC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9</w:t>
            </w:r>
          </w:p>
        </w:tc>
        <w:tc>
          <w:tcPr>
            <w:tcW w:w="3574" w:type="dxa"/>
            <w:shd w:val="clear" w:color="auto" w:fill="auto"/>
            <w:vAlign w:val="center"/>
          </w:tcPr>
          <w:p w14:paraId="5C971A2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直接辐射式电动扬声器通用规范</w:t>
            </w:r>
          </w:p>
        </w:tc>
        <w:tc>
          <w:tcPr>
            <w:tcW w:w="1896" w:type="dxa"/>
            <w:shd w:val="clear" w:color="auto" w:fill="auto"/>
            <w:vAlign w:val="center"/>
          </w:tcPr>
          <w:p w14:paraId="5416A84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9397-2013</w:t>
            </w:r>
          </w:p>
        </w:tc>
        <w:tc>
          <w:tcPr>
            <w:tcW w:w="1266" w:type="dxa"/>
            <w:shd w:val="clear" w:color="auto" w:fill="auto"/>
            <w:vAlign w:val="center"/>
          </w:tcPr>
          <w:p w14:paraId="6486043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0BA4ECB9">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本标准规定了直接辐射式电动扬声器的产品分类、要求、试验方法、检验规则、标志、包装、贮存和运输。</w:t>
            </w:r>
          </w:p>
        </w:tc>
        <w:tc>
          <w:tcPr>
            <w:tcW w:w="2836" w:type="dxa"/>
            <w:vAlign w:val="center"/>
          </w:tcPr>
          <w:p w14:paraId="0DBB988B">
            <w:pPr>
              <w:spacing w:line="240" w:lineRule="auto"/>
              <w:jc w:val="center"/>
              <w:rPr>
                <w:rFonts w:hint="eastAsia" w:ascii="仿宋" w:hAnsi="仿宋" w:eastAsia="仿宋" w:cs="仿宋"/>
                <w:color w:val="auto"/>
                <w:sz w:val="21"/>
                <w:szCs w:val="21"/>
                <w:highlight w:val="none"/>
                <w:vertAlign w:val="baseline"/>
              </w:rPr>
            </w:pPr>
          </w:p>
        </w:tc>
      </w:tr>
      <w:tr w14:paraId="5214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5F39E10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10</w:t>
            </w:r>
          </w:p>
        </w:tc>
        <w:tc>
          <w:tcPr>
            <w:tcW w:w="3574" w:type="dxa"/>
            <w:shd w:val="clear" w:color="auto" w:fill="auto"/>
            <w:vAlign w:val="center"/>
          </w:tcPr>
          <w:p w14:paraId="6F8BEEB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数字音频设备音频特性测量方法</w:t>
            </w:r>
          </w:p>
        </w:tc>
        <w:tc>
          <w:tcPr>
            <w:tcW w:w="1896" w:type="dxa"/>
            <w:shd w:val="clear" w:color="auto" w:fill="auto"/>
            <w:vAlign w:val="center"/>
          </w:tcPr>
          <w:p w14:paraId="2CB44D2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GY/T 285-2014</w:t>
            </w:r>
          </w:p>
        </w:tc>
        <w:tc>
          <w:tcPr>
            <w:tcW w:w="1266" w:type="dxa"/>
            <w:shd w:val="clear" w:color="auto" w:fill="auto"/>
            <w:vAlign w:val="center"/>
          </w:tcPr>
          <w:p w14:paraId="6888F65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57774076">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现行</w:t>
            </w:r>
          </w:p>
        </w:tc>
        <w:tc>
          <w:tcPr>
            <w:tcW w:w="2836" w:type="dxa"/>
            <w:vAlign w:val="center"/>
          </w:tcPr>
          <w:p w14:paraId="244C6442">
            <w:pPr>
              <w:spacing w:line="240" w:lineRule="auto"/>
              <w:jc w:val="center"/>
              <w:rPr>
                <w:rFonts w:hint="eastAsia" w:ascii="仿宋" w:hAnsi="仿宋" w:eastAsia="仿宋" w:cs="仿宋"/>
                <w:color w:val="auto"/>
                <w:sz w:val="21"/>
                <w:szCs w:val="21"/>
                <w:highlight w:val="none"/>
                <w:vertAlign w:val="baseline"/>
              </w:rPr>
            </w:pPr>
          </w:p>
        </w:tc>
      </w:tr>
      <w:tr w14:paraId="5B5C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3025FD4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11</w:t>
            </w:r>
          </w:p>
        </w:tc>
        <w:tc>
          <w:tcPr>
            <w:tcW w:w="3574" w:type="dxa"/>
            <w:shd w:val="clear" w:color="auto" w:fill="auto"/>
            <w:vAlign w:val="center"/>
          </w:tcPr>
          <w:p w14:paraId="0A16497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有源扬声器通用规范</w:t>
            </w:r>
          </w:p>
        </w:tc>
        <w:tc>
          <w:tcPr>
            <w:tcW w:w="1896" w:type="dxa"/>
            <w:shd w:val="clear" w:color="auto" w:fill="auto"/>
            <w:vAlign w:val="center"/>
          </w:tcPr>
          <w:p w14:paraId="477037F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SJT 11540-2015</w:t>
            </w:r>
          </w:p>
        </w:tc>
        <w:tc>
          <w:tcPr>
            <w:tcW w:w="1266" w:type="dxa"/>
            <w:shd w:val="clear" w:color="auto" w:fill="auto"/>
            <w:vAlign w:val="center"/>
          </w:tcPr>
          <w:p w14:paraId="221F3D0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07503FB5">
            <w:pPr>
              <w:spacing w:line="240" w:lineRule="auto"/>
              <w:jc w:val="left"/>
              <w:rPr>
                <w:rFonts w:hint="eastAsia" w:ascii="仿宋" w:hAnsi="仿宋" w:eastAsia="仿宋" w:cs="仿宋"/>
                <w:color w:val="auto"/>
                <w:sz w:val="21"/>
                <w:szCs w:val="21"/>
                <w:highlight w:val="none"/>
                <w:vertAlign w:val="baseline"/>
              </w:rPr>
            </w:pPr>
          </w:p>
        </w:tc>
        <w:tc>
          <w:tcPr>
            <w:tcW w:w="2836" w:type="dxa"/>
            <w:vAlign w:val="center"/>
          </w:tcPr>
          <w:p w14:paraId="40059C98">
            <w:pPr>
              <w:spacing w:line="240" w:lineRule="auto"/>
              <w:jc w:val="center"/>
              <w:rPr>
                <w:rFonts w:hint="eastAsia" w:ascii="仿宋" w:hAnsi="仿宋" w:eastAsia="仿宋" w:cs="仿宋"/>
                <w:color w:val="auto"/>
                <w:sz w:val="21"/>
                <w:szCs w:val="21"/>
                <w:highlight w:val="none"/>
                <w:vertAlign w:val="baseline"/>
              </w:rPr>
            </w:pPr>
          </w:p>
        </w:tc>
      </w:tr>
      <w:tr w14:paraId="413F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0B212F6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12</w:t>
            </w:r>
          </w:p>
        </w:tc>
        <w:tc>
          <w:tcPr>
            <w:tcW w:w="3574" w:type="dxa"/>
            <w:shd w:val="clear" w:color="auto" w:fill="auto"/>
            <w:vAlign w:val="center"/>
          </w:tcPr>
          <w:p w14:paraId="46DE3C6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《厅堂、体育场馆扩声系统设计规范》</w:t>
            </w:r>
          </w:p>
        </w:tc>
        <w:tc>
          <w:tcPr>
            <w:tcW w:w="1896" w:type="dxa"/>
            <w:shd w:val="clear" w:color="auto" w:fill="auto"/>
            <w:vAlign w:val="center"/>
          </w:tcPr>
          <w:p w14:paraId="390166B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GB/T 28047.1-2011</w:t>
            </w:r>
          </w:p>
        </w:tc>
        <w:tc>
          <w:tcPr>
            <w:tcW w:w="1266" w:type="dxa"/>
            <w:shd w:val="clear" w:color="auto" w:fill="auto"/>
            <w:vAlign w:val="center"/>
          </w:tcPr>
          <w:p w14:paraId="11300EA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3E11CD07">
            <w:pPr>
              <w:spacing w:line="240" w:lineRule="auto"/>
              <w:jc w:val="left"/>
              <w:rPr>
                <w:rFonts w:hint="eastAsia" w:ascii="仿宋" w:hAnsi="仿宋" w:eastAsia="仿宋" w:cs="仿宋"/>
                <w:color w:val="auto"/>
                <w:kern w:val="2"/>
                <w:sz w:val="21"/>
                <w:szCs w:val="21"/>
                <w:highlight w:val="none"/>
                <w:vertAlign w:val="baseline"/>
                <w:lang w:val="en-US" w:eastAsia="zh-CN" w:bidi="ar-SA"/>
              </w:rPr>
            </w:pPr>
          </w:p>
        </w:tc>
        <w:tc>
          <w:tcPr>
            <w:tcW w:w="2836" w:type="dxa"/>
            <w:vAlign w:val="center"/>
          </w:tcPr>
          <w:p w14:paraId="7EB21D97">
            <w:pPr>
              <w:spacing w:line="240" w:lineRule="auto"/>
              <w:jc w:val="center"/>
              <w:rPr>
                <w:rFonts w:hint="eastAsia" w:ascii="仿宋" w:hAnsi="仿宋" w:eastAsia="仿宋" w:cs="仿宋"/>
                <w:color w:val="auto"/>
                <w:sz w:val="21"/>
                <w:szCs w:val="21"/>
                <w:highlight w:val="none"/>
                <w:vertAlign w:val="baseline"/>
              </w:rPr>
            </w:pPr>
          </w:p>
        </w:tc>
      </w:tr>
      <w:tr w14:paraId="1D70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0F28EC6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13</w:t>
            </w:r>
          </w:p>
        </w:tc>
        <w:tc>
          <w:tcPr>
            <w:tcW w:w="3574" w:type="dxa"/>
            <w:shd w:val="clear" w:color="auto" w:fill="auto"/>
            <w:vAlign w:val="center"/>
          </w:tcPr>
          <w:p w14:paraId="2F264DBC">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rPr>
              <w:t>灯具 第1部分：一般要求与试验</w:t>
            </w:r>
          </w:p>
        </w:tc>
        <w:tc>
          <w:tcPr>
            <w:tcW w:w="1896" w:type="dxa"/>
            <w:shd w:val="clear" w:color="auto" w:fill="auto"/>
            <w:vAlign w:val="center"/>
          </w:tcPr>
          <w:p w14:paraId="2F4608E6">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rPr>
              <w:t>GB7000.1-2015</w:t>
            </w:r>
          </w:p>
        </w:tc>
        <w:tc>
          <w:tcPr>
            <w:tcW w:w="1266" w:type="dxa"/>
            <w:shd w:val="clear" w:color="auto" w:fill="auto"/>
            <w:vAlign w:val="center"/>
          </w:tcPr>
          <w:p w14:paraId="364973D2">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废止</w:t>
            </w:r>
          </w:p>
        </w:tc>
        <w:tc>
          <w:tcPr>
            <w:tcW w:w="4372" w:type="dxa"/>
            <w:shd w:val="clear" w:color="auto" w:fill="auto"/>
            <w:vAlign w:val="center"/>
          </w:tcPr>
          <w:p w14:paraId="6B798122">
            <w:pPr>
              <w:spacing w:line="240" w:lineRule="auto"/>
              <w:jc w:val="left"/>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rPr>
              <w:t>GB7000的本部分规定了使用电光源、电源电压不超过1000V 的灯具的一般要求。本部分提出的要求和有关试验包括:分类、标记、机械结构、电气结构和光生物安全。</w:t>
            </w:r>
          </w:p>
        </w:tc>
        <w:tc>
          <w:tcPr>
            <w:tcW w:w="2836" w:type="dxa"/>
            <w:shd w:val="clear" w:color="auto" w:fill="auto"/>
            <w:vAlign w:val="center"/>
          </w:tcPr>
          <w:p w14:paraId="65FA5F07">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p>
        </w:tc>
      </w:tr>
      <w:tr w14:paraId="2715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2FE1BE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14</w:t>
            </w:r>
          </w:p>
        </w:tc>
        <w:tc>
          <w:tcPr>
            <w:tcW w:w="3574" w:type="dxa"/>
            <w:shd w:val="clear" w:color="auto" w:fill="auto"/>
            <w:vAlign w:val="center"/>
          </w:tcPr>
          <w:p w14:paraId="5E302C0B">
            <w:pPr>
              <w:spacing w:line="240" w:lineRule="auto"/>
              <w:jc w:val="center"/>
              <w:rPr>
                <w:rFonts w:hint="eastAsia" w:ascii="仿宋" w:hAnsi="仿宋" w:eastAsia="仿宋" w:cs="仿宋"/>
                <w:color w:val="0000FF"/>
                <w:kern w:val="2"/>
                <w:sz w:val="21"/>
                <w:szCs w:val="21"/>
                <w:highlight w:val="none"/>
                <w:vertAlign w:val="baseline"/>
                <w:lang w:val="en-US" w:eastAsia="zh-CN" w:bidi="ar-SA"/>
              </w:rPr>
            </w:pPr>
            <w:r>
              <w:rPr>
                <w:rFonts w:hint="eastAsia" w:ascii="仿宋" w:hAnsi="仿宋" w:eastAsia="仿宋" w:cs="仿宋"/>
                <w:color w:val="0000FF"/>
                <w:sz w:val="21"/>
                <w:szCs w:val="21"/>
                <w:highlight w:val="none"/>
                <w:vertAlign w:val="baseline"/>
              </w:rPr>
              <w:t>灯具 第1部分：一般要求与试验</w:t>
            </w:r>
          </w:p>
        </w:tc>
        <w:tc>
          <w:tcPr>
            <w:tcW w:w="1896" w:type="dxa"/>
            <w:shd w:val="clear" w:color="auto" w:fill="auto"/>
            <w:vAlign w:val="center"/>
          </w:tcPr>
          <w:p w14:paraId="1D769010">
            <w:pPr>
              <w:spacing w:line="240" w:lineRule="auto"/>
              <w:jc w:val="center"/>
              <w:rPr>
                <w:rFonts w:hint="eastAsia" w:ascii="仿宋" w:hAnsi="仿宋" w:eastAsia="仿宋" w:cs="仿宋"/>
                <w:color w:val="0000FF"/>
                <w:kern w:val="2"/>
                <w:sz w:val="21"/>
                <w:szCs w:val="21"/>
                <w:highlight w:val="none"/>
                <w:vertAlign w:val="baseline"/>
                <w:lang w:val="en-US" w:eastAsia="zh-CN" w:bidi="ar-SA"/>
              </w:rPr>
            </w:pPr>
            <w:r>
              <w:rPr>
                <w:rFonts w:hint="eastAsia" w:ascii="仿宋" w:hAnsi="仿宋" w:eastAsia="仿宋" w:cs="仿宋"/>
                <w:color w:val="0000FF"/>
                <w:sz w:val="21"/>
                <w:szCs w:val="21"/>
                <w:highlight w:val="none"/>
                <w:vertAlign w:val="baseline"/>
              </w:rPr>
              <w:t>GB/T 7000.1-2023</w:t>
            </w:r>
          </w:p>
        </w:tc>
        <w:tc>
          <w:tcPr>
            <w:tcW w:w="1266" w:type="dxa"/>
            <w:shd w:val="clear" w:color="auto" w:fill="auto"/>
            <w:vAlign w:val="center"/>
          </w:tcPr>
          <w:p w14:paraId="70111665">
            <w:pPr>
              <w:spacing w:line="240" w:lineRule="auto"/>
              <w:jc w:val="center"/>
              <w:rPr>
                <w:rFonts w:hint="eastAsia" w:ascii="仿宋" w:hAnsi="仿宋" w:eastAsia="仿宋" w:cs="仿宋"/>
                <w:color w:val="0000FF"/>
                <w:kern w:val="2"/>
                <w:sz w:val="21"/>
                <w:szCs w:val="21"/>
                <w:highlight w:val="none"/>
                <w:vertAlign w:val="baseline"/>
                <w:lang w:val="en-US" w:eastAsia="zh-CN" w:bidi="ar-SA"/>
              </w:rPr>
            </w:pPr>
            <w:r>
              <w:rPr>
                <w:rFonts w:hint="eastAsia" w:ascii="仿宋" w:hAnsi="仿宋" w:eastAsia="仿宋" w:cs="仿宋"/>
                <w:color w:val="0000FF"/>
                <w:sz w:val="21"/>
                <w:szCs w:val="21"/>
                <w:highlight w:val="none"/>
                <w:vertAlign w:val="baseline"/>
                <w:lang w:val="en-US" w:eastAsia="zh-CN"/>
              </w:rPr>
              <w:t>现行</w:t>
            </w:r>
          </w:p>
        </w:tc>
        <w:tc>
          <w:tcPr>
            <w:tcW w:w="4372" w:type="dxa"/>
            <w:shd w:val="clear" w:color="auto" w:fill="auto"/>
            <w:vAlign w:val="center"/>
          </w:tcPr>
          <w:p w14:paraId="0EC9C384">
            <w:pPr>
              <w:spacing w:line="240" w:lineRule="auto"/>
              <w:jc w:val="left"/>
              <w:rPr>
                <w:rFonts w:hint="eastAsia" w:ascii="仿宋" w:hAnsi="仿宋" w:eastAsia="仿宋" w:cs="仿宋"/>
                <w:color w:val="0000FF"/>
                <w:kern w:val="2"/>
                <w:sz w:val="21"/>
                <w:szCs w:val="21"/>
                <w:highlight w:val="none"/>
                <w:vertAlign w:val="baseline"/>
                <w:lang w:val="en-US" w:eastAsia="zh-CN" w:bidi="ar-SA"/>
              </w:rPr>
            </w:pPr>
          </w:p>
        </w:tc>
        <w:tc>
          <w:tcPr>
            <w:tcW w:w="2836" w:type="dxa"/>
            <w:shd w:val="clear" w:color="auto" w:fill="auto"/>
            <w:vAlign w:val="center"/>
          </w:tcPr>
          <w:p w14:paraId="0004012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发布日期2023-12-28</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2026-01-01</w:t>
            </w:r>
            <w:r>
              <w:rPr>
                <w:rFonts w:hint="eastAsia" w:ascii="仿宋" w:hAnsi="仿宋" w:eastAsia="仿宋" w:cs="仿宋"/>
                <w:color w:val="auto"/>
                <w:sz w:val="21"/>
                <w:szCs w:val="21"/>
                <w:highlight w:val="none"/>
                <w:vertAlign w:val="baseline"/>
                <w:lang w:val="en-US" w:eastAsia="zh-CN"/>
              </w:rPr>
              <w:t>施行</w:t>
            </w:r>
          </w:p>
        </w:tc>
      </w:tr>
      <w:tr w14:paraId="2703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31F8D63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15</w:t>
            </w:r>
          </w:p>
        </w:tc>
        <w:tc>
          <w:tcPr>
            <w:tcW w:w="3574" w:type="dxa"/>
            <w:shd w:val="clear" w:color="auto" w:fill="auto"/>
            <w:vAlign w:val="center"/>
          </w:tcPr>
          <w:p w14:paraId="3CD68231">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rPr>
              <w:t>灯具 第2-17部分：特殊要求 舞台灯光、电视、电影及摄影场所（室内外）用灯具</w:t>
            </w:r>
          </w:p>
        </w:tc>
        <w:tc>
          <w:tcPr>
            <w:tcW w:w="1896" w:type="dxa"/>
            <w:shd w:val="clear" w:color="auto" w:fill="auto"/>
            <w:vAlign w:val="center"/>
          </w:tcPr>
          <w:p w14:paraId="7AC9B79D">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rPr>
              <w:t>GB7000.217-2008</w:t>
            </w:r>
          </w:p>
        </w:tc>
        <w:tc>
          <w:tcPr>
            <w:tcW w:w="1266" w:type="dxa"/>
            <w:shd w:val="clear" w:color="auto" w:fill="auto"/>
            <w:vAlign w:val="center"/>
          </w:tcPr>
          <w:p w14:paraId="6876EF7D">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废止</w:t>
            </w:r>
          </w:p>
        </w:tc>
        <w:tc>
          <w:tcPr>
            <w:tcW w:w="4372" w:type="dxa"/>
            <w:shd w:val="clear" w:color="auto" w:fill="auto"/>
            <w:vAlign w:val="center"/>
          </w:tcPr>
          <w:p w14:paraId="4E5321CA">
            <w:pPr>
              <w:spacing w:line="240" w:lineRule="auto"/>
              <w:jc w:val="left"/>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rPr>
              <w:t>GB 7000的本部分规定了使用电源电压不超过1000V，以电光源为光源的室内外舞台灯光、电视、电影及摄影场所用灯具（包括聚光和泛光投射）的要求。本部分应与GB 7000.1的有关章条一起使用。</w:t>
            </w:r>
          </w:p>
        </w:tc>
        <w:tc>
          <w:tcPr>
            <w:tcW w:w="2836" w:type="dxa"/>
            <w:shd w:val="clear" w:color="auto" w:fill="auto"/>
            <w:vAlign w:val="center"/>
          </w:tcPr>
          <w:p w14:paraId="142DC023">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p>
        </w:tc>
      </w:tr>
      <w:tr w14:paraId="6B71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0DD61C7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16</w:t>
            </w:r>
          </w:p>
        </w:tc>
        <w:tc>
          <w:tcPr>
            <w:tcW w:w="3574" w:type="dxa"/>
            <w:shd w:val="clear" w:color="auto" w:fill="auto"/>
            <w:vAlign w:val="center"/>
          </w:tcPr>
          <w:p w14:paraId="2CA8A865">
            <w:pPr>
              <w:spacing w:line="240" w:lineRule="auto"/>
              <w:jc w:val="center"/>
              <w:rPr>
                <w:rFonts w:hint="eastAsia" w:ascii="仿宋" w:hAnsi="仿宋" w:eastAsia="仿宋" w:cs="仿宋"/>
                <w:color w:val="0000FF"/>
                <w:kern w:val="2"/>
                <w:sz w:val="21"/>
                <w:szCs w:val="21"/>
                <w:highlight w:val="none"/>
                <w:vertAlign w:val="baseline"/>
                <w:lang w:val="en-US" w:eastAsia="zh-CN" w:bidi="ar-SA"/>
              </w:rPr>
            </w:pPr>
            <w:r>
              <w:rPr>
                <w:rFonts w:hint="eastAsia" w:ascii="仿宋" w:hAnsi="仿宋" w:eastAsia="仿宋" w:cs="仿宋"/>
                <w:color w:val="0000FF"/>
                <w:sz w:val="21"/>
                <w:szCs w:val="21"/>
                <w:highlight w:val="none"/>
                <w:vertAlign w:val="baseline"/>
              </w:rPr>
              <w:t>灯具 第2-17部分：特殊要求 舞台灯光、电视、电影及摄影场所(室内外)用灯具</w:t>
            </w:r>
          </w:p>
        </w:tc>
        <w:tc>
          <w:tcPr>
            <w:tcW w:w="1896" w:type="dxa"/>
            <w:shd w:val="clear" w:color="auto" w:fill="auto"/>
            <w:vAlign w:val="center"/>
          </w:tcPr>
          <w:p w14:paraId="19B96A47">
            <w:pPr>
              <w:spacing w:line="240" w:lineRule="auto"/>
              <w:jc w:val="center"/>
              <w:rPr>
                <w:rFonts w:hint="eastAsia" w:ascii="仿宋" w:hAnsi="仿宋" w:eastAsia="仿宋" w:cs="仿宋"/>
                <w:color w:val="0000FF"/>
                <w:kern w:val="2"/>
                <w:sz w:val="21"/>
                <w:szCs w:val="21"/>
                <w:highlight w:val="none"/>
                <w:vertAlign w:val="baseline"/>
                <w:lang w:val="en-US" w:eastAsia="zh-CN" w:bidi="ar-SA"/>
              </w:rPr>
            </w:pPr>
            <w:r>
              <w:rPr>
                <w:rFonts w:hint="eastAsia" w:ascii="仿宋" w:hAnsi="仿宋" w:eastAsia="仿宋" w:cs="仿宋"/>
                <w:color w:val="0000FF"/>
                <w:sz w:val="21"/>
                <w:szCs w:val="21"/>
                <w:highlight w:val="none"/>
                <w:vertAlign w:val="baseline"/>
              </w:rPr>
              <w:t>GB/T 7000.217-2023</w:t>
            </w:r>
          </w:p>
        </w:tc>
        <w:tc>
          <w:tcPr>
            <w:tcW w:w="1266" w:type="dxa"/>
            <w:shd w:val="clear" w:color="auto" w:fill="auto"/>
            <w:vAlign w:val="center"/>
          </w:tcPr>
          <w:p w14:paraId="073A9F41">
            <w:pPr>
              <w:spacing w:line="240" w:lineRule="auto"/>
              <w:jc w:val="center"/>
              <w:rPr>
                <w:rFonts w:hint="eastAsia" w:ascii="仿宋" w:hAnsi="仿宋" w:eastAsia="仿宋" w:cs="仿宋"/>
                <w:color w:val="0000FF"/>
                <w:kern w:val="2"/>
                <w:sz w:val="21"/>
                <w:szCs w:val="21"/>
                <w:highlight w:val="none"/>
                <w:vertAlign w:val="baseline"/>
                <w:lang w:val="en-US" w:eastAsia="zh-CN" w:bidi="ar-SA"/>
              </w:rPr>
            </w:pPr>
            <w:r>
              <w:rPr>
                <w:rFonts w:hint="eastAsia" w:ascii="仿宋" w:hAnsi="仿宋" w:eastAsia="仿宋" w:cs="仿宋"/>
                <w:color w:val="0000FF"/>
                <w:sz w:val="21"/>
                <w:szCs w:val="21"/>
                <w:highlight w:val="none"/>
                <w:vertAlign w:val="baseline"/>
                <w:lang w:val="en-US" w:eastAsia="zh-CN"/>
              </w:rPr>
              <w:t>现行</w:t>
            </w:r>
          </w:p>
        </w:tc>
        <w:tc>
          <w:tcPr>
            <w:tcW w:w="4372" w:type="dxa"/>
            <w:shd w:val="clear" w:color="auto" w:fill="auto"/>
            <w:vAlign w:val="center"/>
          </w:tcPr>
          <w:p w14:paraId="3107DCD5">
            <w:pPr>
              <w:spacing w:line="240" w:lineRule="auto"/>
              <w:jc w:val="left"/>
              <w:rPr>
                <w:rFonts w:hint="eastAsia" w:ascii="仿宋" w:hAnsi="仿宋" w:eastAsia="仿宋" w:cs="仿宋"/>
                <w:color w:val="0000FF"/>
                <w:kern w:val="2"/>
                <w:sz w:val="21"/>
                <w:szCs w:val="21"/>
                <w:highlight w:val="none"/>
                <w:vertAlign w:val="baseline"/>
                <w:lang w:val="en-US" w:eastAsia="zh-CN" w:bidi="ar-SA"/>
              </w:rPr>
            </w:pPr>
          </w:p>
        </w:tc>
        <w:tc>
          <w:tcPr>
            <w:tcW w:w="2836" w:type="dxa"/>
            <w:shd w:val="clear" w:color="auto" w:fill="auto"/>
            <w:vAlign w:val="center"/>
          </w:tcPr>
          <w:p w14:paraId="0E0D9AD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发布日期2023-12-28</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2026-01-01</w:t>
            </w:r>
            <w:r>
              <w:rPr>
                <w:rFonts w:hint="eastAsia" w:ascii="仿宋" w:hAnsi="仿宋" w:eastAsia="仿宋" w:cs="仿宋"/>
                <w:color w:val="auto"/>
                <w:sz w:val="21"/>
                <w:szCs w:val="21"/>
                <w:highlight w:val="none"/>
                <w:vertAlign w:val="baseline"/>
                <w:lang w:val="en-US" w:eastAsia="zh-CN"/>
              </w:rPr>
              <w:t>施行</w:t>
            </w:r>
          </w:p>
        </w:tc>
      </w:tr>
      <w:tr w14:paraId="2A5B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4073941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17</w:t>
            </w:r>
          </w:p>
        </w:tc>
        <w:tc>
          <w:tcPr>
            <w:tcW w:w="3574" w:type="dxa"/>
            <w:shd w:val="clear" w:color="auto" w:fill="auto"/>
            <w:vAlign w:val="center"/>
          </w:tcPr>
          <w:p w14:paraId="42E3BBF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蓝光防护膜的光健康与光安全应用技术要求</w:t>
            </w:r>
          </w:p>
        </w:tc>
        <w:tc>
          <w:tcPr>
            <w:tcW w:w="1896" w:type="dxa"/>
            <w:shd w:val="clear" w:color="auto" w:fill="auto"/>
            <w:vAlign w:val="center"/>
          </w:tcPr>
          <w:p w14:paraId="7D6D06F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38120-2019</w:t>
            </w:r>
          </w:p>
        </w:tc>
        <w:tc>
          <w:tcPr>
            <w:tcW w:w="1266" w:type="dxa"/>
            <w:shd w:val="clear" w:color="auto" w:fill="auto"/>
            <w:vAlign w:val="center"/>
          </w:tcPr>
          <w:p w14:paraId="5EB7A0B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4292BC9D">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本标准规定了应用于光学镜片产品、显示产品、照明产品及皮肤防护产品的蓝光防护膜的分类、要求、测试方法。</w:t>
            </w:r>
          </w:p>
        </w:tc>
        <w:tc>
          <w:tcPr>
            <w:tcW w:w="2836" w:type="dxa"/>
            <w:shd w:val="clear" w:color="auto" w:fill="auto"/>
            <w:vAlign w:val="center"/>
          </w:tcPr>
          <w:p w14:paraId="7D1ECA7A">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481D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4B02743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18</w:t>
            </w:r>
          </w:p>
        </w:tc>
        <w:tc>
          <w:tcPr>
            <w:tcW w:w="3574" w:type="dxa"/>
            <w:shd w:val="clear" w:color="auto" w:fill="auto"/>
            <w:vAlign w:val="center"/>
          </w:tcPr>
          <w:p w14:paraId="3220EAC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电气照明和类似设备的无线电骚扰特性的限值和测量方法</w:t>
            </w:r>
          </w:p>
        </w:tc>
        <w:tc>
          <w:tcPr>
            <w:tcW w:w="1896" w:type="dxa"/>
            <w:shd w:val="clear" w:color="auto" w:fill="auto"/>
            <w:vAlign w:val="center"/>
          </w:tcPr>
          <w:p w14:paraId="1914619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GB17743-2021</w:t>
            </w:r>
          </w:p>
        </w:tc>
        <w:tc>
          <w:tcPr>
            <w:tcW w:w="1266" w:type="dxa"/>
            <w:shd w:val="clear" w:color="auto" w:fill="auto"/>
            <w:vAlign w:val="center"/>
          </w:tcPr>
          <w:p w14:paraId="7A159C2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3985DA4A">
            <w:pPr>
              <w:spacing w:line="240" w:lineRule="auto"/>
              <w:jc w:val="left"/>
              <w:rPr>
                <w:rFonts w:hint="eastAsia" w:ascii="仿宋" w:hAnsi="仿宋" w:eastAsia="仿宋" w:cs="仿宋"/>
                <w:color w:val="auto"/>
                <w:kern w:val="2"/>
                <w:sz w:val="21"/>
                <w:szCs w:val="21"/>
                <w:highlight w:val="none"/>
                <w:vertAlign w:val="baseline"/>
                <w:lang w:val="en-US" w:eastAsia="zh-CN" w:bidi="ar-SA"/>
              </w:rPr>
            </w:pPr>
          </w:p>
        </w:tc>
        <w:tc>
          <w:tcPr>
            <w:tcW w:w="2836" w:type="dxa"/>
            <w:shd w:val="clear" w:color="auto" w:fill="auto"/>
            <w:vAlign w:val="center"/>
          </w:tcPr>
          <w:p w14:paraId="623CF214">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5B58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CC524D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19</w:t>
            </w:r>
          </w:p>
        </w:tc>
        <w:tc>
          <w:tcPr>
            <w:tcW w:w="3574" w:type="dxa"/>
            <w:shd w:val="clear" w:color="auto" w:fill="auto"/>
            <w:vAlign w:val="center"/>
          </w:tcPr>
          <w:p w14:paraId="5A7CF98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《LED 室内照明应用技术要求》</w:t>
            </w:r>
          </w:p>
        </w:tc>
        <w:tc>
          <w:tcPr>
            <w:tcW w:w="1896" w:type="dxa"/>
            <w:shd w:val="clear" w:color="auto" w:fill="auto"/>
            <w:vAlign w:val="center"/>
          </w:tcPr>
          <w:p w14:paraId="5D6042C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 xml:space="preserve">GB/T 31831-2015 </w:t>
            </w:r>
          </w:p>
        </w:tc>
        <w:tc>
          <w:tcPr>
            <w:tcW w:w="1266" w:type="dxa"/>
            <w:shd w:val="clear" w:color="auto" w:fill="auto"/>
            <w:vAlign w:val="center"/>
          </w:tcPr>
          <w:p w14:paraId="3796259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0CCD9BD1">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本标准规定了建筑室内照明用 LED光源和 LED灯具的术语和定义、一般要求、规格分类要求、性能要求及控制要求。</w:t>
            </w:r>
          </w:p>
        </w:tc>
        <w:tc>
          <w:tcPr>
            <w:tcW w:w="2836" w:type="dxa"/>
            <w:shd w:val="clear" w:color="auto" w:fill="auto"/>
            <w:vAlign w:val="center"/>
          </w:tcPr>
          <w:p w14:paraId="32FB5073">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1CF7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4DEA161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20</w:t>
            </w:r>
          </w:p>
        </w:tc>
        <w:tc>
          <w:tcPr>
            <w:tcW w:w="3574" w:type="dxa"/>
            <w:shd w:val="clear" w:color="auto" w:fill="auto"/>
            <w:vAlign w:val="center"/>
          </w:tcPr>
          <w:p w14:paraId="13311AC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照明测量方法</w:t>
            </w:r>
          </w:p>
        </w:tc>
        <w:tc>
          <w:tcPr>
            <w:tcW w:w="1896" w:type="dxa"/>
            <w:shd w:val="clear" w:color="auto" w:fill="auto"/>
            <w:vAlign w:val="center"/>
          </w:tcPr>
          <w:p w14:paraId="3A7FF70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GB/T-5700-2023</w:t>
            </w:r>
          </w:p>
        </w:tc>
        <w:tc>
          <w:tcPr>
            <w:tcW w:w="1266" w:type="dxa"/>
            <w:shd w:val="clear" w:color="auto" w:fill="auto"/>
            <w:vAlign w:val="center"/>
          </w:tcPr>
          <w:p w14:paraId="429EA2C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78DEF2A3">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文件规定了照明测量的一般要求、测量仪器和测量方法，以及建筑照明测量、道路照明测量、夜景照明测量和室外作业场地照明测量的实施方法。本文件适用于建筑、道路、夜景和室外作业场地的照明测量，其他场所照明测量可参照执行。</w:t>
            </w:r>
          </w:p>
        </w:tc>
        <w:tc>
          <w:tcPr>
            <w:tcW w:w="2836" w:type="dxa"/>
            <w:shd w:val="clear" w:color="auto" w:fill="auto"/>
            <w:vAlign w:val="center"/>
          </w:tcPr>
          <w:p w14:paraId="63B54482">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0F26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490BBF2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21</w:t>
            </w:r>
          </w:p>
        </w:tc>
        <w:tc>
          <w:tcPr>
            <w:tcW w:w="3574" w:type="dxa"/>
            <w:shd w:val="clear" w:color="auto" w:fill="auto"/>
            <w:vAlign w:val="center"/>
          </w:tcPr>
          <w:p w14:paraId="6CFB4D1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 xml:space="preserve"> 灯和灯系统的光生物安全性</w:t>
            </w:r>
          </w:p>
        </w:tc>
        <w:tc>
          <w:tcPr>
            <w:tcW w:w="1896" w:type="dxa"/>
            <w:shd w:val="clear" w:color="auto" w:fill="auto"/>
            <w:vAlign w:val="center"/>
          </w:tcPr>
          <w:p w14:paraId="036CEEE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20145-2006</w:t>
            </w:r>
          </w:p>
        </w:tc>
        <w:tc>
          <w:tcPr>
            <w:tcW w:w="1266" w:type="dxa"/>
            <w:shd w:val="clear" w:color="auto" w:fill="auto"/>
            <w:vAlign w:val="center"/>
          </w:tcPr>
          <w:p w14:paraId="2A4F2D5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06009D92">
            <w:pPr>
              <w:spacing w:line="240" w:lineRule="auto"/>
              <w:jc w:val="left"/>
              <w:rPr>
                <w:rFonts w:hint="eastAsia" w:ascii="仿宋" w:hAnsi="仿宋" w:eastAsia="仿宋" w:cs="仿宋"/>
                <w:color w:val="auto"/>
                <w:sz w:val="21"/>
                <w:szCs w:val="21"/>
                <w:highlight w:val="none"/>
                <w:vertAlign w:val="baseline"/>
              </w:rPr>
            </w:pPr>
          </w:p>
          <w:p w14:paraId="065DB314">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本标准对评估灯和灯系统，包括各种灯具的光生物安全性给予指导。对于所有非相干宽带电光源，也包括发光二级管（LED）但不包括激光，在200 nm至3000 nm波长范围的光学辐射的光生物危害的评估和控制，本标准对曝辐射限值参考测量技术和分级计划进行了明确规定。</w:t>
            </w:r>
          </w:p>
        </w:tc>
        <w:tc>
          <w:tcPr>
            <w:tcW w:w="2836" w:type="dxa"/>
            <w:shd w:val="clear" w:color="auto" w:fill="auto"/>
            <w:vAlign w:val="center"/>
          </w:tcPr>
          <w:p w14:paraId="0E92B2E4">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4AAB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34C2726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22</w:t>
            </w:r>
          </w:p>
        </w:tc>
        <w:tc>
          <w:tcPr>
            <w:tcW w:w="3574" w:type="dxa"/>
            <w:shd w:val="clear" w:color="auto" w:fill="auto"/>
            <w:vAlign w:val="center"/>
          </w:tcPr>
          <w:p w14:paraId="4BFC1856">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舞台灯具光度测试与标注</w:t>
            </w:r>
          </w:p>
        </w:tc>
        <w:tc>
          <w:tcPr>
            <w:tcW w:w="1896" w:type="dxa"/>
            <w:shd w:val="clear" w:color="auto" w:fill="auto"/>
            <w:vAlign w:val="center"/>
          </w:tcPr>
          <w:p w14:paraId="668807BA">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WH/T 26-2007</w:t>
            </w:r>
          </w:p>
        </w:tc>
        <w:tc>
          <w:tcPr>
            <w:tcW w:w="1266" w:type="dxa"/>
            <w:shd w:val="clear" w:color="auto" w:fill="auto"/>
            <w:vAlign w:val="center"/>
          </w:tcPr>
          <w:p w14:paraId="40677645">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p>
        </w:tc>
        <w:tc>
          <w:tcPr>
            <w:tcW w:w="4372" w:type="dxa"/>
            <w:shd w:val="clear" w:color="auto" w:fill="auto"/>
            <w:vAlign w:val="center"/>
          </w:tcPr>
          <w:p w14:paraId="7B3E0F79">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中华人民共和国文化部</w:t>
            </w:r>
          </w:p>
          <w:p w14:paraId="5C18E315">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本标准规定了舞台灯具的光度测试方法及舞台灯具说明书中光度参数的标注要求。</w:t>
            </w:r>
          </w:p>
          <w:p w14:paraId="3584189C">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本标准适用于舞台灯具，其他演艺灯具亦可参照使用。</w:t>
            </w:r>
          </w:p>
          <w:p w14:paraId="0D8B940F">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本标准供舞台灯具生产厂对自产灯具进行光学设计、检验时使用。也可供舞台灯光工作者对灯具选型、灯光设计和第三方检测机构测试灯具时使用。</w:t>
            </w:r>
          </w:p>
        </w:tc>
        <w:tc>
          <w:tcPr>
            <w:tcW w:w="2836" w:type="dxa"/>
            <w:shd w:val="clear" w:color="auto" w:fill="auto"/>
            <w:vAlign w:val="center"/>
          </w:tcPr>
          <w:p w14:paraId="42F3C5B6">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25DA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6C25985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23</w:t>
            </w:r>
          </w:p>
        </w:tc>
        <w:tc>
          <w:tcPr>
            <w:tcW w:w="3574" w:type="dxa"/>
            <w:shd w:val="clear" w:color="auto" w:fill="auto"/>
            <w:vAlign w:val="center"/>
          </w:tcPr>
          <w:p w14:paraId="294781EC">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舞台灯具通用技术条件</w:t>
            </w:r>
          </w:p>
        </w:tc>
        <w:tc>
          <w:tcPr>
            <w:tcW w:w="1896" w:type="dxa"/>
            <w:shd w:val="clear" w:color="auto" w:fill="auto"/>
            <w:vAlign w:val="center"/>
          </w:tcPr>
          <w:p w14:paraId="65BA7A70">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WH/T 41-2011</w:t>
            </w:r>
          </w:p>
        </w:tc>
        <w:tc>
          <w:tcPr>
            <w:tcW w:w="1266" w:type="dxa"/>
            <w:shd w:val="clear" w:color="auto" w:fill="auto"/>
            <w:vAlign w:val="center"/>
          </w:tcPr>
          <w:p w14:paraId="25DEBE18">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现行</w:t>
            </w:r>
          </w:p>
        </w:tc>
        <w:tc>
          <w:tcPr>
            <w:tcW w:w="4372" w:type="dxa"/>
            <w:shd w:val="clear" w:color="auto" w:fill="auto"/>
            <w:vAlign w:val="center"/>
          </w:tcPr>
          <w:p w14:paraId="2B125079">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中华人民共和国文化部</w:t>
            </w:r>
          </w:p>
          <w:p w14:paraId="5902EE3A">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本标准规定了部分类型舞台灯具的产品分类、技术要求、检验规则，以及标记、包装、运输及贮存方法等。</w:t>
            </w:r>
          </w:p>
          <w:p w14:paraId="67D4DDF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本标准适用于舞台灯具，其他演出场所的灯具可参照执行。</w:t>
            </w:r>
          </w:p>
          <w:p w14:paraId="3B6EDB60">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本标准供舞台灯具生产企业对自产灯具进行检验时使用。</w:t>
            </w:r>
          </w:p>
          <w:p w14:paraId="1671786D">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本标准可作为使用者或第三方检测机构对灯具进行验收的依据。</w:t>
            </w:r>
          </w:p>
        </w:tc>
        <w:tc>
          <w:tcPr>
            <w:tcW w:w="2836" w:type="dxa"/>
            <w:shd w:val="clear" w:color="auto" w:fill="auto"/>
            <w:vAlign w:val="center"/>
          </w:tcPr>
          <w:p w14:paraId="1726080B">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0423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AD4B847">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24</w:t>
            </w:r>
          </w:p>
        </w:tc>
        <w:tc>
          <w:tcPr>
            <w:tcW w:w="3574" w:type="dxa"/>
            <w:shd w:val="clear" w:color="auto" w:fill="auto"/>
            <w:vAlign w:val="center"/>
          </w:tcPr>
          <w:p w14:paraId="3A82E49A">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舞台灯光系统验收检测规范</w:t>
            </w:r>
          </w:p>
        </w:tc>
        <w:tc>
          <w:tcPr>
            <w:tcW w:w="1896" w:type="dxa"/>
            <w:shd w:val="clear" w:color="auto" w:fill="auto"/>
            <w:vAlign w:val="center"/>
          </w:tcPr>
          <w:p w14:paraId="3476D3A1">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WH/T 97-2022</w:t>
            </w:r>
          </w:p>
        </w:tc>
        <w:tc>
          <w:tcPr>
            <w:tcW w:w="1266" w:type="dxa"/>
            <w:shd w:val="clear" w:color="auto" w:fill="auto"/>
            <w:vAlign w:val="center"/>
          </w:tcPr>
          <w:p w14:paraId="6F7E27B5">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现行</w:t>
            </w:r>
          </w:p>
        </w:tc>
        <w:tc>
          <w:tcPr>
            <w:tcW w:w="4372" w:type="dxa"/>
            <w:shd w:val="clear" w:color="auto" w:fill="auto"/>
            <w:vAlign w:val="center"/>
          </w:tcPr>
          <w:p w14:paraId="0047D251">
            <w:pPr>
              <w:spacing w:line="240" w:lineRule="auto"/>
              <w:jc w:val="left"/>
              <w:rPr>
                <w:rFonts w:hint="eastAsia" w:ascii="仿宋" w:hAnsi="仿宋" w:eastAsia="仿宋" w:cs="仿宋"/>
                <w:color w:val="auto"/>
                <w:sz w:val="21"/>
                <w:szCs w:val="21"/>
                <w:highlight w:val="none"/>
                <w:vertAlign w:val="baseline"/>
              </w:rPr>
            </w:pPr>
          </w:p>
          <w:p w14:paraId="3E81A412">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本文件规定了舞台灯光设备及工程验收检测的基本要求和方法。</w:t>
            </w:r>
          </w:p>
          <w:p w14:paraId="63C3C375">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本文件适用于固定安装舞台灯光设备及工程的验收检测，舞台灯光设备及工程的定期检测和改造检测可参照本文件相关内容执行。</w:t>
            </w:r>
          </w:p>
        </w:tc>
        <w:tc>
          <w:tcPr>
            <w:tcW w:w="2836" w:type="dxa"/>
            <w:shd w:val="clear" w:color="auto" w:fill="auto"/>
            <w:vAlign w:val="center"/>
          </w:tcPr>
          <w:p w14:paraId="01EBB8C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 中华人民共和国文化和旅游部</w:t>
            </w:r>
          </w:p>
        </w:tc>
      </w:tr>
      <w:tr w14:paraId="07CD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155293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25</w:t>
            </w:r>
          </w:p>
        </w:tc>
        <w:tc>
          <w:tcPr>
            <w:tcW w:w="3574" w:type="dxa"/>
            <w:shd w:val="clear" w:color="auto" w:fill="auto"/>
            <w:vAlign w:val="center"/>
          </w:tcPr>
          <w:p w14:paraId="2D130E7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中小型剧场舞台灯光设计</w:t>
            </w:r>
          </w:p>
        </w:tc>
        <w:tc>
          <w:tcPr>
            <w:tcW w:w="1896" w:type="dxa"/>
            <w:shd w:val="clear" w:color="auto" w:fill="auto"/>
            <w:vAlign w:val="center"/>
          </w:tcPr>
          <w:p w14:paraId="3E704DE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06D704-2</w:t>
            </w:r>
          </w:p>
        </w:tc>
        <w:tc>
          <w:tcPr>
            <w:tcW w:w="1266" w:type="dxa"/>
            <w:shd w:val="clear" w:color="auto" w:fill="auto"/>
            <w:vAlign w:val="center"/>
          </w:tcPr>
          <w:p w14:paraId="4B64886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4244D194">
            <w:pPr>
              <w:spacing w:line="240" w:lineRule="auto"/>
              <w:jc w:val="left"/>
              <w:rPr>
                <w:rFonts w:hint="eastAsia" w:ascii="仿宋" w:hAnsi="仿宋" w:eastAsia="仿宋" w:cs="仿宋"/>
                <w:color w:val="auto"/>
                <w:kern w:val="2"/>
                <w:sz w:val="21"/>
                <w:szCs w:val="21"/>
                <w:highlight w:val="none"/>
                <w:vertAlign w:val="baseline"/>
                <w:lang w:val="en-US" w:eastAsia="zh-CN" w:bidi="ar-SA"/>
              </w:rPr>
            </w:pPr>
          </w:p>
        </w:tc>
        <w:tc>
          <w:tcPr>
            <w:tcW w:w="2836" w:type="dxa"/>
            <w:shd w:val="clear" w:color="auto" w:fill="auto"/>
            <w:vAlign w:val="center"/>
          </w:tcPr>
          <w:p w14:paraId="1C94390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中华人民共和国建设部</w:t>
            </w:r>
          </w:p>
        </w:tc>
      </w:tr>
      <w:tr w14:paraId="6B6E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2DD540D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26</w:t>
            </w:r>
          </w:p>
        </w:tc>
        <w:tc>
          <w:tcPr>
            <w:tcW w:w="3574" w:type="dxa"/>
            <w:shd w:val="clear" w:color="auto" w:fill="auto"/>
            <w:vAlign w:val="center"/>
          </w:tcPr>
          <w:p w14:paraId="15725EE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数字可寻址照明接口 第102部分：一般要求 控制装置</w:t>
            </w:r>
          </w:p>
        </w:tc>
        <w:tc>
          <w:tcPr>
            <w:tcW w:w="1896" w:type="dxa"/>
            <w:shd w:val="clear" w:color="auto" w:fill="auto"/>
            <w:vAlign w:val="center"/>
          </w:tcPr>
          <w:p w14:paraId="47E1407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30104.102-2025</w:t>
            </w:r>
          </w:p>
        </w:tc>
        <w:tc>
          <w:tcPr>
            <w:tcW w:w="1266" w:type="dxa"/>
            <w:shd w:val="clear" w:color="auto" w:fill="auto"/>
            <w:vAlign w:val="center"/>
          </w:tcPr>
          <w:p w14:paraId="69A46F1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2026-02-01  即将实施</w:t>
            </w:r>
          </w:p>
        </w:tc>
        <w:tc>
          <w:tcPr>
            <w:tcW w:w="4372" w:type="dxa"/>
            <w:shd w:val="clear" w:color="auto" w:fill="auto"/>
            <w:vAlign w:val="center"/>
          </w:tcPr>
          <w:p w14:paraId="36880EAC">
            <w:pPr>
              <w:spacing w:line="240" w:lineRule="auto"/>
              <w:jc w:val="left"/>
              <w:rPr>
                <w:rFonts w:hint="eastAsia" w:ascii="仿宋" w:hAnsi="仿宋" w:eastAsia="仿宋" w:cs="仿宋"/>
                <w:color w:val="auto"/>
                <w:kern w:val="2"/>
                <w:sz w:val="21"/>
                <w:szCs w:val="21"/>
                <w:highlight w:val="none"/>
                <w:vertAlign w:val="baseline"/>
                <w:lang w:val="en-US" w:eastAsia="zh-CN" w:bidi="ar-SA"/>
              </w:rPr>
            </w:pPr>
          </w:p>
        </w:tc>
        <w:tc>
          <w:tcPr>
            <w:tcW w:w="2836" w:type="dxa"/>
            <w:shd w:val="clear" w:color="auto" w:fill="auto"/>
            <w:vAlign w:val="center"/>
          </w:tcPr>
          <w:p w14:paraId="4C18A277">
            <w:pPr>
              <w:spacing w:line="240" w:lineRule="auto"/>
              <w:jc w:val="center"/>
              <w:rPr>
                <w:rFonts w:hint="eastAsia" w:ascii="仿宋" w:hAnsi="仿宋" w:eastAsia="仿宋" w:cs="仿宋"/>
                <w:color w:val="auto"/>
                <w:sz w:val="21"/>
                <w:szCs w:val="21"/>
                <w:highlight w:val="none"/>
                <w:vertAlign w:val="baseline"/>
              </w:rPr>
            </w:pPr>
          </w:p>
        </w:tc>
      </w:tr>
      <w:tr w14:paraId="733B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0A2DAEB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27</w:t>
            </w:r>
          </w:p>
        </w:tc>
        <w:tc>
          <w:tcPr>
            <w:tcW w:w="3574" w:type="dxa"/>
            <w:shd w:val="clear" w:color="auto" w:fill="auto"/>
            <w:vAlign w:val="center"/>
          </w:tcPr>
          <w:p w14:paraId="1D9C677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舞台机械 刚性防火隔离幕</w:t>
            </w:r>
          </w:p>
        </w:tc>
        <w:tc>
          <w:tcPr>
            <w:tcW w:w="1896" w:type="dxa"/>
            <w:shd w:val="clear" w:color="auto" w:fill="auto"/>
            <w:vAlign w:val="center"/>
          </w:tcPr>
          <w:p w14:paraId="57C5A33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 36726-2018</w:t>
            </w:r>
          </w:p>
        </w:tc>
        <w:tc>
          <w:tcPr>
            <w:tcW w:w="1266" w:type="dxa"/>
            <w:shd w:val="clear" w:color="auto" w:fill="auto"/>
            <w:vAlign w:val="center"/>
          </w:tcPr>
          <w:p w14:paraId="4238279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2EAC74DB">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标准确立了刚性防火隔离幕设计的一般原则；规定了刚性防火隔离幕的主要组成部分、材料燃烧性能、操作方式、主要性能参数；给出了刚性防火隔离幕主要组成部分的要求；并对验收测试、操作与维修等进行了原则性的规定。本标准适用于在新建、改扩建的剧场及进行刚性防火隔离幕改造时，在舞台台口设置的、垂直卷扬升降的、一体结构的刚性防火隔离幕。其他场所设置的刚性防火隔离幕或其他形式的刚性防火隔离幕可参照本标准执行。</w:t>
            </w:r>
          </w:p>
        </w:tc>
        <w:tc>
          <w:tcPr>
            <w:tcW w:w="2836" w:type="dxa"/>
            <w:shd w:val="clear" w:color="auto" w:fill="auto"/>
            <w:vAlign w:val="center"/>
          </w:tcPr>
          <w:p w14:paraId="54AF41D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中华人民共和国文化和旅游部</w:t>
            </w:r>
          </w:p>
        </w:tc>
      </w:tr>
      <w:tr w14:paraId="38DB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6FD8BD5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28</w:t>
            </w:r>
          </w:p>
        </w:tc>
        <w:tc>
          <w:tcPr>
            <w:tcW w:w="3574" w:type="dxa"/>
            <w:shd w:val="clear" w:color="auto" w:fill="auto"/>
            <w:vAlign w:val="center"/>
          </w:tcPr>
          <w:p w14:paraId="7BC0B75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舞台机械 验收检测规范</w:t>
            </w:r>
          </w:p>
        </w:tc>
        <w:tc>
          <w:tcPr>
            <w:tcW w:w="1896" w:type="dxa"/>
            <w:shd w:val="clear" w:color="auto" w:fill="auto"/>
            <w:vAlign w:val="center"/>
          </w:tcPr>
          <w:p w14:paraId="175F5D3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36727-2018</w:t>
            </w:r>
          </w:p>
        </w:tc>
        <w:tc>
          <w:tcPr>
            <w:tcW w:w="1266" w:type="dxa"/>
            <w:shd w:val="clear" w:color="auto" w:fill="auto"/>
            <w:vAlign w:val="center"/>
          </w:tcPr>
          <w:p w14:paraId="1CA01A8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3D57CC6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本标准规定了舞台机械验收检测内容及方法、结果判定及验收检测的实施。本标准确立了定期检测和改造检测的一般原则。</w:t>
            </w:r>
          </w:p>
          <w:p w14:paraId="004C6D2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本标准适用于舞台机械设备及工程的验收检测。</w:t>
            </w:r>
          </w:p>
          <w:p w14:paraId="0E34F53E">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舞台机械设备及工程的定期检测和改造检测可参照本标准相关内容执行。</w:t>
            </w:r>
          </w:p>
        </w:tc>
        <w:tc>
          <w:tcPr>
            <w:tcW w:w="2836" w:type="dxa"/>
            <w:shd w:val="clear" w:color="auto" w:fill="auto"/>
            <w:vAlign w:val="center"/>
          </w:tcPr>
          <w:p w14:paraId="76E0433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中华人民共和国文化和旅游部</w:t>
            </w:r>
          </w:p>
        </w:tc>
      </w:tr>
      <w:tr w14:paraId="2634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4AE5EB6C">
            <w:pPr>
              <w:spacing w:line="240" w:lineRule="auto"/>
              <w:jc w:val="center"/>
              <w:rPr>
                <w:rFonts w:hint="eastAsia" w:ascii="仿宋" w:hAnsi="仿宋" w:eastAsia="仿宋" w:cs="仿宋"/>
                <w:color w:val="auto"/>
                <w:kern w:val="2"/>
                <w:sz w:val="21"/>
                <w:szCs w:val="21"/>
                <w:highlight w:val="none"/>
                <w:vertAlign w:val="baseline"/>
                <w:lang w:val="en-US" w:eastAsia="zh-CN" w:bidi="ar-SA"/>
              </w:rPr>
            </w:pPr>
            <w:bookmarkStart w:id="0" w:name="_GoBack"/>
            <w:bookmarkEnd w:id="0"/>
            <w:r>
              <w:rPr>
                <w:rFonts w:hint="eastAsia" w:ascii="仿宋" w:hAnsi="仿宋" w:eastAsia="仿宋" w:cs="仿宋"/>
                <w:color w:val="auto"/>
                <w:sz w:val="21"/>
                <w:szCs w:val="21"/>
                <w:highlight w:val="none"/>
                <w:vertAlign w:val="baseline"/>
                <w:lang w:val="en-US" w:eastAsia="zh-CN"/>
              </w:rPr>
              <w:t>29</w:t>
            </w:r>
          </w:p>
        </w:tc>
        <w:tc>
          <w:tcPr>
            <w:tcW w:w="3574" w:type="dxa"/>
            <w:shd w:val="clear" w:color="auto" w:fill="auto"/>
            <w:vAlign w:val="center"/>
          </w:tcPr>
          <w:p w14:paraId="53A681D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舞台机械 台上设备安全</w:t>
            </w:r>
          </w:p>
        </w:tc>
        <w:tc>
          <w:tcPr>
            <w:tcW w:w="1896" w:type="dxa"/>
            <w:shd w:val="clear" w:color="auto" w:fill="auto"/>
            <w:vAlign w:val="center"/>
          </w:tcPr>
          <w:p w14:paraId="36A4A94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WH/T 28-2007</w:t>
            </w:r>
          </w:p>
        </w:tc>
        <w:tc>
          <w:tcPr>
            <w:tcW w:w="1266" w:type="dxa"/>
            <w:shd w:val="clear" w:color="auto" w:fill="auto"/>
            <w:vAlign w:val="center"/>
          </w:tcPr>
          <w:p w14:paraId="7FA09A1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4A7D60A7">
            <w:pPr>
              <w:spacing w:line="240" w:lineRule="auto"/>
              <w:jc w:val="left"/>
              <w:rPr>
                <w:rFonts w:hint="eastAsia" w:ascii="仿宋" w:hAnsi="仿宋" w:eastAsia="仿宋" w:cs="仿宋"/>
                <w:color w:val="auto"/>
                <w:kern w:val="2"/>
                <w:sz w:val="21"/>
                <w:szCs w:val="21"/>
                <w:highlight w:val="none"/>
                <w:vertAlign w:val="baseline"/>
                <w:lang w:val="en-US" w:eastAsia="zh-CN" w:bidi="ar-SA"/>
              </w:rPr>
            </w:pPr>
          </w:p>
        </w:tc>
        <w:tc>
          <w:tcPr>
            <w:tcW w:w="2836" w:type="dxa"/>
            <w:shd w:val="clear" w:color="auto" w:fill="auto"/>
            <w:vAlign w:val="center"/>
          </w:tcPr>
          <w:p w14:paraId="317D0F09">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0001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0F6162C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30</w:t>
            </w:r>
          </w:p>
        </w:tc>
        <w:tc>
          <w:tcPr>
            <w:tcW w:w="3574" w:type="dxa"/>
            <w:shd w:val="clear" w:color="auto" w:fill="auto"/>
            <w:vAlign w:val="center"/>
          </w:tcPr>
          <w:p w14:paraId="0F4B2FA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舞台机械 安装施工规程</w:t>
            </w:r>
          </w:p>
        </w:tc>
        <w:tc>
          <w:tcPr>
            <w:tcW w:w="1896" w:type="dxa"/>
            <w:shd w:val="clear" w:color="auto" w:fill="auto"/>
            <w:vAlign w:val="center"/>
          </w:tcPr>
          <w:p w14:paraId="354796E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T/CETA 6-2024</w:t>
            </w:r>
          </w:p>
        </w:tc>
        <w:tc>
          <w:tcPr>
            <w:tcW w:w="1266" w:type="dxa"/>
            <w:shd w:val="clear" w:color="auto" w:fill="auto"/>
            <w:vAlign w:val="center"/>
          </w:tcPr>
          <w:p w14:paraId="6FCA5C2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1C579E31">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为规范舞台机械设备安装工程的具体实施，确保工程质量和安全，促进技术进步，提高经济效益，制定本规程。</w:t>
            </w:r>
          </w:p>
        </w:tc>
        <w:tc>
          <w:tcPr>
            <w:tcW w:w="2836" w:type="dxa"/>
            <w:shd w:val="clear" w:color="auto" w:fill="auto"/>
            <w:vAlign w:val="center"/>
          </w:tcPr>
          <w:p w14:paraId="7738CA02">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3CE7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3BE3EEF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31</w:t>
            </w:r>
          </w:p>
        </w:tc>
        <w:tc>
          <w:tcPr>
            <w:tcW w:w="3574" w:type="dxa"/>
            <w:shd w:val="clear" w:color="auto" w:fill="auto"/>
            <w:vAlign w:val="center"/>
          </w:tcPr>
          <w:p w14:paraId="0740E78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纺织品 燃烧性能试验 氧指数法</w:t>
            </w:r>
          </w:p>
        </w:tc>
        <w:tc>
          <w:tcPr>
            <w:tcW w:w="1896" w:type="dxa"/>
            <w:shd w:val="clear" w:color="auto" w:fill="auto"/>
            <w:vAlign w:val="center"/>
          </w:tcPr>
          <w:p w14:paraId="38472BD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 xml:space="preserve">GB/T 5454-1997 </w:t>
            </w:r>
          </w:p>
        </w:tc>
        <w:tc>
          <w:tcPr>
            <w:tcW w:w="1266" w:type="dxa"/>
            <w:shd w:val="clear" w:color="auto" w:fill="auto"/>
            <w:vAlign w:val="center"/>
          </w:tcPr>
          <w:p w14:paraId="1BF6F92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3B4D23BF">
            <w:pPr>
              <w:spacing w:line="240" w:lineRule="auto"/>
              <w:jc w:val="left"/>
              <w:rPr>
                <w:rFonts w:hint="eastAsia" w:ascii="仿宋" w:hAnsi="仿宋" w:eastAsia="仿宋" w:cs="仿宋"/>
                <w:color w:val="auto"/>
                <w:kern w:val="2"/>
                <w:sz w:val="21"/>
                <w:szCs w:val="21"/>
                <w:highlight w:val="none"/>
                <w:vertAlign w:val="baseline"/>
                <w:lang w:val="en-US" w:eastAsia="zh-CN" w:bidi="ar-SA"/>
              </w:rPr>
            </w:pPr>
          </w:p>
        </w:tc>
        <w:tc>
          <w:tcPr>
            <w:tcW w:w="2836" w:type="dxa"/>
            <w:shd w:val="clear" w:color="auto" w:fill="auto"/>
            <w:vAlign w:val="center"/>
          </w:tcPr>
          <w:p w14:paraId="06815A81">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2B3F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6897F8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32</w:t>
            </w:r>
          </w:p>
        </w:tc>
        <w:tc>
          <w:tcPr>
            <w:tcW w:w="3574" w:type="dxa"/>
            <w:shd w:val="clear" w:color="auto" w:fill="auto"/>
            <w:vAlign w:val="center"/>
          </w:tcPr>
          <w:p w14:paraId="6E1550F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纺织品 燃烧性能 垂直方向损毁长度、阴燃和续燃时间的测定</w:t>
            </w:r>
          </w:p>
        </w:tc>
        <w:tc>
          <w:tcPr>
            <w:tcW w:w="1896" w:type="dxa"/>
            <w:shd w:val="clear" w:color="auto" w:fill="auto"/>
            <w:vAlign w:val="center"/>
          </w:tcPr>
          <w:p w14:paraId="6028AF0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5455-2014</w:t>
            </w:r>
          </w:p>
        </w:tc>
        <w:tc>
          <w:tcPr>
            <w:tcW w:w="1266" w:type="dxa"/>
            <w:shd w:val="clear" w:color="auto" w:fill="auto"/>
            <w:vAlign w:val="center"/>
          </w:tcPr>
          <w:p w14:paraId="0850D3C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74DFB46B">
            <w:pPr>
              <w:spacing w:line="240" w:lineRule="auto"/>
              <w:jc w:val="left"/>
              <w:rPr>
                <w:rFonts w:hint="eastAsia" w:ascii="仿宋" w:hAnsi="仿宋" w:eastAsia="仿宋" w:cs="仿宋"/>
                <w:color w:val="auto"/>
                <w:kern w:val="2"/>
                <w:sz w:val="21"/>
                <w:szCs w:val="21"/>
                <w:highlight w:val="none"/>
                <w:vertAlign w:val="baseline"/>
                <w:lang w:val="en-US" w:eastAsia="zh-CN" w:bidi="ar-SA"/>
              </w:rPr>
            </w:pPr>
          </w:p>
        </w:tc>
        <w:tc>
          <w:tcPr>
            <w:tcW w:w="2836" w:type="dxa"/>
            <w:shd w:val="clear" w:color="auto" w:fill="auto"/>
            <w:vAlign w:val="center"/>
          </w:tcPr>
          <w:p w14:paraId="286DE71F">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10A7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24CE704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33</w:t>
            </w:r>
          </w:p>
        </w:tc>
        <w:tc>
          <w:tcPr>
            <w:tcW w:w="3574" w:type="dxa"/>
            <w:shd w:val="clear" w:color="auto" w:fill="auto"/>
            <w:vAlign w:val="center"/>
          </w:tcPr>
          <w:p w14:paraId="2A53F88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建筑材料及制品燃烧性能分级</w:t>
            </w:r>
          </w:p>
        </w:tc>
        <w:tc>
          <w:tcPr>
            <w:tcW w:w="1896" w:type="dxa"/>
            <w:shd w:val="clear" w:color="auto" w:fill="auto"/>
            <w:vAlign w:val="center"/>
          </w:tcPr>
          <w:p w14:paraId="7140B65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 8624-2012</w:t>
            </w:r>
          </w:p>
        </w:tc>
        <w:tc>
          <w:tcPr>
            <w:tcW w:w="1266" w:type="dxa"/>
            <w:shd w:val="clear" w:color="auto" w:fill="auto"/>
            <w:vAlign w:val="center"/>
          </w:tcPr>
          <w:p w14:paraId="528D796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7983AF97">
            <w:pPr>
              <w:spacing w:line="240" w:lineRule="auto"/>
              <w:jc w:val="left"/>
              <w:rPr>
                <w:rFonts w:hint="eastAsia" w:ascii="仿宋" w:hAnsi="仿宋" w:eastAsia="仿宋" w:cs="仿宋"/>
                <w:color w:val="auto"/>
                <w:kern w:val="2"/>
                <w:sz w:val="21"/>
                <w:szCs w:val="21"/>
                <w:highlight w:val="none"/>
                <w:vertAlign w:val="baseline"/>
                <w:lang w:val="en-US" w:eastAsia="zh-CN" w:bidi="ar-SA"/>
              </w:rPr>
            </w:pPr>
          </w:p>
        </w:tc>
        <w:tc>
          <w:tcPr>
            <w:tcW w:w="2836" w:type="dxa"/>
            <w:shd w:val="clear" w:color="auto" w:fill="auto"/>
            <w:vAlign w:val="center"/>
          </w:tcPr>
          <w:p w14:paraId="52F7E216">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0519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59A8666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34</w:t>
            </w:r>
          </w:p>
        </w:tc>
        <w:tc>
          <w:tcPr>
            <w:tcW w:w="3574" w:type="dxa"/>
            <w:shd w:val="clear" w:color="auto" w:fill="auto"/>
            <w:vAlign w:val="center"/>
          </w:tcPr>
          <w:p w14:paraId="4AA89C6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建筑材料燃烧或分解的烟密度试验方法</w:t>
            </w:r>
          </w:p>
        </w:tc>
        <w:tc>
          <w:tcPr>
            <w:tcW w:w="1896" w:type="dxa"/>
            <w:shd w:val="clear" w:color="auto" w:fill="auto"/>
            <w:vAlign w:val="center"/>
          </w:tcPr>
          <w:p w14:paraId="04311AD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 xml:space="preserve">GB/T 8627-2007 </w:t>
            </w:r>
          </w:p>
        </w:tc>
        <w:tc>
          <w:tcPr>
            <w:tcW w:w="1266" w:type="dxa"/>
            <w:shd w:val="clear" w:color="auto" w:fill="auto"/>
            <w:vAlign w:val="center"/>
          </w:tcPr>
          <w:p w14:paraId="54C52B8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22DF9630">
            <w:pPr>
              <w:spacing w:line="240" w:lineRule="auto"/>
              <w:jc w:val="left"/>
              <w:rPr>
                <w:rFonts w:hint="eastAsia" w:ascii="仿宋" w:hAnsi="仿宋" w:eastAsia="仿宋" w:cs="仿宋"/>
                <w:color w:val="auto"/>
                <w:kern w:val="2"/>
                <w:sz w:val="21"/>
                <w:szCs w:val="21"/>
                <w:highlight w:val="none"/>
                <w:vertAlign w:val="baseline"/>
                <w:lang w:val="en-US" w:eastAsia="zh-CN" w:bidi="ar-SA"/>
              </w:rPr>
            </w:pPr>
          </w:p>
        </w:tc>
        <w:tc>
          <w:tcPr>
            <w:tcW w:w="2836" w:type="dxa"/>
            <w:shd w:val="clear" w:color="auto" w:fill="auto"/>
            <w:vAlign w:val="center"/>
          </w:tcPr>
          <w:p w14:paraId="4AC9754D">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1FE0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2C0E028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35</w:t>
            </w:r>
          </w:p>
        </w:tc>
        <w:tc>
          <w:tcPr>
            <w:tcW w:w="3574" w:type="dxa"/>
            <w:shd w:val="clear" w:color="auto" w:fill="auto"/>
            <w:vAlign w:val="center"/>
          </w:tcPr>
          <w:p w14:paraId="4D45840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材料产烟毒性危险分级</w:t>
            </w:r>
          </w:p>
        </w:tc>
        <w:tc>
          <w:tcPr>
            <w:tcW w:w="1896" w:type="dxa"/>
            <w:shd w:val="clear" w:color="auto" w:fill="auto"/>
            <w:vAlign w:val="center"/>
          </w:tcPr>
          <w:p w14:paraId="4E3180F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20285-2006</w:t>
            </w:r>
          </w:p>
        </w:tc>
        <w:tc>
          <w:tcPr>
            <w:tcW w:w="1266" w:type="dxa"/>
            <w:shd w:val="clear" w:color="auto" w:fill="auto"/>
            <w:vAlign w:val="center"/>
          </w:tcPr>
          <w:p w14:paraId="1BDA12E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01023EE5">
            <w:pPr>
              <w:spacing w:line="240" w:lineRule="auto"/>
              <w:jc w:val="left"/>
              <w:rPr>
                <w:rFonts w:hint="eastAsia" w:ascii="仿宋" w:hAnsi="仿宋" w:eastAsia="仿宋" w:cs="仿宋"/>
                <w:color w:val="auto"/>
                <w:kern w:val="2"/>
                <w:sz w:val="21"/>
                <w:szCs w:val="21"/>
                <w:highlight w:val="none"/>
                <w:vertAlign w:val="baseline"/>
                <w:lang w:val="en-US" w:eastAsia="zh-CN" w:bidi="ar-SA"/>
              </w:rPr>
            </w:pPr>
          </w:p>
        </w:tc>
        <w:tc>
          <w:tcPr>
            <w:tcW w:w="2836" w:type="dxa"/>
            <w:shd w:val="clear" w:color="auto" w:fill="auto"/>
            <w:vAlign w:val="center"/>
          </w:tcPr>
          <w:p w14:paraId="262579BC">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7FBF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53FD8FD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36</w:t>
            </w:r>
          </w:p>
        </w:tc>
        <w:tc>
          <w:tcPr>
            <w:tcW w:w="3574" w:type="dxa"/>
            <w:shd w:val="clear" w:color="auto" w:fill="auto"/>
            <w:vAlign w:val="center"/>
          </w:tcPr>
          <w:p w14:paraId="3427846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塑料 燃烧性能的测定 水平法和垂直法</w:t>
            </w:r>
          </w:p>
        </w:tc>
        <w:tc>
          <w:tcPr>
            <w:tcW w:w="1896" w:type="dxa"/>
            <w:shd w:val="clear" w:color="auto" w:fill="auto"/>
            <w:vAlign w:val="center"/>
          </w:tcPr>
          <w:p w14:paraId="661EE44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GB/T 2408-2021</w:t>
            </w:r>
          </w:p>
        </w:tc>
        <w:tc>
          <w:tcPr>
            <w:tcW w:w="1266" w:type="dxa"/>
            <w:shd w:val="clear" w:color="auto" w:fill="auto"/>
            <w:vAlign w:val="center"/>
          </w:tcPr>
          <w:p w14:paraId="75D395C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37BAD2E2">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本文件描述了塑料和非金属材料的条形试样处于50W火焰条件下，水平或垂直方向燃烧性能的实验室测定方法。本试验方法适用于确定材料的线性燃烧速率和自熄性。</w:t>
            </w:r>
          </w:p>
          <w:p w14:paraId="13A590FF">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本文件适用于按GB/T 6343-2009测定的表观密度不低于250 kg/m3的固体和泡沫材料燃烧性能的测定。</w:t>
            </w:r>
          </w:p>
          <w:p w14:paraId="12C29EDE">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本文件包含两种试验方法。方法A是水平燃烧，用于测定规定条件下材料的线性燃烧速率。方法B是垂直燃烧，用于测定规定条件下材料的自熄性。</w:t>
            </w:r>
          </w:p>
        </w:tc>
        <w:tc>
          <w:tcPr>
            <w:tcW w:w="2836" w:type="dxa"/>
            <w:shd w:val="clear" w:color="auto" w:fill="auto"/>
            <w:vAlign w:val="center"/>
          </w:tcPr>
          <w:p w14:paraId="76184D3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施行时间2022-03-01</w:t>
            </w:r>
          </w:p>
        </w:tc>
      </w:tr>
      <w:tr w14:paraId="237D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949191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37</w:t>
            </w:r>
          </w:p>
        </w:tc>
        <w:tc>
          <w:tcPr>
            <w:tcW w:w="3574" w:type="dxa"/>
            <w:shd w:val="clear" w:color="auto" w:fill="auto"/>
            <w:vAlign w:val="center"/>
          </w:tcPr>
          <w:p w14:paraId="5875615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电工电子产品着火危险试验 第16部分：试验火焰 50W水平与垂直火焰试验方法 </w:t>
            </w:r>
          </w:p>
        </w:tc>
        <w:tc>
          <w:tcPr>
            <w:tcW w:w="1896" w:type="dxa"/>
            <w:shd w:val="clear" w:color="auto" w:fill="auto"/>
            <w:vAlign w:val="center"/>
          </w:tcPr>
          <w:p w14:paraId="5F26038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5169.16-2017</w:t>
            </w:r>
          </w:p>
        </w:tc>
        <w:tc>
          <w:tcPr>
            <w:tcW w:w="1266" w:type="dxa"/>
            <w:shd w:val="clear" w:color="auto" w:fill="auto"/>
            <w:vAlign w:val="center"/>
          </w:tcPr>
          <w:p w14:paraId="19CE138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726449F4">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本部分规定了用于比较电工电子产品用不同材料的燃烧性能的小规模实验室试验程序，试验中条形试样呈水平或垂直放置，并暴露于引燃源为标称功率50W的小火焰中。该类试验方法用于确定材料的线性燃烧速率或者自熄性。 </w:t>
            </w:r>
            <w:r>
              <w:rPr>
                <w:rFonts w:hint="eastAsia" w:ascii="仿宋" w:hAnsi="仿宋" w:eastAsia="仿宋" w:cs="仿宋"/>
                <w:color w:val="auto"/>
                <w:sz w:val="21"/>
                <w:szCs w:val="21"/>
                <w:highlight w:val="none"/>
                <w:vertAlign w:val="baseline"/>
              </w:rPr>
              <w:br w:type="textWrapping"/>
            </w:r>
            <w:r>
              <w:rPr>
                <w:rFonts w:hint="eastAsia" w:ascii="仿宋" w:hAnsi="仿宋" w:eastAsia="仿宋" w:cs="仿宋"/>
                <w:color w:val="auto"/>
                <w:sz w:val="21"/>
                <w:szCs w:val="21"/>
                <w:highlight w:val="none"/>
                <w:vertAlign w:val="baseline"/>
              </w:rPr>
              <w:t>本部分的试验方法适用于固体材料和按ISO 845的方法测定时表观密度不小于250kg/m3的泡沫塑料。</w:t>
            </w:r>
          </w:p>
        </w:tc>
        <w:tc>
          <w:tcPr>
            <w:tcW w:w="2836" w:type="dxa"/>
            <w:shd w:val="clear" w:color="auto" w:fill="auto"/>
            <w:vAlign w:val="center"/>
          </w:tcPr>
          <w:p w14:paraId="3202F1D0">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65C2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2EE84FF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38</w:t>
            </w:r>
          </w:p>
        </w:tc>
        <w:tc>
          <w:tcPr>
            <w:tcW w:w="3574" w:type="dxa"/>
            <w:vAlign w:val="center"/>
          </w:tcPr>
          <w:p w14:paraId="292E5C2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信息技术设备、多媒体设备和接收机 电磁兼容 第1部分：发射要求 </w:t>
            </w:r>
          </w:p>
        </w:tc>
        <w:tc>
          <w:tcPr>
            <w:tcW w:w="1896" w:type="dxa"/>
            <w:vAlign w:val="center"/>
          </w:tcPr>
          <w:p w14:paraId="41AA124E">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GB/T 9254.1-2021</w:t>
            </w:r>
          </w:p>
        </w:tc>
        <w:tc>
          <w:tcPr>
            <w:tcW w:w="1266" w:type="dxa"/>
            <w:vAlign w:val="center"/>
          </w:tcPr>
          <w:p w14:paraId="7DB85FCF">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3FD2710D">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本文件适用于其额定交流电压有效值或直流电压不超过600 V的信息技术设备（3.1.19)、音频设备（3.1.6)，视频设备（3.1.31)，广播接收设备（3.1.7)，娱乐灯光控制设备（3.1.14)及其组合。 </w:t>
            </w:r>
          </w:p>
          <w:p w14:paraId="1422EF8D">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本文件也适用于专业用途的上述设备。 </w:t>
            </w:r>
          </w:p>
          <w:p w14:paraId="23883CD5">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本文件规定的发射要求不适用于ITU定义的无线电发射机产生的有意发射，也不适用于与这些有意发射相关的杂散发射。</w:t>
            </w:r>
            <w:r>
              <w:rPr>
                <w:rFonts w:hint="eastAsia" w:ascii="仿宋" w:hAnsi="仿宋" w:eastAsia="仿宋" w:cs="仿宋"/>
                <w:color w:val="auto"/>
                <w:sz w:val="21"/>
                <w:szCs w:val="21"/>
                <w:highlight w:val="none"/>
                <w:vertAlign w:val="baseline"/>
                <w:lang w:val="en-US" w:eastAsia="zh-CN"/>
              </w:rPr>
              <w:t xml:space="preserve"> </w:t>
            </w:r>
          </w:p>
          <w:p w14:paraId="000E370B">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在其他IEC/CISPR对应的国家标准（除了GB/T 9254和GB/T 13837)中对本文件适用频段规定了发射要求的设备，不包括在本文件的范围内。 </w:t>
            </w:r>
          </w:p>
          <w:p w14:paraId="3DBB6E22">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本文件不适用于现场试验。 </w:t>
            </w:r>
          </w:p>
          <w:p w14:paraId="1F87BB5C">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本文件包含A级和B级设备。设备的分级见第4章的规定。 </w:t>
            </w:r>
          </w:p>
          <w:p w14:paraId="2CA40F08">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本文件的目的： </w:t>
            </w:r>
          </w:p>
          <w:p w14:paraId="6917AC4D">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a)　建立要求，为无线电频谱提供足够的保护，以保证9 kHz～400 GHz频段内的无线电业务按预期工作。 </w:t>
            </w:r>
          </w:p>
          <w:p w14:paraId="08AAF477">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b)　规定程序，确保测量的复现性和结果的重复性。</w:t>
            </w:r>
          </w:p>
        </w:tc>
        <w:tc>
          <w:tcPr>
            <w:tcW w:w="2836" w:type="dxa"/>
            <w:shd w:val="clear" w:color="auto" w:fill="auto"/>
            <w:vAlign w:val="center"/>
          </w:tcPr>
          <w:p w14:paraId="48530D0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eastAsia="zh-CN"/>
              </w:rPr>
              <w:t>传导与辐射骚扰，GB/T 9254 管的是“你的设备是否会‘发出杂音’干扰别人”。</w:t>
            </w:r>
          </w:p>
        </w:tc>
      </w:tr>
      <w:tr w14:paraId="6C04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4317075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39</w:t>
            </w:r>
          </w:p>
        </w:tc>
        <w:tc>
          <w:tcPr>
            <w:tcW w:w="3574" w:type="dxa"/>
            <w:vAlign w:val="center"/>
          </w:tcPr>
          <w:p w14:paraId="3551108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信息技术设备、多媒体设备和接收机 电磁兼容 第2部分：抗扰度要求 </w:t>
            </w:r>
          </w:p>
        </w:tc>
        <w:tc>
          <w:tcPr>
            <w:tcW w:w="1896" w:type="dxa"/>
            <w:vAlign w:val="center"/>
          </w:tcPr>
          <w:p w14:paraId="4C18E482">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GB/T 9254.2-2021</w:t>
            </w:r>
          </w:p>
        </w:tc>
        <w:tc>
          <w:tcPr>
            <w:tcW w:w="1266" w:type="dxa"/>
            <w:vAlign w:val="center"/>
          </w:tcPr>
          <w:p w14:paraId="58A05A0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2479F9F8">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000000"/>
                <w:sz w:val="21"/>
                <w:szCs w:val="21"/>
              </w:rPr>
              <w:t xml:space="preserve">本文件适用于额定交流电压有效值或直流电压不超过600 V的信息技术设备(3.1.18)、音频设备(3.1.6)、视频设备(3.1.32)、广播接收设备(3.1.7)、娱乐灯光控制设备(3.1.14)及其组合。 </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 xml:space="preserve">本文件也适用于专业用途的上述设备。 </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 xml:space="preserve">具有广播接收功能的设备在本文件的范围内，见附录A。具有非广播无线接口的设备也在本文件的范围内，然而，无需依据本文件对这些接口性能进行评价。 </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 xml:space="preserve">在其他IEC/CISPR标准对应的国家标准(除了GB/T 9383和GB/T 17618)中对本文件适用频段规定了抗扰度要求的设备，不包括在本文件的范围内。 </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 xml:space="preserve">本文件的目的是： </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 xml:space="preserve">——在0 Hz~400 GHz频率范围内提出要求，使EUT具有足够的抗扰度水平，能够在其使用的环境中按预期运行。 </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 xml:space="preserve">——规定程序，确保试验的复现性和结果的重复性。 </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由于设备功能的技术融合，性能判据基于功能而不是基于设备来确定。</w:t>
            </w:r>
          </w:p>
        </w:tc>
        <w:tc>
          <w:tcPr>
            <w:tcW w:w="2836" w:type="dxa"/>
            <w:shd w:val="clear" w:color="auto" w:fill="auto"/>
            <w:vAlign w:val="center"/>
          </w:tcPr>
          <w:p w14:paraId="48652B2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eastAsia="zh-CN"/>
              </w:rPr>
              <w:t>传导与辐射骚扰，GB/T 9254 管的是“你的设备是否会‘发出杂音’干扰别人”。</w:t>
            </w:r>
          </w:p>
        </w:tc>
      </w:tr>
      <w:tr w14:paraId="4EFC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337B03B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40</w:t>
            </w:r>
          </w:p>
        </w:tc>
        <w:tc>
          <w:tcPr>
            <w:tcW w:w="3574" w:type="dxa"/>
            <w:shd w:val="clear" w:color="auto" w:fill="auto"/>
            <w:vAlign w:val="center"/>
          </w:tcPr>
          <w:p w14:paraId="3FE3F4B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电磁兼容 限值 第1部分：谐波电流发射限值（设备每相输入电流≤16A）</w:t>
            </w:r>
          </w:p>
        </w:tc>
        <w:tc>
          <w:tcPr>
            <w:tcW w:w="1896" w:type="dxa"/>
            <w:shd w:val="clear" w:color="auto" w:fill="auto"/>
            <w:vAlign w:val="center"/>
          </w:tcPr>
          <w:p w14:paraId="1043B13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rPr>
              <w:t>GB 17625.1-2022</w:t>
            </w:r>
          </w:p>
        </w:tc>
        <w:tc>
          <w:tcPr>
            <w:tcW w:w="1266" w:type="dxa"/>
            <w:shd w:val="clear" w:color="auto" w:fill="auto"/>
            <w:vAlign w:val="center"/>
          </w:tcPr>
          <w:p w14:paraId="579CE4D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42C8C87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本文件涉及注入到公用供电系统的谐波电流的限值。</w:t>
            </w:r>
          </w:p>
          <w:p w14:paraId="5F94F891">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本文件规定了在指定的试验条件下设备可能产生的输入电流谐波分量的限值。</w:t>
            </w:r>
          </w:p>
          <w:p w14:paraId="16B02E95">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本文件适用于准备接入到公用低压配电系统的每相额定输入电流不大于16 A的电气和电子设备。</w:t>
            </w:r>
          </w:p>
          <w:p w14:paraId="046AD80E">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每相额定输入电流不大于16 A的非专用电弧焊设备属于本文件范畴。所有其他电弧焊设备不适用于本文件；然而，可使用IEC 61000-3-12以及相关安装限制对其谐波电流发射进行评估。</w:t>
            </w:r>
          </w:p>
          <w:p w14:paraId="617E363E">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按照本文件进行的试验为型式试验。</w:t>
            </w:r>
          </w:p>
        </w:tc>
        <w:tc>
          <w:tcPr>
            <w:tcW w:w="2836" w:type="dxa"/>
            <w:shd w:val="clear" w:color="auto" w:fill="auto"/>
            <w:vAlign w:val="center"/>
          </w:tcPr>
          <w:p w14:paraId="0047A0C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eastAsia="zh-CN"/>
              </w:rPr>
              <w:t>GB 17625.1 管的是“你从电网拿电时是否‘污染’了电流”；</w:t>
            </w:r>
          </w:p>
        </w:tc>
      </w:tr>
      <w:tr w14:paraId="256F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749DF5E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41</w:t>
            </w:r>
          </w:p>
        </w:tc>
        <w:tc>
          <w:tcPr>
            <w:tcW w:w="3574" w:type="dxa"/>
            <w:shd w:val="clear" w:color="auto" w:fill="auto"/>
            <w:vAlign w:val="center"/>
          </w:tcPr>
          <w:p w14:paraId="03CAFCE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电磁兼容 试验和测量技术 直流电源输入端口纹波抗扰度试验</w:t>
            </w:r>
          </w:p>
        </w:tc>
        <w:tc>
          <w:tcPr>
            <w:tcW w:w="1896" w:type="dxa"/>
            <w:shd w:val="clear" w:color="auto" w:fill="auto"/>
            <w:vAlign w:val="center"/>
          </w:tcPr>
          <w:p w14:paraId="7D53B52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GB/T 17626.17-2005</w:t>
            </w:r>
          </w:p>
        </w:tc>
        <w:tc>
          <w:tcPr>
            <w:tcW w:w="1266" w:type="dxa"/>
            <w:shd w:val="clear" w:color="auto" w:fill="auto"/>
            <w:vAlign w:val="center"/>
          </w:tcPr>
          <w:p w14:paraId="67F3848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607661CE">
            <w:pPr>
              <w:spacing w:line="240" w:lineRule="auto"/>
              <w:jc w:val="left"/>
              <w:rPr>
                <w:rFonts w:hint="eastAsia" w:ascii="仿宋" w:hAnsi="仿宋" w:eastAsia="仿宋" w:cs="仿宋"/>
                <w:color w:val="auto"/>
                <w:kern w:val="2"/>
                <w:sz w:val="21"/>
                <w:szCs w:val="21"/>
                <w:highlight w:val="none"/>
                <w:vertAlign w:val="baseline"/>
                <w:lang w:val="en-US" w:eastAsia="zh-CN" w:bidi="ar-SA"/>
              </w:rPr>
            </w:pPr>
          </w:p>
        </w:tc>
        <w:tc>
          <w:tcPr>
            <w:tcW w:w="2836" w:type="dxa"/>
            <w:shd w:val="clear" w:color="auto" w:fill="auto"/>
            <w:vAlign w:val="center"/>
          </w:tcPr>
          <w:p w14:paraId="07342BFD">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2098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3BDCCF8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42</w:t>
            </w:r>
          </w:p>
        </w:tc>
        <w:tc>
          <w:tcPr>
            <w:tcW w:w="3574" w:type="dxa"/>
            <w:shd w:val="clear" w:color="auto" w:fill="auto"/>
            <w:vAlign w:val="center"/>
          </w:tcPr>
          <w:p w14:paraId="175C698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电磁兼容 试验和测量技术 直流电源输入端口电压暂降、短时中断和电压变化的抗扰度试验</w:t>
            </w:r>
          </w:p>
        </w:tc>
        <w:tc>
          <w:tcPr>
            <w:tcW w:w="1896" w:type="dxa"/>
            <w:shd w:val="clear" w:color="auto" w:fill="auto"/>
            <w:vAlign w:val="center"/>
          </w:tcPr>
          <w:p w14:paraId="226731D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GB/T 17626.29-2006</w:t>
            </w:r>
          </w:p>
        </w:tc>
        <w:tc>
          <w:tcPr>
            <w:tcW w:w="1266" w:type="dxa"/>
            <w:shd w:val="clear" w:color="auto" w:fill="auto"/>
            <w:vAlign w:val="center"/>
          </w:tcPr>
          <w:p w14:paraId="541A791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1D3AF784">
            <w:pPr>
              <w:spacing w:line="240" w:lineRule="auto"/>
              <w:jc w:val="left"/>
              <w:rPr>
                <w:rFonts w:hint="eastAsia" w:ascii="仿宋" w:hAnsi="仿宋" w:eastAsia="仿宋" w:cs="仿宋"/>
                <w:color w:val="auto"/>
                <w:kern w:val="2"/>
                <w:sz w:val="21"/>
                <w:szCs w:val="21"/>
                <w:highlight w:val="none"/>
                <w:vertAlign w:val="baseline"/>
                <w:lang w:val="en-US" w:eastAsia="zh-CN" w:bidi="ar-SA"/>
              </w:rPr>
            </w:pPr>
          </w:p>
        </w:tc>
        <w:tc>
          <w:tcPr>
            <w:tcW w:w="2836" w:type="dxa"/>
            <w:shd w:val="clear" w:color="auto" w:fill="auto"/>
            <w:vAlign w:val="center"/>
          </w:tcPr>
          <w:p w14:paraId="55AA1176">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7358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0FD29EA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43</w:t>
            </w:r>
          </w:p>
        </w:tc>
        <w:tc>
          <w:tcPr>
            <w:tcW w:w="3574" w:type="dxa"/>
            <w:shd w:val="clear" w:color="auto" w:fill="auto"/>
            <w:vAlign w:val="center"/>
          </w:tcPr>
          <w:p w14:paraId="05DCBCD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音视频、信息技术和通信技术设备 第1部分：安全要求 </w:t>
            </w:r>
          </w:p>
        </w:tc>
        <w:tc>
          <w:tcPr>
            <w:tcW w:w="1896" w:type="dxa"/>
            <w:shd w:val="clear" w:color="auto" w:fill="auto"/>
            <w:vAlign w:val="center"/>
          </w:tcPr>
          <w:p w14:paraId="6E9B0E4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 xml:space="preserve"> GB 4943.1-2022</w:t>
            </w:r>
          </w:p>
        </w:tc>
        <w:tc>
          <w:tcPr>
            <w:tcW w:w="1266" w:type="dxa"/>
            <w:shd w:val="clear" w:color="auto" w:fill="auto"/>
            <w:vAlign w:val="center"/>
          </w:tcPr>
          <w:p w14:paraId="0A5FA92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34D89CC7">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本文件规定了对音频、视频、信息技术和通信技术、商务和办公机器领域内的电气和电子设备的安全要求。不包括设备的性能或功能特性的要求。 </w:t>
            </w:r>
            <w:r>
              <w:rPr>
                <w:rFonts w:hint="eastAsia" w:ascii="仿宋" w:hAnsi="仿宋" w:eastAsia="仿宋" w:cs="仿宋"/>
                <w:color w:val="auto"/>
                <w:sz w:val="21"/>
                <w:szCs w:val="21"/>
                <w:highlight w:val="none"/>
                <w:vertAlign w:val="baseline"/>
              </w:rPr>
              <w:br w:type="textWrapping"/>
            </w:r>
            <w:r>
              <w:rPr>
                <w:rFonts w:hint="eastAsia" w:ascii="仿宋" w:hAnsi="仿宋" w:eastAsia="仿宋" w:cs="仿宋"/>
                <w:color w:val="auto"/>
                <w:sz w:val="21"/>
                <w:szCs w:val="21"/>
                <w:highlight w:val="none"/>
                <w:vertAlign w:val="baseline"/>
              </w:rPr>
              <w:t xml:space="preserve">本文件适用于额定电压不超过600V的上述电气和电子设备。　　 </w:t>
            </w:r>
            <w:r>
              <w:rPr>
                <w:rFonts w:hint="eastAsia" w:ascii="仿宋" w:hAnsi="仿宋" w:eastAsia="仿宋" w:cs="仿宋"/>
                <w:color w:val="auto"/>
                <w:sz w:val="21"/>
                <w:szCs w:val="21"/>
                <w:highlight w:val="none"/>
                <w:vertAlign w:val="baseline"/>
              </w:rPr>
              <w:br w:type="textWrapping"/>
            </w:r>
            <w:r>
              <w:rPr>
                <w:rFonts w:hint="eastAsia" w:ascii="仿宋" w:hAnsi="仿宋" w:eastAsia="仿宋" w:cs="仿宋"/>
                <w:color w:val="auto"/>
                <w:sz w:val="21"/>
                <w:szCs w:val="21"/>
                <w:highlight w:val="none"/>
                <w:vertAlign w:val="baseline"/>
              </w:rPr>
              <w:t xml:space="preserve">本文件也适用于：　　 </w:t>
            </w:r>
            <w:r>
              <w:rPr>
                <w:rFonts w:hint="eastAsia" w:ascii="仿宋" w:hAnsi="仿宋" w:eastAsia="仿宋" w:cs="仿宋"/>
                <w:color w:val="auto"/>
                <w:sz w:val="21"/>
                <w:szCs w:val="21"/>
                <w:highlight w:val="none"/>
                <w:vertAlign w:val="baseline"/>
              </w:rPr>
              <w:br w:type="textWrapping"/>
            </w:r>
            <w:r>
              <w:rPr>
                <w:rFonts w:hint="eastAsia" w:ascii="仿宋" w:hAnsi="仿宋" w:eastAsia="仿宋" w:cs="仿宋"/>
                <w:color w:val="auto"/>
                <w:sz w:val="21"/>
                <w:szCs w:val="21"/>
                <w:highlight w:val="none"/>
                <w:vertAlign w:val="baseline"/>
              </w:rPr>
              <w:t xml:space="preserve">——预定要安装在本设备中的元器件和组件。如果装有这种元器件和组件的完整设备符合本文件的要求，则这种元器件和组件就不需要符合本文件中每一条的要求；　　 </w:t>
            </w:r>
            <w:r>
              <w:rPr>
                <w:rFonts w:hint="eastAsia" w:ascii="仿宋" w:hAnsi="仿宋" w:eastAsia="仿宋" w:cs="仿宋"/>
                <w:color w:val="auto"/>
                <w:sz w:val="21"/>
                <w:szCs w:val="21"/>
                <w:highlight w:val="none"/>
                <w:vertAlign w:val="baseline"/>
              </w:rPr>
              <w:br w:type="textWrapping"/>
            </w:r>
            <w:r>
              <w:rPr>
                <w:rFonts w:hint="eastAsia" w:ascii="仿宋" w:hAnsi="仿宋" w:eastAsia="仿宋" w:cs="仿宋"/>
                <w:color w:val="auto"/>
                <w:sz w:val="21"/>
                <w:szCs w:val="21"/>
                <w:highlight w:val="none"/>
                <w:vertAlign w:val="baseline"/>
              </w:rPr>
              <w:t xml:space="preserve">——预定给本文件范围内的其他设备供电的外部电源单元；　　 </w:t>
            </w:r>
            <w:r>
              <w:rPr>
                <w:rFonts w:hint="eastAsia" w:ascii="仿宋" w:hAnsi="仿宋" w:eastAsia="仿宋" w:cs="仿宋"/>
                <w:color w:val="auto"/>
                <w:sz w:val="21"/>
                <w:szCs w:val="21"/>
                <w:highlight w:val="none"/>
                <w:vertAlign w:val="baseline"/>
              </w:rPr>
              <w:br w:type="textWrapping"/>
            </w:r>
            <w:r>
              <w:rPr>
                <w:rFonts w:hint="eastAsia" w:ascii="仿宋" w:hAnsi="仿宋" w:eastAsia="仿宋" w:cs="仿宋"/>
                <w:color w:val="auto"/>
                <w:sz w:val="21"/>
                <w:szCs w:val="21"/>
                <w:highlight w:val="none"/>
                <w:vertAlign w:val="baseline"/>
              </w:rPr>
              <w:t xml:space="preserve">——预定与本文件范围内的设备共同使用的附件；　　 </w:t>
            </w:r>
            <w:r>
              <w:rPr>
                <w:rFonts w:hint="eastAsia" w:ascii="仿宋" w:hAnsi="仿宋" w:eastAsia="仿宋" w:cs="仿宋"/>
                <w:color w:val="auto"/>
                <w:sz w:val="21"/>
                <w:szCs w:val="21"/>
                <w:highlight w:val="none"/>
                <w:vertAlign w:val="baseline"/>
              </w:rPr>
              <w:br w:type="textWrapping"/>
            </w:r>
            <w:r>
              <w:rPr>
                <w:rFonts w:hint="eastAsia" w:ascii="仿宋" w:hAnsi="仿宋" w:eastAsia="仿宋" w:cs="仿宋"/>
                <w:color w:val="auto"/>
                <w:sz w:val="21"/>
                <w:szCs w:val="21"/>
                <w:highlight w:val="none"/>
                <w:vertAlign w:val="baseline"/>
              </w:rPr>
              <w:t xml:space="preserve">——安装在受限制接触区内的大型设备。对具有大型机械部件的设备，可能需要附加要求；　　 </w:t>
            </w:r>
            <w:r>
              <w:rPr>
                <w:rFonts w:hint="eastAsia" w:ascii="仿宋" w:hAnsi="仿宋" w:eastAsia="仿宋" w:cs="仿宋"/>
                <w:color w:val="auto"/>
                <w:sz w:val="21"/>
                <w:szCs w:val="21"/>
                <w:highlight w:val="none"/>
                <w:vertAlign w:val="baseline"/>
              </w:rPr>
              <w:br w:type="textWrapping"/>
            </w:r>
            <w:r>
              <w:rPr>
                <w:rFonts w:hint="eastAsia" w:ascii="仿宋" w:hAnsi="仿宋" w:eastAsia="仿宋" w:cs="仿宋"/>
                <w:color w:val="auto"/>
                <w:sz w:val="21"/>
                <w:szCs w:val="21"/>
                <w:highlight w:val="none"/>
                <w:vertAlign w:val="baseline"/>
              </w:rPr>
              <w:t xml:space="preserve">——在热带地区使用的设备。　　 </w:t>
            </w:r>
            <w:r>
              <w:rPr>
                <w:rFonts w:hint="eastAsia" w:ascii="仿宋" w:hAnsi="仿宋" w:eastAsia="仿宋" w:cs="仿宋"/>
                <w:color w:val="auto"/>
                <w:sz w:val="21"/>
                <w:szCs w:val="21"/>
                <w:highlight w:val="none"/>
                <w:vertAlign w:val="baseline"/>
              </w:rPr>
              <w:br w:type="textWrapping"/>
            </w:r>
            <w:r>
              <w:rPr>
                <w:rFonts w:hint="eastAsia" w:ascii="仿宋" w:hAnsi="仿宋" w:eastAsia="仿宋" w:cs="仿宋"/>
                <w:color w:val="auto"/>
                <w:sz w:val="21"/>
                <w:szCs w:val="21"/>
                <w:highlight w:val="none"/>
                <w:vertAlign w:val="baseline"/>
              </w:rPr>
              <w:t xml:space="preserve">本文件还适用于预定安装在室外场所的音视频、信息技术和通信技术设备。对室外设备的要求在相关时，也适用于直接安装在户外用来为要安装在户外场所的音视频、信息技术和通信技术设备提供壳体的室外外壳。具体结构要求见附录Y。 </w:t>
            </w:r>
            <w:r>
              <w:rPr>
                <w:rFonts w:hint="eastAsia" w:ascii="仿宋" w:hAnsi="仿宋" w:eastAsia="仿宋" w:cs="仿宋"/>
                <w:color w:val="auto"/>
                <w:sz w:val="21"/>
                <w:szCs w:val="21"/>
                <w:highlight w:val="none"/>
                <w:vertAlign w:val="baseline"/>
              </w:rPr>
              <w:br w:type="textWrapping"/>
            </w:r>
            <w:r>
              <w:rPr>
                <w:rFonts w:hint="eastAsia" w:ascii="仿宋" w:hAnsi="仿宋" w:eastAsia="仿宋" w:cs="仿宋"/>
                <w:color w:val="auto"/>
                <w:sz w:val="21"/>
                <w:szCs w:val="21"/>
                <w:highlight w:val="none"/>
                <w:vertAlign w:val="baseline"/>
              </w:rPr>
              <w:t xml:space="preserve">每种安装形式可能有特殊要求。另外，本文件不包含对室外设备防直击雷影响的保护要求。 </w:t>
            </w:r>
            <w:r>
              <w:rPr>
                <w:rFonts w:hint="eastAsia" w:ascii="仿宋" w:hAnsi="仿宋" w:eastAsia="仿宋" w:cs="仿宋"/>
                <w:color w:val="auto"/>
                <w:sz w:val="21"/>
                <w:szCs w:val="21"/>
                <w:highlight w:val="none"/>
                <w:vertAlign w:val="baseline"/>
              </w:rPr>
              <w:br w:type="textWrapping"/>
            </w:r>
            <w:r>
              <w:rPr>
                <w:rFonts w:hint="eastAsia" w:ascii="仿宋" w:hAnsi="仿宋" w:eastAsia="仿宋" w:cs="仿宋"/>
                <w:color w:val="auto"/>
                <w:sz w:val="21"/>
                <w:szCs w:val="21"/>
                <w:highlight w:val="none"/>
                <w:vertAlign w:val="baseline"/>
              </w:rPr>
              <w:t>除制造商另有规定外，本文件假定最高海拔为5000m。</w:t>
            </w:r>
          </w:p>
        </w:tc>
        <w:tc>
          <w:tcPr>
            <w:tcW w:w="2836" w:type="dxa"/>
            <w:vAlign w:val="center"/>
          </w:tcPr>
          <w:p w14:paraId="5CBEF25C">
            <w:pPr>
              <w:spacing w:line="240" w:lineRule="auto"/>
              <w:jc w:val="center"/>
              <w:rPr>
                <w:rFonts w:hint="eastAsia" w:ascii="仿宋" w:hAnsi="仿宋" w:eastAsia="仿宋" w:cs="仿宋"/>
                <w:color w:val="auto"/>
                <w:sz w:val="21"/>
                <w:szCs w:val="21"/>
                <w:highlight w:val="none"/>
                <w:vertAlign w:val="baseline"/>
                <w:lang w:eastAsia="zh-CN"/>
              </w:rPr>
            </w:pPr>
          </w:p>
        </w:tc>
      </w:tr>
      <w:tr w14:paraId="0469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F5B7E8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44</w:t>
            </w:r>
          </w:p>
        </w:tc>
        <w:tc>
          <w:tcPr>
            <w:tcW w:w="3574" w:type="dxa"/>
            <w:shd w:val="clear" w:color="auto" w:fill="auto"/>
            <w:vAlign w:val="center"/>
          </w:tcPr>
          <w:p w14:paraId="4FE3099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显示器能效限定值及能效等级</w:t>
            </w:r>
          </w:p>
        </w:tc>
        <w:tc>
          <w:tcPr>
            <w:tcW w:w="1896" w:type="dxa"/>
            <w:shd w:val="clear" w:color="auto" w:fill="auto"/>
            <w:vAlign w:val="center"/>
          </w:tcPr>
          <w:p w14:paraId="05EC213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 GB 21520-2023</w:t>
            </w:r>
          </w:p>
        </w:tc>
        <w:tc>
          <w:tcPr>
            <w:tcW w:w="1266" w:type="dxa"/>
            <w:shd w:val="clear" w:color="auto" w:fill="auto"/>
            <w:vAlign w:val="center"/>
          </w:tcPr>
          <w:p w14:paraId="5B6BD88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6A8E3CD2">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本文件规定了显示器的能效限定值、能效等级、能效计算及测试方法。本文件适用于屏幕对角线尺寸不小于40 cm，以交流或直流方式供电，以液晶(LCD)和有机发光二极管（OLED)为显示方式的平面和曲面的普通用途和商用显示器。本文件适用于以交流或直流方式供电，以发光二极管（LED)为显示方式，像素间距大于0.30 mm且不大于2.60 mm、最大亮度不大于3000 cd/m2的LED一体化显示终端。</w:t>
            </w:r>
            <w:r>
              <w:rPr>
                <w:rFonts w:hint="eastAsia" w:ascii="仿宋" w:hAnsi="仿宋" w:eastAsia="仿宋" w:cs="仿宋"/>
                <w:color w:val="FF0000"/>
                <w:sz w:val="21"/>
                <w:szCs w:val="21"/>
                <w:highlight w:val="none"/>
                <w:vertAlign w:val="baseline"/>
              </w:rPr>
              <w:t>本文件不适用于：a)在电视节目拍摄、制作和播出等环节进行图像评价的专业用途监视器;b)双屏显示器;c)工业设备用、医疗设备用、电影放映用、虚拟现实（VR)、增强现实（AR)、融合现实（MR)、扩展现实（XR)和液晶控制台（KVM/KMM)等专业用途显示器和仅作为配件使用的显示产品;d)仅支持以电池方式供电的显示器。</w:t>
            </w:r>
          </w:p>
        </w:tc>
        <w:tc>
          <w:tcPr>
            <w:tcW w:w="2836" w:type="dxa"/>
            <w:shd w:val="clear" w:color="auto" w:fill="auto"/>
            <w:vAlign w:val="center"/>
          </w:tcPr>
          <w:p w14:paraId="65C750B3">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rPr>
              <w:t>2024-06-01</w:t>
            </w:r>
            <w:r>
              <w:rPr>
                <w:rFonts w:hint="eastAsia" w:ascii="仿宋" w:hAnsi="仿宋" w:eastAsia="仿宋" w:cs="仿宋"/>
                <w:color w:val="FF0000"/>
                <w:sz w:val="21"/>
                <w:szCs w:val="21"/>
                <w:highlight w:val="none"/>
                <w:vertAlign w:val="baseline"/>
                <w:lang w:val="en-US" w:eastAsia="zh-CN"/>
              </w:rPr>
              <w:t>实施</w:t>
            </w:r>
          </w:p>
        </w:tc>
      </w:tr>
      <w:tr w14:paraId="0DE4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7991F43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45</w:t>
            </w:r>
          </w:p>
        </w:tc>
        <w:tc>
          <w:tcPr>
            <w:tcW w:w="3574" w:type="dxa"/>
            <w:shd w:val="clear" w:color="auto" w:fill="auto"/>
            <w:vAlign w:val="center"/>
          </w:tcPr>
          <w:p w14:paraId="2D50F10B">
            <w:pPr>
              <w:spacing w:line="240" w:lineRule="auto"/>
              <w:jc w:val="center"/>
              <w:rPr>
                <w:rFonts w:hint="eastAsia" w:ascii="仿宋" w:hAnsi="仿宋" w:eastAsia="仿宋" w:cs="仿宋"/>
                <w:color w:val="0000FF"/>
                <w:kern w:val="2"/>
                <w:sz w:val="21"/>
                <w:szCs w:val="21"/>
                <w:highlight w:val="none"/>
                <w:vertAlign w:val="baseline"/>
                <w:lang w:val="en-US" w:eastAsia="zh-CN" w:bidi="ar-SA"/>
              </w:rPr>
            </w:pPr>
            <w:r>
              <w:rPr>
                <w:rFonts w:hint="eastAsia" w:ascii="仿宋" w:hAnsi="仿宋" w:eastAsia="仿宋" w:cs="仿宋"/>
                <w:color w:val="0000FF"/>
                <w:sz w:val="21"/>
                <w:szCs w:val="21"/>
                <w:highlight w:val="none"/>
                <w:vertAlign w:val="baseline"/>
              </w:rPr>
              <w:t>中华人民共和国工业和信息化部《发光二极管(LED)显示屏通用规范 》</w:t>
            </w:r>
          </w:p>
        </w:tc>
        <w:tc>
          <w:tcPr>
            <w:tcW w:w="1896" w:type="dxa"/>
            <w:shd w:val="clear" w:color="auto" w:fill="auto"/>
            <w:vAlign w:val="center"/>
          </w:tcPr>
          <w:p w14:paraId="232588E6">
            <w:pPr>
              <w:spacing w:line="240" w:lineRule="auto"/>
              <w:jc w:val="center"/>
              <w:rPr>
                <w:rFonts w:hint="eastAsia" w:ascii="仿宋" w:hAnsi="仿宋" w:eastAsia="仿宋" w:cs="仿宋"/>
                <w:color w:val="0000FF"/>
                <w:kern w:val="2"/>
                <w:sz w:val="21"/>
                <w:szCs w:val="21"/>
                <w:highlight w:val="none"/>
                <w:vertAlign w:val="baseline"/>
                <w:lang w:val="en-US" w:eastAsia="zh-CN" w:bidi="ar-SA"/>
              </w:rPr>
            </w:pPr>
            <w:r>
              <w:rPr>
                <w:rFonts w:hint="eastAsia" w:ascii="仿宋" w:hAnsi="仿宋" w:eastAsia="仿宋" w:cs="仿宋"/>
                <w:color w:val="0000FF"/>
                <w:sz w:val="21"/>
                <w:szCs w:val="21"/>
                <w:highlight w:val="none"/>
                <w:vertAlign w:val="baseline"/>
              </w:rPr>
              <w:t xml:space="preserve"> SJ/T 11141-20</w:t>
            </w:r>
            <w:r>
              <w:rPr>
                <w:rFonts w:hint="eastAsia" w:ascii="仿宋" w:hAnsi="仿宋" w:eastAsia="仿宋" w:cs="仿宋"/>
                <w:color w:val="0000FF"/>
                <w:sz w:val="21"/>
                <w:szCs w:val="21"/>
                <w:highlight w:val="none"/>
                <w:vertAlign w:val="baseline"/>
                <w:lang w:val="en-US" w:eastAsia="zh-CN"/>
              </w:rPr>
              <w:t>25</w:t>
            </w:r>
          </w:p>
        </w:tc>
        <w:tc>
          <w:tcPr>
            <w:tcW w:w="1266" w:type="dxa"/>
            <w:shd w:val="clear" w:color="auto" w:fill="auto"/>
            <w:vAlign w:val="center"/>
          </w:tcPr>
          <w:p w14:paraId="31BAEBF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0AB8FA1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本文件规定了LED显示屏的术语和定义、分类、技术要求、检验方法、检验规则，以及标志、包装、运输和储存要求。 </w:t>
            </w:r>
          </w:p>
          <w:p w14:paraId="5F3C2828">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本文件适用于LED显示屏产品的设计、研发、使用、检验等。</w:t>
            </w:r>
          </w:p>
        </w:tc>
        <w:tc>
          <w:tcPr>
            <w:tcW w:w="2836" w:type="dxa"/>
            <w:shd w:val="clear" w:color="auto" w:fill="auto"/>
            <w:vAlign w:val="center"/>
          </w:tcPr>
          <w:p w14:paraId="36AF53B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rPr>
              <w:t>SJ/T 11141-2017</w:t>
            </w:r>
            <w:r>
              <w:rPr>
                <w:rFonts w:hint="eastAsia" w:ascii="仿宋" w:hAnsi="仿宋" w:eastAsia="仿宋" w:cs="仿宋"/>
                <w:color w:val="FF0000"/>
                <w:sz w:val="21"/>
                <w:szCs w:val="21"/>
                <w:highlight w:val="none"/>
                <w:vertAlign w:val="baseline"/>
                <w:lang w:eastAsia="zh-CN"/>
              </w:rPr>
              <w:t>（</w:t>
            </w:r>
            <w:r>
              <w:rPr>
                <w:rFonts w:hint="eastAsia" w:ascii="仿宋" w:hAnsi="仿宋" w:eastAsia="仿宋" w:cs="仿宋"/>
                <w:color w:val="FF0000"/>
                <w:sz w:val="21"/>
                <w:szCs w:val="21"/>
                <w:highlight w:val="none"/>
                <w:vertAlign w:val="baseline"/>
                <w:lang w:val="en-US" w:eastAsia="zh-CN"/>
              </w:rPr>
              <w:t>2025年8月1日废止</w:t>
            </w:r>
            <w:r>
              <w:rPr>
                <w:rFonts w:hint="eastAsia" w:ascii="仿宋" w:hAnsi="仿宋" w:eastAsia="仿宋" w:cs="仿宋"/>
                <w:color w:val="FF0000"/>
                <w:sz w:val="21"/>
                <w:szCs w:val="21"/>
                <w:highlight w:val="none"/>
                <w:vertAlign w:val="baseline"/>
                <w:lang w:eastAsia="zh-CN"/>
              </w:rPr>
              <w:t>）</w:t>
            </w:r>
            <w:r>
              <w:rPr>
                <w:rFonts w:hint="eastAsia" w:ascii="仿宋" w:hAnsi="仿宋" w:eastAsia="仿宋" w:cs="仿宋"/>
                <w:color w:val="auto"/>
                <w:sz w:val="21"/>
                <w:szCs w:val="21"/>
                <w:highlight w:val="none"/>
                <w:vertAlign w:val="baseline"/>
              </w:rPr>
              <w:t xml:space="preserve"> 的 5.10.6 条款是对 LED 显示屏可视角度的技术要求和测量方法的规定</w:t>
            </w:r>
          </w:p>
        </w:tc>
      </w:tr>
      <w:tr w14:paraId="3C88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41C0737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46</w:t>
            </w:r>
          </w:p>
        </w:tc>
        <w:tc>
          <w:tcPr>
            <w:tcW w:w="3574" w:type="dxa"/>
            <w:shd w:val="clear" w:color="auto" w:fill="auto"/>
            <w:vAlign w:val="center"/>
          </w:tcPr>
          <w:p w14:paraId="52B7022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中华人民共和国电子行业标准</w:t>
            </w:r>
            <w:r>
              <w:rPr>
                <w:rFonts w:hint="eastAsia" w:ascii="仿宋" w:hAnsi="仿宋" w:eastAsia="仿宋" w:cs="仿宋"/>
                <w:color w:val="auto"/>
                <w:sz w:val="21"/>
                <w:szCs w:val="21"/>
                <w:highlight w:val="none"/>
                <w:vertAlign w:val="baseline"/>
                <w:lang w:eastAsia="zh-CN"/>
              </w:rPr>
              <w:t>《LED显示屏图像质量主观评价方法 》</w:t>
            </w:r>
          </w:p>
        </w:tc>
        <w:tc>
          <w:tcPr>
            <w:tcW w:w="1896" w:type="dxa"/>
            <w:shd w:val="clear" w:color="auto" w:fill="auto"/>
            <w:vAlign w:val="center"/>
          </w:tcPr>
          <w:p w14:paraId="5C2B3C7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SJ/T 11590-2025</w:t>
            </w:r>
          </w:p>
        </w:tc>
        <w:tc>
          <w:tcPr>
            <w:tcW w:w="1266" w:type="dxa"/>
            <w:shd w:val="clear" w:color="auto" w:fill="auto"/>
            <w:vAlign w:val="center"/>
          </w:tcPr>
          <w:p w14:paraId="47AE690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095D13A3">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本文件规定了LED显示屏图像质量主观评价方法。 </w:t>
            </w:r>
          </w:p>
          <w:p w14:paraId="2F8345BA">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本文件适用于以显示视频图像、动画、图片内容为主的室内外全彩色LED显示屏的图像质量主观评价。其他以显示视频图像、动画、图片内容为主的显示类显示屏，进行主观评价时也可参照使用。 </w:t>
            </w:r>
          </w:p>
          <w:p w14:paraId="5A898F34">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本文件不适用于可变信息标志、城市交通诱导标志、银行及证券行情等以文字信息显示为主的LED显示屏。</w:t>
            </w:r>
          </w:p>
        </w:tc>
        <w:tc>
          <w:tcPr>
            <w:tcW w:w="2836" w:type="dxa"/>
            <w:shd w:val="clear" w:color="auto" w:fill="auto"/>
            <w:vAlign w:val="center"/>
          </w:tcPr>
          <w:p w14:paraId="35A9A05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SJ/T 11590-2016于2016年6月1日废止</w:t>
            </w:r>
          </w:p>
        </w:tc>
      </w:tr>
      <w:tr w14:paraId="59FB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A5780B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47</w:t>
            </w:r>
          </w:p>
        </w:tc>
        <w:tc>
          <w:tcPr>
            <w:tcW w:w="3574" w:type="dxa"/>
            <w:shd w:val="clear" w:color="auto" w:fill="auto"/>
            <w:vAlign w:val="center"/>
          </w:tcPr>
          <w:p w14:paraId="0D60844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室内用LED显示屏多媒体系统验收规范</w:t>
            </w:r>
          </w:p>
        </w:tc>
        <w:tc>
          <w:tcPr>
            <w:tcW w:w="1896" w:type="dxa"/>
            <w:shd w:val="clear" w:color="auto" w:fill="auto"/>
            <w:vAlign w:val="center"/>
          </w:tcPr>
          <w:p w14:paraId="3BB6BA6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SJ/T 11711-2018</w:t>
            </w:r>
          </w:p>
        </w:tc>
        <w:tc>
          <w:tcPr>
            <w:tcW w:w="1266" w:type="dxa"/>
            <w:shd w:val="clear" w:color="auto" w:fill="auto"/>
            <w:vAlign w:val="center"/>
          </w:tcPr>
          <w:p w14:paraId="0955A8A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4B556816">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本标准规定了室内用发光二极管（LED）显示屏和LED显示屏多媒体系统的术语和定义、要求、验收流程、验收检验条件、验收检验方法和验收规则。</w:t>
            </w:r>
          </w:p>
        </w:tc>
        <w:tc>
          <w:tcPr>
            <w:tcW w:w="2836" w:type="dxa"/>
            <w:shd w:val="clear" w:color="auto" w:fill="auto"/>
            <w:vAlign w:val="center"/>
          </w:tcPr>
          <w:p w14:paraId="474C0608">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p>
        </w:tc>
      </w:tr>
      <w:tr w14:paraId="0DE4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076DFB1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48</w:t>
            </w:r>
          </w:p>
        </w:tc>
        <w:tc>
          <w:tcPr>
            <w:tcW w:w="3574" w:type="dxa"/>
            <w:shd w:val="clear" w:color="auto" w:fill="auto"/>
            <w:vAlign w:val="center"/>
          </w:tcPr>
          <w:p w14:paraId="50F78DD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室内LED显示屏光舒适度评价方法</w:t>
            </w:r>
          </w:p>
        </w:tc>
        <w:tc>
          <w:tcPr>
            <w:tcW w:w="1896" w:type="dxa"/>
            <w:shd w:val="clear" w:color="auto" w:fill="auto"/>
            <w:vAlign w:val="center"/>
          </w:tcPr>
          <w:p w14:paraId="262FEB2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43979-2024</w:t>
            </w:r>
          </w:p>
        </w:tc>
        <w:tc>
          <w:tcPr>
            <w:tcW w:w="1266" w:type="dxa"/>
            <w:shd w:val="clear" w:color="auto" w:fill="auto"/>
            <w:vAlign w:val="center"/>
          </w:tcPr>
          <w:p w14:paraId="24A4C8C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4202866B">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本文件描述了室内LED显示屏（以下简称“LED显示屏”）的光舒适度评价方法。</w:t>
            </w:r>
          </w:p>
        </w:tc>
        <w:tc>
          <w:tcPr>
            <w:tcW w:w="2836" w:type="dxa"/>
            <w:shd w:val="clear" w:color="auto" w:fill="auto"/>
            <w:vAlign w:val="center"/>
          </w:tcPr>
          <w:p w14:paraId="41523386">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p>
        </w:tc>
      </w:tr>
      <w:tr w14:paraId="5A5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247928D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49</w:t>
            </w:r>
          </w:p>
        </w:tc>
        <w:tc>
          <w:tcPr>
            <w:tcW w:w="3574" w:type="dxa"/>
            <w:shd w:val="clear" w:color="auto" w:fill="auto"/>
            <w:vAlign w:val="center"/>
          </w:tcPr>
          <w:p w14:paraId="4CADACB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室内LED显示屏光舒适度评价要求</w:t>
            </w:r>
          </w:p>
        </w:tc>
        <w:tc>
          <w:tcPr>
            <w:tcW w:w="1896" w:type="dxa"/>
            <w:shd w:val="clear" w:color="auto" w:fill="auto"/>
            <w:vAlign w:val="center"/>
          </w:tcPr>
          <w:p w14:paraId="4F3E0D9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43978-2024</w:t>
            </w:r>
          </w:p>
        </w:tc>
        <w:tc>
          <w:tcPr>
            <w:tcW w:w="1266" w:type="dxa"/>
            <w:shd w:val="clear" w:color="auto" w:fill="auto"/>
            <w:vAlign w:val="center"/>
          </w:tcPr>
          <w:p w14:paraId="238998A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5E78FEBD">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本文件规定了室内发光二极管（LED）显示屏（以下简称“LED显示屏”）光舒适度的评价要求。</w:t>
            </w:r>
          </w:p>
        </w:tc>
        <w:tc>
          <w:tcPr>
            <w:tcW w:w="2836" w:type="dxa"/>
            <w:shd w:val="clear" w:color="auto" w:fill="auto"/>
            <w:vAlign w:val="center"/>
          </w:tcPr>
          <w:p w14:paraId="30E68465">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p>
        </w:tc>
      </w:tr>
      <w:tr w14:paraId="77B8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0D75635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50</w:t>
            </w:r>
          </w:p>
        </w:tc>
        <w:tc>
          <w:tcPr>
            <w:tcW w:w="3574" w:type="dxa"/>
            <w:shd w:val="clear" w:color="auto" w:fill="auto"/>
            <w:vAlign w:val="center"/>
          </w:tcPr>
          <w:p w14:paraId="35DB34D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室内LED显示屏规范</w:t>
            </w:r>
          </w:p>
        </w:tc>
        <w:tc>
          <w:tcPr>
            <w:tcW w:w="1896" w:type="dxa"/>
            <w:shd w:val="clear" w:color="auto" w:fill="auto"/>
            <w:vAlign w:val="center"/>
          </w:tcPr>
          <w:p w14:paraId="11EE5C4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43770-2024</w:t>
            </w:r>
          </w:p>
        </w:tc>
        <w:tc>
          <w:tcPr>
            <w:tcW w:w="1266" w:type="dxa"/>
            <w:shd w:val="clear" w:color="auto" w:fill="auto"/>
            <w:vAlign w:val="center"/>
          </w:tcPr>
          <w:p w14:paraId="348D1AA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44B8CAD4">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文件规定了室内LED显示屏（以下简称“显示屏”）的分类、要求、测试方法、检验规则及标志、包装、运输和贮存。本文件适用于显示图文及视频等信息的全彩大间距、中间距、小间距、微小间距、超小间距显示屏产品。</w:t>
            </w:r>
          </w:p>
        </w:tc>
        <w:tc>
          <w:tcPr>
            <w:tcW w:w="2836" w:type="dxa"/>
            <w:shd w:val="clear" w:color="auto" w:fill="auto"/>
            <w:vAlign w:val="center"/>
          </w:tcPr>
          <w:p w14:paraId="4AE86F62">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p>
        </w:tc>
      </w:tr>
      <w:tr w14:paraId="1EE7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3E9120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51</w:t>
            </w:r>
          </w:p>
        </w:tc>
        <w:tc>
          <w:tcPr>
            <w:tcW w:w="3574" w:type="dxa"/>
            <w:shd w:val="clear" w:color="auto" w:fill="auto"/>
            <w:vAlign w:val="center"/>
          </w:tcPr>
          <w:p w14:paraId="25E904D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体育场馆LED显示屏使用要求及检验方法</w:t>
            </w:r>
          </w:p>
        </w:tc>
        <w:tc>
          <w:tcPr>
            <w:tcW w:w="1896" w:type="dxa"/>
            <w:shd w:val="clear" w:color="auto" w:fill="auto"/>
            <w:vAlign w:val="center"/>
          </w:tcPr>
          <w:p w14:paraId="3E09EC8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29458-2024</w:t>
            </w:r>
          </w:p>
        </w:tc>
        <w:tc>
          <w:tcPr>
            <w:tcW w:w="1266" w:type="dxa"/>
            <w:shd w:val="clear" w:color="auto" w:fill="auto"/>
            <w:vAlign w:val="center"/>
          </w:tcPr>
          <w:p w14:paraId="1FAE247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28AE86A3">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本文件规定了体育场馆LED显示屏的技术要求、合格判定规则，描述了相应的检测方法，给出了LED显示屏的分类。</w:t>
            </w:r>
          </w:p>
        </w:tc>
        <w:tc>
          <w:tcPr>
            <w:tcW w:w="2836" w:type="dxa"/>
            <w:shd w:val="clear" w:color="auto" w:fill="auto"/>
            <w:vAlign w:val="center"/>
          </w:tcPr>
          <w:p w14:paraId="02585131">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p>
        </w:tc>
      </w:tr>
      <w:tr w14:paraId="20A2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52A19A9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52</w:t>
            </w:r>
          </w:p>
        </w:tc>
        <w:tc>
          <w:tcPr>
            <w:tcW w:w="3574" w:type="dxa"/>
            <w:shd w:val="clear" w:color="auto" w:fill="auto"/>
            <w:vAlign w:val="center"/>
          </w:tcPr>
          <w:p w14:paraId="2183773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LED显示屏干扰光现场测量方法</w:t>
            </w:r>
          </w:p>
        </w:tc>
        <w:tc>
          <w:tcPr>
            <w:tcW w:w="1896" w:type="dxa"/>
            <w:shd w:val="clear" w:color="auto" w:fill="auto"/>
            <w:vAlign w:val="center"/>
          </w:tcPr>
          <w:p w14:paraId="1069138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34973-2017</w:t>
            </w:r>
          </w:p>
        </w:tc>
        <w:tc>
          <w:tcPr>
            <w:tcW w:w="1266" w:type="dxa"/>
            <w:shd w:val="clear" w:color="auto" w:fill="auto"/>
            <w:vAlign w:val="center"/>
          </w:tcPr>
          <w:p w14:paraId="32E3BAF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1669796C">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本标准规定了LED显示屏（以下简称显示屏）干扰光的现场测量方法。</w:t>
            </w:r>
          </w:p>
        </w:tc>
        <w:tc>
          <w:tcPr>
            <w:tcW w:w="2836" w:type="dxa"/>
            <w:shd w:val="clear" w:color="auto" w:fill="auto"/>
            <w:vAlign w:val="center"/>
          </w:tcPr>
          <w:p w14:paraId="2DDA8C47">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p>
        </w:tc>
      </w:tr>
      <w:tr w14:paraId="7621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2EA529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53</w:t>
            </w:r>
          </w:p>
        </w:tc>
        <w:tc>
          <w:tcPr>
            <w:tcW w:w="3574" w:type="dxa"/>
            <w:shd w:val="clear" w:color="auto" w:fill="auto"/>
            <w:vAlign w:val="center"/>
          </w:tcPr>
          <w:p w14:paraId="133E9C5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LED显示屏节能设计要求</w:t>
            </w:r>
          </w:p>
        </w:tc>
        <w:tc>
          <w:tcPr>
            <w:tcW w:w="1896" w:type="dxa"/>
            <w:shd w:val="clear" w:color="auto" w:fill="auto"/>
            <w:vAlign w:val="center"/>
          </w:tcPr>
          <w:p w14:paraId="3A58C04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SJ/T 11890-2023</w:t>
            </w:r>
          </w:p>
        </w:tc>
        <w:tc>
          <w:tcPr>
            <w:tcW w:w="1266" w:type="dxa"/>
            <w:shd w:val="clear" w:color="auto" w:fill="auto"/>
            <w:vAlign w:val="center"/>
          </w:tcPr>
          <w:p w14:paraId="0789966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622135AB">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本文件规定了LED显示屏典型组成和节能设计的一般要求。</w:t>
            </w:r>
          </w:p>
        </w:tc>
        <w:tc>
          <w:tcPr>
            <w:tcW w:w="2836" w:type="dxa"/>
            <w:shd w:val="clear" w:color="auto" w:fill="auto"/>
            <w:vAlign w:val="center"/>
          </w:tcPr>
          <w:p w14:paraId="73ADCCAF">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中华人民共和国工业和信息化部</w:t>
            </w:r>
          </w:p>
        </w:tc>
      </w:tr>
      <w:tr w14:paraId="2D25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739F1B9D">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54</w:t>
            </w:r>
          </w:p>
        </w:tc>
        <w:tc>
          <w:tcPr>
            <w:tcW w:w="3574" w:type="dxa"/>
            <w:shd w:val="clear" w:color="auto" w:fill="auto"/>
            <w:vAlign w:val="center"/>
          </w:tcPr>
          <w:p w14:paraId="0FF1BA6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数字可寻址照明接口 第207部分：控制装置的特殊要求 LED模块（设备类型6）</w:t>
            </w:r>
          </w:p>
        </w:tc>
        <w:tc>
          <w:tcPr>
            <w:tcW w:w="1896" w:type="dxa"/>
            <w:shd w:val="clear" w:color="auto" w:fill="auto"/>
            <w:vAlign w:val="center"/>
          </w:tcPr>
          <w:p w14:paraId="769BE51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GB/T 30104.207-2025</w:t>
            </w:r>
          </w:p>
        </w:tc>
        <w:tc>
          <w:tcPr>
            <w:tcW w:w="1266" w:type="dxa"/>
            <w:shd w:val="clear" w:color="auto" w:fill="auto"/>
            <w:vAlign w:val="center"/>
          </w:tcPr>
          <w:p w14:paraId="7AC380F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2026-02-01  即将实施</w:t>
            </w:r>
          </w:p>
        </w:tc>
        <w:tc>
          <w:tcPr>
            <w:tcW w:w="4372" w:type="dxa"/>
            <w:shd w:val="clear" w:color="auto" w:fill="auto"/>
            <w:vAlign w:val="center"/>
          </w:tcPr>
          <w:p w14:paraId="12C27AAA">
            <w:pPr>
              <w:spacing w:line="240" w:lineRule="auto"/>
              <w:jc w:val="left"/>
              <w:rPr>
                <w:rFonts w:hint="eastAsia" w:ascii="仿宋" w:hAnsi="仿宋" w:eastAsia="仿宋" w:cs="仿宋"/>
                <w:color w:val="FF0000"/>
                <w:kern w:val="2"/>
                <w:sz w:val="21"/>
                <w:szCs w:val="21"/>
                <w:highlight w:val="none"/>
                <w:vertAlign w:val="baseline"/>
                <w:lang w:val="en-US" w:eastAsia="zh-CN" w:bidi="ar-SA"/>
              </w:rPr>
            </w:pPr>
          </w:p>
        </w:tc>
        <w:tc>
          <w:tcPr>
            <w:tcW w:w="2836" w:type="dxa"/>
            <w:shd w:val="clear" w:color="auto" w:fill="auto"/>
            <w:vAlign w:val="center"/>
          </w:tcPr>
          <w:p w14:paraId="0F7E294A">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p>
        </w:tc>
      </w:tr>
      <w:tr w14:paraId="1BF8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278293C4">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55</w:t>
            </w:r>
          </w:p>
        </w:tc>
        <w:tc>
          <w:tcPr>
            <w:tcW w:w="3574" w:type="dxa"/>
            <w:shd w:val="clear" w:color="auto" w:fill="auto"/>
            <w:vAlign w:val="center"/>
          </w:tcPr>
          <w:p w14:paraId="074331F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电工电子产品环境试验 第2部分：试验方法 试验A： 低温</w:t>
            </w:r>
          </w:p>
        </w:tc>
        <w:tc>
          <w:tcPr>
            <w:tcW w:w="1896" w:type="dxa"/>
            <w:shd w:val="clear" w:color="auto" w:fill="auto"/>
            <w:vAlign w:val="center"/>
          </w:tcPr>
          <w:p w14:paraId="597F883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 xml:space="preserve"> GB/T 2423.1-2008 </w:t>
            </w:r>
          </w:p>
        </w:tc>
        <w:tc>
          <w:tcPr>
            <w:tcW w:w="1266" w:type="dxa"/>
            <w:shd w:val="clear" w:color="auto" w:fill="auto"/>
            <w:vAlign w:val="center"/>
          </w:tcPr>
          <w:p w14:paraId="745B66F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15F3A7DD">
            <w:pPr>
              <w:spacing w:line="240" w:lineRule="auto"/>
              <w:jc w:val="left"/>
              <w:rPr>
                <w:rFonts w:hint="eastAsia" w:ascii="仿宋" w:hAnsi="仿宋" w:eastAsia="仿宋" w:cs="仿宋"/>
                <w:color w:val="0000FF"/>
                <w:kern w:val="2"/>
                <w:sz w:val="21"/>
                <w:szCs w:val="21"/>
                <w:highlight w:val="none"/>
                <w:vertAlign w:val="baseline"/>
                <w:lang w:val="en-US" w:eastAsia="zh-CN" w:bidi="ar-SA"/>
              </w:rPr>
            </w:pPr>
          </w:p>
        </w:tc>
        <w:tc>
          <w:tcPr>
            <w:tcW w:w="2836" w:type="dxa"/>
            <w:shd w:val="clear" w:color="auto" w:fill="auto"/>
            <w:vAlign w:val="center"/>
          </w:tcPr>
          <w:p w14:paraId="15EC4708">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27BF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424FB4CB">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56</w:t>
            </w:r>
          </w:p>
        </w:tc>
        <w:tc>
          <w:tcPr>
            <w:tcW w:w="3574" w:type="dxa"/>
            <w:shd w:val="clear" w:color="auto" w:fill="auto"/>
            <w:vAlign w:val="center"/>
          </w:tcPr>
          <w:p w14:paraId="773DC5E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电工电子产品环境试验 第2部分：试验方法 试验B：高温</w:t>
            </w:r>
          </w:p>
        </w:tc>
        <w:tc>
          <w:tcPr>
            <w:tcW w:w="1896" w:type="dxa"/>
            <w:shd w:val="clear" w:color="auto" w:fill="auto"/>
            <w:vAlign w:val="center"/>
          </w:tcPr>
          <w:p w14:paraId="3BC9FC9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 xml:space="preserve"> GB/T 2423. 2-2008</w:t>
            </w:r>
          </w:p>
        </w:tc>
        <w:tc>
          <w:tcPr>
            <w:tcW w:w="1266" w:type="dxa"/>
            <w:shd w:val="clear" w:color="auto" w:fill="auto"/>
            <w:vAlign w:val="center"/>
          </w:tcPr>
          <w:p w14:paraId="3F9D54B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75FD04A5">
            <w:pPr>
              <w:spacing w:line="240" w:lineRule="auto"/>
              <w:jc w:val="left"/>
              <w:rPr>
                <w:rFonts w:hint="eastAsia" w:ascii="仿宋" w:hAnsi="仿宋" w:eastAsia="仿宋" w:cs="仿宋"/>
                <w:color w:val="FF0000"/>
                <w:kern w:val="2"/>
                <w:sz w:val="21"/>
                <w:szCs w:val="21"/>
                <w:highlight w:val="none"/>
                <w:vertAlign w:val="baseline"/>
                <w:lang w:val="en-US" w:eastAsia="zh-CN" w:bidi="ar-SA"/>
              </w:rPr>
            </w:pPr>
          </w:p>
        </w:tc>
        <w:tc>
          <w:tcPr>
            <w:tcW w:w="2836" w:type="dxa"/>
            <w:shd w:val="clear" w:color="auto" w:fill="auto"/>
            <w:vAlign w:val="center"/>
          </w:tcPr>
          <w:p w14:paraId="56A66084">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p>
        </w:tc>
      </w:tr>
      <w:tr w14:paraId="6F35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5D3B71E0">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57</w:t>
            </w:r>
          </w:p>
        </w:tc>
        <w:tc>
          <w:tcPr>
            <w:tcW w:w="3574" w:type="dxa"/>
            <w:shd w:val="clear" w:color="auto" w:fill="auto"/>
            <w:vAlign w:val="center"/>
          </w:tcPr>
          <w:p w14:paraId="003F11D4">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c>
          <w:tcPr>
            <w:tcW w:w="1896" w:type="dxa"/>
            <w:shd w:val="clear" w:color="auto" w:fill="auto"/>
            <w:vAlign w:val="center"/>
          </w:tcPr>
          <w:p w14:paraId="46D126CA">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c>
          <w:tcPr>
            <w:tcW w:w="1266" w:type="dxa"/>
            <w:shd w:val="clear" w:color="auto" w:fill="auto"/>
            <w:vAlign w:val="center"/>
          </w:tcPr>
          <w:p w14:paraId="0A2CE7A6">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c>
          <w:tcPr>
            <w:tcW w:w="4372" w:type="dxa"/>
            <w:shd w:val="clear" w:color="auto" w:fill="auto"/>
            <w:vAlign w:val="center"/>
          </w:tcPr>
          <w:p w14:paraId="58065200">
            <w:pPr>
              <w:spacing w:line="240" w:lineRule="auto"/>
              <w:jc w:val="left"/>
              <w:rPr>
                <w:rFonts w:hint="eastAsia" w:ascii="仿宋" w:hAnsi="仿宋" w:eastAsia="仿宋" w:cs="仿宋"/>
                <w:color w:val="0000FF"/>
                <w:kern w:val="2"/>
                <w:sz w:val="21"/>
                <w:szCs w:val="21"/>
                <w:highlight w:val="none"/>
                <w:vertAlign w:val="baseline"/>
                <w:lang w:val="en-US" w:eastAsia="zh-CN" w:bidi="ar-SA"/>
              </w:rPr>
            </w:pPr>
          </w:p>
        </w:tc>
        <w:tc>
          <w:tcPr>
            <w:tcW w:w="2836" w:type="dxa"/>
            <w:shd w:val="clear" w:color="auto" w:fill="auto"/>
            <w:vAlign w:val="center"/>
          </w:tcPr>
          <w:p w14:paraId="6EA46ED5">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5E74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07687AEC">
            <w:pPr>
              <w:spacing w:line="240" w:lineRule="auto"/>
              <w:jc w:val="center"/>
              <w:rPr>
                <w:rFonts w:hint="default" w:ascii="仿宋" w:hAnsi="仿宋" w:eastAsia="仿宋" w:cs="仿宋"/>
                <w:color w:val="auto"/>
                <w:kern w:val="2"/>
                <w:sz w:val="21"/>
                <w:szCs w:val="21"/>
                <w:highlight w:val="none"/>
                <w:vertAlign w:val="baseline"/>
                <w:lang w:val="en-US" w:eastAsia="zh-CN" w:bidi="ar-SA"/>
              </w:rPr>
            </w:pPr>
          </w:p>
        </w:tc>
        <w:tc>
          <w:tcPr>
            <w:tcW w:w="3574" w:type="dxa"/>
            <w:shd w:val="clear" w:color="auto" w:fill="auto"/>
            <w:vAlign w:val="center"/>
          </w:tcPr>
          <w:p w14:paraId="4CE700E1">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c>
          <w:tcPr>
            <w:tcW w:w="1896" w:type="dxa"/>
            <w:shd w:val="clear" w:color="auto" w:fill="auto"/>
            <w:vAlign w:val="center"/>
          </w:tcPr>
          <w:p w14:paraId="6607319B">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c>
          <w:tcPr>
            <w:tcW w:w="1266" w:type="dxa"/>
            <w:shd w:val="clear" w:color="auto" w:fill="auto"/>
            <w:vAlign w:val="center"/>
          </w:tcPr>
          <w:p w14:paraId="26318F1B">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c>
          <w:tcPr>
            <w:tcW w:w="4372" w:type="dxa"/>
            <w:shd w:val="clear" w:color="auto" w:fill="auto"/>
            <w:vAlign w:val="center"/>
          </w:tcPr>
          <w:p w14:paraId="22C5E908">
            <w:pPr>
              <w:spacing w:line="240" w:lineRule="auto"/>
              <w:jc w:val="left"/>
              <w:rPr>
                <w:rFonts w:hint="eastAsia" w:ascii="仿宋" w:hAnsi="仿宋" w:eastAsia="仿宋" w:cs="仿宋"/>
                <w:color w:val="FF0000"/>
                <w:kern w:val="2"/>
                <w:sz w:val="21"/>
                <w:szCs w:val="21"/>
                <w:highlight w:val="none"/>
                <w:vertAlign w:val="baseline"/>
                <w:lang w:val="en-US" w:eastAsia="zh-CN" w:bidi="ar-SA"/>
              </w:rPr>
            </w:pPr>
          </w:p>
        </w:tc>
        <w:tc>
          <w:tcPr>
            <w:tcW w:w="2836" w:type="dxa"/>
            <w:shd w:val="clear" w:color="auto" w:fill="auto"/>
            <w:vAlign w:val="center"/>
          </w:tcPr>
          <w:p w14:paraId="04441F13">
            <w:pPr>
              <w:spacing w:line="240" w:lineRule="auto"/>
              <w:jc w:val="center"/>
              <w:rPr>
                <w:rFonts w:hint="eastAsia" w:ascii="仿宋" w:hAnsi="仿宋" w:eastAsia="仿宋" w:cs="仿宋"/>
                <w:color w:val="FF0000"/>
                <w:kern w:val="2"/>
                <w:sz w:val="21"/>
                <w:szCs w:val="21"/>
                <w:highlight w:val="none"/>
                <w:vertAlign w:val="baseline"/>
                <w:lang w:val="en-US" w:eastAsia="zh-CN" w:bidi="ar-SA"/>
              </w:rPr>
            </w:pPr>
          </w:p>
        </w:tc>
      </w:tr>
    </w:tbl>
    <w:p w14:paraId="02778151"/>
    <w:p w14:paraId="022BEDD6">
      <w:pPr>
        <w:spacing w:line="360" w:lineRule="auto"/>
        <w:rPr>
          <w:rFonts w:hint="eastAsia"/>
        </w:rPr>
      </w:pPr>
      <w:r>
        <w:rPr>
          <w:rFonts w:hint="eastAsia"/>
          <w:lang w:val="en-US" w:eastAsia="zh-CN"/>
        </w:rPr>
        <w:t>工标网</w:t>
      </w:r>
      <w:r>
        <w:rPr>
          <w:rFonts w:hint="eastAsia"/>
        </w:rPr>
        <w:fldChar w:fldCharType="begin"/>
      </w:r>
      <w:r>
        <w:rPr>
          <w:rFonts w:hint="eastAsia"/>
        </w:rPr>
        <w:instrText xml:space="preserve"> HYPERLINK "http://www.csres.com/sort/index.jsp" </w:instrText>
      </w:r>
      <w:r>
        <w:rPr>
          <w:rFonts w:hint="eastAsia"/>
        </w:rPr>
        <w:fldChar w:fldCharType="separate"/>
      </w:r>
      <w:r>
        <w:rPr>
          <w:rStyle w:val="9"/>
          <w:rFonts w:hint="eastAsia"/>
        </w:rPr>
        <w:t>http://www.csres.com/sort/index.jsp</w:t>
      </w:r>
      <w:r>
        <w:rPr>
          <w:rFonts w:hint="eastAsia"/>
        </w:rPr>
        <w:fldChar w:fldCharType="end"/>
      </w:r>
    </w:p>
    <w:p w14:paraId="60A44CFE">
      <w:pPr>
        <w:spacing w:line="360" w:lineRule="auto"/>
        <w:rPr>
          <w:rFonts w:hint="eastAsia"/>
        </w:rPr>
      </w:pPr>
      <w:r>
        <w:rPr>
          <w:rFonts w:hint="eastAsia"/>
        </w:rPr>
        <w:t>国家标准 - 全国标准信息公共服务平台</w:t>
      </w:r>
      <w:r>
        <w:rPr>
          <w:rFonts w:hint="eastAsia"/>
        </w:rPr>
        <w:fldChar w:fldCharType="begin"/>
      </w:r>
      <w:r>
        <w:rPr>
          <w:rFonts w:hint="eastAsia"/>
        </w:rPr>
        <w:instrText xml:space="preserve"> HYPERLINK "https://std.samr.gov.cn/" </w:instrText>
      </w:r>
      <w:r>
        <w:rPr>
          <w:rFonts w:hint="eastAsia"/>
        </w:rPr>
        <w:fldChar w:fldCharType="separate"/>
      </w:r>
      <w:r>
        <w:rPr>
          <w:rStyle w:val="9"/>
          <w:rFonts w:hint="eastAsia"/>
        </w:rPr>
        <w:t>https://std.samr.gov.cn/</w:t>
      </w:r>
      <w:r>
        <w:rPr>
          <w:rFonts w:hint="eastAsia"/>
        </w:rPr>
        <w:fldChar w:fldCharType="end"/>
      </w:r>
    </w:p>
    <w:p w14:paraId="55DEDCD3">
      <w:pPr>
        <w:spacing w:line="360" w:lineRule="auto"/>
        <w:rPr>
          <w:rFonts w:hint="eastAsia"/>
        </w:rPr>
      </w:pPr>
      <w:r>
        <w:rPr>
          <w:rFonts w:hint="eastAsia"/>
          <w:lang w:val="en-US" w:eastAsia="zh-CN"/>
        </w:rPr>
        <w:t xml:space="preserve">学兔兔 </w:t>
      </w:r>
      <w:r>
        <w:rPr>
          <w:rFonts w:hint="eastAsia"/>
        </w:rPr>
        <w:t>http://www.bzfxw.com/</w:t>
      </w:r>
    </w:p>
    <w:sectPr>
      <w:footerReference r:id="rId3" w:type="default"/>
      <w:pgSz w:w="16838" w:h="11906" w:orient="landscape"/>
      <w:pgMar w:top="1179" w:right="1157" w:bottom="1179"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77AE">
    <w:pPr>
      <w:pStyle w:val="2"/>
      <w:jc w:val="center"/>
      <w:rPr>
        <w:rFonts w:hint="default" w:eastAsiaTheme="minorEastAsia"/>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t xml:space="preserve"> 页，共 </w:t>
    </w:r>
    <w:r>
      <w:rPr>
        <w:rFonts w:hint="eastAsia"/>
        <w:lang w:val="en-US" w:eastAsia="zh-CN"/>
      </w:rPr>
      <w:fldChar w:fldCharType="begin"/>
    </w:r>
    <w:r>
      <w:rPr>
        <w:rFonts w:hint="eastAsia"/>
        <w:lang w:val="en-US" w:eastAsia="zh-CN"/>
      </w:rPr>
      <w:instrText xml:space="preserve"> SECTIONPAGES \* MERGEFORMAT </w:instrText>
    </w:r>
    <w:r>
      <w:rPr>
        <w:rFonts w:hint="eastAsia"/>
        <w:lang w:val="en-US" w:eastAsia="zh-CN"/>
      </w:rPr>
      <w:fldChar w:fldCharType="separate"/>
    </w:r>
    <w:r>
      <w:rPr>
        <w:rFonts w:hint="eastAsia"/>
        <w:lang w:val="en-US" w:eastAsia="zh-CN"/>
      </w:rPr>
      <w:t>15</w:t>
    </w:r>
    <w:r>
      <w:rPr>
        <w:rFonts w:hint="eastAsia"/>
        <w:lang w:val="en-US" w:eastAsia="zh-CN"/>
      </w:rPr>
      <w:fldChar w:fldCharType="end"/>
    </w:r>
    <w:r>
      <w:rPr>
        <w:rFonts w:hint="eastAsia"/>
        <w:lang w:val="en-US" w:eastAsia="zh-CN"/>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755B0"/>
    <w:rsid w:val="005F59FE"/>
    <w:rsid w:val="02A63E9D"/>
    <w:rsid w:val="03661F65"/>
    <w:rsid w:val="054D74B4"/>
    <w:rsid w:val="06B31420"/>
    <w:rsid w:val="06D870D9"/>
    <w:rsid w:val="07716832"/>
    <w:rsid w:val="07E637CC"/>
    <w:rsid w:val="087A0C14"/>
    <w:rsid w:val="09A21B83"/>
    <w:rsid w:val="09B14DE6"/>
    <w:rsid w:val="0AAE1CEC"/>
    <w:rsid w:val="0B333F1D"/>
    <w:rsid w:val="0C8F20CC"/>
    <w:rsid w:val="0CF313ED"/>
    <w:rsid w:val="0DCF4ECF"/>
    <w:rsid w:val="0E1B687E"/>
    <w:rsid w:val="0E484B44"/>
    <w:rsid w:val="0E98231D"/>
    <w:rsid w:val="10FE598E"/>
    <w:rsid w:val="119A2D92"/>
    <w:rsid w:val="12587E41"/>
    <w:rsid w:val="12715F04"/>
    <w:rsid w:val="15001CD4"/>
    <w:rsid w:val="15C8287C"/>
    <w:rsid w:val="16184DFC"/>
    <w:rsid w:val="16A64E2E"/>
    <w:rsid w:val="172123D6"/>
    <w:rsid w:val="176A54D7"/>
    <w:rsid w:val="19306900"/>
    <w:rsid w:val="1CFF0AC4"/>
    <w:rsid w:val="1D355362"/>
    <w:rsid w:val="1FBC1B14"/>
    <w:rsid w:val="202B4549"/>
    <w:rsid w:val="22DB168F"/>
    <w:rsid w:val="236236D1"/>
    <w:rsid w:val="23985936"/>
    <w:rsid w:val="23AF3D0B"/>
    <w:rsid w:val="23B56380"/>
    <w:rsid w:val="24AE744C"/>
    <w:rsid w:val="26532C71"/>
    <w:rsid w:val="28463A4A"/>
    <w:rsid w:val="289C3522"/>
    <w:rsid w:val="29473381"/>
    <w:rsid w:val="2A064B44"/>
    <w:rsid w:val="2A1A518F"/>
    <w:rsid w:val="2CD82FAB"/>
    <w:rsid w:val="2DCD42C6"/>
    <w:rsid w:val="2E882236"/>
    <w:rsid w:val="2FEB2BB5"/>
    <w:rsid w:val="313905F0"/>
    <w:rsid w:val="31C51872"/>
    <w:rsid w:val="33E44A04"/>
    <w:rsid w:val="36CE3FBF"/>
    <w:rsid w:val="373B6C40"/>
    <w:rsid w:val="378A5964"/>
    <w:rsid w:val="37F56B8B"/>
    <w:rsid w:val="38963173"/>
    <w:rsid w:val="39921BEF"/>
    <w:rsid w:val="3A1D53F1"/>
    <w:rsid w:val="3A944D26"/>
    <w:rsid w:val="3AFE04FE"/>
    <w:rsid w:val="3CA04974"/>
    <w:rsid w:val="3F0D09C6"/>
    <w:rsid w:val="3FB511B8"/>
    <w:rsid w:val="3FE94F8F"/>
    <w:rsid w:val="40453876"/>
    <w:rsid w:val="419F54E2"/>
    <w:rsid w:val="41DC133F"/>
    <w:rsid w:val="42033906"/>
    <w:rsid w:val="434C059B"/>
    <w:rsid w:val="436D4FFA"/>
    <w:rsid w:val="44CA5116"/>
    <w:rsid w:val="45C755B0"/>
    <w:rsid w:val="47415C9D"/>
    <w:rsid w:val="47C22C96"/>
    <w:rsid w:val="48BA78DE"/>
    <w:rsid w:val="49A918FB"/>
    <w:rsid w:val="49F62138"/>
    <w:rsid w:val="4A870580"/>
    <w:rsid w:val="4C39500D"/>
    <w:rsid w:val="4DE43A02"/>
    <w:rsid w:val="52B85859"/>
    <w:rsid w:val="54F013E6"/>
    <w:rsid w:val="57216E5B"/>
    <w:rsid w:val="5840319A"/>
    <w:rsid w:val="59AA0C79"/>
    <w:rsid w:val="5A2F3A8F"/>
    <w:rsid w:val="5A4A5EB9"/>
    <w:rsid w:val="5A680CC9"/>
    <w:rsid w:val="5AC40722"/>
    <w:rsid w:val="5AD85ED5"/>
    <w:rsid w:val="5ADD4435"/>
    <w:rsid w:val="5B40457B"/>
    <w:rsid w:val="5D3C06AD"/>
    <w:rsid w:val="5E5D2FE7"/>
    <w:rsid w:val="600B4656"/>
    <w:rsid w:val="60107EBF"/>
    <w:rsid w:val="61341977"/>
    <w:rsid w:val="61EF2693"/>
    <w:rsid w:val="61F46F3D"/>
    <w:rsid w:val="63E43029"/>
    <w:rsid w:val="643E054F"/>
    <w:rsid w:val="64D150F6"/>
    <w:rsid w:val="658078BD"/>
    <w:rsid w:val="68573102"/>
    <w:rsid w:val="69DC778F"/>
    <w:rsid w:val="6A82366A"/>
    <w:rsid w:val="6A8A14AB"/>
    <w:rsid w:val="6AD14E1A"/>
    <w:rsid w:val="6AFE3735"/>
    <w:rsid w:val="6C273007"/>
    <w:rsid w:val="6C8644FE"/>
    <w:rsid w:val="6DA7731C"/>
    <w:rsid w:val="6E5E49D1"/>
    <w:rsid w:val="6F1928EC"/>
    <w:rsid w:val="705E6224"/>
    <w:rsid w:val="70805519"/>
    <w:rsid w:val="70B5276F"/>
    <w:rsid w:val="716B2509"/>
    <w:rsid w:val="71CF7614"/>
    <w:rsid w:val="72CA5444"/>
    <w:rsid w:val="73EE403D"/>
    <w:rsid w:val="74021C59"/>
    <w:rsid w:val="74BA691F"/>
    <w:rsid w:val="75190694"/>
    <w:rsid w:val="75E475E1"/>
    <w:rsid w:val="76E41A31"/>
    <w:rsid w:val="78F31EBA"/>
    <w:rsid w:val="7B2270F9"/>
    <w:rsid w:val="7B860B19"/>
    <w:rsid w:val="7CC26595"/>
    <w:rsid w:val="7CD73DE6"/>
    <w:rsid w:val="7D864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FollowedHyperlink"/>
    <w:basedOn w:val="6"/>
    <w:qFormat/>
    <w:uiPriority w:val="0"/>
    <w:rPr>
      <w:color w:val="014CCC"/>
      <w:u w:val="none"/>
    </w:rPr>
  </w:style>
  <w:style w:type="character" w:styleId="9">
    <w:name w:val="Hyperlink"/>
    <w:basedOn w:val="6"/>
    <w:qFormat/>
    <w:uiPriority w:val="0"/>
    <w:rPr>
      <w:color w:val="014CCC"/>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5864</Words>
  <Characters>7174</Characters>
  <Lines>0</Lines>
  <Paragraphs>0</Paragraphs>
  <TotalTime>4</TotalTime>
  <ScaleCrop>false</ScaleCrop>
  <LinksUpToDate>false</LinksUpToDate>
  <CharactersWithSpaces>7389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2025-05-01T02:34:00Z</dcterms:created>
  <dc:creator>钱资湖畔一苇草</dc:creator>
  <cp:lastModifiedBy>彭文华</cp:lastModifiedBy>
  <dcterms:modified xsi:type="dcterms:W3CDTF">2026-01-22T08:45:46Z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8D0C86F9CD1D4230846E2C3CB10206F2_13</vt:lpwstr>
  </property>
  <property fmtid="{D5CDD505-2E9C-101B-9397-08002B2CF9AE}" pid="4" name="KSOTemplateDocerSaveRecord">
    <vt:lpwstr>eyJoZGlkIjoiZGJmNGVmOTkyYmRlYWVmNjNhMWY0NGViOTkzY2NlZDYiLCJ1c2VySWQiOiIxNjcxOTk3NTUzIn0=</vt:lpwstr>
  </property>
</Properties>
</file>