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eastAsia="宋体"/>
          <w:color w:val="auto"/>
          <w:sz w:val="28"/>
          <w:szCs w:val="20"/>
          <w:highlight w:val="none"/>
          <w:lang w:eastAsia="zh-CN"/>
        </w:rPr>
      </w:pPr>
      <w:r>
        <w:rPr>
          <w:rFonts w:hint="eastAsia" w:ascii="宋体" w:hAnsi="宋体"/>
          <w:color w:val="auto"/>
          <w:sz w:val="28"/>
          <w:szCs w:val="20"/>
          <w:highlight w:val="none"/>
        </w:rPr>
        <w:t xml:space="preserve">编号：JSZC-321092-YZZK-G2024-0005</w:t>
      </w:r>
      <w:r>
        <w:rPr>
          <w:rFonts w:hint="eastAsia" w:ascii="宋体" w:hAnsi="宋体"/>
          <w:color w:val="auto"/>
          <w:sz w:val="28"/>
          <w:szCs w:val="20"/>
          <w:highlight w:val="none"/>
          <w:lang w:val="en-US" w:eastAsia="zh-CN"/>
        </w:rPr>
        <w:t xml:space="preserve">号 </w:t>
      </w:r>
      <w:r/>
    </w:p>
    <w:p>
      <w:pPr>
        <w:jc w:val="center"/>
        <w:rPr>
          <w:rFonts w:hint="eastAsia" w:ascii="宋体" w:hAnsi="宋体"/>
          <w:color w:val="auto"/>
          <w:sz w:val="36"/>
          <w:highlight w:val="none"/>
          <w:lang w:eastAsia="zh-CN"/>
        </w:rPr>
      </w:pPr>
      <w:r>
        <w:rPr>
          <w:rFonts w:hint="eastAsia" w:ascii="宋体" w:hAnsi="宋体"/>
          <w:color w:val="auto"/>
          <w:sz w:val="36"/>
          <w:highlight w:val="none"/>
          <w:lang w:eastAsia="zh-CN"/>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扬州市平山乡2024年居家养老服务项目</w:t>
      </w:r>
      <w:r/>
    </w:p>
    <w:p>
      <w:pPr>
        <w:jc w:val="center"/>
        <w:rPr>
          <w:rFonts w:ascii="宋体" w:hAnsi="宋体"/>
          <w:color w:val="auto"/>
          <w:sz w:val="36"/>
          <w:highlight w:val="none"/>
        </w:rPr>
      </w:pPr>
      <w:r>
        <w:rPr>
          <w:rFonts w:hint="eastAsia" w:ascii="宋体" w:hAnsi="宋体"/>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color w:val="auto"/>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75580" cy="3313430"/>
                <wp:effectExtent l="0" t="0" r="1270" b="1270"/>
                <wp:docPr id="2" name="图片 2" descr="1cf65f84b3628d149127a2f03a08a58"/>
                <wp:cNvGraphicFramePr/>
                <a:graphic xmlns:a="http://schemas.openxmlformats.org/drawingml/2006/main">
                  <a:graphicData uri="http://schemas.openxmlformats.org/drawingml/2006/picture">
                    <pic:pic xmlns:pic="http://schemas.openxmlformats.org/drawingml/2006/picture">
                      <pic:nvPicPr>
                        <pic:cNvPr id="1" name="图片 2" descr="1cf65f84b3628d149127a2f03a08a58"/>
                        <pic:cNvPicPr/>
                        <pic:nvPr/>
                      </pic:nvPicPr>
                      <pic:blipFill>
                        <a:blip r:embed="rId13"/>
                        <a:stretch/>
                      </pic:blipFill>
                      <pic:spPr bwMode="auto">
                        <a:xfrm>
                          <a:off x="0" y="0"/>
                          <a:ext cx="5275580" cy="3313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4pt;height:260.9pt;mso-wrap-distance-left:0.0pt;mso-wrap-distance-top:0.0pt;mso-wrap-distance-right:0.0pt;mso-wrap-distance-bottom:0.0pt;" stroked="f">
                <v:path textboxrect="0,0,0,0"/>
                <v:imagedata r:id="rId13" o:title=""/>
              </v:shape>
            </w:pict>
          </mc:Fallback>
        </mc:AlternateContent>
      </w:r>
      <w:r/>
    </w:p>
    <w:p>
      <w:pPr>
        <w:rPr>
          <w:color w:val="auto"/>
          <w:highlight w:val="none"/>
        </w:rPr>
      </w:pPr>
      <w:r>
        <w:rPr>
          <w:color w:val="auto"/>
          <w:highlight w:val="none"/>
        </w:rPr>
      </w:r>
      <w:r/>
    </w:p>
    <w:p>
      <w:pPr>
        <w:pStyle w:val="872"/>
        <w:rPr>
          <w:color w:val="auto"/>
          <w:highlight w:val="none"/>
        </w:rPr>
      </w:pPr>
      <w:r>
        <w:rPr>
          <w:color w:val="auto"/>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扬州中科项目管理有限公司</w:t>
      </w:r>
      <w:r/>
    </w:p>
    <w:p>
      <w:pPr>
        <w:jc w:val="center"/>
        <w:rPr>
          <w:rFonts w:ascii="宋体" w:hAnsi="宋体"/>
          <w:color w:val="auto"/>
          <w:sz w:val="36"/>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4</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07</w:t>
      </w:r>
      <w:r>
        <w:rPr>
          <w:rFonts w:hint="eastAsia" w:ascii="宋体" w:hAnsi="宋体"/>
          <w:color w:val="auto"/>
          <w:sz w:val="36"/>
          <w:highlight w:val="none"/>
        </w:rPr>
        <w:t xml:space="preserve">月</w:t>
      </w:r>
      <w:r>
        <w:rPr>
          <w:rFonts w:hint="eastAsia" w:ascii="宋体" w:hAnsi="宋体"/>
          <w:color w:val="auto"/>
          <w:sz w:val="36"/>
          <w:highlight w:val="none"/>
          <w:lang w:val="en-US" w:eastAsia="zh-CN"/>
        </w:rPr>
        <w:t xml:space="preserve">15日</w:t>
      </w:r>
      <w:r>
        <w:rPr>
          <w:rFonts w:hint="eastAsia" w:ascii="宋体" w:hAnsi="宋体"/>
          <w:color w:val="auto"/>
          <w:sz w:val="36"/>
          <w:highlight w:val="none"/>
        </w:rPr>
        <w:t xml:space="preserve">  </w:t>
      </w:r>
      <w:r/>
    </w:p>
    <w:p>
      <w:pPr>
        <w:jc w:val="center"/>
        <w:rPr>
          <w:rFonts w:hint="eastAsia"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 录</w:t>
      </w:r>
      <w:r/>
    </w:p>
    <w:p>
      <w:pPr>
        <w:pStyle w:val="884"/>
        <w:tabs>
          <w:tab w:val="right" w:pos="8306" w:leader="dot"/>
        </w:tabs>
        <w:rPr>
          <w:sz w:val="28"/>
          <w:szCs w:val="32"/>
          <w:highlight w:val="none"/>
        </w:rPr>
      </w:pPr>
      <w:r>
        <w:rPr>
          <w:rFonts w:hint="eastAsia" w:ascii="宋体" w:hAnsi="宋体"/>
          <w:color w:val="auto"/>
          <w:sz w:val="52"/>
          <w:szCs w:val="44"/>
          <w:highlight w:val="none"/>
        </w:rPr>
        <w:fldChar w:fldCharType="begin"/>
      </w:r>
      <w:r>
        <w:rPr>
          <w:rFonts w:hint="eastAsia" w:ascii="宋体" w:hAnsi="宋体"/>
          <w:color w:val="auto"/>
          <w:sz w:val="52"/>
          <w:szCs w:val="44"/>
          <w:highlight w:val="none"/>
        </w:rPr>
        <w:instrText xml:space="preserve"> TOC \o "1-3" \f </w:instrText>
      </w:r>
      <w:r>
        <w:rPr>
          <w:rFonts w:hint="eastAsia" w:ascii="宋体" w:hAnsi="宋体"/>
          <w:color w:val="auto"/>
          <w:sz w:val="52"/>
          <w:szCs w:val="44"/>
          <w:highlight w:val="none"/>
        </w:rPr>
        <w:fldChar w:fldCharType="separate"/>
      </w:r>
      <w:r>
        <w:rPr>
          <w:rFonts w:hint="eastAsia" w:ascii="宋体" w:hAnsi="宋体"/>
          <w:color w:val="auto"/>
          <w:sz w:val="28"/>
          <w:szCs w:val="48"/>
          <w:highlight w:val="none"/>
        </w:rPr>
        <w:t xml:space="preserve">第一章 招标公告</w:t>
      </w:r>
      <w:r>
        <w:rPr>
          <w:sz w:val="28"/>
          <w:szCs w:val="32"/>
          <w:highlight w:val="none"/>
        </w:rPr>
        <w:tab/>
      </w:r>
      <w:r>
        <w:rPr>
          <w:sz w:val="28"/>
          <w:szCs w:val="32"/>
          <w:highlight w:val="none"/>
        </w:rPr>
        <w:fldChar w:fldCharType="begin"/>
      </w:r>
      <w:r>
        <w:rPr>
          <w:sz w:val="28"/>
          <w:szCs w:val="32"/>
          <w:highlight w:val="none"/>
        </w:rPr>
        <w:instrText xml:space="preserve"> PAGEREF _Toc27833 \h </w:instrText>
      </w:r>
      <w:r>
        <w:rPr>
          <w:sz w:val="28"/>
          <w:szCs w:val="32"/>
          <w:highlight w:val="none"/>
        </w:rPr>
        <w:fldChar w:fldCharType="separate"/>
      </w:r>
      <w:r>
        <w:rPr>
          <w:sz w:val="28"/>
          <w:szCs w:val="32"/>
          <w:highlight w:val="none"/>
        </w:rPr>
        <w:t xml:space="preserve">3</w:t>
      </w:r>
      <w:r>
        <w:rPr>
          <w:sz w:val="28"/>
          <w:szCs w:val="32"/>
          <w:highlight w:val="none"/>
        </w:rPr>
        <w:fldChar w:fldCharType="end"/>
      </w:r>
      <w:r/>
    </w:p>
    <w:p>
      <w:pPr>
        <w:pStyle w:val="884"/>
        <w:tabs>
          <w:tab w:val="right" w:pos="8306" w:leader="dot"/>
        </w:tabs>
        <w:rPr>
          <w:sz w:val="28"/>
          <w:szCs w:val="32"/>
          <w:highlight w:val="none"/>
        </w:rPr>
      </w:pPr>
      <w:r>
        <w:rPr>
          <w:rFonts w:hint="eastAsia" w:ascii="宋体" w:hAnsi="宋体"/>
          <w:color w:val="auto"/>
          <w:sz w:val="28"/>
          <w:szCs w:val="48"/>
          <w:highlight w:val="none"/>
        </w:rPr>
        <w:t xml:space="preserve">第二章 投标人须知</w:t>
      </w:r>
      <w:r>
        <w:rPr>
          <w:sz w:val="28"/>
          <w:szCs w:val="32"/>
          <w:highlight w:val="none"/>
        </w:rPr>
        <w:tab/>
      </w:r>
      <w:r>
        <w:rPr>
          <w:sz w:val="28"/>
          <w:szCs w:val="32"/>
          <w:highlight w:val="none"/>
        </w:rPr>
        <w:fldChar w:fldCharType="begin"/>
      </w:r>
      <w:r>
        <w:rPr>
          <w:sz w:val="28"/>
          <w:szCs w:val="32"/>
          <w:highlight w:val="none"/>
        </w:rPr>
        <w:instrText xml:space="preserve"> PAGEREF _Toc13312 \h </w:instrText>
      </w:r>
      <w:r>
        <w:rPr>
          <w:sz w:val="28"/>
          <w:szCs w:val="32"/>
          <w:highlight w:val="none"/>
        </w:rPr>
        <w:fldChar w:fldCharType="separate"/>
      </w:r>
      <w:r>
        <w:rPr>
          <w:sz w:val="28"/>
          <w:szCs w:val="32"/>
          <w:highlight w:val="none"/>
        </w:rPr>
        <w:t xml:space="preserve">7</w:t>
      </w:r>
      <w:r>
        <w:rPr>
          <w:sz w:val="28"/>
          <w:szCs w:val="32"/>
          <w:highlight w:val="none"/>
        </w:rPr>
        <w:fldChar w:fldCharType="end"/>
      </w:r>
      <w:r/>
    </w:p>
    <w:p>
      <w:pPr>
        <w:pStyle w:val="884"/>
        <w:tabs>
          <w:tab w:val="right" w:pos="8306" w:leader="dot"/>
        </w:tabs>
        <w:rPr>
          <w:sz w:val="28"/>
          <w:szCs w:val="32"/>
          <w:highlight w:val="none"/>
        </w:rPr>
      </w:pPr>
      <w:r>
        <w:rPr>
          <w:rFonts w:hint="eastAsia" w:ascii="宋体" w:hAnsi="宋体"/>
          <w:color w:val="auto"/>
          <w:sz w:val="28"/>
          <w:szCs w:val="48"/>
          <w:highlight w:val="none"/>
        </w:rPr>
        <w:t xml:space="preserve">第三章 合同条款及格式</w:t>
      </w:r>
      <w:r>
        <w:rPr>
          <w:sz w:val="28"/>
          <w:szCs w:val="32"/>
          <w:highlight w:val="none"/>
        </w:rPr>
        <w:tab/>
      </w:r>
      <w:r>
        <w:rPr>
          <w:sz w:val="28"/>
          <w:szCs w:val="32"/>
          <w:highlight w:val="none"/>
        </w:rPr>
        <w:fldChar w:fldCharType="begin"/>
      </w:r>
      <w:r>
        <w:rPr>
          <w:sz w:val="28"/>
          <w:szCs w:val="32"/>
          <w:highlight w:val="none"/>
        </w:rPr>
        <w:instrText xml:space="preserve"> PAGEREF _Toc30792 \h </w:instrText>
      </w:r>
      <w:r>
        <w:rPr>
          <w:sz w:val="28"/>
          <w:szCs w:val="32"/>
          <w:highlight w:val="none"/>
        </w:rPr>
        <w:fldChar w:fldCharType="separate"/>
      </w:r>
      <w:r>
        <w:rPr>
          <w:sz w:val="28"/>
          <w:szCs w:val="32"/>
          <w:highlight w:val="none"/>
        </w:rPr>
        <w:t xml:space="preserve">18</w:t>
      </w:r>
      <w:r>
        <w:rPr>
          <w:sz w:val="28"/>
          <w:szCs w:val="32"/>
          <w:highlight w:val="none"/>
        </w:rPr>
        <w:fldChar w:fldCharType="end"/>
      </w:r>
      <w:r/>
    </w:p>
    <w:p>
      <w:pPr>
        <w:pStyle w:val="884"/>
        <w:tabs>
          <w:tab w:val="right" w:pos="8306" w:leader="dot"/>
        </w:tabs>
        <w:rPr>
          <w:sz w:val="28"/>
          <w:szCs w:val="32"/>
          <w:highlight w:val="none"/>
        </w:rPr>
      </w:pPr>
      <w:r>
        <w:rPr>
          <w:rFonts w:hint="eastAsia" w:ascii="宋体" w:hAnsi="宋体"/>
          <w:color w:val="auto"/>
          <w:sz w:val="28"/>
          <w:szCs w:val="32"/>
          <w:highlight w:val="none"/>
        </w:rPr>
        <w:t xml:space="preserve">第四章 项目需求</w:t>
      </w:r>
      <w:r>
        <w:rPr>
          <w:sz w:val="28"/>
          <w:szCs w:val="32"/>
          <w:highlight w:val="none"/>
        </w:rPr>
        <w:tab/>
      </w:r>
      <w:r>
        <w:rPr>
          <w:sz w:val="28"/>
          <w:szCs w:val="32"/>
          <w:highlight w:val="none"/>
        </w:rPr>
        <w:fldChar w:fldCharType="begin"/>
      </w:r>
      <w:r>
        <w:rPr>
          <w:sz w:val="28"/>
          <w:szCs w:val="32"/>
          <w:highlight w:val="none"/>
        </w:rPr>
        <w:instrText xml:space="preserve"> PAGEREF _Toc14408 \h </w:instrText>
      </w:r>
      <w:r>
        <w:rPr>
          <w:sz w:val="28"/>
          <w:szCs w:val="32"/>
          <w:highlight w:val="none"/>
        </w:rPr>
        <w:fldChar w:fldCharType="separate"/>
      </w:r>
      <w:r>
        <w:rPr>
          <w:sz w:val="28"/>
          <w:szCs w:val="32"/>
          <w:highlight w:val="none"/>
        </w:rPr>
        <w:t xml:space="preserve">23</w:t>
      </w:r>
      <w:r>
        <w:rPr>
          <w:sz w:val="28"/>
          <w:szCs w:val="32"/>
          <w:highlight w:val="none"/>
        </w:rPr>
        <w:fldChar w:fldCharType="end"/>
      </w:r>
      <w:r/>
    </w:p>
    <w:p>
      <w:pPr>
        <w:pStyle w:val="884"/>
        <w:tabs>
          <w:tab w:val="right" w:pos="8306" w:leader="dot"/>
        </w:tabs>
        <w:rPr>
          <w:sz w:val="28"/>
          <w:szCs w:val="32"/>
          <w:highlight w:val="none"/>
        </w:rPr>
      </w:pPr>
      <w:r>
        <w:rPr>
          <w:rFonts w:hint="eastAsia" w:ascii="宋体" w:hAnsi="宋体"/>
          <w:color w:val="auto"/>
          <w:sz w:val="28"/>
          <w:szCs w:val="32"/>
          <w:highlight w:val="none"/>
        </w:rPr>
        <w:t xml:space="preserve">第五章 评标方法及评标标准</w:t>
      </w:r>
      <w:r>
        <w:rPr>
          <w:sz w:val="28"/>
          <w:szCs w:val="32"/>
          <w:highlight w:val="none"/>
        </w:rPr>
        <w:tab/>
      </w:r>
      <w:r>
        <w:rPr>
          <w:sz w:val="28"/>
          <w:szCs w:val="32"/>
          <w:highlight w:val="none"/>
        </w:rPr>
        <w:fldChar w:fldCharType="begin"/>
      </w:r>
      <w:r>
        <w:rPr>
          <w:sz w:val="28"/>
          <w:szCs w:val="32"/>
          <w:highlight w:val="none"/>
        </w:rPr>
        <w:instrText xml:space="preserve"> PAGEREF _Toc46 \h </w:instrText>
      </w:r>
      <w:r>
        <w:rPr>
          <w:sz w:val="28"/>
          <w:szCs w:val="32"/>
          <w:highlight w:val="none"/>
        </w:rPr>
        <w:fldChar w:fldCharType="separate"/>
      </w:r>
      <w:r>
        <w:rPr>
          <w:sz w:val="28"/>
          <w:szCs w:val="32"/>
          <w:highlight w:val="none"/>
        </w:rPr>
        <w:t xml:space="preserve">27</w:t>
      </w:r>
      <w:r>
        <w:rPr>
          <w:sz w:val="28"/>
          <w:szCs w:val="32"/>
          <w:highlight w:val="none"/>
        </w:rPr>
        <w:fldChar w:fldCharType="end"/>
      </w:r>
      <w:r/>
    </w:p>
    <w:p>
      <w:pPr>
        <w:pStyle w:val="884"/>
        <w:tabs>
          <w:tab w:val="right" w:pos="8306" w:leader="dot"/>
        </w:tabs>
        <w:rPr>
          <w:sz w:val="28"/>
          <w:szCs w:val="32"/>
          <w:highlight w:val="none"/>
        </w:rPr>
      </w:pPr>
      <w:r>
        <w:rPr>
          <w:rFonts w:hint="eastAsia" w:ascii="宋体" w:hAnsi="宋体"/>
          <w:color w:val="auto"/>
          <w:sz w:val="28"/>
          <w:szCs w:val="32"/>
          <w:highlight w:val="none"/>
        </w:rPr>
        <w:t xml:space="preserve">第六章 投标文件格式</w:t>
      </w:r>
      <w:r>
        <w:rPr>
          <w:sz w:val="28"/>
          <w:szCs w:val="32"/>
          <w:highlight w:val="none"/>
        </w:rPr>
        <w:tab/>
      </w:r>
      <w:r>
        <w:rPr>
          <w:sz w:val="28"/>
          <w:szCs w:val="32"/>
          <w:highlight w:val="none"/>
        </w:rPr>
        <w:fldChar w:fldCharType="begin"/>
      </w:r>
      <w:r>
        <w:rPr>
          <w:sz w:val="28"/>
          <w:szCs w:val="32"/>
          <w:highlight w:val="none"/>
        </w:rPr>
        <w:instrText xml:space="preserve"> PAGEREF _Toc17789 \h </w:instrText>
      </w:r>
      <w:r>
        <w:rPr>
          <w:sz w:val="28"/>
          <w:szCs w:val="32"/>
          <w:highlight w:val="none"/>
        </w:rPr>
        <w:fldChar w:fldCharType="separate"/>
      </w:r>
      <w:r>
        <w:rPr>
          <w:sz w:val="28"/>
          <w:szCs w:val="32"/>
          <w:highlight w:val="none"/>
        </w:rPr>
        <w:t xml:space="preserve">32</w:t>
      </w:r>
      <w:r>
        <w:rPr>
          <w:sz w:val="28"/>
          <w:szCs w:val="32"/>
          <w:highlight w:val="none"/>
        </w:rPr>
        <w:fldChar w:fldCharType="end"/>
      </w:r>
      <w:r/>
    </w:p>
    <w:p>
      <w:pPr>
        <w:rPr>
          <w:rFonts w:ascii="宋体" w:hAnsi="宋体"/>
          <w:color w:val="auto"/>
          <w:sz w:val="40"/>
          <w:szCs w:val="32"/>
          <w:highlight w:val="none"/>
        </w:rPr>
      </w:pPr>
      <w:r>
        <w:rPr>
          <w:rFonts w:hint="eastAsia" w:ascii="宋体" w:hAnsi="宋体"/>
          <w:color w:val="auto"/>
          <w:sz w:val="28"/>
          <w:szCs w:val="44"/>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870"/>
        <w:jc w:val="center"/>
        <w:rPr>
          <w:rFonts w:ascii="宋体" w:hAnsi="宋体"/>
          <w:color w:val="auto"/>
          <w:szCs w:val="36"/>
          <w:highlight w:val="none"/>
        </w:rPr>
      </w:pPr>
      <w:r/>
      <w:bookmarkStart w:id="0" w:name="_Toc55204177"/>
      <w:r/>
      <w:bookmarkStart w:id="1" w:name="_Toc27833"/>
      <w:r>
        <w:rPr>
          <w:rFonts w:hint="eastAsia" w:ascii="宋体" w:hAnsi="宋体"/>
          <w:color w:val="auto"/>
          <w:szCs w:val="36"/>
          <w:highlight w:val="none"/>
        </w:rPr>
        <w:t xml:space="preserve">第一章 招标公告</w:t>
      </w:r>
      <w:bookmarkEnd w:id="0"/>
      <w:r/>
      <w:bookmarkEnd w:id="1"/>
      <w:r/>
      <w:r/>
    </w:p>
    <w:p>
      <w:pPr>
        <w:ind w:firstLine="420"/>
        <w:jc w:val="left"/>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受扬州市平山乡人民政府的委托，</w:t>
      </w:r>
      <w:r>
        <w:rPr>
          <w:rFonts w:hint="eastAsia" w:ascii="宋体" w:hAnsi="宋体" w:eastAsia="宋体" w:cs="宋体"/>
          <w:color w:val="auto"/>
          <w:highlight w:val="none"/>
          <w:lang w:eastAsia="zh-CN"/>
        </w:rPr>
        <w:t xml:space="preserve">扬州中科项目管理有限公司</w:t>
      </w:r>
      <w:r>
        <w:rPr>
          <w:rFonts w:hint="eastAsia" w:ascii="宋体" w:hAnsi="宋体" w:eastAsia="宋体" w:cs="宋体"/>
          <w:color w:val="auto"/>
          <w:highlight w:val="none"/>
        </w:rPr>
        <w:t xml:space="preserve">就</w:t>
      </w:r>
      <w:r>
        <w:rPr>
          <w:rFonts w:hint="eastAsia" w:ascii="宋体" w:hAnsi="宋体" w:eastAsia="宋体" w:cs="宋体"/>
          <w:color w:val="auto"/>
          <w:highlight w:val="none"/>
          <w:lang w:eastAsia="zh-CN"/>
        </w:rPr>
        <w:t xml:space="preserve">扬州市平山乡2024年居家养老服务项目</w:t>
      </w:r>
      <w:r>
        <w:rPr>
          <w:rFonts w:hint="eastAsia" w:ascii="宋体" w:hAnsi="宋体" w:eastAsia="宋体" w:cs="宋体"/>
          <w:color w:val="auto"/>
          <w:highlight w:val="none"/>
        </w:rPr>
        <w:t xml:space="preserve">进行公开招标采购，欢迎符合条件的供应商投标。</w:t>
      </w:r>
      <w:r/>
    </w:p>
    <w:p>
      <w:pPr>
        <w:ind w:firstLine="422"/>
        <w:jc w:val="left"/>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jc w:val="left"/>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lang w:eastAsia="zh-CN"/>
        </w:rPr>
        <w:t xml:space="preserve">扬州市平山乡2024年居家养老服务项目</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u w:val="single"/>
          <w:lang w:eastAsia="zh-CN"/>
        </w:rPr>
        <w:t xml:space="preserve">“扬州市政府采购网”、“江苏省政府采购网”、“中国政府采购网”</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lang w:eastAsia="zh-CN"/>
        </w:rPr>
        <w:t xml:space="preserve">202</w:t>
      </w:r>
      <w:r>
        <w:rPr>
          <w:rFonts w:hint="eastAsia" w:ascii="宋体" w:hAnsi="宋体" w:eastAsia="宋体" w:cs="宋体"/>
          <w:bCs/>
          <w:color w:val="auto"/>
          <w:highlight w:val="none"/>
          <w:u w:val="single"/>
          <w:lang w:val="en-US" w:eastAsia="zh-CN"/>
        </w:rPr>
        <w:t xml:space="preserve">4</w:t>
      </w:r>
      <w:r>
        <w:rPr>
          <w:rFonts w:hint="eastAsia" w:ascii="宋体" w:hAnsi="宋体" w:eastAsia="宋体" w:cs="宋体"/>
          <w:bCs/>
          <w:color w:val="auto"/>
          <w:highlight w:val="none"/>
          <w:u w:val="single"/>
          <w:lang w:eastAsia="zh-CN"/>
        </w:rPr>
        <w:t xml:space="preserve">年</w:t>
      </w:r>
      <w:r>
        <w:rPr>
          <w:rFonts w:hint="eastAsia" w:ascii="宋体" w:hAnsi="宋体" w:eastAsia="宋体" w:cs="宋体"/>
          <w:bCs/>
          <w:color w:val="auto"/>
          <w:highlight w:val="none"/>
          <w:u w:val="single"/>
          <w:lang w:val="en-US" w:eastAsia="zh-CN"/>
        </w:rPr>
        <w:t xml:space="preserve">08</w:t>
      </w:r>
      <w:r>
        <w:rPr>
          <w:rFonts w:hint="eastAsia" w:ascii="宋体" w:hAnsi="宋体" w:eastAsia="宋体" w:cs="宋体"/>
          <w:bCs/>
          <w:color w:val="auto"/>
          <w:highlight w:val="none"/>
          <w:u w:val="single"/>
          <w:lang w:eastAsia="zh-CN"/>
        </w:rPr>
        <w:t xml:space="preserve">月</w:t>
      </w:r>
      <w:r>
        <w:rPr>
          <w:rFonts w:hint="eastAsia" w:ascii="宋体" w:hAnsi="宋体" w:eastAsia="宋体" w:cs="宋体"/>
          <w:bCs/>
          <w:color w:val="auto"/>
          <w:highlight w:val="none"/>
          <w:u w:val="single"/>
          <w:lang w:val="en-US" w:eastAsia="zh-CN"/>
        </w:rPr>
        <w:t xml:space="preserve">05</w:t>
      </w:r>
      <w:r>
        <w:rPr>
          <w:rFonts w:hint="eastAsia" w:ascii="宋体" w:hAnsi="宋体" w:eastAsia="宋体" w:cs="宋体"/>
          <w:bCs/>
          <w:color w:val="auto"/>
          <w:highlight w:val="none"/>
          <w:u w:val="single"/>
          <w:lang w:eastAsia="zh-CN"/>
        </w:rPr>
        <w:t xml:space="preserve">日</w:t>
      </w:r>
      <w:r>
        <w:rPr>
          <w:rFonts w:hint="eastAsia" w:ascii="宋体" w:hAnsi="宋体" w:eastAsia="宋体" w:cs="宋体"/>
          <w:bCs/>
          <w:color w:val="auto"/>
          <w:highlight w:val="none"/>
          <w:u w:val="single"/>
          <w:lang w:val="en-US" w:eastAsia="zh-CN"/>
        </w:rPr>
        <w:t xml:space="preserve">14:30分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jc w:val="left"/>
        <w:spacing w:line="360" w:lineRule="auto"/>
        <w:tabs>
          <w:tab w:val="left" w:pos="266" w:leader="none"/>
        </w:tabs>
        <w:rPr>
          <w:rFonts w:hint="eastAsia" w:ascii="宋体" w:hAnsi="宋体" w:eastAsia="宋体" w:cs="宋体"/>
          <w:b/>
          <w:bCs/>
          <w:color w:val="auto"/>
          <w:highlight w:val="none"/>
        </w:rPr>
      </w:pPr>
      <w:r/>
      <w:bookmarkStart w:id="2" w:name="_Toc35393621"/>
      <w:r/>
      <w:bookmarkStart w:id="3" w:name="_Toc28359079"/>
      <w:r/>
      <w:bookmarkStart w:id="4" w:name="_Toc28359002"/>
      <w:r/>
      <w:bookmarkStart w:id="5" w:name="_Toc35393790"/>
      <w:r/>
      <w:bookmarkStart w:id="6" w:name="_Toc38985263"/>
      <w:r/>
      <w:bookmarkStart w:id="7" w:name="_Hlk24379207"/>
      <w:r>
        <w:rPr>
          <w:rFonts w:hint="eastAsia" w:ascii="宋体" w:hAnsi="宋体" w:eastAsia="宋体" w:cs="宋体"/>
          <w:b/>
          <w:bCs/>
          <w:color w:val="auto"/>
          <w:highlight w:val="none"/>
        </w:rPr>
        <w:t xml:space="preserve">一、项目基本情况</w:t>
      </w:r>
      <w:bookmarkEnd w:id="2"/>
      <w:r/>
      <w:bookmarkEnd w:id="3"/>
      <w:r/>
      <w:bookmarkEnd w:id="4"/>
      <w:r/>
      <w:bookmarkEnd w:id="5"/>
      <w:r/>
      <w:bookmarkEnd w:id="6"/>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1.项目编号：JSZC-321092-YZZK-G2024-0005</w:t>
      </w:r>
      <w:r>
        <w:rPr>
          <w:rFonts w:hint="eastAsia" w:ascii="宋体" w:hAnsi="宋体" w:eastAsia="宋体" w:cs="宋体"/>
          <w:color w:val="auto"/>
          <w:highlight w:val="none"/>
          <w:lang w:val="en-US" w:eastAsia="zh-CN"/>
        </w:rPr>
        <w:t xml:space="preserve">号 </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扬州市平山乡2024年居家养老服务项目</w:t>
      </w:r>
      <w:bookmarkEnd w:id="7"/>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3.预算金额：100万元</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eastAsia="宋体" w:cs="宋体"/>
          <w:color w:val="auto"/>
          <w:szCs w:val="21"/>
          <w:highlight w:val="none"/>
        </w:rPr>
        <w:t xml:space="preserve">人民币30元/小时 (含服务费、管理费、服务人员交通费及通讯费等) ，最后报价超过最高限价的为无效报价，按照无效响应处理。</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5.采购需求：见招标文件第四章</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6.合同履行期限：见招标文件第四章</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联合体投标。</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进口产品投标。</w:t>
      </w:r>
      <w:r/>
    </w:p>
    <w:p>
      <w:pPr>
        <w:jc w:val="left"/>
        <w:spacing w:line="360" w:lineRule="auto"/>
        <w:tabs>
          <w:tab w:val="left" w:pos="266" w:leader="none"/>
        </w:tabs>
        <w:rPr>
          <w:rFonts w:hint="eastAsia" w:ascii="宋体" w:hAnsi="宋体" w:eastAsia="宋体" w:cs="宋体"/>
          <w:b/>
          <w:bCs/>
          <w:color w:val="auto"/>
          <w:highlight w:val="none"/>
        </w:rPr>
      </w:pPr>
      <w:r/>
      <w:bookmarkStart w:id="8" w:name="_Toc38985264"/>
      <w:r/>
      <w:bookmarkStart w:id="9" w:name="_Toc35393791"/>
      <w:r/>
      <w:bookmarkStart w:id="10" w:name="_Toc28359080"/>
      <w:r/>
      <w:bookmarkStart w:id="11" w:name="_Toc28359003"/>
      <w:r/>
      <w:bookmarkStart w:id="12" w:name="_Toc35393622"/>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jc w:val="left"/>
        <w:spacing w:line="360" w:lineRule="auto"/>
        <w:rPr>
          <w:rFonts w:hint="eastAsia" w:ascii="宋体" w:hAnsi="宋体" w:eastAsia="宋体" w:cs="宋体"/>
          <w:color w:val="auto"/>
          <w:szCs w:val="21"/>
          <w:highlight w:val="none"/>
        </w:rPr>
      </w:pPr>
      <w:r/>
      <w:bookmarkStart w:id="13" w:name="_Toc35393623"/>
      <w:r/>
      <w:bookmarkStart w:id="14" w:name="_Toc28359004"/>
      <w:r/>
      <w:bookmarkStart w:id="15" w:name="_Toc35393792"/>
      <w:r/>
      <w:bookmarkStart w:id="16" w:name="_Toc28359081"/>
      <w:r/>
      <w:bookmarkStart w:id="17" w:name="_Toc38985265"/>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jc w:val="left"/>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jc w:val="left"/>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jc w:val="left"/>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投标人近三个月内任意一份依法纳税的缴款凭证</w:t>
      </w:r>
      <w:r>
        <w:rPr>
          <w:rFonts w:hint="eastAsia" w:ascii="宋体" w:hAnsi="宋体" w:eastAsia="宋体" w:cs="宋体"/>
          <w:b/>
          <w:bCs/>
          <w:i/>
          <w:iCs/>
          <w:color w:val="auto"/>
          <w:szCs w:val="21"/>
          <w:highlight w:val="none"/>
          <w:u w:val="single"/>
        </w:rPr>
        <w:t xml:space="preserve">（投标人依法享受缓缴、免缴的提供证明材料）</w:t>
      </w:r>
      <w:r/>
    </w:p>
    <w:p>
      <w:pPr>
        <w:ind w:firstLine="420"/>
        <w:jc w:val="left"/>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jc w:val="left"/>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jc w:val="left"/>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jc w:val="left"/>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1.8供应商信用承诺函</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i/>
          <w:iCs/>
          <w:color w:val="auto"/>
          <w:szCs w:val="21"/>
          <w:highlight w:val="none"/>
          <w:u w:val="single"/>
        </w:rPr>
        <w:t xml:space="preserve">根据《政府采购促进中小企业发展管理办法》的规定，本项目专门面向中小企业采购，供应商响应时须提供《中小企业申明函》，《中小企业申明函》不符合要求或未提供的，响应文件无效。</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3.本项目的特定资格要求：</w:t>
      </w:r>
      <w:r>
        <w:rPr>
          <w:rFonts w:hint="eastAsia" w:ascii="宋体" w:hAnsi="宋体" w:eastAsia="宋体" w:cs="宋体"/>
          <w:i/>
          <w:iCs/>
          <w:color w:val="auto"/>
          <w:szCs w:val="21"/>
          <w:highlight w:val="none"/>
          <w:u w:val="single"/>
          <w:lang w:val="en-US" w:eastAsia="zh-CN"/>
        </w:rPr>
        <w:t xml:space="preserve">无</w:t>
      </w:r>
      <w:r/>
    </w:p>
    <w:p>
      <w:pPr>
        <w:jc w:val="left"/>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420"/>
        <w:jc w:val="left"/>
        <w:spacing w:line="360" w:lineRule="auto"/>
        <w:rPr>
          <w:rFonts w:hint="eastAsia" w:ascii="宋体" w:hAnsi="宋体" w:eastAsia="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（3）“CA数字证书”的办理材料以及供应商操作手册详见：http：//zfcg.yangzhou.gov.cn/zfcg/xzzx/202309/4d7de1f7865f4a2894fc22bc452f94d8.shtml。</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（4）潜在供应商访问“苏采云”系统的网络地址和方法：“苏采云”系统的网址：http：//jszfcg.jsczt.cn/。</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     </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jc w:val="left"/>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8"/>
      <w:r/>
      <w:bookmarkEnd w:id="19"/>
      <w:r>
        <w:rPr>
          <w:rFonts w:hint="eastAsia" w:ascii="宋体" w:hAnsi="宋体" w:eastAsia="宋体" w:cs="宋体"/>
          <w:b/>
          <w:bCs/>
          <w:color w:val="auto"/>
          <w:highlight w:val="none"/>
        </w:rPr>
        <w:t xml:space="preserve">截止时间、开标时间和地点</w:t>
      </w:r>
      <w:bookmarkEnd w:id="20"/>
      <w:r/>
      <w:bookmarkEnd w:id="21"/>
      <w:r/>
      <w:bookmarkEnd w:id="22"/>
      <w:r/>
      <w:r/>
    </w:p>
    <w:p>
      <w:pPr>
        <w:ind w:firstLine="420"/>
        <w:jc w:val="left"/>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Cs/>
          <w:color w:val="auto"/>
          <w:highlight w:val="none"/>
          <w:u w:val="single"/>
        </w:rPr>
        <w:t xml:space="preserve">202</w:t>
      </w:r>
      <w:r>
        <w:rPr>
          <w:rFonts w:hint="eastAsia" w:ascii="宋体" w:hAnsi="宋体" w:eastAsia="宋体" w:cs="宋体"/>
          <w:bCs/>
          <w:color w:val="auto"/>
          <w:highlight w:val="none"/>
          <w:u w:val="single"/>
          <w:lang w:val="en-US" w:eastAsia="zh-CN"/>
        </w:rPr>
        <w:t xml:space="preserve">4</w:t>
      </w:r>
      <w:r>
        <w:rPr>
          <w:rFonts w:hint="eastAsia" w:ascii="宋体" w:hAnsi="宋体" w:eastAsia="宋体" w:cs="宋体"/>
          <w:bCs/>
          <w:color w:val="auto"/>
          <w:highlight w:val="none"/>
          <w:u w:val="single"/>
        </w:rPr>
        <w:t xml:space="preserve">年</w:t>
      </w:r>
      <w:r>
        <w:rPr>
          <w:rFonts w:hint="eastAsia" w:ascii="宋体" w:hAnsi="宋体" w:eastAsia="宋体" w:cs="宋体"/>
          <w:bCs/>
          <w:color w:val="auto"/>
          <w:highlight w:val="none"/>
          <w:u w:val="single"/>
          <w:lang w:val="en-US" w:eastAsia="zh-CN"/>
        </w:rPr>
        <w:t xml:space="preserve">08</w:t>
      </w:r>
      <w:r>
        <w:rPr>
          <w:rFonts w:hint="eastAsia" w:ascii="宋体" w:hAnsi="宋体" w:eastAsia="宋体" w:cs="宋体"/>
          <w:bCs/>
          <w:color w:val="auto"/>
          <w:highlight w:val="none"/>
          <w:u w:val="single"/>
        </w:rPr>
        <w:t xml:space="preserve">月</w:t>
      </w:r>
      <w:r>
        <w:rPr>
          <w:rFonts w:hint="eastAsia" w:ascii="宋体" w:hAnsi="宋体" w:eastAsia="宋体" w:cs="宋体"/>
          <w:bCs/>
          <w:color w:val="auto"/>
          <w:highlight w:val="none"/>
          <w:u w:val="single"/>
          <w:lang w:val="en-US" w:eastAsia="zh-CN"/>
        </w:rPr>
        <w:t xml:space="preserve">05</w:t>
      </w:r>
      <w:r>
        <w:rPr>
          <w:rFonts w:hint="eastAsia" w:ascii="宋体" w:hAnsi="宋体" w:eastAsia="宋体" w:cs="宋体"/>
          <w:bCs/>
          <w:color w:val="auto"/>
          <w:highlight w:val="none"/>
          <w:u w:val="single"/>
        </w:rPr>
        <w:t xml:space="preserve">日</w:t>
      </w:r>
      <w:r>
        <w:rPr>
          <w:rFonts w:hint="eastAsia" w:ascii="宋体" w:hAnsi="宋体" w:eastAsia="宋体" w:cs="宋体"/>
          <w:bCs/>
          <w:color w:val="auto"/>
          <w:highlight w:val="none"/>
          <w:u w:val="single"/>
          <w:lang w:val="en-US" w:eastAsia="zh-CN"/>
        </w:rPr>
        <w:t xml:space="preserve">14:30分</w:t>
      </w:r>
      <w:r>
        <w:rPr>
          <w:rFonts w:hint="eastAsia" w:ascii="宋体" w:hAnsi="宋体" w:eastAsia="宋体" w:cs="宋体"/>
          <w:bCs/>
          <w:color w:val="auto"/>
          <w:highlight w:val="none"/>
        </w:rPr>
        <w:t xml:space="preserve">（北京时间）</w:t>
      </w:r>
      <w:r/>
    </w:p>
    <w:p>
      <w:pPr>
        <w:ind w:firstLine="420"/>
        <w:jc w:val="left"/>
        <w:spacing w:line="360" w:lineRule="auto"/>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color w:val="auto"/>
          <w:szCs w:val="21"/>
          <w:highlight w:val="none"/>
        </w:rPr>
        <w:t xml:space="preserve">“苏采云”系统（网址：http://jszfcg.jsczt.cn/）“开标大厅”</w:t>
      </w:r>
      <w:r/>
    </w:p>
    <w:p>
      <w:pPr>
        <w:jc w:val="left"/>
        <w:spacing w:line="360" w:lineRule="auto"/>
        <w:tabs>
          <w:tab w:val="left" w:pos="266" w:leader="none"/>
        </w:tabs>
        <w:rPr>
          <w:rFonts w:hint="eastAsia" w:ascii="宋体" w:hAnsi="宋体" w:eastAsia="宋体" w:cs="宋体"/>
          <w:b/>
          <w:bCs/>
          <w:color w:val="auto"/>
          <w:highlight w:val="none"/>
        </w:rPr>
      </w:pPr>
      <w:r/>
      <w:bookmarkStart w:id="23" w:name="_Toc28359084"/>
      <w:r/>
      <w:bookmarkStart w:id="24" w:name="_Toc38985267"/>
      <w:r/>
      <w:bookmarkStart w:id="25" w:name="_Toc35393625"/>
      <w:r/>
      <w:bookmarkStart w:id="26" w:name="_Toc35393794"/>
      <w:r/>
      <w:bookmarkStart w:id="27" w:name="_Toc28359007"/>
      <w:r>
        <w:rPr>
          <w:rFonts w:hint="eastAsia" w:ascii="宋体" w:hAnsi="宋体" w:eastAsia="宋体" w:cs="宋体"/>
          <w:b/>
          <w:bCs/>
          <w:color w:val="auto"/>
          <w:highlight w:val="none"/>
        </w:rPr>
        <w:t xml:space="preserve">五、公告期限</w:t>
      </w:r>
      <w:bookmarkEnd w:id="23"/>
      <w:r/>
      <w:bookmarkEnd w:id="24"/>
      <w:r/>
      <w:bookmarkEnd w:id="25"/>
      <w:r/>
      <w:bookmarkEnd w:id="26"/>
      <w:r/>
      <w:bookmarkEnd w:id="27"/>
      <w:r/>
      <w:r/>
    </w:p>
    <w:p>
      <w:pPr>
        <w:ind w:firstLine="420"/>
        <w:jc w:val="left"/>
        <w:spacing w:line="360" w:lineRule="auto"/>
        <w:rPr>
          <w:rFonts w:hint="eastAsia" w:ascii="宋体" w:hAnsi="宋体" w:eastAsia="宋体" w:cs="宋体"/>
          <w:color w:val="auto"/>
          <w:highlight w:val="none"/>
        </w:rPr>
      </w:pPr>
      <w:r/>
      <w:bookmarkStart w:id="28" w:name="_Toc38985268"/>
      <w:r/>
      <w:bookmarkStart w:id="29" w:name="_Toc35393795"/>
      <w:r/>
      <w:bookmarkStart w:id="30" w:name="_Toc35393626"/>
      <w:r>
        <w:rPr>
          <w:rFonts w:hint="eastAsia" w:ascii="宋体" w:hAnsi="宋体" w:eastAsia="宋体" w:cs="宋体"/>
          <w:color w:val="auto"/>
          <w:highlight w:val="none"/>
        </w:rPr>
        <w:t xml:space="preserve">招标公告及招标文件公告期限为自本公告发布之日起5个工作日。</w:t>
      </w:r>
      <w:r/>
    </w:p>
    <w:p>
      <w:pPr>
        <w:jc w:val="left"/>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28"/>
      <w:r/>
      <w:bookmarkEnd w:id="29"/>
      <w:r/>
      <w:bookmarkEnd w:id="30"/>
      <w:r/>
      <w:r/>
    </w:p>
    <w:p>
      <w:pPr>
        <w:ind w:firstLine="422"/>
        <w:jc w:val="left"/>
        <w:spacing w:line="360" w:lineRule="auto"/>
        <w:rPr>
          <w:rFonts w:hint="eastAsia" w:ascii="宋体" w:hAnsi="宋体" w:eastAsia="宋体" w:cs="宋体"/>
          <w:b/>
          <w:bCs/>
          <w:color w:val="auto"/>
          <w:szCs w:val="21"/>
          <w:highlight w:val="none"/>
        </w:rPr>
      </w:pPr>
      <w:r/>
      <w:bookmarkStart w:id="31" w:name="_Toc35393796"/>
      <w:r/>
      <w:bookmarkStart w:id="32" w:name="_Toc35393627"/>
      <w:r/>
      <w:bookmarkStart w:id="33" w:name="_Toc28359085"/>
      <w:r/>
      <w:bookmarkStart w:id="34" w:name="_Toc28359008"/>
      <w:r/>
      <w:bookmarkStart w:id="35" w:name="_Toc38985269"/>
      <w:r>
        <w:rPr>
          <w:rFonts w:hint="eastAsia" w:ascii="宋体" w:hAnsi="宋体" w:eastAsia="宋体" w:cs="宋体"/>
          <w:b/>
          <w:bCs/>
          <w:color w:val="auto"/>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3.本次招标不收取投标保证金。</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4.潜在供应商对采购文件项目需求部分的询问、质疑请向采购人提出，由采购人负责答复。</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5.有关本次招标的事项若存在变动或修改，敬请及时关注“扬州市政府采购网”和“江苏省政府采购网”、“中国政府采购网”发布的信息。</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6.本项目招标文件中所有斜体下划线部分为实质性条款，如不满足，则为无效投标。</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8.落实好政府采购履约资金扶持政策。中标/成交供应商可凭政府采购合同办理融资贷款，详见江苏政府采购网“政采贷”专栏。”</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9.严格执行政府采购关于支持</w:t>
      </w:r>
      <w:r>
        <w:rPr>
          <w:rFonts w:hint="eastAsia" w:ascii="宋体" w:hAnsi="宋体" w:eastAsia="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10.供应商对于投标产品的包装应按照“财办库〔2020〕123号《关于印发《商品包装政府采购需求标准（试行）》、《快递包装政府采购需求标准（试行）》的通知》”执行。</w:t>
      </w:r>
      <w:r/>
    </w:p>
    <w:p>
      <w:pPr>
        <w:jc w:val="left"/>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rPr>
          <w:rFonts w:hint="eastAsia" w:ascii="宋体" w:hAnsi="宋体" w:eastAsia="宋体" w:cs="宋体"/>
          <w:color w:val="auto"/>
          <w:szCs w:val="21"/>
          <w:highlight w:val="none"/>
        </w:rPr>
      </w:pPr>
      <w:r/>
      <w:bookmarkStart w:id="36" w:name="_Toc28359096"/>
      <w:r/>
      <w:bookmarkStart w:id="37" w:name="_Toc35393637"/>
      <w:r/>
      <w:bookmarkStart w:id="38" w:name="_Toc35393806"/>
      <w:r/>
      <w:bookmarkStart w:id="39" w:name="_Toc28359019"/>
      <w:r/>
      <w:bookmarkStart w:id="40" w:name="_Toc28359010"/>
      <w:r/>
      <w:bookmarkStart w:id="41" w:name="_Toc28359087"/>
      <w:r>
        <w:rPr>
          <w:rFonts w:hint="eastAsia" w:ascii="宋体" w:hAnsi="宋体" w:eastAsia="宋体" w:cs="宋体"/>
          <w:color w:val="auto"/>
          <w:szCs w:val="21"/>
          <w:highlight w:val="none"/>
        </w:rPr>
        <w:t xml:space="preserve">1.采购人信息</w:t>
      </w:r>
      <w:bookmarkEnd w:id="36"/>
      <w:r/>
      <w:bookmarkEnd w:id="37"/>
      <w:r/>
      <w:bookmarkEnd w:id="38"/>
      <w:r/>
      <w:bookmarkEnd w:id="39"/>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称：扬州市平山乡人民政府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址：扬州市瘦西湖路598号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bookmarkStart w:id="42" w:name="_Toc35393807"/>
      <w:r/>
      <w:bookmarkStart w:id="43" w:name="_Toc28359097"/>
      <w:r/>
      <w:bookmarkStart w:id="44" w:name="_Toc28359020"/>
      <w:r/>
      <w:bookmarkStart w:id="45" w:name="_Toc35393638"/>
      <w:r>
        <w:rPr>
          <w:rFonts w:hint="eastAsia" w:ascii="宋体" w:hAnsi="宋体" w:eastAsia="宋体" w:cs="宋体"/>
          <w:color w:val="auto"/>
          <w:szCs w:val="21"/>
          <w:highlight w:val="none"/>
        </w:rPr>
        <w:t xml:space="preserve">朱荣英 0514-87639481</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42"/>
      <w:r/>
      <w:bookmarkEnd w:id="43"/>
      <w:r/>
      <w:bookmarkEnd w:id="44"/>
      <w:r/>
      <w:bookmarkEnd w:id="45"/>
      <w:r>
        <w:rPr>
          <w:rFonts w:hint="eastAsia" w:ascii="宋体" w:hAnsi="宋体" w:eastAsia="宋体" w:cs="宋体"/>
          <w:color w:val="auto"/>
          <w:szCs w:val="21"/>
          <w:highlight w:val="none"/>
        </w:rPr>
        <w:t xml:space="preserve"> </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扬州中科项目管理有限公司</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址：扬州市邗江区邗江中路553号六楼</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联系方式：18252755855</w:t>
      </w:r>
      <w:r/>
    </w:p>
    <w:p>
      <w:pPr>
        <w:ind w:firstLine="420"/>
        <w:jc w:val="left"/>
        <w:spacing w:line="360" w:lineRule="auto"/>
        <w:rPr>
          <w:rFonts w:hint="eastAsia" w:ascii="宋体" w:hAnsi="宋体" w:eastAsia="宋体" w:cs="宋体"/>
          <w:color w:val="auto"/>
          <w:szCs w:val="21"/>
          <w:highlight w:val="none"/>
        </w:rPr>
      </w:pPr>
      <w:r/>
      <w:bookmarkStart w:id="46" w:name="_Toc35393808"/>
      <w:r/>
      <w:bookmarkStart w:id="47" w:name="_Toc35393639"/>
      <w:r/>
      <w:bookmarkStart w:id="48" w:name="_Toc28359021"/>
      <w:r/>
      <w:bookmarkStart w:id="49" w:name="_Toc28359098"/>
      <w:r>
        <w:rPr>
          <w:rFonts w:hint="eastAsia" w:ascii="宋体" w:hAnsi="宋体" w:eastAsia="宋体" w:cs="宋体"/>
          <w:color w:val="auto"/>
          <w:szCs w:val="21"/>
          <w:highlight w:val="none"/>
        </w:rPr>
        <w:t xml:space="preserve">3.项目联系方式</w:t>
      </w:r>
      <w:bookmarkEnd w:id="46"/>
      <w:r/>
      <w:bookmarkEnd w:id="47"/>
      <w:r/>
      <w:bookmarkEnd w:id="48"/>
      <w:r/>
      <w:bookmarkEnd w:id="49"/>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项目联系人：王涛</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话：18252755855</w:t>
      </w:r>
      <w:bookmarkEnd w:id="40"/>
      <w:r/>
      <w:bookmarkEnd w:id="41"/>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rPr>
          <w:highlight w:val="none"/>
        </w:rPr>
      </w:pPr>
      <w:r>
        <w:rPr>
          <w:highlight w:val="none"/>
        </w:rPr>
      </w:r>
      <w:r/>
    </w:p>
    <w:p>
      <w:pPr>
        <w:rPr>
          <w:color w:val="auto"/>
          <w:highlight w:val="none"/>
        </w:rPr>
      </w:pPr>
      <w:r>
        <w:rPr>
          <w:color w:val="auto"/>
          <w:highlight w:val="none"/>
        </w:rPr>
      </w:r>
      <w:r/>
    </w:p>
    <w:p>
      <w:pPr>
        <w:pStyle w:val="870"/>
        <w:jc w:val="center"/>
        <w:rPr>
          <w:rFonts w:ascii="宋体" w:hAnsi="宋体"/>
          <w:color w:val="auto"/>
          <w:szCs w:val="36"/>
          <w:highlight w:val="none"/>
        </w:rPr>
      </w:pPr>
      <w:r/>
      <w:bookmarkStart w:id="50" w:name="_Toc13312"/>
      <w:r/>
      <w:bookmarkStart w:id="51" w:name="_Toc55204178"/>
      <w:r>
        <w:rPr>
          <w:rFonts w:hint="eastAsia" w:ascii="宋体" w:hAnsi="宋体"/>
          <w:color w:val="auto"/>
          <w:szCs w:val="36"/>
          <w:highlight w:val="none"/>
        </w:rPr>
        <w:t xml:space="preserve">第二章 投标人须知</w:t>
      </w:r>
      <w:bookmarkEnd w:id="50"/>
      <w:r/>
      <w:bookmarkEnd w:id="51"/>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lang w:eastAsia="zh-CN"/>
        </w:rPr>
        <w:t xml:space="preserve">JSZC-321092-YZZK-G2024-0005</w:t>
      </w:r>
      <w:r>
        <w:rPr>
          <w:rFonts w:hint="eastAsia" w:ascii="宋体" w:hAnsi="宋体" w:eastAsia="宋体" w:cs="宋体"/>
          <w:bCs/>
          <w:color w:val="auto"/>
          <w:szCs w:val="21"/>
          <w:highlight w:val="none"/>
        </w:rPr>
        <w:t xml:space="preserve">号项目。</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4.2本次采购由中标人在领取中标通知书前按发改价格[2011]534号文件规定标准一次性支付给招标代理机构代理服务费 (不满叁仟元按叁仟元计取） 。</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（1）代理服务费以人民币支付； </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（2）代理服务费一次性以电汇、转账等非现金形式支付； </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（3）招标代理服务费不在投标报价中单列，包含在投标总价中，由中标单位支付给代理机构。 </w:t>
      </w:r>
      <w:r/>
    </w:p>
    <w:p>
      <w:pPr>
        <w:ind w:firstLine="420"/>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4.3专家评审费按扬财购【2020】40 号文《关于进一步规范扬州市政府采购专家评审费标准的通知》执行。</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eastAsia="宋体" w:cs="宋体"/>
          <w:bCs/>
          <w:color w:val="auto"/>
          <w:szCs w:val="21"/>
          <w:highlight w:val="none"/>
          <w:lang w:eastAsia="zh-CN"/>
        </w:rPr>
        <w:t xml:space="preserve">“扬州市政府采购网”、“江苏省政府采购网”、“中国政府采购网”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left="42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bCs/>
          <w:color w:val="auto"/>
          <w:highlight w:val="none"/>
        </w:rPr>
        <w:t xml:space="preserve">分项报价表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jc w:val="left"/>
        <w:spacing w:line="360" w:lineRule="auto"/>
        <w:rPr>
          <w:rFonts w:hint="eastAsia" w:ascii="宋体" w:hAnsi="宋体" w:eastAsia="宋体" w:cs="宋体"/>
          <w:b/>
          <w:color w:val="auto"/>
          <w:szCs w:val="21"/>
          <w:highlight w:val="none"/>
        </w:rPr>
      </w:pPr>
      <w:r/>
      <w:bookmarkStart w:id="52" w:name="_Toc20823297"/>
      <w:r/>
      <w:bookmarkStart w:id="53" w:name="_Toc16938541"/>
      <w:r/>
      <w:bookmarkStart w:id="54" w:name="_Toc462564084"/>
      <w:r/>
      <w:bookmarkStart w:id="55" w:name="_Toc513029225"/>
      <w:r>
        <w:rPr>
          <w:rFonts w:hint="eastAsia" w:ascii="宋体" w:hAnsi="宋体" w:eastAsia="宋体" w:cs="宋体"/>
          <w:b/>
          <w:color w:val="auto"/>
          <w:szCs w:val="21"/>
          <w:highlight w:val="none"/>
        </w:rPr>
        <w:t xml:space="preserve">17、投标文件</w:t>
      </w:r>
      <w:bookmarkEnd w:id="52"/>
      <w:r/>
      <w:bookmarkEnd w:id="53"/>
      <w:r/>
      <w:bookmarkEnd w:id="54"/>
      <w:r/>
      <w:bookmarkEnd w:id="55"/>
      <w:r>
        <w:rPr>
          <w:rFonts w:hint="eastAsia" w:ascii="宋体" w:hAnsi="宋体" w:eastAsia="宋体" w:cs="宋体"/>
          <w:b/>
          <w:color w:val="auto"/>
          <w:szCs w:val="21"/>
          <w:highlight w:val="none"/>
        </w:rPr>
        <w:t xml:space="preserve">的递交</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56" w:name="_Toc513029226"/>
      <w:r/>
      <w:bookmarkStart w:id="57" w:name="_Toc20823298"/>
      <w:r/>
      <w:bookmarkStart w:id="58" w:name="_Toc16938542"/>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56"/>
      <w:r/>
      <w:bookmarkEnd w:id="57"/>
      <w:r/>
      <w:bookmarkEnd w:id="58"/>
      <w:r/>
      <w:r/>
    </w:p>
    <w:p>
      <w:pPr>
        <w:ind w:firstLine="420"/>
        <w:jc w:val="left"/>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jc w:val="left"/>
        <w:spacing w:line="360" w:lineRule="auto"/>
        <w:rPr>
          <w:rFonts w:hint="eastAsia" w:ascii="宋体" w:hAnsi="宋体" w:eastAsia="宋体" w:cs="宋体"/>
          <w:b/>
          <w:color w:val="auto"/>
          <w:szCs w:val="21"/>
          <w:highlight w:val="none"/>
        </w:rPr>
      </w:pPr>
      <w:r/>
      <w:bookmarkStart w:id="59" w:name="_Toc513029227"/>
      <w:r/>
      <w:bookmarkStart w:id="60" w:name="_Toc16938543"/>
      <w:r/>
      <w:bookmarkStart w:id="61" w:name="_Toc20823299"/>
      <w:r>
        <w:rPr>
          <w:rFonts w:hint="eastAsia" w:ascii="宋体" w:hAnsi="宋体" w:eastAsia="宋体" w:cs="宋体"/>
          <w:b/>
          <w:color w:val="auto"/>
          <w:szCs w:val="21"/>
          <w:highlight w:val="none"/>
        </w:rPr>
        <w:t xml:space="preserve">19、投标文件</w:t>
      </w:r>
      <w:bookmarkEnd w:id="59"/>
      <w:r/>
      <w:bookmarkEnd w:id="60"/>
      <w:r/>
      <w:bookmarkEnd w:id="61"/>
      <w:r>
        <w:rPr>
          <w:rFonts w:hint="eastAsia" w:ascii="宋体" w:hAnsi="宋体" w:eastAsia="宋体" w:cs="宋体"/>
          <w:b/>
          <w:color w:val="auto"/>
          <w:szCs w:val="21"/>
          <w:highlight w:val="none"/>
        </w:rPr>
        <w:t xml:space="preserve">的拒收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jc w:val="left"/>
        <w:spacing w:line="360" w:lineRule="auto"/>
        <w:rPr>
          <w:rFonts w:hint="eastAsia" w:ascii="宋体" w:hAnsi="宋体" w:eastAsia="宋体" w:cs="宋体"/>
          <w:b/>
          <w:color w:val="auto"/>
          <w:szCs w:val="21"/>
          <w:highlight w:val="none"/>
        </w:rPr>
      </w:pPr>
      <w:r/>
      <w:bookmarkStart w:id="62" w:name="_Toc16938544"/>
      <w:r/>
      <w:bookmarkStart w:id="63" w:name="_Toc513029228"/>
      <w:r/>
      <w:bookmarkStart w:id="64" w:name="_Toc20823300"/>
      <w:r>
        <w:rPr>
          <w:rFonts w:hint="eastAsia" w:ascii="宋体" w:hAnsi="宋体" w:eastAsia="宋体" w:cs="宋体"/>
          <w:b/>
          <w:color w:val="auto"/>
          <w:szCs w:val="21"/>
          <w:highlight w:val="none"/>
        </w:rPr>
        <w:t xml:space="preserve">20、投标文件的撤回和修改</w:t>
      </w:r>
      <w:bookmarkEnd w:id="62"/>
      <w:r/>
      <w:bookmarkEnd w:id="63"/>
      <w:r/>
      <w:bookmarkEnd w:id="64"/>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eastAsia="宋体" w:cs="宋体"/>
          <w:bCs/>
          <w:color w:val="auto"/>
          <w:szCs w:val="21"/>
          <w:highlight w:val="none"/>
          <w:lang w:eastAsia="zh-CN"/>
        </w:rPr>
        <w:t xml:space="preserve">“江苏政府采购网” “扬州市政府采购网”“中国政府采购网”</w:t>
      </w:r>
      <w:r>
        <w:rPr>
          <w:rFonts w:hint="eastAsia" w:ascii="宋体" w:hAnsi="宋体" w:eastAsia="宋体" w:cs="宋体"/>
          <w:bCs/>
          <w:color w:val="auto"/>
          <w:szCs w:val="21"/>
          <w:highlight w:val="none"/>
        </w:rPr>
        <w:t xml:space="preserve">发布中标公告，公告期限为1个工作日。</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 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或采购人提出质疑。上述应知其权益受到损害之日，是指：</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28.2.1对可以质疑的采购文件提出质疑的，为收到采购文件之日或者采购文件公告期限届满之日；</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28.2.3对中标或者成交结果提出质疑的，为中标或者成交结果公告期限届满之日。</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、采购人将只对供应商第一次质疑作出答复。</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提出，由</w:t>
      </w: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负责答复。</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供应商（含潜在供应商）对与本项目有关的所有询问、质疑均请向采购人提出，由采购人负责答复。</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及采购人只接收以纸质原件形式送达的质疑,建议供应商尽量通过邮寄方式提交质疑（采购人和</w:t>
      </w: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不接受未填写快递运单的快件）。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以下情形的质疑不予受理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28.5.1 内容不符合《政府采购质疑和投诉办法》第十二条规定的质疑。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28.5.2 超出政府采购法定期限的质疑。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28.5.3 以传真、电子邮件等方式递交的非原件形式的质疑。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28.5.4 未参加投标活动的供应商或在投标活动中自身权益未受到损害的供应商所提出的质疑。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28.5.5供应商组成联合体参加投标，联合体中任何一方或多方未按要求签字、盖章、加盖公章的质疑。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  供应商提出书面质疑必须有理、有据，不得捏造事实、提供虚假材料进行恶意质疑。否则，一经查实，</w:t>
      </w:r>
      <w:r>
        <w:rPr>
          <w:rFonts w:hint="eastAsia" w:ascii="宋体" w:hAnsi="宋体" w:eastAsia="宋体" w:cs="宋体"/>
          <w:bCs/>
          <w:color w:val="auto"/>
          <w:szCs w:val="21"/>
          <w:highlight w:val="none"/>
          <w:lang w:eastAsia="zh-CN"/>
        </w:rPr>
        <w:t xml:space="preserve">招标代理机构</w:t>
      </w:r>
      <w:r>
        <w:rPr>
          <w:rFonts w:hint="eastAsia" w:ascii="宋体" w:hAnsi="宋体" w:eastAsia="宋体" w:cs="宋体"/>
          <w:bCs/>
          <w:color w:val="auto"/>
          <w:szCs w:val="21"/>
          <w:highlight w:val="none"/>
        </w:rPr>
        <w:t xml:space="preserve">有权依据政府采购的有关规定，报请政府采购监管部门对该供应商进行相应的行政处罚和记录该供应商的失信信息。</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    31.1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870"/>
        <w:jc w:val="center"/>
        <w:rPr>
          <w:rFonts w:ascii="宋体" w:hAnsi="宋体"/>
          <w:color w:val="auto"/>
          <w:szCs w:val="36"/>
          <w:highlight w:val="none"/>
        </w:rPr>
      </w:pPr>
      <w:r/>
      <w:bookmarkStart w:id="65" w:name="_Toc30792"/>
      <w:r/>
      <w:bookmarkStart w:id="66" w:name="_Toc55204179"/>
      <w:r/>
      <w:bookmarkStart w:id="67" w:name="_Hlk69392822"/>
      <w:r>
        <w:rPr>
          <w:rFonts w:hint="eastAsia" w:ascii="宋体" w:hAnsi="宋体"/>
          <w:color w:val="auto"/>
          <w:szCs w:val="36"/>
          <w:highlight w:val="none"/>
        </w:rPr>
        <w:t xml:space="preserve">第三章 合同条款及格式</w:t>
      </w:r>
      <w:bookmarkEnd w:id="65"/>
      <w:r/>
      <w:bookmarkEnd w:id="66"/>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以下为中标后签定本项目合同的通用条款，中标人不得提出实质性的修改，关于专用条款将由采购人与中标人结合本项目具体情况协商后签订。</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扬州市政府采购合同（服务)（合同编号）</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扬州市平山乡2024年居家养老服务项目</w:t>
      </w:r>
      <w:r>
        <w:rPr>
          <w:rFonts w:hint="eastAsia" w:ascii="宋体" w:hAnsi="宋体" w:eastAsia="宋体" w:cs="宋体"/>
          <w:color w:val="auto"/>
          <w:sz w:val="21"/>
          <w:szCs w:val="21"/>
          <w:highlight w:val="none"/>
        </w:rPr>
        <w:t xml:space="preserve">               </w:t>
      </w:r>
      <w:r/>
    </w:p>
    <w:p>
      <w:pPr>
        <w:pStyle w:val="880"/>
        <w:ind w:firstLine="420"/>
        <w:jc w:val="left"/>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JSZC-321092-YZZK-G2024-0005</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甲方：（买方）扬州市平山乡人民政府</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扬州中科项目管理有限公司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一、服务及货物</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服务及货物名称：</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本合同金额为（大写）：________圆/小时（_________元/小时）人民币。</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3.1乙方应按招标文件规定的时间向甲方提供使用货物及服务的有关技术资料。</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乙方保证所交付的货物及服务的所有权完全属于乙方且无任何抵押、查封等产权瑕疵。</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履约保证金收取：无</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八、服务期</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服务期      年。（自交货验收合格之日起计）</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九、交付期、交付方式及交付地点</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交付期：_________</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服务方式：_________</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服务地点：_________</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甲方付款方式：</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本项目采用单价合同，乙方已充分考虑自身实际情况进行报价，如有少报或者漏报，则视同乙方让利，签订合同时不因任何理由予以调整或补贴。除合同另有规定外， 服务价格不因服务过程中政策、标准及市场因素变化等原因而调整。最终服务费根据乙方实际提供服务的老人人数(老人名单由甲方提供，并得到甲方认可)以及服务单价按实结算。</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合同签订后，乙方提供发票， 甲方在</w:t>
      </w:r>
      <w:r>
        <w:rPr>
          <w:rFonts w:hint="eastAsia" w:ascii="宋体" w:hAnsi="宋体" w:eastAsia="宋体" w:cs="宋体"/>
          <w:color w:val="auto"/>
          <w:sz w:val="21"/>
          <w:szCs w:val="21"/>
          <w:highlight w:val="none"/>
          <w:lang w:val="en-US" w:eastAsia="zh-CN"/>
        </w:rPr>
        <w:t xml:space="preserve">收到发票起</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0个工作日</w:t>
      </w:r>
      <w:r>
        <w:rPr>
          <w:rFonts w:hint="eastAsia" w:ascii="宋体" w:hAnsi="宋体" w:eastAsia="宋体" w:cs="宋体"/>
          <w:color w:val="auto"/>
          <w:sz w:val="21"/>
          <w:szCs w:val="21"/>
          <w:highlight w:val="none"/>
        </w:rPr>
        <w:t xml:space="preserve">内预付合同价的30%（人员数量由甲方提供，合同估算总价=人数*中标单价）；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之后按半年一次支付服务费用， 即乙方于第六个月底上报前六个月完成的工作量，甲方审核无误后于次月支付确认的服务费。如因上级部门财政资金拨付导致延迟，则甲方付款顺延。 满足合同约定支付条件时，乙方应按合同约定金额开具发票，甲方自收到发票后 1</w:t>
      </w:r>
      <w:r>
        <w:rPr>
          <w:rFonts w:hint="eastAsia" w:ascii="宋体" w:hAnsi="宋体" w:eastAsia="宋体" w:cs="宋体"/>
          <w:color w:val="auto"/>
          <w:sz w:val="21"/>
          <w:szCs w:val="21"/>
          <w:highlight w:val="none"/>
          <w:lang w:val="en-US" w:eastAsia="zh-CN"/>
        </w:rPr>
        <w:t xml:space="preserve">0个工作日内</w:t>
      </w:r>
      <w:r>
        <w:rPr>
          <w:rFonts w:hint="eastAsia" w:ascii="宋体" w:hAnsi="宋体" w:eastAsia="宋体" w:cs="宋体"/>
          <w:color w:val="auto"/>
          <w:sz w:val="21"/>
          <w:szCs w:val="21"/>
          <w:highlight w:val="none"/>
        </w:rPr>
        <w:t xml:space="preserve">将资金支付到合同约定的乙方账户。 </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十三、调试和验收</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 验收时乙方必须在现场，验收完毕后作出验收结果报告；验收费用由甲乙双方协商解决。</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1、承接主体存在以下行为的，由购买服务主体根据合同约定，采取约谈、督促整改、暂停资金结算等措施处理：</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（1）不按承诺提供服务、服务质量低于行业标准；</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（2）接到服务对象投诉拒绝处理的；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（3）一年内五次被服务对象投诉，经核实责任在服务机构的；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（4）不按规定程序录入服务工单和结算的；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（5）发布虚假广告，造成不良影响的；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（6）合同约定的其他情形。</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2、承接主体存在以下行为的，按合同约定解除合同：</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（1）不再具备服务资格的；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（2）未经购买主体同意，擅自转包转让服务的；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（3）套取现金或间接套取服务补贴资金的；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（4）服务中出现事故，造成服务对象重伤或死亡，或者有虐待行为的；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（5）多次被服务对象投诉，民政部门采取约谈、督促整改、暂停资金结算等措施处理，仍不整改或三次整改不到位的；</w:t>
      </w:r>
      <w:r/>
    </w:p>
    <w:p>
      <w:pPr>
        <w:pStyle w:val="880"/>
        <w:ind w:firstLine="420"/>
        <w:jc w:val="left"/>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符合合同约定的其他解约条款。</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80"/>
        <w:ind w:firstLine="422"/>
        <w:jc w:val="lef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十九、合同生效及其它</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合同经双方法定代表人签章并加盖单位公章，并经</w:t>
      </w:r>
      <w:r>
        <w:rPr>
          <w:rFonts w:hint="eastAsia" w:ascii="宋体" w:hAnsi="宋体" w:eastAsia="宋体" w:cs="宋体"/>
          <w:color w:val="auto"/>
          <w:sz w:val="21"/>
          <w:szCs w:val="21"/>
          <w:highlight w:val="none"/>
          <w:lang w:eastAsia="zh-CN"/>
        </w:rPr>
        <w:t xml:space="preserve">扬州中科项目管理有限公司</w:t>
      </w:r>
      <w:r>
        <w:rPr>
          <w:rFonts w:hint="eastAsia" w:ascii="宋体" w:hAnsi="宋体" w:eastAsia="宋体" w:cs="宋体"/>
          <w:color w:val="auto"/>
          <w:sz w:val="21"/>
          <w:szCs w:val="21"/>
          <w:highlight w:val="none"/>
        </w:rPr>
        <w:t xml:space="preserve">见证盖章后生效。</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19.2本合同未尽事宜，遵照《民法典》有关条文执行。</w:t>
      </w:r>
      <w:r/>
    </w:p>
    <w:p>
      <w:pPr>
        <w:pStyle w:val="880"/>
        <w:ind w:firstLine="42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本合同正本一式四份，具有同等法律效力，甲方、乙方、见证方及财政监管部门各执一份。  </w:t>
      </w:r>
      <w:r/>
    </w:p>
    <w:tbl>
      <w:tblPr>
        <w:tblStyle w:val="874"/>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甲方：扬州市平山乡人民政府</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rPr>
              <w:t xml:space="preserve">扬州市瘦西湖路598号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pStyle w:val="88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80"/>
        <w:jc w:val="left"/>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见证方：</w:t>
      </w:r>
      <w:r>
        <w:rPr>
          <w:rFonts w:hint="eastAsia" w:ascii="宋体" w:hAnsi="宋体" w:eastAsia="宋体" w:cs="宋体"/>
          <w:color w:val="auto"/>
          <w:sz w:val="21"/>
          <w:szCs w:val="21"/>
          <w:highlight w:val="none"/>
          <w:lang w:eastAsia="zh-CN"/>
        </w:rPr>
        <w:t xml:space="preserve">扬州中科项目管理有限公司</w:t>
      </w:r>
      <w:r/>
    </w:p>
    <w:p>
      <w:pPr>
        <w:pStyle w:val="880"/>
        <w:ind w:firstLine="21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 </w:t>
      </w:r>
      <w:r/>
    </w:p>
    <w:p>
      <w:pPr>
        <w:pStyle w:val="880"/>
        <w:ind w:firstLine="210"/>
        <w:jc w:val="left"/>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color w:val="auto"/>
          <w:highlight w:val="none"/>
        </w:rPr>
      </w:pPr>
      <w:r>
        <w:rPr>
          <w:color w:val="auto"/>
          <w:highlight w:val="none"/>
        </w:rPr>
        <w:br w:type="page" w:clear="all"/>
      </w:r>
      <w:bookmarkEnd w:id="67"/>
      <w:r/>
      <w:r/>
    </w:p>
    <w:p>
      <w:pPr>
        <w:pStyle w:val="870"/>
        <w:numPr>
          <w:ilvl w:val="0"/>
          <w:numId w:val="1"/>
        </w:numPr>
        <w:jc w:val="center"/>
        <w:rPr>
          <w:rFonts w:ascii="宋体" w:hAnsi="宋体"/>
          <w:color w:val="auto"/>
          <w:highlight w:val="none"/>
        </w:rPr>
      </w:pPr>
      <w:r/>
      <w:bookmarkStart w:id="68" w:name="_Toc14408"/>
      <w:r>
        <w:rPr>
          <w:rFonts w:hint="eastAsia" w:ascii="宋体" w:hAnsi="宋体"/>
          <w:color w:val="auto"/>
          <w:highlight w:val="none"/>
        </w:rPr>
        <w:t xml:space="preserve">项目需求</w:t>
      </w:r>
      <w:bookmarkEnd w:id="68"/>
      <w:r/>
      <w:r/>
    </w:p>
    <w:p>
      <w:pPr>
        <w:ind w:left="462"/>
        <w:jc w:val="left"/>
        <w:spacing w:line="360" w:lineRule="auto"/>
        <w:tabs>
          <w:tab w:val="left" w:pos="3389" w:leader="none"/>
        </w:tabs>
        <w:rPr>
          <w:rFonts w:hint="eastAsia" w:ascii="宋体" w:hAnsi="宋体" w:eastAsia="宋体" w:cs="宋体"/>
          <w:b/>
          <w:bCs/>
          <w:color w:val="auto"/>
          <w:spacing w:val="-1"/>
          <w:sz w:val="28"/>
          <w:szCs w:val="28"/>
          <w:highlight w:val="none"/>
          <w:lang w:eastAsia="zh-CN"/>
        </w:rPr>
        <w:outlineLvl w:val="0"/>
      </w:pPr>
      <w:r>
        <w:rPr>
          <w:rFonts w:hint="eastAsia" w:ascii="宋体" w:hAnsi="宋体" w:eastAsia="宋体" w:cs="宋体"/>
          <w:b/>
          <w:bCs/>
          <w:color w:val="auto"/>
          <w:spacing w:val="-1"/>
          <w:sz w:val="28"/>
          <w:szCs w:val="28"/>
          <w:highlight w:val="none"/>
        </w:rPr>
        <w:t xml:space="preserve">一、项目背景</w:t>
      </w:r>
      <w:r>
        <w:rPr>
          <w:rFonts w:hint="eastAsia" w:ascii="宋体" w:hAnsi="宋体" w:eastAsia="宋体" w:cs="宋体"/>
          <w:b/>
          <w:bCs/>
          <w:color w:val="auto"/>
          <w:spacing w:val="-1"/>
          <w:sz w:val="28"/>
          <w:szCs w:val="28"/>
          <w:highlight w:val="none"/>
          <w:lang w:eastAsia="zh-CN"/>
        </w:rPr>
        <w:tab/>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为认真贯彻落实《省政府关于进一步推进养老服务高质量发展的实施意见》(苏政发〔2019〕85号)、《2021年度江苏高质量发展绩效评价民政相关考核指标说明》(苏民发〔2021〕9号)、《中共扬州市</w:t>
      </w:r>
      <w:r>
        <w:rPr>
          <w:rFonts w:hint="eastAsia" w:ascii="宋体" w:hAnsi="宋体" w:eastAsia="宋体" w:cs="宋体"/>
          <w:color w:val="auto"/>
          <w:szCs w:val="21"/>
          <w:highlight w:val="none"/>
        </w:rPr>
        <w:t xml:space="preserve">委扬州市人民政府关于进一步加强新时代民政工作的实施意见》(扬发〔2019〕36号)、《扬州市区政府购买居家养老服务采购管理办法》(扬政民(2015)129号以及《关于开展政府购买居家养老服务采购工作的通知》(扬政民(2016)58号文件要求，围绕高质量考核指标，进一步提升扬州市平山乡养老服务专业化水平，促进扬州市平山乡居家养老服务持续、有序和更高标准发展，不断提升老年人幸福感、获得感、安全感和满意度，扬州市平山乡人民政府为政府购买养老服务对象提供居家上门生活照料、康复护理、精神关爱、紧急援助等居家养老服务。</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为进一步提升居家养老服务的质量，把民生服务送到老百姓的心坎上，提升居民满意度，形成良性竞争的激励机制，因地制宜做好服务。</w:t>
      </w:r>
      <w:r/>
    </w:p>
    <w:p>
      <w:pPr>
        <w:ind w:left="462"/>
        <w:jc w:val="left"/>
        <w:spacing w:line="360" w:lineRule="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pacing w:val="-1"/>
          <w:sz w:val="28"/>
          <w:szCs w:val="28"/>
          <w:highlight w:val="none"/>
        </w:rPr>
        <w:t xml:space="preserve">二</w:t>
      </w:r>
      <w:r>
        <w:rPr>
          <w:rFonts w:hint="eastAsia" w:ascii="宋体" w:hAnsi="宋体" w:eastAsia="宋体" w:cs="宋体"/>
          <w:b/>
          <w:bCs/>
          <w:color w:val="auto"/>
          <w:sz w:val="28"/>
          <w:szCs w:val="28"/>
          <w:highlight w:val="none"/>
        </w:rPr>
        <w:t xml:space="preserve">、政府购买服务对象</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具有扬州市户籍且长期居住在</w:t>
      </w:r>
      <w:r>
        <w:rPr>
          <w:rFonts w:hint="eastAsia" w:ascii="宋体" w:hAnsi="宋体" w:eastAsia="宋体" w:cs="宋体"/>
          <w:bCs/>
          <w:color w:val="auto"/>
          <w:szCs w:val="21"/>
          <w:highlight w:val="none"/>
          <w:lang w:val="en-US" w:eastAsia="zh-CN"/>
        </w:rPr>
        <w:t xml:space="preserve">平山乡</w:t>
      </w:r>
      <w:r>
        <w:rPr>
          <w:rFonts w:hint="eastAsia" w:ascii="宋体" w:hAnsi="宋体" w:eastAsia="宋体" w:cs="宋体"/>
          <w:bCs/>
          <w:color w:val="auto"/>
          <w:szCs w:val="21"/>
          <w:highlight w:val="none"/>
        </w:rPr>
        <w:t xml:space="preserve">辖区范围内年满60周岁的居家老年人，符合下列9类对象条件之一的，可以自愿申请政府购买居家养老服务，享受养老服务补贴。</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1、低收入人口中的老年人。对象范围包括低保对象、分散供养特困人员、低保边缘家庭、支出型困难家庭；</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2、困难残疾人生活补贴对象中一户多残、依老养残家庭中的老年人；</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3、特殊困难群体跟踪帮扶重点户中的老年人；</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4、计划生育特别扶助家庭中的老年人；</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5、重点优抚对象中的老年人。对象范围包括残疾军人、烈士家属、因公牺牲军人家属、病故军人家属、在乡老复员军人、带病回乡退伍军人等；</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6、空巢独居老年人。主要指没有子女、与子女不在同一设区市主城区或同一县(市)居住的老人，且长期一个人居住；</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7、特殊贡献老年人。对象范围包括市级及以上政府特殊津贴获得者、劳动模范、道德模范；</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8、80周岁及以上高龄老年人。</w:t>
      </w:r>
      <w:r/>
    </w:p>
    <w:p>
      <w:pPr>
        <w:pStyle w:val="879"/>
        <w:ind w:left="0" w:firstLine="435"/>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9、经</w:t>
      </w:r>
      <w:r>
        <w:rPr>
          <w:rFonts w:hint="eastAsia" w:ascii="宋体" w:hAnsi="宋体" w:eastAsia="宋体" w:cs="宋体"/>
          <w:bCs/>
          <w:color w:val="auto"/>
          <w:szCs w:val="21"/>
          <w:highlight w:val="none"/>
          <w:lang w:val="en-US" w:eastAsia="zh-CN"/>
        </w:rPr>
        <w:t xml:space="preserve">申请</w:t>
      </w:r>
      <w:r>
        <w:rPr>
          <w:rFonts w:hint="eastAsia" w:ascii="宋体" w:hAnsi="宋体" w:eastAsia="宋体" w:cs="宋体"/>
          <w:bCs/>
          <w:color w:val="auto"/>
          <w:szCs w:val="21"/>
          <w:highlight w:val="none"/>
        </w:rPr>
        <w:t xml:space="preserve">地乡</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街道</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认定</w:t>
      </w:r>
      <w:r>
        <w:rPr>
          <w:rFonts w:hint="eastAsia" w:ascii="宋体" w:hAnsi="宋体" w:eastAsia="宋体" w:cs="宋体"/>
          <w:bCs/>
          <w:color w:val="auto"/>
          <w:szCs w:val="21"/>
          <w:highlight w:val="none"/>
          <w:lang w:val="en-US" w:eastAsia="zh-CN"/>
        </w:rPr>
        <w:t xml:space="preserve">的其他</w:t>
      </w:r>
      <w:r>
        <w:rPr>
          <w:rFonts w:hint="eastAsia" w:ascii="宋体" w:hAnsi="宋体" w:eastAsia="宋体" w:cs="宋体"/>
          <w:bCs/>
          <w:color w:val="auto"/>
          <w:szCs w:val="21"/>
          <w:highlight w:val="none"/>
        </w:rPr>
        <w:t xml:space="preserve">特殊情况确需服务的老年人。</w:t>
      </w:r>
      <w:r/>
    </w:p>
    <w:p>
      <w:pPr>
        <w:ind w:left="462"/>
        <w:jc w:val="left"/>
        <w:spacing w:line="360" w:lineRule="auto"/>
        <w:rPr>
          <w:rFonts w:hint="eastAsia" w:ascii="宋体" w:hAnsi="宋体" w:eastAsia="宋体" w:cs="宋体"/>
          <w:b/>
          <w:bCs/>
          <w:color w:val="auto"/>
          <w:spacing w:val="-1"/>
          <w:sz w:val="28"/>
          <w:szCs w:val="28"/>
          <w:highlight w:val="none"/>
        </w:rPr>
        <w:outlineLvl w:val="0"/>
      </w:pPr>
      <w:r>
        <w:rPr>
          <w:rFonts w:hint="eastAsia" w:ascii="宋体" w:hAnsi="宋体" w:eastAsia="宋体" w:cs="宋体"/>
          <w:b/>
          <w:bCs/>
          <w:color w:val="auto"/>
          <w:spacing w:val="-1"/>
          <w:sz w:val="28"/>
          <w:szCs w:val="28"/>
          <w:highlight w:val="none"/>
        </w:rPr>
        <w:t xml:space="preserve">三、项目预算</w:t>
      </w:r>
      <w:r/>
    </w:p>
    <w:p>
      <w:pPr>
        <w:pStyle w:val="879"/>
        <w:ind w:left="0" w:firstLine="435"/>
        <w:jc w:val="left"/>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服务对象暂按674人计算，具体人数以实际服务为准，根据政策调整，可适当调整服务人数。1年预算100万元。</w:t>
      </w:r>
      <w:r/>
    </w:p>
    <w:p>
      <w:pPr>
        <w:ind w:left="462"/>
        <w:jc w:val="left"/>
        <w:spacing w:line="360" w:lineRule="auto"/>
        <w:rPr>
          <w:rFonts w:hint="eastAsia" w:ascii="宋体" w:hAnsi="宋体" w:eastAsia="宋体" w:cs="宋体"/>
          <w:b/>
          <w:bCs/>
          <w:color w:val="auto"/>
          <w:spacing w:val="-1"/>
          <w:sz w:val="28"/>
          <w:szCs w:val="28"/>
          <w:highlight w:val="none"/>
        </w:rPr>
        <w:outlineLvl w:val="0"/>
      </w:pPr>
      <w:r>
        <w:rPr>
          <w:rFonts w:hint="eastAsia" w:ascii="宋体" w:hAnsi="宋体" w:eastAsia="宋体" w:cs="宋体"/>
          <w:b/>
          <w:bCs/>
          <w:color w:val="auto"/>
          <w:spacing w:val="-1"/>
          <w:sz w:val="28"/>
          <w:szCs w:val="28"/>
          <w:highlight w:val="none"/>
        </w:rPr>
        <w:t xml:space="preserve">四、服务要求</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1、服务人员要求：</w:t>
      </w:r>
      <w:r/>
    </w:p>
    <w:p>
      <w:pPr>
        <w:ind w:left="37" w:firstLine="421"/>
        <w:jc w:val="left"/>
        <w:spacing w:before="190" w:line="360" w:lineRule="auto"/>
        <w:rPr>
          <w:rFonts w:hint="eastAsia" w:ascii="宋体" w:hAnsi="宋体" w:eastAsia="宋体" w:cs="宋体"/>
          <w:i/>
          <w:iCs/>
          <w:color w:val="auto"/>
          <w:szCs w:val="21"/>
          <w:highlight w:val="none"/>
          <w:u w:val="single"/>
        </w:rPr>
      </w:pPr>
      <w:r>
        <w:rPr>
          <w:rFonts w:hint="eastAsia" w:ascii="宋体" w:hAnsi="宋体" w:eastAsia="宋体" w:cs="宋体"/>
          <w:color w:val="auto"/>
          <w:szCs w:val="21"/>
          <w:highlight w:val="none"/>
        </w:rPr>
        <w:t xml:space="preserve">服务团队需明确一名项目负责人，项目负责人具备一定的管理和服务能力，能够针对不同服务需求制定服务计划、管理服务团队，从而精准地提供服务。项目负责人不得随意更换或挂名履职。</w:t>
      </w:r>
      <w:r>
        <w:rPr>
          <w:rFonts w:hint="eastAsia" w:ascii="宋体" w:hAnsi="宋体" w:eastAsia="宋体" w:cs="宋体"/>
          <w:color w:val="auto"/>
          <w:szCs w:val="21"/>
          <w:highlight w:val="none"/>
          <w:lang w:eastAsia="zh-CN"/>
        </w:rPr>
        <w:t xml:space="preserve">中标单位</w:t>
      </w:r>
      <w:r>
        <w:rPr>
          <w:rFonts w:hint="eastAsia" w:ascii="宋体" w:hAnsi="宋体" w:eastAsia="宋体" w:cs="宋体"/>
          <w:color w:val="auto"/>
          <w:szCs w:val="21"/>
          <w:highlight w:val="none"/>
        </w:rPr>
        <w:t xml:space="preserve">负责组建一支专业的养老护理员队伍。</w:t>
      </w:r>
      <w:r>
        <w:rPr>
          <w:rFonts w:hint="eastAsia" w:ascii="宋体" w:hAnsi="宋体" w:eastAsia="宋体" w:cs="宋体"/>
          <w:i w:val="0"/>
          <w:iCs w:val="0"/>
          <w:color w:val="auto"/>
          <w:szCs w:val="21"/>
          <w:highlight w:val="none"/>
          <w:u w:val="none"/>
        </w:rPr>
        <w:t xml:space="preserve">投入本项目的服务人员包含但不少于社工、养老护理员、修脚师、理发师4个工种。高龄老人每月提供不少于2小时服务；困难老人每月提供不少于3小时服务。</w:t>
      </w:r>
      <w:bookmarkStart w:id="99" w:name="_GoBack"/>
      <w:r/>
      <w:bookmarkEnd w:id="99"/>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服务人员服务后需填写服务记录表，记录表要体现出服务项目、服务时间、服务效果等内容，同时记录表需双方签字认可。</w:t>
      </w:r>
      <w:r>
        <w:rPr>
          <w:rFonts w:hint="eastAsia" w:ascii="宋体" w:hAnsi="宋体" w:eastAsia="宋体" w:cs="宋体"/>
          <w:color w:val="auto"/>
          <w:szCs w:val="21"/>
          <w:highlight w:val="none"/>
          <w:lang w:eastAsia="zh-CN"/>
        </w:rPr>
        <w:t xml:space="preserve">中标单位</w:t>
      </w:r>
      <w:r>
        <w:rPr>
          <w:rFonts w:hint="eastAsia" w:ascii="宋体" w:hAnsi="宋体" w:eastAsia="宋体" w:cs="宋体"/>
          <w:color w:val="auto"/>
          <w:szCs w:val="21"/>
          <w:highlight w:val="none"/>
        </w:rPr>
        <w:t xml:space="preserve">负责对服务过程进行有效监管，并对服务人员记录表定期进行收集整理、登记建档，档案要完整、详实、可查。</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2、服务内容要求：</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(1)卫生保洁：对室内家具、厨柜、地面、窗户的擦、扫、拖、抹等日常保洁整理(包括厨房间洗刷锅碗、清洁卫生间马桶淋浴房台盆等)。</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(2)生活照料：帮助老人铺床叠被、照顾起床、扶老人上厕所、叠衣服、梳头洗脸、烧水等日常起居照料服务。</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(3)洗衣晒被：对老人各类衣物、床上用品的洗晒。</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(4)买菜做饭：为老人买菜、拣菜、洗菜、烧菜、做饭、包馄饨、包粽子等。</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(5)陪同就医：陪同老人一起去医院或社区卫生所就医、开药、检查等。</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(6)精神慰藉：安排社工定期上门询问老人的身体状况、精神状态等，并记录存档。同时视情况运用社会工作专业知识开展个案工作。</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(7)洗头理发：定期上门为老人提供洗头、理发服务。</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(8)修脚服务：定期上门为老人提供修脚服务。</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(9)生活维修：为老人提供简单修理服务或者帮忙联系售后客服、维修点进行维护。</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(10)代买代办：为老人去银行代领工资、代缴水电煤电话等资费、代订代取报刊、代寄代领信件包波、代办老龄高龄卡、代取牛奶、代办修理、代卖旧货垃圾等。</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(11)保健按摩：为老人提供一般性常规保健敲捏等保健型按摩服务。</w:t>
      </w:r>
      <w:r/>
    </w:p>
    <w:p>
      <w:pPr>
        <w:ind w:left="37" w:firstLine="421"/>
        <w:jc w:val="left"/>
        <w:spacing w:before="19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(12)应急救助：对老人的突发意外的救助工作，如突发病、突发意外伤害等，提供24小时的在线紧急呼叫服务。</w:t>
      </w:r>
      <w:r/>
    </w:p>
    <w:p>
      <w:pPr>
        <w:ind w:left="463"/>
        <w:jc w:val="left"/>
        <w:spacing w:before="1"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pacing w:val="-8"/>
          <w:szCs w:val="21"/>
          <w:highlight w:val="none"/>
        </w:rPr>
        <w:t xml:space="preserve">3</w:t>
      </w:r>
      <w:r>
        <w:rPr>
          <w:rFonts w:hint="eastAsia" w:ascii="宋体" w:hAnsi="宋体" w:eastAsia="宋体" w:cs="宋体"/>
          <w:color w:val="auto"/>
          <w:spacing w:val="-6"/>
          <w:szCs w:val="21"/>
          <w:highlight w:val="none"/>
        </w:rPr>
        <w:t xml:space="preserve">、其他要求：</w:t>
      </w:r>
      <w:r/>
    </w:p>
    <w:p>
      <w:pPr>
        <w:ind w:left="38" w:right="232" w:firstLine="424"/>
        <w:jc w:val="left"/>
        <w:spacing w:before="166" w:line="360" w:lineRule="auto"/>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(1)供应商对于</w:t>
      </w:r>
      <w:r>
        <w:rPr>
          <w:rFonts w:hint="eastAsia" w:ascii="宋体" w:hAnsi="宋体" w:eastAsia="宋体" w:cs="宋体"/>
          <w:color w:val="auto"/>
          <w:szCs w:val="21"/>
          <w:highlight w:val="none"/>
        </w:rPr>
        <w:t xml:space="preserve">服务人员的聘用要严格把关，服务人员和服务对象要相处融洽，为服</w:t>
      </w:r>
      <w:r>
        <w:rPr>
          <w:rFonts w:hint="eastAsia" w:ascii="宋体" w:hAnsi="宋体" w:eastAsia="宋体" w:cs="宋体"/>
          <w:color w:val="auto"/>
          <w:spacing w:val="-1"/>
          <w:szCs w:val="21"/>
          <w:highlight w:val="none"/>
        </w:rPr>
        <w:t xml:space="preserve">务对象提供最大</w:t>
      </w:r>
      <w:r>
        <w:rPr>
          <w:rFonts w:hint="eastAsia" w:ascii="宋体" w:hAnsi="宋体" w:eastAsia="宋体" w:cs="宋体"/>
          <w:color w:val="auto"/>
          <w:szCs w:val="21"/>
          <w:highlight w:val="none"/>
        </w:rPr>
        <w:t xml:space="preserve">化的服务。</w:t>
      </w:r>
      <w:r/>
    </w:p>
    <w:p>
      <w:pPr>
        <w:ind w:left="46" w:right="233" w:firstLine="416"/>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(2)供应商每月底</w:t>
      </w:r>
      <w:r>
        <w:rPr>
          <w:rFonts w:hint="eastAsia" w:ascii="宋体" w:hAnsi="宋体" w:eastAsia="宋体" w:cs="宋体"/>
          <w:color w:val="auto"/>
          <w:szCs w:val="21"/>
          <w:highlight w:val="none"/>
        </w:rPr>
        <w:t xml:space="preserve">向甲方汇报上门服务情况，如有协议期限内不需要服务的老年人及</w:t>
      </w:r>
      <w:r>
        <w:rPr>
          <w:rFonts w:hint="eastAsia" w:ascii="宋体" w:hAnsi="宋体" w:eastAsia="宋体" w:cs="宋体"/>
          <w:color w:val="auto"/>
          <w:spacing w:val="-2"/>
          <w:szCs w:val="21"/>
          <w:highlight w:val="none"/>
        </w:rPr>
        <w:t xml:space="preserve">时告知所属的社区备案并上报</w:t>
      </w:r>
      <w:r>
        <w:rPr>
          <w:rFonts w:hint="eastAsia" w:ascii="宋体" w:hAnsi="宋体" w:eastAsia="宋体" w:cs="宋体"/>
          <w:color w:val="auto"/>
          <w:spacing w:val="-1"/>
          <w:szCs w:val="21"/>
          <w:highlight w:val="none"/>
        </w:rPr>
        <w:t xml:space="preserve">甲方。</w:t>
      </w:r>
      <w:r/>
    </w:p>
    <w:p>
      <w:pPr>
        <w:ind w:left="37" w:right="232" w:firstLine="426"/>
        <w:jc w:val="left"/>
        <w:spacing w:before="1" w:line="360" w:lineRule="auto"/>
        <w:rPr>
          <w:rFonts w:hint="eastAsia" w:ascii="宋体" w:hAnsi="宋体" w:eastAsia="宋体" w:cs="宋体"/>
          <w:color w:val="auto"/>
          <w:szCs w:val="21"/>
          <w:highlight w:val="none"/>
        </w:rPr>
      </w:pPr>
      <w:r>
        <w:rPr>
          <w:rFonts w:hint="eastAsia" w:ascii="宋体" w:hAnsi="宋体" w:eastAsia="宋体" w:cs="宋体"/>
          <w:color w:val="auto"/>
          <w:spacing w:val="4"/>
          <w:szCs w:val="21"/>
          <w:highlight w:val="none"/>
        </w:rPr>
        <w:t xml:space="preserve">(3)按照区民</w:t>
      </w:r>
      <w:r>
        <w:rPr>
          <w:rFonts w:hint="eastAsia" w:ascii="宋体" w:hAnsi="宋体" w:eastAsia="宋体" w:cs="宋体"/>
          <w:color w:val="auto"/>
          <w:spacing w:val="3"/>
          <w:szCs w:val="21"/>
          <w:highlight w:val="none"/>
        </w:rPr>
        <w:t xml:space="preserve">政</w:t>
      </w:r>
      <w:r>
        <w:rPr>
          <w:rFonts w:hint="eastAsia" w:ascii="宋体" w:hAnsi="宋体" w:eastAsia="宋体" w:cs="宋体"/>
          <w:color w:val="auto"/>
          <w:spacing w:val="2"/>
          <w:szCs w:val="21"/>
          <w:highlight w:val="none"/>
        </w:rPr>
        <w:t xml:space="preserve">部门对居家养老服务的要求进行操作，配备相应的硬件软件，在上门</w:t>
      </w:r>
      <w:r>
        <w:rPr>
          <w:rFonts w:hint="eastAsia" w:ascii="宋体" w:hAnsi="宋体" w:eastAsia="宋体" w:cs="宋体"/>
          <w:color w:val="auto"/>
          <w:spacing w:val="-1"/>
          <w:szCs w:val="21"/>
          <w:highlight w:val="none"/>
        </w:rPr>
        <w:t xml:space="preserve">服务</w:t>
      </w:r>
      <w:r>
        <w:rPr>
          <w:rFonts w:hint="eastAsia" w:ascii="宋体" w:hAnsi="宋体" w:eastAsia="宋体" w:cs="宋体"/>
          <w:color w:val="auto"/>
          <w:szCs w:val="21"/>
          <w:highlight w:val="none"/>
        </w:rPr>
        <w:t xml:space="preserve">时进行系统打卡，保证系统后台数据接收畅通和月度服务数据正常上交。</w:t>
      </w:r>
      <w:r/>
    </w:p>
    <w:p>
      <w:pPr>
        <w:ind w:left="463"/>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(4)制定完善的管理制度、合理的薪资标准，符合</w:t>
      </w:r>
      <w:r>
        <w:rPr>
          <w:rFonts w:hint="eastAsia" w:ascii="宋体" w:hAnsi="宋体" w:eastAsia="宋体" w:cs="宋体"/>
          <w:color w:val="auto"/>
          <w:szCs w:val="21"/>
          <w:highlight w:val="none"/>
        </w:rPr>
        <w:t xml:space="preserve">劳动法等相关法律法规规定。</w:t>
      </w:r>
      <w:r/>
    </w:p>
    <w:p>
      <w:pPr>
        <w:ind w:left="463"/>
        <w:jc w:val="left"/>
        <w:spacing w:before="188" w:line="360" w:lineRule="auto"/>
        <w:rPr>
          <w:rFonts w:hint="eastAsia" w:ascii="宋体" w:hAnsi="宋体" w:eastAsia="宋体" w:cs="宋体"/>
          <w:color w:val="auto"/>
          <w:spacing w:val="2"/>
          <w:szCs w:val="21"/>
          <w:highlight w:val="none"/>
        </w:rPr>
      </w:pPr>
      <w:r>
        <w:rPr>
          <w:rFonts w:hint="eastAsia" w:ascii="宋体" w:hAnsi="宋体" w:eastAsia="宋体" w:cs="宋体"/>
          <w:color w:val="auto"/>
          <w:spacing w:val="4"/>
          <w:szCs w:val="21"/>
          <w:highlight w:val="none"/>
        </w:rPr>
        <w:t xml:space="preserve">(5)</w:t>
      </w:r>
      <w:r>
        <w:rPr>
          <w:rFonts w:hint="eastAsia" w:ascii="宋体" w:hAnsi="宋体" w:eastAsia="宋体" w:cs="宋体"/>
          <w:color w:val="auto"/>
          <w:spacing w:val="2"/>
          <w:szCs w:val="21"/>
          <w:highlight w:val="none"/>
        </w:rPr>
        <w:t xml:space="preserve">落实相关安全管理要求，确保服务过程中服务对象及服务人员的人身安全。</w:t>
      </w:r>
      <w:r/>
    </w:p>
    <w:p>
      <w:pPr>
        <w:numPr>
          <w:ilvl w:val="0"/>
          <w:numId w:val="2"/>
        </w:numPr>
        <w:ind w:left="462"/>
        <w:jc w:val="left"/>
        <w:spacing w:line="360" w:lineRule="auto"/>
        <w:rPr>
          <w:rFonts w:hint="eastAsia" w:ascii="宋体" w:hAnsi="宋体" w:eastAsia="宋体" w:cs="宋体"/>
          <w:b/>
          <w:bCs/>
          <w:color w:val="auto"/>
          <w:spacing w:val="-1"/>
          <w:sz w:val="28"/>
          <w:szCs w:val="28"/>
          <w:highlight w:val="none"/>
        </w:rPr>
        <w:outlineLvl w:val="0"/>
      </w:pPr>
      <w:r>
        <w:rPr>
          <w:rFonts w:hint="eastAsia" w:ascii="宋体" w:hAnsi="宋体" w:eastAsia="宋体" w:cs="宋体"/>
          <w:b/>
          <w:bCs/>
          <w:color w:val="auto"/>
          <w:spacing w:val="-1"/>
          <w:sz w:val="28"/>
          <w:szCs w:val="28"/>
          <w:highlight w:val="none"/>
        </w:rPr>
        <w:t xml:space="preserve">考核和签约</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1、考核办法：</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甲方根据运营管理情况每月对乙方考核一次，通过上门、电话访问、填写服务满意度调查表的形式调查服务情况。具体考核办法由采购单位与</w:t>
      </w:r>
      <w:r>
        <w:rPr>
          <w:rFonts w:hint="eastAsia" w:ascii="宋体" w:hAnsi="宋体" w:eastAsia="宋体" w:cs="宋体"/>
          <w:color w:val="auto"/>
          <w:spacing w:val="4"/>
          <w:szCs w:val="21"/>
          <w:highlight w:val="none"/>
          <w:lang w:eastAsia="zh-CN"/>
        </w:rPr>
        <w:t xml:space="preserve">中标单位</w:t>
      </w:r>
      <w:r>
        <w:rPr>
          <w:rFonts w:hint="eastAsia" w:ascii="宋体" w:hAnsi="宋体" w:eastAsia="宋体" w:cs="宋体"/>
          <w:color w:val="auto"/>
          <w:spacing w:val="4"/>
          <w:szCs w:val="21"/>
          <w:highlight w:val="none"/>
        </w:rPr>
        <w:t xml:space="preserve">根据采购文件及响应文件商榷后制定，考核情况与运营费用给付挂钩。发现虚假服务或服务满意度低于90%给予警告，警告三次后，甲方有权终止合同。</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2、签约：本项目服务签约周期为1年。</w:t>
      </w:r>
      <w:r/>
    </w:p>
    <w:p>
      <w:pPr>
        <w:numPr>
          <w:ilvl w:val="0"/>
          <w:numId w:val="2"/>
        </w:numPr>
        <w:ind w:left="462"/>
        <w:jc w:val="left"/>
        <w:spacing w:line="360" w:lineRule="auto"/>
        <w:rPr>
          <w:rFonts w:hint="eastAsia" w:ascii="宋体" w:hAnsi="宋体" w:eastAsia="宋体" w:cs="宋体"/>
          <w:b/>
          <w:bCs/>
          <w:color w:val="auto"/>
          <w:spacing w:val="-1"/>
          <w:sz w:val="28"/>
          <w:szCs w:val="28"/>
          <w:highlight w:val="none"/>
        </w:rPr>
        <w:outlineLvl w:val="0"/>
      </w:pPr>
      <w:r>
        <w:rPr>
          <w:rFonts w:hint="eastAsia" w:ascii="宋体" w:hAnsi="宋体" w:eastAsia="宋体" w:cs="宋体"/>
          <w:b/>
          <w:bCs/>
          <w:color w:val="auto"/>
          <w:spacing w:val="-1"/>
          <w:sz w:val="28"/>
          <w:szCs w:val="28"/>
          <w:highlight w:val="none"/>
        </w:rPr>
        <w:t xml:space="preserve">其他要求</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1、</w:t>
      </w:r>
      <w:r>
        <w:rPr>
          <w:rFonts w:hint="eastAsia" w:ascii="宋体" w:hAnsi="宋体" w:eastAsia="宋体" w:cs="宋体"/>
          <w:color w:val="auto"/>
          <w:spacing w:val="4"/>
          <w:szCs w:val="21"/>
          <w:highlight w:val="none"/>
          <w:lang w:eastAsia="zh-CN"/>
        </w:rPr>
        <w:t xml:space="preserve">中标单位</w:t>
      </w:r>
      <w:r>
        <w:rPr>
          <w:rFonts w:hint="eastAsia" w:ascii="宋体" w:hAnsi="宋体" w:eastAsia="宋体" w:cs="宋体"/>
          <w:color w:val="auto"/>
          <w:spacing w:val="4"/>
          <w:szCs w:val="21"/>
          <w:highlight w:val="none"/>
        </w:rPr>
        <w:t xml:space="preserve">的服务人员要统一服从采购单位的监管。</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2、服务机构应根据采购单位需求，无条件配合采购单位向辖区独居、空巢、留守、失能(失智)、计划生育特殊家庭等特殊困难老年人进行关爱探访服务。</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3、采购人除服务费用之外不再承担其它任何费用，服务人员的薪金、福利、休假日补贴、医疗费用、与工作相关的意外事故所产生的费用等均由</w:t>
      </w:r>
      <w:r>
        <w:rPr>
          <w:rFonts w:hint="eastAsia" w:ascii="宋体" w:hAnsi="宋体" w:eastAsia="宋体" w:cs="宋体"/>
          <w:color w:val="auto"/>
          <w:spacing w:val="4"/>
          <w:szCs w:val="21"/>
          <w:highlight w:val="none"/>
          <w:lang w:eastAsia="zh-CN"/>
        </w:rPr>
        <w:t xml:space="preserve">中标单位</w:t>
      </w:r>
      <w:r>
        <w:rPr>
          <w:rFonts w:hint="eastAsia" w:ascii="宋体" w:hAnsi="宋体" w:eastAsia="宋体" w:cs="宋体"/>
          <w:color w:val="auto"/>
          <w:spacing w:val="4"/>
          <w:szCs w:val="21"/>
          <w:highlight w:val="none"/>
        </w:rPr>
        <w:t xml:space="preserve">负责，与采购人无关。</w:t>
      </w:r>
      <w:r/>
    </w:p>
    <w:p>
      <w:pPr>
        <w:ind w:left="37" w:right="232" w:firstLine="426"/>
        <w:jc w:val="left"/>
        <w:spacing w:before="1" w:line="360" w:lineRule="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 xml:space="preserve">4、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rPr>
          <w:rFonts w:hint="eastAsia" w:ascii="宋体" w:hAnsi="宋体" w:eastAsia="宋体" w:cs="宋体"/>
          <w:i/>
          <w:iCs/>
          <w:color w:val="auto"/>
          <w:spacing w:val="4"/>
          <w:szCs w:val="21"/>
          <w:highlight w:val="none"/>
          <w:u w:val="single"/>
        </w:rPr>
        <w:t xml:space="preserve">人员工资不得低于扬州市区最低工资标准或非全日制用工小时最低工资标准。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rPr>
          <w:color w:val="auto"/>
          <w:highlight w:val="none"/>
        </w:rPr>
      </w:pPr>
      <w:r>
        <w:rPr>
          <w:color w:val="auto"/>
          <w:highlight w:val="none"/>
        </w:rPr>
      </w:r>
      <w:r/>
    </w:p>
    <w:p>
      <w:pPr>
        <w:rPr>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0" w:equalWidth="1"/>
          <w:docGrid w:linePitch="360"/>
        </w:sectPr>
      </w:pPr>
      <w:r>
        <w:rPr>
          <w:color w:val="auto"/>
          <w:highlight w:val="none"/>
        </w:rPr>
        <w:br w:type="page" w:clear="all"/>
      </w:r>
      <w:r/>
    </w:p>
    <w:p>
      <w:pPr>
        <w:numPr>
          <w:ilvl w:val="0"/>
          <w:numId w:val="0"/>
        </w:numPr>
        <w:jc w:val="center"/>
        <w:spacing w:line="600" w:lineRule="exact"/>
        <w:widowControl w:val="off"/>
        <w:rPr>
          <w:rFonts w:hint="eastAsia" w:ascii="宋体" w:hAnsi="宋体" w:eastAsia="宋体" w:cs="宋体"/>
          <w:spacing w:val="7"/>
          <w:sz w:val="32"/>
          <w:szCs w:val="32"/>
          <w:highlight w:val="none"/>
          <w:lang w:val="en-US" w:eastAsia="zh-CN"/>
        </w:rPr>
      </w:pPr>
      <w:r>
        <w:rPr>
          <w:rFonts w:hint="eastAsia" w:ascii="宋体" w:hAnsi="宋体" w:eastAsia="宋体" w:cs="宋体"/>
          <w:spacing w:val="7"/>
          <w:sz w:val="44"/>
          <w:szCs w:val="44"/>
          <w:highlight w:val="none"/>
        </w:rPr>
        <w:t xml:space="preserve">景区居家养老上门服务指导清单</w:t>
      </w:r>
      <w:r>
        <w:rPr>
          <w:rFonts w:hint="eastAsia" w:ascii="宋体" w:hAnsi="宋体" w:eastAsia="宋体" w:cs="宋体"/>
          <w:spacing w:val="7"/>
          <w:sz w:val="44"/>
          <w:szCs w:val="44"/>
          <w:highlight w:val="none"/>
          <w:lang w:eastAsia="zh-CN"/>
        </w:rPr>
        <w:t xml:space="preserve">（</w:t>
      </w:r>
      <w:r>
        <w:rPr>
          <w:rFonts w:hint="eastAsia" w:ascii="宋体" w:hAnsi="宋体" w:eastAsia="宋体" w:cs="宋体"/>
          <w:spacing w:val="7"/>
          <w:sz w:val="44"/>
          <w:szCs w:val="44"/>
          <w:highlight w:val="none"/>
          <w:lang w:val="en-US" w:eastAsia="zh-CN"/>
        </w:rPr>
        <w:t xml:space="preserve">试行</w:t>
      </w:r>
      <w:r>
        <w:rPr>
          <w:rFonts w:hint="eastAsia" w:ascii="宋体" w:hAnsi="宋体" w:eastAsia="宋体" w:cs="宋体"/>
          <w:spacing w:val="7"/>
          <w:sz w:val="44"/>
          <w:szCs w:val="44"/>
          <w:highlight w:val="none"/>
          <w:lang w:eastAsia="zh-CN"/>
        </w:rPr>
        <w:t xml:space="preserve">）</w:t>
      </w:r>
      <w:r/>
    </w:p>
    <w:tbl>
      <w:tblPr>
        <w:tblStyle w:val="874"/>
        <w:tblW w:w="12734" w:type="dxa"/>
        <w:jc w:val="center"/>
        <w:tblLayout w:type="fixed"/>
        <w:tblCellMar>
          <w:left w:w="108" w:type="dxa"/>
          <w:top w:w="0" w:type="dxa"/>
          <w:right w:w="108" w:type="dxa"/>
          <w:bottom w:w="0" w:type="dxa"/>
        </w:tblCellMar>
        <w:tblLook w:val="04A0" w:firstRow="1" w:lastRow="0" w:firstColumn="1" w:lastColumn="0" w:noHBand="0" w:noVBand="1"/>
      </w:tblPr>
      <w:tblGrid>
        <w:gridCol w:w="816"/>
        <w:gridCol w:w="752"/>
        <w:gridCol w:w="1344"/>
        <w:gridCol w:w="5924"/>
        <w:gridCol w:w="1530"/>
        <w:gridCol w:w="2368"/>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服务类别</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服务</w:t>
            </w:r>
            <w:r/>
          </w:p>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服务标准</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计费方式</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生活照料</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助餐</w:t>
            </w:r>
            <w:r/>
          </w:p>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送餐上门</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送餐运输工具应保持清洁卫生；餐具做到每餐消毒。</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bidi="ar"/>
              </w:rPr>
              <w:t xml:space="preserve">按次</w:t>
            </w:r>
            <w:r>
              <w:rPr>
                <w:rFonts w:hint="eastAsia" w:ascii="宋体" w:hAnsi="宋体" w:eastAsia="宋体" w:cs="宋体"/>
                <w:color w:val="000000"/>
                <w:sz w:val="22"/>
                <w:szCs w:val="22"/>
                <w:highlight w:val="none"/>
                <w:lang w:val="en-US" w:eastAsia="zh-CN"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不提供</w:t>
            </w:r>
            <w:r/>
          </w:p>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原材料</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上门做餐</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菜品自备，可协助购买；以老人要求为准，上门煮饭炒菜；整理厨房、清洁餐具。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rPr>
                <w:rFonts w:hint="eastAsia" w:ascii="宋体" w:hAnsi="宋体" w:eastAsia="宋体" w:cs="宋体"/>
                <w:color w:val="000000"/>
                <w:sz w:val="22"/>
                <w:szCs w:val="22"/>
                <w:highlight w:val="none"/>
                <w:lang w:val="en-US" w:eastAsia="zh-CN"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不提供</w:t>
            </w:r>
            <w:r/>
          </w:p>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原材料</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助浴</w:t>
            </w:r>
            <w:r/>
          </w:p>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助浴前应进行安全提示；助浴过程中应有家属或其他监护人在场，注重老人隐私保护，防止老人烫伤、摔倒，注意观察老年人身体情况，如遇老年人身体不适，协助采取相应应急措施；应根据四季气候状况和老年人居住条件,注意防寒保暖、防暑防湿及浴室通风。</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外出助浴</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选择有资质的公共洗浴场所或有公用沐浴设施的养老服务机构,往返途中确保安全;助浴前应进行安全提示;助浴过程中应有家属或其他监护人在场，防止老人烫伤、摔倒,注意观察老年人身体情况,如遇老年人身体不适,协助采取相应应急措施。</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不含接送费</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助洁</w:t>
            </w:r>
            <w:r/>
          </w:p>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居室清洁</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拖洗地面、室内除尘；根据老人具体需求进行日常居家整理。</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厨卫清洁</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对橱柜、灶台、洗碗池、地面等区域去污清洁。</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衣物洗涤</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以老年人需求为准,对日常衣物、床上用品进行清洁洗涤;包括季节交替生活用品的更换清洗，如清洗纱窗、擦洗凉席、换洗窗帘、换洗鞋类等。</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洗头理发</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由专业理发师上门;配备专业理发工具;包括洗头、理发、现场清理。</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rPr>
                <w:rFonts w:hint="eastAsia" w:ascii="宋体" w:hAnsi="宋体" w:eastAsia="宋体" w:cs="宋体"/>
                <w:color w:val="000000"/>
                <w:sz w:val="22"/>
                <w:szCs w:val="22"/>
                <w:highlight w:val="none"/>
                <w:lang w:val="en-US" w:eastAsia="zh-CN"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扦脚修甲</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由专业修脚师上门;配备专业扦脚工具;修脚刀片、垫脚巾，做到规范消毒、当面更换、一人一换;服务过程中主动与老人沟通，避免损伤甲床及周围皮肤。</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rPr>
                <w:rFonts w:hint="eastAsia" w:ascii="宋体" w:hAnsi="宋体" w:eastAsia="宋体" w:cs="宋体"/>
                <w:color w:val="000000"/>
                <w:sz w:val="22"/>
                <w:szCs w:val="22"/>
                <w:highlight w:val="none"/>
                <w:lang w:val="en-US" w:eastAsia="zh-CN"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清洗家电</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由专业师傅上门，配备专业清洗工具，对家电可拆卸部分进行拆卸清洗，确保家电内部清洁；并在清洗结束后恢复家电电源，确保机器正常运行。</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rPr>
                <w:rFonts w:hint="eastAsia" w:ascii="宋体" w:hAnsi="宋体" w:eastAsia="宋体" w:cs="宋体"/>
                <w:color w:val="000000"/>
                <w:sz w:val="22"/>
                <w:szCs w:val="22"/>
                <w:highlight w:val="none"/>
                <w:lang w:val="en-US" w:eastAsia="zh-CN"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空调、油烟机、洗衣机、冰箱等</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助医服务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陪同就诊</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陪同就诊的情形为常见病、慢性病复诊、辅助性检查;门诊注射、换药;陪同就诊应注意途中安全;及时向老人家属或其他监护人反馈就诊情况。</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不含交通费</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代为配药</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代为配药的范围为诊断明确、病情稳定、治疗方案确定的常见病、慢性病;代为配药一般到老年人居住地所在区域范围内的医疗机构;代为配药应做到当面清点钱款和药物等。</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助行服务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陪同外出</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一般在老年人住宅小区及周边区域内;应注意途中安全;使用助行器时应按使用说明操作。</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auto"/>
                <w:sz w:val="22"/>
                <w:szCs w:val="22"/>
                <w:highlight w:val="none"/>
                <w:lang w:bidi="ar"/>
              </w:rPr>
              <w:t xml:space="preserve">住</w:t>
            </w:r>
            <w:r>
              <w:rPr>
                <w:rFonts w:hint="eastAsia" w:ascii="宋体" w:hAnsi="宋体" w:eastAsia="宋体" w:cs="宋体"/>
                <w:color w:val="auto"/>
                <w:sz w:val="22"/>
                <w:szCs w:val="22"/>
                <w:highlight w:val="none"/>
                <w:lang w:val="en-US" w:eastAsia="zh-CN" w:bidi="ar"/>
              </w:rPr>
              <w:t xml:space="preserve">宅</w:t>
            </w:r>
            <w:r>
              <w:rPr>
                <w:rFonts w:hint="eastAsia" w:ascii="宋体" w:hAnsi="宋体" w:eastAsia="宋体" w:cs="宋体"/>
                <w:color w:val="auto"/>
                <w:sz w:val="22"/>
                <w:szCs w:val="22"/>
                <w:highlight w:val="none"/>
                <w:lang w:bidi="ar"/>
              </w:rPr>
              <w:t xml:space="preserve">周围半径0.5公里范围内</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不含交通费</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助急服务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开锁修锁</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由专业人员进行服务;维修过程中产生的材料费用另算。</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家电维修</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由专业人员进行服务;维修过程中产生的材料费用另算。</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由专业人员进行服务;维修过程中产生的材料费用另算。</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代办服务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代购、代领、代缴</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代办服务范围一般为日常生活事务，具体内容以老年人要求为准;代办服务时应当面清点钱物、证件、单据等。</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健康医疗类服务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健康管理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健康咨询</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由具备资质的医务人员开展服务﹔根据老年人健康状况提出用药指导、就医指导以及护理建议。</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上门体检</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由具备资质的医务人员开展服务﹔上门为老人量血压、测血糖、心电图测量等。</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推拿按摩</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由专业人员提供穴位推拿按摩。</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康复护理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个体康复</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应由专业人员开展服务﹔提供保健性和功能性康复训练;康复辅助应符合老年人的生理心理特点;康复辅助过程中应注意观察老年人的身体适应情况，防止损伤;康复辅助可根据需要配备相应的康复器具。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专业护理</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由专业人员为有需求的失能老年人，在家中提供专业的翻身、预防压疮、协助排痰、维持关节活动等服务。</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精神慰藉类服务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上门陪伴</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提供聊天、读报等服务，为老年人舒缓心情，排遣孤独;及时了解老年人兴趣爱好等情况，与老年人保持良性互动。</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心理咨询</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由持证专业心理咨询师提供服务。</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top w:val="single" w:color="000000" w:sz="4" w:space="0"/>
              <w:left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其他类服务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应急服务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关爱巡访</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bidi="ar"/>
              </w:rPr>
              <w:t xml:space="preserve">定期上门探访或者电话问询,及时了解老年人的情况，发现问题及时上报并协助解决。</w:t>
            </w:r>
            <w:r>
              <w:rPr>
                <w:rFonts w:hint="eastAsia" w:ascii="宋体" w:hAnsi="宋体" w:eastAsia="宋体" w:cs="宋体"/>
                <w:color w:val="000000"/>
                <w:sz w:val="22"/>
                <w:szCs w:val="22"/>
                <w:highlight w:val="none"/>
                <w:lang w:val="en-US" w:eastAsia="zh-CN" w:bidi="ar"/>
              </w:rPr>
              <w:t xml:space="preserve">通过小游戏、预防老年痴呆课程等方式开展精神慰藉。</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left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紧急救援</w:t>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接到紧急呼叫，应及时拨打120、110、119等救援电话并联络家属,并派人员及时赶到现场。</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按次</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40"/>
        </w:trPr>
        <w:tc>
          <w:tcPr>
            <w:shd w:val="clear" w:color="auto" w:fill="auto"/>
            <w:tcBorders>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个性化服务</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根据老年人需求，为老人提供</w:t>
            </w:r>
            <w:r>
              <w:rPr>
                <w:rFonts w:hint="eastAsia" w:ascii="宋体" w:hAnsi="宋体" w:eastAsia="宋体" w:cs="宋体"/>
                <w:color w:val="000000"/>
                <w:sz w:val="22"/>
                <w:szCs w:val="22"/>
                <w:highlight w:val="none"/>
                <w:lang w:bidi="ar"/>
              </w:rPr>
              <w:t xml:space="preserve">社工介入服务、生日关怀服务、咨询投诉服务等</w:t>
            </w:r>
            <w:r>
              <w:rPr>
                <w:rFonts w:hint="eastAsia" w:ascii="宋体" w:hAnsi="宋体" w:eastAsia="宋体" w:cs="宋体"/>
                <w:color w:val="000000"/>
                <w:sz w:val="22"/>
                <w:szCs w:val="22"/>
                <w:highlight w:val="none"/>
                <w:lang w:val="en-US" w:eastAsia="zh-CN" w:bidi="ar"/>
              </w:rPr>
              <w:t xml:space="preserve">各类个性化服务</w:t>
            </w:r>
            <w:r>
              <w:rPr>
                <w:rFonts w:hint="eastAsia" w:ascii="宋体" w:hAnsi="宋体" w:eastAsia="宋体" w:cs="宋体"/>
                <w:color w:val="000000"/>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按时</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pStyle w:val="879"/>
        <w:rPr>
          <w:highlight w:val="none"/>
        </w:rPr>
      </w:pPr>
      <w:r>
        <w:rPr>
          <w:highlight w:val="none"/>
        </w:rPr>
      </w:r>
      <w:r/>
    </w:p>
    <w:p>
      <w:pPr>
        <w:rPr>
          <w:highlight w:val="none"/>
        </w:rPr>
      </w:pPr>
      <w:r>
        <w:rPr>
          <w:highlight w:val="none"/>
        </w:rPr>
      </w:r>
      <w:r/>
    </w:p>
    <w:p>
      <w:pPr>
        <w:pStyle w:val="879"/>
        <w:rPr>
          <w:highlight w:val="none"/>
        </w:rPr>
      </w:pPr>
      <w:r>
        <w:rPr>
          <w:highlight w:val="none"/>
        </w:rPr>
      </w:r>
      <w:r/>
    </w:p>
    <w:p>
      <w:pPr>
        <w:rPr>
          <w:highlight w:val="none"/>
        </w:rPr>
      </w:pPr>
      <w:r>
        <w:rPr>
          <w:highlight w:val="none"/>
        </w:rPr>
      </w:r>
      <w:r/>
    </w:p>
    <w:p>
      <w:pPr>
        <w:pStyle w:val="879"/>
        <w:rPr>
          <w:highlight w:val="none"/>
        </w:rPr>
      </w:pPr>
      <w:r>
        <w:rPr>
          <w:highlight w:val="none"/>
        </w:rPr>
      </w:r>
      <w:r/>
    </w:p>
    <w:p>
      <w:pPr>
        <w:rPr>
          <w:highlight w:val="none"/>
        </w:rPr>
      </w:pPr>
      <w:r>
        <w:rPr>
          <w:highlight w:val="none"/>
        </w:rPr>
      </w:r>
      <w:r/>
    </w:p>
    <w:p>
      <w:pPr>
        <w:pStyle w:val="879"/>
        <w:rPr>
          <w:highlight w:val="none"/>
        </w:rPr>
        <w:sectPr>
          <w:footnotePr/>
          <w:endnotePr/>
          <w:type w:val="nextPage"/>
          <w:pgSz w:w="16838" w:h="11906" w:orient="landscape"/>
          <w:pgMar w:top="1440" w:right="1803" w:bottom="1440" w:left="1803" w:header="851" w:footer="992" w:gutter="0"/>
          <w:cols w:num="1" w:sep="0" w:space="0" w:equalWidth="1"/>
          <w:docGrid w:linePitch="360"/>
        </w:sectPr>
      </w:pPr>
      <w:r>
        <w:rPr>
          <w:highlight w:val="none"/>
        </w:rPr>
      </w:r>
      <w:r/>
    </w:p>
    <w:p>
      <w:pPr>
        <w:pStyle w:val="870"/>
        <w:jc w:val="center"/>
        <w:rPr>
          <w:rFonts w:ascii="宋体" w:hAnsi="宋体"/>
          <w:color w:val="auto"/>
          <w:highlight w:val="none"/>
        </w:rPr>
      </w:pPr>
      <w:r/>
      <w:bookmarkStart w:id="69" w:name="_Toc46"/>
      <w:r/>
      <w:bookmarkStart w:id="70" w:name="_Toc55204181"/>
      <w:r>
        <w:rPr>
          <w:rFonts w:hint="eastAsia" w:ascii="宋体" w:hAnsi="宋体"/>
          <w:color w:val="auto"/>
          <w:highlight w:val="none"/>
        </w:rPr>
        <w:t xml:space="preserve">第五章 评标方法及评标标准</w:t>
      </w:r>
      <w:bookmarkEnd w:id="69"/>
      <w:r/>
      <w:bookmarkEnd w:id="70"/>
      <w:r/>
      <w:r/>
    </w:p>
    <w:p>
      <w:pPr>
        <w:pStyle w:val="896"/>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89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color w:val="auto"/>
          <w:szCs w:val="21"/>
          <w:highlight w:val="none"/>
        </w:rPr>
      </w:pPr>
      <w:r/>
      <w:bookmarkStart w:id="71" w:name="_Toc449017024"/>
      <w:r/>
      <w:bookmarkStart w:id="72" w:name="_Toc449016388"/>
      <w:r>
        <w:rPr>
          <w:rFonts w:hint="eastAsia" w:ascii="宋体" w:hAnsi="宋体" w:eastAsia="宋体" w:cs="宋体"/>
          <w:b/>
          <w:color w:val="auto"/>
          <w:szCs w:val="21"/>
          <w:highlight w:val="none"/>
        </w:rPr>
        <w:t xml:space="preserve">二、政府采购政策功能落实</w:t>
      </w:r>
      <w:bookmarkEnd w:id="71"/>
      <w:r/>
      <w:bookmarkEnd w:id="7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6"/>
        <w:ind w:left="315" w:firstLine="1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9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89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（2）供应商需按照采购文件的要求提供相应的《企业声明函》。</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96"/>
        <w:ind w:left="315" w:firstLine="1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w:t>
      </w:r>
      <w:r/>
    </w:p>
    <w:p>
      <w:pPr>
        <w:pStyle w:val="89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后的价格参与评审。</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〔2017〕141号）。</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w:t>
      </w:r>
      <w:r/>
    </w:p>
    <w:p>
      <w:pPr>
        <w:pStyle w:val="896"/>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格扣除，用扣除后的价格参与评审。</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疆生产建设兵团)出具的属于监狱企业的证明文件。供应商如不提供上述证明文件，价格将</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不做相应扣除。</w:t>
      </w:r>
      <w:r/>
    </w:p>
    <w:p>
      <w:pPr>
        <w:pStyle w:val="896"/>
        <w:ind w:left="420"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9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位、监狱企业）组成联合体共同参加政府采购活动。联合协议中约定，小型、微型企业（残</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疾人福利单位、监狱企业）的协议合同金额占到联合体协议合同总金额30%以上的，给予联</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合体6%的价格扣除，用扣除后的价格参与评审。</w:t>
      </w:r>
      <w:r/>
    </w:p>
    <w:p>
      <w:pPr>
        <w:pStyle w:val="896"/>
        <w:ind w:left="42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6、联合体各方均为小型、微型企业（残疾人福利单位、监狱企业）的，联合体享受20%</w:t>
      </w:r>
      <w:r/>
    </w:p>
    <w:p>
      <w:pPr>
        <w:pStyle w:val="896"/>
        <w:ind w:left="420"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价格扣除，用扣除后的价格参与评审。</w:t>
      </w:r>
      <w:r/>
    </w:p>
    <w:p>
      <w:pPr>
        <w:pStyle w:val="89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896"/>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tbl>
      <w:tblPr>
        <w:tblStyle w:val="874"/>
        <w:tblW w:w="7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6755"/>
      </w:tblGrid>
      <w:tr>
        <w:trPr>
          <w:jc w:val="center"/>
          <w:trHeight w:val="799"/>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bookmarkStart w:id="73" w:name="_Hlk106627731"/>
            <w:r>
              <w:rPr>
                <w:rFonts w:hint="eastAsia" w:ascii="宋体" w:hAnsi="宋体" w:eastAsia="宋体" w:cs="宋体"/>
                <w:b/>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  分  标  准</w:t>
            </w:r>
            <w:r/>
          </w:p>
        </w:tc>
      </w:tr>
      <w:tr>
        <w:trPr>
          <w:jc w:val="center"/>
          <w:trHeight w:val="90"/>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价格</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满足招标文件要求且报价最低的供应商的价格为基准价，其价格分为满分10分。其他供应商的价格分统一按照下列公式计算：报价得分=(基准价／投标报价)×10×100%（保留二位小数）。</w:t>
            </w:r>
            <w:r/>
          </w:p>
          <w:p>
            <w:pPr>
              <w:jc w:val="left"/>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注：评审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jc w:val="center"/>
          <w:trHeight w:val="90"/>
        </w:trPr>
        <w:tc>
          <w:tcPr>
            <w:tcBorders>
              <w:top w:val="single" w:color="auto" w:sz="4" w:space="0"/>
              <w:left w:val="single" w:color="auto" w:sz="4" w:space="0"/>
              <w:right w:val="single" w:color="auto" w:sz="4" w:space="0"/>
            </w:tcBorders>
            <w:tcW w:w="1164" w:type="dxa"/>
            <w:vAlign w:val="center"/>
            <w:vMerge w:val="restart"/>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服务方案</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40</w:t>
            </w:r>
            <w:r>
              <w:rPr>
                <w:rFonts w:hint="eastAsia" w:ascii="宋体" w:hAnsi="宋体" w:eastAsia="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1、简要阐述当地居家养老服务现状、存在的问题，调查分析项目的重点、难点，并针对性地提出本项目的合理化建议和解决方案。</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主题突出，针对性强，得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基本符合项目需求，主题较突出，较有针对性，得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主题不太突出，描述欠缺，得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方案不可行或未提供不得分。</w:t>
            </w:r>
            <w:r/>
          </w:p>
        </w:tc>
      </w:tr>
      <w:tr>
        <w:trPr>
          <w:jc w:val="center"/>
          <w:trHeight w:val="4509"/>
        </w:trPr>
        <w:tc>
          <w:tcPr>
            <w:tcBorders>
              <w:top w:val="single" w:color="auto" w:sz="4" w:space="0"/>
              <w:left w:val="single" w:color="auto" w:sz="4" w:space="0"/>
              <w:right w:val="single" w:color="auto" w:sz="4" w:space="0"/>
            </w:tcBorders>
            <w:tcW w:w="1164" w:type="dxa"/>
            <w:vAlign w:val="center"/>
            <w:vMerge w:val="continue"/>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2、供应商针对本项目制定服务总体方案。</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供应商提供的实施方案的总体思路完整可行，符合本项目的要求，思路清晰、内容完整、合理性针对性强，完全能满足本项目的需求，切合当地实际情况，得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总体思路较清晰、内容较完整、合理性针对性较强，能满足项目需求，较能切合当地实际情况，得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总体思路内容简单、合理性针对性简单，基本满足项目需求，基本切合当地实际情况，得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方案不可行或未提供不得分。</w:t>
            </w:r>
            <w:r/>
          </w:p>
        </w:tc>
      </w:tr>
      <w:tr>
        <w:trPr>
          <w:jc w:val="center"/>
          <w:trHeight w:val="2781"/>
        </w:trPr>
        <w:tc>
          <w:tcPr>
            <w:tcBorders>
              <w:left w:val="single" w:color="auto" w:sz="4" w:space="0"/>
              <w:right w:val="single" w:color="auto" w:sz="4" w:space="0"/>
            </w:tcBorders>
            <w:tcW w:w="1164" w:type="dxa"/>
            <w:vAlign w:val="center"/>
            <w:vMerge w:val="continue"/>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auto" w:sz="4" w:space="0"/>
              <w:left w:val="single" w:color="auto" w:sz="4" w:space="0"/>
              <w:right w:val="single" w:color="auto" w:sz="4" w:space="0"/>
            </w:tcBorders>
            <w:tcW w:w="6755" w:type="dxa"/>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szCs w:val="21"/>
                <w:highlight w:val="none"/>
              </w:rPr>
              <w:t xml:space="preserve">服务特色与创新。根据老年人的不同需求、老年人所在社区的特点及服务团队的特色，为老年人提供定制个性化专业化服务。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服务有特色、有创新，科学、合理、全面、高效，得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较具有特色、较准确、较科学、较全面、较高效，得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基本合理、没有特色、描述简单，得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方案不可行或未提供不得分。</w:t>
            </w:r>
            <w:r/>
          </w:p>
        </w:tc>
      </w:tr>
      <w:tr>
        <w:trPr>
          <w:jc w:val="center"/>
          <w:trHeight w:val="3660"/>
        </w:trPr>
        <w:tc>
          <w:tcPr>
            <w:tcBorders>
              <w:left w:val="single" w:color="auto" w:sz="4" w:space="0"/>
              <w:right w:val="single" w:color="auto" w:sz="4" w:space="0"/>
            </w:tcBorders>
            <w:tcW w:w="1164" w:type="dxa"/>
            <w:vAlign w:val="center"/>
            <w:vMerge w:val="continue"/>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auto" w:sz="4" w:space="0"/>
              <w:left w:val="single" w:color="auto" w:sz="4" w:space="0"/>
              <w:right w:val="single" w:color="auto" w:sz="4" w:space="0"/>
            </w:tcBorders>
            <w:tcW w:w="6755" w:type="dxa"/>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color w:val="auto"/>
                <w:szCs w:val="21"/>
                <w:highlight w:val="none"/>
              </w:rPr>
              <w:t xml:space="preserve">行政文件资料等档案的建立与管理。供应商针对本项目拟设立的各项管理规章制度及档案资料的建立管理。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各项基本制度、内部岗位责任制度、管理运作制度、考核制度及标准等，要求符合规范，体现高标准、高档次、科学合理、详细完备，主题突出，针对性强，得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基本符合项目需求，较合理，较有针对性，得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基本合理，描述简单，得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方案不可行或未提供不得分。</w:t>
            </w:r>
            <w:r/>
          </w:p>
        </w:tc>
      </w:tr>
      <w:tr>
        <w:trPr>
          <w:jc w:val="center"/>
          <w:trHeight w:val="657"/>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服务团队</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32</w:t>
            </w:r>
            <w:r>
              <w:rPr>
                <w:rFonts w:hint="eastAsia" w:ascii="宋体" w:hAnsi="宋体" w:eastAsia="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①具有</w:t>
            </w:r>
            <w:r>
              <w:rPr>
                <w:rFonts w:hint="eastAsia" w:ascii="宋体" w:hAnsi="宋体" w:eastAsia="宋体" w:cs="宋体"/>
                <w:color w:val="auto"/>
                <w:szCs w:val="21"/>
                <w:highlight w:val="none"/>
                <w:lang w:val="en-US" w:eastAsia="zh-CN"/>
              </w:rPr>
              <w:t xml:space="preserve">助理社会工作师证书，得2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②具有</w:t>
            </w:r>
            <w:r>
              <w:rPr>
                <w:rFonts w:hint="eastAsia" w:ascii="宋体" w:hAnsi="宋体" w:eastAsia="宋体" w:cs="宋体"/>
                <w:color w:val="auto"/>
                <w:szCs w:val="21"/>
                <w:highlight w:val="none"/>
                <w:lang w:val="en-US" w:eastAsia="zh-CN"/>
              </w:rPr>
              <w:t xml:space="preserve">高级</w:t>
            </w:r>
            <w:r>
              <w:rPr>
                <w:rFonts w:hint="eastAsia" w:ascii="宋体" w:hAnsi="宋体" w:eastAsia="宋体" w:cs="宋体"/>
                <w:color w:val="auto"/>
                <w:szCs w:val="21"/>
                <w:highlight w:val="none"/>
              </w:rPr>
              <w:t xml:space="preserve">养老护理员证书，得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提供相关证书原件及其在供应商单位近三个月的社保缴纳证明资料上传。</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团队成员中（项目负责人除外）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20分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①具有助理社会工作师证书，每有1人得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②具有社会工作师证书，每有1人得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同一人员持有多本证书不重复计算，提供相关证书原件及其在供应商单位近三个月的社保缴纳证明资料上传，不提供不得分。</w:t>
            </w:r>
            <w:r/>
          </w:p>
          <w:p>
            <w:pPr>
              <w:jc w:val="left"/>
              <w:spacing w:line="360" w:lineRule="auto"/>
              <w:rPr>
                <w:rFonts w:hint="eastAsia" w:ascii="宋体" w:hAnsi="宋体" w:eastAsia="宋体" w:cs="宋体"/>
                <w:b/>
                <w:bCs/>
                <w:color w:val="auto"/>
                <w:szCs w:val="21"/>
                <w:highlight w:val="none"/>
              </w:rPr>
              <w:outlineLvl w:val="0"/>
            </w:pPr>
            <w:r>
              <w:rPr>
                <w:rFonts w:hint="eastAsia" w:ascii="宋体" w:hAnsi="宋体" w:eastAsia="宋体" w:cs="宋体"/>
                <w:color w:val="auto"/>
                <w:szCs w:val="21"/>
                <w:highlight w:val="none"/>
              </w:rPr>
              <w:t xml:space="preserve">3、供应商拟投入持证养老服务团队人数：1-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（不含）人得1分，</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（含）-1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（不含）人的得2分；1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（含）-</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（不含）人的得3分；</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（含）人及以上的得6分。本项满分6分（</w:t>
            </w:r>
            <w:r>
              <w:rPr>
                <w:rFonts w:hint="eastAsia" w:ascii="宋体" w:hAnsi="宋体" w:eastAsia="宋体" w:cs="宋体"/>
                <w:b/>
                <w:color w:val="auto"/>
                <w:szCs w:val="21"/>
                <w:highlight w:val="none"/>
              </w:rPr>
              <w:t xml:space="preserve">提供团队花名册以及相关证明材料上传，不提供不得分</w:t>
            </w:r>
            <w:r>
              <w:rPr>
                <w:rFonts w:hint="eastAsia" w:ascii="宋体" w:hAnsi="宋体" w:eastAsia="宋体" w:cs="宋体"/>
                <w:color w:val="auto"/>
                <w:szCs w:val="21"/>
                <w:highlight w:val="none"/>
              </w:rPr>
              <w:t xml:space="preserve">）。</w:t>
            </w:r>
            <w:r/>
          </w:p>
        </w:tc>
      </w:tr>
      <w:tr>
        <w:trPr>
          <w:jc w:val="center"/>
          <w:trHeight w:val="1091"/>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业绩</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55" w:type="dxa"/>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自2020年1月1日以来，供应商承担过类似服务项目，每有一个项目得2分，本项满分</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（以合同签订日期为准，原件扫描上传系统）</w:t>
            </w:r>
            <w:r/>
          </w:p>
        </w:tc>
      </w:tr>
      <w:tr>
        <w:trPr>
          <w:jc w:val="center"/>
          <w:trHeight w:val="6962"/>
        </w:trPr>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企业实力</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0</w:t>
            </w:r>
            <w:r>
              <w:rPr>
                <w:rFonts w:hint="eastAsia" w:ascii="宋体" w:hAnsi="宋体" w:eastAsia="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55" w:type="dxa"/>
            <w:vAlign w:val="top"/>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1、评估等级或信用等级（4分）</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①供应商为社会组织的：具有社会组织评估等级，1A得1分，2A得2分，3A得3分，4A及以上得4分。</w:t>
            </w:r>
            <w:r/>
          </w:p>
          <w:p>
            <w:pPr>
              <w:pStyle w:val="87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②供应商为企业的：具有第三方出具的信用等级报告，</w:t>
            </w:r>
            <w:r>
              <w:rPr>
                <w:rFonts w:hint="eastAsia" w:ascii="宋体" w:hAnsi="宋体" w:eastAsia="宋体" w:cs="宋体"/>
                <w:color w:val="auto"/>
                <w:szCs w:val="21"/>
                <w:highlight w:val="none"/>
              </w:rPr>
              <w:t xml:space="preserve">1A得2分，2A得3分，3A得4分。</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t xml:space="preserve">需提供有效期内的证书原件扫描上传，不提供不得分。</w:t>
            </w:r>
            <w:r/>
          </w:p>
          <w:p>
            <w:pPr>
              <w:pStyle w:val="87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2、2020年1月1日至今，供应商获得（4分）：</w:t>
            </w:r>
            <w:r/>
          </w:p>
          <w:p>
            <w:pPr>
              <w:pStyle w:val="87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val="en-US" w:eastAsia="zh-CN"/>
              </w:rPr>
              <w:t xml:space="preserve">市</w:t>
            </w:r>
            <w:r>
              <w:rPr>
                <w:rFonts w:hint="eastAsia" w:ascii="宋体" w:hAnsi="宋体" w:eastAsia="宋体" w:cs="宋体"/>
                <w:color w:val="auto"/>
                <w:szCs w:val="21"/>
                <w:highlight w:val="none"/>
              </w:rPr>
              <w:t xml:space="preserve">级及以上相关行政机关为单位或个人颁发的养老服务、社会组织服务相关内容的荣誉，每有1个得1分，最多得2分；</w:t>
            </w:r>
            <w:r/>
          </w:p>
          <w:p>
            <w:pPr>
              <w:pStyle w:val="879"/>
              <w:ind w:left="0"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②市级及以上报刊、新闻媒体报道，每有1个得1分，最多得2分。</w:t>
            </w:r>
            <w:r/>
          </w:p>
          <w:p>
            <w:pPr>
              <w:pStyle w:val="879"/>
              <w:ind w:left="0"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（提供相关荣誉证书、网上公示文件或报道原文上传系统，不提供不得分）。</w:t>
            </w:r>
            <w:r/>
          </w:p>
          <w:p>
            <w:pPr>
              <w:pStyle w:val="879"/>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3、供应商拥有居家养老服务中心网点2个及以上的，得2分；1个网点的，得1分。本项满分2分。</w:t>
            </w:r>
            <w:r>
              <w:rPr>
                <w:rFonts w:hint="eastAsia" w:ascii="宋体" w:hAnsi="宋体" w:eastAsia="宋体" w:cs="宋体"/>
                <w:b/>
                <w:bCs/>
                <w:color w:val="auto"/>
                <w:szCs w:val="21"/>
                <w:highlight w:val="none"/>
              </w:rPr>
              <w:t xml:space="preserve">（提供证明材料以及网点照片，上传系统，不提供不得分）</w:t>
            </w:r>
            <w:bookmarkEnd w:id="73"/>
            <w:r/>
            <w:r/>
          </w:p>
        </w:tc>
      </w:tr>
    </w:tbl>
    <w:p>
      <w:pPr>
        <w:rPr>
          <w:color w:val="auto"/>
          <w:highlight w:val="none"/>
        </w:rPr>
      </w:pPr>
      <w:r>
        <w:rPr>
          <w:color w:val="auto"/>
          <w:highlight w:val="none"/>
        </w:rPr>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9"/>
        <w:ind w:left="1260"/>
        <w:rPr>
          <w:color w:val="auto"/>
          <w:highlight w:val="none"/>
        </w:rPr>
      </w:pPr>
      <w:r>
        <w:rPr>
          <w:color w:val="auto"/>
          <w:highlight w:val="none"/>
        </w:rPr>
      </w:r>
      <w:r/>
    </w:p>
    <w:p>
      <w:pPr>
        <w:rPr>
          <w:color w:val="auto"/>
          <w:highlight w:val="none"/>
        </w:rPr>
      </w:pPr>
      <w:r>
        <w:rPr>
          <w:color w:val="auto"/>
          <w:highlight w:val="none"/>
        </w:rPr>
      </w:r>
      <w:r/>
    </w:p>
    <w:p>
      <w:pPr>
        <w:pStyle w:val="870"/>
        <w:jc w:val="center"/>
        <w:rPr>
          <w:rFonts w:ascii="宋体" w:hAnsi="宋体"/>
          <w:color w:val="auto"/>
          <w:highlight w:val="none"/>
        </w:rPr>
      </w:pPr>
      <w:r>
        <w:rPr>
          <w:rFonts w:hint="eastAsia" w:ascii="宋体" w:hAnsi="宋体"/>
          <w:color w:val="auto"/>
          <w:highlight w:val="none"/>
        </w:rPr>
        <w:t xml:space="preserve"> </w:t>
      </w:r>
      <w:bookmarkStart w:id="74" w:name="_Toc17789"/>
      <w:r>
        <w:rPr>
          <w:rFonts w:hint="eastAsia" w:ascii="宋体" w:hAnsi="宋体"/>
          <w:color w:val="auto"/>
          <w:highlight w:val="none"/>
        </w:rPr>
        <w:t xml:space="preserve">第六章 投标文件格式</w:t>
      </w:r>
      <w:bookmarkEnd w:id="74"/>
      <w:r>
        <w:rPr>
          <w:rFonts w:hint="eastAsia" w:ascii="宋体" w:hAnsi="宋体"/>
          <w:color w:val="auto"/>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879"/>
        <w:ind w:left="1260"/>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71"/>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75" w:name="_Toc16511"/>
      <w:r/>
      <w:bookmarkStart w:id="76" w:name="_Toc334"/>
      <w:r>
        <w:rPr>
          <w:rFonts w:hint="eastAsia" w:asciiTheme="minorEastAsia" w:hAnsiTheme="minorEastAsia" w:eastAsiaTheme="minorEastAsia"/>
          <w:color w:val="auto"/>
          <w:sz w:val="32"/>
          <w:highlight w:val="none"/>
        </w:rPr>
        <w:t xml:space="preserve">一、资格审查响应对照表</w:t>
      </w:r>
      <w:bookmarkEnd w:id="75"/>
      <w:r/>
      <w:bookmarkEnd w:id="76"/>
      <w:r/>
      <w:r/>
    </w:p>
    <w:tbl>
      <w:tblPr>
        <w:tblStyle w:val="874"/>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根据《政府采购促进中小企业发展管理办法》的规定，本项目专门面向中小企业采购，供应商响应时须提供《中小企业申明函》，《中小企业申明函》不符合要求或未提供的，响应文件无效。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rPr>
                <w:rFonts w:ascii="宋体" w:hAnsi="宋体"/>
                <w:iCs/>
                <w:color w:val="auto"/>
                <w:szCs w:val="21"/>
                <w:highlight w:val="none"/>
              </w:rPr>
            </w:pPr>
            <w:r>
              <w:rPr>
                <w:rFonts w:ascii="宋体" w:hAnsi="宋体"/>
                <w:iCs/>
                <w:color w:val="auto"/>
                <w:szCs w:val="21"/>
                <w:highlight w:val="none"/>
              </w:rPr>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879"/>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879"/>
        <w:ind w:left="1260"/>
        <w:rPr>
          <w:color w:val="auto"/>
          <w:highlight w:val="none"/>
        </w:rPr>
      </w:pPr>
      <w:r>
        <w:rPr>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96"/>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扬州中科项目管理有限公司</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7"/>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9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89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89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89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89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897"/>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bCs/>
          <w:color w:val="auto"/>
          <w:highlight w:val="none"/>
        </w:rPr>
        <w:t xml:space="preserve">被授权人身份证复印</w:t>
      </w:r>
      <w:r/>
    </w:p>
    <w:p>
      <w:pPr>
        <w:rPr>
          <w:rFonts w:ascii="宋体" w:hAnsi="宋体"/>
          <w:b/>
          <w:color w:val="auto"/>
          <w:sz w:val="32"/>
          <w:szCs w:val="32"/>
          <w:highlight w:val="none"/>
        </w:rPr>
      </w:pPr>
      <w:r>
        <w:rPr>
          <w:rFonts w:ascii="宋体" w:hAnsi="宋体"/>
          <w:b/>
          <w:color w:val="auto"/>
          <w:sz w:val="32"/>
          <w:szCs w:val="32"/>
          <w:highlight w:val="none"/>
        </w:rPr>
      </w:r>
      <w:r/>
    </w:p>
    <w:p>
      <w:pPr>
        <w:pStyle w:val="871"/>
        <w:rPr>
          <w:rFonts w:asciiTheme="minorEastAsia" w:hAnsiTheme="minorEastAsia" w:eastAsiaTheme="minorEastAsia"/>
          <w:color w:val="auto"/>
          <w:sz w:val="32"/>
          <w:highlight w:val="none"/>
        </w:rPr>
      </w:pPr>
      <w:r/>
      <w:bookmarkStart w:id="77" w:name="_Toc24286"/>
      <w:r/>
      <w:bookmarkStart w:id="78" w:name="_Toc18646"/>
      <w:r>
        <w:rPr>
          <w:rFonts w:hint="eastAsia" w:asciiTheme="minorEastAsia" w:hAnsiTheme="minorEastAsia" w:eastAsiaTheme="minorEastAsia"/>
          <w:color w:val="auto"/>
          <w:sz w:val="32"/>
          <w:highlight w:val="none"/>
        </w:rPr>
        <w:t xml:space="preserve">二、符合性审查响应对照表</w:t>
      </w:r>
      <w:bookmarkEnd w:id="77"/>
      <w:r/>
      <w:bookmarkEnd w:id="78"/>
      <w:r/>
      <w:r/>
    </w:p>
    <w:p>
      <w:pPr>
        <w:rPr>
          <w:rFonts w:ascii="宋体" w:hAnsi="宋体"/>
          <w:b/>
          <w:color w:val="auto"/>
          <w:sz w:val="32"/>
          <w:szCs w:val="32"/>
          <w:highlight w:val="none"/>
        </w:rPr>
      </w:pPr>
      <w:r>
        <w:rPr>
          <w:rFonts w:ascii="宋体" w:hAnsi="宋体"/>
          <w:b/>
          <w:color w:val="auto"/>
          <w:sz w:val="32"/>
          <w:szCs w:val="32"/>
          <w:highlight w:val="none"/>
        </w:rPr>
      </w:r>
      <w:r/>
    </w:p>
    <w:tbl>
      <w:tblPr>
        <w:tblStyle w:val="87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71"/>
        <w:rPr>
          <w:rFonts w:asciiTheme="minorEastAsia" w:hAnsiTheme="minorEastAsia" w:eastAsiaTheme="minorEastAsia"/>
          <w:color w:val="auto"/>
          <w:sz w:val="32"/>
          <w:highlight w:val="none"/>
        </w:rPr>
      </w:pPr>
      <w:r/>
      <w:bookmarkStart w:id="79" w:name="_Toc30459"/>
      <w:r/>
      <w:bookmarkStart w:id="80" w:name="_Toc29992"/>
      <w:r>
        <w:rPr>
          <w:rFonts w:hint="eastAsia" w:asciiTheme="minorEastAsia" w:hAnsiTheme="minorEastAsia" w:eastAsiaTheme="minorEastAsia"/>
          <w:color w:val="auto"/>
          <w:sz w:val="32"/>
          <w:highlight w:val="none"/>
        </w:rPr>
        <w:t xml:space="preserve">三、非实质性响应对照表</w:t>
      </w:r>
      <w:bookmarkEnd w:id="79"/>
      <w:r/>
      <w:bookmarkEnd w:id="80"/>
      <w:r/>
      <w:r/>
    </w:p>
    <w:p>
      <w:pPr>
        <w:rPr>
          <w:rFonts w:ascii="宋体" w:hAnsi="宋体"/>
          <w:b/>
          <w:color w:val="auto"/>
          <w:sz w:val="32"/>
          <w:szCs w:val="32"/>
          <w:highlight w:val="none"/>
        </w:rPr>
      </w:pPr>
      <w:r>
        <w:rPr>
          <w:rFonts w:ascii="宋体" w:hAnsi="宋体"/>
          <w:b/>
          <w:color w:val="auto"/>
          <w:sz w:val="32"/>
          <w:szCs w:val="32"/>
          <w:highlight w:val="none"/>
        </w:rPr>
      </w:r>
      <w:r/>
    </w:p>
    <w:tbl>
      <w:tblPr>
        <w:tblStyle w:val="87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ascii="宋体" w:hAnsi="宋体" w:cs="宋体"/>
          <w:color w:val="auto"/>
          <w:highlight w:val="none"/>
          <w:u w:val="single"/>
        </w:rPr>
        <w:t xml:space="preserve">其他未列明行业</w:t>
      </w:r>
      <w:r>
        <w:rPr>
          <w:rFonts w:hint="eastAsia"/>
          <w:color w:val="auto"/>
          <w:highlight w:val="none"/>
          <w:u w:val="single"/>
        </w:rPr>
        <w:t xml:space="preserve">）</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871"/>
        <w:spacing w:before="300" w:after="300" w:line="360" w:lineRule="auto"/>
        <w:widowControl/>
        <w:rPr>
          <w:rFonts w:ascii="宋体" w:hAnsi="宋体" w:eastAsia="宋体"/>
          <w:color w:val="auto"/>
          <w:sz w:val="21"/>
          <w:szCs w:val="21"/>
          <w:highlight w:val="none"/>
        </w:rPr>
      </w:pPr>
      <w:r/>
      <w:bookmarkStart w:id="81" w:name="_Toc19422"/>
      <w:r/>
      <w:bookmarkStart w:id="82" w:name="_Toc4841"/>
      <w:r>
        <w:rPr>
          <w:rFonts w:hint="eastAsia" w:ascii="宋体" w:hAnsi="宋体" w:eastAsia="宋体" w:cs="微软雅黑"/>
          <w:bCs w:val="0"/>
          <w:color w:val="auto"/>
          <w:sz w:val="21"/>
          <w:szCs w:val="21"/>
          <w:highlight w:val="none"/>
        </w:rPr>
        <w:t xml:space="preserve">中小微企业划型标准 </w:t>
      </w:r>
      <w:bookmarkEnd w:id="81"/>
      <w:r/>
      <w:bookmarkEnd w:id="82"/>
      <w:r/>
      <w:r/>
    </w:p>
    <w:p>
      <w:pPr>
        <w:pStyle w:val="886"/>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887"/>
          <w:rFonts w:hint="eastAsia" w:ascii="宋体" w:hAnsi="宋体" w:cs="仿宋"/>
          <w:color w:val="auto"/>
          <w:sz w:val="21"/>
          <w:szCs w:val="21"/>
          <w:highlight w:val="none"/>
        </w:rPr>
        <w:t xml:space="preserve">中小微企业划型标准如下：</w:t>
      </w:r>
      <w:r/>
    </w:p>
    <w:tbl>
      <w:tblPr>
        <w:tblStyle w:val="87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86"/>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86"/>
              <w:ind w:firstLine="420"/>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auto"/>
                <w:sz w:val="21"/>
                <w:szCs w:val="21"/>
                <w:highlight w:val="none"/>
              </w:rPr>
            </w:pPr>
            <w:r>
              <w:rPr>
                <w:rStyle w:val="887"/>
                <w:rFonts w:hint="eastAsia" w:ascii="宋体" w:hAnsi="宋体" w:cs="仿宋"/>
                <w:color w:val="auto"/>
                <w:sz w:val="21"/>
                <w:szCs w:val="21"/>
                <w:highlight w:val="none"/>
              </w:rPr>
              <w:t xml:space="preserve">X＜10</w:t>
            </w:r>
            <w:r/>
          </w:p>
        </w:tc>
      </w:tr>
    </w:tbl>
    <w:p>
      <w:pPr>
        <w:pStyle w:val="886"/>
        <w:ind w:firstLine="810"/>
        <w:spacing w:before="300" w:after="452" w:line="360" w:lineRule="auto"/>
        <w:widowControl/>
        <w:rPr>
          <w:rStyle w:val="887"/>
          <w:rFonts w:ascii="宋体" w:hAnsi="宋体" w:cs="仿宋"/>
          <w:color w:val="auto"/>
          <w:sz w:val="21"/>
          <w:szCs w:val="21"/>
          <w:highlight w:val="none"/>
        </w:rPr>
      </w:pPr>
      <w:r>
        <w:rPr>
          <w:rStyle w:val="88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72"/>
        <w:rPr>
          <w:rStyle w:val="887"/>
          <w:rFonts w:cs="仿宋"/>
          <w:b w:val="0"/>
          <w:color w:val="auto"/>
          <w:sz w:val="21"/>
          <w:szCs w:val="21"/>
          <w:highlight w:val="none"/>
        </w:rPr>
      </w:pPr>
      <w:r>
        <w:rPr>
          <w:rStyle w:val="887"/>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hint="eastAsia" w:ascii="宋体" w:hAnsi="宋体"/>
          <w:b/>
          <w:color w:val="auto"/>
          <w:sz w:val="32"/>
          <w:szCs w:val="32"/>
          <w:highlight w:val="none"/>
        </w:rPr>
        <w:br w:type="page" w:clear="all"/>
      </w:r>
      <w:r/>
    </w:p>
    <w:p>
      <w:pPr>
        <w:pStyle w:val="871"/>
        <w:ind w:firstLine="3213"/>
        <w:jc w:val="both"/>
        <w:spacing w:line="360" w:lineRule="auto"/>
        <w:rPr>
          <w:rFonts w:eastAsia="仿宋_GB2312"/>
          <w:color w:val="auto"/>
          <w:sz w:val="24"/>
          <w:szCs w:val="20"/>
          <w:highlight w:val="none"/>
        </w:rPr>
      </w:pPr>
      <w:r/>
      <w:bookmarkStart w:id="83" w:name="_Toc29101"/>
      <w:r/>
      <w:bookmarkStart w:id="84" w:name="_Toc28221"/>
      <w:r>
        <w:rPr>
          <w:rFonts w:hint="eastAsia" w:ascii="宋体" w:hAnsi="宋体" w:eastAsia="宋体" w:cs="Times New Roman"/>
          <w:bCs w:val="0"/>
          <w:color w:val="auto"/>
          <w:sz w:val="32"/>
          <w:szCs w:val="32"/>
          <w:highlight w:val="none"/>
        </w:rPr>
        <w:t xml:space="preserve">四、</w:t>
      </w:r>
      <w:r>
        <w:rPr>
          <w:rFonts w:hint="eastAsia" w:ascii="宋体" w:hAnsi="宋体"/>
          <w:color w:val="auto"/>
          <w:sz w:val="32"/>
          <w:szCs w:val="32"/>
          <w:highlight w:val="none"/>
        </w:rPr>
        <w:t xml:space="preserve">开标一览表</w:t>
      </w:r>
      <w:bookmarkEnd w:id="83"/>
      <w:r/>
      <w:bookmarkEnd w:id="84"/>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87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7"/>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05"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877"/>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9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89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71"/>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875"/>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71"/>
        <w:ind w:firstLine="3213"/>
        <w:jc w:val="both"/>
        <w:rPr>
          <w:rFonts w:ascii="宋体" w:hAnsi="宋体" w:eastAsia="宋体" w:cs="Times New Roman"/>
          <w:bCs w:val="0"/>
          <w:color w:val="auto"/>
          <w:sz w:val="32"/>
          <w:szCs w:val="32"/>
          <w:highlight w:val="none"/>
        </w:rPr>
      </w:pPr>
      <w:r/>
      <w:bookmarkStart w:id="85" w:name="_Toc31513"/>
      <w:r/>
      <w:bookmarkStart w:id="86" w:name="_Toc2974"/>
      <w:r/>
      <w:bookmarkStart w:id="87" w:name="_Toc113352361"/>
      <w:r>
        <w:rPr>
          <w:rFonts w:hint="eastAsia" w:ascii="宋体" w:hAnsi="宋体" w:eastAsia="宋体" w:cs="Times New Roman"/>
          <w:bCs w:val="0"/>
          <w:color w:val="auto"/>
          <w:sz w:val="32"/>
          <w:szCs w:val="32"/>
          <w:highlight w:val="none"/>
        </w:rPr>
        <w:t xml:space="preserve">五、分项报价表</w:t>
      </w:r>
      <w:bookmarkEnd w:id="85"/>
      <w:r/>
      <w:bookmarkEnd w:id="86"/>
      <w:r/>
      <w:bookmarkEnd w:id="87"/>
      <w:r/>
      <w:r/>
    </w:p>
    <w:tbl>
      <w:tblPr>
        <w:tblStyle w:val="87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29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71"/>
        <w:rPr>
          <w:rFonts w:asciiTheme="minorEastAsia" w:hAnsiTheme="minorEastAsia" w:eastAsiaTheme="minorEastAsia"/>
          <w:color w:val="auto"/>
          <w:sz w:val="32"/>
          <w:highlight w:val="none"/>
        </w:rPr>
      </w:pPr>
      <w:r/>
      <w:bookmarkStart w:id="88" w:name="_Toc16416"/>
      <w:r/>
      <w:bookmarkStart w:id="89" w:name="_Toc13166"/>
      <w:r>
        <w:rPr>
          <w:rFonts w:hint="eastAsia" w:asciiTheme="minorEastAsia" w:hAnsiTheme="minorEastAsia" w:eastAsiaTheme="minorEastAsia"/>
          <w:color w:val="auto"/>
          <w:sz w:val="32"/>
          <w:highlight w:val="none"/>
        </w:rPr>
        <w:t xml:space="preserve">六、技术参数响应及偏离表</w:t>
      </w:r>
      <w:bookmarkEnd w:id="88"/>
      <w:r/>
      <w:bookmarkEnd w:id="89"/>
      <w:r/>
      <w:r/>
    </w:p>
    <w:tbl>
      <w:tblPr>
        <w:tblStyle w:val="87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71"/>
        <w:rPr>
          <w:rFonts w:ascii="宋体" w:hAnsi="宋体" w:eastAsia="宋体" w:cs="Times New Roman"/>
          <w:bCs w:val="0"/>
          <w:color w:val="auto"/>
          <w:sz w:val="32"/>
          <w:szCs w:val="32"/>
          <w:highlight w:val="none"/>
        </w:rPr>
      </w:pPr>
      <w:r/>
      <w:bookmarkStart w:id="90" w:name="_Hlt26955054"/>
      <w:r/>
      <w:bookmarkEnd w:id="90"/>
      <w:r/>
      <w:bookmarkStart w:id="91" w:name="_Toc113352363"/>
      <w:r/>
      <w:bookmarkStart w:id="92" w:name="_Toc28234"/>
      <w:r/>
      <w:bookmarkStart w:id="93" w:name="_Toc31590"/>
      <w:r>
        <w:rPr>
          <w:rFonts w:hint="eastAsia" w:ascii="宋体" w:hAnsi="宋体" w:eastAsia="宋体" w:cs="Times New Roman"/>
          <w:bCs w:val="0"/>
          <w:color w:val="auto"/>
          <w:sz w:val="32"/>
          <w:szCs w:val="32"/>
          <w:highlight w:val="none"/>
        </w:rPr>
        <w:t xml:space="preserve">七、商务条款响应及偏离表</w:t>
      </w:r>
      <w:bookmarkEnd w:id="91"/>
      <w:r/>
      <w:bookmarkEnd w:id="92"/>
      <w:r/>
      <w:bookmarkEnd w:id="93"/>
      <w:r/>
      <w:r/>
    </w:p>
    <w:tbl>
      <w:tblPr>
        <w:tblStyle w:val="874"/>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75"/>
        <w:ind w:firstLine="480"/>
        <w:rPr>
          <w:rFonts w:ascii="宋体" w:hAnsi="宋体"/>
          <w:color w:val="auto"/>
          <w:sz w:val="24"/>
          <w:highlight w:val="none"/>
        </w:rPr>
      </w:pPr>
      <w:r/>
      <w:bookmarkStart w:id="94" w:name="_Hlt26609389"/>
      <w:r/>
      <w:bookmarkEnd w:id="94"/>
      <w:r/>
      <w:bookmarkStart w:id="95" w:name="_Hlt26671374"/>
      <w:r/>
      <w:bookmarkEnd w:id="95"/>
      <w:r/>
      <w:bookmarkStart w:id="96" w:name="_Hlt26955066"/>
      <w:r/>
      <w:bookmarkEnd w:id="96"/>
      <w:r/>
      <w:bookmarkStart w:id="97" w:name="_Toc462564146"/>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hint="eastAsia" w:ascii="宋体" w:hAnsi="宋体"/>
          <w:color w:val="auto"/>
          <w:sz w:val="24"/>
          <w:highlight w:val="none"/>
        </w:rPr>
        <w:t xml:space="preserve">.</w:t>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r/>
    </w:p>
    <w:p>
      <w:pPr>
        <w:pStyle w:val="875"/>
        <w:ind w:firstLine="480"/>
        <w:rPr>
          <w:rFonts w:ascii="宋体" w:hAnsi="宋体"/>
          <w:color w:val="auto"/>
          <w:sz w:val="24"/>
          <w:highlight w:val="none"/>
        </w:rPr>
      </w:pPr>
      <w:r>
        <w:rPr>
          <w:rFonts w:ascii="宋体" w:hAnsi="宋体"/>
          <w:color w:val="auto"/>
          <w:sz w:val="24"/>
          <w:highlight w:val="none"/>
        </w:rPr>
      </w:r>
      <w:bookmarkEnd w:id="97"/>
      <w:r/>
      <w:r/>
    </w:p>
    <w:p>
      <w:pPr>
        <w:jc w:val="left"/>
        <w:widowControl/>
        <w:rPr>
          <w:rFonts w:ascii="宋体" w:hAnsi="宋体"/>
          <w:b/>
          <w:color w:val="auto"/>
          <w:highlight w:val="none"/>
        </w:rPr>
      </w:pPr>
      <w:r/>
      <w:bookmarkStart w:id="98" w:name="_格式2__法定代表人授权书"/>
      <w:r/>
      <w:bookmarkEnd w:id="98"/>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7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rPr>
          <w:color w:val="auto"/>
          <w:highlight w:val="none"/>
        </w:rPr>
      </w:pPr>
      <w:r>
        <w:rPr>
          <w:color w:val="auto"/>
          <w:highlight w:val="none"/>
        </w:rPr>
      </w:r>
      <w:r/>
    </w:p>
    <w:p>
      <w:pPr>
        <w:jc w:val="left"/>
        <w:spacing w:before="100" w:beforeAutospacing="1" w:after="143"/>
        <w:widowControl/>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Fonts w:hint="eastAsia" w:eastAsia="宋体"/>
        <w:lang w:eastAsia="zh-CN"/>
      </w:rPr>
    </w:pPr>
    <w:r>
      <w:rPr>
        <w:rFonts w:hint="eastAsia"/>
        <w:lang w:eastAsia="zh-CN"/>
      </w:rPr>
      <w:t xml:space="preserve">JSZC-321092-YZZK-G2024-0005</w:t>
    </w:r>
    <w:r>
      <w:rPr>
        <w:rFonts w:hint="eastAsia"/>
      </w:rPr>
      <w:t xml:space="preserve">                                          </w:t>
    </w:r>
    <w:r>
      <w:rPr>
        <w:rFonts w:hint="eastAsia"/>
        <w:lang w:eastAsia="zh-CN"/>
      </w:rPr>
      <w:t xml:space="preserve">扬州中科项目管理有限公司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rPr>
        <w:rFonts w:hint="eastAsia" w:eastAsia="宋体"/>
        <w:lang w:eastAsia="zh-CN"/>
      </w:rPr>
    </w:pPr>
    <w:r>
      <w:rPr>
        <w:rFonts w:hint="eastAsia"/>
        <w:lang w:eastAsia="zh-CN"/>
      </w:rPr>
      <w:t xml:space="preserve">JSZC-321092-YZZK-G2024-0005</w:t>
    </w:r>
    <w:r>
      <w:tab/>
    </w:r>
    <w:r>
      <w:rPr>
        <w:rFonts w:hint="eastAsia"/>
      </w:rPr>
      <w:t xml:space="preserve">                                     </w:t>
    </w:r>
    <w:r>
      <w:rPr>
        <w:rFonts w:hint="eastAsia"/>
        <w:lang w:eastAsia="zh-CN"/>
      </w:rPr>
      <w:t xml:space="preserve">扬州中科项目管理有限公司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5"/>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3"/>
    <w:link w:val="870"/>
    <w:uiPriority w:val="9"/>
    <w:rPr>
      <w:rFonts w:ascii="Arial" w:hAnsi="Arial" w:eastAsia="Arial" w:cs="Arial"/>
      <w:sz w:val="40"/>
      <w:szCs w:val="40"/>
    </w:rPr>
  </w:style>
  <w:style w:type="character" w:styleId="701">
    <w:name w:val="Heading 2 Char"/>
    <w:basedOn w:val="873"/>
    <w:link w:val="871"/>
    <w:uiPriority w:val="9"/>
    <w:rPr>
      <w:rFonts w:ascii="Arial" w:hAnsi="Arial" w:eastAsia="Arial" w:cs="Arial"/>
      <w:sz w:val="34"/>
    </w:rPr>
  </w:style>
  <w:style w:type="character" w:styleId="702">
    <w:name w:val="Heading 3 Char"/>
    <w:basedOn w:val="873"/>
    <w:link w:val="872"/>
    <w:uiPriority w:val="9"/>
    <w:rPr>
      <w:rFonts w:ascii="Arial" w:hAnsi="Arial" w:eastAsia="Arial" w:cs="Arial"/>
      <w:sz w:val="30"/>
      <w:szCs w:val="30"/>
    </w:rPr>
  </w:style>
  <w:style w:type="paragraph" w:styleId="703">
    <w:name w:val="Heading 4"/>
    <w:basedOn w:val="869"/>
    <w:next w:val="869"/>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3"/>
    <w:link w:val="703"/>
    <w:uiPriority w:val="9"/>
    <w:rPr>
      <w:rFonts w:ascii="Arial" w:hAnsi="Arial" w:eastAsia="Arial" w:cs="Arial"/>
      <w:b/>
      <w:bCs/>
      <w:sz w:val="26"/>
      <w:szCs w:val="26"/>
    </w:rPr>
  </w:style>
  <w:style w:type="paragraph" w:styleId="705">
    <w:name w:val="Heading 5"/>
    <w:basedOn w:val="869"/>
    <w:next w:val="869"/>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3"/>
    <w:link w:val="705"/>
    <w:uiPriority w:val="9"/>
    <w:rPr>
      <w:rFonts w:ascii="Arial" w:hAnsi="Arial" w:eastAsia="Arial" w:cs="Arial"/>
      <w:b/>
      <w:bCs/>
      <w:sz w:val="24"/>
      <w:szCs w:val="24"/>
    </w:rPr>
  </w:style>
  <w:style w:type="paragraph" w:styleId="707">
    <w:name w:val="Heading 6"/>
    <w:basedOn w:val="869"/>
    <w:next w:val="869"/>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3"/>
    <w:link w:val="707"/>
    <w:uiPriority w:val="9"/>
    <w:rPr>
      <w:rFonts w:ascii="Arial" w:hAnsi="Arial" w:eastAsia="Arial" w:cs="Arial"/>
      <w:b/>
      <w:bCs/>
      <w:sz w:val="22"/>
      <w:szCs w:val="22"/>
    </w:rPr>
  </w:style>
  <w:style w:type="paragraph" w:styleId="709">
    <w:name w:val="Heading 7"/>
    <w:basedOn w:val="869"/>
    <w:next w:val="869"/>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3"/>
    <w:link w:val="709"/>
    <w:uiPriority w:val="9"/>
    <w:rPr>
      <w:rFonts w:ascii="Arial" w:hAnsi="Arial" w:eastAsia="Arial" w:cs="Arial"/>
      <w:b/>
      <w:bCs/>
      <w:i/>
      <w:iCs/>
      <w:sz w:val="22"/>
      <w:szCs w:val="22"/>
    </w:rPr>
  </w:style>
  <w:style w:type="paragraph" w:styleId="711">
    <w:name w:val="Heading 8"/>
    <w:basedOn w:val="869"/>
    <w:next w:val="869"/>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3"/>
    <w:link w:val="711"/>
    <w:uiPriority w:val="9"/>
    <w:rPr>
      <w:rFonts w:ascii="Arial" w:hAnsi="Arial" w:eastAsia="Arial" w:cs="Arial"/>
      <w:i/>
      <w:iCs/>
      <w:sz w:val="22"/>
      <w:szCs w:val="22"/>
    </w:rPr>
  </w:style>
  <w:style w:type="paragraph" w:styleId="713">
    <w:name w:val="Heading 9"/>
    <w:basedOn w:val="869"/>
    <w:next w:val="869"/>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3"/>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9"/>
    <w:next w:val="869"/>
    <w:link w:val="717"/>
    <w:uiPriority w:val="10"/>
    <w:qFormat/>
    <w:pPr>
      <w:contextualSpacing/>
      <w:spacing w:before="300" w:after="200"/>
    </w:pPr>
    <w:rPr>
      <w:sz w:val="48"/>
      <w:szCs w:val="48"/>
    </w:rPr>
  </w:style>
  <w:style w:type="character" w:styleId="717">
    <w:name w:val="Title Char"/>
    <w:basedOn w:val="873"/>
    <w:link w:val="716"/>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3"/>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3"/>
    <w:link w:val="883"/>
    <w:uiPriority w:val="99"/>
  </w:style>
  <w:style w:type="character" w:styleId="725">
    <w:name w:val="Footer Char"/>
    <w:basedOn w:val="873"/>
    <w:link w:val="882"/>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2"/>
    <w:uiPriority w:val="99"/>
  </w:style>
  <w:style w:type="table" w:styleId="728">
    <w:name w:val="Table Grid"/>
    <w:basedOn w:val="87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5">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9">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7">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4">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1">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1">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5">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8">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2">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9"/>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3"/>
    <w:uiPriority w:val="99"/>
    <w:unhideWhenUsed/>
    <w:rPr>
      <w:vertAlign w:val="superscript"/>
    </w:rPr>
  </w:style>
  <w:style w:type="paragraph" w:styleId="857">
    <w:name w:val="endnote text"/>
    <w:basedOn w:val="869"/>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3"/>
    <w:uiPriority w:val="99"/>
    <w:semiHidden/>
    <w:unhideWhenUsed/>
    <w:rPr>
      <w:vertAlign w:val="superscript"/>
    </w:r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0">
    <w:name w:val="Heading 1"/>
    <w:basedOn w:val="869"/>
    <w:next w:val="869"/>
    <w:uiPriority w:val="9"/>
    <w:qFormat/>
    <w:pPr>
      <w:keepLines/>
      <w:keepNext/>
      <w:spacing w:before="340" w:after="330" w:line="578" w:lineRule="auto"/>
      <w:outlineLvl w:val="0"/>
    </w:pPr>
    <w:rPr>
      <w:b/>
      <w:bCs/>
      <w:sz w:val="44"/>
      <w:szCs w:val="44"/>
    </w:rPr>
  </w:style>
  <w:style w:type="paragraph" w:styleId="871">
    <w:name w:val="Heading 2"/>
    <w:basedOn w:val="869"/>
    <w:next w:val="8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2">
    <w:name w:val="Heading 3"/>
    <w:basedOn w:val="869"/>
    <w:next w:val="869"/>
    <w:uiPriority w:val="0"/>
    <w:qFormat/>
    <w:pPr>
      <w:keepLines/>
      <w:keepNext/>
      <w:spacing w:before="260" w:after="260" w:line="416" w:lineRule="auto"/>
      <w:outlineLvl w:val="2"/>
    </w:pPr>
    <w:rPr>
      <w:b/>
      <w:bCs/>
      <w:sz w:val="32"/>
      <w:szCs w:val="32"/>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9"/>
    <w:uiPriority w:val="0"/>
    <w:unhideWhenUsed/>
    <w:qFormat/>
    <w:pPr>
      <w:ind w:firstLine="420"/>
    </w:pPr>
  </w:style>
  <w:style w:type="paragraph" w:styleId="876">
    <w:name w:val="annotation text"/>
    <w:basedOn w:val="869"/>
    <w:uiPriority w:val="0"/>
    <w:qFormat/>
    <w:pPr>
      <w:jc w:val="left"/>
    </w:pPr>
  </w:style>
  <w:style w:type="paragraph" w:styleId="877">
    <w:name w:val="Body Text"/>
    <w:basedOn w:val="869"/>
    <w:uiPriority w:val="0"/>
    <w:qFormat/>
    <w:rPr>
      <w:rFonts w:ascii="楷体_GB2312" w:hAnsi="Arial" w:eastAsia="楷体_GB2312"/>
      <w:sz w:val="28"/>
      <w:szCs w:val="28"/>
    </w:rPr>
  </w:style>
  <w:style w:type="paragraph" w:styleId="878">
    <w:name w:val="Body Text Indent"/>
    <w:basedOn w:val="869"/>
    <w:next w:val="869"/>
    <w:uiPriority w:val="99"/>
    <w:unhideWhenUsed/>
    <w:qFormat/>
    <w:pPr>
      <w:ind w:firstLine="540"/>
      <w:spacing w:line="400" w:lineRule="exact"/>
    </w:pPr>
    <w:rPr>
      <w:sz w:val="24"/>
    </w:rPr>
  </w:style>
  <w:style w:type="paragraph" w:styleId="879">
    <w:name w:val="index 4"/>
    <w:basedOn w:val="869"/>
    <w:next w:val="869"/>
    <w:uiPriority w:val="99"/>
    <w:unhideWhenUsed/>
    <w:qFormat/>
    <w:pPr>
      <w:ind w:left="600"/>
    </w:pPr>
  </w:style>
  <w:style w:type="paragraph" w:styleId="880">
    <w:name w:val="Plain Text"/>
    <w:basedOn w:val="869"/>
    <w:uiPriority w:val="99"/>
    <w:qFormat/>
    <w:rPr>
      <w:rFonts w:ascii="宋体" w:hAnsi="Courier New"/>
      <w:sz w:val="20"/>
      <w:szCs w:val="21"/>
    </w:rPr>
  </w:style>
  <w:style w:type="paragraph" w:styleId="881">
    <w:name w:val="Balloon Text"/>
    <w:basedOn w:val="869"/>
    <w:link w:val="898"/>
    <w:uiPriority w:val="0"/>
    <w:qFormat/>
    <w:rPr>
      <w:sz w:val="18"/>
      <w:szCs w:val="18"/>
    </w:rPr>
  </w:style>
  <w:style w:type="paragraph" w:styleId="882">
    <w:name w:val="Footer"/>
    <w:basedOn w:val="869"/>
    <w:uiPriority w:val="99"/>
    <w:unhideWhenUsed/>
    <w:qFormat/>
    <w:pPr>
      <w:jc w:val="left"/>
      <w:tabs>
        <w:tab w:val="center" w:pos="4153" w:leader="none"/>
        <w:tab w:val="right" w:pos="8306" w:leader="none"/>
      </w:tabs>
    </w:pPr>
    <w:rPr>
      <w:sz w:val="18"/>
      <w:szCs w:val="18"/>
    </w:rPr>
  </w:style>
  <w:style w:type="paragraph" w:styleId="883">
    <w:name w:val="Header"/>
    <w:basedOn w:val="8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69"/>
    <w:next w:val="869"/>
    <w:uiPriority w:val="39"/>
    <w:unhideWhenUsed/>
    <w:qFormat/>
  </w:style>
  <w:style w:type="paragraph" w:styleId="885">
    <w:name w:val="toc 2"/>
    <w:basedOn w:val="869"/>
    <w:next w:val="869"/>
    <w:uiPriority w:val="0"/>
    <w:qFormat/>
    <w:pPr>
      <w:ind w:left="420"/>
    </w:pPr>
  </w:style>
  <w:style w:type="paragraph" w:styleId="886">
    <w:name w:val="Normal (Web)"/>
    <w:basedOn w:val="869"/>
    <w:uiPriority w:val="0"/>
    <w:qFormat/>
    <w:rPr>
      <w:rFonts w:ascii="Times New Roman" w:hAnsi="Times New Roman"/>
      <w:sz w:val="24"/>
    </w:rPr>
  </w:style>
  <w:style w:type="character" w:styleId="887">
    <w:name w:val="Strong"/>
    <w:uiPriority w:val="0"/>
    <w:qFormat/>
    <w:rPr>
      <w:b/>
    </w:rPr>
  </w:style>
  <w:style w:type="character" w:styleId="888">
    <w:name w:val="Emphasis"/>
    <w:basedOn w:val="873"/>
    <w:uiPriority w:val="0"/>
    <w:qFormat/>
    <w:rPr>
      <w:i/>
    </w:rPr>
  </w:style>
  <w:style w:type="character" w:styleId="889">
    <w:name w:val="Hyperlink"/>
    <w:basedOn w:val="873"/>
    <w:uiPriority w:val="0"/>
    <w:qFormat/>
    <w:rPr>
      <w:color w:val="0000ff"/>
      <w:u w:val="single"/>
    </w:rPr>
  </w:style>
  <w:style w:type="character" w:styleId="890">
    <w:name w:val="annotation reference"/>
    <w:basedOn w:val="873"/>
    <w:uiPriority w:val="0"/>
    <w:qFormat/>
    <w:rPr>
      <w:sz w:val="21"/>
      <w:szCs w:val="21"/>
    </w:rPr>
  </w:style>
  <w:style w:type="paragraph" w:styleId="891" w:customStyle="1">
    <w:name w:val="正文1"/>
    <w:basedOn w:val="869"/>
    <w:next w:val="869"/>
    <w:uiPriority w:val="0"/>
    <w:qFormat/>
    <w:pPr>
      <w:jc w:val="left"/>
      <w:spacing w:line="360" w:lineRule="atLeast"/>
    </w:pPr>
    <w:rPr>
      <w:rFonts w:ascii="宋体" w:hAnsiTheme="minorHAnsi" w:eastAsiaTheme="minorEastAsia" w:cstheme="minorBidi"/>
      <w:sz w:val="24"/>
      <w:szCs w:val="20"/>
    </w:rPr>
  </w:style>
  <w:style w:type="paragraph" w:styleId="892" w:customStyle="1">
    <w:name w:val="正文文本1"/>
    <w:basedOn w:val="891"/>
    <w:next w:val="893"/>
    <w:uiPriority w:val="0"/>
    <w:qFormat/>
    <w:pPr>
      <w:spacing w:after="120"/>
    </w:pPr>
    <w:rPr>
      <w:lang w:eastAsia="en-US"/>
    </w:rPr>
  </w:style>
  <w:style w:type="paragraph" w:styleId="893" w:customStyle="1">
    <w:name w:val="一级条标题"/>
    <w:basedOn w:val="894"/>
    <w:next w:val="8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4" w:customStyle="1">
    <w:name w:val="章标题"/>
    <w:next w:val="86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5" w:customStyle="1">
    <w:name w:val="段"/>
    <w:basedOn w:val="891"/>
    <w:next w:val="869"/>
    <w:uiPriority w:val="0"/>
    <w:qFormat/>
    <w:pPr>
      <w:ind w:firstLine="200"/>
      <w:widowControl/>
    </w:pPr>
    <w:rPr>
      <w:sz w:val="20"/>
    </w:rPr>
  </w:style>
  <w:style w:type="paragraph" w:styleId="896"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897" w:customStyle="1">
    <w:name w:val="Char"/>
    <w:basedOn w:val="869"/>
    <w:uiPriority w:val="0"/>
    <w:qFormat/>
    <w:pPr>
      <w:ind w:firstLine="200"/>
      <w:tabs>
        <w:tab w:val="left" w:pos="360" w:leader="none"/>
      </w:tabs>
    </w:pPr>
    <w:rPr>
      <w:rFonts w:ascii="Times New Roman" w:hAnsi="Times New Roman"/>
      <w:sz w:val="28"/>
      <w:szCs w:val="30"/>
    </w:rPr>
  </w:style>
  <w:style w:type="character" w:styleId="898" w:customStyle="1">
    <w:name w:val="批注框文本 字符"/>
    <w:basedOn w:val="873"/>
    <w:link w:val="881"/>
    <w:uiPriority w:val="0"/>
    <w:qFormat/>
    <w:rPr>
      <w:sz w:val="18"/>
      <w:szCs w:val="18"/>
    </w:rPr>
  </w:style>
  <w:style w:type="paragraph" w:styleId="899" w:customStyle="1">
    <w:name w:val="正文（缩进）"/>
    <w:basedOn w:val="869"/>
    <w:next w:val="869"/>
    <w:uiPriority w:val="0"/>
    <w:qFormat/>
    <w:pPr>
      <w:ind w:firstLine="200"/>
      <w:spacing w:line="360" w:lineRule="auto"/>
    </w:pPr>
    <w:rPr>
      <w:rFonts w:ascii="宋体" w:hAnsi="宋体"/>
      <w:szCs w:val="28"/>
    </w:rPr>
  </w:style>
  <w:style w:type="paragraph" w:styleId="900">
    <w:name w:val="List Paragraph"/>
    <w:basedOn w:val="869"/>
    <w:uiPriority w:val="99"/>
    <w:qFormat/>
    <w:pPr>
      <w:ind w:firstLine="420"/>
    </w:p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王涛</cp:lastModifiedBy>
  <cp:revision>4</cp:revision>
  <dcterms:created xsi:type="dcterms:W3CDTF">2023-07-12T08:18:00Z</dcterms:created>
  <dcterms:modified xsi:type="dcterms:W3CDTF">2024-07-11T06:38:03Z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886C56F5EAC64F1EB2DB5ABCA7069484_13</vt:lpwstr>
  </property>
</Properties>
</file>