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87"/>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项目编号：JSZC-320904-JSYF-G2024-0006</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26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项目名称：大丰区创建国家级“四好农村路”示范县技术支持服务</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盐城市大丰区交通运输局</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江苏昱丰华项目管理有限公司</w:t>
      </w:r>
      <w:r/>
    </w:p>
    <w:p>
      <w:pPr>
        <w:ind w:left="0" w:right="0" w:firstLine="0"/>
        <w:jc w:val="center"/>
        <w:spacing w:before="120" w:after="12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2024年5月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第一章</w:t>
      </w:r>
      <w:r>
        <w:rPr>
          <w:rFonts w:ascii="SimSun" w:hAnsi="SimSun" w:eastAsia="SimSun" w:cs="SimSun"/>
          <w:b/>
          <w:color w:val="000000"/>
          <w:sz w:val="48"/>
          <w:u w:val="none"/>
        </w:rPr>
        <w:t xml:space="preserve">招标公告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大丰区创建国家级“四好农村路”示范县技术支持服务的潜在投标人应在“政府采购一体化平台（苏采云）”获取招标文件，</w:t>
            </w:r>
            <w:r>
              <w:rPr>
                <w:rFonts w:ascii="SimSun" w:hAnsi="SimSun" w:eastAsia="SimSun" w:cs="SimSun"/>
                <w:b/>
                <w:color w:val="000000"/>
                <w:sz w:val="24"/>
              </w:rPr>
              <w:t xml:space="preserve">并于2024年</w:t>
            </w:r>
            <w:r>
              <w:rPr>
                <w:rFonts w:ascii="SimSun" w:hAnsi="SimSun" w:eastAsia="SimSun" w:cs="SimSun"/>
                <w:b/>
                <w:color w:val="000000"/>
                <w:sz w:val="24"/>
                <w:u w:val="none"/>
              </w:rPr>
              <w:t xml:space="preserve">6</w:t>
            </w:r>
            <w:r>
              <w:rPr>
                <w:rFonts w:ascii="SimSun" w:hAnsi="SimSun" w:eastAsia="SimSun" w:cs="SimSun"/>
                <w:b/>
                <w:color w:val="000000"/>
                <w:sz w:val="24"/>
              </w:rPr>
              <w:t xml:space="preserve">月18日9时00分（北京时间）前递交投标文件。</w:t>
            </w:r>
            <w:r/>
          </w:p>
        </w:tc>
      </w:tr>
    </w:tbl>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项目编号：JSZC-320904-JSYF-G2024-0006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项目名称：大丰区创建国家级“四好农村路”示范县技术支持服务；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预算金额：人民币198万元；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最高限价：人民币198万元；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采购需求：为大丰区创建国家级“四好农村路”示范县提供技术支持服务，详细要求见招标文件第三章采购需求部分。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合同履行期限：合同签订后满3年。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(2)2023年度的财务报表</w:t>
      </w:r>
      <w:r>
        <w:rPr>
          <w:rFonts w:ascii="SimSun" w:hAnsi="SimSun" w:eastAsia="SimSun" w:cs="SimSun"/>
          <w:b/>
          <w:color w:val="000000"/>
          <w:sz w:val="24"/>
        </w:rPr>
        <w:t xml:space="preserve">（资产负债表，损益表或利润表），</w:t>
      </w:r>
      <w:r>
        <w:rPr>
          <w:rFonts w:ascii="SimSun" w:hAnsi="SimSun" w:eastAsia="SimSun" w:cs="SimSun"/>
          <w:color w:val="000000"/>
          <w:sz w:val="24"/>
        </w:rPr>
        <w:t xml:space="preserve">成立不满一年不需提供；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期内的工程咨询单位甲级资信证书（专业含公路）或供应商在投截止日之前已经通过全国投资项目在线审批监管平台备案，工程咨询备案专业为公路，备案信息已经由国家发展改革委通过在线平台向社会公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2.项目负责人具有公路工程相关专业高级及以上职称</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注:公路工程相关专业职称包括公路工程、桥梁工程、道路桥梁、公路与桥梁工程、交通土建、隧道(地下结构)工程、交通工程等专业职称。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4.单位负责人为同一人或者存在直接控股、管理关系的不同供应商，不得参加同一合同项下的政府采购活动。</w:t>
      </w:r>
      <w:r/>
      <w:r/>
      <w:r/>
      <w:r>
        <w:rPr>
          <w:sz w:val="22"/>
        </w:rP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时间：2024年6月18日8:59:59前（北京时间）。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地点：“苏采云”系统的网址：http://jszfcg.jsczt.cn/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1.线上提交投标文件截止时间：</w:t>
      </w:r>
      <w:r>
        <w:rPr>
          <w:rFonts w:ascii="SimSun" w:hAnsi="SimSun" w:eastAsia="SimSun" w:cs="SimSun"/>
          <w:b/>
          <w:color w:val="000000"/>
          <w:sz w:val="24"/>
        </w:rPr>
        <w:t xml:space="preserve">2024年6月18日9时00分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2.线上开标时间：</w:t>
      </w:r>
      <w:r>
        <w:rPr>
          <w:rFonts w:ascii="SimSun" w:hAnsi="SimSun" w:eastAsia="SimSun" w:cs="SimSun"/>
          <w:b/>
          <w:color w:val="000000"/>
          <w:sz w:val="24"/>
        </w:rPr>
        <w:t xml:space="preserve">2024年6月18日9时00分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3.线上开标地点：“苏采云”系统（网址：http://jszfcg.jsczt.cn/）“开标大厅”。</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投标人如在投标过程中存在以下行为，将被列入不良行为记录名单。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2.1提供虚假材料谋取中标成交的或采取不正当手段诋毁、排挤其他供应商的；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2.2投标人递交无竞争力投标文件的。</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投标人存在串通投标、以他人名义投标、弄虚作假等违法违规行为，或者无正当理由放弃投标、中标资格，造成项目招标失败的，不得参加该项目重新招标的投标。</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4.因供应商的系统环境、操作等原因导致报名、开评标过程中出现问题由供应商自行承担负责。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单位名称：盐城市大丰区交通运输局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单位地址：盐城市大丰区幸福西大街6号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联系人：陈忠华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联系电话：0515-82030498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单位名称：江苏昱丰华项目管理有限公司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单位地址：盐城市大丰区丰尚国际（人民北路与通港大道交汇处）十七楼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联系人：丁亚祥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联系电话：15358280315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项目联系人：陈忠华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电话：0515-82030498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软件技术支持：0519-86722805</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第二章投标须知</w:t>
      </w:r>
      <w:r/>
    </w:p>
    <w:p>
      <w:pPr>
        <w:ind w:left="238" w:right="0" w:firstLine="723"/>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一、投标须知前附表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92"/>
        <w:gridCol w:w="2116"/>
        <w:gridCol w:w="1861"/>
        <w:gridCol w:w="4386"/>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大丰区创建国家级“四好农村路”示范县技术支持服务</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为大丰区创建国家级“四好农村路”示范县提供技术支持服务，详细要求见招标文件第三章采购需求部分。</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536"/>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highlight w:val="white"/>
              </w:rPr>
              <w:t xml:space="preserve">采购人指定地点</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采购包划分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一个</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陈忠华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0515-82030498</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丁亚祥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15358280315</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本项目落实江苏省财政厅《关于做好政府采购支持企业发展有关事项的通知》(苏财购(2020)52号)文件精神，不收取投标保证金。</w:t>
            </w:r>
            <w:r/>
          </w:p>
        </w:tc>
      </w:tr>
      <w:tr>
        <w:trPr>
          <w:trHeight w:val="3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签订合同前，须向采购人交纳中标价10%的履约保证金，于项目完成，验收合格后退还。履约保证金用以约束成交供应商在合同履行中的行为，弥补合同执行中由于自身行为可能给采购人带来的各种损失。在有效期内的AA评级及以上的投标人（需提供信用管理部门备案的第三方信用报告），履约保证金金额为中标价的5%；在江苏省公路水运建设市场信用信息管理系统中最近一次的信用等级评价为AA信用等级的投标人，履约保证金金额为中标价的5%；被列入省公路水运建设市场红名单或在江苏省公路水运建设市场信用信息管理系统中最近连续两年评价为A</w:t>
            </w:r>
            <w:r>
              <w:rPr>
                <w:rFonts w:ascii="SimSun" w:hAnsi="SimSun" w:eastAsia="SimSun" w:cs="SimSun"/>
                <w:color w:val="000000"/>
                <w:sz w:val="24"/>
              </w:rPr>
              <w:t xml:space="preserve">A级的中小企业，可以免缴履约保证金。</w:t>
            </w:r>
            <w:r>
              <w:rPr>
                <w:rFonts w:ascii="SimSun" w:hAnsi="SimSun" w:eastAsia="SimSun" w:cs="SimSun"/>
                <w:b/>
                <w:color w:val="000000"/>
                <w:sz w:val="24"/>
              </w:rPr>
              <w:t xml:space="preserve">以上政策不重复减免。</w:t>
            </w:r>
            <w:r>
              <w:rPr>
                <w:rFonts w:ascii="SimSun" w:hAnsi="SimSun" w:eastAsia="SimSun" w:cs="SimSun"/>
                <w:color w:val="000000"/>
                <w:sz w:val="24"/>
              </w:rPr>
              <w:t xml:space="preserve">履约保证金形式：供应商应当以支票、汇票、本票或者金融机构、担保机构出具的保函等非现金形式提交。</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合同签订后满3年。</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投标截止日起</w:t>
            </w:r>
            <w:r>
              <w:rPr>
                <w:rFonts w:ascii="SimSun" w:hAnsi="SimSun" w:eastAsia="SimSun" w:cs="SimSun"/>
                <w:color w:val="000000"/>
                <w:sz w:val="24"/>
                <w:u w:val="single"/>
              </w:rPr>
              <w:t xml:space="preserve"> 45 </w:t>
            </w:r>
            <w:r>
              <w:rPr>
                <w:rFonts w:ascii="SimSun" w:hAnsi="SimSun" w:eastAsia="SimSun" w:cs="SimSun"/>
                <w:color w:val="000000"/>
                <w:sz w:val="24"/>
              </w:rPr>
              <w:t xml:space="preserve">天（日历天）</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rPr>
              <w:t xml:space="preserve">2024年</w:t>
            </w:r>
            <w:r>
              <w:rPr>
                <w:rFonts w:ascii="SimSun" w:hAnsi="SimSun" w:eastAsia="SimSun" w:cs="SimSun"/>
                <w:b/>
                <w:color w:val="000000"/>
                <w:sz w:val="24"/>
                <w:u w:val="none"/>
              </w:rPr>
              <w:t xml:space="preserve">6</w:t>
            </w:r>
            <w:r>
              <w:rPr>
                <w:rFonts w:ascii="SimSun" w:hAnsi="SimSun" w:eastAsia="SimSun" w:cs="SimSun"/>
                <w:b/>
                <w:color w:val="000000"/>
                <w:sz w:val="24"/>
              </w:rPr>
              <w:t xml:space="preserve">月18日9时00分</w:t>
            </w:r>
            <w:r>
              <w:rPr>
                <w:rFonts w:ascii="SimSun" w:hAnsi="SimSun" w:eastAsia="SimSun" w:cs="SimSun"/>
                <w:b/>
                <w:color w:val="000000"/>
                <w:sz w:val="24"/>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开标时间及地点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rPr>
              <w:t xml:space="preserve">2024年</w:t>
            </w:r>
            <w:r>
              <w:rPr>
                <w:rFonts w:ascii="SimSun" w:hAnsi="SimSun" w:eastAsia="SimSun" w:cs="SimSun"/>
                <w:b/>
                <w:color w:val="000000"/>
                <w:sz w:val="24"/>
                <w:u w:val="none"/>
              </w:rPr>
              <w:t xml:space="preserve">6</w:t>
            </w:r>
            <w:r>
              <w:rPr>
                <w:rFonts w:ascii="SimSun" w:hAnsi="SimSun" w:eastAsia="SimSun" w:cs="SimSun"/>
                <w:b/>
                <w:color w:val="000000"/>
                <w:sz w:val="24"/>
              </w:rPr>
              <w:t xml:space="preserve">月18日9时00分</w:t>
            </w:r>
            <w:r>
              <w:rPr>
                <w:rFonts w:ascii="SimSun" w:hAnsi="SimSun" w:eastAsia="SimSun" w:cs="SimSun"/>
                <w:b/>
                <w:color w:val="000000"/>
                <w:sz w:val="24"/>
              </w:rPr>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）“开标大厅”。</w:t>
            </w: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电子投标文件一份(通过系统提交)；纸质投标文件正本一份，副本三份（评审结束后由中标候选人邮寄至江苏昱丰华项目管理有限公司（盐城市大丰区人民北路西侧，疏港路北侧丰尚国际十七楼）。</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本项目最高限价为198万元，高于最高限价的作无效标论处。</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综合评分法</w:t>
            </w:r>
            <w:r/>
          </w:p>
        </w:tc>
      </w:tr>
      <w:tr>
        <w:trPr>
          <w:trHeight w:val="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投标人如在投标过程中提供虚假材料谋取中标成交的或采取不正当手段诋毁、排挤其他供应商的,列入不良行为记录名单。</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解释权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本采购文件的最终解释权归采购单位所有。</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联系部门：盐城市大丰区交通运输局/江苏昱丰华项目管理有限公司</w:t>
            </w:r>
            <w:r/>
          </w:p>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联系电话：0515-82030498/15358280315</w:t>
            </w:r>
            <w:r/>
          </w:p>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通讯地址：江苏省盐城市大丰区飞达东路100号丰华大厦16楼/盐城市大丰区人民北路西侧，疏港路北侧丰尚国际十七楼</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3" w:type="dxa"/>
            <w:vAlign w:val="center"/>
            <w:textDirection w:val="lrTb"/>
            <w:noWrap/>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联系部门：盐城市大丰区财政局</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通讯地址：江苏省盐城市大丰区飞达东路100号丰华大厦5楼</w:t>
            </w:r>
            <w:r/>
          </w:p>
        </w:tc>
      </w:tr>
    </w:tbl>
    <w:p>
      <w:pPr>
        <w:ind w:left="0" w:right="0" w:firstLine="723"/>
        <w:jc w:val="center"/>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二、总则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适用范围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本次项目仅适用于招标文件中所叙述项目的货物采购。</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定义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 “采购人”、“采购单位”系指本次采购项目的业主方。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 “采购代理机构”系指本次招标采购项目活动组织方。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 “投标人”系指获取了本招标文件，且已经提交或者准备提交本次投标文件的制造商或供货商。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 “投标文件有效期” 系指本次采购项目投标截止之日起至合同签订之日止的期限。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不可抗力：不可预见、不能避免并且不能克服的客观情况。</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申请人的资格要求：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3.1满足《中华人民共和国政府采购法》第二十二条规定，并提供下列材料；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(2)2023年度的财务报表</w:t>
      </w:r>
      <w:r>
        <w:rPr>
          <w:rFonts w:ascii="SimSun" w:hAnsi="SimSun" w:eastAsia="SimSun" w:cs="SimSun"/>
          <w:b/>
          <w:color w:val="000000"/>
          <w:sz w:val="24"/>
        </w:rPr>
        <w:t xml:space="preserve">（资产负债表，损益表或利润表），</w:t>
      </w:r>
      <w:r>
        <w:rPr>
          <w:rFonts w:ascii="SimSun" w:hAnsi="SimSun" w:eastAsia="SimSun" w:cs="SimSun"/>
          <w:color w:val="000000"/>
          <w:sz w:val="24"/>
        </w:rPr>
        <w:t xml:space="preserve">成立不满一年不需提供；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3.2本项目的特定资格要求：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具有有效期内的工程咨询单位甲级资信证书（专业含公路）或供应商在投截止日之前已经通过全国投资项目在线审批监管平台备案，工程咨询备案专业为公路，备案信息已经由国家发展改革委通过在线平台向社会公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3.4项目负责人具有公路工程相关专业高级及以上职称</w:t>
      </w:r>
      <w:r>
        <w:rPr>
          <w:rFonts w:ascii="SimSun" w:hAnsi="SimSun" w:eastAsia="SimSun" w:cs="SimSun"/>
          <w:color w:val="000000"/>
          <w:sz w:val="24"/>
          <w:highlight w:val="white"/>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注:公路工程相关专业职称包括公路工程、桥梁工程、道路桥梁、公路与桥梁工程、交通土建、隧道(地下结构)工程、交通工程等专业职称。</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3.5未被“信用中国”网站（www.creditchina.gov.cn）列入失信被执行人、重大税收违法案件当事人名单、政府采购严重失信行为记录名单。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3.6单位负责人为同一人或者存在直接控股、管理关系的不同供应商，不得参加同一合同项下的政府采购活动。</w:t>
      </w:r>
      <w:r/>
    </w:p>
    <w:p>
      <w:pPr>
        <w:ind w:left="0" w:right="0" w:firstLine="723"/>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三、招标文件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4．招标文件的构成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4.1招标文件用以阐明招标项目所需的资质、技术、服务及报价等要求、招标投标程序、有关规定和注意事项以及合同主要条款等。本招标文件包括以下内容：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4.1.3招标内容及要求；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4.1.4评标办法及评分标准；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4.1.5合同主要条款；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SimSun" w:hAnsi="SimSun" w:eastAsia="SimSun" w:cs="SimSun"/>
          <w:b/>
          <w:color w:val="000000"/>
          <w:sz w:val="24"/>
        </w:rPr>
        <w:t xml:space="preserve">勘察现场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无论投标人踏勘与否，都将被视为熟悉履行该项目有关的一切情况，并承担一切与投标有关的风险、责任和义务。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现场踏勘由各投标人自行实施，采购人不统一组织现场踏勘。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5．招标文件的澄清、修改及补充：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5.1投标人在收到招标文件后，如有疑问需要澄清，应以规定的时间和方式向采购人或代理机构提出，如在规定期限内未递交疑问或未按规定提交投标疑问的，则视为该投标人无疑问。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标书以外的内容，一律拒绝答复。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本采购文件的最终解释权归采购单位所有</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723"/>
        <w:jc w:val="both"/>
        <w:spacing w:before="28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四、投标文件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6．投标文件的编制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6.1.2无论投标过程中的做法和结果如何，投标人自行承担所有与参加投标有关的全部费用。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6.2投标语言及计量单位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6.2.1投标文件以及投标人与采购单位就有关投标事宜的所有来往函电均应使用简体中文书写。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6.2.2关于投标计量单位，招标文件已有明确规定的，使用招标文件规定的计量单位；招标文件没有规定的，应采用中华人民共和国法定计量单位。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6.2.4翻译的中文文件与外文文件如果出现差异和矛盾时，以中文为准。但不能故意错误翻译，否则，投标人的投标文件将作为无效投标处理。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6.3电子投标文件其他要求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6.3.1电子招标投标交易平台（即“苏采云”系统）相关要求是本招标文件的组成部分。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6.3.2投标人应对CA证书妥善保管，如被他人盗用投标，因此带来的结果均由投标人自行承担。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6.3.3投标人应当对招标文件提出的实质性要求和条件作出实质性响应，并在电子投标系统逐条应答。</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7．本项目落实江苏省财政厅《关于做好政府采购支持企业发展有关事项的通知》(苏财购(2020)52号)文件精神，不收取投标保证金。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投标报价：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w:t>
      </w:r>
      <w:r>
        <w:rPr>
          <w:rFonts w:ascii="SimSun" w:hAnsi="SimSun" w:eastAsia="SimSun" w:cs="SimSun"/>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8.2本项目控制价：198万元，报价高于该控制价的作无效标论处。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 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招标报价采用总承包方式，投标人应充分考虑为完成上述内容所必须的应包括服务期内为完成本项目服务可能发生的全部费用及利润和税金等（包括人员工资福利、津贴、高温费、劳保费、社会保险、服装费、专家评审费、人员食宿与交通、安全教育、安全管理、事故赔偿、工具费、设备损耗及人工费、招标代理费）等一切费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8.3.2 开标一览表、投标价格表的报价一律用人民币（单位：元）填报。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本项目招标代理费由中标单位代为支付，收费标准按江苏省招标投标协会关于印发《江苏省招标代理服务收费的指导意见》的通知（苏招协[2022]002号）服务类计算，招标代理费由中标单位在领取中标通知书时一次性支付给招标代理机构。各投标单位报价时，该部分费用含入投标报价中（不单列），招标人不再单独支付。（通过数字人民币方式交款）。</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w:t>
      </w:r>
      <w:r>
        <w:rPr>
          <w:rFonts w:ascii="SimSun" w:hAnsi="SimSun" w:eastAsia="SimSun" w:cs="SimSun"/>
          <w:color w:val="000000"/>
          <w:sz w:val="24"/>
        </w:rPr>
        <w:t xml:space="preserve">投标人在投标文件中应按照本招标文件所附的投标报价单样式进行报价，并计算总价。报价表必须由法定代表人或委托代理人签署。</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9．线上投标文件编制要求，请按照以下要求（包括但不限于以下要求）制作：</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9.1基本目录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（1）《开标一览表》（加盖电子签章，政府采购客户端工具输入报价自动生成）；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（2）《法定代表人身份证明书》及《授权委托书》（加盖电子签章，格式见招标文件第六章《投标文件相关格式》）；</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9.2资格条件</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2023年度的财务报表</w:t>
      </w:r>
      <w:r>
        <w:rPr>
          <w:rFonts w:ascii="SimSun" w:hAnsi="SimSun" w:eastAsia="SimSun" w:cs="SimSun"/>
          <w:b/>
          <w:color w:val="000000"/>
          <w:sz w:val="24"/>
        </w:rPr>
        <w:t xml:space="preserve">（资产负债表，损益表或利润表）</w:t>
      </w:r>
      <w:r>
        <w:rPr>
          <w:rFonts w:ascii="SimSun" w:hAnsi="SimSun" w:eastAsia="SimSun" w:cs="SimSun"/>
          <w:color w:val="000000"/>
          <w:sz w:val="24"/>
        </w:rPr>
        <w:t xml:space="preserve">，成立不满一年不需提供；</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2024年度依法缴纳税收和社会保障资金的相关材料；</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参加政府采购活动前3年内在经营活动中没有重大违法记录的书面声明；</w:t>
      </w:r>
      <w:r/>
    </w:p>
    <w:p>
      <w:pPr>
        <w:numPr>
          <w:ilvl w:val="0"/>
          <w:numId w:val="1"/>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期内的工程咨询单位甲级资信证书（专业含公路）或供应商在投截止日之前已经通过全国投资项目在线审批监管平台备案，工程咨询备案专业为公路，备案信息已经由国家发展改革委通过在线平台向社会公布的证明文件；</w:t>
      </w:r>
      <w:r/>
    </w:p>
    <w:p>
      <w:pPr>
        <w:numPr>
          <w:ilvl w:val="0"/>
          <w:numId w:val="1"/>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投标人未被“信用中国”网站（www.creditchina.gov.cn）列入失信被执行人、重大税收违法案件当事人名单、政府采购严重违法失信名单的证明文件。</w:t>
      </w:r>
      <w:r/>
    </w:p>
    <w:p>
      <w:pPr>
        <w:numPr>
          <w:ilvl w:val="0"/>
          <w:numId w:val="1"/>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项目负责人具有公路工程相关专业高级及以上职称证明文件。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注:公路工程相关专业职称包括公路工程、桥梁工程、道路桥梁、公路与桥梁工程、交通土建、隧道(地下结构)工程、交通工程等专业职称。</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9.3符合条件（符合条件要求内容必须提供，且须加盖电子签章，格式见招标文件第六章《投标文件相关格式》，否则投标无效</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②清单报价表；</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（2）商务资信：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①供应商登记表；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②法定代表人身份证明书；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③法定代表人授权委托书（如有）；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④盐城市政府采购事前信用承诺书。</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（3）服务内容响应：</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《服务内容响应表》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9.4企业声明函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（1）投标人为中小企业（含中型、小型、微型企业，下同）的，</w:t>
      </w:r>
      <w:r>
        <w:rPr>
          <w:rFonts w:ascii="SimSun" w:hAnsi="SimSun" w:eastAsia="SimSun" w:cs="SimSun"/>
          <w:b/>
          <w:color w:val="000000"/>
          <w:sz w:val="24"/>
        </w:rPr>
        <w:t xml:space="preserve">提供《中小企业声明函》（加盖电子签章，填写完整，格式见招标文件第六章《投标文件相关格式》）</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（2）投标人为监狱企业的等同于小微企业，</w:t>
      </w:r>
      <w:r>
        <w:rPr>
          <w:rFonts w:ascii="SimSun" w:hAnsi="SimSun" w:eastAsia="SimSun" w:cs="SimSun"/>
          <w:b/>
          <w:color w:val="000000"/>
          <w:sz w:val="24"/>
        </w:rPr>
        <w:t xml:space="preserve">提供省级以上监狱管理局、戒毒管理局（含新疆生产建设兵团）出具的属于监狱企业的证明文件。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（3）投标人为享受政府采购支持政策的残疾人福利性单位的等同于小微企业，提供《残疾人福利性单位声明函》（加盖电子签章，格式见招标文件第六章《投标文件相关格式》）。</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9.5招标文件要求的其它证明资料和评标细则要求提供证明材料。</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注：投标人应对以上文件的合法性、真实性负责，投标人提供的材料如有虚假，视为提供虚假材料谋取中标资格，将被列入不良行为记录名单。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10．投标文件线上格式要求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10.1投标人应当通过“苏采云”系统提交数据电文形式的投标文件（即电子投标）。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通过“苏采云”系统提交政府采购客户端工具导出加密的投标文件（后缀名为zip）。</w:t>
      </w:r>
      <w:r>
        <w:rPr>
          <w:rFonts w:ascii="SimSun" w:hAnsi="SimSun" w:eastAsia="SimSun" w:cs="SimSun"/>
          <w:b/>
          <w:color w:val="000000"/>
          <w:sz w:val="24"/>
        </w:rPr>
        <w:t xml:space="preserve">投标文件不得超过150M</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本项目采用线上投标，即供应商投标文件从政府采购客户端工具制作通过“苏采云”系统提交，未提供线上投标文件的，投标无效。</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11．线上投标文件的密封、签署、盖章要求</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11.1投标文件的密封（加密）要求：</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11.2投标文件的签署要求：见招标文件第六章《投标文件相关格式》。</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说明：投标人应在用CA数字证书以及自备的能够登录“苏采云”系统的笔记本电脑，在达到开标时间后，使用CA数字证书解密各自投标文件。</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11.4投标人未按规定加密的投标文件，“苏采云”系统应当拒收并提示。</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投标文件的提交与接收</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投标文件提交与接收时间：</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线上提交与接收时间：提交投标文件截止时间前。</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12.2投标文件提交与接收地点：</w:t>
      </w:r>
      <w:r/>
    </w:p>
    <w:p>
      <w:pPr>
        <w:ind w:left="0" w:right="-105"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13．投标文件的撤回与修改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13.1投标文件的撤回</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13.1.1电子投标文件的撤回</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投标人可在投标截止时间前，撤回其电子投标文件，具体操作方法见《江苏省政府采购（供应商）CA数字证书及电子签章办理指南》。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13.1.2投标人撤回电子投标文件，则认为其不再参与本项目投标活动。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投标文件的修改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投标人可在投标截止时间前，对其电子投标文件进行修改，具体操作方法见《江苏省政府采购（供应商）CA数字证书及电子签章办理指南》。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在投标截止时间之后，投标人不得对其电子投标文件作任何修改。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在投标截止时间至招标文件中规定的投标有效期满之间的这段时间内，投标人不得撤回其投标。</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723"/>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五、开标及资格审查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14．开标、唱标、资格审查</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 线上开标时，“苏采云”系统自动提取所有投标文件，投标人按招标文件规定方式按时在线解密。本项目招标文件规定的投标人按时在线解密方式：通过“苏采云”系统（使用“CA数字证书”）解密。</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14.2所有投标人解密（或解密时间）结束后，“苏采云”系统生成开标记录并向社会公众公布，但依法应当保密的除外。</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14.3开标时，《开标一览表》</w:t>
      </w:r>
      <w:r>
        <w:rPr>
          <w:rFonts w:ascii="SimSun" w:hAnsi="SimSun" w:eastAsia="SimSun" w:cs="SimSun"/>
          <w:color w:val="000000"/>
          <w:sz w:val="24"/>
        </w:rPr>
        <w:t xml:space="preserve">（报价表）内容与投标文件中相应内容不一致的，以《开标一览表》（报价表）为准。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投标文件、《开标一览表》（报价表）中报价的大写金额与小写金额不一致的，以大写金额为准。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单价金额小数点或者百分比有明显错位的，以《开标一览表》（报价表）的总价为准，并修改单价；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14.6总价金额与按单价汇总金额不一致的，以单价金额计算结果为准；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14.7同时出现14.3-14.6中两种以上不一致的,按照14.3-14.6的顺序修正。修正后的报价由法定代表人/单位负责人或其授权的代表签字确认后产生约束力，投标人不确认的，投标无效。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14.8对不同文字文本投标文件的解释发生异议的，以中文文本为准。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14.9资格审查：</w:t>
      </w:r>
      <w:r>
        <w:rPr>
          <w:rFonts w:ascii="SimSun" w:hAnsi="SimSun" w:eastAsia="SimSun" w:cs="SimSun"/>
          <w:color w:val="000000"/>
          <w:sz w:val="24"/>
        </w:rPr>
        <w:t xml:space="preserve">开标结束后，依据法规政策和招标文件的规定，在对投标文件详细评估之前，</w:t>
      </w:r>
      <w:r>
        <w:rPr>
          <w:rFonts w:ascii="SimSun" w:hAnsi="SimSun" w:eastAsia="SimSun" w:cs="SimSun"/>
          <w:b/>
          <w:color w:val="000000"/>
          <w:sz w:val="24"/>
        </w:rPr>
        <w:t xml:space="preserve">采购人或采购代理机构</w:t>
      </w:r>
      <w:r>
        <w:rPr>
          <w:rFonts w:ascii="SimSun" w:hAnsi="SimSun" w:eastAsia="SimSun" w:cs="SimSun"/>
          <w:color w:val="000000"/>
          <w:sz w:val="24"/>
        </w:rPr>
        <w:t xml:space="preserve">将依据投标人提交的投标文件按招标公告所述的资格标准对投标人进行资格审查,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采购人及采购代理机构在进行资格性审查的同时，将在“信用中国”网站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六、评标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15．组建评标委员会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SimSun" w:hAnsi="SimSun" w:eastAsia="SimSun" w:cs="SimSun"/>
          <w:b/>
          <w:color w:val="000000"/>
          <w:sz w:val="24"/>
        </w:rPr>
        <w:t xml:space="preserve">推荐1名合格的中标候选人。</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16.1对所有投标人的评估，都采用相同的程序和标准。评标过程将严格按照招标文件的要求和条件进行。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16.2评标委员会将对投标文件进行检查，以确定投标文件是否完整、有无计算上的错误、文件是否已正确签署等。</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16.3评标委员会将对确定为实质性响应的投标文件进行进一步评审，看其是否有计算上或累加上的算术错误，修正错误的原则如下：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16.3.1如果用数字表示的金额和用文字表示的金额不一致时，应以文字表示的金额为准进行修正；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16.3.2当单价与数量的乘积和总价不一致时，以单价为准进行修正。只有在评委会认为单价有明显的小数点错误时，才能以标出的总价为准，并修改单价；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16.3.3评标委员会将按上述修正错误的方法调整投标文件中的投标价，调整后的价格应对投标人具有约束力。如果投标人不接受修正后的价格，则其投标将被拒绝；</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16.3.4评委会将允许修正投标文件中不构成重大偏离的、微小的、非正规的、不一致的或不规则的地方，但这些修改不能影响任何投标人相应的名次排列。</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16.4符合性检查：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SimSun" w:hAnsi="SimSun" w:eastAsia="SimSun" w:cs="SimSun"/>
          <w:b/>
          <w:color w:val="000000"/>
          <w:sz w:val="24"/>
        </w:rPr>
        <w:t xml:space="preserve">无效投标</w:t>
      </w:r>
      <w:r>
        <w:rPr>
          <w:rFonts w:ascii="SimSun" w:hAnsi="SimSun" w:eastAsia="SimSun" w:cs="SimSun"/>
          <w:color w:val="000000"/>
          <w:sz w:val="24"/>
        </w:rPr>
        <w:t xml:space="preserve">。凡有下列情况之一者，投标文件将被视为未实质性响应招标文件要求。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（1）投标人未按照招标文件要求上传电子投标文件的；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（2）投标人未在规定解密时间内进行解密；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（3）投标人在报价时采用选择性报价；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（4）投标人不具备招标文件中规定资格要求的；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（5）投标人的报价超过了采购预算或最高限价的；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（6）未通过符合性检查的；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（7）不符合招标文件中规定的其他实质性要求和条件的；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（8）投标人串通投标；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（9）投标文件含有采购人不能接受的附加条件的。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（10）不符合招标文件中规定的其它实质性条款以及法律法规规定的其他情形（如低于当地最低工资标准）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（11）被“信用中国”网站（www.creditchina.gov.cn）列入失信被执行人、重大税收违法案件当事人名单、政府采购严重失信行为记录名单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（13）投标文件未按照招标文件要求加盖电子签章。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（14）其他法律、法规及本招标文件规定的属无效投标的情形。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评标委员会决定投标响应性只根据投标文件本身的内容，而不寻求其他的外部证据。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16.5在评审过程中，评标委员会发现投标人有下列情形之一的，可以认定属于串标、围标的行为。具体表现形式如下：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16.5.1不同投标人的投标文件异常一致或者投标报价呈规律性差异的。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16.5.2不同投标人的投标文件由同一单位或个人编制的。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16.5.3不同投标人的投标文件载明的项目管理成员为同一人的。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16.5.4不同投标人的投标文件相互混装的。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16.5.5不同投标人授权同一人作为投标人代表的。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16.5.6 有证据证明投标人与采购单位、采购代理机构或其他投标人串通的其他情形的。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16.5.7评标委员会认定的其他串标、围标情形。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16.6有下列情形之一的予以废标，同时将废标理由通知所有服务单位：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（1）符合专业条件的服务单位或者对招标文件作实质性响应的服务单位不足三家的；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（3）服务单位的报价均超过了采购预算或最高限价的，采购人不能支付的；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（5）投标文件存在歧义、重大缺陷，或者招标文件内容违反国家有关强制性规定的。</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17．比较与评价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17.1评标委员会将按本招标文件规定的评标方法与标准，对资格性检查和符合性检查合格的投标文件进行商务和技术评估，综合比较与评价。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17.2对漏（缺）报项的处理：招标文件中要求列入报价的费用（含配置、功能），漏（缺）报的视同已含在投标总价中。对多报项及赠送项的价格评标时不予核减，全部进入评标评议。</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18．评标过程及保密原则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18.1凡与本次招标有关人员对属于审查、澄清、评价和比较投标的有关资料以及定标意向等，均不得向投标人或其他人员透露。否则,将按有关规定追究相关人员的责任。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18.2在评标期间，投标人试图影响或干预评审的任何行为，将导致其投标被作为无效投标，并承担相应的法律责任。</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723"/>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七、定标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19．定标原则</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次评标采用综合评分法。评标委员会对满足招标文件实质性要求的投标文件，按照本招标文件规定的评分标准进行打分，并按得分由高到低顺序推荐1名中标候选人，或根据招标人授权直接确定中标人。综合评分相等时，以投标报价低的优先；投标报价也相等的，由评标委员会抽签确定。最低报价及任何单项因素的最优均不是中标的必要条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20．确定中标供应商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采购人将根据评标委员会的书面评标报告，依据法律法规确定中标人。采购人不得在评标委员会推荐的中标候选人之外确定中标人，否则中标结果无效。</w:t>
      </w:r>
      <w:r/>
    </w:p>
    <w:p>
      <w:pPr>
        <w:numPr>
          <w:ilvl w:val="0"/>
          <w:numId w:val="2"/>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中标通知书和签订合同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评审结束后，中标公告在江苏省政府采购网、盐城市政府采购网发布；公示结束向中标供应商发出中标通知书。中标通知书成为合同文件的组成部分，具有法律效力。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中标供应商在规定的时间内不领取中标通知书的，视为中标后自动放弃中标资格，承担由此引起的一切后果。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中标单位如果未按中标通知书规定日期与采购单位签订合同，或要求更改招标文件内容而拖延合同签订，按照政府采购法相关法律法规执行。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质疑和投诉：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质疑供应商必须以书面形式向采购人、采购代理机构提出质疑。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采购人或代理机构在收到供应商的书面质疑后将及时组织调查核实，在七个工作日内作出答复，并以书面形式通知质疑供应商，答复的内容不涉及商业秘密。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质疑或投诉程序：</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投标人或者其他利害关系人不按规定投诉或通过捏造事实、伪造证明材料等方式提出异议或投诉，影响招投标活动正常进行的，招投标行政监督部门不予受理，并给予警告。</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恶意投诉情形：</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下列情况之一，投标人的投诉将被界定为恶意投诉，监管机构将对投诉人按有关规定列入不良记录名单并上网公示，投标人今后参与政府项目将受到影响：</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（1）未按规定向投诉处理部门投诉或向不同部门多方投诉的；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（2）不符合投诉受理条件，被告知后仍进行投诉的；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（3）投诉处理部门受理投诉后，投诉人仍就同一内容向其他部门进行投诉的；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（4）捏造事实、伪造材料进行投诉或在网络等媒体上进行失实报道的；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（5）投诉经查失实，被告知后，仍然恶意缠诉的；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（6）一年内三次以上失实投诉的；</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（7）直接向领导、纪委、检察部门写匿名信等。</w:t>
      </w:r>
      <w:r/>
    </w:p>
    <w:p>
      <w:pPr>
        <w:ind w:left="0" w:right="0" w:firstLine="482"/>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其他</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投标人有下列行为之一造成招标人重新招标的，招标人重新招标时可以拒绝其参加投标：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（1）无故放弃中标；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（2）串通投标；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（3）存在弄虚作假行为；</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（4）以可能影响履约的异常低价参加投标；</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（5）其他违反法律、法规的行为。</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left="0" w:right="0" w:firstLine="482"/>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电子招标投标交易平台</w:t>
      </w:r>
      <w:r/>
    </w:p>
    <w:p>
      <w:pPr>
        <w:ind w:left="0" w:right="0" w:firstLine="48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9" w:tooltip="http://jszfcg.jsczt.cn/" w:history="1">
        <w:r>
          <w:rPr>
            <w:rStyle w:val="798"/>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）相关要求是本招标文件的组成部分。</w:t>
      </w:r>
      <w:r/>
    </w:p>
    <w:p>
      <w:pPr>
        <w:ind w:left="0" w:right="0" w:firstLine="482"/>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供应商可登录江苏政府采购网“资料下载”栏目（网址：www.ccgp-jiangsu.gov.cn/jiangsu/zlxz）下载“政府采购电子履约保函（保险）操作手册”</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884"/>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第三章采购需求</w:t>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一、项目实施内容</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包括但不限于以下内容：</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 内业技术支持</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编制申报材料</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包含编制总结材料、申报证明材料等。根据交通运输部要求，申报工作内容涉及9项基本指标（一级指标），每项指标衍生35项二级指标以及70项三级指标。</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指导整理和补充内业文件资料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根据国家“四好农村路”示范县验收要求，协助指导对区级及乡镇内业资料进行整理。</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 交通运输部复查材料 （一年一次，共3年）</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交通运输部对已命名的“四好农村路”全国示范县进行动态管理，每年复查一次，至少复查3年。复查工作是按照当年“四好农村路”示范县创建标准进行复查。以 2021 年为例，复查工作也包含 9 项基本指标（一级指标），每项指标衍生35 项二级指标以及70项三级指标。</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 编写汇报材料</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含市级检查汇报材料、省级预验收汇报材料和交通部验收会汇报材料等。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 编写整改报告</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根据要求，交通运输部验收后需要根据验收意见提交整改报告。</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 年度总结材料（ 3年）</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根据交通运输部要求，每年12 月底要向交通运输部、农业农村部、国务院扶贫办报送年度“四好农村路”建设最新进展总结材料（3 年）。</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 ）外业技术支持</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1.迎检线路提优创品策划</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根据交通运输部检查要求，对迎检线路进行提优创品策划，需要充分挖掘凝练与大丰区的特色元素，系统打造迎检路线，展现大丰区发展成就。</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（三）创新示范工作</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四好农村路”高质量发展为目标，围绕“建、管、养、运”全要素统筹管理，以“路长制”管理为抓手，打造农村公路全生命周期管理系统，优化养护管理资金使用，加强绩效管理，进一步夯实农村公路各级路长职责。通过信息交换与共享、数据融合与挖掘，实现农村公路资产管理全要素管理、规划计划进度管理、养护应急事件上报闭环处置、辅助养护决策分析、基层养护管理评价等功能。通过既有的基础网络、大数据算力和互联网思维，以全区农村公路发展实际为出发点，对传统农村公路的管理和服务模式进行创新，逐步实现“数字农路”、“智能农路”和“智慧农路</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 ）宣传工作</w:t>
      </w:r>
      <w:r>
        <w:rPr>
          <w:color w:val="000000" w:themeColor="text1"/>
        </w:rPr>
      </w:r>
      <w:r/>
    </w:p>
    <w:p>
      <w:pPr>
        <w:ind w:left="0" w:right="0" w:firstLine="36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制作宣传视频（约 10 分钟）、制作宣传册(袋)等用品、在省、市各类新闻、新媒体等重要媒介上实时推送创建信息等。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（五）会务及协助完成市、省、部衔接工作</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在工作过程中，面向盐城市交通局、省厅及交通运输部进行多轮汇报衔接沟通工作。</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二、成果要求：</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ü大丰区创建 “四好农村路”全国示范县申报材料</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ü大丰区创建 “四好农村路”全国示范县资料汇编</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ü迎检线路提优创品总体策划</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ü大丰区创建“四好农村路”全国示范县汇报材料（市级检查、省级预验收和交通部验收会等）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ü大丰区创建“四好农村路”全国示范县验收整改报告</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ü大丰区创建“四好农村路”全国示范县年度总结材料（共 3 年）</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ü大丰区“四好农村路”全国示范县复查材料（3 年）</w:t>
      </w:r>
      <w:r>
        <w:rPr>
          <w:color w:val="000000" w:themeColor="text1"/>
        </w:rPr>
      </w:r>
      <w:r/>
    </w:p>
    <w:p>
      <w:pPr>
        <w:ind w:left="0" w:right="0" w:firstLine="787"/>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大丰区农村公路全生命周期管理系统</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ü大丰区“四好农村路”宣传视频、宣传册（袋）</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ü在重要媒体推送新闻稿 1-2 篇</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w:t>
      </w:r>
      <w:r>
        <w:rPr>
          <w:rFonts w:ascii="SimSun" w:hAnsi="SimSun" w:eastAsia="SimSun" w:cs="SimSun"/>
          <w:color w:val="000000" w:themeColor="text1"/>
          <w:sz w:val="24"/>
        </w:rPr>
        <w:t xml:space="preserve">、项目实施周期</w:t>
      </w:r>
      <w:r>
        <w:rPr>
          <w:color w:val="000000" w:themeColor="text1"/>
        </w:rPr>
      </w:r>
      <w:r/>
    </w:p>
    <w:p>
      <w:pPr>
        <w:ind w:left="0" w:right="0" w:firstLine="10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服务期：合同签订后满3年。</w:t>
      </w:r>
      <w:r/>
    </w:p>
    <w:p>
      <w:pPr>
        <w:ind w:left="0" w:right="0" w:firstLine="0"/>
        <w:jc w:val="both"/>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第四章评标办法及评分标准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left="0" w:right="0" w:firstLine="47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（1）本项目对小型和微型企业产品给予20%的扣除价格，用扣除后的价格参与评审。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（3）监狱企业标准请参照《关于政府采购实现监狱企业发展有关问题的通知》（财库[2014]68号）。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实现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6、接受联合体供应商的情况：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大中型企业和其他自然人、法人或者其他组织并与小型、微型企业组成联合体共同参加政府采购活动。联合协议中约定，小型、微型企业的协议合同金额占到联合体协议合同总金额30%以上的，给予联合体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6.2联合体各方均为小型、微型企业的，联合体视同为小型、微型企业并享受20%价格扣除，用扣除后的价格参与评审。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6.3供应商如为联合体的，请按照采购文件的要求提供相应的《联合体协议》。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7、供应商对于投标产品的包装应按照“财办库〔2020〕123号《关于印发《商品包装政府采购需求标准（试行）》、《快递包装政府采购需求标准（试行）》的通知》”执行。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8、本文件中若涉及到数据中心采购，应按照《&lt;绿色数据中心政府采购需求标准（试行）&gt;的通知》（财库〔2023〕7号）执行。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1"/>
        <w:gridCol w:w="7369"/>
      </w:tblGrid>
      <w:tr>
        <w:trPr>
          <w:trHeight w:val="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  分  标  准</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总报价最低的供应商的价格为评标基准价，其价格分为满分10。其他投标人的价格分统一按照下列公式计算：评标报价得分=（评标基准价/评标报价）×10，结果保留两位小数（有效投标文件是指未被评标委员会判定为无效标的投标文件）。</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b/>
                <w:color w:val="000000"/>
                <w:sz w:val="24"/>
              </w:rPr>
              <w:t xml:space="preserve">对项目的理解与相关规划解读（20分）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根据对招标项目背景、功能理解是否正确、对相关规划与现状是否充分认识和理解进行评分。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理解充分、认识正确、解读清晰的得16.01-20分；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理解基本准确，解读基本清晰的得13.01-16分；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理解度、认识正确性、解读清晰性一般的得10.1-13分；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b/>
                <w:color w:val="000000"/>
                <w:sz w:val="24"/>
              </w:rPr>
              <w:t xml:space="preserve">对招标项目特点、关键技术问题的认识及其对策措施（15分）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根据对招标项目特点、关键技术问题的认识及对策措施是否清晰、可行进行评分。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关键技术、重难点把握准确、针对性强，对策措施明确有效且科学合理的得13.01-15分；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关键技术、重难点把握较准确、针对性较强，对策措施较得当的得11.01-13分；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关键技术、重难点把握一般、针对性一般，对策措施一般的得9-11分；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r>
            <w:r>
              <w:rPr>
                <w:rFonts w:ascii="SimSun" w:hAnsi="SimSun" w:eastAsia="SimSun" w:cs="SimSun"/>
                <w:b/>
                <w:color w:val="000000"/>
                <w:sz w:val="24"/>
              </w:rPr>
              <w:t xml:space="preserve">工作量及计划安排（8分）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根据对工作量及计划安排的合理性、可行性进行评分。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工作量及计划安排科学、周密，可操作性强的得8分；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工作量及计划安排合理、较周密，可操作性较强的得6分；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工作量及计划安排基本合理，可操作性一般的得4分；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w:t>
            </w:r>
            <w:r>
              <w:rPr>
                <w:rFonts w:ascii="SimSun" w:hAnsi="SimSun" w:eastAsia="SimSun" w:cs="SimSun"/>
                <w:b/>
                <w:color w:val="000000"/>
                <w:sz w:val="24"/>
              </w:rPr>
              <w:t xml:space="preserve">质量保证措施、进度保证措施（8分）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根据对招标项目质量保证措施、进度保证措施安排的合理性及可操作性进行评分。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措施具体可靠，可实施性强，适合本项目的得8分；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措施较具体，可实施性较强的得6分；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措施不够具体，可实施性一般的得4分；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w:t>
            </w:r>
            <w:r>
              <w:rPr>
                <w:rFonts w:ascii="SimSun" w:hAnsi="SimSun" w:eastAsia="SimSun" w:cs="SimSun"/>
                <w:b/>
                <w:color w:val="000000"/>
                <w:sz w:val="24"/>
              </w:rPr>
              <w:t xml:space="preserve">后续服务的安排及保证措施（8分）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根据对后续服务及保证措施的全面性和合理性等情况进行评分。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对于后续服务安排完善合理的得8分；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对于后续服务安排较完善的得6分；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对于后续服务安排一般的得4分；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上述评分项评标委员会应当将量化指标建立在同一基础或者同一标准上，使各投标文件具有可比性。</w:t>
            </w:r>
            <w:r/>
          </w:p>
        </w:tc>
      </w:tr>
      <w:tr>
        <w:trPr>
          <w:trHeight w:val="1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项目负责人具有公路专业注册咨询师证书的得3分，最高得3分。（提供证书扫描件及投标人为其缴纳投标截止期最近1个月的社保材料，否则不得分。证书无法判断专业的须提供完整的专业技术资格呈报表）</w:t>
            </w:r>
            <w:r/>
          </w:p>
        </w:tc>
      </w:tr>
      <w:tr>
        <w:trPr>
          <w:trHeight w:val="1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项目组成员（项目</w:t>
            </w:r>
            <w:r>
              <w:rPr>
                <w:rFonts w:ascii="SimSun" w:hAnsi="SimSun" w:eastAsia="SimSun" w:cs="SimSun"/>
                <w:color w:val="000000"/>
                <w:sz w:val="24"/>
                <w:highlight w:val="white"/>
              </w:rPr>
              <w:t xml:space="preserve">负责人除外）中具备</w:t>
            </w:r>
            <w:r>
              <w:rPr>
                <w:rFonts w:ascii="SimSun" w:hAnsi="SimSun" w:eastAsia="SimSun" w:cs="SimSun"/>
                <w:color w:val="000000"/>
                <w:sz w:val="24"/>
                <w:highlight w:val="white"/>
              </w:rPr>
              <w:t xml:space="preserve">公路工程相关专业</w:t>
            </w:r>
            <w:r>
              <w:rPr>
                <w:rFonts w:ascii="SimSun" w:hAnsi="SimSun" w:eastAsia="SimSun" w:cs="SimSun"/>
                <w:color w:val="000000"/>
                <w:sz w:val="24"/>
                <w:highlight w:val="white"/>
              </w:rPr>
              <w:t xml:space="preserve">中级及以上职称的，每有一个得1分，最高得 3分，具备</w:t>
            </w:r>
            <w:r>
              <w:rPr>
                <w:rFonts w:ascii="SimSun" w:hAnsi="SimSun" w:eastAsia="SimSun" w:cs="SimSun"/>
                <w:color w:val="000000"/>
                <w:sz w:val="24"/>
                <w:highlight w:val="white"/>
              </w:rPr>
              <w:t xml:space="preserve">公路工程相关专业</w:t>
            </w:r>
            <w:r>
              <w:rPr>
                <w:rFonts w:ascii="SimSun" w:hAnsi="SimSun" w:eastAsia="SimSun" w:cs="SimSun"/>
                <w:color w:val="000000"/>
                <w:sz w:val="24"/>
                <w:highlight w:val="white"/>
              </w:rPr>
              <w:t xml:space="preserve">高级及以上职称的，每有一个得2分，最高得4分，具有注册咨询师证书的得2分。（提供证书原件的扫描件及投标人为其缴纳投标截止期最近1个月的社保材料，否则不得分。本项职称不重复得分，证书无法判断专业的须提供完整的专业技术资格呈报表）</w:t>
            </w:r>
            <w:r>
              <w:rPr>
                <w:highlight w:val="white"/>
              </w:rPr>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企业信誉（6)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提供有效期内的质量管理体系认证、环境管理体系认证、职业健康安全管理体系认证证书。每提供1个得2分，最高得6分。（提供扫描件，未提供的不得分）</w:t>
            </w:r>
            <w:r/>
          </w:p>
        </w:tc>
      </w:tr>
      <w:tr>
        <w:trPr>
          <w:trHeight w:val="1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5年（2019年1月1日至投标截止时间止，以合同签订时间为准）完成过“四好农村路”全国示范县技术支持项目的并申报成功的业绩的，得2分，最高得12分。（投标时须提供相关合同及申报成功证明文件的扫描件）</w:t>
            </w:r>
            <w:r/>
          </w:p>
        </w:tc>
      </w:tr>
      <w:tr>
        <w:trPr>
          <w:trHeight w:val="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诚信投标（1分）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投标人提交签署并加盖公章《盐城市大丰区政府招标采购供应商承诺书》的得1分，没有提供的不得分。</w:t>
            </w:r>
            <w:r/>
          </w:p>
        </w:tc>
      </w:tr>
    </w:tbl>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5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第五章合同主要条款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人（以下简称甲方）：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 应 商（以下简称乙方）：</w:t>
      </w:r>
      <w:r/>
    </w:p>
    <w:p>
      <w:pPr>
        <w:ind w:left="0" w:right="0" w:firstLine="480"/>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甲、乙双方根据项目评标的结果，签署本合同。</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9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满足招标文件采购需求及招标文件其他条款。</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59"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本合同金额为（大写）：________________（￥__________元）人民币。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本合同价款包含所有乙方提供合同约定服务的报酬及乙方提供合同中服务所支出的必要费用，甲方在上述合同价款之外不再向乙方支付其他任何费用。</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 招标文件规定的时间向甲方提供有关技术资料。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乙方应保证所提供的服务或其任何一部分均不会侵犯任何第三方的专利权、商标权或著作权；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本次服务过程中收集、整理及生成的资料数据及相关成果的知识产权归甲方所有。项目过程中甲方及相关部门提供的资料数据，乙方不得用于或泄露给第三方，否则乙方要承担相应的法律责任和后果。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3.乙方保证甲方在使用成交服务时，不承担任何涉及知识产权法律诉讼的责任。</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359"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乙方保证所交付标的的所有权完全属于乙方且无任何抵押、查封等产权瑕疵。</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元作为本合同的履约保证金（合同金额的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于项目完成，验收合格后退还。履约保证金用以约束乙方在合同履行中的行为，弥补合同执行中由于自身行为可能给甲方带来的各种损失。在有效期内的AA评级及以上的投标人（需提供信用管理部门备案的第三方信用报告），履约保证金金额为中标价的5%；在江苏省公路水运建设市场信用信息管理系统中最近一次的信用等级评价为AA信用等级的投标人，履约保证金金额为中标价的5%；被列入省公路水运建设市场红名单或在江苏省公路水运建设市场信用信息管理系统中最近连续两年评价为AA级的中小企业，可以免缴履约保证金。</w:t>
      </w:r>
      <w:r>
        <w:rPr>
          <w:rFonts w:ascii="SimSun" w:hAnsi="SimSun" w:eastAsia="SimSun" w:cs="SimSun"/>
          <w:b/>
          <w:color w:val="000000"/>
          <w:sz w:val="24"/>
        </w:rPr>
        <w:t xml:space="preserve">以上政策不重复减免。</w:t>
      </w:r>
      <w:r>
        <w:rPr>
          <w:rFonts w:ascii="SimSun" w:hAnsi="SimSun" w:eastAsia="SimSun" w:cs="SimSun"/>
          <w:color w:val="000000"/>
          <w:sz w:val="24"/>
        </w:rPr>
        <w:t xml:space="preserve">履约保证金形式：供应商应当以支票、汇票、本票或者金融机构、担保机构出具的保函等非现金形式提交。</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6.2政府采购履约资金扶持政策</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7.1本合同范围内产品或服务，应由乙方直接供应，不得转让他人供应；</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 </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八、甲方权利和义务 </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1.根据本项目的实际情况向乙方提供必要的辅助，并安排专门人员与乙方对接工作；</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2.向乙方提供本项目所需的已有基础数据和图件等；</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3.协助乙方解决项目中遇到的其他困难；</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4.负责检查监督乙方项目的实施情况；</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5.根据本合同约定，按时向乙方支付应付服务费用；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6.甲方有积极配合乙方对项目进行验收的义务，验收后应出具验收合格的报告。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7.国家法律、法规所规定由甲方承担的其它责任。</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九、乙方的权利和义务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1.根据本合同的约定，保质保量完成服务内容；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2.在本合同履行过程中遇到需要甲方配合的，有权要求甲方提供必要的配合和帮助；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3.乙方应按照合同约定的服务期限向甲方提供服务的成果，配合甲方完成项目验收；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4.接受项目行业管理部门及政府有关部门的指导，接受甲方的监督；</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5.国家法律、法规所规定由乙方承担的其它责任。</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十、合同款的支付</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、项目签订合同后，甲方向乙方支付服务费用的</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预付款；</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、完成“四好农村路”全国示范县内业资料整理、上传、农村公路全生命周期智慧管理系统上线成功运行后付至合同总价的</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、“四好农村路”全国示范县验收通过后付至合同总价的</w:t>
      </w:r>
      <w:r>
        <w:rPr>
          <w:rFonts w:ascii="Times New Roman" w:hAnsi="Times New Roman" w:eastAsia="Times New Roman" w:cs="Times New Roman"/>
          <w:b/>
          <w:color w:val="000000"/>
          <w:sz w:val="24"/>
        </w:rPr>
        <w:t xml:space="preserve">90%</w:t>
      </w:r>
      <w:r>
        <w:rPr>
          <w:rFonts w:ascii="SimSun" w:hAnsi="SimSun" w:eastAsia="SimSun" w:cs="SimSun"/>
          <w:b/>
          <w:color w:val="000000"/>
          <w:sz w:val="24"/>
        </w:rPr>
        <w:t xml:space="preserve">；</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、剩余资金在创建完成且通过第一次复查后付清。</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甲方每次按合同约定付款前，乙方均应向甲方提供符合甲方规定的增值税专用发票作为支付支付服务报酬的前提条件，乙方未提前开票的，甲方有权拒绝支付相应服务报酬，且甲方不承担逾期付款的违约责任。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因乙方原因工作迟缓或工作疏忽，导致甲方被省市通报批评或年底考核受影响，扣除乙方合同价百分之五的违约金。</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1.甲方的违约: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甲方变更计划，或未按期提供规划必需的资料、工作条件，而造成的返工或修改，甲方应按乙方实际增加的工作量(以乙方已提供的成果为准)支付乙方增加工作量的成本费用，由此拖延的周期应由甲方负责。</w:t>
        <w:br/>
        <w:t xml:space="preserve">    (2)在合同履行期间，甲方要求终止或解除合同(但仅指非乙方原因造成)，甲方应按乙方完成的实际工作量支付成本费用。</w:t>
      </w:r>
      <w:r/>
    </w:p>
    <w:p>
      <w:pPr>
        <w:ind w:left="239"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w:t>
      </w:r>
      <w:r/>
    </w:p>
    <w:p>
      <w:pPr>
        <w:ind w:left="0" w:right="0" w:firstLine="480"/>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(1)如果乙方将任务转包或者未经甲方同意分包，除由有关部门给予处罚外，甲方将按合同价的5%扣除乙方的违约金（在履约保证金中直接扣除）。</w:t>
        <w:br/>
        <w:t xml:space="preserve"> </w:t>
      </w:r>
      <w:r>
        <w:rPr>
          <w:rFonts w:ascii="SimSun" w:hAnsi="SimSun" w:eastAsia="SimSun" w:cs="SimSun"/>
          <w:color w:val="000000"/>
          <w:sz w:val="24"/>
          <w:highlight w:val="white"/>
        </w:rPr>
        <w:t xml:space="preserve"> </w:t>
      </w:r>
      <w:r>
        <w:rPr>
          <w:rFonts w:ascii="SimSun" w:hAnsi="SimSun" w:eastAsia="SimSun" w:cs="SimSun"/>
          <w:color w:val="000000"/>
          <w:sz w:val="24"/>
          <w:highlight w:val="white"/>
        </w:rPr>
        <w:t xml:space="preserve">  </w:t>
      </w:r>
      <w:r>
        <w:rPr>
          <w:rFonts w:ascii="SimSun" w:hAnsi="SimSun" w:eastAsia="SimSun" w:cs="SimSun"/>
          <w:color w:val="000000"/>
          <w:sz w:val="24"/>
          <w:highlight w:val="white"/>
        </w:rPr>
        <w:t xml:space="preserve">(2)</w:t>
      </w:r>
      <w:r>
        <w:rPr>
          <w:rFonts w:ascii="SimSun" w:hAnsi="SimSun" w:eastAsia="SimSun" w:cs="SimSun"/>
          <w:color w:val="000000"/>
          <w:sz w:val="24"/>
          <w:highlight w:val="white"/>
        </w:rPr>
        <w:t xml:space="preserve">乙方未按照国家现行的标准或规范开展工作、编制管理系统、相应报告，或未根据甲方的指令进行变更，给甲方造成损失等，如发生上述任何行为,除由有关部门给予处罚外，甲方将按合同价的5%-10%扣除乙方的违约金。</w:t>
      </w:r>
      <w:r>
        <w:rPr>
          <w:highlight w:val="white"/>
        </w:rPr>
      </w:r>
      <w:r/>
    </w:p>
    <w:p>
      <w:pPr>
        <w:ind w:left="0" w:right="0" w:firstLine="480"/>
        <w:spacing w:before="0" w:after="0" w:line="4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因编制管理系统、报告深度不够、质量低劣、不符合国家文件规定或报告未获相关部门审查通过、引起返工而造成的质量问题除由乙方负责继续完善外,应视造成的损失，甲方可扣除乙方合同价的5%违约金（在履约保证金中直接扣除）。</w:t>
      </w:r>
      <w:r>
        <w:rPr>
          <w:highlight w:val="white"/>
        </w:rPr>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(4)如果乙方因自身原因未能按期提交成果(甲方同意延长期限的情况除外)，则每延期一天甲方将按合同费用总金额的千分之一扣除乙方的违约金。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(5)创建成功后，如有一次复检不合格，则甲方可扣除乙方合同价的5%/次的违约金（在合同价款中直接扣除）。</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生效后，如果承包人更换响应文件中承诺的项目负责人和各专业负责人、主要技术人员，必须征得业主的同意，并且更换人员的水平不得低于原有的水平，同时，业主将保留对承包人罚款的权力:其中更换项目负责人按5万元/人次处以罚金，更换各专业负责人按3万元/人次处以罚金，更换主要技术人员按1万元/人次处以罚金。</w:t>
        <w:br/>
        <w:t xml:space="preserve">    (7)合同生效后，如乙方无正当理由提出终止合同，应双倍向甲方返还已收取的款项，并承担由此产生的一切损失。</w:t>
        <w:br/>
        <w:t xml:space="preserve">    (8)因乙方违约给甲方造成本合同之外的其他损失或给第三人造成损失的，乙方应当承担赔偿</w:t>
      </w:r>
      <w:r>
        <w:rPr>
          <w:rFonts w:ascii="SimSun" w:hAnsi="SimSun" w:eastAsia="SimSun" w:cs="SimSun"/>
          <w:color w:val="000000"/>
          <w:sz w:val="24"/>
        </w:rPr>
        <w:t xml:space="preserve">责任。</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有效期内，任何一方由于不可抗力原因（指不能预见，不能避免并不能克服的客观情况，如地震、台风、洪水、战争、疫情、国家宏观政策发生重大变化等）不能履行合同时，应在不可抗力事件结束后1日内向对方通报，以减轻可能给对方造成的损失，在取得有关机构的不可抗力证明或三方谅解确认后，允许延期履行或修订合同，并根据情况可部分或全部免于承担违约责任。</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十三、争议解决</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双方因履行本合同而发生的争议，应协商、调解解决。协商、调解不成的，确定按以下方式处理：</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依法向原告所在地有管辖权的人民法院起诉。</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争议解决期间，除正在法院裁判的部分外，合同其他部分继续执行。</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本合同按照中华人民共和国的法律进行解释。</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十四、保密义务</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1.保密内容（包括技术信息和经营信息）；所有项目相关的技术资料和成果及商务文件；</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2.涉密人员范围：甲乙方所有项目参与成员；</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3.保密期限：永久；</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4.泄密责任：按照国家法律规定执行。</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十五、其它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1．本合同所有附件（如有）均为合同的有效组成部分，与本合同具有同等法律效力；若合同附件与本合同存在不一致的，则以本合同为准；</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2．在执行本合同的过程中，不违反法律法规的前提下，经双方签署确认的文件（包括会议纪要、补充协议、往来信函）即成为本合同的有效组成部分；</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3.如一方地址、电话、传真号码有变更，应在变更当日内书面通知对方，否则，应承担相应不利后果；</w:t>
      </w:r>
      <w:r/>
    </w:p>
    <w:p>
      <w:pPr>
        <w:ind w:left="0" w:right="-21"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4.本合同壹式</w:t>
      </w:r>
      <w:r>
        <w:rPr>
          <w:rFonts w:ascii="SimSun" w:hAnsi="SimSun" w:eastAsia="SimSun" w:cs="SimSun"/>
          <w:color w:val="000000"/>
          <w:sz w:val="24"/>
          <w:u w:val="single"/>
        </w:rPr>
        <w:t xml:space="preserve"> 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法定代表人或委托代理人：法定代表人或委托代理人：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签约时间：年月日</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68"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47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SimSun" w:hAnsi="SimSun" w:eastAsia="SimSun" w:cs="SimSun"/>
          <w:b/>
          <w:color w:val="000000"/>
          <w:sz w:val="24"/>
        </w:rPr>
        <w:t xml:space="preserve">（项目名称）</w:t>
      </w:r>
      <w:r>
        <w:rPr>
          <w:rFonts w:ascii="SimSun" w:hAnsi="SimSun" w:eastAsia="SimSun" w:cs="SimSun"/>
          <w:color w:val="000000"/>
          <w:sz w:val="24"/>
        </w:rPr>
        <w:t xml:space="preserve">的项目法人</w:t>
      </w:r>
      <w:r>
        <w:rPr>
          <w:rFonts w:ascii="SimSun" w:hAnsi="SimSun" w:eastAsia="SimSun" w:cs="SimSun"/>
          <w:b/>
          <w:color w:val="000000"/>
          <w:sz w:val="24"/>
        </w:rPr>
        <w:t xml:space="preserve">（项目法人名称，以下简称“甲方”</w:t>
      </w:r>
      <w:r>
        <w:rPr>
          <w:rFonts w:ascii="SimSun" w:hAnsi="SimSun" w:eastAsia="SimSun" w:cs="SimSun"/>
          <w:color w:val="000000"/>
          <w:sz w:val="24"/>
        </w:rPr>
        <w:t xml:space="preserve">）与该项目的服务单位（</w:t>
      </w:r>
      <w:r>
        <w:rPr>
          <w:rFonts w:ascii="SimSun" w:hAnsi="SimSun" w:eastAsia="SimSun" w:cs="SimSun"/>
          <w:b/>
          <w:color w:val="000000"/>
          <w:sz w:val="24"/>
        </w:rPr>
        <w:t xml:space="preserve">服务单位名称，以下简称“乙方”）</w:t>
      </w:r>
      <w:r>
        <w:rPr>
          <w:rFonts w:ascii="SimSun" w:hAnsi="SimSun" w:eastAsia="SimSun" w:cs="SimSun"/>
          <w:color w:val="000000"/>
          <w:sz w:val="24"/>
        </w:rPr>
        <w:t xml:space="preserve">，特订立如下合同。 </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甲乙双方的权利和义务</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（一）严格遵守党的政策规定和国家有关法律法规及交通运输部的有关规定。</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（二）严格执行（项目名称）合同文件，自觉按合同办事。</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（三）双方的业务活动坚持公开、公正、诚信、透明的原则（法律认定的商业秘密和合同文件另有规定除外），不得损害国家和集体利益，不得违反工程建设管理规章制度。</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（四）建立健全廉政制度，开展廉政教育，设立廉政告示牌，公布举报电话，监督并认真查处违法违纪行为。</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（五）发现对方在业务活动中有违反廉政规定的行为，有及时提醒对方纠正的权利和义务。</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（六）发现对方严重违反本合同义务条款的行为，有向其上级有关部门举报、建议给予处理并要求告知处理结果的权利。</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甲方的义务</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（一）甲方及其工作人员不得索要或接受乙方的礼金、有价证券和贵重物品，不得在乙方报销任何应由甲方或甲方工作人员个人支付的费用等。</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（二）甲方工作人员不得参加乙方安排的超标准宴请和娱乐活动；不得接受乙方提供的通讯工具、交通工具和高档办公用品等。</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（三）甲方及其工作人员不得要求或者接受乙方为其住房装修、婚丧嫁娶活动、配偶子女及其亲属的工作安排以及出国出境、旅游等提供方便。</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（四）甲方工作人员及其配偶、子女、亲属不得从事与本勘察设计合同有关的勘察设计业务等活动。不得以任何理由要求乙方和相关单位在设计中使用某种产品、材料和设备。</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乙方的义务</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（一）乙方不得以任何理由向甲方及其工作人员行贿或馈赠礼金、有价证券、贵重礼品。</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（二）乙方不得以任何名义为甲方及其工作人员报销应由甲方单位或个人支付的任何费用。</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（三）乙方不得以任何理由安排甲方工作人员参加超标准宴请及娱乐活动。</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（四）乙方不得为甲方单位和个人购置或提供通信工具、交通工具和高档办公用品等。</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违约责任</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合同第一、三条，按管理权限，依据有关规定给予党纪、政纪或组织处理；给甲方单位造成经济损失的，应予以赔偿；情节严重的，甲方建议交通运输主管部门给予乙方一至三年内不得进入其主管的公路建设市场的处罚。</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本合同有效期为甲乙双方签署之日起至合同失效日止。</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本合同作为（项目名称）合同的附件，与服务合同具有同等的法律效力，经合同双方签署后立即生效。</w:t>
      </w:r>
      <w:r/>
    </w:p>
    <w:p>
      <w:pPr>
        <w:ind w:left="0" w:right="468"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本合同一式四份，由甲乙双方各执一份，送交甲乙双方的监督单位各一份。 </w:t>
      </w:r>
      <w:r/>
    </w:p>
    <w:p>
      <w:pPr>
        <w:ind w:left="0"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法定代表人或委托代理人：法定代表人或委托代理人：</w:t>
      </w:r>
      <w:r/>
    </w:p>
    <w:p>
      <w:pPr>
        <w:ind w:left="0" w:right="0" w:firstLine="1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第六章投标文件及格式</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（一）开标一览表</w:t>
      </w:r>
      <w:r/>
    </w:p>
    <w:p>
      <w:pPr>
        <w:ind w:left="0" w:right="0" w:firstLine="5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rPr>
          <w:rFonts w:ascii="SimSun" w:hAnsi="SimSun" w:eastAsia="SimSun" w:cs="SimSun"/>
          <w:color w:val="000000"/>
          <w:sz w:val="27"/>
        </w:rPr>
        <w:t xml:space="preserve"> </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货币单位：人民币元</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8"/>
        <w:gridCol w:w="3255"/>
        <w:gridCol w:w="2877"/>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总价金额大写：</w:t>
            </w:r>
            <w:r/>
          </w:p>
        </w:tc>
      </w:tr>
    </w:tbl>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p>
    <w:p>
      <w:pPr>
        <w:ind w:left="0" w:right="0" w:firstLine="723"/>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480" w:firstLine="723"/>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480" w:firstLine="723"/>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6"/>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（二）投标函</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根据贵方的号招标文件，正式授权下述签字人_________________(姓名)代表我方______________（投标人的名称），全权处理本次项目投标的有关事宜。</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1.按招标文件规定的各项要求，向买方提供所需货物与服务。</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w:t>
      </w:r>
      <w:r>
        <w:rPr>
          <w:rFonts w:ascii="SimSun" w:hAnsi="SimSun" w:eastAsia="SimSun" w:cs="SimSun"/>
          <w:color w:val="000000"/>
          <w:sz w:val="22"/>
        </w:rPr>
        <w:t xml:space="preserve">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（三）参加政府采购活动前 3 年内在经营活动中没有重大违法记录的书面声明</w:t>
      </w:r>
      <w:r/>
    </w:p>
    <w:p>
      <w:pPr>
        <w:ind w:left="0" w:right="0" w:firstLine="88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1446"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pStyle w:val="64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（四）供应商登记表</w:t>
      </w:r>
      <w:r/>
    </w:p>
    <w:p>
      <w:pPr>
        <w:ind w:left="144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6"/>
        <w:gridCol w:w="1158"/>
        <w:gridCol w:w="1364"/>
        <w:gridCol w:w="1900"/>
        <w:gridCol w:w="1276"/>
        <w:gridCol w:w="2369"/>
      </w:tblGrid>
      <w:tr>
        <w:trPr>
          <w:trHeight w:val="2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67"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详细地址</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22"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8"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企业性质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 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8"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所在部门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8"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在册员工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2"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4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 机 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2"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0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 址</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4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供应商品</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   围</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67"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9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3"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企业概况</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93"/>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3"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主要业绩</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120" w:after="120" w:line="439"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（五）法定代表人身份证明书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成立时间：年月日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3598"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联系电话： 身份证号：</w:t>
      </w:r>
      <w:r/>
    </w:p>
    <w:p>
      <w:pPr>
        <w:ind w:left="3598"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（投标单位名称)</w:t>
      </w:r>
      <w:r>
        <w:rPr>
          <w:rFonts w:ascii="SimSun" w:hAnsi="SimSun" w:eastAsia="SimSun" w:cs="SimSun"/>
          <w:color w:val="000000"/>
          <w:sz w:val="24"/>
        </w:rPr>
        <w:t xml:space="preserve">的法定代表人或单位负责人。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23"/>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（六）法定代表人授权委托书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投标人名称）的法定代表人或单位负责人，现授权委托（单位名称）（姓名）为我的代理人，以本公司的名义参加的投标活动。代理人在开标、询标、合同谈判等过程中所签署的一切文件和处理与之有关的一切事务，我均予以承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代理人无转委权，特此委托。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　　　　代理人联系电话（手机号）：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投标人(法人印章)：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法定代表人(印章或签字)：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161"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3"/>
      </w:tblGrid>
      <w:tr>
        <w:trPr>
          <w:trHeight w:val="4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（代理人身份证复印件粘贴处）</w:t>
            </w:r>
            <w:r/>
          </w:p>
        </w:tc>
      </w:tr>
    </w:tbl>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（八）中小企业声明函（服务）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租赁和商务服务业</w:t>
      </w:r>
      <w:r>
        <w:rPr>
          <w:rFonts w:ascii="SimSun" w:hAnsi="SimSun" w:eastAsia="SimSun" w:cs="SimSun"/>
          <w:color w:val="000000"/>
          <w:sz w:val="24"/>
        </w:rPr>
        <w:t xml:space="preserve">行业；承接（承接）企业为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从业人员、营业收入、资产总额填报上一年度数据，无上一年度数据的新成立企业可不填报。</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（九）残疾人福利性单位声明函（如有）</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b/>
          <w:color w:val="000000"/>
          <w:sz w:val="24"/>
          <w:u w:val="single"/>
        </w:rPr>
        <w:t xml:space="preserve">盐城市大丰区交通运输局</w:t>
      </w:r>
      <w:r>
        <w:rPr>
          <w:rFonts w:ascii="SimSun" w:hAnsi="SimSun" w:eastAsia="SimSun" w:cs="SimSun"/>
          <w:color w:val="000000"/>
          <w:spacing w:val="6"/>
          <w:sz w:val="24"/>
        </w:rPr>
        <w:t xml:space="preserve">的</w:t>
      </w:r>
      <w:r>
        <w:rPr>
          <w:rFonts w:ascii="SimSun" w:hAnsi="SimSun" w:eastAsia="SimSun" w:cs="SimSun"/>
          <w:b/>
          <w:color w:val="000000"/>
          <w:sz w:val="24"/>
          <w:u w:val="single"/>
        </w:rPr>
        <w:t xml:space="preserve">大丰区创建国家级“四好农村路”示范县技术支持服务</w:t>
      </w:r>
      <w:r>
        <w:rPr>
          <w:rFonts w:ascii="SimSun" w:hAnsi="SimSun" w:eastAsia="SimSun" w:cs="SimSun"/>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本单位在本次政府采购活动中提供的残疾人福利单位产品报价合计为人民币（大写）</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（备注：1、供应商如不提供此声明函，价格将不做相应扣除。2、中标供应商为残疾人福利单位的，此声明函将随中标结果同时公告，接受社会监督）</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授权代表亲笔签名： </w:t>
      </w:r>
      <w:r/>
    </w:p>
    <w:p>
      <w:pPr>
        <w:ind w:left="0" w:right="48" w:firstLine="504"/>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期：________年____月____日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（十）具备履行合同所必需的设备和专业技术能力的声明函</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我方郑重声明：我方具备履行本项采购合同所必需的设备和专业技术能力，为履行本项采购合同我方具备如下主要设备和主要专业技术能力：</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pStyle w:val="644"/>
        <w:ind w:left="0" w:right="0" w:firstLine="482"/>
        <w:jc w:val="right"/>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日期：______年月日</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w:t>
      </w:r>
      <w:r>
        <w:rPr>
          <w:rFonts w:ascii="SimHei" w:hAnsi="SimHei" w:eastAsia="SimHei" w:cs="SimHei"/>
          <w:b/>
          <w:color w:val="000000"/>
          <w:sz w:val="36"/>
        </w:rPr>
        <w:t xml:space="preserve">一</w:t>
      </w:r>
      <w:r>
        <w:rPr>
          <w:rFonts w:ascii="SimHei" w:hAnsi="SimHei" w:eastAsia="SimHei" w:cs="SimHei"/>
          <w:b/>
          <w:color w:val="000000"/>
          <w:sz w:val="36"/>
        </w:rPr>
        <w:t xml:space="preserve">）清单报价表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8"/>
        <w:gridCol w:w="3439"/>
        <w:gridCol w:w="923"/>
        <w:gridCol w:w="895"/>
        <w:gridCol w:w="1074"/>
        <w:gridCol w:w="871"/>
        <w:gridCol w:w="1375"/>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top"/>
            <w:textDirection w:val="lrTb"/>
            <w:noWrap w:val="false"/>
          </w:tcPr>
          <w:p>
            <w:pPr>
              <w:ind w:left="0" w:right="-5"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法定代表人（或者负责人）</w:t>
      </w:r>
      <w:r/>
    </w:p>
    <w:p>
      <w:pPr>
        <w:ind w:left="0" w:right="0" w:firstLine="37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或授权委托人（签字或盖章）：</w:t>
      </w:r>
      <w:r/>
    </w:p>
    <w:p>
      <w:pPr>
        <w:ind w:left="0" w:right="0" w:firstLine="378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723"/>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w:t>
      </w:r>
      <w:r>
        <w:rPr>
          <w:rFonts w:ascii="SimSun" w:hAnsi="SimSun" w:eastAsia="SimSun" w:cs="SimSun"/>
          <w:b/>
          <w:color w:val="000000"/>
          <w:sz w:val="36"/>
        </w:rPr>
        <w:t xml:space="preserve">二</w:t>
      </w:r>
      <w:r>
        <w:rPr>
          <w:rFonts w:ascii="SimSun" w:hAnsi="SimSun" w:eastAsia="SimSun" w:cs="SimSun"/>
          <w:b/>
          <w:color w:val="000000"/>
          <w:sz w:val="36"/>
        </w:rPr>
        <w:t xml:space="preserve">）</w:t>
      </w:r>
      <w:r>
        <w:rPr>
          <w:rFonts w:ascii="SimHei" w:hAnsi="SimHei" w:eastAsia="SimHei" w:cs="SimHei"/>
          <w:b/>
          <w:color w:val="000000"/>
          <w:sz w:val="36"/>
        </w:rPr>
        <w:t xml:space="preserve">服务内容响应表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3、技术偏离表应针对采购需求逐条应答。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（盖章或签字）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投标单位：（全称并加盖公章）</w:t>
      </w:r>
      <w:r/>
    </w:p>
    <w:p>
      <w:pPr>
        <w:ind w:left="0" w:right="0" w:firstLine="480"/>
        <w:jc w:val="right"/>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48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w:panose1 w:val="020F0502020204030204"/>
  </w:font>
  <w:font w:name="Tahoma">
    <w:panose1 w:val="020B0604030504040204"/>
  </w:font>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6"/>
    <w:next w:val="816"/>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basedOn w:val="816"/>
    <w:next w:val="816"/>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basedOn w:val="816"/>
    <w:next w:val="816"/>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basedOn w:val="816"/>
    <w:next w:val="816"/>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basedOn w:val="816"/>
    <w:next w:val="816"/>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basedOn w:val="816"/>
    <w:next w:val="81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basedOn w:val="816"/>
    <w:next w:val="816"/>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basedOn w:val="816"/>
    <w:next w:val="816"/>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basedOn w:val="816"/>
    <w:next w:val="816"/>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basedOn w:val="8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9">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0">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1">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2">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3">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4">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1">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4">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5">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6">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7">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8">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9">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1">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2">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3">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4">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5">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6">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5">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6">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7">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8">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9">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0">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2">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3">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4">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5">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6">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7">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9">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3">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6">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7">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8">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9">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0">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1">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qFormat/>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No Spacing"/>
    <w:basedOn w:val="816"/>
    <w:uiPriority w:val="1"/>
    <w:qFormat/>
    <w:pPr>
      <w:spacing w:after="0" w:line="240" w:lineRule="auto"/>
    </w:pPr>
  </w:style>
  <w:style w:type="paragraph" w:styleId="820">
    <w:name w:val="List Paragraph"/>
    <w:basedOn w:val="816"/>
    <w:uiPriority w:val="34"/>
    <w:qFormat/>
    <w:pPr>
      <w:contextualSpacing/>
      <w:ind w:left="720"/>
    </w:pPr>
  </w:style>
  <w:style w:type="character" w:styleId="82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丁先生</cp:lastModifiedBy>
  <cp:revision>5</cp:revision>
  <dcterms:modified xsi:type="dcterms:W3CDTF">2024-05-28T07:18:15Z</dcterms:modified>
</cp:coreProperties>
</file>