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955"/>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955"/>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 xml:space="preserve">（暗标）</w:t>
      </w:r>
      <w:r/>
    </w:p>
    <w:p>
      <w:pPr>
        <w:pStyle w:val="955"/>
        <w:ind w:firstLine="0"/>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5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5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JSZC-320200-XWJC-G2025-0086</w:t>
      </w:r>
      <w:r/>
    </w:p>
    <w:p>
      <w:pPr>
        <w:ind w:left="3515" w:hanging="160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江南大学附属医院复合手术室（移动CT）项目</w:t>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w:t>
      </w:r>
      <w:r/>
    </w:p>
    <w:p>
      <w:pPr>
        <w:jc w:val="center"/>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pStyle w:val="955"/>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55"/>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55"/>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55"/>
        <w:ind w:firstLine="0"/>
        <w:jc w:val="center"/>
        <w:spacing w:before="0" w:after="0"/>
        <w:rPr>
          <w:rFonts w:hint="eastAsia" w:ascii="宋体" w:hAnsi="宋体" w:eastAsia="黑体"/>
          <w:color w:val="000000" w:themeColor="text1"/>
          <w:sz w:val="32"/>
          <w:szCs w:val="32"/>
          <w:highlight w:val="none"/>
          <w:shd w:val="clear" w:color="ffffff" w:fill="d9d9d9"/>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955"/>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none"/>
          <w14:textFill>
            <w14:solidFill>
              <w14:schemeClr w14:val="tx1"/>
            </w14:solidFill>
          </w14:textFill>
        </w:rPr>
        <w:t xml:space="preserve">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五</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九</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955"/>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ascii="黑体" w:hAnsi="华文中宋" w:eastAsia="黑体"/>
          <w:bCs/>
          <w:color w:val="000000" w:themeColor="text1"/>
          <w:sz w:val="44"/>
          <w:szCs w:val="44"/>
          <w:highlight w:val="none"/>
          <w14:textFill>
            <w14:solidFill>
              <w14:schemeClr w14:val="tx1"/>
            </w14:solidFill>
          </w14:textFill>
        </w:rP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黑体" w:hAnsi="华文中宋" w:eastAsia="黑体"/>
          <w:bCs/>
          <w:color w:val="000000" w:themeColor="text1"/>
          <w:sz w:val="44"/>
          <w:szCs w:val="44"/>
          <w:highlight w:val="none"/>
          <w14:textFill>
            <w14:solidFill>
              <w14:schemeClr w14:val="tx1"/>
            </w14:solidFill>
          </w14:textFill>
        </w:rPr>
        <w:t xml:space="preserve"> </w:t>
      </w:r>
      <w:r>
        <w:rPr>
          <w:rFonts w:hint="eastAsia" w:ascii="黑体" w:hAnsi="黑体" w:eastAsia="黑体"/>
          <w:color w:val="000000" w:themeColor="text1"/>
          <w:sz w:val="36"/>
          <w:szCs w:val="36"/>
          <w:highlight w:val="none"/>
          <w14:textFill>
            <w14:solidFill>
              <w14:schemeClr w14:val="tx1"/>
            </w14:solidFill>
          </w14:textFill>
        </w:rPr>
        <w:t xml:space="preserve"> 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投标邀请----------------------------------（4）</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合同文本---------------------------------（21）</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采购需求---------------------------------（26）</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投标文件内容与格式-----------------------（38）</w:t>
      </w:r>
      <w:r/>
    </w:p>
    <w:p>
      <w:pPr>
        <w:jc w:val="center"/>
        <w:spacing w:line="500" w:lineRule="exact"/>
        <w:tabs>
          <w:tab w:val="left" w:pos="1440" w:leader="none"/>
        </w:tabs>
        <w:rPr>
          <w:rFonts w:ascii="黑体" w:hAnsi="Showcard Gothic" w:eastAsia="黑体"/>
          <w:color w:val="000000" w:themeColor="text1"/>
          <w:sz w:val="30"/>
          <w:szCs w:val="30"/>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p>
    <w:p>
      <w:pPr>
        <w:pStyle w:val="726"/>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26"/>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01"/>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1"/>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一、串标情形</w:t>
      </w:r>
      <w:r/>
    </w:p>
    <w:p>
      <w:pPr>
        <w:pStyle w:val="72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2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26"/>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rPr>
          <w:color w:val="000000" w:themeColor="text1"/>
          <w:highlight w:val="none"/>
          <w14:textFill>
            <w14:solidFill>
              <w14:schemeClr w14:val="tx1"/>
            </w14:solidFill>
          </w14:textFill>
        </w:rPr>
        <w:tab/>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2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01"/>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二、后果 </w:t>
      </w:r>
      <w:r/>
    </w:p>
    <w:p>
      <w:pPr>
        <w:pStyle w:val="701"/>
        <w:ind w:firstLine="560"/>
        <w:spacing w:line="560" w:lineRule="exact"/>
        <w:rPr>
          <w:rFonts w:hint="eastAsia" w:ascii="方正仿宋_GB2312" w:hAnsi="方正仿宋_GB2312" w:eastAsia="方正仿宋_GB2312" w:cs="方正仿宋_GB2312"/>
          <w:color w:val="000000" w:themeColor="text1"/>
          <w:highlight w:val="none"/>
          <w14:textFill>
            <w14:solidFill>
              <w14:schemeClr w14:val="tx1"/>
            </w14:solidFill>
          </w14:textFill>
        </w:rPr>
      </w:pPr>
      <w:r>
        <w:rPr>
          <w:rFonts w:hint="eastAsia" w:ascii="方正仿宋_GB2312" w:hAnsi="方正仿宋_GB2312" w:eastAsia="方正仿宋_GB2312" w:cs="方正仿宋_GB2312"/>
          <w:color w:val="000000" w:themeColor="text1"/>
          <w:highlight w:val="none"/>
          <w:shd w:val="clear" w:color="auto" w:fill="ffffff"/>
          <w14:textFill>
            <w14:solidFill>
              <w14:schemeClr w14:val="tx1"/>
            </w14:solidFill>
          </w14:textFill>
        </w:rPr>
        <w:t xml:space="preserve">按照《</w:t>
      </w:r>
      <w:r>
        <w:rPr>
          <w:rFonts w:hint="eastAsia" w:ascii="方正仿宋_GB2312" w:hAnsi="方正仿宋_GB2312" w:eastAsia="方正仿宋_GB2312" w:cs="方正仿宋_GB2312"/>
          <w:color w:val="000000" w:themeColor="text1"/>
          <w:highlight w:val="none"/>
          <w:shd w:val="clear" w:color="auto" w:fill="ffffff"/>
          <w:lang w:eastAsia="zh-CN"/>
          <w14:textFill>
            <w14:solidFill>
              <w14:schemeClr w14:val="tx1"/>
            </w14:solidFill>
          </w14:textFill>
        </w:rPr>
        <w:t xml:space="preserve">中华人民共和国政府采购法</w:t>
      </w:r>
      <w:r>
        <w:rPr>
          <w:rFonts w:hint="eastAsia" w:ascii="方正仿宋_GB2312" w:hAnsi="方正仿宋_GB2312" w:eastAsia="方正仿宋_GB2312" w:cs="方正仿宋_GB2312"/>
          <w:color w:val="000000" w:themeColor="text1"/>
          <w:highlight w:val="none"/>
          <w:shd w:val="clear" w:color="auto" w:fill="ffffff"/>
          <w14:textFill>
            <w14:solidFill>
              <w14:schemeClr w14:val="tx1"/>
            </w14:solidFill>
          </w14:textFill>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6"/>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26"/>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6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76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76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76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76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76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江南大学附属医院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江南大学附属医院复合手术室（移动CT）项目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JSZC-320200-XWJC-G2025-0086</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江南大学附属医院复合手术室（移动CT）项目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10月21日13点30分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JSZC-320200-XWJC-G2025-0086</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江南大学附属医院复合手术室（移动CT）项目</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w:t>
      </w:r>
      <w:r>
        <w:rPr>
          <w:rFonts w:hint="eastAsia" w:ascii="宋体" w:hAnsi="宋体" w:cs="宋体"/>
          <w:color w:val="000000" w:themeColor="text1"/>
          <w:sz w:val="24"/>
          <w:szCs w:val="24"/>
          <w:highlight w:val="none"/>
          <w14:textFill>
            <w14:solidFill>
              <w14:schemeClr w14:val="tx1"/>
            </w14:solidFill>
          </w14:textFill>
        </w:rPr>
        <w:t xml:space="preserve">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1400</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/1台</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1179.8万</w:t>
      </w:r>
      <w:r>
        <w:rPr>
          <w:rFonts w:hint="eastAsia" w:ascii="宋体" w:hAnsi="宋体" w:cs="宋体"/>
          <w:color w:val="000000" w:themeColor="text1"/>
          <w:sz w:val="24"/>
          <w:szCs w:val="24"/>
          <w:highlight w:val="none"/>
          <w14:textFill>
            <w14:solidFill>
              <w14:schemeClr w14:val="tx1"/>
            </w14:solidFill>
          </w14:textFill>
        </w:rPr>
        <w:t xml:space="preserve">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7.采购方式：公开招标（暗标）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8.本项目</w:t>
      </w:r>
      <w:r>
        <w:rPr>
          <w:rFonts w:hint="eastAsia" w:ascii="宋体" w:hAnsi="宋体"/>
          <w:b/>
          <w:color w:val="000000" w:themeColor="text1"/>
          <w:sz w:val="24"/>
          <w:szCs w:val="24"/>
          <w:highlight w:val="none"/>
          <w14:textFill>
            <w14:solidFill>
              <w14:schemeClr w14:val="tx1"/>
            </w14:solidFill>
          </w14:textFill>
        </w:rPr>
        <w:t xml:space="preserve">不</w:t>
      </w:r>
      <w:r>
        <w:rPr>
          <w:rFonts w:hint="eastAsia" w:ascii="宋体" w:hAnsi="宋体"/>
          <w:color w:val="000000" w:themeColor="text1"/>
          <w:sz w:val="24"/>
          <w:szCs w:val="24"/>
          <w:highlight w:val="none"/>
          <w14:textFill>
            <w14:solidFill>
              <w14:schemeClr w14:val="tx1"/>
            </w14:solidFill>
          </w14:textFill>
        </w:rPr>
        <w:t xml:space="preserve">接受联合体投标。</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38985264"/>
      <w:r/>
      <w:bookmarkStart w:id="13" w:name="_Toc28359003"/>
      <w:r/>
      <w:bookmarkStart w:id="14" w:name="_Toc35393622"/>
      <w:r/>
      <w:bookmarkStart w:id="15" w:name="_Toc35393791"/>
      <w:r/>
      <w:bookmarkStart w:id="16" w:name="_Toc28359080"/>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28359081"/>
      <w:r/>
      <w:bookmarkStart w:id="19" w:name="_Toc38985265"/>
      <w:r/>
      <w:bookmarkStart w:id="20" w:name="_Toc35393792"/>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w:t>
      </w:r>
      <w:r>
        <w:rPr>
          <w:rFonts w:hint="eastAsia" w:ascii="宋体" w:hAnsi="宋体"/>
          <w:color w:val="000000" w:themeColor="text1"/>
          <w:sz w:val="24"/>
          <w:szCs w:val="24"/>
          <w14:textFill>
            <w14:solidFill>
              <w14:schemeClr w14:val="tx1"/>
            </w14:solidFill>
          </w14:textFill>
        </w:rPr>
        <w:t xml:space="preserve">中小企业政策：本项目非专门面向中小企业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5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本项目的特定资格要求：</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74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10月21日</w:t>
      </w:r>
      <w:r>
        <w:rPr>
          <w:rFonts w:hint="eastAsia" w:ascii="宋体" w:hAnsi="宋体"/>
          <w:bCs/>
          <w:color w:val="000000" w:themeColor="text1"/>
          <w:sz w:val="24"/>
          <w:szCs w:val="24"/>
          <w:highlight w:val="none"/>
          <w:lang w:val="en-US" w:eastAsia="zh-CN"/>
          <w14:textFill>
            <w14:solidFill>
              <w14:schemeClr w14:val="tx1"/>
            </w14:solidFill>
          </w14:textFill>
        </w:rPr>
        <w:t xml:space="preserve">13点30分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28359084"/>
      <w:r/>
      <w:bookmarkStart w:id="28" w:name="_Toc38985267"/>
      <w:r/>
      <w:bookmarkStart w:id="29" w:name="_Toc35393794"/>
      <w:r/>
      <w:bookmarkStart w:id="30" w:name="_Toc35393625"/>
      <w:r/>
      <w:bookmarkStart w:id="31" w:name="_Toc28359007"/>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38985269"/>
      <w:r/>
      <w:bookmarkStart w:id="36" w:name="_Toc28359085"/>
      <w:r/>
      <w:bookmarkStart w:id="37" w:name="_Toc28359008"/>
      <w:r/>
      <w:bookmarkStart w:id="38" w:name="_Toc35393796"/>
      <w:r/>
      <w:bookmarkStart w:id="39" w:name="_Toc35393627"/>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江南大学附属医院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hint="eastAsia" w:ascii="宋体" w:hAnsi="宋体" w:cs="宋体"/>
          <w:color w:val="000000" w:themeColor="text1"/>
          <w:sz w:val="24"/>
          <w:szCs w:val="24"/>
          <w:highlight w:val="none"/>
          <w:lang w:eastAsia="zh-CN"/>
          <w14:textFill>
            <w14:solidFill>
              <w14:schemeClr w14:val="tx1"/>
            </w14:solidFill>
          </w14:textFill>
        </w:rPr>
        <w:t xml:space="preserve">林老师</w:t>
      </w:r>
      <w:r>
        <w:rPr>
          <w:rFonts w:hint="eastAsia" w:ascii="宋体" w:hAnsi="宋体" w:cs="宋体"/>
          <w:color w:val="000000" w:themeColor="text1"/>
          <w:sz w:val="24"/>
          <w:szCs w:val="24"/>
          <w:highlight w:val="none"/>
          <w14:textFill>
            <w14:solidFill>
              <w14:schemeClr w14:val="tx1"/>
            </w14:solidFill>
          </w14:textFill>
        </w:rPr>
        <w:t xml:space="preserve">；电话：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none"/>
          <w:lang w:eastAsia="zh-CN"/>
          <w14:textFill>
            <w14:solidFill>
              <w14:schemeClr w14:val="tx1"/>
            </w14:solidFill>
          </w14:textFill>
        </w:rPr>
        <w:t xml:space="preserve">林老师</w:t>
      </w:r>
      <w:r>
        <w:rPr>
          <w:rFonts w:hint="eastAsia" w:ascii="宋体" w:hAnsi="宋体" w:cs="宋体"/>
          <w:color w:val="000000" w:themeColor="text1"/>
          <w:sz w:val="24"/>
          <w:szCs w:val="24"/>
          <w:highlight w:val="none"/>
          <w14:textFill>
            <w14:solidFill>
              <w14:schemeClr w14:val="tx1"/>
            </w14:solidFill>
          </w14:textFill>
        </w:rPr>
        <w:t xml:space="preserve">；电话：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w:t>
      </w:r>
      <w:r>
        <w:rPr>
          <w:rFonts w:hint="eastAsia" w:ascii="宋体" w:hAnsi="宋体" w:cs="宋体"/>
          <w:color w:val="000000" w:themeColor="text1"/>
          <w:sz w:val="24"/>
          <w:szCs w:val="24"/>
          <w:highlight w:val="none"/>
          <w14:textFill>
            <w14:solidFill>
              <w14:schemeClr w14:val="tx1"/>
            </w14:solidFill>
          </w14:textFill>
        </w:rPr>
        <w:t xml:space="preserve">老师；电话：</w:t>
      </w:r>
      <w:r>
        <w:rPr>
          <w:rFonts w:hint="eastAsia" w:ascii="宋体" w:hAnsi="宋体" w:cs="宋体"/>
          <w:color w:val="000000" w:themeColor="text1"/>
          <w:sz w:val="24"/>
          <w:szCs w:val="24"/>
          <w:highlight w:val="none"/>
          <w:lang w:eastAsia="zh-CN"/>
          <w14:textFill>
            <w14:solidFill>
              <w14:schemeClr w14:val="tx1"/>
            </w14:solidFill>
          </w14:textFill>
        </w:rPr>
        <w:t xml:space="preserve">0510-85757946</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w:t>
      </w:r>
      <w:r>
        <w:rPr>
          <w:rFonts w:hint="eastAsia" w:ascii="宋体" w:hAnsi="宋体"/>
          <w:color w:val="000000" w:themeColor="text1"/>
          <w:sz w:val="24"/>
          <w:szCs w:val="24"/>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47" w:name="_Toc513029203"/>
      <w:r/>
      <w:bookmarkStart w:id="48" w:name="_Toc16938519"/>
      <w:r/>
      <w:bookmarkStart w:id="49" w:name="_Toc120614214"/>
      <w:r/>
      <w:bookmarkStart w:id="50" w:name="_Toc20823275"/>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513029205"/>
      <w:r/>
      <w:bookmarkStart w:id="56" w:name="_Toc16938521"/>
      <w:r/>
      <w:bookmarkStart w:id="57" w:name="_Toc20823277"/>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16938523"/>
      <w:r/>
      <w:bookmarkStart w:id="62" w:name="_Toc462564067"/>
      <w:r/>
      <w:bookmarkStart w:id="63" w:name="_Toc513029207"/>
      <w:r/>
      <w:bookmarkStart w:id="64" w:name="_Toc20823279"/>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5" w:name="_Toc513029209"/>
      <w:r/>
      <w:bookmarkStart w:id="66" w:name="_Toc16938525"/>
      <w:r/>
      <w:bookmarkStart w:id="67" w:name="_Toc20823281"/>
      <w:r/>
      <w:bookmarkStart w:id="68" w:name="_Toc12061421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462564070"/>
      <w:r/>
      <w:bookmarkStart w:id="73" w:name="_Toc513029211"/>
      <w:r/>
      <w:bookmarkStart w:id="74" w:name="_Toc20823283"/>
      <w:r/>
      <w:bookmarkStart w:id="75" w:name="_Toc16938527"/>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highlight w:val="none"/>
          <w14:textFill>
            <w14:solidFill>
              <w14:schemeClr w14:val="tx1"/>
            </w14:solidFill>
          </w14:textFill>
        </w:rPr>
      </w:pPr>
      <w:r/>
      <w:bookmarkStart w:id="76" w:name="_Toc513029212"/>
      <w:r/>
      <w:bookmarkStart w:id="77" w:name="_Toc16938528"/>
      <w:r/>
      <w:bookmarkStart w:id="78" w:name="_Toc462564071"/>
      <w:r/>
      <w:bookmarkStart w:id="79" w:name="_Toc20823284"/>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none"/>
          <w:lang w:val="en-US" w:eastAsia="zh-CN"/>
          <w14:textFill>
            <w14:solidFill>
              <w14:schemeClr w14:val="tx1"/>
            </w14:solidFill>
          </w14:textFill>
        </w:rPr>
        <w:t xml:space="preserve">江苏</w:t>
      </w:r>
      <w:r>
        <w:rPr>
          <w:rFonts w:hint="eastAsia" w:ascii="宋体" w:hAnsi="宋体"/>
          <w:bCs/>
          <w:color w:val="000000" w:themeColor="text1"/>
          <w:sz w:val="24"/>
          <w:szCs w:val="24"/>
          <w:highlight w:val="non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80" w:name="_Toc16938529"/>
      <w:r/>
      <w:bookmarkStart w:id="81" w:name="_Toc513029213"/>
      <w:r/>
      <w:bookmarkStart w:id="82" w:name="_Toc120614216"/>
      <w:r/>
      <w:bookmarkStart w:id="83" w:name="_Toc462564072"/>
      <w:r/>
      <w:bookmarkStart w:id="84" w:name="_Toc20823285"/>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20823286"/>
      <w:r/>
      <w:bookmarkStart w:id="86" w:name="_Toc16938530"/>
      <w:r/>
      <w:bookmarkStart w:id="87" w:name="_Toc513029214"/>
      <w:r/>
      <w:bookmarkStart w:id="88" w:name="_Toc462564073"/>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9.4如无特别说明，</w:t>
      </w:r>
      <w:r>
        <w:rPr>
          <w:rFonts w:hint="eastAsia" w:ascii="宋体" w:hAnsi="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9.5投标文件格式部分，应由投标人按给定格式提供，不得更改。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9.7投标费用自理。</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9.8在评分标准中除了投标报价外，还须包含明标和暗标两大部分，其暗标编制要求如下：</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（3）字体、段落、页码、页面布局的设置：</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字体：一级标题为宋体黑色二号字，其余正文均采用宋体黑色小四号字体，不得出现手写。</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段落：使用1.5倍行间距、字间距标准、每段段前空两格。</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页面布局：纸张方向纵向、页面底色白色，分栏为一栏。</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不得有体现投标人身份的内容是指：</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10.4.4不得有其他体现投标人身份的内容。</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513029216"/>
      <w:r/>
      <w:bookmarkStart w:id="97" w:name="_Toc513029219"/>
      <w:r/>
      <w:bookmarkStart w:id="98" w:name="_Toc14577354"/>
      <w:r/>
      <w:bookmarkStart w:id="99" w:name="_Toc49090507"/>
      <w:r/>
      <w:bookmarkStart w:id="100" w:name="_Toc49090509"/>
      <w:r/>
      <w:bookmarkStart w:id="101" w:name="_Toc14577357"/>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86"/>
      <w:r/>
      <w:bookmarkEnd w:id="108"/>
      <w:r/>
      <w:bookmarkStart w:id="109" w:name="_Hlt26954846"/>
      <w:r/>
      <w:bookmarkEnd w:id="109"/>
      <w:r/>
      <w:bookmarkStart w:id="110" w:name="_Hlt26954731"/>
      <w:r/>
      <w:bookmarkEnd w:id="110"/>
      <w:r/>
      <w:bookmarkStart w:id="111" w:name="_Hlt26954848"/>
      <w:r/>
      <w:bookmarkEnd w:id="111"/>
      <w:r/>
      <w:bookmarkStart w:id="112" w:name="_Hlt26954842"/>
      <w:r/>
      <w:bookmarkEnd w:id="112"/>
      <w:r/>
      <w:bookmarkStart w:id="113" w:name="_Hlt26670482"/>
      <w:r/>
      <w:bookmarkEnd w:id="113"/>
      <w:r/>
      <w:bookmarkStart w:id="114" w:name="_Hlt26668983"/>
      <w:r/>
      <w:bookmarkEnd w:id="114"/>
      <w:r/>
      <w:bookmarkStart w:id="115" w:name="_Hlt26670425"/>
      <w:r/>
      <w:bookmarkEnd w:id="115"/>
      <w:r/>
      <w:bookmarkStart w:id="116" w:name="_Hlt26670403"/>
      <w:r/>
      <w:bookmarkEnd w:id="116"/>
      <w:r/>
      <w:bookmarkStart w:id="117" w:name="_Hlt26954844"/>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20823297"/>
      <w:r/>
      <w:bookmarkStart w:id="130" w:name="_Toc16938541"/>
      <w:r/>
      <w:bookmarkStart w:id="131" w:name="_Toc513029225"/>
      <w:r/>
      <w:bookmarkStart w:id="132" w:name="_Toc462564084"/>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780"/>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w:t>
      </w:r>
      <w:r>
        <w:rPr>
          <w:rFonts w:hint="eastAsia" w:ascii="宋体" w:hAnsi="宋体"/>
          <w:bCs/>
          <w:color w:val="000000" w:themeColor="text1"/>
          <w:sz w:val="24"/>
          <w:highlight w:val="none"/>
          <w:lang w:eastAsia="zh-CN"/>
          <w14:textFill>
            <w14:solidFill>
              <w14:schemeClr w14:val="tx1"/>
            </w14:solidFill>
          </w14:textFill>
        </w:rPr>
        <w:t xml:space="preserve">充分考虑</w:t>
      </w:r>
      <w:r>
        <w:rPr>
          <w:rFonts w:hint="eastAsia" w:ascii="宋体" w:hAnsi="宋体"/>
          <w:bCs/>
          <w:color w:val="000000" w:themeColor="text1"/>
          <w:sz w:val="24"/>
          <w:highlight w:val="none"/>
          <w14:textFill>
            <w14:solidFill>
              <w14:schemeClr w14:val="tx1"/>
            </w14:solidFill>
          </w14:textFill>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20823300"/>
      <w:r/>
      <w:bookmarkStart w:id="140" w:name="_Toc16938544"/>
      <w:r/>
      <w:bookmarkStart w:id="141" w:name="_Toc513029228"/>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42" w:name="_Toc120614218"/>
      <w:r/>
      <w:bookmarkStart w:id="143" w:name="_Toc16938545"/>
      <w:r/>
      <w:bookmarkStart w:id="144" w:name="_Toc20823301"/>
      <w:r/>
      <w:bookmarkStart w:id="145" w:name="_Toc513029229"/>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20823302"/>
      <w:r/>
      <w:bookmarkStart w:id="147" w:name="_Toc16938546"/>
      <w:r/>
      <w:bookmarkStart w:id="148" w:name="_Toc513029230"/>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513029231"/>
      <w:r/>
      <w:bookmarkStart w:id="150" w:name="_Toc16938547"/>
      <w:r/>
      <w:bookmarkStart w:id="151" w:name="_Toc20823303"/>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14:textFill>
            <w14:solidFill>
              <w14:schemeClr w14:val="tx1"/>
            </w14:solidFill>
          </w14:textFill>
        </w:rPr>
        <w:t xml:space="preserve">不符</w:t>
      </w:r>
      <w:r>
        <w:rPr>
          <w:rFonts w:hint="eastAsia" w:ascii="宋体" w:hAnsi="宋体"/>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20823306"/>
      <w:r/>
      <w:bookmarkStart w:id="159" w:name="_Toc16938550"/>
      <w:r/>
      <w:bookmarkStart w:id="160" w:name="_Toc513029234"/>
      <w:r>
        <w:rPr>
          <w:rFonts w:hint="eastAsia" w:ascii="宋体" w:hAnsi="宋体"/>
          <w:color w:val="000000" w:themeColor="text1"/>
          <w:sz w:val="24"/>
          <w:highlight w:val="none"/>
          <w14:textFill>
            <w14:solidFill>
              <w14:schemeClr w14:val="tx1"/>
            </w14:solidFill>
          </w14:textFill>
        </w:rPr>
        <w:t xml:space="preserve">25.</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投标人在开、评标全过程中应</w:t>
      </w:r>
      <w:r>
        <w:rPr>
          <w:rFonts w:hint="eastAsia" w:ascii="宋体" w:hAnsi="宋体"/>
          <w:color w:val="000000" w:themeColor="text1"/>
          <w:sz w:val="24"/>
          <w:highlight w:val="none"/>
          <w:lang w:eastAsia="zh-CN"/>
          <w14:textFill>
            <w14:solidFill>
              <w14:schemeClr w14:val="tx1"/>
            </w14:solidFill>
          </w14:textFill>
        </w:rPr>
        <w:t xml:space="preserve">保持通信畅通</w:t>
      </w:r>
      <w:r>
        <w:rPr>
          <w:rFonts w:hint="eastAsia" w:ascii="宋体" w:hAnsi="宋体"/>
          <w:color w:val="000000" w:themeColor="text1"/>
          <w:sz w:val="24"/>
          <w:highlight w:val="none"/>
          <w14:textFill>
            <w14:solidFill>
              <w14:schemeClr w14:val="tx1"/>
            </w14:solidFill>
          </w14:textFill>
        </w:rPr>
        <w:t xml:space="preserve">，及时登录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513029235"/>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同一投标人提交两套（含两套）以上不同的投标报价的。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w:t>
      </w:r>
      <w:r>
        <w:rPr>
          <w:rFonts w:hint="eastAsia" w:ascii="宋体" w:hAnsi="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bCs/>
          <w:color w:val="000000" w:themeColor="text1"/>
          <w:sz w:val="24"/>
          <w:szCs w:val="24"/>
          <w:highlight w:val="none"/>
          <w14:textFill>
            <w14:solidFill>
              <w14:schemeClr w14:val="tx1"/>
            </w14:solidFill>
          </w14:textFill>
        </w:rPr>
        <w:t xml:space="preserve">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85"/>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9" w:name="_Toc16938552"/>
      <w:r/>
      <w:bookmarkStart w:id="170" w:name="_Toc120614220"/>
      <w:r/>
      <w:bookmarkStart w:id="171" w:name="_Toc20823308"/>
      <w:r/>
      <w:bookmarkStart w:id="172" w:name="_Toc513029236"/>
      <w:r>
        <w:rPr>
          <w:rFonts w:hint="eastAsia"/>
          <w:color w:val="000000" w:themeColor="text1"/>
          <w:sz w:val="30"/>
          <w:szCs w:val="30"/>
          <w:highlight w:val="none"/>
          <w14:textFill>
            <w14:solidFill>
              <w14:schemeClr w14:val="tx1"/>
            </w14:solidFill>
          </w14:textFill>
        </w:rPr>
        <w:t xml:space="preserve">七、授予合同</w:t>
      </w:r>
      <w:bookmarkEnd w:id="169"/>
      <w:r/>
      <w:bookmarkEnd w:id="170"/>
      <w:r/>
      <w:bookmarkEnd w:id="171"/>
      <w:r/>
      <w:bookmarkEnd w:id="172"/>
      <w:r/>
      <w:r/>
    </w:p>
    <w:p>
      <w:pPr>
        <w:pStyle w:val="68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31.</w:t>
      </w:r>
      <w:bookmarkEnd w:id="173"/>
      <w:r/>
      <w:bookmarkEnd w:id="174"/>
      <w:r/>
      <w:bookmarkEnd w:id="175"/>
      <w:r/>
      <w:bookmarkStart w:id="176" w:name="_Toc120614221"/>
      <w:r/>
      <w:bookmarkStart w:id="177" w:name="_Toc20823314"/>
      <w:r/>
      <w:bookmarkStart w:id="178" w:name="_Toc16938558"/>
      <w:r/>
      <w:bookmarkStart w:id="179" w:name="_Toc513029242"/>
      <w:r/>
      <w:bookmarkStart w:id="180" w:name="_Toc479757207"/>
      <w:r>
        <w:rPr>
          <w:rFonts w:hint="eastAsia" w:ascii="宋体" w:hAnsi="宋体"/>
          <w:b/>
          <w:color w:val="000000" w:themeColor="text1"/>
          <w:sz w:val="28"/>
          <w:szCs w:val="28"/>
          <w:highlight w:val="none"/>
          <w14:textFill>
            <w14:solidFill>
              <w14:schemeClr w14:val="tx1"/>
            </w14:solidFill>
          </w14:textFill>
        </w:rPr>
        <w:t xml:space="preserve"> 货物（包含与货物相关的服务）的追加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6"/>
        <w:ind w:firstLine="422"/>
        <w:jc w:val="center"/>
        <w:keepLines w:val="0"/>
        <w:keepNext w:val="0"/>
        <w:spacing w:before="0" w:after="0" w:line="500" w:lineRule="exact"/>
        <w:rPr>
          <w:rFonts w:ascii="黑体"/>
          <w:bCs w:val="0"/>
          <w:color w:val="000000" w:themeColor="text1"/>
          <w:sz w:val="36"/>
          <w:szCs w:val="36"/>
          <w:highlight w:val="none"/>
          <w14:textFill>
            <w14:solidFill>
              <w14:schemeClr w14:val="tx1"/>
            </w14:solidFill>
          </w14:textFill>
        </w:rPr>
      </w:pPr>
      <w:r>
        <w:rPr>
          <w:rFonts w:ascii="宋体" w:hAnsi="宋体"/>
          <w:color w:val="000000" w:themeColor="text1"/>
          <w:sz w:val="24"/>
          <w:highlight w:val="none"/>
          <w:shd w:val="clear" w:color="ffffff" w:fill="d9d9d9"/>
          <w14:textFill>
            <w14:solidFill>
              <w14:schemeClr w14:val="tx1"/>
            </w14:solidFill>
          </w14:textFill>
        </w:rPr>
        <w:br w:type="page" w:clear="all"/>
      </w:r>
      <w:r>
        <w:rPr>
          <w:rFonts w:hint="eastAsia" w:ascii="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color w:val="000000" w:themeColor="text1"/>
          <w:sz w:val="36"/>
          <w:szCs w:val="36"/>
          <w:highlight w:val="none"/>
          <w14:textFill>
            <w14:solidFill>
              <w14:schemeClr w14:val="tx1"/>
            </w14:solidFill>
          </w14:textFill>
        </w:rPr>
        <w:t xml:space="preserve">文本</w:t>
      </w:r>
      <w:r/>
    </w:p>
    <w:p>
      <w:pPr>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bookmarkStart w:id="181" w:name="_Hlt16619369"/>
      <w:r/>
      <w:bookmarkEnd w:id="181"/>
      <w:r/>
      <w:bookmarkStart w:id="182" w:name="_Hlt16619350"/>
      <w:r/>
      <w:bookmarkStart w:id="183" w:name="_Toc16938590"/>
      <w:r/>
      <w:bookmarkStart w:id="184" w:name="_Toc120614244"/>
      <w:r/>
      <w:bookmarkStart w:id="185" w:name="_Toc20823346"/>
      <w:r/>
      <w:bookmarkStart w:id="186" w:name="_Toc479757211"/>
      <w:r/>
      <w:bookmarkStart w:id="187" w:name="_Toc462564139"/>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p>
      <w:pPr>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甲方：（采购人）_________</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乙方：（成交方）_________</w:t>
      </w:r>
      <w:r/>
    </w:p>
    <w:p>
      <w:pPr>
        <w:ind w:firstLine="480"/>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甲、乙双方根据无锡市卫生健康综合服务中心</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项目招标的结果，签署本合同。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一、合同内容</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采购内容：货物名称、规格型号、数量、单价、成交总价</w:t>
      </w:r>
      <w:r/>
    </w:p>
    <w:tbl>
      <w:tblPr>
        <w:tblStyle w:val="73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13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生产厂家</w:t>
            </w:r>
            <w:r/>
          </w:p>
        </w:tc>
        <w:tc>
          <w:tcPr>
            <w:tcW w:w="15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规格型号</w:t>
            </w:r>
            <w:r/>
          </w:p>
        </w:tc>
        <w:tc>
          <w:tcPr>
            <w:tcW w:w="13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（台/套）</w:t>
            </w:r>
            <w:r/>
          </w:p>
        </w:tc>
        <w:tc>
          <w:tcPr>
            <w:tcW w:w="11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c>
          <w:tcPr>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成交总价</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tc>
          <w:tcPr>
            <w:tcW w:w="1475"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72"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09"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81"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65"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94"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gridSpan w:val="4"/>
            <w:tcW w:w="5737"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总计（大写）：</w:t>
            </w:r>
            <w:r/>
          </w:p>
        </w:tc>
        <w:tc>
          <w:tcPr>
            <w:gridSpan w:val="2"/>
            <w:tcW w:w="2559"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（小写）：</w:t>
            </w:r>
            <w:r/>
          </w:p>
        </w:tc>
      </w:tr>
    </w:tbl>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以上价格均为含税价格。</w:t>
      </w:r>
      <w:r/>
    </w:p>
    <w:p>
      <w:pPr>
        <w:ind w:firstLine="480"/>
        <w:keepLines w:val="0"/>
        <w:keepNext w:val="0"/>
        <w:pageBreakBefore w:val="0"/>
        <w:spacing w:line="360" w:lineRule="auto"/>
        <w:widowControl w:val="off"/>
        <w:rPr>
          <w:rFonts w:hint="eastAsia" w:ascii="宋体" w:hAnsi="宋体" w:eastAsia="宋体" w:cs="宋体"/>
          <w:i/>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 标的质量与检验：</w:t>
      </w:r>
      <w:r>
        <w:rPr>
          <w:rFonts w:hint="eastAsia" w:ascii="宋体" w:hAnsi="宋体" w:eastAsia="宋体" w:cs="宋体"/>
          <w:i/>
          <w:iCs/>
          <w:color w:val="000000" w:themeColor="text1"/>
          <w:sz w:val="21"/>
          <w:szCs w:val="21"/>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1.2.1乙方应严格按照招标文件的有关规定和乙方投标文件提供合格的货物及服务。</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360" w:lineRule="auto"/>
        <w:widowControl w:val="off"/>
        <w:tabs>
          <w:tab w:val="left" w:pos="420" w:leader="none"/>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1.2.3货物的到货验收包括：数量、外观、质量、性能、随机备件、装箱单、质量证书等随机资料及包装完整无破损。</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1.3履行时间（交货或完工期限）：合同生效之日起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天内，交货并完成安装调试。</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1.4履行地点： 甲方所在地指定地点。</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1.5.1交货条件：</w:t>
      </w:r>
      <w:r/>
    </w:p>
    <w:p>
      <w:pPr>
        <w:ind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1.5.1.1乙方在验收时应先用信函、传真、电子邮件等书面方式通知甲方。</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1.5.1.3货物交货时，所有货物必须带有装箱单、</w:t>
      </w:r>
      <w:r>
        <w:rPr>
          <w:rFonts w:hint="eastAsia" w:ascii="宋体" w:hAnsi="宋体" w:eastAsia="宋体" w:cs="宋体"/>
          <w:color w:val="000000" w:themeColor="text1"/>
          <w:sz w:val="21"/>
          <w:szCs w:val="21"/>
          <w:highlight w:val="none"/>
          <w14:textFill>
            <w14:solidFill>
              <w14:schemeClr w14:val="tx1"/>
            </w14:solidFill>
          </w14:textFill>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1"/>
          <w:szCs w:val="21"/>
          <w:highlight w:val="none"/>
          <w14:textFill>
            <w14:solidFill>
              <w14:schemeClr w14:val="tx1"/>
            </w14:solidFill>
          </w14:textFill>
        </w:rPr>
        <w:t xml:space="preserve">附件所有部件必须原包装。</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1.5.1.4运输及到货地点：由乙方负责办理运输并承担所有费用，直接送到甲方指定地点，即：以合同书上的地点为准。</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 安装调试及售后服务：</w:t>
      </w:r>
      <w:r/>
    </w:p>
    <w:p>
      <w:pPr>
        <w:ind w:firstLine="480"/>
        <w:keepLines w:val="0"/>
        <w:keepNext w:val="0"/>
        <w:pageBreakBefore w:val="0"/>
        <w:spacing w:line="360" w:lineRule="auto"/>
        <w:widowControl w:val="off"/>
        <w:tabs>
          <w:tab w:val="left" w:pos="525" w:leader="none"/>
          <w:tab w:val="left" w:pos="840" w:leader="none"/>
          <w:tab w:val="left" w:pos="945"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1.5.2.2乙方提供的服务全部按照国家有关法律法规规章和“三包”规定以及</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按照</w:t>
      </w:r>
      <w:r>
        <w:rPr>
          <w:rFonts w:hint="eastAsia" w:ascii="宋体" w:hAnsi="宋体" w:eastAsia="宋体" w:cs="宋体"/>
          <w:bCs/>
          <w:color w:val="000000" w:themeColor="text1"/>
          <w:sz w:val="21"/>
          <w:szCs w:val="21"/>
          <w:highlight w:val="none"/>
          <w14:textFill>
            <w14:solidFill>
              <w14:schemeClr w14:val="tx1"/>
            </w14:solidFill>
          </w14:textFill>
        </w:rPr>
        <w:t xml:space="preserve">招标文件要求和乙方投标文件中的承诺执行。</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1.5.2.3超过</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bCs/>
          <w:color w:val="000000" w:themeColor="text1"/>
          <w:sz w:val="21"/>
          <w:szCs w:val="21"/>
          <w:highlight w:val="none"/>
          <w14:textFill>
            <w14:solidFill>
              <w14:schemeClr w14:val="tx1"/>
            </w14:solidFill>
          </w14:textFill>
        </w:rPr>
        <w:t xml:space="preserve">期的机器设备，终身维修，维修只收配件费，供方必须以低于市场价的80％优惠提供，具体由双方协商再定。</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1.5.2.4甲方应向乙方现场调试的技术人员及维修人员提供方便条件，有关费用由乙方负责。</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1.5.2.5甲方如要求乙方提供招标文件及乙方投标文件以外的</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1"/>
          <w:szCs w:val="21"/>
          <w:highlight w:val="none"/>
          <w14:textFill>
            <w14:solidFill>
              <w14:schemeClr w14:val="tx1"/>
            </w14:solidFill>
          </w14:textFill>
        </w:rPr>
        <w:t xml:space="preserve">服务，其费用另定。</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 包装方式：</w:t>
      </w:r>
      <w:r>
        <w:rPr>
          <w:rFonts w:hint="eastAsia" w:ascii="宋体" w:hAnsi="宋体" w:eastAsia="宋体" w:cs="宋体"/>
          <w:iCs/>
          <w:color w:val="000000" w:themeColor="text1"/>
          <w:sz w:val="21"/>
          <w:szCs w:val="21"/>
          <w:highlight w:val="none"/>
          <w:u w:val="single"/>
          <w14:textFill>
            <w14:solidFill>
              <w14:schemeClr w14:val="tx1"/>
            </w14:solidFill>
          </w14:textFill>
        </w:rPr>
        <w:t xml:space="preserve">箱板包装。</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二、合同金额</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2.1本合同含税金额为（大写）： _____________圆（______元）人民币。</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3.1乙方应按招标文件规定的时间向甲方提供使用货物</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包含与货物相关的服务</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的有关技术资料。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四、知识产权</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五、产权担保</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乙方保证所交付的货物（包含与货物相关的服务）的所有权完全属于乙方且无任何抵押、查封等产权瑕疵。</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6.1履约保证金缴纳金额：中标金额的10%。</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6.1.1履约保证金的缴纳时间：供方在合同生效后进行缴纳。</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6.1.2缴纳形式：银行保函等非现金形式缴纳。</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6.2履约保证金的退付时间：本项目验收合格后。</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6.2.1退付办法：原路退还，或履约保函到期自动失效。</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6.2.2履约保证金不予退还的情形：</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①由于供方的原因不能履约的。</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②在履行合同期间发生重大安全事故，给需方造成不良影响和严重经济损失的。</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6.2.3逾期退还履约保证金的违约责任：承担履约保证金金额千分之二/天的违约金。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6.2.4乙方向甲方支付赔偿金或违约金的，甲方有权在应付款或履约保证金中直接扣除。</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七、合同转包或分包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7.1乙方不得将合同标的转包给他人履行。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7.3乙方如有转包或未经甲方同意的分包行为，甲方有权给予终止合同。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八、合同款项支付</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8.1合同款项的支付方式及进度安排</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合同签订生效后预支付合同总金额的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30  </w:t>
      </w:r>
      <w:r>
        <w:rPr>
          <w:rFonts w:hint="eastAsia" w:ascii="宋体" w:hAnsi="宋体" w:eastAsia="宋体" w:cs="宋体"/>
          <w:color w:val="000000" w:themeColor="text1"/>
          <w:sz w:val="21"/>
          <w:szCs w:val="21"/>
          <w:highlight w:val="none"/>
          <w14:textFill>
            <w14:solidFill>
              <w14:schemeClr w14:val="tx1"/>
            </w14:solidFill>
          </w14:textFill>
        </w:rPr>
        <w:t xml:space="preserve">%，货到现场安装、调试、培训、验收合格后支付合同总金额的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60 </w:t>
      </w:r>
      <w:r>
        <w:rPr>
          <w:rFonts w:hint="eastAsia" w:ascii="宋体" w:hAnsi="宋体" w:eastAsia="宋体" w:cs="宋体"/>
          <w:color w:val="000000" w:themeColor="text1"/>
          <w:sz w:val="21"/>
          <w:szCs w:val="21"/>
          <w:highlight w:val="none"/>
          <w14:textFill>
            <w14:solidFill>
              <w14:schemeClr w14:val="tx1"/>
            </w14:solidFill>
          </w14:textFill>
        </w:rPr>
        <w:t xml:space="preserve">%，验收合格</w:t>
      </w:r>
      <w:r>
        <w:rPr>
          <w:rFonts w:hint="eastAsia" w:ascii="宋体" w:hAnsi="宋体" w:eastAsia="宋体" w:cs="宋体"/>
          <w:color w:val="000000" w:themeColor="text1"/>
          <w:sz w:val="21"/>
          <w:szCs w:val="21"/>
          <w:highlight w:val="none"/>
          <w:u w:val="single"/>
          <w14:textFill>
            <w14:solidFill>
              <w14:schemeClr w14:val="tx1"/>
            </w14:solidFill>
          </w14:textFill>
        </w:rPr>
        <w:t xml:space="preserve"> 1 </w:t>
      </w:r>
      <w:r>
        <w:rPr>
          <w:rFonts w:hint="eastAsia" w:ascii="宋体" w:hAnsi="宋体" w:eastAsia="宋体" w:cs="宋体"/>
          <w:color w:val="000000" w:themeColor="text1"/>
          <w:sz w:val="21"/>
          <w:szCs w:val="21"/>
          <w:highlight w:val="none"/>
          <w14:textFill>
            <w14:solidFill>
              <w14:schemeClr w14:val="tx1"/>
            </w14:solidFill>
          </w14:textFill>
        </w:rPr>
        <w:t xml:space="preserve">年后支付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10  </w:t>
      </w:r>
      <w:r>
        <w:rPr>
          <w:rFonts w:hint="eastAsia" w:ascii="宋体" w:hAnsi="宋体" w:eastAsia="宋体" w:cs="宋体"/>
          <w:color w:val="000000" w:themeColor="text1"/>
          <w:sz w:val="21"/>
          <w:szCs w:val="21"/>
          <w:highlight w:val="none"/>
          <w14:textFill>
            <w14:solidFill>
              <w14:schemeClr w14:val="tx1"/>
            </w14:solidFill>
          </w14:textFill>
        </w:rPr>
        <w:t xml:space="preserve">%余款。（如果制造商为中小企业，按《保障中小企业款项支付条例》(国令第 802号)相关要求执行。）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8.2</w:t>
      </w:r>
      <w:r>
        <w:rPr>
          <w:rFonts w:hint="eastAsia" w:ascii="宋体" w:hAnsi="宋体" w:eastAsia="宋体" w:cs="宋体"/>
          <w:color w:val="000000" w:themeColor="text1"/>
          <w:sz w:val="21"/>
          <w:szCs w:val="21"/>
          <w:highlight w:val="none"/>
          <w14:textFill>
            <w14:solidFill>
              <w14:schemeClr w14:val="tx1"/>
            </w14:solidFill>
          </w14:textFill>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8.3乙方应在甲方付款前向甲方交付符合要求的发票，乙方逾期交付发票的，甲方有权延迟付款。</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九、税费</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9.1本合同执行中相关的一切税费均由乙方负担。</w:t>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十、质量保修范围和</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b/>
          <w:color w:val="000000" w:themeColor="text1"/>
          <w:sz w:val="21"/>
          <w:szCs w:val="21"/>
          <w:highlight w:val="none"/>
          <w14:textFill>
            <w14:solidFill>
              <w14:schemeClr w14:val="tx1"/>
            </w14:solidFill>
          </w14:textFill>
        </w:rPr>
        <w:t xml:space="preserve">期及售后服务</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10.1乙方应按招标文件规定的货物性能、技术要求、质量标准向甲方提供未经使用的全新产品。</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⑴更换：由乙方承担所发生的全部费用。</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⑵贬值处理：由甲乙双方合议定价。</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10.3如在使用过程中发生质量问题</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或故障</w:t>
      </w:r>
      <w:r>
        <w:rPr>
          <w:rFonts w:hint="eastAsia" w:ascii="宋体" w:hAnsi="宋体" w:eastAsia="宋体" w:cs="宋体"/>
          <w:color w:val="000000" w:themeColor="text1"/>
          <w:sz w:val="21"/>
          <w:szCs w:val="21"/>
          <w:highlight w:val="none"/>
          <w14:textFill>
            <w14:solidFill>
              <w14:schemeClr w14:val="tx1"/>
            </w14:solidFill>
          </w14:textFill>
        </w:rPr>
        <w:t xml:space="preserve">，乙方在接到甲方通知后在_________小时内到达甲方现场。</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10.4在质保期内，乙方应对货物出现的质量及安全问题负责处理解决并承担一切费用。</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10.5上述的货物免费</w:t>
      </w:r>
      <w:r>
        <w:rPr>
          <w:rFonts w:hint="eastAsia" w:ascii="宋体" w:hAnsi="宋体" w:cs="宋体"/>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color w:val="000000" w:themeColor="text1"/>
          <w:sz w:val="21"/>
          <w:szCs w:val="21"/>
          <w:highlight w:val="none"/>
          <w14:textFill>
            <w14:solidFill>
              <w14:schemeClr w14:val="tx1"/>
            </w14:solidFill>
          </w14:textFill>
        </w:rPr>
        <w:t xml:space="preserve">期为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年（自交货验收合格之日起计），因人为因素出现的故障不在免费保修范围内。超过</w:t>
      </w:r>
      <w:r>
        <w:rPr>
          <w:rFonts w:hint="eastAsia" w:ascii="宋体" w:hAnsi="宋体" w:cs="宋体"/>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color w:val="000000" w:themeColor="text1"/>
          <w:sz w:val="21"/>
          <w:szCs w:val="21"/>
          <w:highlight w:val="none"/>
          <w14:textFill>
            <w14:solidFill>
              <w14:schemeClr w14:val="tx1"/>
            </w14:solidFill>
          </w14:textFill>
        </w:rPr>
        <w:t xml:space="preserve">期的机器设备，终身维修，维修只收配件费，供方必须以低于市场价的80％优惠提供，具体</w:t>
      </w:r>
      <w:r>
        <w:rPr>
          <w:rFonts w:hint="eastAsia" w:ascii="宋体" w:hAnsi="宋体" w:eastAsia="宋体" w:cs="宋体"/>
          <w:bCs/>
          <w:color w:val="000000" w:themeColor="text1"/>
          <w:sz w:val="21"/>
          <w:szCs w:val="21"/>
          <w:highlight w:val="none"/>
          <w14:textFill>
            <w14:solidFill>
              <w14:schemeClr w14:val="tx1"/>
            </w14:solidFill>
          </w14:textFill>
        </w:rPr>
        <w:t xml:space="preserve">由双方协商再定。</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十一、项目验收</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11.1甲方依法组织履约验收工作。</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11.3对于实际使用人和甲方分离的项目，甲方邀请实际使用人参与验收。</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11.5甲方成立验收小组，按照采购合同的约定对乙方的履约情况进行验收。验收时间、验收标准见招标文件验收内容，要求进口产品到货日期距仪器生产日期不超过一年，国产产品不超过半年（以铭牌或说明书确认）。验收时</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验收小组出具验收书</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列明各项标准的验收情况及项目总体评价</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11.6 验收合格的项目</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1"/>
          <w:szCs w:val="21"/>
          <w:highlight w:val="none"/>
          <w14:textFill>
            <w14:solidFill>
              <w14:schemeClr w14:val="tx1"/>
            </w14:solidFill>
          </w14:textFill>
        </w:rPr>
        <w:t xml:space="preserve">》。乙方在履约过程中有政府采购法律法规规定的违法违规情形的</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甲方将及时报告本级财政部门。</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十二、货物的包装、发运及运输</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快递包装政府采购需求标准（试行）》的规定。</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12.2使用说明书、质量检验证明书、随配附件和工具以及清单一并附于货物内。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12.3乙方在货物发运手续办理完毕后24小时内或货到甲方48小时前通知甲方，以准备接货。</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12.4货物在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验收合格</w:t>
      </w:r>
      <w:r>
        <w:rPr>
          <w:rFonts w:hint="eastAsia" w:ascii="宋体" w:hAnsi="宋体" w:eastAsia="宋体" w:cs="宋体"/>
          <w:color w:val="000000" w:themeColor="text1"/>
          <w:sz w:val="21"/>
          <w:szCs w:val="21"/>
          <w:highlight w:val="none"/>
          <w14:textFill>
            <w14:solidFill>
              <w14:schemeClr w14:val="tx1"/>
            </w14:solidFill>
          </w14:textFill>
        </w:rPr>
        <w:t xml:space="preserve">前发生的风险均由乙方负责。</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12.5货物在规定的交付期限内由乙方送达甲方指定的地点视为交付，乙方同时需通知甲方货物已送达。</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十三、违约责任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13.1甲方无正当理由拒收货物的，甲方向乙方偿付拒收货款总值</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13.2甲方无故逾期验收和办理货款支付手续的</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甲方应按逾期付款总额每日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向乙方支付违约金。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13.3乙方逾期交付货物</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或逾期完成安装调试</w:t>
      </w:r>
      <w:r>
        <w:rPr>
          <w:rFonts w:hint="eastAsia" w:ascii="宋体" w:hAnsi="宋体" w:eastAsia="宋体" w:cs="宋体"/>
          <w:color w:val="000000" w:themeColor="text1"/>
          <w:sz w:val="21"/>
          <w:szCs w:val="21"/>
          <w:highlight w:val="none"/>
          <w14:textFill>
            <w14:solidFill>
              <w14:schemeClr w14:val="tx1"/>
            </w14:solidFill>
          </w14:textFill>
        </w:rPr>
        <w:t xml:space="preserve">的，乙方应按逾期</w:t>
      </w:r>
      <w:r>
        <w:rPr>
          <w:rFonts w:hint="eastAsia" w:ascii="宋体" w:hAnsi="宋体" w:cs="宋体"/>
          <w:color w:val="000000" w:themeColor="text1"/>
          <w:sz w:val="21"/>
          <w:szCs w:val="21"/>
          <w:highlight w:val="none"/>
          <w:lang w:val="en-US" w:eastAsia="zh-CN"/>
          <w14:textFill>
            <w14:solidFill>
              <w14:schemeClr w14:val="tx1"/>
            </w14:solidFill>
          </w14:textFill>
        </w:rPr>
        <w:t xml:space="preserve">货物</w:t>
      </w:r>
      <w:r>
        <w:rPr>
          <w:rFonts w:hint="eastAsia" w:ascii="宋体" w:hAnsi="宋体" w:eastAsia="宋体" w:cs="宋体"/>
          <w:color w:val="000000" w:themeColor="text1"/>
          <w:sz w:val="21"/>
          <w:szCs w:val="21"/>
          <w:highlight w:val="none"/>
          <w14:textFill>
            <w14:solidFill>
              <w14:schemeClr w14:val="tx1"/>
            </w14:solidFill>
          </w14:textFill>
        </w:rPr>
        <w:t xml:space="preserve">总额每日千分之六向甲方支付违约金，由甲方从待付货款中扣除。逾期超过约定日期10个工作日不能交货</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或完成安装调试</w:t>
      </w:r>
      <w:r>
        <w:rPr>
          <w:rFonts w:hint="eastAsia" w:ascii="宋体" w:hAnsi="宋体" w:eastAsia="宋体" w:cs="宋体"/>
          <w:color w:val="000000" w:themeColor="text1"/>
          <w:sz w:val="21"/>
          <w:szCs w:val="21"/>
          <w:highlight w:val="none"/>
          <w14:textFill>
            <w14:solidFill>
              <w14:schemeClr w14:val="tx1"/>
            </w14:solidFill>
          </w14:textFill>
        </w:rPr>
        <w:t xml:space="preserve">的，甲方可解除本合同。乙方因逾期交货或因其他违约行为导致甲方解除合同的，乙方应向甲方支付合同总值</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的违约金，如造成甲方损失超过违约金的，超出部分由乙方继续承担赔偿责任。 </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十四、不可抗力事件处理</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14.2不可抗力事件发生后，应立即通知对方，并寄送有关权威机构出具的证明。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14.3不可抗力事件延续120天以上，双方应通过友好协商，确定是否继续履行合同。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十五、解决争议的方法</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15.1甲乙双方因合同签订、履行而发生的一切争议，应通过友好协商解决。如协商不成由甲方住所地人民法院管辖。</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十六、合同生效及其</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他</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 合同经双方法定代表人或授权委托代表人签字并加盖单位公章后生效。</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16.2本合同未尽事宜，遵照《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中华人民共和国民法典》《中华人民共和国政府采购法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 xml:space="preserve">》有关条文执行。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16.3 本合同正本一式四份，具有同等法律效力，甲方三份、乙方一份。</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十七、合同附件（注：可按需添加附件）</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甲方：江南大学附属医院                  乙方：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地址：无锡市滨湖区和风路 1000 号        地址：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法定代表人或授权代表：                  法定代表人或授权代表：</w:t>
      </w:r>
      <w:r/>
    </w:p>
    <w:p>
      <w:pPr>
        <w:ind w:firstLine="24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24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2025年    月   日                       2025年    月   日</w:t>
      </w:r>
      <w:r/>
    </w:p>
    <w:p>
      <w:pPr>
        <w:ind w:firstLine="24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乙方户名：</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乙方开户银行：</w:t>
      </w:r>
      <w:r/>
    </w:p>
    <w:p>
      <w:pPr>
        <w:ind w:firstLine="40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乙方账号：</w:t>
      </w:r>
      <w:r/>
    </w:p>
    <w:p>
      <w:pPr>
        <w:ind w:firstLine="4840"/>
        <w:spacing w:line="360" w:lineRule="auto"/>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eastAsia="黑体"/>
          <w:color w:val="000000" w:themeColor="text1"/>
          <w:sz w:val="44"/>
          <w:szCs w:val="44"/>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2"/>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3"/>
      <w:r/>
      <w:bookmarkEnd w:id="184"/>
      <w:r/>
      <w:bookmarkEnd w:id="185"/>
      <w:r/>
      <w:r/>
    </w:p>
    <w:p>
      <w:pPr>
        <w:ind w:firstLine="6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8" w:name="_Toc26554093"/>
      <w:r/>
      <w:bookmarkStart w:id="189" w:name="_Toc49090575"/>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ascii="宋体" w:hAnsi="宋体"/>
          <w:bCs/>
          <w:color w:val="000000" w:themeColor="text1"/>
          <w:sz w:val="24"/>
          <w:szCs w:val="24"/>
          <w:highlight w:val="none"/>
          <w14:textFill>
            <w14:solidFill>
              <w14:schemeClr w14:val="tx1"/>
            </w14:solidFill>
          </w14:textFill>
        </w:rPr>
        <w:t xml:space="preserve"> 工业</w:t>
      </w:r>
      <w:r>
        <w:rPr>
          <w:rFonts w:hint="eastAsia" w:ascii="宋体" w:hAnsi="宋体"/>
          <w:bCs/>
          <w:color w:val="000000" w:themeColor="text1"/>
          <w:sz w:val="24"/>
          <w:szCs w:val="24"/>
          <w:highlight w:val="none"/>
          <w14:textFill>
            <w14:solidFill>
              <w14:schemeClr w14:val="tx1"/>
            </w14:solidFill>
          </w14:textFill>
        </w:rPr>
        <w:t xml:space="preserve">（制造业）</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本项目中的</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复合手术室（移动CT）</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为核心产品。</w:t>
      </w:r>
      <w:r/>
    </w:p>
    <w:p>
      <w:pPr>
        <w:ind w:firstLine="600"/>
        <w:jc w:val="left"/>
        <w:spacing w:line="360" w:lineRule="auto"/>
        <w:rPr>
          <w:rFonts w:hint="eastAsia" w:ascii="黑体" w:hAnsi="黑体" w:eastAsia="黑体"/>
          <w:color w:val="000000" w:themeColor="text1"/>
          <w:sz w:val="24"/>
          <w:szCs w:val="24"/>
          <w:highlight w:val="none"/>
          <w:u w:val="single"/>
          <w14:textFill>
            <w14:solidFill>
              <w14:schemeClr w14:val="tx1"/>
            </w14:solidFill>
          </w14:textFill>
        </w:rPr>
      </w:pPr>
      <w:r>
        <w:rPr>
          <w:rFonts w:hint="eastAsia" w:ascii="黑体" w:hAnsi="黑体" w:eastAsia="黑体"/>
          <w:color w:val="000000" w:themeColor="text1"/>
          <w:sz w:val="24"/>
          <w:szCs w:val="24"/>
          <w:highlight w:val="none"/>
          <w:u w:val="singl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项目配置</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技术参数</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商务需求</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等</w:t>
      </w:r>
      <w:r>
        <w:rPr>
          <w:rFonts w:hint="eastAsia" w:ascii="宋体" w:hAnsi="宋体"/>
          <w:color w:val="000000" w:themeColor="text1"/>
          <w:sz w:val="24"/>
          <w:szCs w:val="24"/>
          <w:highlight w:val="none"/>
          <w:u w:val="single"/>
          <w14:textFill>
            <w14:solidFill>
              <w14:schemeClr w14:val="tx1"/>
            </w14:solidFill>
          </w14:textFill>
        </w:rPr>
        <w:t xml:space="preserve">内容逐条标明满足与否，并对其真实性负责。技术条款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等），未提供技术支持资料或提供的技术支持资料不能佐证偏离表内容的，评审时不予认可，★号指标不满足即无效标书。</w:t>
      </w:r>
      <w:r/>
    </w:p>
    <w:p>
      <w:pPr>
        <w:jc w:val="left"/>
        <w:spacing w:line="360" w:lineRule="auto"/>
        <w:shd w:val="clear" w:color="auto" w:fill="ffffff"/>
        <w:widowControl/>
        <w:rPr>
          <w:rFonts w:hint="eastAsia"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一、</w:t>
      </w:r>
      <w:r>
        <w:rPr>
          <w:rFonts w:hint="eastAsia" w:ascii="宋体" w:hAnsi="宋体"/>
          <w:b/>
          <w:bCs/>
          <w:color w:val="000000" w:themeColor="text1"/>
          <w:sz w:val="24"/>
          <w:szCs w:val="24"/>
          <w:highlight w:val="none"/>
          <w:u w:val="single"/>
          <w14:textFill>
            <w14:solidFill>
              <w14:schemeClr w14:val="tx1"/>
            </w14:solidFill>
          </w14:textFill>
        </w:rPr>
        <w:t xml:space="preserve">★项目配置：</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复合手术室（移动CT）</w:t>
      </w:r>
      <w:r>
        <w:rPr>
          <w:rFonts w:hint="eastAsia" w:ascii="宋体" w:hAnsi="宋体"/>
          <w:b/>
          <w:bCs/>
          <w:color w:val="000000" w:themeColor="text1"/>
          <w:sz w:val="24"/>
          <w:szCs w:val="24"/>
          <w:highlight w:val="none"/>
          <w:u w:val="single"/>
          <w14:textFill>
            <w14:solidFill>
              <w14:schemeClr w14:val="tx1"/>
            </w14:solidFill>
          </w14:textFill>
        </w:rPr>
        <w:t xml:space="preserve">单台配置</w:t>
      </w:r>
      <w:r/>
    </w:p>
    <w:tbl>
      <w:tblPr>
        <w:tblStyle w:val="732"/>
        <w:tblW w:w="5005"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6658"/>
        <w:gridCol w:w="2330"/>
      </w:tblGrid>
      <w:tr>
        <w:trPr/>
        <w:tc>
          <w:tcPr>
            <w:tcW w:w="571" w:type="pct"/>
            <w:textDirection w:val="lrTb"/>
            <w:noWrap w:val="false"/>
          </w:tcPr>
          <w:p>
            <w:pPr>
              <w:jc w:val="center"/>
              <w:rPr>
                <w:rFonts w:hint="eastAsia" w:ascii="宋体" w:hAnsi="宋体" w:eastAsia="宋体" w:cs="宋体"/>
                <w:b/>
                <w:bCs/>
                <w:sz w:val="22"/>
                <w:szCs w:val="22"/>
              </w:rPr>
            </w:pPr>
            <w:r>
              <w:rPr>
                <w:rFonts w:hint="eastAsia" w:ascii="宋体" w:hAnsi="宋体" w:eastAsia="宋体" w:cs="宋体"/>
                <w:b/>
                <w:bCs/>
                <w:sz w:val="22"/>
                <w:szCs w:val="22"/>
              </w:rPr>
              <w:t xml:space="preserve">序号</w:t>
            </w:r>
            <w:r/>
          </w:p>
        </w:tc>
        <w:tc>
          <w:tcPr>
            <w:tcW w:w="3281" w:type="pct"/>
            <w:textDirection w:val="lrTb"/>
            <w:noWrap w:val="false"/>
          </w:tcPr>
          <w:p>
            <w:pPr>
              <w:jc w:val="center"/>
              <w:rPr>
                <w:rFonts w:hint="eastAsia" w:ascii="宋体" w:hAnsi="宋体" w:eastAsia="宋体" w:cs="宋体"/>
                <w:b/>
                <w:bCs/>
                <w:sz w:val="22"/>
                <w:szCs w:val="22"/>
              </w:rPr>
            </w:pPr>
            <w:r>
              <w:rPr>
                <w:rFonts w:hint="eastAsia" w:ascii="宋体" w:hAnsi="宋体" w:eastAsia="宋体" w:cs="宋体"/>
                <w:b/>
                <w:bCs/>
                <w:sz w:val="22"/>
                <w:szCs w:val="22"/>
              </w:rPr>
              <w:t xml:space="preserve">名称</w:t>
            </w:r>
            <w:r/>
          </w:p>
        </w:tc>
        <w:tc>
          <w:tcPr>
            <w:tcW w:w="1148" w:type="pct"/>
            <w:textDirection w:val="lrTb"/>
            <w:noWrap w:val="false"/>
          </w:tcPr>
          <w:p>
            <w:pPr>
              <w:jc w:val="center"/>
              <w:rPr>
                <w:rFonts w:hint="eastAsia" w:ascii="宋体" w:hAnsi="宋体" w:eastAsia="宋体" w:cs="宋体"/>
                <w:b/>
                <w:bCs/>
                <w:sz w:val="22"/>
                <w:szCs w:val="22"/>
              </w:rPr>
            </w:pPr>
            <w:r>
              <w:rPr>
                <w:rFonts w:hint="eastAsia" w:ascii="宋体" w:hAnsi="宋体" w:eastAsia="宋体" w:cs="宋体"/>
                <w:b/>
                <w:bCs/>
                <w:sz w:val="22"/>
                <w:szCs w:val="22"/>
              </w:rPr>
              <w:t xml:space="preserve">数量</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1</w:t>
            </w:r>
            <w:r/>
          </w:p>
        </w:tc>
        <w:tc>
          <w:tcPr>
            <w:tcW w:w="3281" w:type="pc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移动CT机架系统</w:t>
            </w:r>
            <w:r/>
          </w:p>
        </w:tc>
        <w:tc>
          <w:tcPr>
            <w:tcW w:w="1148" w:type="pc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1</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2</w:t>
            </w:r>
            <w:r/>
          </w:p>
        </w:tc>
        <w:tc>
          <w:tcPr>
            <w:tcW w:w="3281" w:type="pc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高压发生器</w:t>
            </w:r>
            <w:r/>
          </w:p>
        </w:tc>
        <w:tc>
          <w:tcPr>
            <w:tcW w:w="1148" w:type="pc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1</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3</w:t>
            </w:r>
            <w:r/>
          </w:p>
        </w:tc>
        <w:tc>
          <w:tcPr>
            <w:tcW w:w="3281" w:type="pc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X射线球管</w:t>
            </w:r>
            <w:r/>
          </w:p>
        </w:tc>
        <w:tc>
          <w:tcPr>
            <w:tcW w:w="1148" w:type="pc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1</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4</w:t>
            </w:r>
            <w:r/>
          </w:p>
        </w:tc>
        <w:tc>
          <w:tcPr>
            <w:tcW w:w="3281" w:type="pc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探测器</w:t>
            </w:r>
            <w:r/>
          </w:p>
        </w:tc>
        <w:tc>
          <w:tcPr>
            <w:tcW w:w="1148" w:type="pc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1</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5</w:t>
            </w:r>
            <w:r/>
          </w:p>
        </w:tc>
        <w:tc>
          <w:tcPr>
            <w:tcW w:w="3281" w:type="pc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图像工作站</w:t>
            </w:r>
            <w:r/>
          </w:p>
        </w:tc>
        <w:tc>
          <w:tcPr>
            <w:tcW w:w="1148" w:type="pc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1</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6</w:t>
            </w:r>
            <w:r/>
          </w:p>
        </w:tc>
        <w:tc>
          <w:tcPr>
            <w:tcW w:w="3281" w:type="pc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移动患者支架（扫描床）</w:t>
            </w:r>
            <w:r/>
          </w:p>
        </w:tc>
        <w:tc>
          <w:tcPr>
            <w:tcW w:w="1148" w:type="pc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1</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7</w:t>
            </w:r>
            <w:r/>
          </w:p>
        </w:tc>
        <w:tc>
          <w:tcPr>
            <w:tcW w:w="3281" w:type="pct"/>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QA质控模体</w:t>
            </w:r>
            <w:r/>
          </w:p>
        </w:tc>
        <w:tc>
          <w:tcPr>
            <w:tcW w:w="1148" w:type="pc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1</w:t>
            </w:r>
            <w:r/>
          </w:p>
        </w:tc>
      </w:tr>
      <w:tr>
        <w:trPr/>
        <w:tc>
          <w:tcPr>
            <w:tcW w:w="571" w:type="pct"/>
            <w:vAlign w:val="center"/>
            <w:textDirection w:val="lrTb"/>
            <w:noWrap w:val="false"/>
          </w:tcPr>
          <w:p>
            <w:pPr>
              <w:contextualSpacing/>
              <w:jc w:val="center"/>
              <w:widowControl/>
              <w:rPr>
                <w:rFonts w:hint="eastAsia" w:ascii="宋体" w:hAnsi="宋体" w:eastAsia="宋体" w:cs="宋体"/>
                <w:sz w:val="22"/>
                <w:szCs w:val="22"/>
              </w:rPr>
            </w:pPr>
            <w:r>
              <w:rPr>
                <w:rFonts w:hint="eastAsia" w:ascii="宋体" w:hAnsi="宋体" w:eastAsia="宋体" w:cs="宋体"/>
                <w:color w:val="000000"/>
                <w:sz w:val="22"/>
                <w:szCs w:val="22"/>
              </w:rPr>
              <w:t xml:space="preserve">8</w:t>
            </w:r>
            <w:r/>
          </w:p>
        </w:tc>
        <w:tc>
          <w:tcPr>
            <w:tcW w:w="3281" w:type="pct"/>
            <w:vAlign w:val="center"/>
            <w:textDirection w:val="lrTb"/>
            <w:noWrap w:val="false"/>
          </w:tcPr>
          <w:p>
            <w:pPr>
              <w:rPr>
                <w:rFonts w:hint="eastAsia" w:ascii="宋体" w:hAnsi="宋体" w:eastAsia="宋体" w:cs="宋体"/>
                <w:sz w:val="22"/>
                <w:szCs w:val="22"/>
              </w:rPr>
            </w:pPr>
            <w:r>
              <w:rPr>
                <w:rFonts w:hint="eastAsia" w:ascii="宋体" w:hAnsi="宋体" w:eastAsia="宋体" w:cs="宋体"/>
                <w:color w:val="000000"/>
                <w:sz w:val="22"/>
                <w:szCs w:val="22"/>
              </w:rPr>
              <w:t xml:space="preserve">防护铅帘</w:t>
            </w:r>
            <w:r/>
          </w:p>
        </w:tc>
        <w:tc>
          <w:tcPr>
            <w:tcW w:w="1148" w:type="pct"/>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1</w:t>
            </w:r>
            <w:r/>
          </w:p>
        </w:tc>
      </w:tr>
    </w:tbl>
    <w:p>
      <w:pPr>
        <w:rPr>
          <w:b/>
          <w:color w:val="000000" w:themeColor="text1"/>
          <w:sz w:val="24"/>
          <w:szCs w:val="24"/>
          <w:highlight w:val="none"/>
          <w14:textFill>
            <w14:solidFill>
              <w14:schemeClr w14:val="tx1"/>
            </w14:solidFill>
          </w14:textFill>
        </w:rPr>
      </w:pPr>
      <w:r/>
      <w:bookmarkStart w:id="190" w:name="_Hlk207198576"/>
      <w:r>
        <w:rPr>
          <w:rFonts w:hint="eastAsia" w:ascii="宋体" w:hAnsi="宋体"/>
          <w:sz w:val="24"/>
          <w:szCs w:val="24"/>
        </w:rPr>
        <w:t xml:space="preserve">★</w:t>
      </w:r>
      <w:r>
        <w:rPr>
          <w:rFonts w:hint="eastAsia" w:ascii="宋体" w:hAnsi="宋体" w:cs="宋体"/>
          <w:b/>
          <w:bCs/>
          <w:sz w:val="24"/>
          <w:szCs w:val="24"/>
          <w:lang w:bidi="ar"/>
        </w:rPr>
        <w:t xml:space="preserve">备注：投标机型所有硬件和软件须全部包含（含选配），所配软件为投标机型最新软件版本，提供相应承诺并盖章（格式自拟）。</w:t>
      </w:r>
      <w:bookmarkEnd w:id="190"/>
      <w:r/>
      <w:r/>
    </w:p>
    <w:p>
      <w:pPr>
        <w:numPr>
          <w:ilvl w:val="0"/>
          <w:numId w:val="0"/>
        </w:numPr>
        <w:keepLines w:val="0"/>
        <w:keepNext w:val="0"/>
        <w:pageBreakBefore w:val="0"/>
        <w:spacing w:line="360" w:lineRule="auto"/>
        <w:widowControl w:val="off"/>
        <w:rPr>
          <w:rFonts w:hint="eastAsia"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二、</w:t>
      </w:r>
      <w:r>
        <w:rPr>
          <w:rFonts w:hint="eastAsia" w:ascii="宋体" w:hAnsi="宋体"/>
          <w:b/>
          <w:bCs/>
          <w:color w:val="000000" w:themeColor="text1"/>
          <w:sz w:val="24"/>
          <w:szCs w:val="24"/>
          <w:highlight w:val="none"/>
          <w:u w:val="single"/>
          <w14:textFill>
            <w14:solidFill>
              <w14:schemeClr w14:val="tx1"/>
            </w14:solidFill>
          </w14:textFill>
        </w:rPr>
        <w:t xml:space="preserve">★技术参数：</w:t>
      </w:r>
      <w:r/>
    </w:p>
    <w:tbl>
      <w:tblPr>
        <w:tblStyle w:val="693"/>
        <w:tblW w:w="78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060"/>
      </w:tblGrid>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1. </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总体要求</w:t>
            </w:r>
            <w:r/>
          </w:p>
        </w:tc>
      </w:tr>
      <w:tr>
        <w:trPr>
          <w:trHeight w:val="434"/>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适用范围：用于常规CT检查</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2. </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移动CT机架系统</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激光定位系统：具备</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遥控器（手控盒）：具备</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shd w:val="clear" w:color="auto" w:fill="auto"/>
            <w:tcW w:w="7060"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内置X线铅屏蔽：具备</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W w:w="7060"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移动性：可前后左右自由移动，不依赖外部轨道，且具备电力辅助系统</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W w:w="7060"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内置蓄电池：具备</w:t>
            </w:r>
            <w:r/>
          </w:p>
        </w:tc>
      </w:tr>
      <w:tr>
        <w:trPr>
          <w:trHeight w:val="339"/>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噪声：≤70dB</w:t>
            </w:r>
            <w:r/>
          </w:p>
        </w:tc>
      </w:tr>
      <w:tr>
        <w:trPr>
          <w:trHeight w:val="360"/>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曝光指示：具备</w:t>
            </w:r>
            <w:r/>
          </w:p>
        </w:tc>
      </w:tr>
      <w:tr>
        <w:trPr>
          <w:trHeight w:val="360"/>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滑环类型：低压滑环</w:t>
            </w:r>
            <w:r/>
          </w:p>
        </w:tc>
      </w:tr>
      <w:tr>
        <w:trPr>
          <w:trHeight w:val="360"/>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扫描孔径</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≥600mm</w:t>
            </w:r>
            <w:r/>
          </w:p>
        </w:tc>
      </w:tr>
      <w:tr>
        <w:trPr>
          <w:trHeight w:val="360"/>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2.10</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扫描视野FOV：≥410mm</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3. </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高压发生器、X射线球管</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冷却方式：油冷</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最大管电压：≥140kV</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最小管电压：≤85kV</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3.4 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最大管电流：≥290mA</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3.5 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最小管电流：≤50mA</w:t>
            </w:r>
            <w:r/>
          </w:p>
        </w:tc>
      </w:tr>
      <w:tr>
        <w:trPr>
          <w:trHeight w:val="400"/>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球管焦点：大焦点 ：≤1.2mm×1.4mm；小焦点：≤ 0.7mm×0.8mm</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3.7 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高压发生器最大输出功率：≥42kW</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3.8 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球管热容量≥1.9MHU</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4. </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探测器</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4.1 </w:t>
            </w:r>
            <w:r/>
          </w:p>
        </w:tc>
        <w:tc>
          <w:tcPr>
            <w:shd w:val="clear" w:color="auto" w:fill="auto"/>
            <w:tcW w:w="7060"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探测器材料：固体探测器</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4.2 </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探测器 Z 轴宽度：≥20mm</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探测器物理排数：≥32排</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每排探测器物理个数：≥768</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单次最大扫描层数：≥32层/360°</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5.</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使用环境</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外形尺寸（宽×深×高）：≤260×105×210cm</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整机重量：≤1600kg</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6.</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图像工作站</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显示器尺寸：≥27英寸</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6.2</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显示器分辨率：≥2560×1440</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6.3</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内存：≥32GB</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6.4</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CPU</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≥3.2GHz</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6.5</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图像硬盘：≥240GB</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7.</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临床应用软件</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患者管理、登记系统：具备</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7.2</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扫描协议：具备默认扫描协议，允许编辑管理协议</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7.3</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2D查看：具备</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7.4</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3D查看（三维容积重建）：具备</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7.5</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多平面重建 MPR：具备</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7.6</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去金属伪影技术：支持</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7.7</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离线重建功能：具备</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7.8</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打印管理功能：支持</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7.9</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诊断报告功能：支持</w:t>
            </w:r>
            <w:r/>
          </w:p>
        </w:tc>
      </w:tr>
      <w:tr>
        <w:trPr>
          <w:trHeight w:val="288"/>
        </w:trPr>
        <w:tc>
          <w:tcPr>
            <w:shd w:val="clear" w:color="auto" w:fill="auto"/>
            <w:tcW w:w="766"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7.10</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增强扫描：支持</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8.</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扫描参数</w:t>
            </w:r>
            <w:r/>
          </w:p>
        </w:tc>
      </w:tr>
      <w:tr>
        <w:trPr>
          <w:trHeight w:val="360"/>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最快转速（扫描速度）：≤1.1s</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8.2</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最小层厚：≤1.25mm</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重建速度：≥15 幅/s</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8.4</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最大重建矩阵：≥256×256</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9.</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图像性能</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密度分辨率≤5 mm @ 0.3%</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9.2</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空间分辨率：≥13.0 lp/cm(0% MTF)</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9.3</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图像噪声：≤0.35%</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10.</w:t>
            </w:r>
            <w:r/>
          </w:p>
        </w:tc>
        <w:tc>
          <w:tcPr>
            <w:shd w:val="clear" w:color="auto" w:fill="auto"/>
            <w:tcW w:w="7060" w:type="dxa"/>
            <w:vAlign w:val="center"/>
            <w:textDirection w:val="lrTb"/>
            <w:noWrap/>
          </w:tcPr>
          <w:p>
            <w:pPr>
              <w:jc w:val="lef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其他</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10.1</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DICOM 标准：符合 DICOM 3.0 协议</w:t>
            </w:r>
            <w:r/>
          </w:p>
        </w:tc>
      </w:tr>
      <w:tr>
        <w:trPr>
          <w:trHeight w:val="288"/>
        </w:trPr>
        <w:tc>
          <w:tcPr>
            <w:shd w:val="clear" w:color="auto" w:fill="auto"/>
            <w:tcW w:w="766" w:type="dxa"/>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w:t>
            </w:r>
            <w:r/>
          </w:p>
        </w:tc>
        <w:tc>
          <w:tcPr>
            <w:shd w:val="clear" w:color="auto" w:fill="auto"/>
            <w:tcW w:w="7060" w:type="dxa"/>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须连接 HIS, RIS, PACS</w:t>
            </w:r>
            <w:r/>
          </w:p>
        </w:tc>
      </w:tr>
    </w:tbl>
    <w:p>
      <w:pPr>
        <w:keepLines w:val="0"/>
        <w:keepNext w:val="0"/>
        <w:pageBreakBefore w:val="0"/>
        <w:spacing w:line="360" w:lineRule="auto"/>
        <w:widowControl w:val="off"/>
        <w:rPr>
          <w:rFonts w:hint="eastAsia" w:ascii="宋体" w:hAnsi="宋体"/>
          <w:b/>
          <w:bCs/>
          <w:color w:val="000000" w:themeColor="text1"/>
          <w:sz w:val="22"/>
          <w:szCs w:val="22"/>
          <w:highlight w:val="none"/>
          <w:u w:val="single"/>
          <w14:textFill>
            <w14:solidFill>
              <w14:schemeClr w14:val="tx1"/>
            </w14:solidFill>
          </w14:textFill>
        </w:rPr>
      </w:pPr>
      <w:r>
        <w:rPr>
          <w:rFonts w:hint="eastAsia" w:ascii="宋体" w:hAnsi="宋体"/>
          <w:b/>
          <w:bCs/>
          <w:color w:val="000000" w:themeColor="text1"/>
          <w:sz w:val="22"/>
          <w:szCs w:val="22"/>
          <w:highlight w:val="none"/>
          <w:u w:val="single"/>
          <w:lang w:val="en-US" w:eastAsia="zh-CN"/>
          <w14:textFill>
            <w14:solidFill>
              <w14:schemeClr w14:val="tx1"/>
            </w14:solidFill>
          </w14:textFill>
        </w:rPr>
        <w:t xml:space="preserve">三、</w:t>
      </w:r>
      <w:r>
        <w:rPr>
          <w:rFonts w:hint="eastAsia" w:ascii="宋体" w:hAnsi="宋体"/>
          <w:b/>
          <w:bCs/>
          <w:color w:val="000000" w:themeColor="text1"/>
          <w:sz w:val="22"/>
          <w:szCs w:val="22"/>
          <w:highlight w:val="none"/>
          <w:u w:val="single"/>
          <w14:textFill>
            <w14:solidFill>
              <w14:schemeClr w14:val="tx1"/>
            </w14:solidFill>
          </w14:textFill>
        </w:rPr>
        <w:t xml:space="preserve">★商务需求：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1.维修保证：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原厂免费质保期≥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 在保质期内，故障发生后，要求供方在接报后2 小时之内响应，12小时之内到达现场排除故障；须提供故障不能排除时的解决方案；免费质保期后，设备终身维修，维修只收配件费，供方必须以低于市场价的80％优惠提供（提供承诺书，格式可自拟，须加盖投标人公章）。</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2.交货时间：合同生效之日起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天内。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3.验收标准：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方提供的商品必须符合我国最新颁布的与之相关的技术规范与标准，同时必须满足招标书中所列全部规格、型号、具体配置、技术条件及功能要求和供方承诺的其他指标；进口产品到货日期距仪器生产日期不超过一年，国产产品不超过半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以铭牌或说明书确认</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5.交货条件：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产品交货时，包装完整无破损，还必须提供以下材料：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装箱单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产品质检合格证明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 若为进口产品，供方需要提供进口商品检验检疫证明和报关单</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使用说明书及操作手册（电子版、纸质版同时提供）</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 单价10万元以上的设备需提供设备操作、保养的视频资料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6.运输及到货地点：由供方负责办理运输及装卸，直接送至需方指定地点，所有费用由供方承担。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7.安装、调试及售后服务：供方负责本次采购设备的免费安装、调试</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安装、调试过程所需耗品应由供方免费提供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，保证培训人员正常操作该设备的各种功能。供方提供设备操作规范张贴设备上，提供设备操作规范电子档交于医院。</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8.付款方式：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480"/>
        <w:spacing w:line="360" w:lineRule="auto"/>
        <w:tabs>
          <w:tab w:val="left" w:pos="525" w:leader="none"/>
          <w:tab w:val="left" w:pos="630" w:leader="none"/>
          <w:tab w:val="left" w:pos="735" w:leader="none"/>
          <w:tab w:val="left" w:pos="945"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10.具备数字化接口的设备应承诺免费开放该接口，由供应商配合与医院信息系统</w:t>
      </w:r>
      <w:r>
        <w:rPr>
          <w:rFonts w:hint="eastAsia" w:ascii="宋体" w:hAnsi="宋体"/>
          <w:b/>
          <w:bCs/>
          <w:szCs w:val="21"/>
          <w:highlight w:val="none"/>
        </w:rPr>
        <w:t xml:space="preserve">（HIS, RIS, PACS等）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相连接并承担相应费用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提供承诺书，格式可自拟，须加盖投标人公章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11.具有汉字字库、中文支持的系统及中文文档的设备应免费提供该系统，暂不具备的应承诺如日后具备此系统后免费向用户提供（提供承诺书，格式可自拟，须加盖投标人公章）。</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12.设备使用年限内（本次所投产品的年限为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13.供应商承担设备与医院设备实时监控系统相连的相关费用，达到医院实时监控要求（提供承诺书，格式可自拟，须加盖投标人公章）。</w:t>
      </w:r>
      <w:r/>
    </w:p>
    <w:p>
      <w:pPr>
        <w:ind w:firstLine="600"/>
        <w:jc w:val="left"/>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8.本章中标注“★”的条款为本项目的实质性条款，投标人不满足的，将按照无效投标处理。</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6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bookmarkStart w:id="191" w:name="_Toc120614281"/>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000000" w:themeColor="text1"/>
          <w:sz w:val="24"/>
          <w:highlight w:val="none"/>
          <w:lang w:eastAsia="zh-CN"/>
          <w14:textFill>
            <w14:solidFill>
              <w14:schemeClr w14:val="tx1"/>
            </w14:solidFill>
          </w14:textFill>
        </w:rPr>
        <w:t xml:space="preserve">〔2014〕68号</w:t>
      </w:r>
      <w:r>
        <w:rPr>
          <w:rFonts w:hint="eastAsia" w:ascii="宋体" w:hAnsi="宋体"/>
          <w:bCs/>
          <w:color w:val="000000" w:themeColor="text1"/>
          <w:sz w:val="24"/>
          <w:highlight w:val="none"/>
          <w14:textFill>
            <w14:solidFill>
              <w14:schemeClr w14:val="tx1"/>
            </w14:solidFill>
          </w14:textFill>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02"/>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955"/>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955"/>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955"/>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955"/>
        <w:spacing w:before="0" w:after="0" w:line="500" w:lineRule="exact"/>
        <w:rPr>
          <w:rStyle w:val="740"/>
          <w:rFonts w:ascii="Times New Roman" w:hAnsi="Times New Roman"/>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55"/>
        <w:spacing w:before="0" w:after="0" w:line="500" w:lineRule="exact"/>
        <w:rPr>
          <w:rFonts w:cs="Arial"/>
          <w:color w:val="000000" w:themeColor="text1"/>
          <w:highlight w:val="none"/>
          <w:shd w:val="clear" w:color="ffffff" w:fill="d9d9d9"/>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5"/>
        <w:spacing w:before="0" w:after="0" w:line="500" w:lineRule="exact"/>
        <w:rPr>
          <w:rFonts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评标标准</w:t>
      </w:r>
      <w:r/>
    </w:p>
    <w:p>
      <w:pPr>
        <w:pStyle w:val="955"/>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bCs/>
          <w:color w:val="000000" w:themeColor="text1"/>
          <w:sz w:val="24"/>
          <w:szCs w:val="24"/>
          <w:highlight w:val="none"/>
          <w14:textFill>
            <w14:solidFill>
              <w14:schemeClr w14:val="tx1"/>
            </w14:solidFill>
          </w14:textFill>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spacing w:line="500" w:lineRule="exact"/>
        <w:rPr>
          <w:rFonts w:hint="eastAsia" w:ascii="宋体" w:hAnsi="宋体"/>
          <w:b/>
          <w:color w:val="000000" w:themeColor="text1"/>
          <w:sz w:val="28"/>
          <w:szCs w:val="28"/>
          <w:highlight w:val="none"/>
          <w14:textFill>
            <w14:solidFill>
              <w14:schemeClr w14:val="tx1"/>
            </w14:solidFill>
          </w14:textFill>
        </w:rPr>
      </w:pPr>
      <w:r>
        <w:rPr>
          <w:rFonts w:ascii="宋体" w:hAnsi="宋体"/>
          <w:color w:val="000000" w:themeColor="text1"/>
          <w:highlight w:val="none"/>
          <w:shd w:val="clear" w:color="ffffff" w:fill="d9d9d9"/>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评分标准</w:t>
      </w:r>
      <w:r/>
    </w:p>
    <w:p>
      <w:pPr>
        <w:ind w:firstLine="482"/>
        <w:spacing w:line="360" w:lineRule="auto"/>
        <w:tabs>
          <w:tab w:val="left" w:pos="945" w:leader="none"/>
          <w:tab w:val="left" w:pos="1155" w:leader="none"/>
          <w:tab w:val="left" w:pos="3823" w:leader="none"/>
        </w:tabs>
        <w:rPr>
          <w:rFonts w:hint="eastAsia" w:ascii="宋体" w:hAnsi="宋体"/>
          <w:b/>
          <w:color w:val="000000" w:themeColor="text1"/>
          <w:sz w:val="28"/>
          <w:szCs w:val="28"/>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第一部分：商务标部分（</w:t>
      </w:r>
      <w:r>
        <w:rPr>
          <w:rFonts w:hint="eastAsia" w:ascii="宋体" w:hAnsi="宋体"/>
          <w:b/>
          <w:color w:val="000000" w:themeColor="text1"/>
          <w:sz w:val="24"/>
          <w:szCs w:val="24"/>
          <w:highlight w:val="none"/>
          <w:lang w:val="en-US" w:eastAsia="zh-CN"/>
          <w14:textFill>
            <w14:solidFill>
              <w14:schemeClr w14:val="tx1"/>
            </w14:solidFill>
          </w14:textFill>
        </w:rPr>
        <w:t xml:space="preserve">80</w:t>
      </w:r>
      <w:r>
        <w:rPr>
          <w:rFonts w:hint="eastAsia" w:ascii="宋体" w:hAnsi="宋体"/>
          <w:b/>
          <w:color w:val="000000" w:themeColor="text1"/>
          <w:sz w:val="24"/>
          <w:szCs w:val="24"/>
          <w:highlight w:val="none"/>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000000" w:themeColor="text1"/>
          <w:sz w:val="24"/>
          <w:szCs w:val="24"/>
          <w:highlight w:val="none"/>
          <w14:textFill>
            <w14:solidFill>
              <w14:schemeClr w14:val="tx1"/>
            </w14:solidFill>
          </w14:textFill>
        </w:rPr>
        <w:outlineLvl w:val="0"/>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价</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格（40分）</w:t>
      </w:r>
      <w:r/>
    </w:p>
    <w:p>
      <w:pPr>
        <w:ind w:firstLine="482"/>
        <w:jc w:val="both"/>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以进入评标程序、满足招标文件要求且报价最低的投标报价为评标基准价（须未超过采购预算价）</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其价格分为满分。其他投标人的价格分统一按照下列公式计算：</w:t>
      </w:r>
      <w:r/>
    </w:p>
    <w:p>
      <w:pPr>
        <w:ind w:firstLine="482"/>
        <w:jc w:val="both"/>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投标报价得分=（评标基准价/投标报价）×价格权重分</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保留两位小数</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firstLine="482"/>
        <w:jc w:val="both"/>
        <w:keepLines w:val="0"/>
        <w:keepNext w:val="0"/>
        <w:pageBreakBefore w:val="0"/>
        <w:spacing w:line="440" w:lineRule="exact"/>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关于价格扣除详见本章第二部分“一、落实政府采购政策的价格调整”。</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2.产品技术部分（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40</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w:t>
      </w:r>
      <w:r/>
    </w:p>
    <w:p>
      <w:pPr>
        <w:ind w:firstLine="482"/>
        <w:keepLines w:val="0"/>
        <w:keepNext w:val="0"/>
        <w:pageBreakBefore w:val="0"/>
        <w:spacing w:line="440" w:lineRule="exact"/>
        <w:widowControl w:val="off"/>
        <w:rPr>
          <w:rFonts w:hint="eastAsia"/>
          <w:color w:val="000000" w:themeColor="text1"/>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以下技术分条款必须提供技术支持资料（如产品说明书、彩页、相关检测报告、医疗器械产品技术要求、白皮书、手册、实物照片（须体现所投产品品牌型号）</w:t>
      </w:r>
      <w:r>
        <w:rPr>
          <w:rFonts w:hint="eastAsia" w:ascii="宋体" w:hAnsi="宋体" w:cs="宋体"/>
          <w:color w:val="000000" w:themeColor="text1"/>
          <w:sz w:val="24"/>
          <w:szCs w:val="24"/>
          <w:highlight w:val="none"/>
          <w14:textFill>
            <w14:solidFill>
              <w14:schemeClr w14:val="tx1"/>
            </w14:solidFill>
          </w14:textFill>
        </w:rPr>
        <w:t xml:space="preserve">等），并通过“苏采云系统”按对应评分项目（或数字编号）分别制作上传，未提供技术支持资料或提供的技术支持资料不能佐证</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评分参数</w:t>
      </w:r>
      <w:r>
        <w:rPr>
          <w:rFonts w:hint="eastAsia" w:ascii="宋体" w:hAnsi="宋体" w:cs="宋体"/>
          <w:color w:val="000000" w:themeColor="text1"/>
          <w:sz w:val="24"/>
          <w:szCs w:val="24"/>
          <w:highlight w:val="none"/>
          <w14:textFill>
            <w14:solidFill>
              <w14:schemeClr w14:val="tx1"/>
            </w14:solidFill>
          </w14:textFill>
        </w:rPr>
        <w:t xml:space="preserve">内容的，评审时不予认可。技术分条款须按对应评分项目（或数字编号）进行自评，注明自评分。</w:t>
      </w:r>
      <w:r/>
    </w:p>
    <w:tbl>
      <w:tblPr>
        <w:tblStyle w:val="6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7588"/>
        <w:gridCol w:w="868"/>
        <w:gridCol w:w="955"/>
      </w:tblGrid>
      <w:tr>
        <w:trPr>
          <w:jc w:val="center"/>
          <w:trHeight w:val="705"/>
        </w:trPr>
        <w:tc>
          <w:tcPr>
            <w:tcW w:w="358" w:type="pct"/>
            <w:vAlign w:val="center"/>
            <w:textDirection w:val="lrTb"/>
            <w:noWrap w:val="false"/>
          </w:tcPr>
          <w:p>
            <w:pPr>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序号</w:t>
            </w:r>
            <w:r/>
          </w:p>
        </w:tc>
        <w:tc>
          <w:tcPr>
            <w:shd w:val="clear" w:color="auto" w:fill="auto"/>
            <w:tcW w:w="3742" w:type="pct"/>
            <w:vAlign w:val="center"/>
            <w:textDirection w:val="lrTb"/>
            <w:noWrap w:val="false"/>
          </w:tcPr>
          <w:p>
            <w:pPr>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技术评分标准</w:t>
            </w:r>
            <w:r/>
          </w:p>
        </w:tc>
        <w:tc>
          <w:tcPr>
            <w:shd w:val="clear" w:color="auto" w:fill="auto"/>
            <w:tcW w:w="428" w:type="pct"/>
            <w:vAlign w:val="center"/>
            <w:textDirection w:val="lrTb"/>
            <w:noWrap w:val="false"/>
          </w:tcPr>
          <w:p>
            <w:pPr>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评分下限</w:t>
            </w:r>
            <w:r/>
          </w:p>
        </w:tc>
        <w:tc>
          <w:tcPr>
            <w:shd w:val="clear" w:color="auto" w:fill="auto"/>
            <w:tcW w:w="471" w:type="pct"/>
            <w:vAlign w:val="center"/>
            <w:textDirection w:val="lrTb"/>
            <w:noWrap w:val="false"/>
          </w:tcPr>
          <w:p>
            <w:pPr>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评分上限</w:t>
            </w:r>
            <w:r/>
          </w:p>
        </w:tc>
      </w:tr>
      <w:tr>
        <w:trPr>
          <w:jc w:val="center"/>
          <w:trHeight w:val="482"/>
        </w:trPr>
        <w:tc>
          <w:tcPr>
            <w:shd w:val="clear" w:color="auto" w:fill="auto"/>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扫描孔径≥700mm，满足得2分；扫描孔径≥850mm，满足得5分</w:t>
            </w:r>
            <w:r/>
          </w:p>
        </w:tc>
        <w:tc>
          <w:tcPr>
            <w:shd w:val="clear" w:color="auto" w:fill="auto"/>
            <w:tcW w:w="42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r>
      <w:tr>
        <w:trPr>
          <w:jc w:val="center"/>
        </w:trPr>
        <w:tc>
          <w:tcPr>
            <w:shd w:val="clear" w:color="auto" w:fill="auto"/>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最快转速（扫描速度）：≤1s，满足得4分</w:t>
            </w:r>
            <w:r/>
          </w:p>
        </w:tc>
        <w:tc>
          <w:tcPr>
            <w:shd w:val="clear" w:color="auto" w:fill="auto"/>
            <w:tcW w:w="42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r>
        <w:trPr>
          <w:jc w:val="center"/>
        </w:trPr>
        <w:tc>
          <w:tcPr>
            <w:shd w:val="clear" w:color="auto" w:fill="auto"/>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扫描视野FOV：≥420mm，满足得1分；扫描视野FOV：≥600mm，满足得5分</w:t>
            </w:r>
            <w:r/>
          </w:p>
        </w:tc>
        <w:tc>
          <w:tcPr>
            <w:shd w:val="clear" w:color="auto" w:fill="auto"/>
            <w:tcW w:w="42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r>
      <w:tr>
        <w:trPr>
          <w:jc w:val="center"/>
        </w:trPr>
        <w:tc>
          <w:tcPr>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最小管电压：≤80kV，满足得4分</w:t>
            </w:r>
            <w:r/>
          </w:p>
        </w:tc>
        <w:tc>
          <w:tcPr>
            <w:shd w:val="clear" w:color="auto" w:fill="auto"/>
            <w:tcW w:w="428" w:type="pc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r>
        <w:trPr>
          <w:jc w:val="center"/>
        </w:trPr>
        <w:tc>
          <w:tcPr>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最大管电流：≥300mA，满足得4分</w:t>
            </w:r>
            <w:r/>
          </w:p>
        </w:tc>
        <w:tc>
          <w:tcPr>
            <w:shd w:val="clear" w:color="auto" w:fill="auto"/>
            <w:tcW w:w="428" w:type="pc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r>
        <w:trPr>
          <w:jc w:val="center"/>
        </w:trPr>
        <w:tc>
          <w:tcPr>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球管热容量:≥2.0MHU，满足得1分；球管热容量:≥3.5MHU，满足得6分</w:t>
            </w:r>
            <w:r/>
          </w:p>
        </w:tc>
        <w:tc>
          <w:tcPr>
            <w:shd w:val="clear" w:color="auto" w:fill="auto"/>
            <w:tcW w:w="428" w:type="pc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r>
      <w:tr>
        <w:trPr>
          <w:jc w:val="center"/>
        </w:trPr>
        <w:tc>
          <w:tcPr>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单次最大扫描层数：≥64 层/360°，满足得4分</w:t>
            </w:r>
            <w:r/>
          </w:p>
        </w:tc>
        <w:tc>
          <w:tcPr>
            <w:shd w:val="clear" w:color="auto" w:fill="auto"/>
            <w:tcW w:w="428" w:type="pc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r>
        <w:trPr>
          <w:jc w:val="center"/>
        </w:trPr>
        <w:tc>
          <w:tcPr>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重建速度：≥16 幅/s，满足得4分</w:t>
            </w:r>
            <w:r/>
          </w:p>
        </w:tc>
        <w:tc>
          <w:tcPr>
            <w:shd w:val="clear" w:color="auto" w:fill="auto"/>
            <w:tcW w:w="428" w:type="pc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r>
        <w:trPr>
          <w:jc w:val="center"/>
        </w:trPr>
        <w:tc>
          <w:tcPr>
            <w:tcW w:w="358"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w:t>
            </w:r>
            <w:r/>
          </w:p>
        </w:tc>
        <w:tc>
          <w:tcPr>
            <w:shd w:val="clear" w:color="auto" w:fill="auto"/>
            <w:tcW w:w="3742" w:type="pct"/>
            <w:vAlign w:val="center"/>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最大重建矩阵：≥512×512，满足得4分</w:t>
            </w:r>
            <w:r/>
          </w:p>
        </w:tc>
        <w:tc>
          <w:tcPr>
            <w:shd w:val="clear" w:color="auto" w:fill="auto"/>
            <w:tcW w:w="428" w:type="pc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w:t>
            </w:r>
            <w:r/>
          </w:p>
        </w:tc>
        <w:tc>
          <w:tcPr>
            <w:shd w:val="clear" w:color="auto" w:fill="auto"/>
            <w:tcW w:w="471" w:type="pct"/>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bl>
    <w:p>
      <w:pPr>
        <w:numPr>
          <w:ilvl w:val="0"/>
          <w:numId w:val="0"/>
        </w:numPr>
        <w:ind w:left="0" w:firstLine="480"/>
        <w:spacing w:line="360" w:lineRule="auto"/>
        <w:rPr>
          <w:rFonts w:hint="default" w:ascii="宋体" w:hAnsi="宋体" w:eastAsia="宋体" w:cs="宋体"/>
          <w:b/>
          <w:color w:val="000000" w:themeColor="text1"/>
          <w:sz w:val="24"/>
          <w:szCs w:val="24"/>
          <w:highlight w:val="none"/>
          <w:lang w:val="en-US" w:eastAsia="zh-CN" w:bidi="ar-SA"/>
          <w14:textFill>
            <w14:solidFill>
              <w14:schemeClr w14:val="tx1"/>
            </w14:solidFill>
          </w14:textFill>
        </w:rPr>
        <w:outlineLvl w:val="0"/>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r>
      <w:r/>
    </w:p>
    <w:p>
      <w:pPr>
        <w:numPr>
          <w:ilvl w:val="0"/>
          <w:numId w:val="0"/>
        </w:numPr>
        <w:ind w:left="0" w:firstLine="480"/>
        <w:spacing w:line="360" w:lineRule="auto"/>
        <w:rPr>
          <w:rFonts w:hint="default" w:ascii="宋体" w:hAnsi="宋体" w:eastAsia="宋体" w:cs="宋体"/>
          <w:b/>
          <w:color w:val="000000" w:themeColor="text1"/>
          <w:sz w:val="24"/>
          <w:szCs w:val="24"/>
          <w:highlight w:val="none"/>
          <w:lang w:val="en-US" w:eastAsia="zh-CN" w:bidi="ar-SA"/>
          <w14:textFill>
            <w14:solidFill>
              <w14:schemeClr w14:val="tx1"/>
            </w14:solidFill>
          </w14:textFill>
        </w:rPr>
        <w:outlineLvl w:val="0"/>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r>
      <w:r/>
    </w:p>
    <w:p>
      <w:pPr>
        <w:numPr>
          <w:ilvl w:val="0"/>
          <w:numId w:val="0"/>
        </w:numPr>
        <w:ind w:left="0" w:firstLine="480"/>
        <w:spacing w:line="360" w:lineRule="auto"/>
        <w:rPr>
          <w:rFonts w:ascii="宋体" w:hAnsi="宋体" w:cs="宋体"/>
          <w:b/>
          <w:color w:val="000000" w:themeColor="text1"/>
          <w:sz w:val="24"/>
          <w:szCs w:val="24"/>
          <w:highlight w:val="none"/>
          <w14:textFill>
            <w14:solidFill>
              <w14:schemeClr w14:val="tx1"/>
            </w14:solidFill>
          </w14:textFill>
        </w:rPr>
        <w:outlineLvl w:val="0"/>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商务（</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3.1质保期（3分）：原厂免费质保2年为基准，每增加一年得1分，最多不超过3分。提供生产厂家出具的《质量保证及售后服务承诺书》（给定格式），扫描件并加盖投标人电子公章，</w:t>
      </w:r>
      <w:r>
        <w:rPr>
          <w:rFonts w:ascii="宋体" w:hAnsi="宋体" w:cs="宋体"/>
          <w:color w:val="000000" w:themeColor="text1"/>
          <w:sz w:val="24"/>
          <w:szCs w:val="24"/>
          <w:highlight w:val="none"/>
          <w14:textFill>
            <w14:solidFill>
              <w14:schemeClr w14:val="tx1"/>
            </w14:solidFill>
          </w14:textFill>
        </w:rPr>
        <w:t xml:space="preserve">所投若为进口设备，则由国内总代理出具</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3.2销售业绩及客户评价比较（3分）：从2023年1月以来主要业绩，提供投标人与终端用户签订的与本次招标采购项目类似产品的完整销售合同复印件，有一例得1.5分，最高不超过3 分</w:t>
      </w:r>
      <w:r>
        <w:rPr>
          <w:rFonts w:hint="eastAsia" w:ascii="宋体" w:hAnsi="宋体"/>
          <w:bCs/>
          <w:color w:val="000000" w:themeColor="text1"/>
          <w:sz w:val="24"/>
          <w:szCs w:val="24"/>
          <w:highlight w:val="none"/>
          <w14:textFill>
            <w14:solidFill>
              <w14:schemeClr w14:val="tx1"/>
            </w14:solidFill>
          </w14:textFill>
        </w:rPr>
        <w:t xml:space="preserve">（提供合同复印件并加盖投标人电子公章）。</w:t>
      </w:r>
      <w:r>
        <w:rPr>
          <w:rFonts w:hint="eastAsia" w:ascii="宋体" w:hAnsi="宋体" w:cs="宋体"/>
          <w:color w:val="000000"/>
          <w:sz w:val="24"/>
          <w:szCs w:val="24"/>
          <w:highlight w:val="none"/>
        </w:rPr>
        <w:t xml:space="preserve">合同金额如在50万元以上（含50万元），还须提供合同公示页面截图进行佐证。截图内容含公示网站名称或地址、公示日期、完整公示内容。</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3.3政策性因素（2分）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3.3.1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20"/>
        <w:spacing w:line="360" w:lineRule="auto"/>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第二部分：技术标部分（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b/>
          <w:color w:val="000000" w:themeColor="text1"/>
          <w:sz w:val="24"/>
          <w:szCs w:val="24"/>
          <w:highlight w:val="none"/>
          <w14:textFill>
            <w14:solidFill>
              <w14:schemeClr w14:val="tx1"/>
            </w14:solidFill>
          </w14:textFill>
        </w:rPr>
        <w:t xml:space="preserve">分）（不得有体现投标人身份的内容）</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1.服务方案体系（6分） ：投标人保障采购项目能够达到招标文件设定的使用和运行状态而提供的①配送、安装，②调试、培训，③响应时间，④咨询（技术支持）， ⑤维修以及⑥应急保障措施等一系列服务方案。</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单项不存在瑕疵、漏项，有针对性解决说明，满足项目招标文件需求，得1分；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单项存在瑕疵、漏项或未提供、不满足项目招标文件需求，得0分；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共6项，最高得6分。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.服务保障体系（6分）：投标人保障服务方案的实施而设立的①服务机构、配备的相应服务人员、设施装备，以及②相应的服务细则和规范的管理制度，③确保兑现服务承诺、保证服务质量的措施。</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单项不存在瑕疵、漏项，有针对性解决说明，满足项目招标文件需求，得2分；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单项存在1处瑕疵、漏项，得1分；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单项存在2处及以上瑕疵、漏项或未提供、不满足项目招标文件需求，得0分；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共3项，最高得6分。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02"/>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pStyle w:val="702"/>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jc w:val="center"/>
        <w:spacing w:line="500" w:lineRule="exact"/>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88"/>
      <w:r/>
      <w:bookmarkEnd w:id="189"/>
      <w:r/>
      <w:bookmarkEnd w:id="191"/>
      <w:r>
        <w:rPr>
          <w:rFonts w:hint="eastAsia" w:ascii="黑体" w:eastAsia="黑体"/>
          <w:bCs/>
          <w:color w:val="000000" w:themeColor="text1"/>
          <w:sz w:val="36"/>
          <w:szCs w:val="36"/>
          <w:highlight w:val="none"/>
          <w14:textFill>
            <w14:solidFill>
              <w14:schemeClr w14:val="tx1"/>
            </w14:solidFill>
          </w14:textFill>
        </w:rPr>
        <w:t xml:space="preserve">投标文件内容与格式</w:t>
      </w:r>
      <w:r/>
    </w:p>
    <w:p>
      <w:pPr>
        <w:pStyle w:val="955"/>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2" w:name="_Hlt26671244"/>
      <w:r/>
      <w:bookmarkEnd w:id="192"/>
      <w:r/>
      <w:bookmarkStart w:id="193" w:name="_Hlt26955039"/>
      <w:r/>
      <w:bookmarkEnd w:id="193"/>
      <w:r/>
      <w:bookmarkStart w:id="194" w:name="_Toc26554094"/>
      <w:r/>
      <w:bookmarkStart w:id="195" w:name="_Toc49090576"/>
      <w:r/>
      <w:bookmarkStart w:id="196" w:name="_Toc120614282"/>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955"/>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9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5"/>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955"/>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955"/>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95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通用资格要求，详见第一章《投标邀请》</w:t>
            </w:r>
            <w:r/>
          </w:p>
        </w:tc>
      </w:tr>
      <w:tr>
        <w:trPr>
          <w:jc w:val="center"/>
          <w:trHeight w:val="812"/>
        </w:trPr>
        <w:tc>
          <w:tcPr>
            <w:tcW w:w="719" w:type="dxa"/>
            <w:vAlign w:val="center"/>
            <w:textDirection w:val="lrTb"/>
            <w:noWrap w:val="false"/>
          </w:tcPr>
          <w:p>
            <w:pPr>
              <w:pStyle w:val="95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684"/>
        </w:trPr>
        <w:tc>
          <w:tcPr>
            <w:tcW w:w="719" w:type="dxa"/>
            <w:vAlign w:val="center"/>
            <w:textDirection w:val="lrTb"/>
            <w:noWrap w:val="false"/>
          </w:tcPr>
          <w:p>
            <w:pPr>
              <w:pStyle w:val="95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0"/>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963"/>
        </w:trPr>
        <w:tc>
          <w:tcPr>
            <w:tcW w:w="719" w:type="dxa"/>
            <w:vAlign w:val="center"/>
            <w:textDirection w:val="lrTb"/>
            <w:noWrap w:val="false"/>
          </w:tcPr>
          <w:p>
            <w:pPr>
              <w:pStyle w:val="95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023"/>
        </w:trPr>
        <w:tc>
          <w:tcPr>
            <w:tcW w:w="719" w:type="dxa"/>
            <w:vAlign w:val="center"/>
            <w:textDirection w:val="lrTb"/>
            <w:noWrap w:val="false"/>
          </w:tcPr>
          <w:p>
            <w:pPr>
              <w:pStyle w:val="95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5"/>
        </w:trPr>
        <w:tc>
          <w:tcPr>
            <w:tcW w:w="719" w:type="dxa"/>
            <w:vAlign w:val="center"/>
            <w:textDirection w:val="lrTb"/>
            <w:noWrap w:val="false"/>
          </w:tcPr>
          <w:p>
            <w:pPr>
              <w:pStyle w:val="95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0"/>
        </w:trPr>
        <w:tc>
          <w:tcPr>
            <w:tcW w:w="719" w:type="dxa"/>
            <w:vAlign w:val="center"/>
            <w:textDirection w:val="lrTb"/>
            <w:noWrap w:val="false"/>
          </w:tcPr>
          <w:p>
            <w:pPr>
              <w:pStyle w:val="95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955"/>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w:t>
            </w:r>
            <w:r/>
          </w:p>
        </w:tc>
        <w:tc>
          <w:tcPr>
            <w:tcW w:w="2449" w:type="dxa"/>
            <w:vAlign w:val="center"/>
            <w:textDirection w:val="lrTb"/>
            <w:noWrap w:val="false"/>
          </w:tcPr>
          <w:p>
            <w:pPr>
              <w:pStyle w:val="955"/>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955"/>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955"/>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《联合体协议》（如有，格式自拟）。</w:t>
            </w:r>
            <w:r/>
          </w:p>
        </w:tc>
        <w:tc>
          <w:tcPr>
            <w:tcW w:w="2449" w:type="dxa"/>
            <w:vAlign w:val="center"/>
            <w:textDirection w:val="lrTb"/>
            <w:noWrap w:val="false"/>
          </w:tcPr>
          <w:p>
            <w:pPr>
              <w:pStyle w:val="95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55"/>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55"/>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55"/>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5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55"/>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5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5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5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5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5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5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5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5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5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95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5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55"/>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jc w:val="center"/>
          <w:trHeight w:val="567"/>
        </w:trPr>
        <w:tc>
          <w:tcPr>
            <w:tcW w:w="823" w:type="dxa"/>
            <w:vAlign w:val="center"/>
            <w:textDirection w:val="lrTb"/>
            <w:noWrap w:val="false"/>
          </w:tcPr>
          <w:p>
            <w:pPr>
              <w:pStyle w:val="95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5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5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955"/>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JSZC-320200-XWJC-G2025-0086</w:t>
      </w:r>
      <w:r/>
    </w:p>
    <w:p>
      <w:pPr>
        <w:ind w:left="3289" w:hanging="15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江南大学附属医院复合手术室（移动CT）项目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hint="eastAsia"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5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JSZC-320200-XWJC-G2025-0086</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5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5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5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53"/>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5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53"/>
        <w:ind w:firstLine="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53"/>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53"/>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w:t>
      </w:r>
      <w:r>
        <w:rPr>
          <w:rFonts w:hint="eastAsia"/>
          <w:color w:val="000000" w:themeColor="text1"/>
          <w:sz w:val="24"/>
          <w:szCs w:val="24"/>
          <w:highlight w:val="none"/>
          <w:u w:val="single"/>
          <w14:textFill>
            <w14:solidFill>
              <w14:schemeClr w14:val="tx1"/>
            </w14:solidFill>
          </w14:textFill>
        </w:rPr>
        <w:t xml:space="preserve">        </w:t>
      </w:r>
      <w:r/>
    </w:p>
    <w:p>
      <w:pPr>
        <w:pStyle w:val="953"/>
        <w:ind w:firstLine="0"/>
        <w:spacing w:line="360" w:lineRule="auto"/>
        <w:rPr>
          <w:rFonts w:hint="eastAsia"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r>
      <w:r/>
    </w:p>
    <w:p>
      <w:pPr>
        <w:pStyle w:val="953"/>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53"/>
        <w:ind w:firstLine="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53"/>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53"/>
        <w:numPr>
          <w:ilvl w:val="0"/>
          <w:numId w:val="9"/>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53"/>
        <w:numPr>
          <w:ilvl w:val="0"/>
          <w:numId w:val="9"/>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处签字即可。</w:t>
      </w:r>
      <w:r/>
    </w:p>
    <w:p>
      <w:pPr>
        <w:pStyle w:val="953"/>
        <w:numPr>
          <w:ilvl w:val="0"/>
          <w:numId w:val="9"/>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53"/>
        <w:numPr>
          <w:ilvl w:val="0"/>
          <w:numId w:val="9"/>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highlight w:val="none"/>
          <w:lang w:eastAsia="zh-CN"/>
          <w14:textFill>
            <w14:solidFill>
              <w14:schemeClr w14:val="tx1"/>
            </w14:solidFill>
          </w14:textFill>
        </w:rPr>
        <w:t xml:space="preserve">其他可以</w:t>
      </w:r>
      <w:r>
        <w:rPr>
          <w:rFonts w:hint="eastAsia" w:ascii="宋体" w:hAnsi="宋体"/>
          <w:bCs/>
          <w:color w:val="000000" w:themeColor="text1"/>
          <w:sz w:val="24"/>
          <w:szCs w:val="24"/>
          <w:highlight w:val="none"/>
          <w14:textFill>
            <w14:solidFill>
              <w14:schemeClr w14:val="tx1"/>
            </w14:solidFill>
          </w14:textFill>
        </w:rPr>
        <w:t xml:space="preserve">在中国大陆有效居留的许可证明。</w:t>
      </w:r>
      <w:r/>
    </w:p>
    <w:p>
      <w:pPr>
        <w:pStyle w:val="953"/>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7" w:name="报价方关于资格的声明函（格式）"/>
      <w:r/>
      <w:bookmarkEnd w:id="197"/>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JSZC-320200-XWJC-G2025-0086</w:t>
      </w:r>
      <w:r>
        <w:rPr>
          <w:rFonts w:hint="eastAsia" w:ascii="宋体" w:hAnsi="宋体"/>
          <w:bCs/>
          <w:color w:val="000000" w:themeColor="text1"/>
          <w:sz w:val="24"/>
          <w:szCs w:val="24"/>
          <w:highlight w:val="none"/>
          <w14:textFill>
            <w14:solidFill>
              <w14:schemeClr w14:val="tx1"/>
            </w14:solidFill>
          </w14:textFill>
        </w:rPr>
        <w:t xml:space="preserve">进行投标，并</w:t>
      </w:r>
      <w:bookmarkStart w:id="199" w:name="_GoBack"/>
      <w:r>
        <w:rPr>
          <w:rFonts w:hint="eastAsia" w:ascii="宋体" w:hAnsi="宋体"/>
          <w:bCs/>
          <w:color w:val="000000" w:themeColor="text1"/>
          <w:sz w:val="24"/>
          <w:szCs w:val="24"/>
          <w:highlight w:val="none"/>
          <w14:textFill>
            <w14:solidFill>
              <w14:schemeClr w14:val="tx1"/>
            </w14:solidFill>
          </w14:textFill>
        </w:rPr>
        <w:t xml:space="preserve">作</w:t>
      </w:r>
      <w:bookmarkEnd w:id="199"/>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中小企业声明函（货物）</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none"/>
          <w:u w:val="singl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pStyle w:val="7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2.在货物采购项目中，供应商提供的货物既有中小企业制造货物，也有大型企业制造货物的，不享受本办法规定的中小企业扶持政策。</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 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4.专门</w:t>
      </w:r>
      <w:r>
        <w:rPr>
          <w:color w:val="000000" w:themeColor="text1"/>
          <w:highlight w:val="none"/>
          <w14:textFill>
            <w14:solidFill>
              <w14:schemeClr w14:val="tx1"/>
            </w14:solidFill>
          </w14:textFill>
        </w:rPr>
        <w:t xml:space="preserve">面向中小微型企业</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的项目，</w:t>
      </w:r>
      <w:r>
        <w:rPr>
          <w:rFonts w:hint="eastAsia"/>
          <w:color w:val="000000" w:themeColor="text1"/>
          <w:highlight w:val="none"/>
          <w14:textFill>
            <w14:solidFill>
              <w14:schemeClr w14:val="tx1"/>
            </w14:solidFill>
          </w14:textFill>
        </w:rPr>
        <w:t xml:space="preserve">供应商如不提供此声明函，则</w:t>
      </w:r>
      <w:r>
        <w:rPr>
          <w:color w:val="000000" w:themeColor="text1"/>
          <w:highlight w:val="none"/>
          <w14:textFill>
            <w14:solidFill>
              <w14:schemeClr w14:val="tx1"/>
            </w14:solidFill>
          </w14:textFill>
        </w:rPr>
        <w:t xml:space="preserve">不能通过资格审查；</w:t>
      </w:r>
      <w:r>
        <w:rPr>
          <w:rFonts w:hint="eastAsia"/>
          <w:color w:val="000000" w:themeColor="text1"/>
          <w:highlight w:val="none"/>
          <w14:textFill>
            <w14:solidFill>
              <w14:schemeClr w14:val="tx1"/>
            </w14:solidFill>
          </w14:textFill>
        </w:rPr>
        <w:t xml:space="preserve">非专门</w:t>
      </w:r>
      <w:r>
        <w:rPr>
          <w:color w:val="000000" w:themeColor="text1"/>
          <w:highlight w:val="none"/>
          <w14:textFill>
            <w14:solidFill>
              <w14:schemeClr w14:val="tx1"/>
            </w14:solidFill>
          </w14:textFill>
        </w:rPr>
        <w:t xml:space="preserve">面向中小微型企业</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的项目，</w:t>
      </w:r>
      <w:r>
        <w:rPr>
          <w:rFonts w:hint="eastAsia"/>
          <w:color w:val="000000" w:themeColor="text1"/>
          <w:highlight w:val="none"/>
          <w14:textFill>
            <w14:solidFill>
              <w14:schemeClr w14:val="tx1"/>
            </w14:solidFill>
          </w14:textFill>
        </w:rPr>
        <w:t xml:space="preserve">供应商如不提供此声明函，价格将不做相应扣除。</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六</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JSZC-320200-XWJC-G2025-0086</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38"/>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360" w:lineRule="auto"/>
        <w:rPr>
          <w:b/>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七、承诺书（给定格式）：</w:t>
      </w:r>
      <w:r/>
    </w:p>
    <w:p>
      <w:pPr>
        <w:ind w:firstLine="602"/>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JSZC-320200-XWJC-G2025-0086</w:t>
      </w:r>
      <w:r>
        <w:rPr>
          <w:rFonts w:hint="eastAsia" w:ascii="宋体" w:hAnsi="宋体"/>
          <w:color w:val="000000" w:themeColor="text1"/>
          <w:sz w:val="24"/>
          <w:szCs w:val="24"/>
          <w:highlight w:val="none"/>
          <w14:textFill>
            <w14:solidFill>
              <w14:schemeClr w14:val="tx1"/>
            </w14:solidFill>
          </w14:textFill>
        </w:rPr>
        <w:t xml:space="preserve">在此做如下承诺：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1.本公司（单位）对本项目所提供的服务符合招标文件要求；</w:t>
      </w:r>
      <w:r>
        <w:rPr>
          <w:rFonts w:hint="eastAsia" w:ascii="宋体" w:hAnsi="宋体"/>
          <w:bCs/>
          <w:color w:val="000000" w:themeColor="text1"/>
          <w:sz w:val="24"/>
          <w:szCs w:val="24"/>
          <w:highlight w:val="none"/>
          <w14:textFill>
            <w14:solidFill>
              <w14:schemeClr w14:val="tx1"/>
            </w14:solidFill>
          </w14:textFill>
        </w:rPr>
        <w:t xml:space="preserve">所提供的货物均为原厂全新合格品；</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（注：以上内容由投标单位根据采购要求自行完善）</w:t>
      </w:r>
      <w:r/>
    </w:p>
    <w:p>
      <w:pPr>
        <w:ind w:firstLine="420"/>
        <w:spacing w:line="48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spacing w:line="48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JSZC-320200-XWJC-G2025-0086</w:t>
      </w:r>
      <w:r/>
    </w:p>
    <w:tbl>
      <w:tblPr>
        <w:tblStyle w:val="69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979"/>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江南大学附属医院复合手术室（移动CT）项目</w:t>
            </w:r>
            <w:r/>
          </w:p>
        </w:tc>
        <w:tc>
          <w:tcPr>
            <w:tcW w:w="3188" w:type="dxa"/>
            <w:vAlign w:val="center"/>
            <w:textDirection w:val="lrTb"/>
            <w:noWrap w:val="false"/>
          </w:tcPr>
          <w:p>
            <w:pPr>
              <w:pStyle w:val="979"/>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rFonts w:hint="eastAsia"/>
          <w:b/>
          <w:bCs/>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九、细目报价表（给定格式）：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JSZC-320200-XWJC-G2025-0086</w:t>
      </w:r>
      <w:r/>
    </w:p>
    <w:tbl>
      <w:tblPr>
        <w:tblStyle w:val="693"/>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vAlign w:val="top"/>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 合同签订生效后</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                                              小写</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420"/>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 （</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bookmarkEnd w:id="194"/>
      <w:r/>
      <w:bookmarkEnd w:id="195"/>
      <w:r/>
      <w:bookmarkEnd w:id="196"/>
      <w:r/>
      <w:r/>
    </w:p>
    <w:p>
      <w:pPr>
        <w:rPr>
          <w:b/>
          <w:color w:val="000000" w:themeColor="text1"/>
          <w:sz w:val="30"/>
          <w:szCs w:val="30"/>
          <w:highlight w:val="none"/>
          <w14:textFill>
            <w14:solidFill>
              <w14:schemeClr w14:val="tx1"/>
            </w14:solidFill>
          </w14:textFill>
        </w:rPr>
        <w:outlineLvl w:val="0"/>
      </w:pPr>
      <w:r/>
      <w:bookmarkStart w:id="198" w:name="_Toc120614284"/>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JSZC-320200-XWJC-G2025-0086</w:t>
      </w:r>
      <w:r/>
    </w:p>
    <w:tbl>
      <w:tblPr>
        <w:tblStyle w:val="693"/>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bookmarkEnd w:id="186"/>
      <w:r/>
      <w:bookmarkEnd w:id="187"/>
      <w:r/>
      <w:bookmarkEnd w:id="198"/>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（1）本表不得删除；</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（2）如无任何技术偏离，请于本表 “偏离说明”中注明“无偏离”；</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（3）如有技术偏离项，请于本表中列明偏离内容，如需要可自行延长，其余无偏离内容不须赘述。</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（4）投标人应当根据“采购需求”的内容在上表中逐条填写。</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十一  《采购需求》中如有要求须提供的证明文件</w:t>
      </w:r>
      <w:r/>
    </w:p>
    <w:p>
      <w:pPr>
        <w:spacing w:line="85" w:lineRule="atLeast"/>
        <w:rPr>
          <w:rFonts w:hint="eastAsia" w:ascii="宋体" w:hAnsi="宋体" w:cs="宋体"/>
          <w:b/>
          <w:bCs/>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b/>
          <w:color w:val="000000" w:themeColor="text1"/>
          <w:sz w:val="30"/>
          <w:highlight w:val="none"/>
          <w14:textFill>
            <w14:solidFill>
              <w14:schemeClr w14:val="tx1"/>
            </w14:solidFill>
          </w14:textFill>
        </w:rPr>
        <w:t xml:space="preserve">1.</w:t>
      </w:r>
      <w:r>
        <w:rPr>
          <w:rFonts w:ascii="宋体" w:hAnsi="宋体" w:cs="宋体"/>
          <w:b/>
          <w:color w:val="000000" w:themeColor="text1"/>
          <w:sz w:val="30"/>
          <w:highlight w:val="non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spacing w:line="360" w:lineRule="auto"/>
        <w:rPr>
          <w:rFonts w:hint="eastAsia" w:ascii="黑体" w:hAnsi="黑体" w:eastAsia="黑体"/>
          <w:color w:val="000000" w:themeColor="text1"/>
          <w:sz w:val="28"/>
          <w:szCs w:val="28"/>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themeColor="text1"/>
          <w:sz w:val="30"/>
          <w:szCs w:val="30"/>
          <w:highlight w:val="none"/>
          <w14:textFill>
            <w14:solidFill>
              <w14:schemeClr w14:val="tx1"/>
            </w14:solidFill>
          </w14:textFill>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江南大学附属医院复合手术室（移动CT）项目</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宋体" w:hAnsi="宋体"/>
          <w:color w:val="000000" w:themeColor="text1"/>
          <w:sz w:val="24"/>
          <w:szCs w:val="24"/>
          <w:highlight w:val="none"/>
          <w:u w:val="single"/>
          <w:lang w:eastAsia="zh-CN"/>
          <w14:textFill>
            <w14:solidFill>
              <w14:schemeClr w14:val="tx1"/>
            </w14:solidFill>
          </w14:textFill>
        </w:rPr>
        <w:t xml:space="preserve">JSZC-320200-XWJC-G2025-0086</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、我方兹授予（投标供应商名称）全权办理和履行上述我方为完成上述各点所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事宜，且有替换或撤销或另行授权的权利。兹确认（投标供应商名称）或正式授权代表依此合法办理一切事宜。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14:textFill>
            <w14:solidFill>
              <w14:schemeClr w14:val="tx1"/>
            </w14:solidFill>
          </w14:textFill>
        </w:rPr>
        <w:t xml:space="preserve">签署本文件，（投标供应商名称）于 </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14:textFill>
            <w14:solidFill>
              <w14:schemeClr w14:val="tx1"/>
            </w14:solidFill>
          </w14:textFill>
        </w:rPr>
        <w:t xml:space="preserve">接受此件，以此为证。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560"/>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pStyle w:val="70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5"/>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b/>
          <w:color w:val="000000" w:themeColor="text1"/>
          <w:sz w:val="30"/>
          <w:szCs w:val="30"/>
          <w:highlight w:val="none"/>
          <w14:textFill>
            <w14:solidFill>
              <w14:schemeClr w14:val="tx1"/>
            </w14:solidFill>
          </w14:textFill>
        </w:rPr>
        <w:t xml:space="preserve">（给定格式）：</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投标人名称（盖章）：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日期：</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hint="eastAsia"/>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4.</w:t>
      </w:r>
      <w:r>
        <w:rPr>
          <w:rFonts w:hint="eastAsia"/>
          <w:b/>
          <w:color w:val="000000" w:themeColor="text1"/>
          <w:sz w:val="30"/>
          <w:szCs w:val="30"/>
          <w:highlight w:val="none"/>
          <w:lang w:val="en-US" w:eastAsia="zh-CN"/>
          <w14:textFill>
            <w14:solidFill>
              <w14:schemeClr w14:val="tx1"/>
            </w14:solidFill>
          </w14:textFill>
        </w:rPr>
        <w:t xml:space="preserve">耗材易耗品及维修配件明细表</w:t>
      </w:r>
      <w:r>
        <w:rPr>
          <w:rFonts w:hint="eastAsia"/>
          <w:b/>
          <w:color w:val="000000" w:themeColor="text1"/>
          <w:sz w:val="30"/>
          <w:szCs w:val="30"/>
          <w:highlight w:val="non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lang w:val="en-US" w:eastAsia="zh-CN"/>
          <w14:textFill>
            <w14:solidFill>
              <w14:schemeClr w14:val="tx1"/>
            </w14:solidFill>
          </w14:textFill>
        </w:rPr>
        <w:t xml:space="preserve">耗材易耗品及维修配件明细表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bl>
      <w:tblPr>
        <w:tblStyle w:val="732"/>
        <w:tblW w:w="47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1284"/>
        <w:gridCol w:w="993"/>
        <w:gridCol w:w="1006"/>
        <w:gridCol w:w="1066"/>
        <w:gridCol w:w="712"/>
        <w:gridCol w:w="1012"/>
        <w:gridCol w:w="1232"/>
        <w:gridCol w:w="1307"/>
      </w:tblGrid>
      <w:tr>
        <w:trPr>
          <w:trHeight w:val="297"/>
        </w:trPr>
        <w:tc>
          <w:tcPr>
            <w:tcW w:w="521" w:type="pct"/>
            <w:textDirection w:val="lrTb"/>
            <w:noWrap w:val="false"/>
          </w:tcPr>
          <w:p>
            <w:pPr>
              <w:jc w:val="center"/>
              <w:rPr>
                <w:rFonts w:hint="eastAsia" w:ascii="黑体" w:hAnsi="华文中宋" w:eastAsia="黑体"/>
                <w:bCs/>
                <w:color w:val="000000" w:themeColor="text1"/>
                <w:sz w:val="24"/>
                <w:szCs w:val="24"/>
                <w:highlight w:val="none"/>
                <w14:textFill>
                  <w14:solidFill>
                    <w14:schemeClr w14:val="tx1"/>
                  </w14:solidFill>
                </w14:textFill>
              </w:rPr>
            </w:pPr>
            <w:r>
              <w:rPr>
                <w:rFonts w:hint="eastAsia" w:ascii="黑体" w:hAnsi="华文中宋" w:eastAsia="黑体"/>
                <w:bCs/>
                <w:color w:val="000000" w:themeColor="text1"/>
                <w:sz w:val="24"/>
                <w:szCs w:val="24"/>
                <w:highlight w:val="none"/>
                <w14:textFill>
                  <w14:solidFill>
                    <w14:schemeClr w14:val="tx1"/>
                  </w14:solidFill>
                </w14:textFill>
              </w:rPr>
              <w:t xml:space="preserve">序号</w:t>
            </w:r>
            <w:r/>
          </w:p>
        </w:tc>
        <w:tc>
          <w:tcPr>
            <w:tcW w:w="667"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配件名称</w:t>
            </w:r>
            <w:r/>
          </w:p>
        </w:tc>
        <w:tc>
          <w:tcPr>
            <w:tcW w:w="516"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品牌</w:t>
            </w:r>
            <w:r/>
          </w:p>
        </w:tc>
        <w:tc>
          <w:tcPr>
            <w:tcW w:w="523"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型号</w:t>
            </w:r>
            <w:r/>
          </w:p>
        </w:tc>
        <w:tc>
          <w:tcPr>
            <w:tcW w:w="554"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规格</w:t>
            </w:r>
            <w:r/>
          </w:p>
        </w:tc>
        <w:tc>
          <w:tcPr>
            <w:tcW w:w="370"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单位</w:t>
            </w:r>
            <w:r/>
          </w:p>
        </w:tc>
        <w:tc>
          <w:tcPr>
            <w:tcW w:w="526" w:type="pct"/>
            <w:textDirection w:val="lrTb"/>
            <w:noWrap w:val="false"/>
          </w:tcPr>
          <w:p>
            <w:pPr>
              <w:jc w:val="center"/>
              <w:rPr>
                <w:rFonts w:hint="default" w:ascii="黑体" w:hAnsi="华文中宋" w:eastAsia="黑体"/>
                <w:bCs/>
                <w:color w:val="000000" w:themeColor="text1"/>
                <w:sz w:val="24"/>
                <w:szCs w:val="24"/>
                <w:highlight w:val="none"/>
                <w:lang w:val="en-US"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中标产品编码</w:t>
            </w:r>
            <w:r/>
          </w:p>
        </w:tc>
        <w:tc>
          <w:tcPr>
            <w:tcW w:w="640"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中标价格</w:t>
            </w:r>
            <w:r/>
          </w:p>
        </w:tc>
        <w:tc>
          <w:tcPr>
            <w:tcW w:w="679" w:type="pct"/>
            <w:textDirection w:val="lrTb"/>
            <w:noWrap w:val="false"/>
          </w:tcPr>
          <w:p>
            <w:pPr>
              <w:jc w:val="center"/>
              <w:rPr>
                <w:rFonts w:hint="eastAsia" w:ascii="黑体" w:hAnsi="华文中宋" w:eastAsia="黑体"/>
                <w:bCs/>
                <w:color w:val="000000" w:themeColor="text1"/>
                <w:sz w:val="24"/>
                <w:szCs w:val="24"/>
                <w:highlight w:val="none"/>
                <w:lang w:val="en-US"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成交价格</w:t>
            </w:r>
            <w:r/>
          </w:p>
        </w:tc>
      </w:tr>
      <w:tr>
        <w:trPr/>
        <w:tc>
          <w:tcPr>
            <w:tcW w:w="521"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1</w:t>
            </w:r>
            <w:r/>
          </w:p>
        </w:tc>
        <w:tc>
          <w:tcPr>
            <w:tcW w:w="667"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1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3"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54"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37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4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79"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r>
      <w:tr>
        <w:trPr/>
        <w:tc>
          <w:tcPr>
            <w:tcW w:w="521"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2</w:t>
            </w:r>
            <w:r/>
          </w:p>
        </w:tc>
        <w:tc>
          <w:tcPr>
            <w:tcW w:w="667"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1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3"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54"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37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4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79"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r>
      <w:tr>
        <w:trPr/>
        <w:tc>
          <w:tcPr>
            <w:tcW w:w="521"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3</w:t>
            </w:r>
            <w:r/>
          </w:p>
        </w:tc>
        <w:tc>
          <w:tcPr>
            <w:tcW w:w="667"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1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3"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54"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37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4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79"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r>
    </w:tbl>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ind w:firstLine="1502"/>
        <w:rPr>
          <w:rFonts w:ascii="黑体" w:eastAsia="黑体" w:cs="黑体"/>
          <w:color w:val="000000" w:themeColor="text1"/>
          <w:sz w:val="28"/>
          <w:szCs w:val="28"/>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法定代表人或法定代表人授权代表CA签章：</w:t>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hint="eastAsia" w:ascii="黑体" w:eastAsia="黑体" w:cs="黑体"/>
          <w:color w:val="000000" w:themeColor="text1"/>
          <w:sz w:val="28"/>
          <w:szCs w:val="28"/>
          <w:highlight w:val="none"/>
          <w14:textFill>
            <w14:solidFill>
              <w14:schemeClr w14:val="tx1"/>
            </w14:solidFill>
          </w14:textFill>
        </w:rPr>
        <w:t xml:space="preserve">5.</w:t>
      </w:r>
      <w:r>
        <w:rPr>
          <w:rFonts w:hint="eastAsia"/>
          <w:b/>
          <w:color w:val="000000" w:themeColor="text1"/>
          <w:sz w:val="30"/>
          <w:szCs w:val="30"/>
          <w:highlight w:val="none"/>
          <w14:textFill>
            <w14:solidFill>
              <w14:schemeClr w14:val="tx1"/>
            </w14:solidFill>
          </w14:textFill>
        </w:rPr>
        <w:t xml:space="preserve"> 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hint="eastAsia"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ind w:firstLine="504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制造</w:t>
      </w:r>
      <w:r>
        <w:rPr>
          <w:rFonts w:ascii="宋体" w:hAnsi="宋体" w:cs="宋体"/>
          <w:color w:val="000000" w:themeColor="text1"/>
          <w:sz w:val="24"/>
          <w:szCs w:val="24"/>
          <w:highlight w:val="none"/>
          <w14:textFill>
            <w14:solidFill>
              <w14:schemeClr w14:val="tx1"/>
            </w14:solidFill>
          </w14:textFill>
        </w:rPr>
        <w:t xml:space="preserve">厂家法定（授权）代表人： </w:t>
      </w:r>
      <w:r>
        <w:rPr>
          <w:rFonts w:ascii="宋体" w:hAnsi="宋体" w:cs="宋体"/>
          <w:color w:val="000000" w:themeColor="text1"/>
          <w:sz w:val="24"/>
          <w:szCs w:val="24"/>
          <w:highlight w:val="none"/>
          <w14:textFill>
            <w14:solidFill>
              <w14:schemeClr w14:val="tx1"/>
            </w14:solidFill>
          </w14:textFill>
        </w:rPr>
        <w:br/>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日期：</w:t>
      </w:r>
      <w:r/>
    </w:p>
    <w:p>
      <w:pPr>
        <w:ind w:firstLine="336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r>
      <w:fldChar w:fldCharType="begin"/>
    </w:r>
    <w:r>
      <w:instrText xml:space="preserve">PAGE \* MERGEFORMAT</w:instrText>
    </w:r>
    <w:r>
      <w:fldChar w:fldCharType="separate"/>
    </w:r>
    <w:r>
      <w:t xml:space="preserve">34</w:t>
    </w:r>
    <w:r>
      <w:fldChar w:fldCharType="end"/>
    </w:r>
    <w:r/>
  </w:p>
  <w:p>
    <w:pPr>
      <w:pStyle w:val="7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12"/>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1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688"/>
      <w:isLgl w:val="false"/>
      <w:suff w:val="nothing"/>
      <w:lvlText w:val=""/>
      <w:lvlJc w:val="left"/>
      <w:pPr>
        <w:ind w:left="5528" w:firstLine="0"/>
      </w:pPr>
      <w:rPr>
        <w:rFonts w:hint="eastAsia"/>
      </w:rPr>
    </w:lvl>
    <w:lvl w:ilvl="6">
      <w:start w:val="1"/>
      <w:numFmt w:val="decimal"/>
      <w:pStyle w:val="689"/>
      <w:isLgl w:val="false"/>
      <w:suff w:val="nothing"/>
      <w:lvlText w:val=""/>
      <w:lvlJc w:val="left"/>
      <w:pPr>
        <w:ind w:left="5528" w:firstLine="0"/>
      </w:pPr>
      <w:rPr>
        <w:rFonts w:hint="eastAsia"/>
      </w:rPr>
    </w:lvl>
    <w:lvl w:ilvl="7">
      <w:start w:val="1"/>
      <w:numFmt w:val="decimal"/>
      <w:pStyle w:val="690"/>
      <w:isLgl w:val="false"/>
      <w:suff w:val="nothing"/>
      <w:lvlText w:val=""/>
      <w:lvlJc w:val="left"/>
      <w:pPr>
        <w:ind w:left="5528" w:firstLine="0"/>
      </w:pPr>
      <w:rPr>
        <w:rFonts w:hint="eastAsia"/>
      </w:rPr>
    </w:lvl>
    <w:lvl w:ilvl="8">
      <w:start w:val="1"/>
      <w:numFmt w:val="decimal"/>
      <w:pStyle w:val="691"/>
      <w:isLgl w:val="false"/>
      <w:suff w:val="nothing"/>
      <w:lvlText w:val=""/>
      <w:lvlJc w:val="left"/>
      <w:pPr>
        <w:ind w:left="5528"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3">
    <w:name w:val="Heading 1"/>
    <w:basedOn w:val="682"/>
    <w:next w:val="682"/>
    <w:link w:val="918"/>
    <w:uiPriority w:val="0"/>
    <w:qFormat/>
    <w:pPr>
      <w:jc w:val="center"/>
      <w:keepNext/>
      <w:outlineLvl w:val="0"/>
    </w:pPr>
    <w:rPr>
      <w:rFonts w:ascii="楷体_GB2312" w:eastAsia="楷体_GB2312"/>
      <w:sz w:val="28"/>
      <w:szCs w:val="28"/>
    </w:rPr>
  </w:style>
  <w:style w:type="paragraph" w:styleId="684">
    <w:name w:val="Heading 2"/>
    <w:basedOn w:val="682"/>
    <w:next w:val="694"/>
    <w:link w:val="919"/>
    <w:uiPriority w:val="99"/>
    <w:qFormat/>
    <w:pPr>
      <w:jc w:val="center"/>
      <w:keepLines/>
      <w:keepNext/>
      <w:spacing w:before="260" w:after="260" w:line="416" w:lineRule="auto"/>
      <w:outlineLvl w:val="1"/>
    </w:pPr>
    <w:rPr>
      <w:rFonts w:ascii="Arial" w:hAnsi="Arial" w:eastAsia="幼圆"/>
      <w:b/>
      <w:bCs/>
      <w:sz w:val="44"/>
      <w:szCs w:val="44"/>
    </w:rPr>
  </w:style>
  <w:style w:type="paragraph" w:styleId="685">
    <w:name w:val="Heading 3"/>
    <w:basedOn w:val="682"/>
    <w:next w:val="694"/>
    <w:link w:val="921"/>
    <w:uiPriority w:val="99"/>
    <w:qFormat/>
    <w:pPr>
      <w:keepLines/>
      <w:keepNext/>
      <w:spacing w:before="260" w:after="260" w:line="416" w:lineRule="auto"/>
      <w:outlineLvl w:val="2"/>
    </w:pPr>
    <w:rPr>
      <w:b/>
      <w:bCs/>
      <w:sz w:val="32"/>
      <w:szCs w:val="32"/>
    </w:rPr>
  </w:style>
  <w:style w:type="paragraph" w:styleId="686">
    <w:name w:val="Heading 4"/>
    <w:basedOn w:val="682"/>
    <w:next w:val="694"/>
    <w:link w:val="922"/>
    <w:uiPriority w:val="99"/>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94"/>
    <w:link w:val="923"/>
    <w:uiPriority w:val="99"/>
    <w:qFormat/>
    <w:pPr>
      <w:keepNext/>
      <w:outlineLvl w:val="4"/>
    </w:pPr>
    <w:rPr>
      <w:rFonts w:ascii="宋体"/>
      <w:color w:val="000000"/>
      <w:sz w:val="28"/>
      <w:szCs w:val="28"/>
    </w:rPr>
  </w:style>
  <w:style w:type="paragraph" w:styleId="688">
    <w:name w:val="Heading 6"/>
    <w:basedOn w:val="682"/>
    <w:next w:val="682"/>
    <w:link w:val="92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Heading 7"/>
    <w:basedOn w:val="682"/>
    <w:next w:val="682"/>
    <w:link w:val="925"/>
    <w:uiPriority w:val="0"/>
    <w:qFormat/>
    <w:pPr>
      <w:numPr>
        <w:ilvl w:val="6"/>
        <w:numId w:val="1"/>
      </w:numPr>
      <w:keepLines/>
      <w:keepNext/>
      <w:spacing w:before="240" w:after="64" w:line="320" w:lineRule="auto"/>
      <w:outlineLvl w:val="6"/>
    </w:pPr>
    <w:rPr>
      <w:b/>
      <w:bCs/>
      <w:sz w:val="24"/>
      <w:szCs w:val="24"/>
    </w:rPr>
  </w:style>
  <w:style w:type="paragraph" w:styleId="690">
    <w:name w:val="Heading 8"/>
    <w:basedOn w:val="682"/>
    <w:next w:val="682"/>
    <w:link w:val="9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Heading 9"/>
    <w:basedOn w:val="682"/>
    <w:next w:val="682"/>
    <w:link w:val="927"/>
    <w:uiPriority w:val="0"/>
    <w:qFormat/>
    <w:pPr>
      <w:numPr>
        <w:ilvl w:val="8"/>
        <w:numId w:val="1"/>
      </w:numPr>
      <w:keepLines/>
      <w:keepNext/>
      <w:spacing w:before="240" w:after="64" w:line="320" w:lineRule="auto"/>
      <w:outlineLvl w:val="8"/>
    </w:pPr>
    <w:rPr>
      <w:rFonts w:ascii="Arial" w:hAnsi="Arial" w:eastAsia="黑体"/>
      <w:sz w:val="20"/>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link w:val="920"/>
    <w:uiPriority w:val="99"/>
    <w:qFormat/>
    <w:pPr>
      <w:ind w:firstLine="420"/>
    </w:pPr>
    <w:rPr>
      <w:sz w:val="20"/>
    </w:rPr>
  </w:style>
  <w:style w:type="paragraph" w:styleId="695">
    <w:name w:val="List 3"/>
    <w:basedOn w:val="682"/>
    <w:uiPriority w:val="0"/>
    <w:qFormat/>
    <w:pPr>
      <w:ind w:left="100" w:hanging="200"/>
    </w:pPr>
  </w:style>
  <w:style w:type="paragraph" w:styleId="696">
    <w:name w:val="toc 7"/>
    <w:basedOn w:val="682"/>
    <w:next w:val="682"/>
    <w:uiPriority w:val="0"/>
    <w:semiHidden/>
    <w:qFormat/>
    <w:pPr>
      <w:ind w:left="1260"/>
      <w:jc w:val="left"/>
    </w:pPr>
  </w:style>
  <w:style w:type="paragraph" w:styleId="697">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2"/>
    <w:link w:val="928"/>
    <w:uiPriority w:val="99"/>
    <w:semiHidden/>
    <w:qFormat/>
    <w:pPr>
      <w:shd w:val="clear" w:color="auto" w:fill="000080"/>
    </w:pPr>
    <w:rPr>
      <w:sz w:val="20"/>
    </w:rPr>
  </w:style>
  <w:style w:type="paragraph" w:styleId="699">
    <w:name w:val="annotation text"/>
    <w:basedOn w:val="682"/>
    <w:link w:val="929"/>
    <w:uiPriority w:val="99"/>
    <w:qFormat/>
    <w:pPr>
      <w:jc w:val="left"/>
    </w:pPr>
    <w:rPr>
      <w:sz w:val="20"/>
    </w:rPr>
  </w:style>
  <w:style w:type="paragraph" w:styleId="700">
    <w:name w:val="Body Text 3"/>
    <w:basedOn w:val="682"/>
    <w:link w:val="930"/>
    <w:uiPriority w:val="0"/>
    <w:qFormat/>
    <w:rPr>
      <w:rFonts w:ascii="仿宋_GB2312" w:hAnsi="Arial" w:eastAsia="仿宋_GB2312"/>
      <w:sz w:val="32"/>
      <w:szCs w:val="32"/>
    </w:rPr>
  </w:style>
  <w:style w:type="paragraph" w:styleId="701">
    <w:name w:val="Body Text"/>
    <w:basedOn w:val="682"/>
    <w:link w:val="931"/>
    <w:uiPriority w:val="0"/>
    <w:qFormat/>
    <w:rPr>
      <w:rFonts w:ascii="楷体_GB2312" w:hAnsi="Arial" w:eastAsia="楷体_GB2312"/>
      <w:sz w:val="28"/>
      <w:szCs w:val="28"/>
    </w:rPr>
  </w:style>
  <w:style w:type="paragraph" w:styleId="702">
    <w:name w:val="Body Text Indent"/>
    <w:basedOn w:val="682"/>
    <w:link w:val="932"/>
    <w:uiPriority w:val="0"/>
    <w:qFormat/>
    <w:pPr>
      <w:ind w:firstLine="645"/>
    </w:pPr>
    <w:rPr>
      <w:rFonts w:ascii="楷体_GB2312" w:eastAsia="楷体_GB2312"/>
      <w:sz w:val="32"/>
      <w:szCs w:val="32"/>
    </w:rPr>
  </w:style>
  <w:style w:type="paragraph" w:styleId="703">
    <w:name w:val="List 2"/>
    <w:basedOn w:val="682"/>
    <w:uiPriority w:val="0"/>
    <w:qFormat/>
    <w:pPr>
      <w:ind w:left="100" w:hanging="200"/>
    </w:pPr>
  </w:style>
  <w:style w:type="paragraph" w:styleId="704">
    <w:name w:val="toc 5"/>
    <w:basedOn w:val="682"/>
    <w:next w:val="682"/>
    <w:uiPriority w:val="0"/>
    <w:semiHidden/>
    <w:qFormat/>
    <w:pPr>
      <w:ind w:left="840"/>
      <w:jc w:val="left"/>
    </w:pPr>
  </w:style>
  <w:style w:type="paragraph" w:styleId="705">
    <w:name w:val="toc 3"/>
    <w:basedOn w:val="682"/>
    <w:next w:val="682"/>
    <w:uiPriority w:val="0"/>
    <w:semiHidden/>
    <w:qFormat/>
    <w:pPr>
      <w:ind w:left="420"/>
      <w:jc w:val="left"/>
    </w:pPr>
    <w:rPr>
      <w:i/>
      <w:iCs/>
      <w:szCs w:val="24"/>
    </w:rPr>
  </w:style>
  <w:style w:type="paragraph" w:styleId="706">
    <w:name w:val="Plain Text"/>
    <w:basedOn w:val="682"/>
    <w:link w:val="933"/>
    <w:uiPriority w:val="0"/>
    <w:qFormat/>
    <w:rPr>
      <w:rFonts w:ascii="宋体" w:hAnsi="Courier New"/>
      <w:sz w:val="20"/>
    </w:rPr>
  </w:style>
  <w:style w:type="paragraph" w:styleId="707">
    <w:name w:val="toc 8"/>
    <w:basedOn w:val="682"/>
    <w:next w:val="682"/>
    <w:uiPriority w:val="0"/>
    <w:semiHidden/>
    <w:qFormat/>
    <w:pPr>
      <w:ind w:left="1470"/>
      <w:jc w:val="left"/>
    </w:pPr>
  </w:style>
  <w:style w:type="paragraph" w:styleId="708">
    <w:name w:val="Date"/>
    <w:basedOn w:val="682"/>
    <w:next w:val="682"/>
    <w:link w:val="934"/>
    <w:uiPriority w:val="99"/>
    <w:qFormat/>
    <w:rPr>
      <w:sz w:val="24"/>
      <w:szCs w:val="24"/>
    </w:rPr>
  </w:style>
  <w:style w:type="paragraph" w:styleId="709">
    <w:name w:val="Body Text Indent 2"/>
    <w:basedOn w:val="682"/>
    <w:link w:val="935"/>
    <w:uiPriority w:val="99"/>
    <w:qFormat/>
    <w:pPr>
      <w:ind w:left="630" w:firstLine="645"/>
    </w:pPr>
    <w:rPr>
      <w:rFonts w:ascii="Arial" w:hAnsi="Arial" w:eastAsia="仿宋_GB2312"/>
      <w:sz w:val="32"/>
      <w:szCs w:val="32"/>
    </w:rPr>
  </w:style>
  <w:style w:type="paragraph" w:styleId="710">
    <w:name w:val="endnote text"/>
    <w:basedOn w:val="682"/>
    <w:link w:val="916"/>
    <w:uiPriority w:val="99"/>
    <w:semiHidden/>
    <w:unhideWhenUsed/>
    <w:qFormat/>
    <w:rPr>
      <w:sz w:val="20"/>
    </w:rPr>
  </w:style>
  <w:style w:type="paragraph" w:styleId="711">
    <w:name w:val="Balloon Text"/>
    <w:basedOn w:val="682"/>
    <w:link w:val="936"/>
    <w:uiPriority w:val="99"/>
    <w:qFormat/>
    <w:rPr>
      <w:sz w:val="18"/>
      <w:szCs w:val="18"/>
    </w:rPr>
  </w:style>
  <w:style w:type="paragraph" w:styleId="712">
    <w:name w:val="Footer"/>
    <w:basedOn w:val="682"/>
    <w:link w:val="937"/>
    <w:uiPriority w:val="99"/>
    <w:qFormat/>
    <w:pPr>
      <w:jc w:val="left"/>
      <w:tabs>
        <w:tab w:val="center" w:pos="4153" w:leader="none"/>
        <w:tab w:val="right" w:pos="8306" w:leader="none"/>
      </w:tabs>
    </w:pPr>
    <w:rPr>
      <w:sz w:val="18"/>
      <w:szCs w:val="18"/>
    </w:rPr>
  </w:style>
  <w:style w:type="paragraph" w:styleId="713">
    <w:name w:val="envelope return"/>
    <w:basedOn w:val="682"/>
    <w:uiPriority w:val="99"/>
    <w:unhideWhenUsed/>
    <w:qFormat/>
    <w:rPr>
      <w:rFonts w:ascii="Arial" w:hAnsi="Arial"/>
      <w:szCs w:val="20"/>
    </w:rPr>
  </w:style>
  <w:style w:type="paragraph" w:styleId="714">
    <w:name w:val="Header"/>
    <w:basedOn w:val="682"/>
    <w:link w:val="938"/>
    <w:uiPriority w:val="99"/>
    <w:qFormat/>
    <w:pPr>
      <w:jc w:val="center"/>
      <w:tabs>
        <w:tab w:val="center" w:pos="4153" w:leader="none"/>
        <w:tab w:val="right" w:pos="8306" w:leader="none"/>
      </w:tabs>
      <w:pBdr>
        <w:bottom w:val="single" w:color="000000" w:sz="6" w:space="1"/>
      </w:pBdr>
    </w:pPr>
    <w:rPr>
      <w:sz w:val="18"/>
      <w:szCs w:val="18"/>
    </w:rPr>
  </w:style>
  <w:style w:type="paragraph" w:styleId="715">
    <w:name w:val="toc 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716">
    <w:name w:val="toc 4"/>
    <w:basedOn w:val="682"/>
    <w:next w:val="682"/>
    <w:uiPriority w:val="0"/>
    <w:semiHidden/>
    <w:qFormat/>
    <w:pPr>
      <w:ind w:left="630"/>
      <w:jc w:val="left"/>
    </w:pPr>
  </w:style>
  <w:style w:type="paragraph" w:styleId="717">
    <w:name w:val="Subtitle"/>
    <w:basedOn w:val="682"/>
    <w:next w:val="682"/>
    <w:link w:val="782"/>
    <w:uiPriority w:val="0"/>
    <w:qFormat/>
    <w:pPr>
      <w:spacing w:before="200" w:after="200"/>
    </w:pPr>
    <w:rPr>
      <w:sz w:val="24"/>
      <w:szCs w:val="24"/>
    </w:rPr>
  </w:style>
  <w:style w:type="paragraph" w:styleId="718">
    <w:name w:val="List"/>
    <w:basedOn w:val="682"/>
    <w:uiPriority w:val="99"/>
    <w:qFormat/>
    <w:pPr>
      <w:ind w:left="200" w:hanging="200"/>
    </w:pPr>
  </w:style>
  <w:style w:type="paragraph" w:styleId="719">
    <w:name w:val="footnote text"/>
    <w:basedOn w:val="682"/>
    <w:link w:val="915"/>
    <w:uiPriority w:val="99"/>
    <w:semiHidden/>
    <w:unhideWhenUsed/>
    <w:qFormat/>
    <w:pPr>
      <w:spacing w:after="40"/>
    </w:pPr>
    <w:rPr>
      <w:sz w:val="18"/>
    </w:rPr>
  </w:style>
  <w:style w:type="paragraph" w:styleId="720">
    <w:name w:val="toc 6"/>
    <w:basedOn w:val="682"/>
    <w:next w:val="682"/>
    <w:uiPriority w:val="0"/>
    <w:semiHidden/>
    <w:qFormat/>
    <w:pPr>
      <w:ind w:left="1050"/>
      <w:jc w:val="left"/>
    </w:pPr>
  </w:style>
  <w:style w:type="paragraph" w:styleId="721">
    <w:name w:val="Body Text Indent 3"/>
    <w:basedOn w:val="682"/>
    <w:link w:val="939"/>
    <w:uiPriority w:val="99"/>
    <w:qFormat/>
    <w:pPr>
      <w:ind w:left="645" w:firstLine="645"/>
    </w:pPr>
    <w:rPr>
      <w:rFonts w:ascii="Arial" w:hAnsi="Arial" w:eastAsia="仿宋_GB2312"/>
      <w:color w:val="ffff00"/>
      <w:sz w:val="32"/>
      <w:szCs w:val="32"/>
    </w:rPr>
  </w:style>
  <w:style w:type="paragraph" w:styleId="722">
    <w:name w:val="table of figures"/>
    <w:basedOn w:val="682"/>
    <w:next w:val="682"/>
    <w:uiPriority w:val="0"/>
    <w:semiHidden/>
    <w:qFormat/>
    <w:pPr>
      <w:ind w:left="840" w:hanging="420"/>
    </w:pPr>
  </w:style>
  <w:style w:type="paragraph" w:styleId="723">
    <w:name w:val="toc 2"/>
    <w:basedOn w:val="682"/>
    <w:next w:val="682"/>
    <w:uiPriority w:val="0"/>
    <w:semiHidden/>
    <w:qFormat/>
    <w:pPr>
      <w:ind w:left="210"/>
      <w:jc w:val="left"/>
    </w:pPr>
    <w:rPr>
      <w:smallCaps/>
      <w:szCs w:val="24"/>
    </w:rPr>
  </w:style>
  <w:style w:type="paragraph" w:styleId="724">
    <w:name w:val="toc 9"/>
    <w:basedOn w:val="682"/>
    <w:next w:val="682"/>
    <w:uiPriority w:val="0"/>
    <w:semiHidden/>
    <w:qFormat/>
    <w:pPr>
      <w:ind w:left="1680"/>
      <w:jc w:val="left"/>
    </w:pPr>
  </w:style>
  <w:style w:type="paragraph" w:styleId="725">
    <w:name w:val="Body Text 2"/>
    <w:basedOn w:val="682"/>
    <w:link w:val="940"/>
    <w:uiPriority w:val="0"/>
    <w:qFormat/>
    <w:pPr>
      <w:jc w:val="center"/>
      <w:widowControl/>
    </w:pPr>
    <w:rPr>
      <w:rFonts w:ascii="楷体_GB2312" w:eastAsia="楷体_GB2312"/>
      <w:sz w:val="28"/>
      <w:szCs w:val="28"/>
    </w:rPr>
  </w:style>
  <w:style w:type="paragraph" w:styleId="726">
    <w:name w:val="Normal (Web)"/>
    <w:basedOn w:val="682"/>
    <w:uiPriority w:val="0"/>
    <w:qFormat/>
    <w:pPr>
      <w:jc w:val="left"/>
      <w:spacing w:before="100" w:beforeAutospacing="1" w:after="100" w:afterAutospacing="1"/>
      <w:widowControl/>
    </w:pPr>
    <w:rPr>
      <w:rFonts w:ascii="宋体" w:hAnsi="宋体" w:cs="宋体"/>
      <w:sz w:val="24"/>
      <w:szCs w:val="24"/>
    </w:rPr>
  </w:style>
  <w:style w:type="paragraph" w:styleId="727">
    <w:name w:val="index 1"/>
    <w:basedOn w:val="682"/>
    <w:next w:val="682"/>
    <w:uiPriority w:val="0"/>
    <w:semiHidden/>
    <w:qFormat/>
    <w:pPr>
      <w:spacing w:line="240" w:lineRule="atLeast"/>
    </w:pPr>
    <w:rPr>
      <w:b/>
      <w:bCs/>
    </w:rPr>
  </w:style>
  <w:style w:type="paragraph" w:styleId="728">
    <w:name w:val="Title"/>
    <w:basedOn w:val="682"/>
    <w:next w:val="682"/>
    <w:link w:val="781"/>
    <w:uiPriority w:val="0"/>
    <w:qFormat/>
    <w:pPr>
      <w:contextualSpacing/>
      <w:spacing w:before="300" w:after="200"/>
    </w:pPr>
    <w:rPr>
      <w:sz w:val="48"/>
      <w:szCs w:val="48"/>
    </w:rPr>
  </w:style>
  <w:style w:type="paragraph" w:styleId="729">
    <w:name w:val="annotation subject"/>
    <w:basedOn w:val="699"/>
    <w:next w:val="699"/>
    <w:link w:val="941"/>
    <w:uiPriority w:val="0"/>
    <w:qFormat/>
    <w:rPr>
      <w:b/>
      <w:bCs/>
    </w:rPr>
  </w:style>
  <w:style w:type="paragraph" w:styleId="730">
    <w:name w:val="Body Text First Indent"/>
    <w:basedOn w:val="682"/>
    <w:link w:val="942"/>
    <w:uiPriority w:val="0"/>
    <w:qFormat/>
    <w:pPr>
      <w:ind w:firstLine="200"/>
      <w:spacing w:line="360" w:lineRule="auto"/>
    </w:pPr>
    <w:rPr>
      <w:rFonts w:ascii="仿宋_GB2312" w:eastAsia="仿宋_GB2312"/>
      <w:sz w:val="30"/>
      <w:szCs w:val="30"/>
    </w:rPr>
  </w:style>
  <w:style w:type="paragraph" w:styleId="731">
    <w:name w:val="Body Text First Indent 2"/>
    <w:basedOn w:val="702"/>
    <w:link w:val="943"/>
    <w:uiPriority w:val="99"/>
    <w:qFormat/>
    <w:pPr>
      <w:ind w:firstLine="420"/>
      <w:spacing w:line="360" w:lineRule="auto"/>
    </w:pPr>
    <w:rPr>
      <w:rFonts w:ascii="宋体" w:hAnsi="宋体" w:eastAsia="宋体"/>
      <w:szCs w:val="20"/>
    </w:rPr>
  </w:style>
  <w:style w:type="table" w:styleId="732">
    <w:name w:val="Table Grid"/>
    <w:basedOn w:val="6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Strong"/>
    <w:uiPriority w:val="99"/>
    <w:qFormat/>
    <w:rPr>
      <w:b/>
      <w:bCs/>
    </w:rPr>
  </w:style>
  <w:style w:type="character" w:styleId="734">
    <w:name w:val="endnote reference"/>
    <w:uiPriority w:val="99"/>
    <w:semiHidden/>
    <w:unhideWhenUsed/>
    <w:qFormat/>
    <w:rPr>
      <w:vertAlign w:val="superscript"/>
    </w:rPr>
  </w:style>
  <w:style w:type="character" w:styleId="735">
    <w:name w:val="page number"/>
    <w:uiPriority w:val="99"/>
    <w:qFormat/>
  </w:style>
  <w:style w:type="character" w:styleId="736">
    <w:name w:val="FollowedHyperlink"/>
    <w:uiPriority w:val="99"/>
    <w:qFormat/>
    <w:rPr>
      <w:rFonts w:cs="Times New Roman"/>
      <w:color w:val="auto"/>
      <w:u w:val="none"/>
    </w:rPr>
  </w:style>
  <w:style w:type="character" w:styleId="737">
    <w:name w:val="Emphasis"/>
    <w:basedOn w:val="692"/>
    <w:uiPriority w:val="20"/>
    <w:qFormat/>
    <w:rPr>
      <w:i/>
    </w:rPr>
  </w:style>
  <w:style w:type="character" w:styleId="738">
    <w:name w:val="HTML Typewriter"/>
    <w:uiPriority w:val="99"/>
    <w:qFormat/>
    <w:rPr>
      <w:rFonts w:ascii="宋体" w:hAnsi="宋体" w:eastAsia="宋体" w:cs="宋体"/>
      <w:sz w:val="24"/>
      <w:szCs w:val="24"/>
    </w:rPr>
  </w:style>
  <w:style w:type="character" w:styleId="739">
    <w:name w:val="Hyperlink"/>
    <w:uiPriority w:val="99"/>
    <w:qFormat/>
    <w:rPr>
      <w:color w:val="0000ff"/>
      <w:u w:val="single"/>
    </w:rPr>
  </w:style>
  <w:style w:type="character" w:styleId="740">
    <w:name w:val="annotation reference"/>
    <w:uiPriority w:val="99"/>
    <w:qFormat/>
    <w:rPr>
      <w:sz w:val="21"/>
      <w:szCs w:val="21"/>
    </w:rPr>
  </w:style>
  <w:style w:type="character" w:styleId="741">
    <w:name w:val="footnote reference"/>
    <w:uiPriority w:val="99"/>
    <w:unhideWhenUsed/>
    <w:qFormat/>
    <w:rPr>
      <w:vertAlign w:val="superscript"/>
    </w:rPr>
  </w:style>
  <w:style w:type="table" w:styleId="742"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1" w:customStyle="1">
    <w:name w:val="TOC Heading"/>
    <w:uiPriority w:val="39"/>
    <w:unhideWhenUsed/>
    <w:qFormat/>
    <w:rPr>
      <w:rFonts w:hint="default" w:ascii="Times New Roman" w:hAnsi="Times New Roman" w:eastAsia="宋体" w:cs="Times New Roman"/>
    </w:rPr>
  </w:style>
  <w:style w:type="character" w:styleId="762" w:customStyle="1">
    <w:name w:val="Title Char"/>
    <w:basedOn w:val="692"/>
    <w:uiPriority w:val="10"/>
    <w:qFormat/>
    <w:rPr>
      <w:sz w:val="48"/>
      <w:szCs w:val="48"/>
    </w:rPr>
  </w:style>
  <w:style w:type="character" w:styleId="763" w:customStyle="1">
    <w:name w:val="Subtitle Char"/>
    <w:basedOn w:val="692"/>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标题1"/>
    <w:uiPriority w:val="39"/>
    <w:unhideWhenUsed/>
    <w:qFormat/>
    <w:rPr>
      <w:rFonts w:hint="default" w:ascii="Times New Roman" w:hAnsi="Times New Roman" w:eastAsia="宋体" w:cs="Times New Roman"/>
      <w:lang w:val="en-US" w:eastAsia="zh-CN" w:bidi="ar-SA"/>
    </w:rPr>
  </w:style>
  <w:style w:type="paragraph" w:styleId="769" w:customStyle="1">
    <w:name w:val="正文文本缩进1"/>
    <w:basedOn w:val="682"/>
    <w:uiPriority w:val="0"/>
    <w:qFormat/>
    <w:pPr>
      <w:ind w:firstLine="645"/>
    </w:pPr>
    <w:rPr>
      <w:rFonts w:ascii="楷体_GB2312" w:eastAsia="楷体_GB2312"/>
      <w:sz w:val="32"/>
      <w:szCs w:val="32"/>
      <w:lang w:eastAsia="en-US"/>
    </w:rPr>
  </w:style>
  <w:style w:type="character" w:styleId="770" w:customStyle="1">
    <w:name w:val="Heading 1 Char"/>
    <w:uiPriority w:val="9"/>
    <w:qFormat/>
    <w:rPr>
      <w:rFonts w:ascii="Arial" w:hAnsi="Arial" w:eastAsia="Arial" w:cs="Arial"/>
      <w:sz w:val="40"/>
      <w:szCs w:val="40"/>
    </w:rPr>
  </w:style>
  <w:style w:type="character" w:styleId="771" w:customStyle="1">
    <w:name w:val="Heading 2 Char"/>
    <w:uiPriority w:val="9"/>
    <w:qFormat/>
    <w:rPr>
      <w:rFonts w:ascii="Arial" w:hAnsi="Arial" w:eastAsia="Arial" w:cs="Arial"/>
      <w:sz w:val="34"/>
    </w:rPr>
  </w:style>
  <w:style w:type="character" w:styleId="772" w:customStyle="1">
    <w:name w:val="Heading 3 Char"/>
    <w:uiPriority w:val="9"/>
    <w:qFormat/>
    <w:rPr>
      <w:rFonts w:ascii="Arial" w:hAnsi="Arial" w:eastAsia="Arial" w:cs="Arial"/>
      <w:sz w:val="30"/>
      <w:szCs w:val="30"/>
    </w:rPr>
  </w:style>
  <w:style w:type="character" w:styleId="773" w:customStyle="1">
    <w:name w:val="Heading 4 Char"/>
    <w:uiPriority w:val="9"/>
    <w:qFormat/>
    <w:rPr>
      <w:rFonts w:ascii="Arial" w:hAnsi="Arial" w:eastAsia="Arial" w:cs="Arial"/>
      <w:b/>
      <w:bCs/>
      <w:sz w:val="26"/>
      <w:szCs w:val="26"/>
    </w:rPr>
  </w:style>
  <w:style w:type="character" w:styleId="774" w:customStyle="1">
    <w:name w:val="Heading 5 Char"/>
    <w:uiPriority w:val="9"/>
    <w:qFormat/>
    <w:rPr>
      <w:rFonts w:ascii="Arial" w:hAnsi="Arial" w:eastAsia="Arial" w:cs="Arial"/>
      <w:b/>
      <w:bCs/>
      <w:sz w:val="24"/>
      <w:szCs w:val="24"/>
    </w:rPr>
  </w:style>
  <w:style w:type="character" w:styleId="775" w:customStyle="1">
    <w:name w:val="Heading 6 Char"/>
    <w:uiPriority w:val="9"/>
    <w:qFormat/>
    <w:rPr>
      <w:rFonts w:ascii="Arial" w:hAnsi="Arial" w:eastAsia="Arial" w:cs="Arial"/>
      <w:b/>
      <w:bCs/>
      <w:sz w:val="22"/>
      <w:szCs w:val="22"/>
    </w:rPr>
  </w:style>
  <w:style w:type="character" w:styleId="776" w:customStyle="1">
    <w:name w:val="Heading 7 Char"/>
    <w:uiPriority w:val="9"/>
    <w:qFormat/>
    <w:rPr>
      <w:rFonts w:ascii="Arial" w:hAnsi="Arial" w:eastAsia="Arial" w:cs="Arial"/>
      <w:b/>
      <w:bCs/>
      <w:i/>
      <w:iCs/>
      <w:sz w:val="22"/>
      <w:szCs w:val="22"/>
    </w:rPr>
  </w:style>
  <w:style w:type="character" w:styleId="777" w:customStyle="1">
    <w:name w:val="Heading 8 Char"/>
    <w:uiPriority w:val="9"/>
    <w:qFormat/>
    <w:rPr>
      <w:rFonts w:ascii="Arial" w:hAnsi="Arial" w:eastAsia="Arial" w:cs="Arial"/>
      <w:i/>
      <w:iCs/>
      <w:sz w:val="22"/>
      <w:szCs w:val="22"/>
    </w:rPr>
  </w:style>
  <w:style w:type="character" w:styleId="778" w:customStyle="1">
    <w:name w:val="Heading 9 Char"/>
    <w:uiPriority w:val="9"/>
    <w:qFormat/>
    <w:rPr>
      <w:rFonts w:ascii="Arial" w:hAnsi="Arial" w:eastAsia="Arial" w:cs="Arial"/>
      <w:i/>
      <w:iCs/>
      <w:sz w:val="21"/>
      <w:szCs w:val="21"/>
    </w:rPr>
  </w:style>
  <w:style w:type="paragraph" w:styleId="779">
    <w:name w:val="List Paragraph"/>
    <w:basedOn w:val="682"/>
    <w:uiPriority w:val="34"/>
    <w:qFormat/>
    <w:pPr>
      <w:contextualSpacing/>
      <w:ind w:left="720"/>
      <w:jc w:val="left"/>
      <w:widowControl/>
    </w:pPr>
    <w:rPr>
      <w:rFonts w:ascii="Calibri" w:hAnsi="Calibri"/>
      <w:sz w:val="24"/>
      <w:szCs w:val="24"/>
      <w:lang w:eastAsia="en-US" w:bidi="en-US"/>
    </w:rPr>
  </w:style>
  <w:style w:type="paragraph" w:styleId="780">
    <w:name w:val="No Spacing"/>
    <w:link w:val="1046"/>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781" w:customStyle="1">
    <w:name w:val="标题 字符"/>
    <w:link w:val="728"/>
    <w:uiPriority w:val="10"/>
    <w:qFormat/>
    <w:rPr>
      <w:sz w:val="48"/>
      <w:szCs w:val="48"/>
    </w:rPr>
  </w:style>
  <w:style w:type="character" w:styleId="782" w:customStyle="1">
    <w:name w:val="副标题 字符"/>
    <w:link w:val="717"/>
    <w:uiPriority w:val="11"/>
    <w:qFormat/>
    <w:rPr>
      <w:sz w:val="24"/>
      <w:szCs w:val="24"/>
    </w:rPr>
  </w:style>
  <w:style w:type="paragraph" w:styleId="783">
    <w:name w:val="Quote"/>
    <w:basedOn w:val="682"/>
    <w:next w:val="682"/>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82"/>
    <w:next w:val="682"/>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uiPriority w:val="99"/>
    <w:qFormat/>
  </w:style>
  <w:style w:type="character" w:styleId="788" w:customStyle="1">
    <w:name w:val="Footer Char"/>
    <w:uiPriority w:val="99"/>
    <w:qFormat/>
  </w:style>
  <w:style w:type="character" w:styleId="789" w:customStyle="1">
    <w:name w:val="Caption Char"/>
    <w:uiPriority w:val="99"/>
    <w:qFormat/>
  </w:style>
  <w:style w:type="table" w:styleId="7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9"/>
    <w:uiPriority w:val="99"/>
    <w:qFormat/>
    <w:rPr>
      <w:sz w:val="18"/>
    </w:rPr>
  </w:style>
  <w:style w:type="character" w:styleId="916" w:customStyle="1">
    <w:name w:val="尾注文本 字符"/>
    <w:link w:val="710"/>
    <w:uiPriority w:val="99"/>
    <w:qFormat/>
    <w:rPr>
      <w:sz w:val="20"/>
    </w:rPr>
  </w:style>
  <w:style w:type="paragraph" w:styleId="917" w:customStyle="1">
    <w:name w:val="TOC 标题111"/>
    <w:uiPriority w:val="39"/>
    <w:unhideWhenUsed/>
    <w:qFormat/>
    <w:rPr>
      <w:rFonts w:hint="default" w:ascii="Times New Roman" w:hAnsi="Times New Roman" w:eastAsia="宋体" w:cs="Times New Roman"/>
      <w:lang w:val="en-US" w:eastAsia="zh-CN" w:bidi="ar-SA"/>
    </w:rPr>
  </w:style>
  <w:style w:type="character" w:styleId="918" w:customStyle="1">
    <w:name w:val="标题 1 字符"/>
    <w:link w:val="683"/>
    <w:uiPriority w:val="99"/>
    <w:qFormat/>
    <w:rPr>
      <w:rFonts w:ascii="楷体_GB2312" w:hAnsi="Times New Roman" w:eastAsia="楷体_GB2312" w:cs="Times New Roman"/>
      <w:sz w:val="28"/>
      <w:szCs w:val="28"/>
    </w:rPr>
  </w:style>
  <w:style w:type="character" w:styleId="919" w:customStyle="1">
    <w:name w:val="标题 2 字符"/>
    <w:link w:val="684"/>
    <w:uiPriority w:val="99"/>
    <w:qFormat/>
    <w:rPr>
      <w:rFonts w:ascii="Arial" w:hAnsi="Arial" w:eastAsia="幼圆" w:cs="Arial"/>
      <w:b/>
      <w:bCs/>
      <w:sz w:val="44"/>
      <w:szCs w:val="44"/>
    </w:rPr>
  </w:style>
  <w:style w:type="character" w:styleId="920" w:customStyle="1">
    <w:name w:val="正文缩进 字符"/>
    <w:link w:val="694"/>
    <w:uiPriority w:val="0"/>
    <w:qFormat/>
    <w:rPr>
      <w:rFonts w:ascii="Times New Roman" w:hAnsi="Times New Roman" w:eastAsia="宋体" w:cs="Times New Roman"/>
      <w:szCs w:val="21"/>
    </w:rPr>
  </w:style>
  <w:style w:type="character" w:styleId="921" w:customStyle="1">
    <w:name w:val="标题 3 字符"/>
    <w:link w:val="685"/>
    <w:uiPriority w:val="99"/>
    <w:qFormat/>
    <w:rPr>
      <w:rFonts w:ascii="Times New Roman" w:hAnsi="Times New Roman" w:eastAsia="宋体" w:cs="Times New Roman"/>
      <w:b/>
      <w:bCs/>
      <w:sz w:val="32"/>
      <w:szCs w:val="32"/>
    </w:rPr>
  </w:style>
  <w:style w:type="character" w:styleId="922" w:customStyle="1">
    <w:name w:val="标题 4 字符"/>
    <w:link w:val="686"/>
    <w:uiPriority w:val="99"/>
    <w:qFormat/>
    <w:rPr>
      <w:rFonts w:ascii="Arial" w:hAnsi="Arial" w:eastAsia="黑体" w:cs="Arial"/>
      <w:b/>
      <w:bCs/>
      <w:sz w:val="28"/>
      <w:szCs w:val="28"/>
    </w:rPr>
  </w:style>
  <w:style w:type="character" w:styleId="923" w:customStyle="1">
    <w:name w:val="标题 5 字符"/>
    <w:link w:val="687"/>
    <w:uiPriority w:val="99"/>
    <w:qFormat/>
    <w:rPr>
      <w:rFonts w:ascii="宋体" w:hAnsi="Times New Roman" w:eastAsia="宋体" w:cs="Times New Roman"/>
      <w:color w:val="000000"/>
      <w:sz w:val="28"/>
      <w:szCs w:val="28"/>
    </w:rPr>
  </w:style>
  <w:style w:type="character" w:styleId="924" w:customStyle="1">
    <w:name w:val="标题 6 字符"/>
    <w:link w:val="688"/>
    <w:uiPriority w:val="0"/>
    <w:qFormat/>
    <w:rPr>
      <w:rFonts w:ascii="Arial" w:hAnsi="Arial" w:eastAsia="黑体"/>
      <w:b/>
      <w:bCs/>
      <w:sz w:val="24"/>
      <w:szCs w:val="24"/>
    </w:rPr>
  </w:style>
  <w:style w:type="character" w:styleId="925" w:customStyle="1">
    <w:name w:val="标题 7 字符"/>
    <w:link w:val="689"/>
    <w:uiPriority w:val="0"/>
    <w:qFormat/>
    <w:rPr>
      <w:b/>
      <w:bCs/>
      <w:sz w:val="24"/>
      <w:szCs w:val="24"/>
    </w:rPr>
  </w:style>
  <w:style w:type="character" w:styleId="926" w:customStyle="1">
    <w:name w:val="标题 8 字符"/>
    <w:link w:val="690"/>
    <w:uiPriority w:val="0"/>
    <w:qFormat/>
    <w:rPr>
      <w:rFonts w:ascii="Arial" w:hAnsi="Arial" w:eastAsia="黑体"/>
      <w:sz w:val="24"/>
      <w:szCs w:val="24"/>
    </w:rPr>
  </w:style>
  <w:style w:type="character" w:styleId="927" w:customStyle="1">
    <w:name w:val="标题 9 字符"/>
    <w:link w:val="691"/>
    <w:uiPriority w:val="0"/>
    <w:qFormat/>
    <w:rPr>
      <w:rFonts w:ascii="Arial" w:hAnsi="Arial" w:eastAsia="黑体"/>
      <w:szCs w:val="21"/>
    </w:rPr>
  </w:style>
  <w:style w:type="character" w:styleId="928" w:customStyle="1">
    <w:name w:val="文档结构图 字符"/>
    <w:link w:val="698"/>
    <w:uiPriority w:val="99"/>
    <w:semiHidden/>
    <w:qFormat/>
    <w:rPr>
      <w:rFonts w:ascii="Times New Roman" w:hAnsi="Times New Roman" w:eastAsia="宋体" w:cs="Times New Roman"/>
      <w:szCs w:val="21"/>
      <w:shd w:val="clear" w:color="auto" w:fill="000080"/>
    </w:rPr>
  </w:style>
  <w:style w:type="character" w:styleId="929" w:customStyle="1">
    <w:name w:val="批注文字 字符"/>
    <w:link w:val="699"/>
    <w:uiPriority w:val="99"/>
    <w:qFormat/>
    <w:rPr>
      <w:rFonts w:ascii="Times New Roman" w:hAnsi="Times New Roman" w:eastAsia="宋体" w:cs="Times New Roman"/>
      <w:szCs w:val="21"/>
    </w:rPr>
  </w:style>
  <w:style w:type="character" w:styleId="930" w:customStyle="1">
    <w:name w:val="正文文本 3 字符"/>
    <w:link w:val="700"/>
    <w:uiPriority w:val="0"/>
    <w:qFormat/>
    <w:rPr>
      <w:rFonts w:ascii="仿宋_GB2312" w:hAnsi="Arial" w:eastAsia="仿宋_GB2312" w:cs="Times New Roman"/>
      <w:sz w:val="32"/>
      <w:szCs w:val="32"/>
    </w:rPr>
  </w:style>
  <w:style w:type="character" w:styleId="931" w:customStyle="1">
    <w:name w:val="正文文本 字符"/>
    <w:link w:val="701"/>
    <w:uiPriority w:val="99"/>
    <w:qFormat/>
    <w:rPr>
      <w:rFonts w:ascii="楷体_GB2312" w:hAnsi="Arial" w:eastAsia="楷体_GB2312" w:cs="Times New Roman"/>
      <w:sz w:val="28"/>
      <w:szCs w:val="28"/>
    </w:rPr>
  </w:style>
  <w:style w:type="character" w:styleId="932" w:customStyle="1">
    <w:name w:val="正文文本缩进 字符"/>
    <w:link w:val="702"/>
    <w:uiPriority w:val="0"/>
    <w:qFormat/>
    <w:rPr>
      <w:rFonts w:ascii="楷体_GB2312" w:hAnsi="Times New Roman" w:eastAsia="楷体_GB2312" w:cs="Times New Roman"/>
      <w:sz w:val="32"/>
      <w:szCs w:val="32"/>
    </w:rPr>
  </w:style>
  <w:style w:type="character" w:styleId="933" w:customStyle="1">
    <w:name w:val="纯文本 字符"/>
    <w:link w:val="706"/>
    <w:uiPriority w:val="0"/>
    <w:qFormat/>
    <w:rPr>
      <w:rFonts w:ascii="宋体" w:hAnsi="Courier New" w:eastAsia="宋体" w:cs="Courier New"/>
      <w:szCs w:val="21"/>
    </w:rPr>
  </w:style>
  <w:style w:type="character" w:styleId="934" w:customStyle="1">
    <w:name w:val="日期 字符"/>
    <w:link w:val="708"/>
    <w:uiPriority w:val="99"/>
    <w:qFormat/>
    <w:rPr>
      <w:rFonts w:ascii="Times New Roman" w:hAnsi="Times New Roman" w:eastAsia="宋体" w:cs="Times New Roman"/>
      <w:sz w:val="24"/>
      <w:szCs w:val="24"/>
    </w:rPr>
  </w:style>
  <w:style w:type="character" w:styleId="935" w:customStyle="1">
    <w:name w:val="正文文本缩进 2 字符"/>
    <w:link w:val="709"/>
    <w:uiPriority w:val="99"/>
    <w:qFormat/>
    <w:rPr>
      <w:rFonts w:ascii="Arial" w:hAnsi="Arial" w:eastAsia="仿宋_GB2312" w:cs="Arial"/>
      <w:sz w:val="32"/>
      <w:szCs w:val="32"/>
    </w:rPr>
  </w:style>
  <w:style w:type="character" w:styleId="936" w:customStyle="1">
    <w:name w:val="批注框文本 字符"/>
    <w:link w:val="711"/>
    <w:uiPriority w:val="99"/>
    <w:semiHidden/>
    <w:qFormat/>
    <w:rPr>
      <w:rFonts w:ascii="Times New Roman" w:hAnsi="Times New Roman" w:eastAsia="宋体" w:cs="Times New Roman"/>
      <w:sz w:val="18"/>
      <w:szCs w:val="18"/>
    </w:rPr>
  </w:style>
  <w:style w:type="character" w:styleId="937" w:customStyle="1">
    <w:name w:val="页脚 字符"/>
    <w:link w:val="712"/>
    <w:uiPriority w:val="99"/>
    <w:qFormat/>
    <w:rPr>
      <w:rFonts w:ascii="Times New Roman" w:hAnsi="Times New Roman" w:eastAsia="宋体" w:cs="Times New Roman"/>
      <w:sz w:val="18"/>
      <w:szCs w:val="18"/>
    </w:rPr>
  </w:style>
  <w:style w:type="character" w:styleId="938" w:customStyle="1">
    <w:name w:val="页眉 字符"/>
    <w:link w:val="714"/>
    <w:uiPriority w:val="99"/>
    <w:qFormat/>
    <w:rPr>
      <w:rFonts w:ascii="Times New Roman" w:hAnsi="Times New Roman" w:eastAsia="宋体" w:cs="Times New Roman"/>
      <w:sz w:val="18"/>
      <w:szCs w:val="18"/>
    </w:rPr>
  </w:style>
  <w:style w:type="character" w:styleId="939" w:customStyle="1">
    <w:name w:val="正文文本缩进 3 字符"/>
    <w:link w:val="721"/>
    <w:uiPriority w:val="99"/>
    <w:qFormat/>
    <w:rPr>
      <w:rFonts w:ascii="Arial" w:hAnsi="Arial" w:eastAsia="仿宋_GB2312" w:cs="Arial"/>
      <w:color w:val="ffff00"/>
      <w:sz w:val="32"/>
      <w:szCs w:val="32"/>
    </w:rPr>
  </w:style>
  <w:style w:type="character" w:styleId="940" w:customStyle="1">
    <w:name w:val="正文文本 2 字符"/>
    <w:link w:val="725"/>
    <w:uiPriority w:val="99"/>
    <w:qFormat/>
    <w:rPr>
      <w:rFonts w:ascii="楷体_GB2312" w:hAnsi="Times New Roman" w:eastAsia="楷体_GB2312" w:cs="Times New Roman"/>
      <w:sz w:val="28"/>
      <w:szCs w:val="28"/>
    </w:rPr>
  </w:style>
  <w:style w:type="character" w:styleId="941" w:customStyle="1">
    <w:name w:val="批注主题 字符"/>
    <w:link w:val="729"/>
    <w:uiPriority w:val="0"/>
    <w:qFormat/>
    <w:rPr>
      <w:rFonts w:ascii="Times New Roman" w:hAnsi="Times New Roman" w:eastAsia="宋体" w:cs="Times New Roman"/>
      <w:b/>
      <w:bCs/>
      <w:szCs w:val="21"/>
    </w:rPr>
  </w:style>
  <w:style w:type="character" w:styleId="942" w:customStyle="1">
    <w:name w:val="正文文本首行缩进 字符"/>
    <w:link w:val="730"/>
    <w:uiPriority w:val="0"/>
    <w:qFormat/>
    <w:rPr>
      <w:rFonts w:ascii="仿宋_GB2312" w:hAnsi="Times New Roman" w:eastAsia="仿宋_GB2312" w:cs="Times New Roman"/>
      <w:sz w:val="30"/>
      <w:szCs w:val="30"/>
    </w:rPr>
  </w:style>
  <w:style w:type="character" w:styleId="943" w:customStyle="1">
    <w:name w:val="正文文本首行缩进 2 字符"/>
    <w:link w:val="731"/>
    <w:uiPriority w:val="99"/>
    <w:qFormat/>
    <w:rPr>
      <w:rFonts w:ascii="宋体" w:hAnsi="宋体" w:eastAsia="宋体" w:cs="Times New Roman"/>
      <w:sz w:val="32"/>
      <w:szCs w:val="20"/>
    </w:rPr>
  </w:style>
  <w:style w:type="character" w:styleId="944" w:customStyle="1">
    <w:name w:val="已访问的超链接11"/>
    <w:uiPriority w:val="0"/>
    <w:qFormat/>
    <w:rPr>
      <w:color w:val="800080"/>
      <w:u w:val="single"/>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二级目录 Char"/>
    <w:link w:val="947"/>
    <w:uiPriority w:val="0"/>
    <w:qFormat/>
    <w:rPr>
      <w:b/>
      <w:sz w:val="30"/>
      <w:szCs w:val="28"/>
    </w:rPr>
  </w:style>
  <w:style w:type="paragraph" w:styleId="947" w:customStyle="1">
    <w:name w:val="二级目录"/>
    <w:next w:val="682"/>
    <w:link w:val="94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682"/>
    <w:link w:val="948"/>
    <w:uiPriority w:val="0"/>
    <w:qFormat/>
    <w:pPr>
      <w:contextualSpacing/>
      <w:ind w:left="720"/>
      <w:jc w:val="left"/>
      <w:widowControl/>
    </w:pPr>
    <w:rPr>
      <w:rFonts w:ascii="Calibri" w:hAnsi="Calibri"/>
      <w:sz w:val="24"/>
      <w:szCs w:val="24"/>
      <w:lang w:eastAsia="en-US" w:bidi="en-US"/>
    </w:rPr>
  </w:style>
  <w:style w:type="paragraph" w:styleId="950" w:customStyle="1">
    <w:name w:val="Body Text(ch)"/>
    <w:basedOn w:val="682"/>
    <w:next w:val="701"/>
    <w:uiPriority w:val="0"/>
    <w:qFormat/>
    <w:pPr>
      <w:spacing w:after="120"/>
    </w:pPr>
    <w:rPr>
      <w:rFonts w:ascii="宋体" w:hAnsi="Arial"/>
      <w:bCs/>
      <w:iCs/>
      <w:szCs w:val="24"/>
    </w:rPr>
  </w:style>
  <w:style w:type="paragraph" w:styleId="951" w:customStyle="1">
    <w:name w:val="xl27"/>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6"/>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3" w:customStyle="1">
    <w:name w:val="Char"/>
    <w:basedOn w:val="682"/>
    <w:uiPriority w:val="0"/>
    <w:qFormat/>
    <w:pPr>
      <w:ind w:firstLine="200"/>
      <w:tabs>
        <w:tab w:val="left" w:pos="360" w:leader="none"/>
      </w:tabs>
    </w:pPr>
    <w:rPr>
      <w:sz w:val="28"/>
      <w:szCs w:val="30"/>
    </w:rPr>
  </w:style>
  <w:style w:type="paragraph" w:styleId="954" w:customStyle="1">
    <w:name w:val="Char11"/>
    <w:basedOn w:val="698"/>
    <w:uiPriority w:val="0"/>
    <w:qFormat/>
    <w:rPr>
      <w:rFonts w:ascii="Tahoma" w:hAnsi="Tahoma"/>
      <w:sz w:val="24"/>
      <w:szCs w:val="24"/>
    </w:rPr>
  </w:style>
  <w:style w:type="paragraph" w:styleId="955"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956" w:customStyle="1">
    <w:name w:val="table_lines"/>
    <w:basedOn w:val="682"/>
    <w:uiPriority w:val="0"/>
    <w:qFormat/>
    <w:pPr>
      <w:jc w:val="left"/>
      <w:widowControl/>
    </w:pPr>
    <w:rPr>
      <w:sz w:val="20"/>
      <w:szCs w:val="20"/>
      <w:lang w:val="de-DE" w:eastAsia="de-DE"/>
    </w:rPr>
  </w:style>
  <w:style w:type="paragraph" w:styleId="95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58" w:customStyle="1">
    <w:name w:val="font7"/>
    <w:basedOn w:val="682"/>
    <w:uiPriority w:val="99"/>
    <w:qFormat/>
    <w:pPr>
      <w:jc w:val="left"/>
      <w:spacing w:before="100" w:beforeAutospacing="1" w:after="100" w:afterAutospacing="1"/>
      <w:widowControl/>
    </w:pPr>
    <w:rPr>
      <w:rFonts w:hint="eastAsia" w:ascii="宋体" w:hAnsi="宋体"/>
      <w:sz w:val="18"/>
      <w:szCs w:val="18"/>
    </w:rPr>
  </w:style>
  <w:style w:type="paragraph" w:styleId="959" w:customStyle="1">
    <w:name w:val="Char Char Char Char"/>
    <w:basedOn w:val="698"/>
    <w:uiPriority w:val="0"/>
    <w:qFormat/>
    <w:pPr>
      <w:spacing w:line="360" w:lineRule="auto"/>
    </w:pPr>
    <w:rPr>
      <w:rFonts w:ascii="Tahoma" w:hAnsi="Tahoma"/>
      <w:sz w:val="24"/>
      <w:szCs w:val="24"/>
    </w:rPr>
  </w:style>
  <w:style w:type="paragraph" w:styleId="960" w:customStyle="1">
    <w:name w:val="4"/>
    <w:basedOn w:val="682"/>
    <w:next w:val="721"/>
    <w:uiPriority w:val="0"/>
    <w:qFormat/>
    <w:pPr>
      <w:ind w:firstLine="420"/>
      <w:spacing w:line="360" w:lineRule="auto"/>
    </w:pPr>
    <w:rPr>
      <w:color w:val="ff0000"/>
      <w:sz w:val="24"/>
      <w:szCs w:val="24"/>
    </w:rPr>
  </w:style>
  <w:style w:type="paragraph" w:styleId="961"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962" w:customStyle="1">
    <w:name w:val="Char Char Char Char Char Char Char Char Char Char"/>
    <w:basedOn w:val="682"/>
    <w:uiPriority w:val="0"/>
    <w:qFormat/>
    <w:pPr>
      <w:spacing w:line="360" w:lineRule="auto"/>
    </w:pPr>
    <w:rPr>
      <w:sz w:val="24"/>
      <w:szCs w:val="20"/>
    </w:rPr>
  </w:style>
  <w:style w:type="paragraph" w:styleId="963" w:customStyle="1">
    <w:name w:val="样式1"/>
    <w:basedOn w:val="682"/>
    <w:uiPriority w:val="0"/>
    <w:qFormat/>
    <w:pPr>
      <w:numPr>
        <w:ilvl w:val="0"/>
        <w:numId w:val="3"/>
      </w:numPr>
    </w:pPr>
    <w:rPr>
      <w:rFonts w:ascii="宋体" w:hAnsi="宋体"/>
    </w:rPr>
  </w:style>
  <w:style w:type="paragraph" w:styleId="964" w:customStyle="1">
    <w:name w:val="font6"/>
    <w:basedOn w:val="682"/>
    <w:uiPriority w:val="99"/>
    <w:qFormat/>
    <w:pPr>
      <w:jc w:val="left"/>
      <w:spacing w:before="100" w:beforeAutospacing="1" w:after="100" w:afterAutospacing="1"/>
      <w:widowControl/>
    </w:pPr>
    <w:rPr>
      <w:rFonts w:hint="eastAsia" w:ascii="宋体" w:hAnsi="宋体"/>
      <w:sz w:val="28"/>
      <w:szCs w:val="28"/>
      <w:u w:val="single"/>
    </w:rPr>
  </w:style>
  <w:style w:type="paragraph" w:styleId="965" w:customStyle="1">
    <w:name w:val="xl25"/>
    <w:basedOn w:val="68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7"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968" w:customStyle="1">
    <w:name w:val="xl24"/>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9"/>
    <w:basedOn w:val="68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971" w:customStyle="1">
    <w:name w:val="xl28"/>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2" w:customStyle="1">
    <w:name w:val="Char Char Char Char Char Char Char Char11"/>
    <w:basedOn w:val="682"/>
    <w:uiPriority w:val="0"/>
    <w:qFormat/>
    <w:pPr>
      <w:jc w:val="left"/>
      <w:spacing w:after="160" w:line="240" w:lineRule="exact"/>
      <w:widowControl/>
    </w:pPr>
    <w:rPr>
      <w:rFonts w:ascii="Verdana" w:hAnsi="Verdana"/>
      <w:sz w:val="20"/>
      <w:szCs w:val="20"/>
      <w:lang w:eastAsia="en-US"/>
    </w:rPr>
  </w:style>
  <w:style w:type="paragraph" w:styleId="973" w:customStyle="1">
    <w:name w:val="xl30"/>
    <w:basedOn w:val="682"/>
    <w:uiPriority w:val="99"/>
    <w:qFormat/>
    <w:pPr>
      <w:jc w:val="center"/>
      <w:spacing w:before="100" w:beforeAutospacing="1" w:after="100" w:afterAutospacing="1"/>
      <w:widowControl/>
    </w:pPr>
    <w:rPr>
      <w:rFonts w:ascii="宋体" w:hAnsi="宋体"/>
      <w:b/>
      <w:bCs/>
      <w:sz w:val="36"/>
      <w:szCs w:val="36"/>
    </w:rPr>
  </w:style>
  <w:style w:type="paragraph" w:styleId="974" w:customStyle="1">
    <w:name w:val="Char Char Char Char11"/>
    <w:basedOn w:val="698"/>
    <w:uiPriority w:val="0"/>
    <w:qFormat/>
    <w:pPr>
      <w:spacing w:line="360" w:lineRule="auto"/>
    </w:pPr>
    <w:rPr>
      <w:rFonts w:ascii="Tahoma" w:hAnsi="Tahoma"/>
      <w:sz w:val="24"/>
      <w:szCs w:val="24"/>
    </w:rPr>
  </w:style>
  <w:style w:type="paragraph" w:styleId="975" w:customStyle="1">
    <w:name w:val="table_1stline"/>
    <w:basedOn w:val="682"/>
    <w:uiPriority w:val="0"/>
    <w:qFormat/>
    <w:pPr>
      <w:jc w:val="left"/>
      <w:spacing w:before="120"/>
      <w:widowControl/>
    </w:pPr>
    <w:rPr>
      <w:bCs/>
      <w:sz w:val="20"/>
      <w:szCs w:val="20"/>
      <w:lang w:val="de-DE" w:eastAsia="de-DE"/>
    </w:rPr>
  </w:style>
  <w:style w:type="paragraph" w:styleId="976" w:customStyle="1">
    <w:name w:val="font5"/>
    <w:basedOn w:val="682"/>
    <w:uiPriority w:val="99"/>
    <w:qFormat/>
    <w:pPr>
      <w:jc w:val="left"/>
      <w:spacing w:before="100" w:beforeAutospacing="1" w:after="100" w:afterAutospacing="1"/>
      <w:widowControl/>
    </w:pPr>
    <w:rPr>
      <w:rFonts w:hint="eastAsia" w:ascii="宋体" w:hAnsi="宋体"/>
      <w:sz w:val="28"/>
      <w:szCs w:val="28"/>
    </w:rPr>
  </w:style>
  <w:style w:type="paragraph" w:styleId="977"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8" w:customStyle="1">
    <w:name w:val="修订1"/>
    <w:uiPriority w:val="99"/>
    <w:qFormat/>
    <w:rPr>
      <w:rFonts w:hint="default" w:ascii="Times New Roman" w:hAnsi="Times New Roman" w:eastAsia="宋体" w:cs="Times New Roman"/>
      <w:sz w:val="21"/>
      <w:szCs w:val="21"/>
      <w:lang w:val="en-US" w:eastAsia="zh-CN" w:bidi="ar-SA"/>
    </w:rPr>
  </w:style>
  <w:style w:type="paragraph" w:styleId="979" w:customStyle="1">
    <w:name w:val="普通文字"/>
    <w:basedOn w:val="682"/>
    <w:next w:val="682"/>
    <w:uiPriority w:val="99"/>
    <w:qFormat/>
    <w:rPr>
      <w:rFonts w:ascii="宋体"/>
      <w:sz w:val="24"/>
      <w:szCs w:val="20"/>
    </w:rPr>
  </w:style>
  <w:style w:type="paragraph" w:styleId="980" w:customStyle="1">
    <w:name w:val="目录 111"/>
    <w:basedOn w:val="682"/>
    <w:next w:val="682"/>
    <w:uiPriority w:val="39"/>
    <w:unhideWhenUsed/>
    <w:qFormat/>
    <w:pPr>
      <w:jc w:val="left"/>
      <w:spacing w:after="100" w:line="259" w:lineRule="auto"/>
      <w:widowControl/>
    </w:pPr>
    <w:rPr>
      <w:rFonts w:ascii="Calibri" w:hAnsi="Calibri"/>
      <w:sz w:val="22"/>
      <w:szCs w:val="22"/>
    </w:rPr>
  </w:style>
  <w:style w:type="paragraph" w:styleId="981" w:customStyle="1">
    <w:name w:val="font8"/>
    <w:basedOn w:val="682"/>
    <w:uiPriority w:val="99"/>
    <w:qFormat/>
    <w:pPr>
      <w:jc w:val="left"/>
      <w:spacing w:before="100" w:beforeAutospacing="1" w:after="100" w:afterAutospacing="1"/>
      <w:widowControl/>
    </w:pPr>
    <w:rPr>
      <w:rFonts w:ascii="宋体" w:hAnsi="宋体"/>
      <w:b/>
      <w:bCs/>
      <w:i/>
      <w:iCs/>
      <w:sz w:val="20"/>
      <w:szCs w:val="20"/>
    </w:rPr>
  </w:style>
  <w:style w:type="paragraph" w:styleId="982" w:customStyle="1">
    <w:name w:val="font9"/>
    <w:basedOn w:val="682"/>
    <w:uiPriority w:val="99"/>
    <w:qFormat/>
    <w:pPr>
      <w:jc w:val="left"/>
      <w:spacing w:before="100" w:beforeAutospacing="1" w:after="100" w:afterAutospacing="1"/>
      <w:widowControl/>
    </w:pPr>
    <w:rPr>
      <w:b/>
      <w:bCs/>
      <w:sz w:val="20"/>
      <w:szCs w:val="20"/>
    </w:rPr>
  </w:style>
  <w:style w:type="paragraph" w:styleId="983" w:customStyle="1">
    <w:name w:val="xl31"/>
    <w:basedOn w:val="6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984" w:customStyle="1">
    <w:name w:val="xl32"/>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5" w:customStyle="1">
    <w:name w:val="xl33"/>
    <w:basedOn w:val="6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6" w:customStyle="1">
    <w:name w:val="xl34"/>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7" w:customStyle="1">
    <w:name w:val="xl35"/>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88" w:customStyle="1">
    <w:name w:val="xl36"/>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89" w:customStyle="1">
    <w:name w:val="xl37"/>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90" w:customStyle="1">
    <w:name w:val="xl38"/>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1" w:customStyle="1">
    <w:name w:val="xl39"/>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2" w:customStyle="1">
    <w:name w:val="xl40"/>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3" w:customStyle="1">
    <w:name w:val="xl41"/>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4" w:customStyle="1">
    <w:name w:val="xl42"/>
    <w:basedOn w:val="6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995" w:customStyle="1">
    <w:name w:val="xl43"/>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996" w:customStyle="1">
    <w:name w:val="xl44"/>
    <w:basedOn w:val="68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997" w:customStyle="1">
    <w:name w:val="xl45"/>
    <w:basedOn w:val="682"/>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998" w:customStyle="1">
    <w:name w:val="xl46"/>
    <w:basedOn w:val="682"/>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999" w:customStyle="1">
    <w:name w:val="xl47"/>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0" w:customStyle="1">
    <w:name w:val="xl48"/>
    <w:basedOn w:val="68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01" w:customStyle="1">
    <w:name w:val="xl49"/>
    <w:basedOn w:val="682"/>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02" w:customStyle="1">
    <w:name w:val="xl50"/>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03" w:customStyle="1">
    <w:name w:val="xl51"/>
    <w:basedOn w:val="68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04" w:customStyle="1">
    <w:name w:val="xl52"/>
    <w:basedOn w:val="68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5" w:customStyle="1">
    <w:name w:val="xl53"/>
    <w:basedOn w:val="68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06" w:customStyle="1">
    <w:name w:val="xl54"/>
    <w:basedOn w:val="68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07" w:customStyle="1">
    <w:name w:val="xl55"/>
    <w:basedOn w:val="68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08" w:customStyle="1">
    <w:name w:val="xl56"/>
    <w:basedOn w:val="68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09" w:customStyle="1">
    <w:name w:val="xl57"/>
    <w:basedOn w:val="68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10" w:customStyle="1">
    <w:name w:val="xl58"/>
    <w:basedOn w:val="682"/>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11" w:customStyle="1">
    <w:name w:val="xl59"/>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12" w:customStyle="1">
    <w:name w:val="xl60"/>
    <w:basedOn w:val="68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13" w:customStyle="1">
    <w:name w:val="xl61"/>
    <w:basedOn w:val="68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14" w:customStyle="1">
    <w:name w:val="xl62"/>
    <w:basedOn w:val="68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15" w:customStyle="1">
    <w:name w:val="xl63"/>
    <w:basedOn w:val="68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16" w:customStyle="1">
    <w:name w:val="font10"/>
    <w:basedOn w:val="682"/>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17" w:customStyle="1">
    <w:name w:val="font11"/>
    <w:basedOn w:val="682"/>
    <w:uiPriority w:val="99"/>
    <w:qFormat/>
    <w:pPr>
      <w:jc w:val="left"/>
      <w:spacing w:before="100" w:beforeAutospacing="1" w:after="100" w:afterAutospacing="1"/>
      <w:widowControl/>
    </w:pPr>
    <w:rPr>
      <w:b/>
      <w:bCs/>
      <w:sz w:val="18"/>
      <w:szCs w:val="18"/>
    </w:rPr>
  </w:style>
  <w:style w:type="paragraph" w:styleId="1018" w:customStyle="1">
    <w:name w:val="font12"/>
    <w:basedOn w:val="682"/>
    <w:uiPriority w:val="99"/>
    <w:qFormat/>
    <w:pPr>
      <w:jc w:val="left"/>
      <w:spacing w:before="100" w:beforeAutospacing="1" w:after="100" w:afterAutospacing="1"/>
      <w:widowControl/>
    </w:pPr>
    <w:rPr>
      <w:rFonts w:ascii="宋体" w:hAnsi="宋体"/>
      <w:sz w:val="36"/>
      <w:szCs w:val="36"/>
    </w:rPr>
  </w:style>
  <w:style w:type="paragraph" w:styleId="1019" w:customStyle="1">
    <w:name w:val="font13"/>
    <w:basedOn w:val="682"/>
    <w:uiPriority w:val="99"/>
    <w:qFormat/>
    <w:pPr>
      <w:jc w:val="left"/>
      <w:spacing w:before="100" w:beforeAutospacing="1" w:after="100" w:afterAutospacing="1"/>
      <w:widowControl/>
    </w:pPr>
    <w:rPr>
      <w:i/>
      <w:iCs/>
      <w:sz w:val="36"/>
      <w:szCs w:val="36"/>
    </w:rPr>
  </w:style>
  <w:style w:type="paragraph" w:styleId="1020" w:customStyle="1">
    <w:name w:val="font14"/>
    <w:basedOn w:val="682"/>
    <w:uiPriority w:val="99"/>
    <w:qFormat/>
    <w:pPr>
      <w:jc w:val="left"/>
      <w:spacing w:before="100" w:beforeAutospacing="1" w:after="100" w:afterAutospacing="1"/>
      <w:widowControl/>
    </w:pPr>
    <w:rPr>
      <w:sz w:val="36"/>
      <w:szCs w:val="36"/>
    </w:rPr>
  </w:style>
  <w:style w:type="character" w:styleId="1021" w:customStyle="1">
    <w:name w:val="case31"/>
    <w:uiPriority w:val="99"/>
    <w:qFormat/>
    <w:rPr>
      <w:rFonts w:cs="Times New Roman"/>
      <w:spacing w:val="390"/>
      <w:sz w:val="21"/>
      <w:szCs w:val="21"/>
    </w:rPr>
  </w:style>
  <w:style w:type="paragraph" w:styleId="1022" w:customStyle="1">
    <w:name w:val="默认段落字体 Para Char"/>
    <w:basedOn w:val="682"/>
    <w:uiPriority w:val="99"/>
    <w:qFormat/>
    <w:pPr>
      <w:ind w:left="552" w:hanging="420"/>
      <w:tabs>
        <w:tab w:val="left" w:pos="552" w:leader="none"/>
      </w:tabs>
    </w:pPr>
    <w:rPr>
      <w:sz w:val="24"/>
      <w:szCs w:val="24"/>
    </w:rPr>
  </w:style>
  <w:style w:type="paragraph" w:styleId="1023" w:customStyle="1">
    <w:name w:val="Char Char1 Char Char Char Char"/>
    <w:basedOn w:val="698"/>
    <w:uiPriority w:val="99"/>
    <w:qFormat/>
    <w:pPr>
      <w:ind w:left="357"/>
      <w:jc w:val="left"/>
      <w:spacing w:line="436" w:lineRule="exact"/>
      <w:outlineLvl w:val="3"/>
    </w:pPr>
    <w:rPr>
      <w:rFonts w:ascii="Tahoma" w:hAnsi="Tahoma"/>
      <w:b/>
      <w:sz w:val="24"/>
      <w:szCs w:val="24"/>
    </w:rPr>
  </w:style>
  <w:style w:type="character" w:styleId="1024" w:customStyle="1">
    <w:name w:val="apple-converted-space"/>
    <w:uiPriority w:val="0"/>
    <w:qFormat/>
  </w:style>
  <w:style w:type="character" w:styleId="1025" w:customStyle="1">
    <w:name w:val="grame"/>
    <w:uiPriority w:val="0"/>
    <w:qFormat/>
  </w:style>
  <w:style w:type="character" w:styleId="1026">
    <w:name w:val="Placeholder Text"/>
    <w:uiPriority w:val="99"/>
    <w:unhideWhenUsed/>
    <w:qFormat/>
    <w:rPr>
      <w:color w:val="808080"/>
    </w:rPr>
  </w:style>
  <w:style w:type="paragraph" w:styleId="1027" w:customStyle="1">
    <w:name w:val="Char Char2 Char"/>
    <w:basedOn w:val="682"/>
    <w:uiPriority w:val="0"/>
    <w:qFormat/>
    <w:pPr>
      <w:ind w:left="390" w:hanging="390"/>
      <w:keepLines/>
      <w:keepNext/>
      <w:pageBreakBefore/>
      <w:tabs>
        <w:tab w:val="left" w:pos="390" w:leader="none"/>
      </w:tabs>
    </w:pPr>
    <w:rPr>
      <w:rFonts w:ascii="Tahoma" w:hAnsi="Tahoma"/>
      <w:sz w:val="24"/>
      <w:szCs w:val="20"/>
    </w:rPr>
  </w:style>
  <w:style w:type="table" w:styleId="1028" w:customStyle="1">
    <w:name w:val="Table Normal"/>
    <w:uiPriority w:val="0"/>
    <w:unhideWhenUsed/>
    <w:qFormat/>
    <w:tblPr>
      <w:tblCellMar>
        <w:left w:w="0" w:type="dxa"/>
        <w:top w:w="0" w:type="dxa"/>
        <w:right w:w="0" w:type="dxa"/>
        <w:bottom w:w="0" w:type="dxa"/>
      </w:tblCellMar>
    </w:tblPr>
  </w:style>
  <w:style w:type="character" w:styleId="1029" w:customStyle="1">
    <w:name w:val="font61"/>
    <w:uiPriority w:val="0"/>
    <w:qFormat/>
    <w:rPr>
      <w:rFonts w:ascii="宋体" w:hAnsi="宋体" w:eastAsia="宋体"/>
      <w:color w:val="000000"/>
      <w:sz w:val="21"/>
      <w:u w:val="none"/>
    </w:rPr>
  </w:style>
  <w:style w:type="paragraph" w:styleId="1030"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31" w:customStyle="1">
    <w:name w:val="TOC Heading1"/>
    <w:next w:val="682"/>
    <w:uiPriority w:val="0"/>
    <w:qFormat/>
    <w:rPr>
      <w:rFonts w:hint="default" w:ascii="Times New Roman" w:hAnsi="Times New Roman" w:eastAsia="宋体" w:cs="Times New Roman"/>
      <w:sz w:val="32"/>
      <w:lang w:val="en-US" w:eastAsia="zh-CN" w:bidi="ar-SA"/>
    </w:rPr>
  </w:style>
  <w:style w:type="character" w:styleId="1032" w:customStyle="1">
    <w:name w:val="font31"/>
    <w:uiPriority w:val="0"/>
    <w:qFormat/>
    <w:rPr>
      <w:rFonts w:hint="eastAsia" w:ascii="宋体" w:hAnsi="宋体" w:eastAsia="宋体" w:cs="宋体"/>
      <w:color w:val="ff0000"/>
      <w:sz w:val="20"/>
      <w:szCs w:val="20"/>
      <w:u w:val="none"/>
    </w:rPr>
  </w:style>
  <w:style w:type="character" w:styleId="1033" w:customStyle="1">
    <w:name w:val="font21"/>
    <w:uiPriority w:val="0"/>
    <w:qFormat/>
    <w:rPr>
      <w:rFonts w:hint="eastAsia" w:ascii="宋体" w:hAnsi="宋体" w:eastAsia="宋体" w:cs="宋体"/>
      <w:color w:val="000000"/>
      <w:sz w:val="20"/>
      <w:szCs w:val="20"/>
      <w:u w:val="none"/>
    </w:rPr>
  </w:style>
  <w:style w:type="paragraph" w:styleId="1034" w:customStyle="1">
    <w:name w:val="lp1"/>
    <w:basedOn w:val="682"/>
    <w:next w:val="779"/>
    <w:uiPriority w:val="99"/>
    <w:qFormat/>
    <w:pPr>
      <w:ind w:firstLine="420"/>
    </w:pPr>
    <w:rPr>
      <w:szCs w:val="20"/>
      <w:lang w:val="zh-CN"/>
    </w:rPr>
  </w:style>
  <w:style w:type="paragraph" w:styleId="1035" w:customStyle="1">
    <w:name w:val="样式 小四 段前: 5 磅 段后: 5 磅 首行缩进:  2 字符"/>
    <w:basedOn w:val="682"/>
    <w:uiPriority w:val="0"/>
    <w:qFormat/>
    <w:pPr>
      <w:jc w:val="center"/>
      <w:spacing w:line="360" w:lineRule="auto"/>
    </w:pPr>
    <w:rPr>
      <w:rFonts w:ascii="宋体" w:hAnsi="宋体"/>
      <w:bCs/>
      <w:color w:val="ff0000"/>
      <w:sz w:val="24"/>
      <w:szCs w:val="24"/>
    </w:rPr>
  </w:style>
  <w:style w:type="character" w:styleId="1036" w:customStyle="1">
    <w:name w:val="font01"/>
    <w:uiPriority w:val="0"/>
    <w:qFormat/>
    <w:rPr>
      <w:rFonts w:hint="eastAsia" w:ascii="宋体" w:hAnsi="宋体" w:eastAsia="宋体" w:cs="宋体"/>
      <w:color w:val="000000"/>
      <w:sz w:val="18"/>
      <w:szCs w:val="18"/>
      <w:u w:val="none"/>
    </w:rPr>
  </w:style>
  <w:style w:type="character" w:styleId="1037" w:customStyle="1">
    <w:name w:val="font51"/>
    <w:uiPriority w:val="0"/>
    <w:qFormat/>
    <w:rPr>
      <w:rFonts w:hint="eastAsia" w:ascii="宋体" w:hAnsi="宋体" w:eastAsia="宋体" w:cs="宋体"/>
      <w:color w:val="ff0000"/>
      <w:sz w:val="18"/>
      <w:szCs w:val="18"/>
      <w:u w:val="none"/>
    </w:rPr>
  </w:style>
  <w:style w:type="paragraph" w:styleId="1038" w:customStyle="1">
    <w:name w:val="修订111"/>
    <w:uiPriority w:val="99"/>
    <w:qFormat/>
    <w:rPr>
      <w:rFonts w:hint="default" w:ascii="Times New Roman" w:hAnsi="Times New Roman" w:eastAsia="宋体" w:cs="Times New Roman"/>
      <w:sz w:val="21"/>
      <w:lang w:val="en-US" w:eastAsia="zh-CN" w:bidi="ar-SA"/>
    </w:rPr>
  </w:style>
  <w:style w:type="character" w:styleId="1039" w:customStyle="1">
    <w:name w:val="font71"/>
    <w:uiPriority w:val="0"/>
    <w:qFormat/>
    <w:rPr>
      <w:rFonts w:hint="eastAsia" w:ascii="宋体" w:hAnsi="宋体" w:eastAsia="宋体" w:cs="宋体"/>
      <w:b/>
      <w:bCs/>
      <w:color w:val="000000"/>
      <w:sz w:val="20"/>
      <w:szCs w:val="20"/>
      <w:u w:val="none"/>
    </w:rPr>
  </w:style>
  <w:style w:type="paragraph" w:styleId="1040" w:customStyle="1">
    <w:name w:val="正文2"/>
    <w:basedOn w:val="682"/>
    <w:uiPriority w:val="0"/>
    <w:qFormat/>
    <w:pPr>
      <w:ind w:firstLine="510"/>
      <w:spacing w:before="156" w:line="360" w:lineRule="auto"/>
    </w:pPr>
    <w:rPr>
      <w:sz w:val="24"/>
    </w:rPr>
  </w:style>
  <w:style w:type="character" w:styleId="1041" w:customStyle="1">
    <w:name w:val="标题 3 字符1"/>
    <w:link w:val="1042"/>
    <w:uiPriority w:val="0"/>
    <w:qFormat/>
    <w:rPr>
      <w:b/>
      <w:sz w:val="32"/>
    </w:rPr>
  </w:style>
  <w:style w:type="paragraph" w:styleId="1042" w:customStyle="1">
    <w:name w:val="标题 31"/>
    <w:basedOn w:val="682"/>
    <w:next w:val="682"/>
    <w:link w:val="1041"/>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43" w:customStyle="1">
    <w:name w:val="列表段落1"/>
    <w:basedOn w:val="682"/>
    <w:uiPriority w:val="0"/>
    <w:qFormat/>
    <w:pPr>
      <w:ind w:firstLine="420"/>
      <w:jc w:val="left"/>
      <w:spacing w:line="360" w:lineRule="auto"/>
      <w:widowControl/>
    </w:pPr>
    <w:rPr>
      <w:rFonts w:asciiTheme="minorEastAsia" w:hAnsiTheme="minorEastAsia" w:eastAsiaTheme="minorEastAsia"/>
      <w:sz w:val="24"/>
      <w:szCs w:val="22"/>
    </w:rPr>
  </w:style>
  <w:style w:type="character" w:styleId="1044" w:customStyle="1">
    <w:name w:val="font81"/>
    <w:uiPriority w:val="0"/>
    <w:qFormat/>
    <w:rPr>
      <w:rFonts w:hint="eastAsia" w:ascii="宋体" w:hAnsi="宋体" w:eastAsia="宋体" w:cs="宋体"/>
      <w:color w:val="000000"/>
      <w:sz w:val="20"/>
      <w:szCs w:val="20"/>
      <w:u w:val="none"/>
    </w:rPr>
  </w:style>
  <w:style w:type="character" w:styleId="1045" w:customStyle="1">
    <w:name w:val="font171"/>
    <w:uiPriority w:val="0"/>
    <w:qFormat/>
    <w:rPr>
      <w:rFonts w:hint="eastAsia" w:ascii="宋体" w:hAnsi="宋体" w:eastAsia="宋体" w:cs="宋体"/>
      <w:b/>
      <w:bCs/>
      <w:color w:val="ff0000"/>
      <w:sz w:val="20"/>
      <w:szCs w:val="20"/>
      <w:u w:val="none"/>
    </w:rPr>
  </w:style>
  <w:style w:type="character" w:styleId="1046" w:customStyle="1">
    <w:name w:val="无间隔 字符"/>
    <w:basedOn w:val="692"/>
    <w:link w:val="780"/>
    <w:uiPriority w:val="1"/>
    <w:qFormat/>
    <w:rPr>
      <w:sz w:val="21"/>
      <w:szCs w:val="21"/>
    </w:rPr>
  </w:style>
  <w:style w:type="paragraph" w:styleId="1047" w:customStyle="1">
    <w:name w:val="TOC 标题11"/>
    <w:uiPriority w:val="39"/>
    <w:unhideWhenUsed/>
    <w:qFormat/>
    <w:rPr>
      <w:rFonts w:hint="default" w:ascii="Times New Roman" w:hAnsi="Times New Roman" w:eastAsia="宋体" w:cs="Times New Roman"/>
      <w:lang w:val="en-US" w:eastAsia="zh-CN" w:bidi="ar-SA"/>
    </w:rPr>
  </w:style>
  <w:style w:type="character" w:styleId="1048" w:customStyle="1">
    <w:name w:val="已访问的超链接1"/>
    <w:uiPriority w:val="0"/>
    <w:qFormat/>
    <w:rPr>
      <w:color w:val="800080"/>
      <w:u w:val="single"/>
    </w:rPr>
  </w:style>
  <w:style w:type="paragraph" w:styleId="1049" w:customStyle="1">
    <w:name w:val="Char1"/>
    <w:basedOn w:val="698"/>
    <w:uiPriority w:val="0"/>
    <w:qFormat/>
    <w:rPr>
      <w:rFonts w:ascii="Tahoma" w:hAnsi="Tahoma"/>
      <w:sz w:val="24"/>
      <w:szCs w:val="24"/>
    </w:rPr>
  </w:style>
  <w:style w:type="paragraph" w:styleId="1050"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1051" w:customStyle="1">
    <w:name w:val="Char Char Char Char1"/>
    <w:basedOn w:val="698"/>
    <w:uiPriority w:val="99"/>
    <w:qFormat/>
    <w:pPr>
      <w:spacing w:line="360" w:lineRule="auto"/>
    </w:pPr>
    <w:rPr>
      <w:rFonts w:ascii="Tahoma" w:hAnsi="Tahoma"/>
      <w:sz w:val="24"/>
      <w:szCs w:val="24"/>
    </w:rPr>
  </w:style>
  <w:style w:type="paragraph" w:styleId="10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3" w:customStyle="1">
    <w:name w:val="修订11"/>
    <w:uiPriority w:val="99"/>
    <w:semiHidden/>
    <w:qFormat/>
    <w:rPr>
      <w:rFonts w:hint="default" w:ascii="Times New Roman" w:hAnsi="Times New Roman" w:eastAsia="宋体" w:cs="Times New Roman"/>
      <w:sz w:val="21"/>
      <w:lang w:val="en-US" w:eastAsia="zh-CN" w:bidi="ar-SA"/>
    </w:rPr>
  </w:style>
  <w:style w:type="character" w:styleId="1054" w:customStyle="1">
    <w:name w:val="font112"/>
    <w:basedOn w:val="692"/>
    <w:uiPriority w:val="0"/>
    <w:qFormat/>
    <w:rPr>
      <w:rFonts w:ascii="Calibri" w:hAnsi="Calibri" w:cs="Calibri"/>
      <w:color w:val="000000"/>
      <w:sz w:val="22"/>
      <w:szCs w:val="22"/>
      <w:u w:val="none"/>
    </w:rPr>
  </w:style>
  <w:style w:type="character" w:styleId="1055" w:customStyle="1">
    <w:name w:val="font121"/>
    <w:basedOn w:val="692"/>
    <w:uiPriority w:val="0"/>
    <w:qFormat/>
    <w:rPr>
      <w:rFonts w:hint="default" w:ascii="Calibri" w:hAnsi="Calibri" w:cs="Calibri"/>
      <w:color w:val="ff0000"/>
      <w:sz w:val="22"/>
      <w:szCs w:val="22"/>
      <w:u w:val="none"/>
    </w:rPr>
  </w:style>
  <w:style w:type="character" w:styleId="1056" w:customStyle="1">
    <w:name w:val="font131"/>
    <w:basedOn w:val="692"/>
    <w:uiPriority w:val="0"/>
    <w:qFormat/>
    <w:rPr>
      <w:rFonts w:hint="eastAsia" w:ascii="宋体" w:hAnsi="宋体" w:eastAsia="宋体" w:cs="宋体"/>
      <w:color w:val="0070c0"/>
      <w:sz w:val="22"/>
      <w:szCs w:val="22"/>
      <w:u w:val="none"/>
    </w:rPr>
  </w:style>
  <w:style w:type="character" w:styleId="1057" w:customStyle="1">
    <w:name w:val="font141"/>
    <w:basedOn w:val="692"/>
    <w:uiPriority w:val="0"/>
    <w:qFormat/>
    <w:rPr>
      <w:rFonts w:hint="eastAsia" w:ascii="宋体" w:hAnsi="宋体" w:eastAsia="宋体" w:cs="宋体"/>
      <w:b/>
      <w:bCs/>
      <w:color w:val="ff0000"/>
      <w:sz w:val="22"/>
      <w:szCs w:val="22"/>
      <w:u w:val="none"/>
    </w:rPr>
  </w:style>
  <w:style w:type="character" w:styleId="1058" w:customStyle="1">
    <w:name w:val="font151"/>
    <w:basedOn w:val="692"/>
    <w:uiPriority w:val="0"/>
    <w:qFormat/>
    <w:rPr>
      <w:rFonts w:hint="default" w:ascii="Calibri" w:hAnsi="Calibri" w:cs="Calibri"/>
      <w:color w:val="000000"/>
      <w:sz w:val="22"/>
      <w:szCs w:val="22"/>
      <w:u w:val="none"/>
    </w:rPr>
  </w:style>
  <w:style w:type="character" w:styleId="1059" w:customStyle="1">
    <w:name w:val="font161"/>
    <w:basedOn w:val="692"/>
    <w:uiPriority w:val="0"/>
    <w:qFormat/>
    <w:rPr>
      <w:rFonts w:hint="default" w:ascii="Calibri" w:hAnsi="Calibri" w:cs="Calibri"/>
      <w:color w:val="000000"/>
      <w:sz w:val="22"/>
      <w:szCs w:val="22"/>
      <w:u w:val="none"/>
    </w:rPr>
  </w:style>
  <w:style w:type="character" w:styleId="1060" w:customStyle="1">
    <w:name w:val="font181"/>
    <w:basedOn w:val="692"/>
    <w:uiPriority w:val="0"/>
    <w:qFormat/>
    <w:rPr>
      <w:rFonts w:hint="default" w:ascii="Times New Roman" w:hAnsi="Times New Roman" w:cs="Times New Roman"/>
      <w:color w:val="ff0000"/>
      <w:sz w:val="22"/>
      <w:szCs w:val="22"/>
      <w:u w:val="none"/>
    </w:rPr>
  </w:style>
  <w:style w:type="paragraph" w:styleId="1061" w:customStyle="1">
    <w:name w:val="正文1"/>
    <w:basedOn w:val="682"/>
    <w:uiPriority w:val="0"/>
    <w:qFormat/>
    <w:pPr>
      <w:jc w:val="left"/>
      <w:spacing w:after="200" w:line="300" w:lineRule="atLeast"/>
      <w:widowControl/>
    </w:pPr>
    <w:rPr>
      <w:rFonts w:cs="宋体"/>
      <w:sz w:val="22"/>
    </w:rPr>
  </w:style>
  <w:style w:type="numbering" w:styleId="9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17</cp:revision>
  <dcterms:created xsi:type="dcterms:W3CDTF">2024-10-16T11:27:00Z</dcterms:created>
  <dcterms:modified xsi:type="dcterms:W3CDTF">2025-09-22T01:54:41Z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4A85F5026EBD4723AE2CD832FF846BC6_13</vt:lpwstr>
  </property>
  <property fmtid="{D5CDD505-2E9C-101B-9397-08002B2CF9AE}" pid="4" name="KSOTemplateDocerSaveRecord">
    <vt:lpwstr>eyJoZGlkIjoiYWEwNDBkZDVjMDI2NzVhN2Q2ZjdkYzk3NDg0ZWQ4YWQiLCJ1c2VySWQiOiI1Mzk3NjA2MDAifQ==</vt:lpwstr>
  </property>
</Properties>
</file>