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ind w:firstLine="0"/>
        <w:rPr>
          <w:rFonts w:hint="eastAsia" w:eastAsia="黑体"/>
          <w:b/>
          <w:bCs/>
          <w:sz w:val="84"/>
        </w:rPr>
      </w:pPr>
      <w:r>
        <w:rPr>
          <w:rFonts w:hint="eastAsia" w:eastAsia="黑体"/>
          <w:b/>
          <w:bCs/>
          <w:sz w:val="84"/>
        </w:rPr>
      </w:r>
      <w:r/>
    </w:p>
    <w:p>
      <w:pPr>
        <w:pStyle w:val="946"/>
        <w:ind w:firstLine="0"/>
        <w:jc w:val="center"/>
        <w:rPr>
          <w:rFonts w:hint="eastAsia" w:eastAsia="黑体"/>
          <w:b/>
          <w:bCs/>
          <w:sz w:val="84"/>
        </w:rPr>
      </w:pPr>
      <w:r>
        <w:rPr>
          <w:rFonts w:hint="eastAsia" w:eastAsia="黑体"/>
          <w:b/>
          <w:bCs/>
          <w:sz w:val="84"/>
        </w:rPr>
        <w:t xml:space="preserve">招　标　文　件</w:t>
      </w:r>
      <w:r/>
    </w:p>
    <w:p>
      <w:pPr>
        <w:pStyle w:val="946"/>
        <w:ind w:left="0" w:firstLine="0"/>
        <w:rPr>
          <w:rFonts w:hint="eastAsia"/>
          <w:b/>
          <w:bCs/>
          <w:sz w:val="32"/>
        </w:rPr>
      </w:pPr>
      <w:r>
        <w:rPr>
          <w:rFonts w:hint="eastAsia"/>
          <w:b/>
          <w:bCs/>
          <w:sz w:val="32"/>
        </w:rPr>
        <w:t xml:space="preserve">项目名称：江苏省统计局数字统计平台建设项目</w:t>
      </w:r>
      <w:r/>
    </w:p>
    <w:p>
      <w:pPr>
        <w:rPr>
          <w:rFonts w:hint="eastAsia"/>
          <w:b/>
          <w:bCs/>
          <w:sz w:val="32"/>
        </w:rPr>
      </w:pPr>
      <w:r>
        <w:rPr>
          <w:rFonts w:hint="eastAsia"/>
          <w:b/>
          <w:bCs/>
          <w:sz w:val="32"/>
        </w:rPr>
        <w:t xml:space="preserve">项目编号：JSZC-320000-SCZX-G2025-0537</w:t>
      </w:r>
      <w:r>
        <w:rPr>
          <w:rFonts w:hint="eastAsia"/>
          <w:b/>
          <w:bCs/>
          <w:sz w:val="32"/>
        </w:rPr>
        <w:tab/>
      </w:r>
      <w:r/>
    </w:p>
    <w:p>
      <w:pPr>
        <w:rPr>
          <w:b/>
          <w:sz w:val="30"/>
          <w:szCs w:val="30"/>
        </w:rPr>
      </w:pPr>
      <w:r>
        <w:rPr>
          <w:rFonts w:hint="eastAsia"/>
        </w:rPr>
        <w:t xml:space="preserve">         </w:t>
      </w:r>
      <w:r>
        <w:rPr>
          <w:rFonts w:hint="eastAsia"/>
          <w:b/>
          <w:sz w:val="30"/>
          <w:szCs w:val="30"/>
        </w:rPr>
        <w:t xml:space="preserve">   </w:t>
      </w:r>
      <w:r>
        <w:t xml:space="preserve">  </w:t>
      </w:r>
      <w:r>
        <w:rPr>
          <w:b/>
          <w:sz w:val="30"/>
          <w:szCs w:val="30"/>
        </w:rPr>
        <w:t xml:space="preserve"> （更正稿）</w:t>
      </w:r>
      <w:r/>
    </w:p>
    <w:p>
      <w:pPr>
        <w:ind w:left="2811" w:hanging="2811"/>
        <w:jc w:val="center"/>
        <w:rPr>
          <w:rFonts w:hint="eastAsia"/>
          <w:b/>
          <w:color w:val="ff0000"/>
          <w:sz w:val="28"/>
          <w:szCs w:val="28"/>
        </w:rPr>
      </w:pPr>
      <w:r>
        <w:rPr>
          <w:rFonts w:hint="eastAsia"/>
          <w:b/>
          <w:color w:val="ff0000"/>
          <w:sz w:val="28"/>
          <w:szCs w:val="28"/>
        </w:rPr>
      </w:r>
      <w:r/>
    </w:p>
    <w:p>
      <w:pPr>
        <w:ind w:left="2811" w:hanging="2811"/>
        <w:jc w:val="center"/>
        <w:rPr>
          <w:rFonts w:hint="eastAsia"/>
          <w:b/>
          <w:color w:val="ff0000"/>
          <w:sz w:val="28"/>
          <w:szCs w:val="28"/>
        </w:rPr>
      </w:pPr>
      <w:r>
        <w:rPr>
          <w:rFonts w:hint="eastAsia"/>
          <w:b/>
          <w:color w:val="ff0000"/>
          <w:sz w:val="28"/>
          <w:szCs w:val="28"/>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spacing w:before="0" w:after="0"/>
        <w:rPr>
          <w:rFonts w:hint="eastAsia" w:ascii="宋体" w:hAnsi="宋体"/>
        </w:rPr>
      </w:pPr>
      <w:r>
        <w:rPr>
          <w:rFonts w:hint="eastAsia" w:ascii="宋体" w:hAnsi="宋体"/>
        </w:rPr>
      </w:r>
      <w:r/>
    </w:p>
    <w:p>
      <w:pPr>
        <w:pStyle w:val="946"/>
        <w:ind w:firstLine="0"/>
        <w:jc w:val="center"/>
        <w:rPr>
          <w:rFonts w:hint="eastAsia"/>
          <w:b/>
          <w:bCs/>
          <w:sz w:val="32"/>
        </w:rPr>
      </w:pPr>
      <w:r>
        <w:rPr>
          <w:rFonts w:hint="eastAsia"/>
          <w:b/>
          <w:bCs/>
          <w:sz w:val="32"/>
        </w:rPr>
        <w:t xml:space="preserve">江苏省政府采购中心</w:t>
      </w:r>
      <w:r/>
    </w:p>
    <w:p>
      <w:pPr>
        <w:pStyle w:val="946"/>
        <w:ind w:firstLine="0"/>
        <w:jc w:val="center"/>
        <w:rPr>
          <w:rFonts w:hint="eastAsia"/>
          <w:b/>
          <w:bCs/>
          <w:sz w:val="32"/>
        </w:rPr>
      </w:pPr>
      <w:r>
        <w:rPr>
          <w:rFonts w:hint="eastAsia"/>
          <w:b/>
          <w:bCs/>
          <w:sz w:val="32"/>
          <w:lang w:val="en-US" w:eastAsia="zh-CN"/>
        </w:rPr>
        <w:t xml:space="preserve">2025</w:t>
      </w:r>
      <w:r>
        <w:rPr>
          <w:rFonts w:hint="eastAsia"/>
          <w:b/>
          <w:bCs/>
          <w:sz w:val="32"/>
        </w:rPr>
        <w:t xml:space="preserve">年</w:t>
      </w:r>
      <w:r>
        <w:rPr>
          <w:rFonts w:hint="eastAsia"/>
          <w:b/>
          <w:bCs/>
          <w:sz w:val="32"/>
          <w:lang w:val="en-US" w:eastAsia="zh-CN"/>
        </w:rPr>
        <w:t xml:space="preserve">10</w:t>
      </w:r>
      <w:r>
        <w:rPr>
          <w:rFonts w:hint="eastAsia"/>
          <w:b/>
          <w:bCs/>
          <w:sz w:val="32"/>
        </w:rPr>
        <w:t xml:space="preserve">月</w:t>
      </w:r>
      <w:r/>
    </w:p>
    <w:p>
      <w:pPr>
        <w:pStyle w:val="946"/>
        <w:ind w:firstLine="0"/>
        <w:rPr>
          <w:rFonts w:hint="eastAsia"/>
          <w:u w:val="single"/>
        </w:rPr>
      </w:pPr>
      <w:r>
        <w:rPr>
          <w:rFonts w:hint="eastAsia"/>
        </w:rPr>
        <w:t xml:space="preserve">                        </w:t>
      </w:r>
      <w:r/>
    </w:p>
    <w:p>
      <w:pPr>
        <w:pStyle w:val="946"/>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45</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6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受江苏省统计局的委托，江苏省政府采购中心就江苏省统计局数字统计平台建设项目(JSZC-320000-SCZX-G2025-0537)项目进行公开招标采购，欢迎符合条件的供应商投标。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江苏省统计局数字统计平台建设项目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2025</w:t>
      </w:r>
      <w:r>
        <w:rPr>
          <w:rFonts w:hint="eastAsia" w:ascii="宋体" w:hAnsi="宋体"/>
          <w:bCs/>
          <w:sz w:val="24"/>
          <w:szCs w:val="24"/>
          <w:u w:val="single"/>
        </w:rPr>
        <w:t xml:space="preserve">年11月</w:t>
      </w:r>
      <w:r>
        <w:rPr>
          <w:rFonts w:hint="eastAsia" w:ascii="宋体" w:hAnsi="宋体"/>
          <w:bCs/>
          <w:sz w:val="24"/>
          <w:szCs w:val="24"/>
          <w:u w:val="single"/>
          <w:lang w:val="en-US" w:eastAsia="zh-CN"/>
        </w:rPr>
        <w:t xml:space="preserve">17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64"/>
        <w:ind w:firstLine="498"/>
        <w:spacing w:before="145" w:after="145" w:line="400" w:lineRule="exact"/>
      </w:pPr>
      <w:r/>
      <w:bookmarkStart w:id="6" w:name="_Toc35393621"/>
      <w:r/>
      <w:bookmarkStart w:id="7" w:name="_Toc28359079"/>
      <w:r/>
      <w:bookmarkStart w:id="8" w:name="_Toc35393790"/>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1.项目编号：JSZC-320000-SCZX-G2025-0537</w:t>
      </w:r>
      <w:r>
        <w:rPr>
          <w:rFonts w:hint="eastAsia" w:ascii="宋体" w:hAnsi="宋体"/>
          <w:sz w:val="24"/>
          <w:szCs w:val="24"/>
        </w:rPr>
        <w:tab/>
      </w:r>
      <w:r/>
    </w:p>
    <w:p>
      <w:pPr>
        <w:ind w:firstLine="480"/>
        <w:spacing w:line="400" w:lineRule="exact"/>
        <w:rPr>
          <w:rFonts w:ascii="宋体" w:hAnsi="宋体"/>
          <w:sz w:val="24"/>
          <w:szCs w:val="24"/>
        </w:rPr>
      </w:pPr>
      <w:r>
        <w:rPr>
          <w:rFonts w:hint="eastAsia" w:ascii="宋体" w:hAnsi="宋体"/>
          <w:sz w:val="24"/>
          <w:szCs w:val="24"/>
        </w:rPr>
        <w:t xml:space="preserve">2.项目名称：江苏省统计局数字统计平台建设项目</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Style w:val="69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lang w:val="en-US"/>
              </w:rPr>
            </w:pPr>
            <w:r>
              <w:rPr>
                <w:rFonts w:ascii="Times New Roman" w:hAnsi="Times New Roman" w:cs="Times New Roman"/>
                <w:lang w:val="en-US" w:eastAsia="zh-CN"/>
              </w:rPr>
              <w:t xml:space="preserve">496.28</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Style w:val="69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p>
        </w:tc>
        <w:tc>
          <w:tcPr>
            <w:tcW w:w="3135" w:type="dxa"/>
            <w:vAlign w:val="top"/>
            <w:textDirection w:val="lrTb"/>
            <w:noWrap w:val="false"/>
          </w:tcPr>
          <w:p>
            <w:pPr>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vAlign w:val="top"/>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vAlign w:val="top"/>
            <w:textDirection w:val="lrTb"/>
            <w:noWrap w:val="false"/>
          </w:tcPr>
          <w:p>
            <w:pPr>
              <w:jc w:val="center"/>
              <w:spacing w:line="400" w:lineRule="exact"/>
              <w:rPr>
                <w:rFonts w:ascii="Times New Roman" w:hAnsi="Times New Roman" w:cs="Times New Roman"/>
              </w:rPr>
            </w:pPr>
            <w:r>
              <w:rPr>
                <w:rFonts w:ascii="Times New Roman" w:hAnsi="Times New Roman" w:cs="Times New Roman"/>
                <w:lang w:val="en-US" w:eastAsia="zh-CN"/>
              </w:rPr>
              <w:t xml:space="preserve">496.28 </w:t>
            </w:r>
            <w:r/>
          </w:p>
        </w:tc>
      </w:tr>
    </w:tbl>
    <w:p>
      <w:pPr>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eastAsia="宋体" w:cs="Times New Roman"/>
          <w:color w:val="000000"/>
          <w:sz w:val="24"/>
          <w:szCs w:val="24"/>
        </w:rPr>
        <w:t xml:space="preserve">江苏省统计局“数字统计”平台项目主要建设内容包括“数字统计”平台标准规范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联网直报数据回流子系统</w:t>
      </w:r>
      <w:r>
        <w:rPr>
          <w:rFonts w:hint="eastAsia" w:ascii="宋体" w:hAnsi="宋体" w:eastAsia="宋体" w:cs="Times New Roman"/>
          <w:color w:val="000000"/>
          <w:sz w:val="24"/>
          <w:szCs w:val="24"/>
          <w:lang w:eastAsia="zh-CN"/>
        </w:rPr>
        <w:t xml:space="preserve">、综合数据管理及应用子系统、省统计局旗舰店、一体化工作台、业务智能化模块</w:t>
      </w:r>
      <w:r>
        <w:rPr>
          <w:rFonts w:hint="eastAsia" w:ascii="宋体" w:hAnsi="宋体" w:eastAsia="宋体" w:cs="Times New Roman"/>
          <w:color w:val="000000"/>
          <w:sz w:val="24"/>
          <w:szCs w:val="24"/>
        </w:rPr>
        <w:t xml:space="preserve">等方面。</w:t>
      </w:r>
      <w:r>
        <w:rPr>
          <w:rFonts w:hint="eastAsia" w:ascii="宋体" w:hAnsi="宋体" w:cs="宋体"/>
          <w:sz w:val="24"/>
          <w:szCs w:val="24"/>
        </w:rPr>
        <w:t xml:space="preserve">（详细内容见本招标文件第四章）</w:t>
      </w:r>
      <w:r/>
    </w:p>
    <w:p>
      <w:pPr>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eastAsia="宋体" w:cs="Times New Roman"/>
          <w:color w:val="000000"/>
          <w:sz w:val="24"/>
          <w:szCs w:val="24"/>
        </w:rPr>
        <w:t xml:space="preserve">合同签订生效后</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个月内完成全部项目建设内容，并通过采购人组织的合同验收，正式交付使用；合同验收后，供应商需持续提供服务，协助采购人通过相关部门的竣工验收。</w:t>
      </w:r>
      <w:r/>
    </w:p>
    <w:p>
      <w:pPr>
        <w:pStyle w:val="864"/>
        <w:ind w:firstLine="498"/>
        <w:spacing w:before="145" w:after="145" w:line="400" w:lineRule="exact"/>
      </w:pPr>
      <w:r/>
      <w:bookmarkStart w:id="12" w:name="_Toc35393622"/>
      <w:r/>
      <w:bookmarkStart w:id="13" w:name="_Toc38985264"/>
      <w:r/>
      <w:bookmarkStart w:id="14" w:name="_Toc35393791"/>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eastAsia="宋体" w:cs="宋体"/>
          <w:sz w:val="24"/>
          <w:szCs w:val="24"/>
          <w:lang w:eastAsia="zh-CN"/>
        </w:rPr>
      </w:pPr>
      <w:r>
        <w:rPr>
          <w:rFonts w:hint="eastAsia" w:ascii="宋体" w:hAnsi="宋体"/>
          <w:sz w:val="24"/>
          <w:szCs w:val="24"/>
        </w:rPr>
        <w:t xml:space="preserve">3.落实政府采购政策需满足的资格要求：无</w:t>
      </w:r>
      <w:r>
        <w:rPr>
          <w:rFonts w:hint="eastAsia" w:ascii="宋体" w:hAnsi="宋体"/>
          <w:sz w:val="24"/>
          <w:szCs w:val="24"/>
          <w:lang w:eastAsia="zh-CN"/>
        </w:rPr>
        <w:t xml:space="preserve">。</w:t>
      </w:r>
      <w:r/>
    </w:p>
    <w:p>
      <w:pPr>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69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p>
        </w:tc>
        <w:tc>
          <w:tcPr>
            <w:tcW w:w="3191" w:type="dxa"/>
            <w:vAlign w:val="top"/>
            <w:textDirection w:val="lrTb"/>
            <w:noWrap w:val="false"/>
          </w:tcPr>
          <w:p>
            <w:pPr>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vAlign w:val="top"/>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vAlign w:val="top"/>
            <w:textDirection w:val="lrTb"/>
            <w:noWrap w:val="false"/>
          </w:tcPr>
          <w:p>
            <w:pPr>
              <w:jc w:val="center"/>
              <w:spacing w:line="400" w:lineRule="exact"/>
              <w:rPr>
                <w:rFonts w:hint="eastAsia" w:ascii="宋体" w:hAnsi="宋体" w:eastAsia="宋体"/>
                <w:lang w:eastAsia="zh-CN"/>
              </w:rPr>
            </w:pPr>
            <w:r>
              <w:rPr>
                <w:rFonts w:hint="eastAsia" w:ascii="宋体" w:hAnsi="宋体"/>
                <w:lang w:val="en-US" w:eastAsia="zh-CN"/>
              </w:rPr>
              <w:t xml:space="preserve">无</w:t>
            </w:r>
            <w:r/>
          </w:p>
        </w:tc>
      </w:tr>
    </w:tbl>
    <w:p>
      <w:pPr>
        <w:ind w:firstLine="480"/>
        <w:spacing w:line="400" w:lineRule="exact"/>
        <w:rPr>
          <w:rFonts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bookmarkEnd w:id="17"/>
      <w:bookmarkEnd w:id="18"/>
      <w:bookmarkEnd w:id="19"/>
      <w:bookmarkEnd w:id="20"/>
      <w:bookmarkEnd w:id="21"/>
      <w:r/>
    </w:p>
    <w:p>
      <w:pPr>
        <w:pStyle w:val="864"/>
        <w:ind w:firstLine="498"/>
        <w:spacing w:before="145" w:after="145" w:line="400" w:lineRule="exact"/>
      </w:pPr>
      <w:r/>
      <w:bookmarkStart w:id="22" w:name="_Toc28359005"/>
      <w:r/>
      <w:bookmarkStart w:id="23" w:name="_Toc28359082"/>
      <w:r/>
      <w:bookmarkStart w:id="24" w:name="_Toc38985266"/>
      <w:r/>
      <w:bookmarkStart w:id="25" w:name="_Toc35393793"/>
      <w:r/>
      <w:bookmarkStart w:id="26" w:name="_Toc35393624"/>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ascii="宋体" w:hAnsi="宋体"/>
          <w:sz w:val="24"/>
          <w:szCs w:val="24"/>
          <w:u w:val="single"/>
        </w:rPr>
        <w:t xml:space="preserve">2025</w:t>
      </w:r>
      <w:r>
        <w:rPr>
          <w:rFonts w:hint="eastAsia" w:ascii="宋体" w:hAnsi="宋体"/>
          <w:bCs/>
          <w:sz w:val="24"/>
          <w:szCs w:val="24"/>
          <w:u w:val="single"/>
        </w:rPr>
        <w:t xml:space="preserve">年11月</w:t>
      </w:r>
      <w:r>
        <w:rPr>
          <w:rFonts w:hint="eastAsia" w:ascii="宋体" w:hAnsi="宋体"/>
          <w:bCs/>
          <w:sz w:val="24"/>
          <w:szCs w:val="24"/>
          <w:u w:val="single"/>
          <w:lang w:val="en-US" w:eastAsia="zh-CN"/>
        </w:rPr>
        <w:t xml:space="preserve">17</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14</w:t>
      </w:r>
      <w:r>
        <w:rPr>
          <w:rFonts w:hint="eastAsia" w:ascii="宋体" w:hAnsi="宋体"/>
          <w:bCs/>
          <w:sz w:val="24"/>
          <w:szCs w:val="24"/>
          <w:u w:val="single"/>
        </w:rPr>
        <w:t xml:space="preserve">点30分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28359007"/>
      <w:r/>
      <w:bookmarkStart w:id="30" w:name="_Toc35393625"/>
      <w:r/>
      <w:bookmarkStart w:id="31" w:name="_Toc28359084"/>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64"/>
        <w:ind w:firstLine="498"/>
        <w:spacing w:before="145" w:after="145" w:line="400" w:lineRule="exact"/>
      </w:pPr>
      <w:r/>
      <w:bookmarkStart w:id="32" w:name="_Toc35393626"/>
      <w:r/>
      <w:bookmarkStart w:id="33" w:name="_Toc38985268"/>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864"/>
        <w:ind w:firstLine="498"/>
        <w:spacing w:before="145" w:after="145" w:line="400" w:lineRule="exact"/>
      </w:pPr>
      <w:r/>
      <w:bookmarkStart w:id="35" w:name="_Toc35393796"/>
      <w:r/>
      <w:bookmarkStart w:id="36" w:name="_Toc28359085"/>
      <w:r/>
      <w:bookmarkStart w:id="37" w:name="_Toc28359008"/>
      <w:r/>
      <w:bookmarkStart w:id="38" w:name="_Toc38985269"/>
      <w:r/>
      <w:bookmarkStart w:id="39" w:name="_Toc35393627"/>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40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名 称：</w:t>
      </w:r>
      <w:r>
        <w:rPr>
          <w:rFonts w:hint="eastAsia" w:ascii="宋体" w:hAnsi="宋体" w:eastAsia="宋体" w:cs="Times New Roman"/>
          <w:color w:val="000000"/>
          <w:sz w:val="24"/>
          <w:szCs w:val="24"/>
          <w:u w:val="single"/>
        </w:rPr>
        <w:t xml:space="preserve">江苏省</w:t>
      </w:r>
      <w:r>
        <w:rPr>
          <w:rFonts w:hint="eastAsia" w:ascii="宋体" w:hAnsi="宋体" w:eastAsia="宋体" w:cs="Times New Roman"/>
          <w:color w:val="000000"/>
          <w:sz w:val="24"/>
          <w:szCs w:val="24"/>
          <w:u w:val="single"/>
          <w:lang w:eastAsia="zh-CN"/>
        </w:rPr>
        <w:t xml:space="preserve">统计局</w:t>
      </w:r>
      <w:r/>
    </w:p>
    <w:p>
      <w:pPr>
        <w:ind w:left="1079" w:hanging="300"/>
        <w:jc w:val="left"/>
        <w:spacing w:line="40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地址：</w:t>
      </w:r>
      <w:r>
        <w:rPr>
          <w:rFonts w:hint="eastAsia" w:ascii="宋体" w:hAnsi="宋体" w:eastAsia="宋体" w:cs="Times New Roman"/>
          <w:color w:val="000000"/>
          <w:sz w:val="24"/>
          <w:szCs w:val="24"/>
          <w:u w:val="single"/>
        </w:rPr>
        <w:t xml:space="preserve">南京市</w:t>
      </w:r>
      <w:r>
        <w:rPr>
          <w:rFonts w:hint="eastAsia" w:ascii="宋体" w:hAnsi="宋体" w:eastAsia="宋体" w:cs="Times New Roman"/>
          <w:color w:val="000000"/>
          <w:sz w:val="24"/>
          <w:szCs w:val="24"/>
          <w:u w:val="single"/>
          <w:lang w:val="en-US" w:eastAsia="zh-CN"/>
        </w:rPr>
        <w:t xml:space="preserve">汉中门大街145号</w:t>
      </w:r>
      <w:r/>
    </w:p>
    <w:p>
      <w:pPr>
        <w:ind w:left="1079" w:hanging="300"/>
        <w:jc w:val="left"/>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w:t>
      </w:r>
      <w:r>
        <w:rPr>
          <w:rFonts w:hint="eastAsia" w:ascii="宋体" w:hAnsi="宋体" w:eastAsia="宋体" w:cs="Times New Roman"/>
          <w:color w:val="000000"/>
          <w:sz w:val="24"/>
          <w:szCs w:val="24"/>
          <w:u w:val="single"/>
          <w:lang w:eastAsia="zh-CN"/>
        </w:rPr>
        <w:t xml:space="preserve">黄</w:t>
      </w:r>
      <w:r>
        <w:rPr>
          <w:rFonts w:hint="eastAsia" w:ascii="宋体" w:hAnsi="宋体" w:eastAsia="宋体" w:cs="Times New Roman"/>
          <w:color w:val="000000"/>
          <w:sz w:val="24"/>
          <w:szCs w:val="24"/>
          <w:u w:val="single"/>
        </w:rPr>
        <w:t xml:space="preserve">女士</w:t>
      </w:r>
      <w:r/>
    </w:p>
    <w:p>
      <w:pPr>
        <w:ind w:left="1079" w:hanging="300"/>
        <w:jc w:val="left"/>
        <w:spacing w:line="400" w:lineRule="exact"/>
        <w:rPr>
          <w:rFonts w:ascii="宋体" w:hAnsi="宋体"/>
          <w:sz w:val="24"/>
          <w:szCs w:val="24"/>
          <w:u w:val="single"/>
        </w:rPr>
      </w:pPr>
      <w:r>
        <w:rPr>
          <w:rFonts w:hint="eastAsia" w:ascii="宋体" w:hAnsi="宋体" w:eastAsia="宋体" w:cs="Times New Roman"/>
          <w:color w:val="000000"/>
          <w:sz w:val="24"/>
          <w:szCs w:val="24"/>
        </w:rPr>
        <w:t xml:space="preserve">联系方式：</w:t>
      </w:r>
      <w:r>
        <w:rPr>
          <w:rFonts w:hint="eastAsia" w:ascii="宋体" w:hAnsi="宋体" w:eastAsia="宋体" w:cs="Times New Roman"/>
          <w:color w:val="000000"/>
          <w:sz w:val="24"/>
          <w:szCs w:val="24"/>
          <w:u w:val="single"/>
        </w:rPr>
        <w:t xml:space="preserve">025-85796253 </w:t>
      </w:r>
      <w:bookmarkStart w:id="40" w:name="_Toc28359086"/>
      <w:r/>
      <w:bookmarkStart w:id="41"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王烨、唐文</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025</w:t>
      </w:r>
      <w:r>
        <w:rPr>
          <w:rFonts w:hint="eastAsia" w:ascii="宋体" w:hAnsi="宋体"/>
          <w:sz w:val="24"/>
          <w:szCs w:val="24"/>
          <w:u w:val="single"/>
          <w:lang w:val="en-US" w:eastAsia="zh-CN"/>
        </w:rPr>
        <w:t xml:space="preserve">-</w:t>
      </w:r>
      <w:r>
        <w:rPr>
          <w:rFonts w:hint="eastAsia" w:ascii="宋体" w:hAnsi="宋体"/>
          <w:sz w:val="24"/>
          <w:szCs w:val="24"/>
          <w:u w:val="single"/>
        </w:rPr>
        <w:t xml:space="preserve">83668550、83668519</w:t>
      </w:r>
      <w:bookmarkEnd w:id="42"/>
      <w:bookmarkEnd w:id="43"/>
      <w:r/>
    </w:p>
    <w:p>
      <w:pPr>
        <w:pStyle w:val="864"/>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fldChar w:fldCharType="begin"/>
      </w:r>
      <w:r>
        <w:rPr>
          <w:bCs/>
        </w:rPr>
        <w:instrText xml:space="preserve"> HYPERLINK "http://www.ccgp-jiangsu.gov.cn/jiangsu/zlxz/ee/ee3a4bc5a3454aa2b0d9312230633ce9.html" </w:instrText>
      </w:r>
      <w:r>
        <w:rPr>
          <w:bCs/>
        </w:rPr>
        <w:fldChar w:fldCharType="separate"/>
      </w:r>
      <w:r>
        <w:rPr>
          <w:rStyle w:val="934"/>
          <w:bCs/>
        </w:rPr>
        <w:t xml:space="preserve">http://www.ccgp-jiangsu.gov.cn/jiangsu/zlxz/ee/ee3a4bc5a3454aa2b0d9312230633ce9.html</w:t>
      </w:r>
      <w:r>
        <w:rPr>
          <w:bCs/>
        </w:rPr>
        <w:fldChar w:fldCharType="end"/>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62"/>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
    </w:p>
    <w:p>
      <w:pPr>
        <w:pStyle w:val="864"/>
        <w:ind w:firstLine="498"/>
        <w:spacing w:before="145" w:after="145" w:line="400" w:lineRule="exact"/>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
    </w:p>
    <w:p>
      <w:pPr>
        <w:pStyle w:val="865"/>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65"/>
        <w:ind w:firstLine="420"/>
        <w:spacing w:before="0" w:after="0" w:line="40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65"/>
        <w:ind w:firstLine="420"/>
        <w:spacing w:before="0" w:after="0" w:line="400" w:lineRule="exact"/>
        <w:rPr>
          <w:rFonts w:hint="eastAsia"/>
          <w:b w:val="0"/>
          <w:bCs w:val="0"/>
        </w:rPr>
      </w:pPr>
      <w:r/>
      <w:bookmarkStart w:id="61" w:name="_Toc20823278"/>
      <w:r/>
      <w:bookmarkStart w:id="62" w:name="_Toc16938522"/>
      <w:r/>
      <w:bookmarkStart w:id="63" w:name="_Toc513029206"/>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65"/>
        <w:ind w:firstLine="420"/>
        <w:spacing w:before="0" w:after="0" w:line="400" w:lineRule="exact"/>
        <w:rPr>
          <w:rFonts w:hint="eastAsia"/>
          <w:b w:val="0"/>
          <w:bCs w:val="0"/>
        </w:rPr>
      </w:pPr>
      <w:r/>
      <w:bookmarkStart w:id="64" w:name="_Toc20823279"/>
      <w:r/>
      <w:bookmarkStart w:id="65" w:name="_Toc513029207"/>
      <w:r/>
      <w:bookmarkStart w:id="66" w:name="_Toc16938523"/>
      <w:r/>
      <w:bookmarkStart w:id="67" w:name="_Toc462564067"/>
      <w:r>
        <w:rPr>
          <w:rFonts w:hint="eastAsia"/>
          <w:b w:val="0"/>
          <w:bCs w:val="0"/>
        </w:rPr>
        <w:t xml:space="preserve">4、投标费用</w:t>
      </w:r>
      <w:bookmarkEnd w:id="64"/>
      <w:r/>
      <w:bookmarkEnd w:id="65"/>
      <w:r/>
      <w:bookmarkEnd w:id="66"/>
      <w:r/>
      <w:bookmarkEnd w:id="67"/>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65"/>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64"/>
        <w:ind w:firstLine="321"/>
        <w:spacing w:before="145" w:after="145" w:line="400" w:lineRule="exact"/>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
    </w:p>
    <w:p>
      <w:pPr>
        <w:pStyle w:val="865"/>
        <w:ind w:firstLine="420"/>
        <w:spacing w:before="0" w:after="0" w:line="400" w:lineRule="exact"/>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5"/>
        <w:ind w:firstLine="560"/>
        <w:spacing w:before="0" w:after="0" w:line="400" w:lineRule="exact"/>
        <w:rPr>
          <w:rFonts w:hint="eastAsia"/>
          <w:b w:val="0"/>
          <w:bCs w:val="0"/>
        </w:rPr>
      </w:pPr>
      <w:r/>
      <w:bookmarkStart w:id="75" w:name="_Toc462564071"/>
      <w:r/>
      <w:bookmarkStart w:id="76" w:name="_Toc16938528"/>
      <w:r/>
      <w:bookmarkStart w:id="77" w:name="_Toc513029212"/>
      <w:r/>
      <w:bookmarkStart w:id="78" w:name="_Toc20823284"/>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64"/>
        <w:ind w:firstLine="482"/>
        <w:spacing w:before="145" w:after="145" w:line="400" w:lineRule="exact"/>
        <w:rPr>
          <w:rFonts w:hint="eastAsia"/>
        </w:rPr>
      </w:pPr>
      <w:r/>
      <w:bookmarkStart w:id="79" w:name="_Toc120614216"/>
      <w:r/>
      <w:bookmarkStart w:id="80" w:name="_Toc20823285"/>
      <w:r/>
      <w:bookmarkStart w:id="81" w:name="_Toc462564072"/>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
    </w:p>
    <w:p>
      <w:pPr>
        <w:pStyle w:val="865"/>
        <w:ind w:firstLine="560"/>
        <w:spacing w:before="0" w:after="0" w:line="400" w:lineRule="exact"/>
        <w:rPr>
          <w:rFonts w:hint="eastAsia"/>
          <w:bCs w:val="0"/>
        </w:rPr>
      </w:pPr>
      <w:r/>
      <w:bookmarkStart w:id="84" w:name="_Toc16938530"/>
      <w:r/>
      <w:bookmarkStart w:id="85" w:name="_Toc513029214"/>
      <w:r/>
      <w:bookmarkStart w:id="86" w:name="_Toc20823286"/>
      <w:r/>
      <w:bookmarkStart w:id="87" w:name="_Toc462564073"/>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65"/>
        <w:ind w:firstLine="420"/>
        <w:spacing w:before="0" w:after="0" w:line="400" w:lineRule="exact"/>
        <w:rPr>
          <w:rFonts w:hint="eastAsia"/>
          <w:b w:val="0"/>
          <w:bCs w:val="0"/>
        </w:rPr>
      </w:pPr>
      <w:r/>
      <w:bookmarkStart w:id="88" w:name="_Toc16938531"/>
      <w:r/>
      <w:bookmarkStart w:id="89" w:name="_Toc20823287"/>
      <w:r/>
      <w:bookmarkStart w:id="90" w:name="_Toc513029215"/>
      <w:r/>
      <w:bookmarkStart w:id="91" w:name="_Toc462564074"/>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65"/>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14577357"/>
      <w:r/>
      <w:bookmarkStart w:id="96" w:name="_Toc513029219"/>
      <w:r/>
      <w:bookmarkStart w:id="97" w:name="_Toc49090509"/>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bookmarkEnd w:id="98"/>
      <w:bookmarkEnd w:id="99"/>
      <w:bookmarkEnd w:id="100"/>
      <w:r/>
    </w:p>
    <w:p>
      <w:pPr>
        <w:spacing w:line="400" w:lineRule="exact"/>
        <w:rPr>
          <w:rFonts w:hint="eastAsia" w:ascii="宋体" w:hAnsi="宋体"/>
          <w:sz w:val="24"/>
          <w:szCs w:val="24"/>
        </w:rPr>
      </w:pPr>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65"/>
        <w:ind w:firstLine="420"/>
        <w:spacing w:before="0" w:after="0" w:line="400" w:lineRule="exact"/>
        <w:rPr>
          <w:rFonts w:hint="eastAsia"/>
          <w:b w:val="0"/>
          <w:bCs w:val="0"/>
        </w:rPr>
      </w:pPr>
      <w:r/>
      <w:bookmarkStart w:id="106" w:name="_Hlt26670403"/>
      <w:r/>
      <w:bookmarkEnd w:id="106"/>
      <w:r/>
      <w:bookmarkStart w:id="107" w:name="_Hlt26670482"/>
      <w:r/>
      <w:bookmarkEnd w:id="107"/>
      <w:r/>
      <w:bookmarkStart w:id="108" w:name="_Hlt26954842"/>
      <w:r/>
      <w:bookmarkEnd w:id="108"/>
      <w:r/>
      <w:bookmarkStart w:id="109" w:name="_Hlt26954846"/>
      <w:r/>
      <w:bookmarkEnd w:id="109"/>
      <w:r/>
      <w:bookmarkStart w:id="110" w:name="_Hlt26670425"/>
      <w:r/>
      <w:bookmarkEnd w:id="110"/>
      <w:r/>
      <w:bookmarkStart w:id="111" w:name="_Hlt26668983"/>
      <w:r/>
      <w:bookmarkEnd w:id="111"/>
      <w:r/>
      <w:bookmarkStart w:id="112" w:name="_Hlt26670486"/>
      <w:r/>
      <w:bookmarkEnd w:id="112"/>
      <w:r/>
      <w:bookmarkStart w:id="113" w:name="_Hlt26954731"/>
      <w:r/>
      <w:bookmarkEnd w:id="113"/>
      <w:r/>
      <w:bookmarkStart w:id="114" w:name="_Hlt26954844"/>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6"/>
      <w:bookmarkEnd w:id="117"/>
      <w:r/>
    </w:p>
    <w:p>
      <w:pPr>
        <w:pStyle w:val="865"/>
        <w:ind w:firstLine="420"/>
        <w:spacing w:before="0" w:after="0" w:line="400" w:lineRule="exact"/>
        <w:rPr>
          <w:rFonts w:hint="eastAsia"/>
          <w:b w:val="0"/>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65"/>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64"/>
        <w:ind w:firstLine="482"/>
        <w:spacing w:before="145" w:after="145" w:line="400" w:lineRule="exact"/>
        <w:rPr>
          <w:rFonts w:hint="eastAsia"/>
        </w:rPr>
      </w:pPr>
      <w:r/>
      <w:bookmarkStart w:id="123" w:name="_Hlt26954739"/>
      <w:r/>
      <w:bookmarkEnd w:id="123"/>
      <w:r/>
      <w:bookmarkStart w:id="124" w:name="_Hlt26954852"/>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
    </w:p>
    <w:p>
      <w:pPr>
        <w:pStyle w:val="865"/>
        <w:ind w:firstLine="560"/>
        <w:spacing w:before="0" w:after="0" w:line="400" w:lineRule="exact"/>
        <w:rPr>
          <w:rFonts w:hint="eastAsia" w:ascii="黑体"/>
          <w:b w:val="0"/>
          <w:bCs w:val="0"/>
        </w:rPr>
      </w:pPr>
      <w:r/>
      <w:bookmarkStart w:id="129" w:name="_Toc20823297"/>
      <w:r/>
      <w:bookmarkStart w:id="130" w:name="_Toc16938541"/>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971"/>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865"/>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65"/>
        <w:ind w:firstLine="420"/>
        <w:spacing w:before="0" w:after="0" w:line="400" w:lineRule="exact"/>
        <w:rPr>
          <w:rFonts w:hint="eastAsia"/>
          <w:b w:val="0"/>
          <w:bCs w:val="0"/>
        </w:rPr>
      </w:pPr>
      <w:r/>
      <w:bookmarkStart w:id="136" w:name="_Toc16938543"/>
      <w:r/>
      <w:bookmarkStart w:id="137" w:name="_Toc513029227"/>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65"/>
        <w:ind w:firstLine="420"/>
        <w:spacing w:before="0" w:after="0" w:line="400" w:lineRule="exact"/>
        <w:rPr>
          <w:rFonts w:hint="eastAsia"/>
          <w:b w:val="0"/>
          <w:bCs w:val="0"/>
        </w:rPr>
      </w:pPr>
      <w:r/>
      <w:bookmarkStart w:id="139" w:name="_Toc16938544"/>
      <w:r/>
      <w:bookmarkStart w:id="140" w:name="_Toc513029228"/>
      <w:r/>
      <w:bookmarkStart w:id="141" w:name="_Toc20823300"/>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64"/>
        <w:ind w:firstLine="482"/>
        <w:spacing w:before="145" w:after="145" w:line="400" w:lineRule="exact"/>
        <w:rPr>
          <w:rFonts w:hint="eastAsia"/>
        </w:rPr>
      </w:pPr>
      <w:r/>
      <w:bookmarkStart w:id="142" w:name="_Toc513029229"/>
      <w:r/>
      <w:bookmarkStart w:id="143" w:name="_Toc120614218"/>
      <w:r/>
      <w:bookmarkStart w:id="144" w:name="_Toc16938545"/>
      <w:r/>
      <w:bookmarkStart w:id="145" w:name="_Toc20823301"/>
      <w:r>
        <w:rPr>
          <w:rFonts w:hint="eastAsia"/>
        </w:rPr>
        <w:t xml:space="preserve">五、开标与评标</w:t>
      </w:r>
      <w:bookmarkEnd w:id="142"/>
      <w:r/>
      <w:bookmarkEnd w:id="143"/>
      <w:r/>
      <w:bookmarkEnd w:id="144"/>
      <w:r/>
      <w:bookmarkEnd w:id="145"/>
      <w:r/>
      <w:r/>
    </w:p>
    <w:p>
      <w:pPr>
        <w:pStyle w:val="865"/>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865"/>
        <w:ind w:firstLine="420"/>
        <w:spacing w:before="0" w:after="0" w:line="400" w:lineRule="exact"/>
        <w:rPr>
          <w:rFonts w:hint="eastAsia"/>
          <w:b w:val="0"/>
          <w:bCs w:val="0"/>
        </w:rPr>
      </w:pPr>
      <w:r/>
      <w:bookmarkStart w:id="149" w:name="_Toc16938547"/>
      <w:r/>
      <w:bookmarkStart w:id="150" w:name="_Toc20823303"/>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p>
    <w:p>
      <w:pPr>
        <w:pStyle w:val="865"/>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bookmarkEnd w:id="150"/>
      <w:bookmarkEnd w:id="151"/>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865"/>
        <w:ind w:firstLine="420"/>
        <w:spacing w:before="0" w:after="0" w:line="400" w:lineRule="exact"/>
        <w:rPr>
          <w:rFonts w:hint="eastAsia"/>
          <w:b w:val="0"/>
          <w:bCs w:val="0"/>
        </w:rPr>
      </w:pPr>
      <w:r/>
      <w:bookmarkStart w:id="152" w:name="_Toc16938548"/>
      <w:r/>
      <w:bookmarkStart w:id="153" w:name="_Toc20823304"/>
      <w:r/>
      <w:bookmarkStart w:id="154" w:name="_Toc513029232"/>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p>
    <w:p>
      <w:pPr>
        <w:pStyle w:val="865"/>
        <w:ind w:firstLine="420"/>
        <w:spacing w:before="0" w:after="0" w:line="400" w:lineRule="exact"/>
        <w:rPr>
          <w:rFonts w:hint="eastAsia"/>
          <w:b w:val="0"/>
          <w:bCs w:val="0"/>
        </w:rPr>
      </w:pPr>
      <w:r/>
      <w:bookmarkStart w:id="155" w:name="_Toc20823305"/>
      <w:r/>
      <w:bookmarkStart w:id="156" w:name="_Toc513029233"/>
      <w:r/>
      <w:bookmarkStart w:id="157"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00" w:lineRule="exact"/>
        <w:rPr>
          <w:rFonts w:hint="eastAsia" w:ascii="宋体" w:hAnsi="宋体" w:eastAsia="宋体" w:cs="Times New Roman"/>
          <w:sz w:val="24"/>
        </w:rPr>
      </w:pPr>
      <w:r/>
      <w:bookmarkStart w:id="158" w:name="_Toc20823306"/>
      <w:r/>
      <w:bookmarkStart w:id="159" w:name="_Toc513029234"/>
      <w:r/>
      <w:bookmarkStart w:id="160"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w:t>
      </w:r>
      <w:r>
        <w:rPr>
          <w:rFonts w:hint="eastAsia" w:ascii="宋体" w:hAnsi="宋体" w:eastAsia="宋体" w:cs="Times New Roman"/>
          <w:sz w:val="24"/>
        </w:rPr>
        <w:t xml:space="preserve">关信息，并安排专人与采购中心及评标委员会联系。</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24.7 异常低价投标审查</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24.7.1 评标过程中出现下列情形之一的，评标委员会应当启动异常低价投标审查程序：</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（1）投标报价低于采购项目预算50%的，即投标报价＜采购项目预算×50%；</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（2）投标报价低于采购项目最高限价45%的，即投标报价＜采购项目最高限价×45%；</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（3）评标委员会认定的供应商报价过低、有可能影响产品质量或者不能诚信履约的其他情形。</w:t>
      </w:r>
      <w:r/>
    </w:p>
    <w:p>
      <w:pPr>
        <w:ind w:firstLine="480"/>
        <w:spacing w:line="400" w:lineRule="exact"/>
        <w:rPr>
          <w:rFonts w:hint="eastAsia" w:ascii="宋体" w:hAnsi="宋体" w:eastAsia="宋体" w:cs="Times New Roman"/>
          <w:sz w:val="24"/>
        </w:rPr>
      </w:pPr>
      <w:r>
        <w:rPr>
          <w:rFonts w:hint="eastAsia" w:ascii="宋体" w:hAnsi="宋体" w:eastAsia="宋体" w:cs="Times New Roman"/>
          <w:sz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65"/>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ind w:left="479"/>
        <w:spacing w:line="4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25.1.9 投标文件含有采购人不能接受的附加条件的。</w:t>
      </w:r>
      <w:r/>
    </w:p>
    <w:p>
      <w:pPr>
        <w:ind w:firstLine="480"/>
        <w:spacing w:line="400" w:lineRule="exact"/>
        <w:rPr>
          <w:rFonts w:hint="eastAsia" w:ascii="宋体" w:hAnsi="宋体" w:eastAsia="宋体" w:cs="Times New Roman"/>
          <w:bCs/>
          <w:sz w:val="24"/>
        </w:rPr>
      </w:pPr>
      <w:r>
        <w:rPr>
          <w:rFonts w:hint="eastAsia" w:ascii="宋体" w:hAnsi="宋体" w:eastAsia="宋体" w:cs="Times New Roman"/>
          <w:bCs/>
          <w:sz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64"/>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865"/>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64"/>
        <w:spacing w:before="145" w:after="145" w:line="400" w:lineRule="exact"/>
        <w:rPr>
          <w:rFonts w:hint="eastAsia"/>
        </w:rPr>
      </w:pPr>
      <w:r/>
      <w:bookmarkStart w:id="169" w:name="_Toc120614220"/>
      <w:r/>
      <w:bookmarkStart w:id="170" w:name="_Toc16938552"/>
      <w:r/>
      <w:bookmarkStart w:id="171" w:name="_Toc20823308"/>
      <w:r/>
      <w:bookmarkStart w:id="172" w:name="_Toc513029236"/>
      <w:r>
        <w:rPr>
          <w:rFonts w:hint="eastAsia"/>
        </w:rPr>
        <w:t xml:space="preserve">七、授予合同</w:t>
      </w:r>
      <w:bookmarkEnd w:id="169"/>
      <w:r/>
      <w:bookmarkEnd w:id="170"/>
      <w:bookmarkEnd w:id="171"/>
      <w:bookmarkEnd w:id="172"/>
      <w:r/>
    </w:p>
    <w:p>
      <w:pPr>
        <w:pStyle w:val="865"/>
        <w:ind w:firstLine="600"/>
        <w:spacing w:before="0" w:after="0" w:line="400" w:lineRule="exact"/>
        <w:rPr>
          <w:rFonts w:hint="eastAsia" w:ascii="黑体" w:hAnsi="宋体" w:cs="Times New Roman"/>
          <w:b w:val="0"/>
          <w:sz w:val="30"/>
          <w:szCs w:val="30"/>
        </w:rPr>
      </w:pPr>
      <w:r/>
      <w:bookmarkStart w:id="173" w:name="_Toc16938553"/>
      <w:r/>
      <w:bookmarkStart w:id="174" w:name="_Toc513029237"/>
      <w:r/>
      <w:bookmarkStart w:id="175"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65"/>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r/>
    </w:p>
    <w:p>
      <w:pPr>
        <w:pStyle w:val="865"/>
        <w:ind w:firstLine="600"/>
        <w:spacing w:before="0" w:after="0" w:line="400" w:lineRule="exact"/>
        <w:rPr>
          <w:rFonts w:ascii="黑体" w:hAnsi="宋体" w:cs="Times New Roman"/>
          <w:b w:val="0"/>
          <w:sz w:val="30"/>
          <w:szCs w:val="30"/>
        </w:rPr>
      </w:pPr>
      <w:r/>
      <w:bookmarkStart w:id="176" w:name="_Toc20823314"/>
      <w:r/>
      <w:bookmarkStart w:id="177" w:name="_Toc479757207"/>
      <w:r/>
      <w:bookmarkStart w:id="178" w:name="_Toc16938558"/>
      <w:r/>
      <w:bookmarkStart w:id="179" w:name="_Toc513029242"/>
      <w:r/>
      <w:bookmarkStart w:id="180" w:name="_Toc12061422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863"/>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863"/>
        <w:spacing w:line="400" w:lineRule="exact"/>
        <w:rPr>
          <w:rFonts w:hint="eastAsia" w:ascii="宋体" w:hAnsi="宋体"/>
          <w:bCs/>
          <w:sz w:val="2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Cs/>
          <w:sz w:val="24"/>
        </w:rPr>
      </w:r>
      <w:r/>
    </w:p>
    <w:p>
      <w:pPr>
        <w:pStyle w:val="861"/>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jc w:val="center"/>
        <w:spacing w:before="145" w:after="145"/>
        <w:rPr>
          <w:rFonts w:hint="eastAsia" w:ascii="宋体" w:hAnsi="宋体"/>
          <w:b/>
          <w:sz w:val="30"/>
        </w:rPr>
        <w:outlineLvl w:val="0"/>
      </w:pPr>
      <w:r/>
      <w:bookmarkStart w:id="181" w:name="_Toc16938559"/>
      <w:r/>
      <w:bookmarkStart w:id="182" w:name="_Toc513029243"/>
      <w:r/>
      <w:bookmarkStart w:id="183" w:name="_Toc20823315"/>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898"/>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898"/>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89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89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89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898"/>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898"/>
        <w:spacing w:before="120" w:after="120"/>
        <w:rPr>
          <w:rFonts w:hint="eastAsia" w:hAnsi="宋体"/>
          <w:sz w:val="24"/>
          <w:szCs w:val="24"/>
        </w:rPr>
      </w:pPr>
      <w:r>
        <w:rPr>
          <w:rFonts w:hint="eastAsia" w:hAnsi="宋体"/>
          <w:sz w:val="24"/>
          <w:szCs w:val="24"/>
        </w:rPr>
        <w:t xml:space="preserve">1.3 标的数量（规模）：</w:t>
      </w:r>
      <w:r/>
    </w:p>
    <w:p>
      <w:pPr>
        <w:pStyle w:val="898"/>
        <w:spacing w:before="120" w:after="120"/>
        <w:rPr>
          <w:rFonts w:hint="eastAsia" w:hAnsi="宋体"/>
          <w:sz w:val="24"/>
          <w:szCs w:val="24"/>
        </w:rPr>
      </w:pPr>
      <w:r>
        <w:rPr>
          <w:rFonts w:hint="eastAsia" w:hAnsi="宋体"/>
          <w:sz w:val="24"/>
          <w:szCs w:val="24"/>
        </w:rPr>
        <w:t xml:space="preserve">1.4 履行时间（期限）：</w:t>
      </w:r>
      <w:r/>
    </w:p>
    <w:p>
      <w:pPr>
        <w:pStyle w:val="898"/>
        <w:spacing w:before="120" w:after="120"/>
        <w:rPr>
          <w:rFonts w:hAnsi="宋体"/>
          <w:sz w:val="24"/>
          <w:szCs w:val="24"/>
        </w:rPr>
      </w:pPr>
      <w:r>
        <w:rPr>
          <w:rFonts w:hint="eastAsia" w:hAnsi="宋体"/>
          <w:sz w:val="24"/>
          <w:szCs w:val="24"/>
        </w:rPr>
        <w:t xml:space="preserve">1.5 履行地点：</w:t>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898"/>
        <w:spacing w:before="120" w:after="120"/>
        <w:rPr>
          <w:rFonts w:hAnsi="宋体"/>
          <w:b/>
          <w:sz w:val="24"/>
          <w:szCs w:val="24"/>
        </w:rPr>
      </w:pPr>
      <w:r>
        <w:rPr>
          <w:rFonts w:hAnsi="宋体"/>
          <w:b/>
          <w:sz w:val="24"/>
          <w:szCs w:val="24"/>
        </w:rPr>
        <w:t xml:space="preserve">二、合同金额</w:t>
      </w:r>
      <w:r/>
    </w:p>
    <w:p>
      <w:pPr>
        <w:pStyle w:val="898"/>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898"/>
        <w:spacing w:before="120" w:after="120"/>
        <w:rPr>
          <w:rFonts w:hAnsi="宋体"/>
          <w:b/>
          <w:sz w:val="24"/>
          <w:szCs w:val="24"/>
        </w:rPr>
      </w:pPr>
      <w:r>
        <w:rPr>
          <w:rFonts w:hAnsi="宋体"/>
          <w:b/>
          <w:sz w:val="24"/>
          <w:szCs w:val="24"/>
        </w:rPr>
        <w:t xml:space="preserve">三、技术资料</w:t>
      </w:r>
      <w:r/>
    </w:p>
    <w:p>
      <w:pPr>
        <w:pStyle w:val="898"/>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898"/>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8"/>
        <w:ind w:left="412" w:hanging="412"/>
        <w:spacing w:before="120" w:after="120"/>
        <w:rPr>
          <w:rFonts w:hAnsi="宋体"/>
          <w:b/>
          <w:sz w:val="24"/>
          <w:szCs w:val="24"/>
        </w:rPr>
      </w:pPr>
      <w:r>
        <w:rPr>
          <w:rFonts w:hAnsi="宋体"/>
          <w:b/>
          <w:sz w:val="24"/>
          <w:szCs w:val="24"/>
        </w:rPr>
        <w:t xml:space="preserve">四、知识产权</w:t>
      </w:r>
      <w:r/>
    </w:p>
    <w:p>
      <w:pPr>
        <w:pStyle w:val="898"/>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98"/>
        <w:spacing w:before="120" w:after="120"/>
        <w:rPr>
          <w:rFonts w:hAnsi="宋体"/>
          <w:sz w:val="24"/>
          <w:szCs w:val="24"/>
          <w:u w:val="single"/>
        </w:rPr>
      </w:pPr>
      <w:r>
        <w:rPr>
          <w:rFonts w:hAnsi="宋体"/>
          <w:b/>
          <w:sz w:val="24"/>
          <w:szCs w:val="24"/>
        </w:rPr>
        <w:t xml:space="preserve">五、产权担保</w:t>
      </w:r>
      <w:r/>
    </w:p>
    <w:p>
      <w:pPr>
        <w:pStyle w:val="898"/>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898"/>
        <w:ind w:left="410" w:hanging="410"/>
        <w:spacing w:before="120" w:after="120"/>
        <w:rPr>
          <w:rFonts w:hAnsi="宋体"/>
          <w:b/>
          <w:sz w:val="24"/>
          <w:szCs w:val="24"/>
        </w:rPr>
      </w:pPr>
      <w:r>
        <w:rPr>
          <w:rFonts w:hAnsi="宋体"/>
          <w:b/>
          <w:sz w:val="24"/>
          <w:szCs w:val="24"/>
        </w:rPr>
        <w:t xml:space="preserve">六、履约保证金</w:t>
      </w:r>
      <w:r/>
    </w:p>
    <w:p>
      <w:pPr>
        <w:pStyle w:val="898"/>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898"/>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898"/>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898"/>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898"/>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898"/>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89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rPr>
          <w:rFonts w:hint="eastAsia" w:ascii="宋体" w:hAnsi="宋体" w:eastAsia="宋体"/>
          <w:sz w:val="24"/>
          <w:szCs w:val="24"/>
          <w:lang w:eastAsia="zh-CN"/>
        </w:rPr>
      </w:pPr>
      <w:r>
        <w:rPr>
          <w:rFonts w:ascii="宋体" w:hAnsi="宋体"/>
          <w:sz w:val="24"/>
          <w:szCs w:val="24"/>
        </w:rPr>
        <w:t xml:space="preserve">8</w:t>
      </w:r>
      <w:r>
        <w:rPr>
          <w:rFonts w:hint="eastAsia" w:ascii="宋体" w:hAnsi="宋体"/>
          <w:sz w:val="24"/>
          <w:szCs w:val="24"/>
        </w:rPr>
        <w:t xml:space="preserve">.1.1 </w:t>
      </w:r>
      <w:r>
        <w:rPr>
          <w:rFonts w:hint="eastAsia" w:ascii="宋体" w:hAnsi="宋体" w:eastAsia="宋体"/>
          <w:sz w:val="24"/>
          <w:szCs w:val="24"/>
        </w:rPr>
        <w:t xml:space="preserve">第一笔款：合同生效后，采购人在收到供应商提供的有效增值税发票后20个工作日内，支付合同总金额的50%</w:t>
      </w:r>
      <w:r>
        <w:rPr>
          <w:rFonts w:hint="eastAsia" w:ascii="宋体" w:hAnsi="宋体"/>
          <w:sz w:val="24"/>
          <w:szCs w:val="24"/>
          <w:lang w:eastAsia="zh-CN"/>
        </w:rPr>
        <w:t xml:space="preserve">；</w:t>
      </w:r>
      <w:r/>
    </w:p>
    <w:p>
      <w:pPr>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.1.2 </w:t>
      </w:r>
      <w:r>
        <w:rPr>
          <w:rFonts w:hint="eastAsia" w:ascii="宋体" w:hAnsi="宋体" w:eastAsia="宋体"/>
          <w:sz w:val="24"/>
          <w:szCs w:val="24"/>
        </w:rPr>
        <w:t xml:space="preserve">第二笔款：项目建设内容全部完成且稳定试运行不少于1个月，通过采购人组织的合同验收，采购人收到供应商提供的有效增值税发票后20个工作日内，支付合同总金额的30%；</w:t>
      </w:r>
      <w:r/>
    </w:p>
    <w:p>
      <w:pPr>
        <w:spacing w:before="145" w:after="145"/>
        <w:rPr>
          <w:rFonts w:hint="eastAsia" w:ascii="宋体" w:hAnsi="宋体" w:eastAsia="宋体"/>
          <w:sz w:val="24"/>
          <w:szCs w:val="24"/>
          <w:lang w:val="en-US" w:eastAsia="zh-CN"/>
        </w:rPr>
      </w:pPr>
      <w:r>
        <w:rPr>
          <w:rFonts w:hint="eastAsia" w:ascii="宋体" w:hAnsi="宋体"/>
          <w:sz w:val="24"/>
          <w:szCs w:val="24"/>
          <w:lang w:val="en-US" w:eastAsia="zh-CN"/>
        </w:rPr>
        <w:t xml:space="preserve">8.1.3 </w:t>
      </w:r>
      <w:r>
        <w:rPr>
          <w:rFonts w:hint="eastAsia" w:ascii="宋体" w:hAnsi="宋体" w:eastAsia="宋体"/>
          <w:sz w:val="24"/>
          <w:szCs w:val="24"/>
        </w:rPr>
        <w:t xml:space="preserve">第三笔款：项目通过相关部门组织的竣工验收且采购人收到供应商提供的有效增值税发票后20个工作日内，支付合同总金额的20%</w:t>
      </w:r>
      <w:r>
        <w:rPr>
          <w:rFonts w:hint="eastAsia" w:ascii="宋体" w:hAnsi="宋体" w:eastAsia="宋体"/>
          <w:sz w:val="24"/>
          <w:szCs w:val="24"/>
          <w:lang w:eastAsia="zh-CN"/>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898"/>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898"/>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98"/>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898"/>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898"/>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98"/>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898"/>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89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898"/>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898"/>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898"/>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898"/>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898"/>
        <w:ind w:left="480" w:hanging="480"/>
        <w:spacing w:before="120" w:after="120" w:line="0" w:lineRule="atLeast"/>
        <w:rPr>
          <w:rFonts w:hAnsi="宋体"/>
          <w:sz w:val="24"/>
          <w:szCs w:val="24"/>
        </w:rPr>
      </w:pPr>
      <w:r>
        <w:rPr>
          <w:rFonts w:hAnsi="宋体"/>
          <w:sz w:val="24"/>
          <w:szCs w:val="24"/>
        </w:rPr>
        <w:t xml:space="preserve">  甲方：                        乙方： </w:t>
      </w:r>
      <w:r/>
    </w:p>
    <w:p>
      <w:pPr>
        <w:pStyle w:val="898"/>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898"/>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898"/>
        <w:ind w:firstLine="240"/>
        <w:spacing w:before="120" w:after="120" w:line="0" w:lineRule="atLeast"/>
        <w:rPr>
          <w:rFonts w:hint="eastAsia"/>
        </w:rPr>
      </w:pPr>
      <w:r>
        <w:rPr>
          <w:rFonts w:hint="eastAsia" w:hAnsi="宋体"/>
          <w:sz w:val="24"/>
          <w:szCs w:val="24"/>
        </w:rPr>
        <w:t xml:space="preserve">联系电话：                    联系电话：          </w:t>
      </w:r>
      <w:r/>
    </w:p>
    <w:p>
      <w:pPr>
        <w:pStyle w:val="898"/>
        <w:jc w:val="center"/>
        <w:spacing w:before="120" w:after="120" w:line="0" w:lineRule="atLeast"/>
      </w:pPr>
      <w:r>
        <w:rPr>
          <w:rFonts w:hint="eastAsia"/>
        </w:rPr>
        <w:t xml:space="preserve">                                         </w:t>
      </w:r>
      <w:r/>
    </w:p>
    <w:p>
      <w:pPr>
        <w:pStyle w:val="898"/>
        <w:jc w:val="right"/>
        <w:spacing w:before="120" w:after="120" w:line="0" w:lineRule="atLeast"/>
        <w:rPr>
          <w:sz w:val="24"/>
          <w:szCs w:val="24"/>
        </w:rPr>
      </w:pPr>
      <w:r>
        <w:rPr>
          <w:rFonts w:hint="eastAsia"/>
          <w:sz w:val="24"/>
          <w:szCs w:val="24"/>
        </w:rPr>
        <w:t xml:space="preserve"> </w:t>
      </w:r>
      <w:r/>
    </w:p>
    <w:p>
      <w:pPr>
        <w:pStyle w:val="898"/>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62564139"/>
      <w:r/>
      <w:bookmarkStart w:id="190" w:name="_Toc479757211"/>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
    </w:p>
    <w:p>
      <w:pPr>
        <w:rPr>
          <w:rFonts w:ascii="Arial" w:hAnsi="Arial" w:eastAsia="宋体" w:cs="Times New Roman"/>
          <w:b/>
          <w:sz w:val="32"/>
          <w:szCs w:val="44"/>
        </w:rPr>
        <w:outlineLvl w:val="0"/>
      </w:pPr>
      <w:r/>
      <w:bookmarkStart w:id="191" w:name="_Toc26554093"/>
      <w:r/>
      <w:bookmarkStart w:id="192" w:name="_Toc49090575"/>
      <w:r>
        <w:rPr>
          <w:rFonts w:ascii="Arial" w:hAnsi="Arial" w:eastAsia="宋体" w:cs="Times New Roman"/>
          <w:b/>
          <w:sz w:val="32"/>
          <w:szCs w:val="44"/>
        </w:rPr>
        <w:t xml:space="preserve">一、采购标的清单</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5"/>
        <w:gridCol w:w="737"/>
        <w:gridCol w:w="3157"/>
        <w:gridCol w:w="2852"/>
      </w:tblGrid>
      <w:tr>
        <w:trPr>
          <w:cantSplit/>
          <w:jc w:val="center"/>
        </w:trPr>
        <w:tc>
          <w:tcPr>
            <w:tcW w:w="1155" w:type="dxa"/>
            <w:vAlign w:val="top"/>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采购包</w:t>
            </w:r>
            <w:r/>
          </w:p>
        </w:tc>
        <w:tc>
          <w:tcPr>
            <w:tcW w:w="737"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57"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采购标的</w:t>
            </w:r>
            <w:r/>
          </w:p>
        </w:tc>
        <w:tc>
          <w:tcPr>
            <w:tcW w:w="2852" w:type="dxa"/>
            <w:vAlign w:val="center"/>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对应中小企业划分标准所属行业</w:t>
            </w:r>
            <w:r/>
          </w:p>
        </w:tc>
      </w:tr>
      <w:tr>
        <w:trPr>
          <w:cantSplit/>
          <w:jc w:val="center"/>
          <w:trHeight w:val="291"/>
        </w:trPr>
        <w:tc>
          <w:tcPr>
            <w:tcW w:w="1155" w:type="dxa"/>
            <w:vAlign w:val="top"/>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737" w:type="dxa"/>
            <w:vAlign w:val="top"/>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57" w:type="dxa"/>
            <w:vAlign w:val="top"/>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江苏省统计局“数字统计”平台</w:t>
            </w:r>
            <w:r/>
          </w:p>
        </w:tc>
        <w:tc>
          <w:tcPr>
            <w:tcW w:w="2852" w:type="dxa"/>
            <w:vAlign w:val="top"/>
            <w:textDirection w:val="lrTb"/>
            <w:noWrap w:val="false"/>
          </w:tcPr>
          <w:p>
            <w:pPr>
              <w:jc w:val="cente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软件和信息技术服务业</w:t>
            </w:r>
            <w:r/>
          </w:p>
        </w:tc>
      </w:tr>
    </w:tbl>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1.1定制化软件开发</w:t>
      </w:r>
      <w:r/>
    </w:p>
    <w:tbl>
      <w:tblPr>
        <w:tblStyle w:val="691"/>
        <w:tblW w:w="8970" w:type="dxa"/>
        <w:tblInd w:w="-347" w:type="dxa"/>
        <w:tblLayout w:type="fixed"/>
        <w:tblCellMar>
          <w:left w:w="108" w:type="dxa"/>
          <w:top w:w="0" w:type="dxa"/>
          <w:right w:w="108" w:type="dxa"/>
          <w:bottom w:w="0" w:type="dxa"/>
        </w:tblCellMar>
        <w:tblLook w:val="04A0" w:firstRow="1" w:lastRow="0" w:firstColumn="1" w:lastColumn="0" w:noHBand="0" w:noVBand="1"/>
      </w:tblPr>
      <w:tblGrid>
        <w:gridCol w:w="1160"/>
        <w:gridCol w:w="5111"/>
        <w:gridCol w:w="1560"/>
        <w:gridCol w:w="1139"/>
      </w:tblGrid>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定制化开发软件名称</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计量单位</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数量</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联网直报数据回流子系统建设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综合数据管理及应用子系统建设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省统计局旗舰店建设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一体化工作台建设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业务智能化模块建设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投资凭证子系统升级改造</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5.2</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工作信息网升级改造</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5.3</w:t>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统计知识库建设</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bl>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1.2服务</w:t>
      </w:r>
      <w:r/>
    </w:p>
    <w:tbl>
      <w:tblPr>
        <w:tblStyle w:val="691"/>
        <w:tblW w:w="8930"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5120"/>
        <w:gridCol w:w="1550"/>
        <w:gridCol w:w="1110"/>
      </w:tblGrid>
      <w:tr>
        <w:trPr>
          <w:trHeight w:val="310"/>
        </w:trPr>
        <w:tc>
          <w:tcPr>
            <w:tcW w:w="115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序号</w:t>
            </w:r>
            <w:r/>
          </w:p>
        </w:tc>
        <w:tc>
          <w:tcPr>
            <w:tcW w:w="512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服务名称</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计量单位</w:t>
            </w:r>
            <w:r/>
          </w:p>
        </w:tc>
        <w:tc>
          <w:tcPr>
            <w:tcW w:w="111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数量</w:t>
            </w:r>
            <w:r/>
          </w:p>
        </w:tc>
      </w:tr>
      <w:tr>
        <w:trPr>
          <w:trHeight w:val="310"/>
        </w:trPr>
        <w:tc>
          <w:tcPr>
            <w:tcW w:w="1150" w:type="dxa"/>
            <w:vAlign w:val="center"/>
            <w:textDirection w:val="lrTb"/>
            <w:noWrap w:val="false"/>
          </w:tcPr>
          <w:p>
            <w:pP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W w:w="512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“数字统计”平台标准规范</w:t>
            </w:r>
            <w:r/>
          </w:p>
        </w:tc>
        <w:tc>
          <w:tcPr>
            <w:tcW w:w="155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c>
          <w:tcPr>
            <w:tcW w:w="111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310"/>
        </w:trPr>
        <w:tc>
          <w:tcPr>
            <w:tcW w:w="1150" w:type="dxa"/>
            <w:vAlign w:val="center"/>
            <w:textDirection w:val="lrTb"/>
            <w:noWrap w:val="false"/>
          </w:tcPr>
          <w:p>
            <w:pPr>
              <w:spacing w:line="0" w:lineRule="atLeast"/>
              <w:rPr>
                <w:rFonts w:ascii="宋体" w:hAnsi="宋体"/>
                <w:sz w:val="24"/>
                <w:szCs w:val="24"/>
                <w:lang w:val="en-US" w:eastAsia="zh-CN"/>
              </w:rPr>
            </w:pPr>
            <w:r>
              <w:rPr>
                <w:rFonts w:hint="eastAsia" w:ascii="宋体" w:hAnsi="宋体"/>
                <w:sz w:val="24"/>
                <w:szCs w:val="24"/>
                <w:lang w:val="en-US" w:eastAsia="zh-CN"/>
              </w:rPr>
              <w:t xml:space="preserve">1.1</w:t>
            </w:r>
            <w:r/>
          </w:p>
        </w:tc>
        <w:tc>
          <w:tcPr>
            <w:tcW w:w="512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《平台子应用开发技术规范》</w:t>
            </w:r>
            <w:r/>
          </w:p>
        </w:tc>
        <w:tc>
          <w:tcPr>
            <w:tcW w:w="155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套</w:t>
            </w:r>
            <w:r/>
          </w:p>
        </w:tc>
        <w:tc>
          <w:tcPr>
            <w:tcW w:w="111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p>
        </w:tc>
      </w:tr>
      <w:tr>
        <w:trPr>
          <w:trHeight w:val="310"/>
        </w:trPr>
        <w:tc>
          <w:tcPr>
            <w:tcW w:w="1150" w:type="dxa"/>
            <w:vAlign w:val="center"/>
            <w:textDirection w:val="lrTb"/>
            <w:noWrap w:val="false"/>
          </w:tcPr>
          <w:p>
            <w:pPr>
              <w:spacing w:line="0" w:lineRule="atLeast"/>
              <w:rPr>
                <w:rFonts w:ascii="宋体" w:hAnsi="宋体"/>
                <w:sz w:val="24"/>
                <w:szCs w:val="24"/>
                <w:lang w:val="en-US" w:eastAsia="zh-CN"/>
              </w:rPr>
            </w:pPr>
            <w:r>
              <w:rPr>
                <w:rFonts w:hint="eastAsia" w:ascii="宋体" w:hAnsi="宋体"/>
                <w:sz w:val="24"/>
                <w:szCs w:val="24"/>
                <w:lang w:val="en-US" w:eastAsia="zh-CN"/>
              </w:rPr>
              <w:t xml:space="preserve">1.2</w:t>
            </w:r>
            <w:r/>
          </w:p>
        </w:tc>
        <w:tc>
          <w:tcPr>
            <w:tcW w:w="512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《一体化工作台集成接入规范》</w:t>
            </w:r>
            <w:r/>
          </w:p>
        </w:tc>
        <w:tc>
          <w:tcPr>
            <w:tcW w:w="155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套</w:t>
            </w:r>
            <w:r/>
          </w:p>
        </w:tc>
        <w:tc>
          <w:tcPr>
            <w:tcW w:w="111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p>
        </w:tc>
      </w:tr>
      <w:tr>
        <w:trPr>
          <w:trHeight w:val="310"/>
        </w:trPr>
        <w:tc>
          <w:tcPr>
            <w:tcW w:w="1150" w:type="dxa"/>
            <w:vAlign w:val="center"/>
            <w:textDirection w:val="lrTb"/>
            <w:noWrap w:val="false"/>
          </w:tcPr>
          <w:p>
            <w:pPr>
              <w:spacing w:line="0" w:lineRule="atLeast"/>
              <w:rPr>
                <w:rFonts w:ascii="宋体" w:hAnsi="宋体"/>
                <w:sz w:val="24"/>
                <w:szCs w:val="24"/>
                <w:lang w:val="en-US" w:eastAsia="zh-CN"/>
              </w:rPr>
            </w:pPr>
            <w:r>
              <w:rPr>
                <w:rFonts w:hint="eastAsia" w:ascii="宋体" w:hAnsi="宋体"/>
                <w:sz w:val="24"/>
                <w:szCs w:val="24"/>
                <w:lang w:val="en-US" w:eastAsia="zh-CN"/>
              </w:rPr>
              <w:t xml:space="preserve">1.3</w:t>
            </w:r>
            <w:r/>
          </w:p>
        </w:tc>
        <w:tc>
          <w:tcPr>
            <w:tcW w:w="512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《一体化工作台集成接入规 范》</w:t>
            </w:r>
            <w:r/>
          </w:p>
        </w:tc>
        <w:tc>
          <w:tcPr>
            <w:tcW w:w="155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套</w:t>
            </w:r>
            <w:r/>
          </w:p>
        </w:tc>
        <w:tc>
          <w:tcPr>
            <w:tcW w:w="111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p>
        </w:tc>
      </w:tr>
      <w:tr>
        <w:trPr>
          <w:trHeight w:val="310"/>
        </w:trPr>
        <w:tc>
          <w:tcPr>
            <w:tcW w:w="1150" w:type="dxa"/>
            <w:vAlign w:val="center"/>
            <w:textDirection w:val="lrTb"/>
            <w:noWrap w:val="false"/>
          </w:tcPr>
          <w:p>
            <w:pPr>
              <w:spacing w:line="0" w:lineRule="atLeast"/>
              <w:rPr>
                <w:rFonts w:ascii="宋体" w:hAnsi="宋体"/>
                <w:sz w:val="24"/>
                <w:szCs w:val="24"/>
                <w:lang w:val="en-US" w:eastAsia="zh-CN"/>
              </w:rPr>
            </w:pPr>
            <w:r>
              <w:rPr>
                <w:rFonts w:hint="eastAsia" w:ascii="宋体" w:hAnsi="宋体"/>
                <w:sz w:val="24"/>
                <w:szCs w:val="24"/>
                <w:lang w:val="en-US" w:eastAsia="zh-CN"/>
              </w:rPr>
              <w:t xml:space="preserve">1.4</w:t>
            </w:r>
            <w:r/>
          </w:p>
        </w:tc>
        <w:tc>
          <w:tcPr>
            <w:tcW w:w="5120" w:type="dxa"/>
            <w:vAlign w:val="center"/>
            <w:textDirection w:val="lrTb"/>
            <w:noWrap w:val="false"/>
          </w:tcPr>
          <w:p>
            <w:pPr>
              <w:spacing w:line="0" w:lineRule="atLeast"/>
              <w:rPr>
                <w:rFonts w:hint="eastAsia" w:ascii="宋体" w:hAnsi="宋体" w:eastAsia="宋体" w:cs="Times New Roman"/>
                <w:sz w:val="24"/>
                <w:szCs w:val="24"/>
              </w:rPr>
            </w:pPr>
            <w:r>
              <w:rPr>
                <w:rFonts w:hint="eastAsia" w:ascii="宋体" w:hAnsi="宋体" w:eastAsia="宋体" w:cs="Times New Roman"/>
                <w:sz w:val="24"/>
                <w:szCs w:val="24"/>
              </w:rPr>
              <w:t xml:space="preserve">《数据归集与共享规范》</w:t>
            </w:r>
            <w:r/>
          </w:p>
        </w:tc>
        <w:tc>
          <w:tcPr>
            <w:tcW w:w="155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套</w:t>
            </w:r>
            <w:r/>
          </w:p>
        </w:tc>
        <w:tc>
          <w:tcPr>
            <w:tcW w:w="1110" w:type="dxa"/>
            <w:vAlign w:val="center"/>
            <w:textDirection w:val="lrTb"/>
            <w:noWrap w:val="false"/>
          </w:tcPr>
          <w:p>
            <w:pP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p>
        </w:tc>
      </w:tr>
      <w:tr>
        <w:trPr>
          <w:trHeight w:val="305"/>
        </w:trPr>
        <w:tc>
          <w:tcPr>
            <w:tcW w:w="1150" w:type="dxa"/>
            <w:vAlign w:val="center"/>
            <w:textDirection w:val="lrTb"/>
            <w:noWrap/>
          </w:tcPr>
          <w:p>
            <w:pP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2</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综合数据管理及应用子系统</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.1</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综合数据加工处理服务</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.1.1</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综合数据指标体系建设</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.1.2</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模版制作服务</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.1.3</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综合数据入库</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.2</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数据资源目录编制</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.2.1</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江苏省委办局内部共享数据目录</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.2.2</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江苏省可开放数据目录</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.2.3</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“江苏数据”微网站查询库数据目录</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业务智能化模块</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.1</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统计知识库算法服务</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ascii="宋体" w:hAnsi="宋体" w:eastAsia="宋体" w:cs="Times New Roman"/>
                <w:sz w:val="24"/>
                <w:szCs w:val="24"/>
              </w:rPr>
            </w:r>
            <w:r/>
          </w:p>
        </w:tc>
        <w:tc>
          <w:tcPr>
            <w:tcW w:w="1110" w:type="dxa"/>
            <w:vAlign w:val="center"/>
            <w:textDirection w:val="lrTb"/>
            <w:noWrap/>
          </w:tcPr>
          <w:p>
            <w:pPr>
              <w:spacing w:line="0" w:lineRule="atLeast"/>
              <w:rPr>
                <w:rFonts w:ascii="宋体" w:hAnsi="宋体" w:eastAsia="宋体" w:cs="Times New Roman"/>
                <w:sz w:val="24"/>
                <w:szCs w:val="24"/>
              </w:rPr>
            </w:pPr>
            <w:r>
              <w:rPr>
                <w:rFonts w:ascii="宋体" w:hAnsi="宋体" w:eastAsia="宋体" w:cs="Times New Roman"/>
                <w:sz w:val="24"/>
                <w:szCs w:val="24"/>
              </w:rPr>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.1.1</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内容相似度算法</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.1.2</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文件自动聚类算法</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r>
        <w:trPr>
          <w:trHeight w:val="305"/>
        </w:trPr>
        <w:tc>
          <w:tcPr>
            <w:tcW w:w="1150" w:type="dxa"/>
            <w:vAlign w:val="center"/>
            <w:textDirection w:val="lrTb"/>
            <w:noWrap/>
          </w:tcPr>
          <w:p>
            <w:pPr>
              <w:spacing w:line="0" w:lineRule="atLeast"/>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.1.3</w:t>
            </w:r>
            <w:r/>
          </w:p>
        </w:tc>
        <w:tc>
          <w:tcPr>
            <w:tcW w:w="512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大模型服务化部署</w:t>
            </w:r>
            <w:r/>
          </w:p>
        </w:tc>
        <w:tc>
          <w:tcPr>
            <w:tcW w:w="1550" w:type="dxa"/>
            <w:vAlign w:val="center"/>
            <w:textDirection w:val="lrTb"/>
            <w:noWrap w:val="false"/>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项</w:t>
            </w:r>
            <w:r/>
          </w:p>
        </w:tc>
        <w:tc>
          <w:tcPr>
            <w:tcW w:w="1110" w:type="dxa"/>
            <w:vAlign w:val="center"/>
            <w:textDirection w:val="lrTb"/>
            <w:noWrap/>
          </w:tcPr>
          <w:p>
            <w:pPr>
              <w:spacing w:line="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r>
    </w:tbl>
    <w:p>
      <w:pPr>
        <w:rPr>
          <w:rFonts w:ascii="Arial" w:hAnsi="Arial" w:eastAsia="宋体" w:cs="Times New Roman"/>
          <w:b/>
          <w:sz w:val="32"/>
          <w:szCs w:val="44"/>
        </w:rPr>
        <w:outlineLvl w:val="0"/>
      </w:pPr>
      <w:r>
        <w:rPr>
          <w:rFonts w:ascii="Arial" w:hAnsi="Arial" w:eastAsia="宋体" w:cs="Times New Roman"/>
          <w:b/>
          <w:sz w:val="32"/>
          <w:szCs w:val="44"/>
        </w:rPr>
        <w:t xml:space="preserve">二、技术要求</w:t>
      </w:r>
      <w:r/>
    </w:p>
    <w:p>
      <w:pPr>
        <w:ind w:firstLine="560"/>
        <w:spacing w:line="360" w:lineRule="auto"/>
        <w:rPr>
          <w:rFonts w:ascii="黑体" w:hAnsi="黑体" w:eastAsia="黑体" w:cs="Times New Roman"/>
          <w:bCs/>
          <w:sz w:val="28"/>
          <w:szCs w:val="32"/>
        </w:rPr>
        <w:outlineLvl w:val="1"/>
      </w:pPr>
      <w:r>
        <w:rPr>
          <w:rFonts w:ascii="黑体" w:hAnsi="黑体" w:eastAsia="黑体" w:cs="Times New Roman"/>
          <w:bCs/>
          <w:sz w:val="28"/>
          <w:szCs w:val="32"/>
        </w:rPr>
        <w:t xml:space="preserve">2.1总体要求</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2.1.1政策要求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本项目为江苏省省级政务信息化项目，供应商须按照国家和江苏省有关政务信息化项目管理办法、基本建设工程管理规定、财政资金管理要求以及相关网络安全、安全可靠要求等实施项目。</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2.1.2实用性要求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在实施过程中，应详细调研采购人的实际使用需求，并结合最新的行业政策和业务需求开发系统，但总体范围和框架不得偏离本项目经批复的可行性研究报告和招标文件。</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2.1.3统一规范要求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建设的软件须按照采购人已有的和本项目中编制发布的统一规范进行开发部署，须满足相关的数据规范、UI设计规范、代码编写规范、部署规范等统一要求，如因供应商未按统一规范要求实施导致的返工，由供应商承担一切责任，并无偿按规范整改，否则不予验收。</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2.1.4一体化平台要求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为满足“一部门一系统”的有关管理要求，本项目建设的一体化工作台将作为江苏省统计局唯一的信息化平台入口，因此供应商开发的各软件系统须按统一平台要求，作为平台内部的子系统、子模块接入平台，做好统一用户、统一登录、统一认证、统一办件、基础支撑能力复用、功能应用集成、数据汇聚治理和共享共用等工作。如供应商未按要求做好一体化平台建设工作，则项目不予验收。</w:t>
      </w:r>
      <w:r/>
    </w:p>
    <w:p>
      <w:pPr>
        <w:ind w:firstLine="560"/>
        <w:spacing w:line="360" w:lineRule="auto"/>
        <w:rPr>
          <w:rFonts w:ascii="黑体" w:hAnsi="黑体" w:eastAsia="黑体" w:cs="Times New Roman"/>
          <w:bCs/>
          <w:sz w:val="28"/>
          <w:szCs w:val="32"/>
        </w:rPr>
        <w:outlineLvl w:val="1"/>
      </w:pPr>
      <w:r>
        <w:rPr>
          <w:rFonts w:ascii="黑体" w:hAnsi="黑体" w:eastAsia="黑体" w:cs="Times New Roman"/>
          <w:bCs/>
          <w:sz w:val="28"/>
          <w:szCs w:val="32"/>
        </w:rPr>
        <w:t xml:space="preserve">2.2</w:t>
      </w:r>
      <w:r>
        <w:rPr>
          <w:rFonts w:hint="eastAsia" w:ascii="黑体" w:hAnsi="黑体" w:eastAsia="黑体" w:cs="Times New Roman"/>
          <w:bCs/>
          <w:sz w:val="28"/>
          <w:szCs w:val="32"/>
        </w:rPr>
        <w:t xml:space="preserve">安全可靠要求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本项目建设的系统须按照有关要求部署至省政务云安全可靠环境，项目中开发的软件须满足相关国产化操作系统、中间件和数据库要求，以确保可在政务云安全可靠环境中正常运行。</w:t>
      </w:r>
      <w:r/>
    </w:p>
    <w:p>
      <w:pPr>
        <w:ind w:firstLine="560"/>
        <w:spacing w:line="360" w:lineRule="auto"/>
        <w:rPr>
          <w:rFonts w:ascii="黑体" w:hAnsi="黑体" w:eastAsia="黑体" w:cs="Times New Roman"/>
          <w:bCs/>
          <w:sz w:val="28"/>
          <w:szCs w:val="32"/>
        </w:rPr>
        <w:outlineLvl w:val="1"/>
      </w:pPr>
      <w:r>
        <w:rPr>
          <w:rFonts w:ascii="黑体" w:hAnsi="黑体" w:eastAsia="黑体" w:cs="Times New Roman"/>
          <w:bCs/>
          <w:sz w:val="28"/>
          <w:szCs w:val="32"/>
        </w:rPr>
        <w:t xml:space="preserve">2.3密码应用要求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需围绕《国家政务信息化项目建设管理办法》中关于政务信息系统在系统规划阶段的密码应用要求，综合考虑系统物理和环境、网络和通信、设备和计算、应用和数据、安全管理等层面的密码应用需求，设计合规、有效的密码应用方案，满足GB/T 39786—2021《信息安全技术 信息系统密码应用基本要求》中三级指标要求和密码应用安全性评估要求。</w:t>
      </w:r>
      <w:r/>
    </w:p>
    <w:p>
      <w:pPr>
        <w:ind w:firstLine="560"/>
        <w:spacing w:line="360" w:lineRule="auto"/>
        <w:rPr>
          <w:rFonts w:ascii="黑体" w:hAnsi="黑体" w:eastAsia="黑体" w:cs="Times New Roman"/>
          <w:bCs/>
          <w:sz w:val="28"/>
          <w:szCs w:val="32"/>
        </w:rPr>
        <w:outlineLvl w:val="1"/>
      </w:pPr>
      <w:r>
        <w:rPr>
          <w:rFonts w:ascii="黑体" w:hAnsi="黑体" w:eastAsia="黑体" w:cs="Times New Roman"/>
          <w:bCs/>
          <w:sz w:val="28"/>
          <w:szCs w:val="32"/>
        </w:rPr>
        <w:t xml:space="preserve">2.4系统要求</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2.4.1</w:t>
      </w:r>
      <w:r>
        <w:rPr>
          <w:rFonts w:ascii="宋体" w:hAnsi="宋体" w:eastAsia="宋体"/>
          <w:sz w:val="24"/>
          <w:szCs w:val="24"/>
        </w:rPr>
        <w:t xml:space="preserve">配合完成等保测评要求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项目建设期和质保期内，供应商应按照等保2.0标准，配合采购人完成网络安全等级保护测评（三级），并依据测评结果进行必要的升级完善。</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2.4.2配合完成软件测评要求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项目建设期和质保期内发生的软件升级、修复等代码迭代，均应配合采购人完成软件系统测评，并依据测评结果进行必要的软件升级完善。</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2.4.3配合完成密码应用安全评估要求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供应商在项目建设期和质保期内应及时响应采购人提出的密码应用安全性评估要求，配合完成相应的安全评估，并依据评估结果开展必要的软件升级、修复。</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2.4.4</w:t>
      </w:r>
      <w:r>
        <w:rPr>
          <w:rFonts w:ascii="宋体" w:hAnsi="宋体" w:eastAsia="宋体" w:cs="Times New Roman"/>
          <w:sz w:val="24"/>
          <w:szCs w:val="21"/>
        </w:rPr>
        <w:t xml:space="preserve">配合完成有关部门的各类安全检查、检测结果处理</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供应商在项目建设期和质保期内应配合采购人做好有关部门的网络安全检查准备工作，确保通过网络安全检查；对有关部门网络安全检测结果能够及时响应，出具方案并整改。</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2.4.5系统性能要求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本项目的</w:t>
      </w:r>
      <w:r>
        <w:rPr>
          <w:rFonts w:ascii="宋体" w:hAnsi="宋体" w:eastAsia="宋体" w:cs="Times New Roman"/>
          <w:sz w:val="24"/>
          <w:szCs w:val="21"/>
        </w:rPr>
        <w:t xml:space="preserve">应用系统性能应满足用户的要求，稳定、可靠、实用。人机界面友好，输出、输入方便，图表生成美观，检索、查询简单快捷，能够发挥基础数据的辅助决策作用</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系统总体可用率大于99.8%，数据库应用可用率不小于99.8%，Web应用可用率不小于99.8%。（或 7×24 小时不间断运行）</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在网络稳定的环境下，操作性界面单一操作的系统响应时间小于3秒。</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在网络稳定的环境下，进行增、删、改业务（不含大对象数据类型）响应时间在3秒以内。</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“数字统计”平台支持全省各级统计机构约5000人使用需求；政府部门约3000人使用需求；社会公众约100万人使用需求。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平台提供7*24小时的联系运行，平均年故障时间小于1天，平均故障修复时间小于30分钟。</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基于微服务架构建设，采用组件化、面向对象的设计方式，保证系统功能的灵活扩充。</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采用新型架构体系，充分考虑系统的纵向、横向的平滑扩张能力建设需求。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统一规范系统的开发技术和数据标准，为后期系统的二次开发提供标准化接口。</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2.4.6可维护性能要求</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系统应支持制定应急、异常快速处理方案，实现系统的统一监控、告警、日志等。同时，实现系统维护权限与业务权限分离，实现系统的可维护性</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2.4.7网络信息安全要求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供应商应履行维护网络安全的责任和义务，帮助采购人了解安全隐患并及时部署防御措施，保护网络产品和重要网络系统的安全稳定运行。</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应具备信息安全漏洞分析、全局监测、应急响应等方面的技术支撑能力，能够协助采购人开展系统应用识别和漏洞攻击检测分析，应用识别特征覆盖多种类型产品，如操作系统、数据库、WEB软件、中间件等。</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供应商应具备信息安全漏洞全局处置能力，协助采购人排查信息系统安全风险，并提出信息安全改进措施。</w:t>
      </w:r>
      <w:r/>
    </w:p>
    <w:p>
      <w:pPr>
        <w:ind w:firstLine="480"/>
        <w:spacing w:line="360" w:lineRule="auto"/>
        <w:rPr>
          <w:rFonts w:ascii="宋体" w:hAnsi="宋体" w:eastAsia="宋体" w:cs="Times New Roman"/>
          <w:sz w:val="24"/>
          <w:szCs w:val="21"/>
        </w:rPr>
        <w:outlineLvl w:val="2"/>
      </w:pPr>
      <w:r>
        <w:rPr>
          <w:rFonts w:hint="eastAsia" w:ascii="宋体" w:hAnsi="宋体" w:eastAsia="宋体" w:cs="Times New Roman"/>
          <w:sz w:val="24"/>
          <w:szCs w:val="21"/>
        </w:rPr>
        <w:t xml:space="preserve">2.4.8</w:t>
      </w:r>
      <w:r>
        <w:rPr>
          <w:rFonts w:ascii="宋体" w:hAnsi="宋体" w:eastAsia="宋体" w:cs="Times New Roman"/>
          <w:sz w:val="24"/>
          <w:szCs w:val="21"/>
        </w:rPr>
        <w:t xml:space="preserve">其他安全可靠性</w:t>
      </w:r>
      <w:r>
        <w:rPr>
          <w:rFonts w:hint="eastAsia" w:ascii="宋体" w:hAnsi="宋体" w:eastAsia="宋体" w:cs="Times New Roman"/>
          <w:sz w:val="24"/>
          <w:szCs w:val="21"/>
        </w:rPr>
        <w:t xml:space="preserve">要求</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（1）严格权限访问控制，用户在经过身份认证后，只能访问其权限范围内的数据，只能进行其权限范围内的操作。</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（2）不同的用户具有不同的身份和权限，需要在用户身份真实可信的前提下，提供可信的授权管理服务，保护数据不被非法/越权访问和篡改，要确保数据的机密性和完整性。</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（3）对输入有提示，数据有检查，防止数据异常。</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（4）系统健壮性强，能处理系统运行过程中出现的各种异常情况，如：人为操作错误、输入非法数据、硬件设备失败等，系统能正确的处理，恰当的回避。</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（5）各种数据对接过程中需保护数据不被非法/越权访问。</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2.5配套服务要求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本项目的软件建设包含了配套服务，包括综合数据管理及应用子系统建设中的综合数据加工服务、数据资源目录编制服务，业务智能化模块建设中的</w:t>
      </w:r>
      <w:r>
        <w:rPr>
          <w:rFonts w:hint="eastAsia" w:ascii="宋体" w:hAnsi="宋体" w:eastAsia="宋体" w:cs="Times New Roman"/>
          <w:sz w:val="24"/>
          <w:szCs w:val="24"/>
        </w:rPr>
        <w:t xml:space="preserve">统计知识库算法服务。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2.5.1综合数据加工服务成果包括但不限于以下内容：</w:t>
      </w:r>
      <w:r/>
    </w:p>
    <w:p>
      <w:pPr>
        <w:numPr>
          <w:ilvl w:val="0"/>
          <w:numId w:val="5"/>
        </w:numPr>
        <w:ind w:firstLine="480"/>
        <w:spacing w:line="360" w:lineRule="auto"/>
        <w:rPr>
          <w:rFonts w:ascii="宋体" w:hAnsi="宋体" w:eastAsia="宋体"/>
          <w:sz w:val="24"/>
          <w:szCs w:val="24"/>
        </w:rPr>
      </w:pPr>
      <w:r>
        <w:rPr>
          <w:rFonts w:hint="eastAsia" w:ascii="宋体" w:hAnsi="宋体" w:eastAsia="宋体"/>
          <w:sz w:val="24"/>
          <w:szCs w:val="24"/>
        </w:rPr>
        <w:t xml:space="preserve">形成指标编码excel文件；</w:t>
      </w:r>
      <w:r/>
    </w:p>
    <w:p>
      <w:pPr>
        <w:numPr>
          <w:ilvl w:val="0"/>
          <w:numId w:val="5"/>
        </w:numPr>
        <w:ind w:firstLine="480"/>
        <w:spacing w:line="360" w:lineRule="auto"/>
        <w:rPr>
          <w:rFonts w:ascii="宋体" w:hAnsi="宋体" w:eastAsia="宋体"/>
          <w:sz w:val="24"/>
          <w:szCs w:val="24"/>
        </w:rPr>
      </w:pPr>
      <w:r>
        <w:rPr>
          <w:rFonts w:hint="eastAsia" w:ascii="宋体" w:hAnsi="宋体" w:eastAsia="宋体"/>
          <w:sz w:val="24"/>
          <w:szCs w:val="24"/>
        </w:rPr>
        <w:t xml:space="preserve">指标体系建立，对确定入库的数据源，按照国家统计局元数据标准整理、审核、校对和加载进入数据库，并对入库数据按照一定的关系进行类别设计、分层设计，搭建具有逻辑性和实用性的指标树层级体系；</w:t>
      </w:r>
      <w:r/>
    </w:p>
    <w:p>
      <w:pPr>
        <w:numPr>
          <w:ilvl w:val="0"/>
          <w:numId w:val="5"/>
        </w:numPr>
        <w:ind w:firstLine="480"/>
        <w:spacing w:line="360" w:lineRule="auto"/>
        <w:rPr>
          <w:rFonts w:ascii="宋体" w:hAnsi="宋体" w:eastAsia="宋体"/>
          <w:sz w:val="24"/>
          <w:szCs w:val="24"/>
        </w:rPr>
      </w:pPr>
      <w:r>
        <w:rPr>
          <w:rFonts w:hint="eastAsia" w:ascii="宋体" w:hAnsi="宋体" w:eastAsia="宋体"/>
          <w:sz w:val="24"/>
          <w:szCs w:val="24"/>
        </w:rPr>
        <w:t xml:space="preserve">形成不少于700个数据入库报表模板、800个数据产品模板、700个报表制度配置；</w:t>
      </w:r>
      <w:r/>
    </w:p>
    <w:p>
      <w:pPr>
        <w:numPr>
          <w:ilvl w:val="0"/>
          <w:numId w:val="5"/>
        </w:numPr>
        <w:ind w:firstLine="480"/>
        <w:spacing w:line="360" w:lineRule="auto"/>
        <w:rPr>
          <w:rFonts w:ascii="宋体" w:hAnsi="宋体" w:eastAsia="宋体"/>
          <w:sz w:val="24"/>
          <w:szCs w:val="24"/>
        </w:rPr>
      </w:pPr>
      <w:r>
        <w:rPr>
          <w:rFonts w:hint="eastAsia" w:ascii="宋体" w:hAnsi="宋体" w:eastAsia="宋体"/>
          <w:sz w:val="24"/>
          <w:szCs w:val="24"/>
        </w:rPr>
        <w:t xml:space="preserve">按照相关要求对综合数据进行数据审核，完成不少于15000个文件的进度数据的数据治理及入库工作，完成不少于4000个文件的统计年鉴数据的数据治理及入库工作。</w:t>
      </w:r>
      <w:r/>
    </w:p>
    <w:p>
      <w:pPr>
        <w:numPr>
          <w:ilvl w:val="0"/>
          <w:numId w:val="5"/>
        </w:numPr>
        <w:ind w:firstLine="480"/>
        <w:spacing w:line="360" w:lineRule="auto"/>
        <w:rPr>
          <w:rFonts w:ascii="宋体" w:hAnsi="宋体" w:eastAsia="宋体"/>
          <w:sz w:val="24"/>
          <w:szCs w:val="24"/>
        </w:rPr>
      </w:pPr>
      <w:r>
        <w:rPr>
          <w:rFonts w:hint="eastAsia" w:ascii="宋体" w:hAnsi="宋体" w:eastAsia="宋体"/>
          <w:sz w:val="24"/>
          <w:szCs w:val="24"/>
        </w:rPr>
        <w:t xml:space="preserve">采购人其他服务要求。</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rPr>
        <w:t xml:space="preserve">2.5.2数据资源目录编制服务成果包括但不限于以下内容：</w:t>
      </w:r>
      <w:r/>
    </w:p>
    <w:p>
      <w:pPr>
        <w:numPr>
          <w:ilvl w:val="0"/>
          <w:numId w:val="6"/>
        </w:numPr>
        <w:ind w:firstLine="480"/>
        <w:spacing w:line="360" w:lineRule="auto"/>
        <w:rPr>
          <w:rFonts w:ascii="宋体" w:hAnsi="宋体" w:eastAsia="宋体"/>
          <w:sz w:val="24"/>
          <w:szCs w:val="24"/>
        </w:rPr>
      </w:pPr>
      <w:r>
        <w:rPr>
          <w:rFonts w:hint="eastAsia" w:ascii="宋体" w:hAnsi="宋体" w:eastAsia="宋体"/>
          <w:sz w:val="24"/>
          <w:szCs w:val="24"/>
        </w:rPr>
        <w:t xml:space="preserve">形成《江苏省委办局内部共享数据目录》；</w:t>
      </w:r>
      <w:r/>
    </w:p>
    <w:p>
      <w:pPr>
        <w:numPr>
          <w:ilvl w:val="0"/>
          <w:numId w:val="6"/>
        </w:numPr>
        <w:ind w:firstLine="480"/>
        <w:spacing w:line="360" w:lineRule="auto"/>
        <w:rPr>
          <w:rFonts w:ascii="宋体" w:hAnsi="宋体" w:eastAsia="宋体"/>
          <w:sz w:val="24"/>
          <w:szCs w:val="24"/>
        </w:rPr>
      </w:pPr>
      <w:r>
        <w:rPr>
          <w:rFonts w:hint="eastAsia" w:ascii="宋体" w:hAnsi="宋体" w:eastAsia="宋体"/>
          <w:sz w:val="24"/>
          <w:szCs w:val="24"/>
        </w:rPr>
        <w:t xml:space="preserve">形成《江苏省可开放数据目录》。</w:t>
      </w:r>
      <w:r/>
    </w:p>
    <w:p>
      <w:pPr>
        <w:numPr>
          <w:ilvl w:val="0"/>
          <w:numId w:val="0"/>
        </w:numPr>
        <w:ind w:firstLine="480"/>
        <w:spacing w:line="360" w:lineRule="auto"/>
        <w:rPr>
          <w:rFonts w:ascii="宋体" w:hAnsi="宋体" w:eastAsia="宋体"/>
          <w:sz w:val="24"/>
          <w:szCs w:val="24"/>
        </w:rPr>
      </w:pPr>
      <w:r>
        <w:rPr>
          <w:rFonts w:hint="eastAsia" w:ascii="宋体" w:hAnsi="宋体" w:eastAsia="宋体"/>
          <w:sz w:val="24"/>
          <w:szCs w:val="24"/>
        </w:rPr>
        <w:t xml:space="preserve">2.5.3业务智能化模块建设中的统计知识库算法服务成果包括但不限于以下内容：</w:t>
      </w:r>
      <w:r/>
    </w:p>
    <w:p>
      <w:pPr>
        <w:numPr>
          <w:ilvl w:val="0"/>
          <w:numId w:val="7"/>
        </w:numPr>
        <w:ind w:firstLine="480"/>
        <w:spacing w:line="360" w:lineRule="auto"/>
        <w:rPr>
          <w:rFonts w:ascii="宋体" w:hAnsi="宋体" w:eastAsia="宋体"/>
          <w:sz w:val="24"/>
          <w:szCs w:val="24"/>
        </w:rPr>
      </w:pPr>
      <w:r>
        <w:rPr>
          <w:rFonts w:hint="eastAsia" w:ascii="宋体" w:hAnsi="宋体" w:eastAsia="宋体"/>
          <w:sz w:val="24"/>
          <w:szCs w:val="24"/>
        </w:rPr>
        <w:t xml:space="preserve">完成内容相似度算法；</w:t>
      </w:r>
      <w:r/>
    </w:p>
    <w:p>
      <w:pPr>
        <w:numPr>
          <w:ilvl w:val="0"/>
          <w:numId w:val="7"/>
        </w:numPr>
        <w:ind w:firstLine="480"/>
        <w:spacing w:line="360" w:lineRule="auto"/>
        <w:rPr>
          <w:rFonts w:ascii="宋体" w:hAnsi="宋体" w:eastAsia="宋体"/>
          <w:sz w:val="24"/>
          <w:szCs w:val="24"/>
        </w:rPr>
      </w:pPr>
      <w:r>
        <w:rPr>
          <w:rFonts w:hint="eastAsia" w:ascii="宋体" w:hAnsi="宋体" w:eastAsia="宋体"/>
          <w:sz w:val="24"/>
          <w:szCs w:val="24"/>
        </w:rPr>
        <w:t xml:space="preserve">完成文件自动聚类算法；</w:t>
      </w:r>
      <w:r/>
    </w:p>
    <w:p>
      <w:pPr>
        <w:numPr>
          <w:ilvl w:val="0"/>
          <w:numId w:val="7"/>
        </w:numPr>
        <w:ind w:firstLine="480"/>
        <w:spacing w:line="360" w:lineRule="auto"/>
        <w:rPr>
          <w:rFonts w:ascii="宋体" w:hAnsi="宋体" w:eastAsia="宋体"/>
          <w:sz w:val="24"/>
          <w:szCs w:val="24"/>
        </w:rPr>
      </w:pPr>
      <w:r>
        <w:rPr>
          <w:rFonts w:hint="eastAsia" w:ascii="宋体" w:hAnsi="宋体" w:eastAsia="宋体"/>
          <w:sz w:val="24"/>
          <w:szCs w:val="24"/>
        </w:rPr>
        <w:t xml:space="preserve">完成</w:t>
      </w:r>
      <w:r>
        <w:rPr>
          <w:rFonts w:ascii="宋体" w:hAnsi="宋体" w:eastAsia="宋体"/>
          <w:sz w:val="24"/>
          <w:szCs w:val="24"/>
        </w:rPr>
        <w:t xml:space="preserve">大模型服务化部署</w:t>
      </w:r>
      <w:r>
        <w:rPr>
          <w:rFonts w:hint="eastAsia" w:ascii="宋体" w:hAnsi="宋体" w:eastAsia="宋体"/>
          <w:sz w:val="24"/>
          <w:szCs w:val="24"/>
        </w:rPr>
        <w:t xml:space="preserve">、调用、调试等。</w:t>
      </w:r>
      <w:r/>
    </w:p>
    <w:p>
      <w:pPr>
        <w:numPr>
          <w:ilvl w:val="0"/>
          <w:numId w:val="0"/>
        </w:numPr>
        <w:ind w:firstLine="480"/>
        <w:spacing w:line="360" w:lineRule="auto"/>
        <w:rPr>
          <w:rFonts w:ascii="宋体" w:hAnsi="宋体" w:eastAsia="宋体"/>
          <w:sz w:val="24"/>
          <w:szCs w:val="24"/>
          <w:highlight w:val="yellow"/>
        </w:rPr>
      </w:pPr>
      <w:r>
        <w:rPr>
          <w:rFonts w:hint="eastAsia" w:ascii="宋体" w:hAnsi="宋体" w:eastAsia="宋体"/>
          <w:sz w:val="24"/>
          <w:szCs w:val="24"/>
        </w:rPr>
        <w:t xml:space="preserve">2.5.4确保</w:t>
      </w:r>
      <w:r>
        <w:rPr>
          <w:rFonts w:ascii="宋体" w:hAnsi="宋体" w:eastAsia="宋体"/>
          <w:sz w:val="24"/>
          <w:szCs w:val="24"/>
        </w:rPr>
        <w:t xml:space="preserve">联网直报数据回流子系统</w:t>
      </w:r>
      <w:r>
        <w:rPr>
          <w:rFonts w:hint="eastAsia" w:ascii="宋体" w:hAnsi="宋体" w:eastAsia="宋体"/>
          <w:sz w:val="24"/>
          <w:szCs w:val="24"/>
        </w:rPr>
        <w:t xml:space="preserve">回流的数据</w:t>
      </w:r>
      <w:r>
        <w:rPr>
          <w:rFonts w:ascii="宋体" w:hAnsi="宋体" w:eastAsia="宋体"/>
          <w:sz w:val="24"/>
          <w:szCs w:val="24"/>
        </w:rPr>
        <w:t xml:space="preserve">与国家统计云</w:t>
      </w:r>
      <w:r>
        <w:rPr>
          <w:rFonts w:hint="eastAsia" w:ascii="宋体" w:hAnsi="宋体" w:eastAsia="宋体"/>
          <w:sz w:val="24"/>
          <w:szCs w:val="24"/>
        </w:rPr>
        <w:t xml:space="preserve">数据一致</w:t>
      </w:r>
      <w:r>
        <w:rPr>
          <w:rFonts w:ascii="宋体" w:hAnsi="宋体" w:eastAsia="宋体"/>
          <w:sz w:val="24"/>
          <w:szCs w:val="24"/>
        </w:rPr>
        <w:t xml:space="preserve">。</w:t>
      </w:r>
      <w:r/>
    </w:p>
    <w:p>
      <w:pPr>
        <w:numPr>
          <w:ilvl w:val="0"/>
          <w:numId w:val="8"/>
        </w:numPr>
        <w:rPr>
          <w:rFonts w:ascii="Arial" w:hAnsi="Arial" w:eastAsia="宋体" w:cs="Times New Roman"/>
          <w:b/>
          <w:sz w:val="32"/>
          <w:szCs w:val="44"/>
        </w:rPr>
        <w:outlineLvl w:val="0"/>
      </w:pPr>
      <w:r>
        <w:rPr>
          <w:rFonts w:hint="eastAsia" w:ascii="Arial" w:hAnsi="Arial" w:eastAsia="宋体" w:cs="Times New Roman"/>
          <w:b/>
          <w:sz w:val="32"/>
          <w:szCs w:val="44"/>
        </w:rPr>
        <w:t xml:space="preserve">功能要求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在项目建设过程中，供应商须根据采购人实际需求和最新的相关政策、标准进行适当调整，以保障所建系统的先进性和可用性。</w:t>
      </w:r>
      <w:r/>
    </w:p>
    <w:p>
      <w:pPr>
        <w:ind w:firstLine="200"/>
        <w:spacing w:line="360" w:lineRule="auto"/>
        <w:rPr>
          <w:rFonts w:ascii="黑体" w:hAnsi="黑体" w:eastAsia="黑体" w:cs="Times New Roman"/>
          <w:bCs/>
          <w:sz w:val="28"/>
          <w:szCs w:val="32"/>
          <w:lang w:val="en-US" w:eastAsia="zh-CN"/>
        </w:rPr>
        <w:outlineLvl w:val="1"/>
      </w:pPr>
      <w:r>
        <w:rPr>
          <w:rFonts w:hint="eastAsia" w:ascii="黑体" w:hAnsi="黑体" w:eastAsia="黑体" w:cs="Times New Roman"/>
          <w:bCs/>
          <w:sz w:val="28"/>
          <w:szCs w:val="32"/>
        </w:rPr>
        <w:t xml:space="preserve">3.1“数字统计”平台标准规范</w:t>
      </w:r>
      <w:r/>
    </w:p>
    <w:p>
      <w:pPr>
        <w:ind w:firstLine="480"/>
        <w:spacing w:line="360" w:lineRule="auto"/>
        <w:rPr>
          <w:rFonts w:hint="eastAsia" w:ascii="宋体" w:hAnsi="宋体" w:eastAsia="宋体" w:cs="Times New Roman"/>
          <w:i w:val="0"/>
          <w:iCs w:val="0"/>
          <w:caps w:val="0"/>
          <w:spacing w:val="0"/>
          <w:sz w:val="24"/>
          <w:szCs w:val="24"/>
          <w:shd w:val="clear" w:color="auto" w:fill="auto"/>
          <w:lang w:val="en-US" w:eastAsia="zh-CN"/>
        </w:rPr>
      </w:pPr>
      <w:r>
        <w:rPr>
          <w:rFonts w:hint="eastAsia" w:ascii="宋体" w:hAnsi="宋体" w:eastAsia="宋体" w:cs="Times New Roman"/>
          <w:sz w:val="24"/>
          <w:szCs w:val="24"/>
          <w:lang w:val="en-US" w:eastAsia="zh-CN" w:bidi="ar-SA"/>
        </w:rPr>
        <w:t xml:space="preserve">本项目</w:t>
      </w:r>
      <w:r>
        <w:rPr>
          <w:rFonts w:hint="eastAsia" w:ascii="宋体" w:hAnsi="宋体"/>
          <w:bCs/>
          <w:color w:val="000000"/>
          <w:sz w:val="24"/>
          <w:szCs w:val="24"/>
        </w:rPr>
        <w:t xml:space="preserve">需编制的技术规范包括《平台子应用开发技术规范》《一体化工作台集成接入规范》《数据资源管理办法》《数据归集与共享规范》</w:t>
      </w:r>
      <w:r>
        <w:rPr>
          <w:rFonts w:hint="eastAsia" w:ascii="宋体" w:hAnsi="宋体" w:eastAsia="宋体" w:cs="Times New Roman"/>
          <w:i w:val="0"/>
          <w:iCs w:val="0"/>
          <w:caps w:val="0"/>
          <w:color w:val="1f2329"/>
          <w:spacing w:val="0"/>
          <w:sz w:val="24"/>
          <w:szCs w:val="24"/>
          <w:shd w:val="clear" w:color="auto" w:fill="auto"/>
          <w:lang w:val="en-US" w:eastAsia="zh-CN"/>
        </w:rPr>
        <w:t xml:space="preserve">。</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《平台子应用开发技术规范》需要针对软件开发各要素提出要求，为“数字统计”平台子应用开发技术规范开发工作提供规范指导。</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《一体化工作台集成接入规范》需要对集成开发等方面进行规范，为一体化工作台建设规范指导。</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《数据资源管理办法》需要明确“数字统计”平台数据资源管理过程中的各项数据活动的管理规范，规范统计数据资源的利用，为实现数据资源的充分利用夯实基础。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《数据资源归集共享服务规范》需要规定“数字统计”平台数据资源管理要求，规范数据资源归集共享工作，指导省统计局数据归集共享工作。</w:t>
      </w:r>
      <w:r/>
    </w:p>
    <w:p>
      <w:pPr>
        <w:ind w:firstLine="20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3.</w:t>
      </w:r>
      <w:r>
        <w:rPr>
          <w:rFonts w:hint="eastAsia" w:ascii="黑体" w:hAnsi="黑体" w:eastAsia="黑体" w:cs="Times New Roman"/>
          <w:bCs/>
          <w:sz w:val="28"/>
          <w:szCs w:val="32"/>
          <w:lang w:val="en-US" w:eastAsia="zh-CN"/>
        </w:rPr>
        <w:t xml:space="preserve">2</w:t>
      </w:r>
      <w:r>
        <w:rPr>
          <w:rFonts w:hint="eastAsia" w:ascii="黑体" w:hAnsi="黑体" w:eastAsia="黑体" w:cs="Times New Roman"/>
          <w:bCs/>
          <w:sz w:val="28"/>
          <w:szCs w:val="32"/>
        </w:rPr>
        <w:t xml:space="preserve">联网直报数据回流子系统</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建设联网直报数据省级管理节点，提供数据资源管理、数据分析演示、数据共享交换等功能，支撑常规报表和各项普查等基层数据的信息化管理工作。</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.1数据资源管理模块</w:t>
      </w:r>
      <w:r/>
    </w:p>
    <w:p>
      <w:pPr>
        <w:ind w:firstLine="480"/>
        <w:spacing w:line="360" w:lineRule="auto"/>
        <w:rPr>
          <w:rFonts w:ascii="宋体" w:hAnsi="宋体" w:eastAsia="宋体"/>
          <w:sz w:val="24"/>
          <w:szCs w:val="24"/>
        </w:rPr>
      </w:pPr>
      <w:r>
        <w:rPr>
          <w:rFonts w:ascii="宋体" w:hAnsi="宋体" w:eastAsia="宋体" w:cs="宋体"/>
          <w:sz w:val="24"/>
          <w:szCs w:val="24"/>
        </w:rPr>
        <w:t xml:space="preserve">数据资源管理包括资源目录管理、来源库查询、工作库查询、数据</w:t>
      </w:r>
      <w:r>
        <w:rPr>
          <w:rFonts w:hint="eastAsia" w:ascii="宋体" w:hAnsi="宋体" w:eastAsia="宋体" w:cs="宋体"/>
          <w:sz w:val="24"/>
          <w:szCs w:val="24"/>
        </w:rPr>
        <w:t xml:space="preserve">处</w:t>
      </w:r>
      <w:r>
        <w:rPr>
          <w:rFonts w:ascii="宋体" w:hAnsi="宋体" w:eastAsia="宋体" w:cs="宋体"/>
          <w:sz w:val="24"/>
          <w:szCs w:val="24"/>
        </w:rPr>
        <w:t xml:space="preserve">理、安全管理、任务管理、数据迁移等功能模块</w:t>
      </w:r>
      <w:r>
        <w:rPr>
          <w:rFonts w:hint="eastAsia" w:ascii="宋体" w:hAnsi="宋体" w:eastAsia="宋体" w:cs="宋体"/>
          <w:sz w:val="24"/>
          <w:szCs w:val="24"/>
        </w:rPr>
        <w:t xml:space="preserve">。</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.1.1资源目录管理子模块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对进入数据湖的数据资源目录进行资源目录管理，包含湖目录维护、湖目录授权等功能。对进入数仓的数据资源进行仓目录管理，包含仓目录维护、仓目录授权等功能。同时支持依照数据资源目录对数据进行查看。</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.1.2来源库查询子模块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包括但不限于基层数据库查询、综合数据库查询、外部数据库查询等功能。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.1.3工作库查询子模块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包括但不限于分析库查询、共享库查询、资料库查询、发布库查询等功能。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.1.4数据处理子模块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包括但不限于资源盘点、资源复制、数据加载管理、</w:t>
      </w:r>
      <w:r>
        <w:rPr>
          <w:rFonts w:ascii="宋体" w:hAnsi="宋体" w:eastAsia="宋体" w:cs="宋体"/>
          <w:sz w:val="24"/>
          <w:szCs w:val="24"/>
        </w:rPr>
        <w:t xml:space="preserve">元数据管理</w:t>
      </w:r>
      <w:r>
        <w:rPr>
          <w:rFonts w:hint="eastAsia" w:ascii="宋体" w:hAnsi="宋体" w:eastAsia="宋体" w:cs="宋体"/>
          <w:sz w:val="24"/>
          <w:szCs w:val="24"/>
        </w:rPr>
        <w:t xml:space="preserve">、</w:t>
      </w:r>
      <w:r>
        <w:rPr>
          <w:rFonts w:ascii="宋体" w:hAnsi="宋体" w:eastAsia="宋体" w:cs="宋体"/>
          <w:sz w:val="24"/>
          <w:szCs w:val="24"/>
        </w:rPr>
        <w:t xml:space="preserve">数据标准管理</w:t>
      </w:r>
      <w:r>
        <w:rPr>
          <w:rFonts w:hint="eastAsia" w:ascii="宋体" w:hAnsi="宋体" w:eastAsia="宋体" w:cs="宋体"/>
          <w:sz w:val="24"/>
          <w:szCs w:val="24"/>
        </w:rPr>
        <w:t xml:space="preserve">、</w:t>
      </w:r>
      <w:r>
        <w:rPr>
          <w:rFonts w:ascii="宋体" w:hAnsi="宋体" w:eastAsia="宋体" w:cs="宋体"/>
          <w:sz w:val="24"/>
          <w:szCs w:val="24"/>
        </w:rPr>
        <w:t xml:space="preserve">数据版本管理</w:t>
      </w:r>
      <w:r>
        <w:rPr>
          <w:rFonts w:hint="eastAsia" w:ascii="宋体" w:hAnsi="宋体" w:eastAsia="宋体" w:cs="宋体"/>
          <w:sz w:val="24"/>
          <w:szCs w:val="24"/>
        </w:rPr>
        <w:t xml:space="preserve">、台账管理、</w:t>
      </w:r>
      <w:r>
        <w:rPr>
          <w:rFonts w:ascii="宋体" w:hAnsi="宋体" w:eastAsia="宋体" w:cs="宋体"/>
          <w:sz w:val="24"/>
          <w:szCs w:val="24"/>
        </w:rPr>
        <w:t xml:space="preserve">指标目录管理</w:t>
      </w:r>
      <w:r>
        <w:rPr>
          <w:rFonts w:hint="eastAsia" w:ascii="宋体" w:hAnsi="宋体" w:eastAsia="宋体" w:cs="宋体"/>
          <w:sz w:val="24"/>
          <w:szCs w:val="24"/>
        </w:rPr>
        <w:t xml:space="preserve">、</w:t>
      </w:r>
      <w:r>
        <w:rPr>
          <w:rFonts w:ascii="宋体" w:hAnsi="宋体" w:eastAsia="宋体" w:cs="宋体"/>
          <w:sz w:val="24"/>
          <w:szCs w:val="24"/>
        </w:rPr>
        <w:t xml:space="preserve">数据加工</w:t>
      </w:r>
      <w:r>
        <w:rPr>
          <w:rFonts w:hint="eastAsia" w:ascii="宋体" w:hAnsi="宋体" w:eastAsia="宋体" w:cs="宋体"/>
          <w:sz w:val="24"/>
          <w:szCs w:val="24"/>
        </w:rPr>
        <w:t xml:space="preserve">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.1.5安全管理子模块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包括但不限于数据分级功能、数据水印功能、数据脱敏脱密等功能。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.1.6任务管理子模块</w:t>
      </w:r>
      <w:r/>
    </w:p>
    <w:p>
      <w:pPr>
        <w:ind w:left="479"/>
        <w:spacing w:line="360" w:lineRule="auto"/>
        <w:rPr>
          <w:rFonts w:ascii="宋体" w:hAnsi="宋体" w:eastAsia="宋体"/>
          <w:sz w:val="24"/>
          <w:szCs w:val="24"/>
        </w:rPr>
      </w:pPr>
      <w:r>
        <w:rPr>
          <w:rFonts w:hint="eastAsia" w:ascii="宋体" w:hAnsi="宋体" w:eastAsia="宋体"/>
          <w:sz w:val="24"/>
          <w:szCs w:val="24"/>
        </w:rPr>
        <w:t xml:space="preserve">包括但不限于入湖进仓任务管理、内部数据交换管理、任务监控等功能模块。3.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.1.7数据迁移子模块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包括但不限于数据导出、数据导入等功能。</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.2数据分析演示模块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数据分析模块包括数据分析、</w:t>
      </w:r>
      <w:r>
        <w:rPr>
          <w:rFonts w:ascii="宋体" w:hAnsi="宋体" w:eastAsia="宋体" w:cs="宋体"/>
          <w:sz w:val="24"/>
          <w:szCs w:val="24"/>
        </w:rPr>
        <w:t xml:space="preserve">数据产品制作</w:t>
      </w:r>
      <w:r>
        <w:rPr>
          <w:rFonts w:hint="eastAsia" w:ascii="宋体" w:hAnsi="宋体" w:eastAsia="宋体" w:cs="宋体"/>
          <w:sz w:val="24"/>
          <w:szCs w:val="24"/>
        </w:rPr>
        <w:t xml:space="preserve">、模型管理、菜单管理</w:t>
      </w:r>
      <w:r>
        <w:rPr>
          <w:rFonts w:hint="eastAsia" w:ascii="宋体" w:hAnsi="宋体" w:eastAsia="宋体"/>
          <w:sz w:val="24"/>
          <w:szCs w:val="24"/>
        </w:rPr>
        <w:t xml:space="preserve">等功能模块。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.2.1数据分析子模块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支持</w:t>
      </w:r>
      <w:r>
        <w:rPr>
          <w:rFonts w:ascii="宋体" w:hAnsi="宋体" w:eastAsia="宋体" w:cs="宋体"/>
          <w:sz w:val="24"/>
          <w:szCs w:val="24"/>
        </w:rPr>
        <w:t xml:space="preserve">宏观数据分析挖掘</w:t>
      </w:r>
      <w:r>
        <w:rPr>
          <w:rFonts w:hint="eastAsia" w:ascii="宋体" w:hAnsi="宋体" w:eastAsia="宋体" w:cs="宋体"/>
          <w:sz w:val="24"/>
          <w:szCs w:val="24"/>
        </w:rPr>
        <w:t xml:space="preserve">、</w:t>
      </w:r>
      <w:r>
        <w:rPr>
          <w:rFonts w:ascii="宋体" w:hAnsi="宋体" w:eastAsia="宋体" w:cs="宋体"/>
          <w:sz w:val="24"/>
          <w:szCs w:val="24"/>
        </w:rPr>
        <w:t xml:space="preserve">微观数据分析挖掘</w:t>
      </w:r>
      <w:r>
        <w:rPr>
          <w:rFonts w:hint="eastAsia" w:ascii="宋体" w:hAnsi="宋体" w:eastAsia="宋体" w:cs="宋体"/>
          <w:sz w:val="24"/>
          <w:szCs w:val="24"/>
        </w:rPr>
        <w:t xml:space="preserve">等功能。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.2.2数据产品制作子模块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支持预定义模板、设定报告、定制统计表模板、统计分析数据图表化等功能。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.2.3模型管理子模块</w:t>
      </w:r>
      <w:r/>
    </w:p>
    <w:p>
      <w:pPr>
        <w:ind w:firstLine="480"/>
        <w:spacing w:line="360" w:lineRule="auto"/>
        <w:rPr>
          <w:rFonts w:ascii="宋体" w:hAnsi="宋体" w:eastAsia="宋体"/>
          <w:sz w:val="24"/>
          <w:szCs w:val="24"/>
        </w:rPr>
      </w:pPr>
      <w:r>
        <w:rPr>
          <w:rFonts w:ascii="宋体" w:hAnsi="宋体" w:eastAsia="宋体"/>
          <w:sz w:val="24"/>
          <w:szCs w:val="24"/>
        </w:rPr>
        <w:t xml:space="preserve">实现分析模型的注册、修改和权限设置</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.2.4菜单管理子模块</w:t>
      </w:r>
      <w:r/>
    </w:p>
    <w:p>
      <w:pPr>
        <w:ind w:firstLine="480"/>
        <w:spacing w:line="360" w:lineRule="auto"/>
        <w:rPr>
          <w:rFonts w:ascii="宋体" w:hAnsi="宋体" w:eastAsia="宋体"/>
          <w:sz w:val="24"/>
          <w:szCs w:val="24"/>
        </w:rPr>
      </w:pPr>
      <w:r>
        <w:rPr>
          <w:rFonts w:ascii="宋体" w:hAnsi="宋体" w:eastAsia="宋体"/>
          <w:sz w:val="24"/>
          <w:szCs w:val="24"/>
        </w:rPr>
        <w:t xml:space="preserve">实现菜单新增、修改、删除等功能</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.3其他相关要求</w:t>
      </w:r>
      <w:r/>
    </w:p>
    <w:p>
      <w:pPr>
        <w:ind w:firstLine="480"/>
        <w:spacing w:line="360" w:lineRule="auto"/>
        <w:rPr>
          <w:rFonts w:ascii="宋体" w:hAnsi="宋体" w:eastAsia="宋体"/>
          <w:sz w:val="24"/>
          <w:szCs w:val="24"/>
        </w:rPr>
      </w:pPr>
      <w:r>
        <w:rPr>
          <w:rFonts w:ascii="宋体" w:hAnsi="宋体" w:eastAsia="宋体"/>
          <w:sz w:val="24"/>
          <w:szCs w:val="24"/>
        </w:rPr>
        <w:t xml:space="preserve">联网直报数据回流子系统需进行初始化配置，实现与国家统计云的上下衔接。子系统需提供角色组管理、角色管理、用户管理、权限管理、部门管理、机构管理的</w:t>
      </w:r>
      <w:r>
        <w:rPr>
          <w:rFonts w:hint="eastAsia" w:ascii="宋体" w:hAnsi="宋体" w:eastAsia="宋体"/>
          <w:sz w:val="24"/>
          <w:szCs w:val="24"/>
        </w:rPr>
        <w:t xml:space="preserve">维护</w:t>
      </w:r>
      <w:r>
        <w:rPr>
          <w:rFonts w:ascii="宋体" w:hAnsi="宋体" w:eastAsia="宋体"/>
          <w:sz w:val="24"/>
          <w:szCs w:val="24"/>
        </w:rPr>
        <w:t xml:space="preserve">等通用模块功能。其中，用户管理、部门管理、机构管理与一站式工作台进行对接，实现数据同步。同时，联网直报数据回流子系统作为常规报表和各项普查等基层数据的资源管理系统，还需按照《数据资源管理办法》《数据归集与共享规范》等规范文件，统筹协调涉及基层数据调用的相关业务子系统的数据流向，保障数据有序流转。</w:t>
      </w:r>
      <w:r/>
    </w:p>
    <w:p>
      <w:pPr>
        <w:ind w:firstLine="20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3.</w:t>
      </w:r>
      <w:r>
        <w:rPr>
          <w:rFonts w:hint="eastAsia" w:ascii="黑体" w:hAnsi="黑体" w:eastAsia="黑体" w:cs="Times New Roman"/>
          <w:bCs/>
          <w:sz w:val="28"/>
          <w:szCs w:val="32"/>
          <w:lang w:val="en-US" w:eastAsia="zh-CN"/>
        </w:rPr>
        <w:t xml:space="preserve">3</w:t>
      </w:r>
      <w:r>
        <w:rPr>
          <w:rFonts w:hint="eastAsia" w:ascii="黑体" w:hAnsi="黑体" w:eastAsia="黑体" w:cs="Times New Roman"/>
          <w:bCs/>
          <w:sz w:val="28"/>
          <w:szCs w:val="32"/>
        </w:rPr>
        <w:t xml:space="preserve">综合数据管理及应用子系统</w:t>
      </w:r>
      <w:r/>
    </w:p>
    <w:p>
      <w:pPr>
        <w:ind w:firstLine="480"/>
        <w:spacing w:line="360" w:lineRule="auto"/>
        <w:rPr>
          <w:rFonts w:ascii="宋体" w:hAnsi="宋体" w:eastAsia="宋体"/>
          <w:sz w:val="24"/>
          <w:szCs w:val="24"/>
        </w:rPr>
      </w:pPr>
      <w:r>
        <w:rPr>
          <w:rFonts w:ascii="宋体" w:hAnsi="宋体" w:eastAsia="宋体"/>
          <w:sz w:val="24"/>
          <w:szCs w:val="24"/>
        </w:rPr>
        <w:t xml:space="preserve">通过综合数据管理系统，包括综合数据加工服务、江苏统计综合数据管理、“数据江苏”综合数据发布等模块建设，完善统计资料制作及发布流程，升级优化“江苏统计”公众号，提升对于综合数据的管理能力及面向公众的服务能力。</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.1江苏统计综合数据管理模块</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.1.1江苏统计综合数据管理子模块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包括但不限于综合数据展示、数据填报、资料编辑、数据查询、数据管理、系统运维管理等。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.1.2“数据江苏”综合数据发布子模块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包括但不限于发布数据展示、</w:t>
      </w:r>
      <w:r>
        <w:rPr>
          <w:rFonts w:ascii="宋体" w:hAnsi="宋体" w:eastAsia="宋体" w:cs="宋体"/>
          <w:sz w:val="24"/>
          <w:szCs w:val="24"/>
        </w:rPr>
        <w:t xml:space="preserve">数据可视化轮播图</w:t>
      </w:r>
      <w:r>
        <w:rPr>
          <w:rFonts w:hint="eastAsia" w:ascii="宋体" w:hAnsi="宋体" w:eastAsia="宋体" w:cs="宋体"/>
          <w:sz w:val="24"/>
          <w:szCs w:val="24"/>
        </w:rPr>
        <w:t xml:space="preserve">、数据查询、</w:t>
      </w:r>
      <w:r>
        <w:rPr>
          <w:rFonts w:ascii="宋体" w:hAnsi="宋体" w:eastAsia="宋体" w:cs="宋体"/>
          <w:sz w:val="24"/>
          <w:szCs w:val="24"/>
        </w:rPr>
        <w:t xml:space="preserve">专题统计报表</w:t>
      </w:r>
      <w:r>
        <w:rPr>
          <w:rFonts w:hint="eastAsia" w:ascii="宋体" w:hAnsi="宋体" w:eastAsia="宋体" w:cs="宋体"/>
          <w:sz w:val="24"/>
          <w:szCs w:val="24"/>
        </w:rPr>
        <w:t xml:space="preserve">、统计资料集成、适老化和无障碍适配等功能。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.1.3“江苏统计”公众号升级子模块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升</w:t>
      </w:r>
      <w:r>
        <w:rPr>
          <w:rFonts w:ascii="宋体" w:hAnsi="宋体" w:eastAsia="宋体"/>
          <w:sz w:val="24"/>
          <w:szCs w:val="24"/>
        </w:rPr>
        <w:t xml:space="preserve">级“江苏统计”公众号，将“江苏数据”微网站内嵌至“江苏统计”公众号中，微网站建设数据看板和数据查询两个模块。其中，数据看板采用动态图表方式，直观展示国民经济和社会发展变化的情况；数据查询提供数据指标搜索功能，支持通过人工调整指标层级结构，使指标查询逻辑更加符合移动端使用习惯，满足各部门和公众及时、方便查阅相关统计数据的需要，实现数据的“口袋化”管理。</w:t>
      </w:r>
      <w:r>
        <w:rPr>
          <w:rFonts w:hint="eastAsia" w:ascii="宋体" w:hAnsi="宋体" w:eastAsia="宋体"/>
          <w:sz w:val="24"/>
          <w:szCs w:val="24"/>
        </w:rPr>
        <w:t xml:space="preserve">包括可视化看板、数据指标搜索、数据查询工具、鉴权接口对接等功能。</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.2综合数据加工服务</w:t>
      </w:r>
      <w:r/>
    </w:p>
    <w:p>
      <w:pPr>
        <w:ind w:firstLine="480"/>
        <w:spacing w:line="360" w:lineRule="auto"/>
        <w:rPr>
          <w:rFonts w:ascii="宋体" w:hAnsi="宋体" w:eastAsia="宋体"/>
          <w:sz w:val="24"/>
          <w:szCs w:val="24"/>
        </w:rPr>
      </w:pPr>
      <w:r>
        <w:rPr>
          <w:rFonts w:ascii="宋体" w:hAnsi="宋体" w:eastAsia="宋体"/>
          <w:sz w:val="24"/>
          <w:szCs w:val="24"/>
        </w:rPr>
        <w:t xml:space="preserve">综合数据加工服务是通过对数据、表格开展必要的加工处理工作，满足相关部门对综合数据的查询及层级展示需求。</w:t>
      </w:r>
      <w:r>
        <w:rPr>
          <w:rFonts w:hint="eastAsia" w:ascii="宋体" w:hAnsi="宋体" w:eastAsia="宋体"/>
          <w:sz w:val="24"/>
          <w:szCs w:val="24"/>
        </w:rPr>
        <w:t xml:space="preserve">包括综合数据指标体系建设、模板制作服务、综合数据入库等功能。</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3</w:t>
      </w:r>
      <w:r>
        <w:rPr>
          <w:rFonts w:hint="eastAsia" w:ascii="宋体" w:hAnsi="宋体" w:eastAsia="宋体"/>
          <w:sz w:val="24"/>
          <w:szCs w:val="24"/>
        </w:rPr>
        <w:t xml:space="preserve">.3数据资源目录编制服务</w:t>
      </w:r>
      <w:r/>
    </w:p>
    <w:p>
      <w:pPr>
        <w:ind w:firstLine="480"/>
        <w:spacing w:line="360" w:lineRule="auto"/>
        <w:rPr>
          <w:rFonts w:ascii="宋体" w:hAnsi="宋体" w:eastAsia="宋体"/>
          <w:sz w:val="24"/>
          <w:szCs w:val="24"/>
        </w:rPr>
      </w:pPr>
      <w:r>
        <w:rPr>
          <w:rFonts w:ascii="宋体" w:hAnsi="宋体" w:eastAsia="宋体"/>
          <w:sz w:val="24"/>
          <w:szCs w:val="24"/>
        </w:rPr>
        <w:t xml:space="preserve">通过梳理和整合平台内各类数据资源，明确数据的分类、来源、存储、共享及使用方式，为数据的查询、共享、分析和应用提供标准化指引，提升数据资源的管理效率和服务质量，促进统计数据的科学化、规范化和智能化发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编制范围涵盖江苏省委办局内部共享数据目录和江苏省可开放数据目录，江苏省委办局内部共享数据目录包含由江苏省统计局各专业处室确认的用于江苏省各委办局内部查询的指标数据，按区域分为全省数据、分市数据、区县数据、外省数据，按时间分为进度数据、年度数据，江苏省可开放数据目录包含由江苏省统计局各专业处室确认的可对公众发布的数据，按区域分为全省数据、分市数据、区县数据，按时间分为月度数据、季度数据、年度数据。</w:t>
      </w:r>
      <w:r/>
    </w:p>
    <w:p>
      <w:pPr>
        <w:ind w:firstLine="480"/>
        <w:spacing w:line="360" w:lineRule="auto"/>
        <w:rPr>
          <w:rFonts w:ascii="宋体" w:hAnsi="宋体" w:eastAsia="宋体"/>
          <w:sz w:val="24"/>
          <w:szCs w:val="24"/>
        </w:rPr>
      </w:pPr>
      <w:r>
        <w:rPr>
          <w:rFonts w:ascii="宋体" w:hAnsi="宋体" w:eastAsia="宋体"/>
          <w:sz w:val="24"/>
          <w:szCs w:val="24"/>
        </w:rPr>
        <w:t xml:space="preserve">数据资源目录编制完成之后，经审核之后才能够发布成为正式</w:t>
      </w:r>
      <w:r>
        <w:rPr>
          <w:rFonts w:hint="eastAsia" w:ascii="宋体" w:hAnsi="宋体" w:eastAsia="宋体"/>
          <w:sz w:val="24"/>
          <w:szCs w:val="24"/>
        </w:rPr>
        <w:t xml:space="preserve">数据资源目录。同时，需要根据业务发展和变化情况进行更新调整，针对数据资源目录发生新增、变更或失效等情况要能对已编制的目录进行管理和维护。</w:t>
      </w:r>
      <w:r/>
    </w:p>
    <w:p>
      <w:pPr>
        <w:ind w:firstLine="20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3.</w:t>
      </w:r>
      <w:r>
        <w:rPr>
          <w:rFonts w:hint="eastAsia" w:ascii="黑体" w:hAnsi="黑体" w:eastAsia="黑体" w:cs="Times New Roman"/>
          <w:bCs/>
          <w:sz w:val="28"/>
          <w:szCs w:val="32"/>
          <w:lang w:val="en-US" w:eastAsia="zh-CN"/>
        </w:rPr>
        <w:t xml:space="preserve">4</w:t>
      </w:r>
      <w:r>
        <w:rPr>
          <w:rFonts w:hint="eastAsia" w:ascii="黑体" w:hAnsi="黑体" w:eastAsia="黑体" w:cs="Times New Roman"/>
          <w:bCs/>
          <w:sz w:val="28"/>
          <w:szCs w:val="32"/>
        </w:rPr>
        <w:t xml:space="preserve">省统计局旗舰店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基于江苏政务服务网全省统一框架，以《江苏省一体化政务服务平台政务服务旗舰店建设标准规范》为建设纲领，结合省一体化政务服务平台门户统一展现和功能要求，建设统计旗舰店PC端统一界面布局、信息内容、站点管理维护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市级、县级统计旗舰店可使用省级平台提供的统一界面组件进行界面布局的配置搭建，按照统一的视觉展现要求进行自定义组件的设计和开发从而进行界面布局的构建。</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.1事项办理模块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参照《国务院办公厅关于印发“互联网+政务服务”技术体系建设指南的通知（国办函〔2016〕108号）》对政务服务事项的分类标准，按照事项类型（包括行政许可、行政奖励、公共服务等）、服务对象（包括个人、法人用户角色）等分类维度，对统计领域服务事项进行合理划分，保证用户基于不同分类条件查看目标服务事项。</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.1.1行政权力清单子模块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基于省统计局已有行政权力清单，将相关事项连接至“苏服办”统一服务清单页面URL，包括拟上架的涉外统计调查机构资格认定、涉外社会调查项目审批等行政许可事项，需根据实际实施过程中采购人提出的具体要求完成。</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.1.2公共服务子模块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基于省统计局已有公共服务，在旗舰店开设进度数据、统计年鉴、统计公报、普查数据等查询板块。在“数据江苏”综合数据发布库建设完成前，通过链接至“省统计局官网”相关页面URL的方式，展示具体数据信息。在“数据江苏”综合数据发布库建设完成后，通过链接至“数据江苏”综合数据发布库的已有功能，展示相关数据信息。</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.2咨询公告模块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展示统计年鉴上新通知、事项上新等内容，便于用户及时掌握最新公告信息。</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.3互动交流模块</w:t>
      </w:r>
      <w:r/>
    </w:p>
    <w:p>
      <w:pPr>
        <w:ind w:firstLine="480"/>
        <w:spacing w:line="360" w:lineRule="auto"/>
        <w:rPr>
          <w:rFonts w:ascii="宋体" w:hAnsi="宋体" w:eastAsia="宋体"/>
          <w:sz w:val="24"/>
          <w:szCs w:val="24"/>
        </w:rPr>
      </w:pPr>
      <w:r>
        <w:rPr>
          <w:rFonts w:ascii="宋体" w:hAnsi="宋体" w:eastAsia="宋体"/>
          <w:sz w:val="24"/>
          <w:szCs w:val="24"/>
        </w:rPr>
        <w:t xml:space="preserve">基于“省统计局官网”已有互动交流功能，在旗舰店开设互动交流板块，实现在线咨询功能，支持线上咨询、局长信箱、纪检举报监督、统计违法行为监督等。</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.4服务搜索模块</w:t>
      </w:r>
      <w:r/>
    </w:p>
    <w:p>
      <w:pPr>
        <w:ind w:firstLine="480"/>
        <w:spacing w:line="360" w:lineRule="auto"/>
        <w:rPr>
          <w:rFonts w:ascii="宋体" w:hAnsi="宋体" w:eastAsia="宋体"/>
          <w:sz w:val="24"/>
          <w:szCs w:val="24"/>
        </w:rPr>
      </w:pPr>
      <w:r>
        <w:rPr>
          <w:rFonts w:ascii="宋体" w:hAnsi="宋体" w:eastAsia="宋体"/>
          <w:sz w:val="24"/>
          <w:szCs w:val="24"/>
        </w:rPr>
        <w:t xml:space="preserve">建设服务搜索，为自然人、法人用户提供服务检索、热词搜索等搜索服务，搜索内容将涵盖事项办理、资讯公告等数据信息。支持查询“数据江苏”综合数据发布库中对社会公开发布的各类数据。</w:t>
      </w:r>
      <w:r/>
    </w:p>
    <w:p>
      <w:pPr>
        <w:ind w:firstLine="480"/>
        <w:spacing w:line="360" w:lineRule="auto"/>
        <w:rPr>
          <w:rFonts w:ascii="宋体" w:hAnsi="宋体" w:eastAsia="宋体"/>
          <w:sz w:val="24"/>
          <w:szCs w:val="24"/>
          <w:highlight w:val="yellow"/>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4</w:t>
      </w:r>
      <w:r>
        <w:rPr>
          <w:rFonts w:hint="eastAsia" w:ascii="宋体" w:hAnsi="宋体" w:eastAsia="宋体"/>
          <w:sz w:val="24"/>
          <w:szCs w:val="24"/>
        </w:rPr>
        <w:t xml:space="preserve">.5效能监督模块</w:t>
      </w:r>
      <w:r/>
    </w:p>
    <w:p>
      <w:pPr>
        <w:ind w:firstLine="480"/>
        <w:spacing w:line="360" w:lineRule="auto"/>
        <w:rPr>
          <w:rFonts w:ascii="宋体" w:hAnsi="宋体" w:eastAsia="宋体"/>
          <w:sz w:val="24"/>
          <w:szCs w:val="24"/>
        </w:rPr>
      </w:pPr>
      <w:r>
        <w:rPr>
          <w:rFonts w:ascii="宋体" w:hAnsi="宋体" w:eastAsia="宋体"/>
          <w:sz w:val="24"/>
          <w:szCs w:val="24"/>
        </w:rPr>
        <w:t xml:space="preserve">在江苏省统计局旗舰店 PC 端构建服务效能专栏，以动态更新展示局当前政务服务整体服务效能</w:t>
      </w:r>
      <w:r>
        <w:rPr>
          <w:rFonts w:hint="eastAsia" w:ascii="宋体" w:hAnsi="宋体" w:eastAsia="宋体"/>
          <w:sz w:val="24"/>
          <w:szCs w:val="24"/>
        </w:rPr>
        <w:t xml:space="preserve">。</w:t>
      </w:r>
      <w:r/>
    </w:p>
    <w:p>
      <w:pPr>
        <w:ind w:firstLine="20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3.</w:t>
      </w:r>
      <w:r>
        <w:rPr>
          <w:rFonts w:hint="eastAsia" w:ascii="黑体" w:hAnsi="黑体" w:eastAsia="黑体" w:cs="Times New Roman"/>
          <w:bCs/>
          <w:sz w:val="28"/>
          <w:szCs w:val="32"/>
          <w:lang w:val="en-US" w:eastAsia="zh-CN"/>
        </w:rPr>
        <w:t xml:space="preserve">5</w:t>
      </w:r>
      <w:r>
        <w:rPr>
          <w:rFonts w:hint="eastAsia" w:ascii="黑体" w:hAnsi="黑体" w:eastAsia="黑体" w:cs="Times New Roman"/>
          <w:bCs/>
          <w:sz w:val="28"/>
          <w:szCs w:val="32"/>
        </w:rPr>
        <w:t xml:space="preserve">一体化工作台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“数字统计”一体化工作台充分利用平台集中管理的建设思路，对当前分散的应用系统进行统筹规划，建立统计各项业务的统一应用门户，避免平台用户同时多个应用系统进行业务操作的情况。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体化工作台通过单点登录访问所有应用，并通过权限控制机制进行访问管控，平台内置统一认证、统一待办、统一消息等能力，对接各业务系统实现日常办公的及时提醒和办理，实现便捷化应用访问和日常办公。</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.1统一登录模块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整合登录入口点。在一体化工作台登录页提供统一的登陆界面，支持账号密码登录、手机短信登录、江苏政务服务二维码登录、注销登录。</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.2单点登录模块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提供单点登录功能，为用户跨系统访问提供便捷支持，通过一次身份验证实现多系统无缝访问，简化登录操作流程。用户登录一体化平台，即可直接访问所有有权限的关联系统，无需重复输入登录信息，减少操作步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需要对接的系统包括江苏省经济社会发展数据中心核心业务系统、江苏省统计局电子公文系统、五经普数据回流与处理系统、江苏省统计局门户网站、江苏省统计局工作信息网、依法行政管理系统、基层统计工作管理平台系统、基本单位名录库管理系统、江苏省社情民意调查中心在线调查系统、江苏省统计从业人员继续教育平台、投资凭证审核平台系统、财务管理系统、江苏省网上统计资料馆等。</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.3统一用户模块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统一用户用于建立单一、权威的用户信息源（如用户ID、姓名、部门等基础属性），实现集中化的用户数据存储与管理。需要实现对已存在用户账号数据映射，对用户账号数据实现新增、修改、删除、变更个人用户信息等功能。实现角色管理、权限管理等内容。</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.4统一身份认证模块</w:t>
      </w:r>
      <w:r/>
    </w:p>
    <w:p>
      <w:pPr>
        <w:ind w:firstLine="480"/>
        <w:spacing w:line="360" w:lineRule="auto"/>
        <w:rPr>
          <w:rFonts w:ascii="宋体" w:hAnsi="宋体" w:eastAsia="宋体"/>
          <w:sz w:val="24"/>
          <w:szCs w:val="24"/>
        </w:rPr>
      </w:pPr>
      <w:r>
        <w:rPr>
          <w:rFonts w:ascii="宋体" w:hAnsi="宋体" w:eastAsia="宋体"/>
          <w:sz w:val="24"/>
          <w:szCs w:val="24"/>
        </w:rPr>
        <w:t xml:space="preserve">统一身份认证聚焦于用户账号、权限、策略的集中化管理，主要用于集中管控用户身份、权限和访问策略，包含认证（AuthN）+授权（AuthZ）+身份管理等</w:t>
      </w:r>
      <w:r>
        <w:rPr>
          <w:rFonts w:hint="eastAsia" w:ascii="宋体" w:hAnsi="宋体" w:eastAsia="宋体"/>
          <w:sz w:val="24"/>
          <w:szCs w:val="24"/>
        </w:rPr>
        <w:t xml:space="preserve">。包括身份存储库、认证服务、授权管理、目录同步、生命周期管理、审计与合规、自助服务等功能。</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.5统一办件模块</w:t>
      </w:r>
      <w:r/>
    </w:p>
    <w:p>
      <w:pPr>
        <w:ind w:firstLine="480"/>
        <w:spacing w:line="360" w:lineRule="auto"/>
        <w:rPr>
          <w:rFonts w:ascii="宋体" w:hAnsi="宋体" w:eastAsia="宋体"/>
          <w:sz w:val="24"/>
          <w:szCs w:val="24"/>
        </w:rPr>
      </w:pPr>
      <w:r>
        <w:rPr>
          <w:rFonts w:ascii="宋体" w:hAnsi="宋体" w:eastAsia="宋体"/>
          <w:sz w:val="24"/>
          <w:szCs w:val="24"/>
        </w:rPr>
        <w:t xml:space="preserve">统一办件是工作台的核心功能之一，主要包括</w:t>
      </w:r>
      <w:r>
        <w:rPr>
          <w:rFonts w:hint="eastAsia" w:ascii="宋体" w:hAnsi="宋体" w:eastAsia="宋体"/>
          <w:sz w:val="24"/>
          <w:szCs w:val="24"/>
        </w:rPr>
        <w:t xml:space="preserve">待办提醒功能</w:t>
      </w:r>
      <w:r>
        <w:rPr>
          <w:rFonts w:ascii="宋体" w:hAnsi="宋体" w:eastAsia="宋体"/>
          <w:sz w:val="24"/>
          <w:szCs w:val="24"/>
        </w:rPr>
        <w:t xml:space="preserve">、事件办理功能等。</w:t>
      </w:r>
      <w:r>
        <w:rPr>
          <w:rFonts w:hint="eastAsia" w:ascii="宋体" w:hAnsi="宋体" w:eastAsia="宋体"/>
          <w:sz w:val="24"/>
          <w:szCs w:val="24"/>
        </w:rPr>
        <w:t xml:space="preserve">待办提醒功能</w:t>
      </w:r>
      <w:r>
        <w:rPr>
          <w:rFonts w:ascii="宋体" w:hAnsi="宋体" w:eastAsia="宋体"/>
          <w:sz w:val="24"/>
          <w:szCs w:val="24"/>
        </w:rPr>
        <w:t xml:space="preserve">包括待办事项服务统一归集，形成统一的待办事项，展示内容包括来源业务、事项名称、时间等信息，并对即将超期的待办进行特殊标记提醒。</w:t>
      </w:r>
      <w:r>
        <w:rPr>
          <w:rFonts w:hint="eastAsia" w:ascii="宋体" w:hAnsi="宋体" w:eastAsia="宋体"/>
          <w:sz w:val="24"/>
          <w:szCs w:val="24"/>
        </w:rPr>
        <w:t xml:space="preserve">事件办理功能</w:t>
      </w:r>
      <w:r>
        <w:rPr>
          <w:rFonts w:ascii="宋体" w:hAnsi="宋体" w:eastAsia="宋体"/>
          <w:sz w:val="24"/>
          <w:szCs w:val="24"/>
        </w:rPr>
        <w:t xml:space="preserve">提供统一标准的事件处理窗口，各业务系统可根据事项情况进行内容自定义，用户可通过处理窗口完成事项处理</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.6应用清单管理模块</w:t>
      </w:r>
      <w:r/>
    </w:p>
    <w:p>
      <w:pPr>
        <w:ind w:firstLine="480"/>
        <w:spacing w:line="360" w:lineRule="auto"/>
        <w:rPr>
          <w:rFonts w:ascii="宋体" w:hAnsi="宋体" w:eastAsia="宋体"/>
          <w:sz w:val="24"/>
          <w:szCs w:val="24"/>
        </w:rPr>
      </w:pPr>
      <w:r>
        <w:rPr>
          <w:rFonts w:ascii="宋体" w:hAnsi="宋体" w:eastAsia="宋体"/>
          <w:sz w:val="24"/>
          <w:szCs w:val="24"/>
        </w:rPr>
        <w:t xml:space="preserve">应用清单管理是用户对自身有权操作的应用的管理中心，主要包含单位内部业务应用和外部集成应用，支持用户在应用中心对各类应用进行统一管理和应用</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.7能力</w:t>
      </w:r>
      <w:r>
        <w:rPr>
          <w:rFonts w:ascii="宋体" w:hAnsi="宋体" w:eastAsia="宋体"/>
          <w:sz w:val="24"/>
          <w:szCs w:val="24"/>
        </w:rPr>
        <w:t xml:space="preserve">工具</w:t>
      </w:r>
      <w:r>
        <w:rPr>
          <w:rFonts w:hint="eastAsia" w:ascii="宋体" w:hAnsi="宋体" w:eastAsia="宋体"/>
          <w:sz w:val="24"/>
          <w:szCs w:val="24"/>
        </w:rPr>
        <w:t xml:space="preserve">箱模块</w:t>
      </w:r>
      <w:r/>
    </w:p>
    <w:p>
      <w:pPr>
        <w:ind w:firstLine="480"/>
        <w:spacing w:line="360" w:lineRule="auto"/>
        <w:rPr>
          <w:rFonts w:ascii="宋体" w:hAnsi="宋体" w:eastAsia="宋体"/>
          <w:sz w:val="24"/>
          <w:szCs w:val="24"/>
        </w:rPr>
      </w:pPr>
      <w:r>
        <w:rPr>
          <w:rFonts w:ascii="宋体" w:hAnsi="宋体" w:eastAsia="宋体"/>
          <w:sz w:val="24"/>
          <w:szCs w:val="24"/>
        </w:rPr>
        <w:t xml:space="preserve">能力工具箱提供对能力资源的统一管理、维护功能，支持查看各能力适用场景、使用说明、调用情况。</w:t>
      </w:r>
      <w:r>
        <w:rPr>
          <w:rFonts w:hint="eastAsia" w:ascii="宋体" w:hAnsi="宋体" w:eastAsia="宋体"/>
          <w:sz w:val="24"/>
          <w:szCs w:val="24"/>
        </w:rPr>
        <w:t xml:space="preserve">包括但不限于能力资源列表、能力资源详情、能力资源申请、能力资源审批、集成能力、智能问答机器人等功能。</w:t>
      </w:r>
      <w:r/>
    </w:p>
    <w:p>
      <w:pPr>
        <w:ind w:firstLine="20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3.</w:t>
      </w:r>
      <w:r>
        <w:rPr>
          <w:rFonts w:hint="eastAsia" w:ascii="黑体" w:hAnsi="黑体" w:eastAsia="黑体" w:cs="Times New Roman"/>
          <w:bCs/>
          <w:sz w:val="28"/>
          <w:szCs w:val="32"/>
          <w:lang w:val="en-US" w:eastAsia="zh-CN"/>
        </w:rPr>
        <w:t xml:space="preserve">6</w:t>
      </w:r>
      <w:r>
        <w:rPr>
          <w:rFonts w:hint="eastAsia" w:ascii="黑体" w:hAnsi="黑体" w:eastAsia="黑体" w:cs="Times New Roman"/>
          <w:bCs/>
          <w:sz w:val="28"/>
          <w:szCs w:val="32"/>
        </w:rPr>
        <w:t xml:space="preserve">业务智能化模块</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.1投资凭证子系统升级改造模块</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.1.1现有功能国产化改造</w:t>
      </w:r>
      <w:r/>
    </w:p>
    <w:p>
      <w:pPr>
        <w:ind w:firstLine="480"/>
        <w:spacing w:line="360" w:lineRule="auto"/>
        <w:rPr>
          <w:rFonts w:ascii="宋体" w:hAnsi="宋体" w:eastAsia="宋体"/>
          <w:sz w:val="24"/>
          <w:szCs w:val="24"/>
        </w:rPr>
      </w:pPr>
      <w:r>
        <w:rPr>
          <w:rFonts w:ascii="宋体" w:hAnsi="宋体" w:eastAsia="宋体"/>
          <w:sz w:val="24"/>
          <w:szCs w:val="24"/>
        </w:rPr>
        <w:t xml:space="preserve">基于</w:t>
      </w:r>
      <w:r>
        <w:rPr>
          <w:rFonts w:hint="eastAsia" w:ascii="宋体" w:hAnsi="宋体" w:eastAsia="宋体"/>
          <w:sz w:val="24"/>
          <w:szCs w:val="24"/>
        </w:rPr>
        <w:t xml:space="preserve">安全可靠</w:t>
      </w:r>
      <w:r>
        <w:rPr>
          <w:rFonts w:ascii="宋体" w:hAnsi="宋体" w:eastAsia="宋体"/>
          <w:sz w:val="24"/>
          <w:szCs w:val="24"/>
        </w:rPr>
        <w:t xml:space="preserve">要求，对投资凭证子系统进行</w:t>
      </w:r>
      <w:r>
        <w:rPr>
          <w:rFonts w:hint="eastAsia" w:ascii="宋体" w:hAnsi="宋体" w:eastAsia="宋体"/>
          <w:sz w:val="24"/>
          <w:szCs w:val="24"/>
        </w:rPr>
        <w:t xml:space="preserve">国产化</w:t>
      </w:r>
      <w:r>
        <w:rPr>
          <w:rFonts w:ascii="宋体" w:hAnsi="宋体" w:eastAsia="宋体"/>
          <w:sz w:val="24"/>
          <w:szCs w:val="24"/>
        </w:rPr>
        <w:t xml:space="preserve">适配改造，</w:t>
      </w:r>
      <w:r>
        <w:rPr>
          <w:rFonts w:hint="eastAsia" w:ascii="宋体" w:hAnsi="宋体" w:eastAsia="宋体"/>
          <w:sz w:val="24"/>
          <w:szCs w:val="24"/>
        </w:rPr>
        <w:t xml:space="preserve">包括数据迁移、代码改造、系统部署等。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.1.2功能改造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主要进行比对点配置改造、运维配置改造。比对点配置改造</w:t>
      </w:r>
      <w:r>
        <w:rPr>
          <w:rFonts w:ascii="宋体" w:hAnsi="宋体" w:eastAsia="宋体"/>
          <w:sz w:val="24"/>
          <w:szCs w:val="24"/>
        </w:rPr>
        <w:t xml:space="preserve">包括比对点识别、分级展示、用户授权、任务同步等功能。</w:t>
      </w:r>
      <w:r>
        <w:rPr>
          <w:rFonts w:hint="eastAsia" w:ascii="宋体" w:hAnsi="宋体" w:eastAsia="宋体"/>
          <w:sz w:val="24"/>
          <w:szCs w:val="24"/>
        </w:rPr>
        <w:t xml:space="preserve">运维配置改造包括解析图片、归类配置、数据绑定等功能。</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.1.3新增功能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新增功能模块包括但不限于</w:t>
      </w:r>
      <w:r>
        <w:rPr>
          <w:rFonts w:ascii="宋体" w:hAnsi="宋体" w:eastAsia="宋体"/>
          <w:sz w:val="24"/>
          <w:szCs w:val="24"/>
        </w:rPr>
        <w:t xml:space="preserve">凭证管理</w:t>
      </w:r>
      <w:r>
        <w:rPr>
          <w:rFonts w:hint="eastAsia" w:ascii="宋体" w:hAnsi="宋体" w:eastAsia="宋体"/>
          <w:sz w:val="24"/>
          <w:szCs w:val="24"/>
        </w:rPr>
        <w:t xml:space="preserve">子模块、凭证核查子模块、统计分析子模块、报表管理子模块、数据查询子模块、任务管理子模块、用户权限管理子模块。</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.2工作信息网升级改造模块</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.2.1现有功能国产化改造</w:t>
      </w:r>
      <w:r/>
    </w:p>
    <w:p>
      <w:pPr>
        <w:ind w:firstLine="480"/>
        <w:spacing w:line="360" w:lineRule="auto"/>
        <w:rPr>
          <w:rFonts w:ascii="宋体" w:hAnsi="宋体" w:eastAsia="宋体"/>
          <w:sz w:val="24"/>
          <w:szCs w:val="24"/>
        </w:rPr>
      </w:pPr>
      <w:r>
        <w:rPr>
          <w:rFonts w:ascii="宋体" w:hAnsi="宋体" w:eastAsia="宋体"/>
          <w:sz w:val="24"/>
          <w:szCs w:val="24"/>
        </w:rPr>
        <w:t xml:space="preserve">基于</w:t>
      </w:r>
      <w:r>
        <w:rPr>
          <w:rFonts w:hint="eastAsia" w:ascii="宋体" w:hAnsi="宋体" w:eastAsia="宋体"/>
          <w:sz w:val="24"/>
          <w:szCs w:val="24"/>
        </w:rPr>
        <w:t xml:space="preserve">安全可靠</w:t>
      </w:r>
      <w:r>
        <w:rPr>
          <w:rFonts w:ascii="宋体" w:hAnsi="宋体" w:eastAsia="宋体"/>
          <w:sz w:val="24"/>
          <w:szCs w:val="24"/>
        </w:rPr>
        <w:t xml:space="preserve">要求，对</w:t>
      </w:r>
      <w:r>
        <w:rPr>
          <w:rFonts w:hint="eastAsia" w:ascii="宋体" w:hAnsi="宋体" w:eastAsia="宋体"/>
          <w:sz w:val="24"/>
          <w:szCs w:val="24"/>
        </w:rPr>
        <w:t xml:space="preserve">工作信息网</w:t>
      </w:r>
      <w:r>
        <w:rPr>
          <w:rFonts w:ascii="宋体" w:hAnsi="宋体" w:eastAsia="宋体"/>
          <w:sz w:val="24"/>
          <w:szCs w:val="24"/>
        </w:rPr>
        <w:t xml:space="preserve">进行</w:t>
      </w:r>
      <w:r>
        <w:rPr>
          <w:rFonts w:hint="eastAsia" w:ascii="宋体" w:hAnsi="宋体" w:eastAsia="宋体"/>
          <w:sz w:val="24"/>
          <w:szCs w:val="24"/>
        </w:rPr>
        <w:t xml:space="preserve">国产化</w:t>
      </w:r>
      <w:r>
        <w:rPr>
          <w:rFonts w:ascii="宋体" w:hAnsi="宋体" w:eastAsia="宋体"/>
          <w:sz w:val="24"/>
          <w:szCs w:val="24"/>
        </w:rPr>
        <w:t xml:space="preserve">改造，</w:t>
      </w:r>
      <w:r>
        <w:rPr>
          <w:rFonts w:hint="eastAsia" w:ascii="宋体" w:hAnsi="宋体" w:eastAsia="宋体"/>
          <w:sz w:val="24"/>
          <w:szCs w:val="24"/>
        </w:rPr>
        <w:t xml:space="preserve">包括国产化适配、应用支撑适配、数据迁移密码应用改造等。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.2.2功能改造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包含但不限于站点管理改造、栏目管理改造、模块管理改造、信息采编改造、信息审核改造、信息发布改造、用户管理改造、权限管理改造、日志管理改造、统计功能改造、视频功能改造等。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.2.3新增功能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新增功能模块包括但不限于信息检索功能子模块、监控统计分析子模块、智能引导子模块等。</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.3统计知识库建设模块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建设统计知识库，进行数据文章、语料的整合，以知识库为基础，建设若干基于的统计局文章辅助写作微应用，以撰写、搜索查询为切入点，充分挖掘大模型的语言生成能力，便于统计用户快速获取所需文章材料，打造以统计局政策法规为基础的智能化知识应用中心。</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.3.1语料收集子模块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包括但不限于语料自动抓取、文档处理、语料处理等。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.3.2知识管理子模块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包括但不限于知识中转站、知识采编、知识配置、知识维护、词库管理、回收站、操作日志、待办任务等。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.3.3知识门户应用子模块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包括但不限于知识门户、知识详情、知识搜索等。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.3.4智能化应用场景子模块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包括但不限于公文校对、智能撰写、WPS写作助手、数据简报、制度比对等。</w:t>
      </w:r>
      <w:r/>
    </w:p>
    <w:p>
      <w:pPr>
        <w:ind w:firstLine="480"/>
        <w:spacing w:line="360" w:lineRule="auto"/>
        <w:rPr>
          <w:rFonts w:ascii="宋体" w:hAnsi="宋体" w:eastAsia="宋体"/>
          <w:sz w:val="24"/>
          <w:szCs w:val="24"/>
        </w:rPr>
        <w:outlineLvl w:val="3"/>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6</w:t>
      </w:r>
      <w:r>
        <w:rPr>
          <w:rFonts w:hint="eastAsia" w:ascii="宋体" w:hAnsi="宋体" w:eastAsia="宋体"/>
          <w:sz w:val="24"/>
          <w:szCs w:val="24"/>
        </w:rPr>
        <w:t xml:space="preserve">.3.4算法服务子模块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包括但不限于内容相似度算法、文件自动聚类算法、大模型服务化部署服务等。</w:t>
      </w:r>
      <w:r/>
    </w:p>
    <w:p>
      <w:pPr>
        <w:rPr>
          <w:rFonts w:ascii="Arial" w:hAnsi="Arial" w:eastAsia="宋体" w:cs="Times New Roman"/>
          <w:b/>
          <w:sz w:val="32"/>
          <w:szCs w:val="44"/>
        </w:rPr>
        <w:outlineLvl w:val="0"/>
      </w:pPr>
      <w:r>
        <w:rPr>
          <w:rFonts w:hint="eastAsia" w:ascii="Arial" w:hAnsi="Arial" w:eastAsia="宋体" w:cs="Times New Roman"/>
          <w:b/>
          <w:sz w:val="32"/>
          <w:szCs w:val="44"/>
        </w:rPr>
        <w:t xml:space="preserve">四、商务要求</w:t>
      </w:r>
      <w:r/>
    </w:p>
    <w:p>
      <w:pPr>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4.1实施及团队要求</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4.1.1工期要求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合同签订生效后6个月内完成全部项目建设内容，并通过采购人组织的合同验收，正式交付使用；合同验收后，供应商需持续提供服务，协助采购人通过相关部门的竣工验收。</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4.1.2交付地点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按照采购人要求的交付地点实施，项目组核心成员需按采购人要求提供驻场服务。</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4.1.3实施要求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须制定科学合理的实施方案，建立健全保障项目顺利实施的各项管理制度和质量保证体系。项目实施期间，供应商需按照采购人和监理单位要求开展工作，严格按照监理规范要求实施，及时向监理单位和采购人提交报审报验申请，配合监理单位开展巡查、检验、旁站等工作，对监理单位和采购人提出的问题及时响应、及时整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供应商具备软件技术开发、数据治理、数据管理等技术服务能力，在高新技术服务方面有科学完善的服务体系，可保证项目全过程的服务质量。同时，供应商应具有较高的网络安全应急服务能力，有过相关网络安全和信息安全服务或支撑的经验。</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保障项目的顺利实施，供应商应合理组建本项目的实施团队，提供合理数量的驻场人员。项目实施团队应由项目经理（本项目）、技术负责人、安全负责人和团队其他实施成员组成，其中，项目经理、技术负责人和安全负责人等项目组核心人员需按照采购人需求提供驻场服务且不得无故更换，如确需变更需征得采购人书面批准。同时，项目经理需全面统筹项目进度、协调内部资源、响应采购人需求，采购人所有与项目相关的指令传达、问题咨询、进度问询、异议沟通等事项，均通过该项目经理统一对接。</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4.1.4付款要求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（1）第一笔款：合同生效后，采购人在收到供应商提供的有效增值税发票后20个工作日内，支付合同总金额的50%；</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（2）第二笔款：项目建设内容全部完成且稳定试运行不少于1个月，通过采购人组织的合同验收，采购人收到供应商提供的有效增值税发票后20个工作日内，支付合同总金额的30%；</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（3）第三笔款：项目通过相关部门组织的竣工验收且采购人收到供应商提供的有效增值税发票后20个工作日内，支付合同总金额的20%。</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4.2合同验收要求</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4.2.1验收条件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（1）项目按照招标文件和合同要求完成了所有建设内容，连续稳定运行不少于1个月。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（2）供应商按照合同和招标文件要求提交了相关验收成果。</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标准规范编制成果具体包括但不限于</w:t>
      </w:r>
      <w:r>
        <w:rPr>
          <w:rFonts w:hint="eastAsia" w:ascii="宋体" w:hAnsi="宋体" w:eastAsia="宋体"/>
          <w:sz w:val="24"/>
          <w:szCs w:val="24"/>
          <w:lang w:eastAsia="zh-CN"/>
        </w:rPr>
        <w:t xml:space="preserve">：</w:t>
      </w:r>
      <w:r>
        <w:rPr>
          <w:rFonts w:hint="eastAsia" w:ascii="宋体" w:hAnsi="宋体" w:eastAsia="宋体" w:cs="宋体"/>
          <w:sz w:val="24"/>
          <w:lang w:val="en-US" w:eastAsia="zh-CN"/>
        </w:rPr>
        <w:t xml:space="preserve">《平台子应用开发技术规范》《一体化工作台集成接入规范》《数据资源管理办法》和《数据资源归集共享服务规范》。</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软件类成果具体包括但不限于：《项目实施方案》《需求规格说明书》《系统概要设计》《系统详细设计》《数据库设计》《系统接口设计》《用户使用手册》《部署手册》《系统自测报告》《项目验收方案》《用户使用报告》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其他服务成果包括但不限于：《服务方案》《服务成果报告》《指标编码》《数据资源目录》等。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（3）供应商验收前对产品或服务做出全面检查，对验收文件进行整理并列出清单。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（4）项目须通过监理单位预验收、第三方软件测试及相关安全测评。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（5）所有检验的结果随服务一起提交至采购人，经采购人检查满足验收条件。</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4.2.2验收方式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项目满足合同和招标文件中提出的全部要求、符合采购人实际使用需要后，采购人按照《</w:t>
      </w:r>
      <w:bookmarkStart w:id="193" w:name="OLE_LINK15"/>
      <w:r>
        <w:rPr>
          <w:rFonts w:hint="eastAsia" w:ascii="宋体" w:hAnsi="宋体" w:eastAsia="宋体"/>
          <w:sz w:val="24"/>
          <w:szCs w:val="24"/>
        </w:rPr>
        <w:t xml:space="preserve">江苏省政府采购履约验收管理办法</w:t>
      </w:r>
      <w:bookmarkEnd w:id="193"/>
      <w:r>
        <w:rPr>
          <w:rFonts w:hint="eastAsia" w:ascii="宋体" w:hAnsi="宋体" w:eastAsia="宋体"/>
          <w:sz w:val="24"/>
          <w:szCs w:val="24"/>
        </w:rPr>
        <w:t xml:space="preserve">》《江苏省省级政务信息化项目建设管理办法》等有关规定成立验收小组，开展合同验收。</w:t>
      </w:r>
      <w:r/>
    </w:p>
    <w:p>
      <w:pPr>
        <w:ind w:firstLine="480"/>
        <w:spacing w:line="360" w:lineRule="auto"/>
        <w:rPr>
          <w:rFonts w:ascii="宋体" w:hAnsi="宋体" w:eastAsia="宋体"/>
          <w:sz w:val="24"/>
          <w:szCs w:val="24"/>
        </w:rPr>
        <w:outlineLvl w:val="2"/>
      </w:pPr>
      <w:r>
        <w:rPr>
          <w:rFonts w:hint="eastAsia" w:ascii="宋体" w:hAnsi="宋体" w:eastAsia="宋体"/>
          <w:sz w:val="24"/>
          <w:szCs w:val="24"/>
        </w:rPr>
        <w:t xml:space="preserve">4.2.3验收说明</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若验收不合格，供应商应负责整改，在采购人要求的时间内达到验收条件并重新提交验收申请，直至通过验收。因供应商原因导致项目验收不合格产生的延期及其他系统建设工作成本，由供应商承担。</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竣工验收要求按《江苏省省级政务信息化项目建设管理办法》《江苏省政府投资项目竣工验收管理办法》等相关文件执行。</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4.3知识产权要求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开发成果的知识产权归采购人所有，项目验收前，供应商必须向采购人提交相关项目文档及程序源代码等开发成果。供应商应保证采购人方在使用、接受本次招标中产品和服务或其任何一部分时，不受第三方提出侵犯其专利权、版权、商标权和工业设计权等知识产权的起诉，避免潜在的版权纠纷。一旦出现侵权，由供应商负全部责任。</w:t>
      </w:r>
      <w:r/>
    </w:p>
    <w:p>
      <w:pPr>
        <w:ind w:firstLine="560"/>
        <w:spacing w:line="360" w:lineRule="auto"/>
        <w:rPr>
          <w:rFonts w:ascii="宋体" w:hAnsi="宋体" w:eastAsia="宋体"/>
          <w:bCs/>
          <w:sz w:val="24"/>
          <w:szCs w:val="24"/>
        </w:rPr>
        <w:outlineLvl w:val="1"/>
      </w:pPr>
      <w:r>
        <w:rPr>
          <w:rFonts w:hint="eastAsia" w:ascii="黑体" w:hAnsi="黑体" w:eastAsia="黑体" w:cs="Times New Roman"/>
          <w:bCs/>
          <w:sz w:val="28"/>
          <w:szCs w:val="32"/>
        </w:rPr>
        <w:t xml:space="preserve">4.4售后服务要求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在竣工验收合格后，供应商须提供2年免费质保服务。免费质保期从竣工验收合格之日起计算。</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质保期间发生的任何异常故障和损坏（人为损坏除外）引起的费用应由供应商负责。在发生故障后，对关键故障和核心业务支持7×24小时响应，对于一般故障，可确保技术人员2小时内抵达现场、12小时内解决，实现业务中断影响最小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质保期内所提供技术服务涉及的费用含在合同总价中（即项目质保期为免费服务）。质保期内，供应商应提供例行巡检、故障响应、常规软件问题修复、系统配置管理等质保服务，以保障系统安全稳定运行。</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4.5项目保密要求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供应商应对项目技术文件以及由采购人提供的所有内部资料、技术文档、数据和信息予以保密；供应商应与采购人签订保密协议并严格遵守，未经采购人书面许可，供应商不得以任何形式向第三方透露本项目标书、技术方案等内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（2）供应商驻场工作人员应签订保密承诺书，承诺内容需得到采购人认可，并与合同、保密协议一并提交给采购人。</w:t>
      </w:r>
      <w:r/>
    </w:p>
    <w:p>
      <w:pPr>
        <w:rPr>
          <w:rFonts w:ascii="Arial" w:hAnsi="Arial" w:eastAsia="宋体" w:cs="Times New Roman"/>
          <w:b/>
          <w:sz w:val="32"/>
          <w:szCs w:val="44"/>
        </w:rPr>
        <w:outlineLvl w:val="0"/>
      </w:pPr>
      <w:r>
        <w:rPr>
          <w:rFonts w:hint="eastAsia" w:ascii="Arial" w:hAnsi="Arial" w:eastAsia="宋体" w:cs="Times New Roman"/>
          <w:b/>
          <w:sz w:val="32"/>
          <w:szCs w:val="44"/>
        </w:rPr>
        <w:t xml:space="preserve">五、项目团队要求</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5</w:t>
      </w:r>
      <w:r>
        <w:rPr>
          <w:rFonts w:ascii="黑体" w:hAnsi="黑体" w:eastAsia="黑体" w:cs="Times New Roman"/>
          <w:bCs/>
          <w:sz w:val="28"/>
          <w:szCs w:val="32"/>
        </w:rPr>
        <w:t xml:space="preserve">.1项目经理</w:t>
      </w:r>
      <w:r/>
    </w:p>
    <w:p>
      <w:pPr>
        <w:ind w:firstLine="480"/>
        <w:spacing w:line="360" w:lineRule="auto"/>
        <w:rPr>
          <w:rFonts w:ascii="宋体" w:hAnsi="宋体" w:eastAsia="宋体"/>
          <w:sz w:val="24"/>
          <w:szCs w:val="24"/>
        </w:rPr>
      </w:pP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应为本项目配备项目经理1名。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项目经理具有正高级工程师（通信工程或电子信息）职称认证证书或高级信息系统项目管理师证书、ITSS IT服务项目经理证书、高级系统规划与管理师证书、CISAW信息安全保障人员（安全运维或应急服务）证书。</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5</w:t>
      </w:r>
      <w:r>
        <w:rPr>
          <w:rFonts w:ascii="黑体" w:hAnsi="黑体" w:eastAsia="黑体" w:cs="Times New Roman"/>
          <w:bCs/>
          <w:sz w:val="28"/>
          <w:szCs w:val="32"/>
        </w:rPr>
        <w:t xml:space="preserve">.2技术负责人</w:t>
      </w:r>
      <w:r/>
    </w:p>
    <w:p>
      <w:pPr>
        <w:ind w:firstLine="480"/>
        <w:spacing w:line="360" w:lineRule="auto"/>
        <w:rPr>
          <w:rFonts w:ascii="宋体" w:hAnsi="宋体" w:eastAsia="宋体"/>
          <w:sz w:val="24"/>
          <w:szCs w:val="24"/>
        </w:rPr>
      </w:pP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应为本项目配备项目技术负责人1名。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技术负责人具有正高级工程师（通信工程或电子信息）职称认证证书或高级信息系统项目管理师证书、ITSS IT服务工程师证书、ITSS信息技术应用创新服务工程师证书、CISP注册信息安全专业人员证书。</w:t>
      </w:r>
      <w:r/>
    </w:p>
    <w:p>
      <w:pPr>
        <w:ind w:firstLine="560"/>
        <w:spacing w:line="360" w:lineRule="auto"/>
        <w:rPr>
          <w:rFonts w:ascii="黑体" w:hAnsi="黑体" w:eastAsia="黑体" w:cs="Times New Roman"/>
          <w:bCs/>
          <w:sz w:val="28"/>
          <w:szCs w:val="32"/>
        </w:rPr>
        <w:outlineLvl w:val="1"/>
      </w:pPr>
      <w:r>
        <w:rPr>
          <w:rFonts w:hint="eastAsia" w:ascii="黑体" w:hAnsi="黑体" w:eastAsia="黑体" w:cs="Times New Roman"/>
          <w:bCs/>
          <w:sz w:val="28"/>
          <w:szCs w:val="32"/>
        </w:rPr>
        <w:t xml:space="preserve">5</w:t>
      </w:r>
      <w:r>
        <w:rPr>
          <w:rFonts w:ascii="黑体" w:hAnsi="黑体" w:eastAsia="黑体" w:cs="Times New Roman"/>
          <w:bCs/>
          <w:sz w:val="28"/>
          <w:szCs w:val="32"/>
        </w:rPr>
        <w:t xml:space="preserve">.3安全负责人</w:t>
      </w:r>
      <w:r/>
    </w:p>
    <w:p>
      <w:pPr>
        <w:ind w:firstLine="480"/>
        <w:spacing w:line="360" w:lineRule="auto"/>
        <w:rPr>
          <w:rFonts w:ascii="宋体" w:hAnsi="宋体" w:eastAsia="宋体"/>
          <w:sz w:val="24"/>
          <w:szCs w:val="24"/>
        </w:rPr>
      </w:pP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应为本项目配备项目安全负责人1名。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安全负责人具有正高级工程师（通信工程或电子信息）职称认证证书或高级信息系统项目管理师证书、CISP-CISO注册信息安全管理人员证书、信息安全工程师证书、CISAW信息安全保障人员（安全运维或应急服务）证书。</w:t>
      </w:r>
      <w:r/>
    </w:p>
    <w:p>
      <w:pPr>
        <w:ind w:firstLine="560"/>
        <w:spacing w:line="360" w:lineRule="auto"/>
        <w:rPr>
          <w:rFonts w:ascii="黑体" w:hAnsi="黑体" w:eastAsia="黑体" w:cs="Times New Roman"/>
          <w:bCs/>
          <w:sz w:val="28"/>
          <w:szCs w:val="32"/>
          <w:lang w:val="en-US" w:eastAsia="zh-CN"/>
        </w:rPr>
        <w:outlineLvl w:val="1"/>
      </w:pPr>
      <w:r>
        <w:rPr>
          <w:rFonts w:hint="eastAsia" w:ascii="黑体" w:hAnsi="黑体" w:eastAsia="黑体" w:cs="Times New Roman"/>
          <w:bCs/>
          <w:sz w:val="28"/>
          <w:szCs w:val="32"/>
        </w:rPr>
        <w:t xml:space="preserve">5</w:t>
      </w:r>
      <w:r>
        <w:rPr>
          <w:rFonts w:ascii="黑体" w:hAnsi="黑体" w:eastAsia="黑体" w:cs="Times New Roman"/>
          <w:bCs/>
          <w:sz w:val="28"/>
          <w:szCs w:val="32"/>
        </w:rPr>
        <w:t xml:space="preserve">.</w:t>
      </w:r>
      <w:r>
        <w:rPr>
          <w:rFonts w:hint="eastAsia" w:ascii="黑体" w:hAnsi="黑体" w:eastAsia="黑体" w:cs="Times New Roman"/>
          <w:bCs/>
          <w:sz w:val="28"/>
          <w:szCs w:val="32"/>
          <w:lang w:val="en-US" w:eastAsia="zh-CN"/>
        </w:rPr>
        <w:t xml:space="preserve">4技术服务团队</w:t>
      </w:r>
      <w:r/>
    </w:p>
    <w:p>
      <w:pPr>
        <w:ind w:firstLine="480"/>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供应商</w:t>
      </w:r>
      <w:r>
        <w:rPr>
          <w:rFonts w:hint="eastAsia" w:ascii="宋体" w:hAnsi="宋体" w:eastAsia="宋体"/>
          <w:sz w:val="24"/>
          <w:szCs w:val="24"/>
        </w:rPr>
        <w:t xml:space="preserve">应为本项目提供技术服务团队，</w:t>
      </w:r>
      <w:r>
        <w:rPr>
          <w:rFonts w:hint="eastAsia" w:ascii="宋体" w:hAnsi="宋体" w:eastAsia="宋体"/>
          <w:sz w:val="24"/>
          <w:szCs w:val="24"/>
          <w:lang w:val="en-US" w:eastAsia="zh-CN"/>
        </w:rPr>
        <w:t xml:space="preserve">团队成员具有</w:t>
      </w:r>
      <w:r>
        <w:rPr>
          <w:rFonts w:hint="eastAsia" w:ascii="宋体" w:hAnsi="宋体" w:eastAsia="宋体"/>
          <w:sz w:val="24"/>
          <w:szCs w:val="24"/>
        </w:rPr>
        <w:t xml:space="preserve">高级信息系统项目管理师证书、高级系统分析师证书、高级系统架构设计师证书、软件设计师</w:t>
      </w:r>
      <w:r>
        <w:rPr>
          <w:rFonts w:hint="eastAsia" w:ascii="宋体" w:hAnsi="宋体" w:eastAsia="宋体"/>
          <w:sz w:val="24"/>
          <w:szCs w:val="24"/>
          <w:lang w:val="en-US" w:eastAsia="zh-CN"/>
        </w:rPr>
        <w:t xml:space="preserve">证书</w:t>
      </w:r>
      <w:r>
        <w:rPr>
          <w:rFonts w:hint="eastAsia" w:ascii="宋体" w:hAnsi="宋体" w:eastAsia="宋体"/>
          <w:sz w:val="24"/>
          <w:szCs w:val="24"/>
        </w:rPr>
        <w:t xml:space="preserve">、CISAW信息安全保障人员证书、CCSC网络安全能力认证证书。</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项目经理、技术负责人、安全负责人、团队成员均不得重复</w:t>
      </w:r>
      <w:r>
        <w:rPr>
          <w:rFonts w:hint="eastAsia" w:ascii="宋体" w:hAnsi="宋体" w:eastAsia="宋体" w:cs="Times New Roman"/>
          <w:sz w:val="24"/>
          <w:szCs w:val="24"/>
          <w:lang w:eastAsia="zh-CN"/>
        </w:rPr>
        <w:t xml:space="preserve">。</w:t>
      </w:r>
      <w:r/>
    </w:p>
    <w:p>
      <w:pPr>
        <w:ind w:firstLine="0"/>
        <w:spacing w:line="240" w:lineRule="auto"/>
        <w:rPr>
          <w:rFonts w:hint="eastAsia" w:ascii="Arial" w:hAnsi="Arial" w:eastAsia="宋体" w:cs="Times New Roman"/>
          <w:b/>
          <w:sz w:val="32"/>
          <w:szCs w:val="44"/>
          <w:lang w:val="en-US" w:eastAsia="zh-CN"/>
        </w:rPr>
        <w:outlineLvl w:val="0"/>
      </w:pPr>
      <w:r>
        <w:rPr>
          <w:rFonts w:hint="eastAsia" w:ascii="Arial" w:hAnsi="Arial" w:eastAsia="宋体" w:cs="Times New Roman"/>
          <w:b/>
          <w:sz w:val="32"/>
          <w:szCs w:val="44"/>
          <w:lang w:val="en-US" w:eastAsia="zh-CN"/>
        </w:rPr>
        <w:t xml:space="preserve">六、服务要求</w:t>
      </w:r>
      <w:r/>
    </w:p>
    <w:p>
      <w:pPr>
        <w:ind w:firstLine="560"/>
        <w:spacing w:line="360" w:lineRule="auto"/>
        <w:rPr>
          <w:rFonts w:hint="eastAsia" w:ascii="黑体" w:hAnsi="黑体" w:eastAsia="黑体" w:cs="Times New Roman"/>
          <w:bCs/>
          <w:sz w:val="28"/>
          <w:szCs w:val="32"/>
          <w:lang w:val="en-US" w:eastAsia="zh-CN"/>
        </w:rPr>
        <w:outlineLvl w:val="1"/>
      </w:pPr>
      <w:r>
        <w:rPr>
          <w:rFonts w:hint="eastAsia" w:ascii="黑体" w:hAnsi="黑体" w:eastAsia="黑体" w:cs="Times New Roman"/>
          <w:bCs/>
          <w:sz w:val="28"/>
          <w:szCs w:val="32"/>
          <w:lang w:val="en-US" w:eastAsia="zh-CN"/>
        </w:rPr>
        <w:t xml:space="preserve">6.1企业资质</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供应商具有ISO38505数据治理安全管理体系认证证书（需包含数据治理相关认证范围）、GB/T 35966-2018高技术服务管理体系认证证书、GB/T 37988-2019 DSMM数据安全能力成熟度认证证书、ISO9001质量管理体系认证证书、ISO27001信息安全管理体系认证证书、ISO27701隐私信息安全管理体系认证证书、ISO27040数据存储安全管理体系认证证书</w:t>
      </w:r>
      <w:bookmarkStart w:id="201" w:name="_GoBack"/>
      <w:r/>
      <w:bookmarkEnd w:id="201"/>
      <w:r>
        <w:rPr>
          <w:rFonts w:hint="eastAsia" w:ascii="宋体" w:hAnsi="宋体"/>
          <w:color w:val="000000"/>
          <w:sz w:val="24"/>
          <w:lang w:eastAsia="zh-CN"/>
        </w:rPr>
        <w:t xml:space="preserve">。</w:t>
      </w:r>
      <w:r/>
    </w:p>
    <w:p>
      <w:pPr>
        <w:ind w:firstLine="560"/>
        <w:spacing w:line="360" w:lineRule="auto"/>
        <w:rPr>
          <w:rFonts w:hint="eastAsia" w:ascii="黑体" w:hAnsi="黑体" w:eastAsia="黑体" w:cs="Times New Roman"/>
          <w:bCs/>
          <w:sz w:val="28"/>
          <w:szCs w:val="32"/>
          <w:lang w:val="en-US" w:eastAsia="zh-CN"/>
        </w:rPr>
        <w:outlineLvl w:val="1"/>
      </w:pPr>
      <w:r>
        <w:rPr>
          <w:rFonts w:hint="eastAsia" w:ascii="黑体" w:hAnsi="黑体" w:eastAsia="黑体" w:cs="Times New Roman"/>
          <w:bCs/>
          <w:sz w:val="28"/>
          <w:szCs w:val="32"/>
          <w:lang w:val="en-US" w:eastAsia="zh-CN"/>
        </w:rPr>
        <w:t xml:space="preserve">6.2软著要求</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供应商具有</w:t>
      </w:r>
      <w:r>
        <w:rPr>
          <w:rFonts w:hint="eastAsia" w:ascii="宋体" w:hAnsi="宋体" w:eastAsia="宋体" w:cs="Times New Roman"/>
          <w:sz w:val="24"/>
          <w:szCs w:val="21"/>
        </w:rPr>
        <w:t xml:space="preserve">由国家版权局颁发的相关软件著作权登记证书，证书包含 “数据汇聚共享”</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“数据主题挖掘”、“数据智能查询”、“身份认证系统”等相关关键词</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软件著作权名称可不完全一致，但</w:t>
      </w:r>
      <w:r>
        <w:rPr>
          <w:rFonts w:hint="eastAsia" w:ascii="宋体" w:hAnsi="宋体" w:eastAsia="宋体" w:cs="Times New Roman"/>
          <w:sz w:val="24"/>
          <w:szCs w:val="21"/>
          <w:lang w:val="en-US" w:eastAsia="zh-CN"/>
        </w:rPr>
        <w:t xml:space="preserve">需</w:t>
      </w:r>
      <w:r>
        <w:rPr>
          <w:rFonts w:hint="eastAsia" w:ascii="宋体" w:hAnsi="宋体" w:eastAsia="宋体" w:cs="Times New Roman"/>
          <w:sz w:val="24"/>
          <w:szCs w:val="21"/>
        </w:rPr>
        <w:t xml:space="preserve">是相同或相似内容</w:t>
      </w:r>
      <w:r>
        <w:rPr>
          <w:rFonts w:hint="eastAsia" w:ascii="宋体" w:hAnsi="宋体" w:eastAsia="宋体" w:cs="Times New Roman"/>
          <w:sz w:val="24"/>
          <w:szCs w:val="21"/>
          <w:lang w:eastAsia="zh-CN"/>
        </w:rPr>
        <w:t xml:space="preserve">。</w:t>
      </w:r>
      <w:r/>
    </w:p>
    <w:p>
      <w:pPr>
        <w:ind w:firstLine="560"/>
        <w:spacing w:line="360" w:lineRule="auto"/>
        <w:rPr>
          <w:rFonts w:hint="eastAsia" w:ascii="黑体" w:hAnsi="黑体" w:eastAsia="黑体" w:cs="Times New Roman"/>
          <w:bCs/>
          <w:sz w:val="28"/>
          <w:szCs w:val="32"/>
          <w:lang w:val="en-US" w:eastAsia="zh-CN"/>
        </w:rPr>
        <w:outlineLvl w:val="1"/>
      </w:pPr>
      <w:r>
        <w:rPr>
          <w:rFonts w:hint="eastAsia" w:ascii="黑体" w:hAnsi="黑体" w:eastAsia="黑体" w:cs="Times New Roman"/>
          <w:bCs/>
          <w:sz w:val="28"/>
          <w:szCs w:val="32"/>
          <w:lang w:val="en-US" w:eastAsia="zh-CN"/>
        </w:rPr>
        <w:t xml:space="preserve">6.3业绩要求</w:t>
      </w:r>
      <w:r/>
    </w:p>
    <w:p>
      <w:pPr>
        <w:ind w:firstLine="480"/>
        <w:spacing w:line="360" w:lineRule="auto"/>
        <w:rPr>
          <w:rFonts w:hint="eastAsia" w:ascii="宋体" w:hAnsi="宋体" w:eastAsia="宋体" w:cs="Times New Roman"/>
          <w:sz w:val="24"/>
          <w:szCs w:val="21"/>
          <w:lang w:eastAsia="zh-CN"/>
        </w:rPr>
      </w:pPr>
      <w:r>
        <w:rPr>
          <w:rFonts w:hint="eastAsia" w:ascii="宋体" w:hAnsi="宋体" w:eastAsia="宋体" w:cs="Times New Roman"/>
          <w:sz w:val="24"/>
          <w:szCs w:val="24"/>
          <w:lang w:val="en-US" w:eastAsia="zh-CN"/>
        </w:rPr>
        <w:t xml:space="preserve">供应商具有</w:t>
      </w:r>
      <w:r>
        <w:rPr>
          <w:rFonts w:hint="eastAsia" w:ascii="宋体" w:hAnsi="宋体" w:eastAsia="宋体" w:cs="Times New Roman"/>
          <w:sz w:val="24"/>
          <w:szCs w:val="21"/>
        </w:rPr>
        <w:t xml:space="preserve">2022年1月1日以来（以合同签订时间为准）承担过</w:t>
      </w:r>
      <w:r>
        <w:rPr>
          <w:rFonts w:hint="eastAsia" w:ascii="宋体" w:hAnsi="宋体" w:eastAsia="宋体" w:cs="Times New Roman"/>
          <w:sz w:val="24"/>
          <w:szCs w:val="21"/>
          <w:lang w:val="en-US" w:eastAsia="zh-CN"/>
        </w:rPr>
        <w:t xml:space="preserve">类似</w:t>
      </w:r>
      <w:r>
        <w:rPr>
          <w:rFonts w:hint="eastAsia" w:ascii="宋体" w:hAnsi="宋体" w:eastAsia="宋体" w:cs="Times New Roman"/>
          <w:sz w:val="24"/>
          <w:szCs w:val="21"/>
        </w:rPr>
        <w:t xml:space="preserve">信息化软件项目案例</w:t>
      </w:r>
      <w:r>
        <w:rPr>
          <w:rFonts w:hint="eastAsia" w:ascii="宋体" w:hAnsi="宋体" w:eastAsia="宋体" w:cs="Times New Roman"/>
          <w:sz w:val="24"/>
          <w:szCs w:val="21"/>
          <w:lang w:eastAsia="zh-CN"/>
        </w:rPr>
        <w:t xml:space="preserve">。</w:t>
      </w:r>
      <w:r/>
    </w:p>
    <w:p>
      <w:pPr>
        <w:ind w:firstLine="0"/>
        <w:spacing w:line="240" w:lineRule="auto"/>
        <w:rPr>
          <w:rFonts w:hint="eastAsia" w:ascii="Arial" w:hAnsi="Arial" w:eastAsia="宋体" w:cs="Times New Roman"/>
          <w:b/>
          <w:sz w:val="32"/>
          <w:szCs w:val="44"/>
          <w:lang w:val="en-US" w:eastAsia="zh-CN"/>
        </w:rPr>
        <w:outlineLvl w:val="0"/>
      </w:pPr>
      <w:r>
        <w:rPr>
          <w:rFonts w:hint="eastAsia" w:ascii="Arial" w:hAnsi="Arial" w:eastAsia="宋体" w:cs="Times New Roman"/>
          <w:b/>
          <w:sz w:val="32"/>
          <w:szCs w:val="44"/>
          <w:lang w:val="en-US" w:eastAsia="zh-CN"/>
        </w:rPr>
        <w:t xml:space="preserve">七、方案要求</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7.1总体设计方案</w:t>
      </w:r>
      <w:r/>
    </w:p>
    <w:p>
      <w:pPr>
        <w:ind w:firstLine="480"/>
        <w:spacing w:line="360" w:lineRule="auto"/>
        <w:rPr>
          <w:rFonts w:ascii="宋体" w:hAnsi="宋体" w:eastAsia="宋体" w:cs="Times New Roman"/>
          <w:sz w:val="24"/>
          <w:szCs w:val="21"/>
          <w:lang w:val="en-US" w:eastAsia="zh-CN"/>
        </w:rPr>
      </w:pPr>
      <w:r>
        <w:rPr>
          <w:rFonts w:ascii="宋体" w:hAnsi="宋体" w:eastAsia="宋体" w:cs="Times New Roman"/>
          <w:sz w:val="24"/>
          <w:szCs w:val="21"/>
          <w:lang w:val="en-US" w:eastAsia="zh-CN"/>
        </w:rPr>
        <w:t xml:space="preserve">投标人需针对以上技术要求，为本项目实际情况制定个性化的总体设计方案。方案包括但不限于总体架构、部署架构、性能设计等内容。</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7.2</w:t>
      </w:r>
      <w:r>
        <w:rPr>
          <w:rFonts w:hint="eastAsia" w:ascii="宋体" w:hAnsi="宋体" w:eastAsia="宋体" w:cs="Times New Roman"/>
          <w:sz w:val="24"/>
          <w:szCs w:val="21"/>
        </w:rPr>
        <w:t xml:space="preserve">联网直报数据回流子系统</w:t>
      </w:r>
      <w:r>
        <w:rPr>
          <w:rFonts w:hint="eastAsia" w:ascii="宋体" w:hAnsi="宋体" w:eastAsia="宋体" w:cs="Times New Roman"/>
          <w:sz w:val="24"/>
          <w:szCs w:val="21"/>
          <w:lang w:val="en-US" w:eastAsia="zh-CN"/>
        </w:rPr>
        <w:t xml:space="preserve">建设方案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投标人需针对以上技术要求，为本项目实际情况制定个性化的</w:t>
      </w:r>
      <w:r>
        <w:rPr>
          <w:rFonts w:hint="eastAsia" w:ascii="宋体" w:hAnsi="宋体" w:eastAsia="宋体" w:cs="Times New Roman"/>
          <w:sz w:val="24"/>
          <w:szCs w:val="21"/>
        </w:rPr>
        <w:t xml:space="preserve">联网直报数据回流子系统的建设方案</w:t>
      </w:r>
      <w:r>
        <w:rPr>
          <w:rFonts w:hint="eastAsia" w:ascii="宋体" w:hAnsi="宋体" w:eastAsia="宋体" w:cs="Times New Roman"/>
          <w:sz w:val="24"/>
          <w:szCs w:val="21"/>
          <w:lang w:eastAsia="zh-CN"/>
        </w:rPr>
        <w:t xml:space="preserve">。</w:t>
      </w:r>
      <w:r>
        <w:rPr>
          <w:rFonts w:hint="eastAsia" w:ascii="宋体" w:hAnsi="宋体"/>
          <w:bCs/>
          <w:color w:val="000000"/>
          <w:sz w:val="24"/>
          <w:szCs w:val="24"/>
        </w:rPr>
        <w:t xml:space="preserve">投标人须熟悉</w:t>
      </w:r>
      <w:r>
        <w:rPr>
          <w:rFonts w:hint="eastAsia" w:ascii="宋体" w:hAnsi="宋体"/>
          <w:bCs/>
          <w:color w:val="000000"/>
          <w:sz w:val="24"/>
          <w:szCs w:val="24"/>
          <w:lang w:val="en-US" w:eastAsia="zh-CN"/>
        </w:rPr>
        <w:t xml:space="preserve">统计行业</w:t>
      </w:r>
      <w:r>
        <w:rPr>
          <w:rFonts w:hint="eastAsia" w:ascii="宋体" w:hAnsi="宋体"/>
          <w:bCs/>
          <w:color w:val="000000"/>
          <w:sz w:val="24"/>
          <w:szCs w:val="24"/>
        </w:rPr>
        <w:t xml:space="preserve">业务和行业信息化，提供</w:t>
      </w:r>
      <w:r>
        <w:rPr>
          <w:rFonts w:hint="eastAsia" w:ascii="宋体" w:hAnsi="宋体" w:eastAsia="宋体" w:cs="Times New Roman"/>
          <w:sz w:val="24"/>
          <w:szCs w:val="21"/>
        </w:rPr>
        <w:t xml:space="preserve">联网直报数据回流子系统</w:t>
      </w:r>
      <w:r>
        <w:rPr>
          <w:rFonts w:hint="eastAsia" w:ascii="宋体" w:hAnsi="宋体"/>
          <w:bCs/>
          <w:color w:val="000000"/>
          <w:sz w:val="24"/>
          <w:szCs w:val="24"/>
        </w:rPr>
        <w:t xml:space="preserve">的信息化建设方案，阐述核心业务，并根据采购需求对相关核心业务系统进行设计。</w:t>
      </w:r>
      <w:r/>
    </w:p>
    <w:p>
      <w:pPr>
        <w:ind w:firstLine="480"/>
        <w:spacing w:line="360" w:lineRule="auto"/>
        <w:rPr>
          <w:rFonts w:hint="eastAsia" w:ascii="宋体" w:hAnsi="宋体" w:eastAsia="宋体" w:cs="Times New Roman"/>
          <w:sz w:val="24"/>
          <w:szCs w:val="21"/>
          <w:lang w:val="en-US" w:eastAsia="zh-CN"/>
        </w:rPr>
      </w:pPr>
      <w:r>
        <w:rPr>
          <w:rFonts w:hint="eastAsia" w:ascii="宋体" w:hAnsi="宋体"/>
          <w:bCs/>
          <w:color w:val="000000"/>
          <w:sz w:val="24"/>
          <w:szCs w:val="24"/>
          <w:lang w:val="en-US" w:eastAsia="zh-CN"/>
        </w:rPr>
        <w:t xml:space="preserve">7.3</w:t>
      </w:r>
      <w:r>
        <w:rPr>
          <w:rFonts w:hint="eastAsia" w:ascii="宋体" w:hAnsi="宋体" w:eastAsia="宋体" w:cs="Times New Roman"/>
          <w:sz w:val="24"/>
          <w:szCs w:val="21"/>
        </w:rPr>
        <w:t xml:space="preserve">综合数据管理及应用子系统</w:t>
      </w:r>
      <w:r>
        <w:rPr>
          <w:rFonts w:hint="eastAsia" w:ascii="宋体" w:hAnsi="宋体" w:eastAsia="宋体" w:cs="Times New Roman"/>
          <w:sz w:val="24"/>
          <w:szCs w:val="21"/>
          <w:lang w:val="en-US" w:eastAsia="zh-CN"/>
        </w:rPr>
        <w:t xml:space="preserve">建设方案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投标人需针对以上技术要求，为本项目实际情况制定个性化的</w:t>
      </w:r>
      <w:r>
        <w:rPr>
          <w:rFonts w:hint="eastAsia" w:ascii="宋体" w:hAnsi="宋体" w:eastAsia="宋体" w:cs="Times New Roman"/>
          <w:sz w:val="24"/>
          <w:szCs w:val="21"/>
        </w:rPr>
        <w:t xml:space="preserve">综合数据管理及应用子系统的建设方案</w:t>
      </w:r>
      <w:r>
        <w:rPr>
          <w:rFonts w:hint="eastAsia" w:ascii="宋体" w:hAnsi="宋体" w:eastAsia="宋体" w:cs="Times New Roman"/>
          <w:sz w:val="24"/>
          <w:szCs w:val="21"/>
          <w:lang w:eastAsia="zh-CN"/>
        </w:rPr>
        <w:t xml:space="preserve">。</w:t>
      </w:r>
      <w:r>
        <w:rPr>
          <w:rFonts w:hint="eastAsia" w:ascii="宋体" w:hAnsi="宋体"/>
          <w:bCs/>
          <w:color w:val="000000"/>
          <w:sz w:val="24"/>
          <w:szCs w:val="24"/>
        </w:rPr>
        <w:t xml:space="preserve">投标人须熟悉</w:t>
      </w:r>
      <w:r>
        <w:rPr>
          <w:rFonts w:hint="eastAsia" w:ascii="宋体" w:hAnsi="宋体"/>
          <w:bCs/>
          <w:color w:val="000000"/>
          <w:sz w:val="24"/>
          <w:szCs w:val="24"/>
          <w:lang w:val="en-US" w:eastAsia="zh-CN"/>
        </w:rPr>
        <w:t xml:space="preserve">统计行业</w:t>
      </w:r>
      <w:r>
        <w:rPr>
          <w:rFonts w:hint="eastAsia" w:ascii="宋体" w:hAnsi="宋体"/>
          <w:bCs/>
          <w:color w:val="000000"/>
          <w:sz w:val="24"/>
          <w:szCs w:val="24"/>
        </w:rPr>
        <w:t xml:space="preserve">业务和行业信息化，提供</w:t>
      </w:r>
      <w:r>
        <w:rPr>
          <w:rFonts w:hint="eastAsia" w:ascii="宋体" w:hAnsi="宋体" w:eastAsia="宋体" w:cs="Times New Roman"/>
          <w:sz w:val="24"/>
          <w:szCs w:val="21"/>
        </w:rPr>
        <w:t xml:space="preserve">综合数据管理及应用子系统</w:t>
      </w:r>
      <w:r>
        <w:rPr>
          <w:rFonts w:hint="eastAsia" w:ascii="宋体" w:hAnsi="宋体"/>
          <w:bCs/>
          <w:color w:val="000000"/>
          <w:sz w:val="24"/>
          <w:szCs w:val="24"/>
        </w:rPr>
        <w:t xml:space="preserve">的信息化建设方案，阐述核心业务，并根据采购需求对相关核心业务系统进行设计。</w:t>
      </w:r>
      <w:r/>
    </w:p>
    <w:p>
      <w:pPr>
        <w:ind w:firstLine="480"/>
        <w:spacing w:line="360" w:lineRule="auto"/>
        <w:rPr>
          <w:rFonts w:hint="eastAsia" w:ascii="宋体" w:hAnsi="宋体" w:eastAsia="宋体" w:cs="Times New Roman"/>
          <w:sz w:val="24"/>
          <w:szCs w:val="21"/>
          <w:lang w:val="en-US" w:eastAsia="zh-CN"/>
        </w:rPr>
      </w:pPr>
      <w:r>
        <w:rPr>
          <w:rFonts w:hint="eastAsia" w:ascii="宋体" w:hAnsi="宋体"/>
          <w:bCs/>
          <w:color w:val="000000"/>
          <w:sz w:val="24"/>
          <w:szCs w:val="24"/>
          <w:lang w:val="en-US" w:eastAsia="zh-CN"/>
        </w:rPr>
        <w:t xml:space="preserve">7.4</w:t>
      </w:r>
      <w:r>
        <w:rPr>
          <w:rFonts w:hint="eastAsia" w:ascii="宋体" w:hAnsi="宋体" w:eastAsia="宋体" w:cs="Times New Roman"/>
          <w:sz w:val="24"/>
          <w:szCs w:val="21"/>
        </w:rPr>
        <w:t xml:space="preserve">省统计局旗舰店</w:t>
      </w:r>
      <w:r>
        <w:rPr>
          <w:rFonts w:hint="eastAsia" w:ascii="宋体" w:hAnsi="宋体" w:eastAsia="宋体" w:cs="Times New Roman"/>
          <w:sz w:val="24"/>
          <w:szCs w:val="21"/>
          <w:lang w:val="en-US" w:eastAsia="zh-CN"/>
        </w:rPr>
        <w:t xml:space="preserve">建设方案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投标人需针对以上技术要求，为本项目实际情况制定个性化的</w:t>
      </w:r>
      <w:r>
        <w:rPr>
          <w:rFonts w:hint="eastAsia" w:ascii="宋体" w:hAnsi="宋体" w:eastAsia="宋体" w:cs="Times New Roman"/>
          <w:sz w:val="24"/>
          <w:szCs w:val="21"/>
        </w:rPr>
        <w:t xml:space="preserve">省统计局旗舰店的建设方案</w:t>
      </w:r>
      <w:r>
        <w:rPr>
          <w:rFonts w:hint="eastAsia" w:ascii="宋体" w:hAnsi="宋体" w:eastAsia="宋体" w:cs="Times New Roman"/>
          <w:sz w:val="24"/>
          <w:szCs w:val="21"/>
          <w:lang w:eastAsia="zh-CN"/>
        </w:rPr>
        <w:t xml:space="preserve">。</w:t>
      </w:r>
      <w:r>
        <w:rPr>
          <w:rFonts w:hint="eastAsia" w:ascii="宋体" w:hAnsi="宋体"/>
          <w:bCs/>
          <w:color w:val="000000"/>
          <w:sz w:val="24"/>
          <w:szCs w:val="24"/>
        </w:rPr>
        <w:t xml:space="preserve">投标人须根据采购需求对</w:t>
      </w:r>
      <w:r>
        <w:rPr>
          <w:rFonts w:hint="eastAsia" w:ascii="宋体" w:hAnsi="宋体" w:eastAsia="宋体" w:cs="Times New Roman"/>
          <w:sz w:val="24"/>
          <w:szCs w:val="21"/>
        </w:rPr>
        <w:t xml:space="preserve">省统计局旗舰店</w:t>
      </w:r>
      <w:r>
        <w:rPr>
          <w:rFonts w:hint="eastAsia" w:ascii="宋体" w:hAnsi="宋体"/>
          <w:bCs/>
          <w:color w:val="000000"/>
          <w:sz w:val="24"/>
          <w:szCs w:val="24"/>
        </w:rPr>
        <w:t xml:space="preserve">进行设计。</w:t>
      </w:r>
      <w:r/>
    </w:p>
    <w:p>
      <w:pPr>
        <w:ind w:firstLine="480"/>
        <w:spacing w:line="360" w:lineRule="auto"/>
        <w:rPr>
          <w:rFonts w:hint="eastAsia" w:ascii="宋体" w:hAnsi="宋体" w:eastAsia="宋体" w:cs="Times New Roman"/>
          <w:sz w:val="24"/>
          <w:szCs w:val="21"/>
        </w:rPr>
      </w:pPr>
      <w:r>
        <w:rPr>
          <w:rFonts w:hint="eastAsia" w:ascii="宋体" w:hAnsi="宋体"/>
          <w:bCs/>
          <w:color w:val="000000"/>
          <w:sz w:val="24"/>
          <w:szCs w:val="24"/>
          <w:lang w:val="en-US" w:eastAsia="zh-CN"/>
        </w:rPr>
        <w:t xml:space="preserve">7.5</w:t>
      </w:r>
      <w:r>
        <w:rPr>
          <w:rFonts w:hint="eastAsia" w:ascii="宋体" w:hAnsi="宋体" w:eastAsia="宋体" w:cs="Times New Roman"/>
          <w:sz w:val="24"/>
          <w:szCs w:val="21"/>
        </w:rPr>
        <w:t xml:space="preserve">一体化工作台建设方案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投标人需针对以上技术要求，为本项目实际情况制定个性化的</w:t>
      </w:r>
      <w:r>
        <w:rPr>
          <w:rFonts w:hint="eastAsia" w:ascii="宋体" w:hAnsi="宋体" w:eastAsia="宋体" w:cs="Times New Roman"/>
          <w:sz w:val="24"/>
          <w:szCs w:val="21"/>
        </w:rPr>
        <w:t xml:space="preserve">一体化工作台的建设方案</w:t>
      </w:r>
      <w:r>
        <w:rPr>
          <w:rFonts w:hint="eastAsia" w:ascii="宋体" w:hAnsi="宋体" w:eastAsia="宋体" w:cs="Times New Roman"/>
          <w:sz w:val="24"/>
          <w:szCs w:val="21"/>
          <w:lang w:eastAsia="zh-CN"/>
        </w:rPr>
        <w:t xml:space="preserve">。</w:t>
      </w:r>
      <w:r>
        <w:rPr>
          <w:rFonts w:hint="eastAsia" w:ascii="宋体" w:hAnsi="宋体"/>
          <w:bCs/>
          <w:color w:val="000000"/>
          <w:sz w:val="24"/>
          <w:szCs w:val="24"/>
        </w:rPr>
        <w:t xml:space="preserve">投标人须根据采购需求对</w:t>
      </w:r>
      <w:r>
        <w:rPr>
          <w:rFonts w:hint="eastAsia" w:ascii="宋体" w:hAnsi="宋体" w:eastAsia="宋体" w:cs="Times New Roman"/>
          <w:sz w:val="24"/>
          <w:szCs w:val="21"/>
        </w:rPr>
        <w:t xml:space="preserve">一体化工作台</w:t>
      </w:r>
      <w:r>
        <w:rPr>
          <w:rFonts w:hint="eastAsia" w:ascii="宋体" w:hAnsi="宋体"/>
          <w:bCs/>
          <w:color w:val="000000"/>
          <w:sz w:val="24"/>
          <w:szCs w:val="24"/>
        </w:rPr>
        <w:t xml:space="preserve">进行设计。</w:t>
      </w:r>
      <w:r/>
    </w:p>
    <w:p>
      <w:pPr>
        <w:ind w:firstLine="480"/>
        <w:spacing w:line="360" w:lineRule="auto"/>
        <w:rPr>
          <w:rFonts w:hint="eastAsia" w:ascii="宋体" w:hAnsi="宋体" w:eastAsia="宋体" w:cs="Times New Roman"/>
          <w:sz w:val="24"/>
          <w:szCs w:val="21"/>
        </w:rPr>
      </w:pPr>
      <w:r>
        <w:rPr>
          <w:rFonts w:hint="eastAsia" w:ascii="宋体" w:hAnsi="宋体"/>
          <w:bCs/>
          <w:color w:val="000000"/>
          <w:sz w:val="24"/>
          <w:szCs w:val="24"/>
          <w:lang w:val="en-US" w:eastAsia="zh-CN"/>
        </w:rPr>
        <w:t xml:space="preserve">7.6</w:t>
      </w:r>
      <w:r>
        <w:rPr>
          <w:rFonts w:hint="eastAsia" w:ascii="宋体" w:hAnsi="宋体" w:eastAsia="宋体" w:cs="Times New Roman"/>
          <w:sz w:val="24"/>
          <w:szCs w:val="21"/>
        </w:rPr>
        <w:t xml:space="preserve">业务智能化模块</w:t>
      </w:r>
      <w:r>
        <w:rPr>
          <w:rFonts w:hint="eastAsia" w:ascii="宋体" w:hAnsi="宋体" w:eastAsia="宋体" w:cs="Times New Roman"/>
          <w:sz w:val="24"/>
          <w:szCs w:val="21"/>
          <w:lang w:val="en-US" w:eastAsia="zh-CN"/>
        </w:rPr>
        <w:t xml:space="preserve">建设</w:t>
      </w:r>
      <w:r>
        <w:rPr>
          <w:rFonts w:hint="eastAsia" w:ascii="宋体" w:hAnsi="宋体" w:eastAsia="宋体" w:cs="Times New Roman"/>
          <w:sz w:val="24"/>
          <w:szCs w:val="21"/>
        </w:rPr>
        <w:t xml:space="preserve">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投标人需针对以上技术要求，为本项目实际情况制定个性化的</w:t>
      </w:r>
      <w:r>
        <w:rPr>
          <w:rFonts w:hint="eastAsia" w:ascii="宋体" w:hAnsi="宋体" w:eastAsia="宋体" w:cs="Times New Roman"/>
          <w:sz w:val="24"/>
          <w:szCs w:val="21"/>
        </w:rPr>
        <w:t xml:space="preserve">业务智能化模块的建设方案</w:t>
      </w:r>
      <w:r>
        <w:rPr>
          <w:rFonts w:hint="eastAsia" w:ascii="宋体" w:hAnsi="宋体" w:eastAsia="宋体" w:cs="Times New Roman"/>
          <w:sz w:val="24"/>
          <w:szCs w:val="21"/>
          <w:lang w:eastAsia="zh-CN"/>
        </w:rPr>
        <w:t xml:space="preserve">。</w:t>
      </w:r>
      <w:r>
        <w:rPr>
          <w:rFonts w:hint="eastAsia" w:ascii="宋体" w:hAnsi="宋体"/>
          <w:bCs/>
          <w:color w:val="000000"/>
          <w:sz w:val="24"/>
          <w:szCs w:val="24"/>
        </w:rPr>
        <w:t xml:space="preserve">投标人须熟悉行业信息化，提供</w:t>
      </w:r>
      <w:r>
        <w:rPr>
          <w:rFonts w:hint="eastAsia" w:ascii="宋体" w:hAnsi="宋体" w:eastAsia="宋体" w:cs="Times New Roman"/>
          <w:sz w:val="24"/>
          <w:szCs w:val="21"/>
        </w:rPr>
        <w:t xml:space="preserve">业务智能化模块</w:t>
      </w:r>
      <w:r>
        <w:rPr>
          <w:rFonts w:hint="eastAsia" w:ascii="宋体" w:hAnsi="宋体"/>
          <w:bCs/>
          <w:color w:val="000000"/>
          <w:sz w:val="24"/>
          <w:szCs w:val="24"/>
        </w:rPr>
        <w:t xml:space="preserve">的信息化建设方案，阐述核心业务，并根据采购需求对相关核心业务系统进行设计。</w:t>
      </w:r>
      <w:r/>
    </w:p>
    <w:p>
      <w:pPr>
        <w:ind w:firstLine="480"/>
        <w:spacing w:line="360" w:lineRule="auto"/>
        <w:rPr>
          <w:rFonts w:hint="eastAsia" w:ascii="宋体" w:hAnsi="宋体" w:eastAsia="宋体" w:cs="Times New Roman"/>
          <w:sz w:val="24"/>
          <w:szCs w:val="21"/>
        </w:rPr>
      </w:pPr>
      <w:r>
        <w:rPr>
          <w:rFonts w:hint="eastAsia" w:ascii="宋体" w:hAnsi="宋体"/>
          <w:bCs/>
          <w:color w:val="000000"/>
          <w:sz w:val="24"/>
          <w:szCs w:val="24"/>
          <w:lang w:val="en-US" w:eastAsia="zh-CN"/>
        </w:rPr>
        <w:t xml:space="preserve">7.7</w:t>
      </w:r>
      <w:r>
        <w:rPr>
          <w:rFonts w:hint="eastAsia" w:ascii="宋体" w:hAnsi="宋体" w:eastAsia="宋体" w:cs="Times New Roman"/>
          <w:sz w:val="24"/>
          <w:szCs w:val="21"/>
        </w:rPr>
        <w:t xml:space="preserve">信息安全设计方案</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需根据信息安全有关要求，编写项目的信息安全设计方案，本项目须满足网络安全等级保护三级、商用密码应用安全性评估等要求，具体包括但不限于软件系统安全开发、安全运维等内容，须确保项目中开发的软件系统符合国家和江苏省关于信息安全相关的要求。</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7.8项目实施方案</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rPr>
        <w:t xml:space="preserve">投标人需针对以上技术要求，为本项目实际情况制定个性化的项目实施方案。方案内容包括但不限于项目进度计划及保障措施、项目质量保障措施、项目风险管理、培训方案等内容。</w:t>
      </w:r>
      <w:r/>
    </w:p>
    <w:p>
      <w:pPr>
        <w:ind w:firstLine="480"/>
        <w:spacing w:line="360" w:lineRule="auto"/>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7.9项目验收方案</w:t>
      </w:r>
      <w:r/>
    </w:p>
    <w:p>
      <w:pPr>
        <w:ind w:firstLine="480"/>
        <w:spacing w:line="360" w:lineRule="auto"/>
        <w:rPr>
          <w:rFonts w:hint="eastAsia" w:ascii="宋体" w:hAnsi="宋体" w:eastAsia="宋体"/>
          <w:bCs/>
          <w:color w:val="000000"/>
          <w:sz w:val="24"/>
          <w:szCs w:val="24"/>
          <w:lang w:val="en-US" w:eastAsia="zh-CN"/>
        </w:rPr>
      </w:pPr>
      <w:r>
        <w:rPr>
          <w:rFonts w:hint="eastAsia" w:ascii="宋体" w:hAnsi="宋体"/>
          <w:bCs/>
          <w:color w:val="000000"/>
          <w:sz w:val="24"/>
          <w:szCs w:val="24"/>
        </w:rPr>
        <w:t xml:space="preserve">投标人需针对以上技术要求，为本项目实际情况制定个性化的项目</w:t>
      </w:r>
      <w:r>
        <w:rPr>
          <w:rFonts w:hint="eastAsia" w:ascii="宋体" w:hAnsi="宋体"/>
          <w:bCs/>
          <w:color w:val="000000"/>
          <w:sz w:val="24"/>
          <w:szCs w:val="24"/>
          <w:lang w:val="en-US" w:eastAsia="zh-CN"/>
        </w:rPr>
        <w:t xml:space="preserve">验收</w:t>
      </w:r>
      <w:r>
        <w:rPr>
          <w:rFonts w:hint="eastAsia" w:ascii="宋体" w:hAnsi="宋体"/>
          <w:bCs/>
          <w:color w:val="000000"/>
          <w:sz w:val="24"/>
          <w:szCs w:val="24"/>
        </w:rPr>
        <w:t xml:space="preserve">方案。</w:t>
      </w:r>
      <w:r>
        <w:rPr>
          <w:rFonts w:hint="eastAsia" w:ascii="宋体" w:hAnsi="宋体"/>
          <w:bCs/>
          <w:color w:val="000000"/>
          <w:sz w:val="24"/>
          <w:szCs w:val="24"/>
          <w:lang w:val="en-US" w:eastAsia="zh-CN"/>
        </w:rPr>
        <w:t xml:space="preserve">方案内容包括但不限于</w:t>
      </w:r>
      <w:r>
        <w:rPr>
          <w:rFonts w:hint="eastAsia" w:ascii="宋体" w:hAnsi="宋体" w:eastAsia="宋体" w:cs="Times New Roman"/>
          <w:sz w:val="24"/>
          <w:szCs w:val="21"/>
        </w:rPr>
        <w:t xml:space="preserve">验收组织计划、验收步骤等</w:t>
      </w:r>
      <w:r>
        <w:rPr>
          <w:rFonts w:hint="eastAsia" w:ascii="宋体" w:hAnsi="宋体" w:eastAsia="宋体" w:cs="Times New Roman"/>
          <w:sz w:val="24"/>
          <w:szCs w:val="21"/>
          <w:lang w:eastAsia="zh-CN"/>
        </w:rPr>
        <w:t xml:space="preserve">。</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lang w:val="en-US" w:eastAsia="zh-CN"/>
        </w:rPr>
        <w:t xml:space="preserve">7.10</w:t>
      </w:r>
      <w:r>
        <w:rPr>
          <w:rFonts w:hint="eastAsia" w:ascii="宋体" w:hAnsi="宋体"/>
          <w:bCs/>
          <w:color w:val="000000"/>
          <w:sz w:val="24"/>
          <w:szCs w:val="24"/>
        </w:rPr>
        <w:t xml:space="preserve">项目售后服务方案</w:t>
      </w:r>
      <w:r/>
    </w:p>
    <w:p>
      <w:pPr>
        <w:ind w:firstLine="480"/>
        <w:spacing w:line="360" w:lineRule="auto"/>
        <w:rPr>
          <w:rFonts w:ascii="宋体" w:hAnsi="宋体"/>
          <w:bCs/>
          <w:color w:val="000000"/>
          <w:sz w:val="24"/>
          <w:szCs w:val="24"/>
          <w:lang w:val="en-US" w:eastAsia="zh-CN"/>
        </w:rPr>
      </w:pPr>
      <w:r>
        <w:rPr>
          <w:rFonts w:hint="eastAsia" w:ascii="宋体" w:hAnsi="宋体"/>
          <w:bCs/>
          <w:color w:val="000000"/>
          <w:sz w:val="24"/>
          <w:szCs w:val="24"/>
        </w:rPr>
        <w:t xml:space="preserve">投标人需针对以上技术要求，为本项目实际情况制定个性化的项目售后服务方案。方案内容包括但不限于售后服务与响应、运维体系建设等。</w:t>
      </w:r>
      <w:r/>
    </w:p>
    <w:p>
      <w:pPr>
        <w:rPr>
          <w:rFonts w:ascii="Arial" w:hAnsi="Arial" w:eastAsia="宋体" w:cs="Times New Roman"/>
          <w:b/>
          <w:sz w:val="32"/>
          <w:szCs w:val="44"/>
        </w:rPr>
        <w:outlineLvl w:val="0"/>
      </w:pPr>
      <w:r>
        <w:rPr>
          <w:rFonts w:hint="eastAsia" w:ascii="Arial" w:hAnsi="Arial" w:eastAsia="宋体" w:cs="Times New Roman"/>
          <w:b/>
          <w:sz w:val="32"/>
          <w:szCs w:val="44"/>
          <w:lang w:val="en-US" w:eastAsia="zh-CN"/>
        </w:rPr>
        <w:t xml:space="preserve">八</w:t>
      </w:r>
      <w:r>
        <w:rPr>
          <w:rFonts w:hint="eastAsia" w:ascii="Arial" w:hAnsi="Arial" w:eastAsia="宋体" w:cs="Times New Roman"/>
          <w:b/>
          <w:sz w:val="32"/>
          <w:szCs w:val="44"/>
        </w:rPr>
        <w:t xml:space="preserve">、其他要求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1.项目属性:服务类项目。</w:t>
      </w:r>
      <w:r/>
    </w:p>
    <w:p>
      <w:pPr>
        <w:ind w:firstLine="480"/>
        <w:spacing w:line="360" w:lineRule="auto"/>
        <w:rPr>
          <w:rFonts w:hint="eastAsia" w:ascii="宋体" w:hAnsi="宋体"/>
          <w:color w:val="000000"/>
          <w:sz w:val="24"/>
          <w:szCs w:val="24"/>
        </w:rPr>
      </w:pPr>
      <w:r>
        <w:rPr>
          <w:rFonts w:hint="eastAsia" w:ascii="宋体" w:hAnsi="宋体" w:eastAsia="宋体"/>
          <w:sz w:val="24"/>
          <w:szCs w:val="24"/>
        </w:rPr>
        <w:t xml:space="preserve">2.本项目不接受进口产品投标</w:t>
      </w:r>
      <w:r>
        <w:rPr>
          <w:rFonts w:hint="eastAsia" w:ascii="宋体" w:hAnsi="宋体" w:eastAsia="宋体"/>
          <w:sz w:val="24"/>
          <w:szCs w:val="24"/>
          <w:lang w:eastAsia="zh-CN"/>
        </w:rPr>
        <w:t xml:space="preserve">。</w:t>
      </w:r>
      <w:r/>
    </w:p>
    <w:p>
      <w:pPr>
        <w:ind w:firstLine="602"/>
        <w:rPr>
          <w:rFonts w:hint="eastAsia"/>
          <w:b/>
          <w:i/>
          <w:sz w:val="30"/>
          <w:szCs w:val="32"/>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b/>
          <w:i/>
          <w:sz w:val="30"/>
          <w:szCs w:val="32"/>
          <w:u w:val="single"/>
        </w:rPr>
      </w:r>
      <w:r/>
    </w:p>
    <w:p>
      <w:pPr>
        <w:pStyle w:val="861"/>
        <w:rPr>
          <w:rFonts w:hint="eastAsia" w:ascii="黑体" w:eastAsia="黑体"/>
          <w:bCs/>
          <w:sz w:val="44"/>
        </w:rPr>
      </w:pPr>
      <w:r/>
      <w:bookmarkStart w:id="194"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46"/>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69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5163"/>
      </w:tblGrid>
      <w:tr>
        <w:trPr/>
        <w:tc>
          <w:tcPr>
            <w:tcW w:w="1148" w:type="dxa"/>
            <w:vAlign w:val="top"/>
            <w:textDirection w:val="lrTb"/>
            <w:noWrap w:val="false"/>
          </w:tcPr>
          <w:p>
            <w:pPr>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中标候选人数量</w:t>
            </w:r>
            <w:r/>
          </w:p>
        </w:tc>
        <w:tc>
          <w:tcPr>
            <w:tcW w:w="5163" w:type="dxa"/>
            <w:vAlign w:val="top"/>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vAlign w:val="top"/>
            <w:textDirection w:val="lrTb"/>
            <w:noWrap w:val="false"/>
          </w:tcPr>
          <w:p>
            <w:pPr>
              <w:jc w:val="center"/>
              <w:rPr>
                <w:rFonts w:ascii="宋体" w:hAnsi="宋体"/>
              </w:rPr>
            </w:pPr>
            <w:r>
              <w:rPr>
                <w:rFonts w:hint="eastAsia" w:ascii="宋体" w:hAnsi="宋体"/>
              </w:rPr>
              <w:t xml:space="preserve">1</w:t>
            </w:r>
            <w:r/>
          </w:p>
        </w:tc>
        <w:tc>
          <w:tcPr>
            <w:tcW w:w="1610" w:type="dxa"/>
            <w:vAlign w:val="top"/>
            <w:textDirection w:val="lrTb"/>
            <w:noWrap w:val="false"/>
          </w:tcPr>
          <w:p>
            <w:pPr>
              <w:jc w:val="center"/>
              <w:rPr>
                <w:rFonts w:ascii="宋体" w:hAnsi="宋体"/>
              </w:rPr>
            </w:pPr>
            <w:r>
              <w:rPr>
                <w:rFonts w:hint="eastAsia" w:ascii="宋体" w:hAnsi="宋体"/>
              </w:rPr>
              <w:t xml:space="preserve">1</w:t>
            </w:r>
            <w:r/>
          </w:p>
        </w:tc>
        <w:tc>
          <w:tcPr>
            <w:tcW w:w="5163" w:type="dxa"/>
            <w:vAlign w:val="top"/>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46"/>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946"/>
        <w:spacing w:line="0" w:lineRule="atLeast"/>
        <w:rPr>
          <w:rFonts w:hint="eastAsia" w:ascii="宋体" w:hAnsi="宋体"/>
        </w:rPr>
      </w:pPr>
      <w:r>
        <w:rPr>
          <w:rFonts w:hint="eastAsia" w:ascii="宋体" w:hAnsi="宋体"/>
        </w:rPr>
        <w:t xml:space="preserve">1、小微型企业价格扣除</w:t>
      </w:r>
      <w:r/>
    </w:p>
    <w:p>
      <w:pPr>
        <w:pStyle w:val="94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46"/>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46"/>
        <w:spacing w:line="0" w:lineRule="atLeast"/>
        <w:rPr>
          <w:rFonts w:hint="eastAsia" w:ascii="宋体" w:hAnsi="宋体"/>
        </w:rPr>
      </w:pPr>
      <w:r>
        <w:rPr>
          <w:rFonts w:hint="eastAsia" w:ascii="宋体" w:hAnsi="宋体"/>
        </w:rPr>
        <w:t xml:space="preserve">2、残疾人福利单位价格扣除</w:t>
      </w:r>
      <w:r/>
    </w:p>
    <w:p>
      <w:pPr>
        <w:pStyle w:val="94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4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46"/>
        <w:spacing w:line="0" w:lineRule="atLeast"/>
        <w:rPr>
          <w:rFonts w:hint="eastAsia" w:ascii="宋体" w:hAnsi="宋体"/>
        </w:rPr>
      </w:pPr>
      <w:r>
        <w:rPr>
          <w:rFonts w:hint="eastAsia" w:ascii="宋体" w:hAnsi="宋体"/>
        </w:rPr>
        <w:t xml:space="preserve">3、监狱和戒毒企业价格扣除</w:t>
      </w:r>
      <w:r/>
    </w:p>
    <w:p>
      <w:pPr>
        <w:pStyle w:val="94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4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4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46"/>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4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46"/>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691"/>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4"/>
        <w:gridCol w:w="6137"/>
        <w:gridCol w:w="949"/>
      </w:tblGrid>
      <w:tr>
        <w:trPr>
          <w:jc w:val="center"/>
          <w:trHeight w:val="23"/>
        </w:trPr>
        <w:tc>
          <w:tcPr>
            <w:tcW w:w="1474"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评分项</w:t>
            </w:r>
            <w:r/>
          </w:p>
        </w:tc>
        <w:tc>
          <w:tcPr>
            <w:tcW w:w="6137"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评审标准</w:t>
            </w:r>
            <w:r/>
          </w:p>
        </w:tc>
        <w:tc>
          <w:tcPr>
            <w:tcW w:w="949"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分值</w:t>
            </w:r>
            <w:r/>
          </w:p>
        </w:tc>
      </w:tr>
      <w:tr>
        <w:trPr>
          <w:jc w:val="center"/>
          <w:trHeight w:val="23"/>
        </w:trPr>
        <w:tc>
          <w:tcPr>
            <w:gridSpan w:val="2"/>
            <w:shd w:val="clear" w:color="auto" w:fill="d8d8d8"/>
            <w:tcW w:w="7611"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（一）价格部分</w:t>
            </w:r>
            <w:r/>
          </w:p>
        </w:tc>
        <w:tc>
          <w:tcPr>
            <w:shd w:val="clear" w:color="auto" w:fill="d8d8d8"/>
            <w:tcW w:w="949"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10</w:t>
            </w:r>
            <w:r/>
          </w:p>
        </w:tc>
      </w:tr>
      <w:tr>
        <w:trPr>
          <w:jc w:val="center"/>
          <w:trHeight w:val="23"/>
        </w:trPr>
        <w:tc>
          <w:tcPr>
            <w:tcW w:w="1474"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1.1价格分</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采用低价优先法计算，即满足招标文件要求且投标价格最低的投标报价为评标基准价，其价格分为满分。其他满足招标文件要求的投标人的价格分统一按照下列公式计算：</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投标报价得分=（评标基准价／投标报价）×10。</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注：报价得分保留两位小数。</w:t>
            </w:r>
            <w:r/>
          </w:p>
        </w:tc>
        <w:tc>
          <w:tcPr>
            <w:tcW w:w="949"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10</w:t>
            </w:r>
            <w:r/>
          </w:p>
        </w:tc>
      </w:tr>
      <w:tr>
        <w:trPr>
          <w:jc w:val="center"/>
          <w:trHeight w:val="23"/>
        </w:trPr>
        <w:tc>
          <w:tcPr>
            <w:gridSpan w:val="2"/>
            <w:shd w:val="clear" w:color="auto" w:fill="d8d8d8"/>
            <w:tcW w:w="7611"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（二）技术方案部分</w:t>
            </w:r>
            <w:r/>
          </w:p>
        </w:tc>
        <w:tc>
          <w:tcPr>
            <w:shd w:val="clear" w:color="auto" w:fill="d8d8d8"/>
            <w:tcW w:w="949" w:type="dxa"/>
            <w:vAlign w:val="center"/>
            <w:textDirection w:val="lrTb"/>
            <w:noWrap w:val="false"/>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40</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.1总体设计方案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投标人根据自身经验和对本项目的采购需求的理解，编写总体设计方案。方案包括但不限于总体架构、部署架构、性能设计等。评委对方案的需求贴合程度、完整度、合理性、针对性等进行综合比较。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.2联网直报数据回流子系统</w:t>
            </w:r>
            <w:r>
              <w:rPr>
                <w:rFonts w:hint="eastAsia" w:ascii="宋体" w:hAnsi="宋体" w:eastAsia="宋体" w:cs="Times New Roman"/>
                <w:sz w:val="24"/>
                <w:szCs w:val="21"/>
                <w:lang w:val="en-US" w:eastAsia="zh-CN"/>
              </w:rPr>
              <w:t xml:space="preserve">建设方案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投标人提供联网直报数据回流子系统的建设方案，方案内容包括但不限于数据资源管理、数据分析演示等功能模块。评委将对方案的需求贴合程度、功能完整性、合理性、针对性等进行综合比较。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.3综合数据管理及应用子系统</w:t>
            </w:r>
            <w:r>
              <w:rPr>
                <w:rFonts w:hint="eastAsia" w:ascii="宋体" w:hAnsi="宋体" w:eastAsia="宋体" w:cs="Times New Roman"/>
                <w:sz w:val="24"/>
                <w:szCs w:val="21"/>
                <w:lang w:val="en-US" w:eastAsia="zh-CN"/>
              </w:rPr>
              <w:t xml:space="preserve">建设方案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综合数据管理及应用子系统的建设方案，方案内容包括但不限于江苏统计综合数据管理、综合数据加工、数据资源目录编制等功能模块。评委将对方案的需求贴合程度、功能完整性、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.4省统计局旗舰店</w:t>
            </w:r>
            <w:r>
              <w:rPr>
                <w:rFonts w:hint="eastAsia" w:ascii="宋体" w:hAnsi="宋体" w:eastAsia="宋体" w:cs="Times New Roman"/>
                <w:sz w:val="24"/>
                <w:szCs w:val="21"/>
                <w:lang w:val="en-US" w:eastAsia="zh-CN"/>
              </w:rPr>
              <w:t xml:space="preserve">建设方案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投标人提供省统计局旗舰店的建设方案，方案内容包括但不限于事项办理、咨询公告、互动交流、服务搜索、效能监督等功能模块。评委将对方案的需求贴合程度、功能完整性、合理性、针对性等进行综合比较。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.5一体化工作台建设方案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需熟悉政务协同办公及业务管理流程，提供一体化工作台的建设方案，阐述工作台的核心功能与定位，并根据采购需求对本项目中的工作台进行系统性设计。评委将对方案的需求贴合程度、功能完整性、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lang w:val="en-US" w:eastAsia="zh-CN"/>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.6业务智能化模块</w:t>
            </w:r>
            <w:r>
              <w:rPr>
                <w:rFonts w:hint="eastAsia" w:ascii="宋体" w:hAnsi="宋体" w:eastAsia="宋体" w:cs="Times New Roman"/>
                <w:sz w:val="24"/>
                <w:szCs w:val="21"/>
                <w:lang w:val="en-US" w:eastAsia="zh-CN"/>
              </w:rPr>
              <w:t xml:space="preserve">建设</w:t>
            </w:r>
            <w:r>
              <w:rPr>
                <w:rFonts w:hint="eastAsia" w:ascii="宋体" w:hAnsi="宋体" w:eastAsia="宋体" w:cs="Times New Roman"/>
                <w:sz w:val="24"/>
                <w:szCs w:val="21"/>
              </w:rPr>
              <w:t xml:space="preserve">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业务智能化模块的建设方案，方案内容包括但不限于投资凭证子系统升级改造、工作信息网升级改造、统计知识库建设等。评委将对方案的需求贴合程度、功能完整性、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.7信息安全设计方案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ascii="宋体" w:hAnsi="宋体" w:eastAsia="宋体" w:cs="Times New Roman"/>
                <w:sz w:val="24"/>
                <w:szCs w:val="21"/>
              </w:rPr>
              <w:t xml:space="preserve">投标人根据招标文件系统安全要求提供信息安全设计方案，包括但不限于软件系统的安全开发、安全运维等内容。评委对方案的需求贴合程度、完整度、合理性、针对性等进行综合比较。</w:t>
            </w:r>
            <w:r/>
          </w:p>
          <w:p>
            <w:pPr>
              <w:jc w:val="left"/>
              <w:spacing w:line="360" w:lineRule="auto"/>
              <w:widowControl/>
              <w:rPr>
                <w:rFonts w:ascii="宋体" w:hAnsi="宋体" w:eastAsia="宋体" w:cs="Times New Roman"/>
                <w:sz w:val="24"/>
                <w:szCs w:val="21"/>
              </w:rPr>
            </w:pPr>
            <w:r>
              <w:rPr>
                <w:rFonts w:ascii="宋体" w:hAnsi="宋体" w:eastAsia="宋体" w:cs="Times New Roman"/>
                <w:sz w:val="24"/>
                <w:szCs w:val="21"/>
              </w:rPr>
              <w:t xml:space="preserve">方案优于采购需求的得</w:t>
            </w:r>
            <w:r>
              <w:rPr>
                <w:rFonts w:hint="eastAsia" w:ascii="宋体" w:hAnsi="宋体" w:eastAsia="宋体" w:cs="Times New Roman"/>
                <w:sz w:val="24"/>
                <w:szCs w:val="21"/>
                <w:lang w:val="en-US" w:eastAsia="zh-CN"/>
              </w:rPr>
              <w:t xml:space="preserve">4</w:t>
            </w:r>
            <w:r>
              <w:rPr>
                <w:rFonts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ascii="宋体" w:hAnsi="宋体" w:eastAsia="宋体" w:cs="Times New Roman"/>
                <w:sz w:val="24"/>
                <w:szCs w:val="21"/>
              </w:rPr>
              <w:t xml:space="preserve">方案符合采购需求的得</w:t>
            </w:r>
            <w:r>
              <w:rPr>
                <w:rFonts w:hint="eastAsia" w:ascii="宋体" w:hAnsi="宋体" w:eastAsia="宋体" w:cs="Times New Roman"/>
                <w:sz w:val="24"/>
                <w:szCs w:val="21"/>
                <w:lang w:val="en-US" w:eastAsia="zh-CN"/>
              </w:rPr>
              <w:t xml:space="preserve">2</w:t>
            </w:r>
            <w:r>
              <w:rPr>
                <w:rFonts w:ascii="宋体" w:hAnsi="宋体" w:eastAsia="宋体" w:cs="Times New Roman"/>
                <w:sz w:val="24"/>
                <w:szCs w:val="21"/>
              </w:rPr>
              <w:t xml:space="preserve">分；</w:t>
            </w:r>
            <w:r/>
          </w:p>
          <w:p>
            <w:pPr>
              <w:jc w:val="left"/>
              <w:spacing w:line="360" w:lineRule="auto"/>
              <w:widowControl/>
              <w:rPr>
                <w:rFonts w:ascii="宋体" w:hAnsi="宋体" w:eastAsia="宋体" w:cs="Times New Roman"/>
                <w:sz w:val="24"/>
                <w:szCs w:val="21"/>
              </w:rPr>
            </w:pPr>
            <w:r>
              <w:rPr>
                <w:rFonts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lang w:val="en-US" w:eastAsia="zh-CN"/>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.8项目实施方案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投标人提供项目实施方案，方案内容包括但不限于项目进度计划及保障措施、项目质量保障措施、项目风险管理等。评委对方案的需求贴合程度、完整度、合理性、针对性等进行综合比较。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.9项目验收方案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投标人提供项目验收方案，方案内容包括但不限于验收组织计划、验收步骤等。评委对方案的需求贴合程度、完整度、合理性、针对性等进行综合比较。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.10项目售后服务方案</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投标人提供项目售后服务方案，方案内容包括但不限于售后服务与响应、运维体系建设、培训服务等。评委对方案的需求贴合程度、完整度、合理性、针对性等进行综合比较。</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方案优于采购需求的得4分；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方案符合采购需求的得2分；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方案不符合或未提供方案的得0分。</w:t>
            </w:r>
            <w:r/>
          </w:p>
        </w:tc>
        <w:tc>
          <w:tcPr>
            <w:tcW w:w="949"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w:t>
            </w:r>
            <w:r/>
          </w:p>
        </w:tc>
      </w:tr>
      <w:tr>
        <w:trPr>
          <w:jc w:val="center"/>
          <w:trHeight w:val="23"/>
        </w:trPr>
        <w:tc>
          <w:tcPr>
            <w:gridSpan w:val="2"/>
            <w:shd w:val="clear" w:color="auto" w:fill="d8d8d8"/>
            <w:tcW w:w="7611"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（三）商务部分</w:t>
            </w:r>
            <w:r/>
          </w:p>
        </w:tc>
        <w:tc>
          <w:tcPr>
            <w:shd w:val="clear" w:color="auto" w:fill="d8d8d8"/>
            <w:tcW w:w="949"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50</w:t>
            </w:r>
            <w:r/>
          </w:p>
        </w:tc>
      </w:tr>
      <w:tr>
        <w:trPr>
          <w:jc w:val="center"/>
          <w:trHeight w:val="23"/>
        </w:trPr>
        <w:tc>
          <w:tcPr>
            <w:tcW w:w="1474"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.1企业资质</w:t>
            </w:r>
            <w:r/>
          </w:p>
        </w:tc>
        <w:tc>
          <w:tcPr>
            <w:tcW w:w="6137" w:type="dxa"/>
            <w:vAlign w:val="center"/>
            <w:textDirection w:val="lrTb"/>
            <w:noWrap w:val="false"/>
          </w:tcPr>
          <w:p>
            <w:pPr>
              <w:numPr>
                <w:ilvl w:val="0"/>
                <w:numId w:val="9"/>
              </w:num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投标人具有国家认监委认可的机构颁发的有效期内的ISO38505数据治理安全管理体系认证证书（需包含数据治理相关认证范围）、GB/T 35966-2018高技术服务管理体系认证证书（需包含软件技术开发和数据治理相关认证范围），每提供1项得2分，最多得4分。（提供有效期内证书复印件并加盖投标人公章）</w:t>
            </w:r>
            <w:r/>
          </w:p>
          <w:p>
            <w:pPr>
              <w:numPr>
                <w:ilvl w:val="0"/>
                <w:numId w:val="9"/>
              </w:num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具备ISO9001质量管理体系认证证书、ISO27001信息安全管理体系认证证书、ISO27701隐私信息安全管理体系认证证书的（上述证书均需包含软件开发相关认证范围），每提供1项得2分，最多得6分。（提供有效期内证书复印件并加盖投标人公章）</w:t>
            </w:r>
            <w:r/>
          </w:p>
          <w:p>
            <w:pPr>
              <w:numPr>
                <w:ilvl w:val="0"/>
                <w:numId w:val="9"/>
              </w:num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投标人具备ISO27040数据存储安全管理体系认证证书（需包含软件开发相关认证范围），得3分。（提供有效期内证书复印件并加盖投标人公章）</w:t>
            </w:r>
            <w:r/>
          </w:p>
          <w:p>
            <w:pPr>
              <w:numPr>
                <w:ilvl w:val="0"/>
                <w:numId w:val="9"/>
              </w:num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投标人具有国家认监委认可的机构颁发的有效期内的GB/T</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37988-2019</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DSMM数据安全能力成熟度认证证书（需包含数据应用相关认证范围），得3分。（提供证书扫描件和全国认证认可信息公共服务平台查询截图并加盖投标人公章）</w:t>
            </w:r>
            <w:r/>
          </w:p>
        </w:tc>
        <w:tc>
          <w:tcPr>
            <w:tcW w:w="949" w:type="dxa"/>
            <w:vAlign w:val="center"/>
            <w:textDirection w:val="lrTb"/>
            <w:noWrap w:val="false"/>
          </w:tcPr>
          <w:p>
            <w:pPr>
              <w:jc w:val="center"/>
              <w:spacing w:line="360" w:lineRule="auto"/>
              <w:widowControl/>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w:t>
            </w:r>
            <w:r>
              <w:rPr>
                <w:rFonts w:hint="eastAsia" w:ascii="宋体" w:hAnsi="宋体" w:eastAsia="宋体" w:cs="Times New Roman"/>
                <w:sz w:val="24"/>
                <w:szCs w:val="21"/>
                <w:lang w:val="en-US" w:eastAsia="zh-CN"/>
              </w:rPr>
              <w:t xml:space="preserve">6</w:t>
            </w:r>
            <w:r/>
          </w:p>
        </w:tc>
      </w:tr>
      <w:tr>
        <w:trPr>
          <w:jc w:val="center"/>
          <w:trHeight w:val="23"/>
        </w:trPr>
        <w:tc>
          <w:tcPr>
            <w:tcW w:w="1474"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.2软件著作权</w:t>
            </w:r>
            <w:r/>
          </w:p>
        </w:tc>
        <w:tc>
          <w:tcPr>
            <w:tcW w:w="6137" w:type="dxa"/>
            <w:vAlign w:val="center"/>
            <w:textDirection w:val="lrTb"/>
            <w:noWrap w:val="false"/>
          </w:tcPr>
          <w:p>
            <w:r>
              <w:rPr>
                <w:rFonts w:hint="eastAsia" w:ascii="宋体" w:hAnsi="宋体" w:eastAsia="宋体" w:cs="Times New Roman"/>
                <w:sz w:val="24"/>
                <w:szCs w:val="21"/>
              </w:rPr>
              <w:t xml:space="preserve">投标人具有由国家版权局颁发的相关软件著作权登记证书，证书包含 “数据汇聚共享”</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“数据主题挖掘”、“数据智能查询”、“身份认证系统”等相关关键词的（软件著作权名称可不完全一致，但应当是相同或相似内容），每提供一个得</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rPr>
              <w:t xml:space="preserve">分，最高得</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分，同一关键词不重复得分，不提供不得分。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注：投标人须提供招标文件发布日之前取得的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r/>
          </w:p>
        </w:tc>
        <w:tc>
          <w:tcPr>
            <w:tcW w:w="949" w:type="dxa"/>
            <w:vAlign w:val="center"/>
            <w:textDirection w:val="lrTb"/>
            <w:noWrap w:val="false"/>
          </w:tcPr>
          <w:p>
            <w:pPr>
              <w:jc w:val="center"/>
              <w:spacing w:line="360" w:lineRule="auto"/>
              <w:widowControl/>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w:t>
            </w:r>
            <w:r/>
          </w:p>
        </w:tc>
      </w:tr>
      <w:tr>
        <w:trPr>
          <w:jc w:val="center"/>
          <w:trHeight w:val="23"/>
        </w:trPr>
        <w:tc>
          <w:tcPr>
            <w:tcW w:w="1474"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.3类似业绩</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投标人具有2022年1月1日以来（以合同签订时间为准）承担过</w:t>
            </w:r>
            <w:r>
              <w:rPr>
                <w:rFonts w:hint="eastAsia" w:ascii="宋体" w:hAnsi="宋体" w:eastAsia="宋体" w:cs="Times New Roman"/>
                <w:sz w:val="24"/>
                <w:szCs w:val="21"/>
                <w:lang w:val="en-US" w:eastAsia="zh-CN"/>
              </w:rPr>
              <w:t xml:space="preserve">类似</w:t>
            </w:r>
            <w:r>
              <w:rPr>
                <w:rFonts w:hint="eastAsia" w:ascii="宋体" w:hAnsi="宋体" w:eastAsia="宋体" w:cs="Times New Roman"/>
                <w:sz w:val="24"/>
                <w:szCs w:val="21"/>
              </w:rPr>
              <w:t xml:space="preserve">信息化软件项目案例</w:t>
            </w:r>
            <w:r>
              <w:rPr>
                <w:rFonts w:hint="eastAsia" w:ascii="宋体" w:hAnsi="宋体" w:eastAsia="宋体" w:cs="Times New Roman"/>
                <w:sz w:val="24"/>
                <w:szCs w:val="21"/>
                <w:lang w:val="en-US" w:eastAsia="zh-CN"/>
              </w:rPr>
              <w:t xml:space="preserve">的</w:t>
            </w:r>
            <w:r>
              <w:rPr>
                <w:rFonts w:hint="eastAsia" w:ascii="宋体" w:hAnsi="宋体" w:eastAsia="宋体" w:cs="Times New Roman"/>
                <w:sz w:val="24"/>
                <w:szCs w:val="21"/>
              </w:rPr>
              <w:t xml:space="preserve">，每提供一个得</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分，最多得</w:t>
            </w:r>
            <w:r>
              <w:rPr>
                <w:rFonts w:hint="eastAsia" w:ascii="宋体" w:hAnsi="宋体" w:eastAsia="宋体" w:cs="Times New Roman"/>
                <w:sz w:val="24"/>
                <w:szCs w:val="21"/>
                <w:lang w:val="en-US" w:eastAsia="zh-CN"/>
              </w:rPr>
              <w:t xml:space="preserve">10</w:t>
            </w:r>
            <w:r>
              <w:rPr>
                <w:rFonts w:hint="eastAsia" w:ascii="宋体" w:hAnsi="宋体" w:eastAsia="宋体" w:cs="Times New Roman"/>
                <w:sz w:val="24"/>
                <w:szCs w:val="21"/>
              </w:rPr>
              <w:t xml:space="preserve">分，不提供不得分。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注：投标人需提供相关业绩的合同复印件，复印件中需体现合同的签约主体、项目名称及建设内容、合同签订日期等关键页信息，否则不得分。</w:t>
            </w:r>
            <w:r/>
          </w:p>
        </w:tc>
        <w:tc>
          <w:tcPr>
            <w:tcW w:w="949" w:type="dxa"/>
            <w:vAlign w:val="center"/>
            <w:textDirection w:val="lrTb"/>
            <w:noWrap w:val="false"/>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10</w:t>
            </w:r>
            <w:r/>
          </w:p>
        </w:tc>
      </w:tr>
      <w:tr>
        <w:trPr>
          <w:jc w:val="center"/>
          <w:trHeight w:val="1954"/>
        </w:trPr>
        <w:tc>
          <w:tcPr>
            <w:tcW w:w="1474" w:type="dxa"/>
            <w:vAlign w:val="center"/>
            <w:textDirection w:val="lrTb"/>
            <w:noWrap/>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.4团队实力</w:t>
            </w:r>
            <w:r/>
          </w:p>
        </w:tc>
        <w:tc>
          <w:tcPr>
            <w:tcW w:w="6137" w:type="dxa"/>
            <w:vAlign w:val="center"/>
            <w:textDirection w:val="lrTb"/>
            <w:noWrap w:val="false"/>
          </w:tcPr>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（1）项目经理：</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投标人应为本项目配备项目经理1名，项目经理具有正高级工程师（通信工程或电子信息）职称认证证书、高级信息系统项目管理师证书、ITSS IT服务项目经理证书、高级系统规划与管理师证书、CISAW信息安全保障人员（安全运维或应急服务）证书的，每提供1个得1分，最多得</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分，不提供不得分。</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（2）技术负责人：</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投标人应为本项目配备项目技术负责人1名，技术负责人具有正高级工程师（通信工程或电子信息）职称认证证书、高级信息系统项目管理师证书、ITSS IT服务工程师证书、ITSS信息技术应用创新服务工程师证书、CISP注册信息安全专业人员证书的，每提供1个得1分，最多得</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分，不提供不得分。</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（3）安全负责人：</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投标人应为本项目配备项目安全负责人1名，安全负责人具有正高级工程师（通信工程或电子信息）职称认证证书、高级信息系统项目管理师证书、CISP-CISO注册信息安全管理人员证书、信息安全工程师证书、CISAW信息安全保障人员（安全运维或应急服务）证书，每提供1个得</w:t>
            </w:r>
            <w:r>
              <w:rPr>
                <w:rFonts w:ascii="宋体" w:hAnsi="宋体" w:eastAsia="宋体" w:cs="Times New Roman"/>
                <w:sz w:val="24"/>
                <w:szCs w:val="21"/>
                <w:lang w:val="en-US"/>
              </w:rPr>
              <w:t xml:space="preserve">1</w:t>
            </w:r>
            <w:r>
              <w:rPr>
                <w:rFonts w:hint="eastAsia" w:ascii="宋体" w:hAnsi="宋体" w:eastAsia="宋体" w:cs="Times New Roman"/>
                <w:sz w:val="24"/>
                <w:szCs w:val="21"/>
              </w:rPr>
              <w:t xml:space="preserve">分，最多得</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分，不提供不得分。</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（4）项目技术服务团队：</w:t>
            </w:r>
            <w:r/>
          </w:p>
          <w:p>
            <w:pPr>
              <w:jc w:val="left"/>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投标人应为本项目提供技术服务团队</w:t>
            </w:r>
            <w:r>
              <w:rPr>
                <w:rFonts w:hint="eastAsia" w:ascii="宋体" w:hAnsi="宋体" w:eastAsia="宋体" w:cs="Times New Roman"/>
                <w:color w:val="0000ff"/>
                <w:sz w:val="24"/>
                <w:szCs w:val="21"/>
                <w:lang w:val="en-US" w:eastAsia="zh-CN"/>
              </w:rPr>
              <w:t xml:space="preserve">，</w:t>
            </w:r>
            <w:r>
              <w:rPr>
                <w:rFonts w:hint="eastAsia" w:ascii="宋体" w:hAnsi="宋体" w:eastAsia="宋体" w:cs="Times New Roman"/>
                <w:sz w:val="24"/>
                <w:szCs w:val="21"/>
                <w:lang w:val="en-US" w:eastAsia="zh-CN"/>
              </w:rPr>
              <w:t xml:space="preserve">团队成员</w:t>
            </w:r>
            <w:r>
              <w:rPr>
                <w:rFonts w:hint="eastAsia" w:ascii="宋体" w:hAnsi="宋体" w:eastAsia="宋体" w:cs="Times New Roman"/>
                <w:sz w:val="24"/>
                <w:szCs w:val="21"/>
              </w:rPr>
              <w:t xml:space="preserve">拥有高级信息系统项目管理师证书、高级系统分析师证书、高级系统架构设计师证书、软件设计师</w:t>
            </w:r>
            <w:r>
              <w:rPr>
                <w:rFonts w:hint="eastAsia" w:ascii="宋体" w:hAnsi="宋体" w:eastAsia="宋体" w:cs="Times New Roman"/>
                <w:sz w:val="24"/>
                <w:szCs w:val="21"/>
                <w:lang w:val="en-US" w:eastAsia="zh-CN"/>
              </w:rPr>
              <w:t xml:space="preserve">证书</w:t>
            </w:r>
            <w:r>
              <w:rPr>
                <w:rFonts w:hint="eastAsia" w:ascii="宋体" w:hAnsi="宋体" w:eastAsia="宋体" w:cs="Times New Roman"/>
                <w:sz w:val="24"/>
                <w:szCs w:val="21"/>
              </w:rPr>
              <w:t xml:space="preserve">、CISAW信息安全保障人员证书、CCSC网络安全能力认证证书的，每类证书提供1个得1分，同类证书不重复得分，最多得6分，不提供不得分。</w:t>
            </w:r>
            <w:r>
              <w:rPr>
                <w:rFonts w:hint="eastAsia" w:ascii="宋体" w:hAnsi="宋体" w:eastAsia="宋体" w:cs="Times New Roman"/>
                <w:sz w:val="24"/>
                <w:szCs w:val="21"/>
              </w:rPr>
              <w:br w:type="textWrapping" w:clear="all"/>
            </w:r>
            <w:r>
              <w:rPr>
                <w:rFonts w:hint="eastAsia" w:ascii="宋体" w:hAnsi="宋体" w:eastAsia="宋体" w:cs="Times New Roman"/>
                <w:sz w:val="24"/>
                <w:szCs w:val="21"/>
              </w:rPr>
              <w:t xml:space="preserve">注：项目经理、技术负责人、安全负责人、团队成员均不得重复；投标人需提供上述人员有效证书复印件，及投标人</w:t>
            </w:r>
            <w:r>
              <w:rPr>
                <w:rFonts w:hint="eastAsia" w:ascii="宋体" w:hAnsi="宋体" w:eastAsia="宋体" w:cs="Times New Roman"/>
                <w:sz w:val="24"/>
                <w:szCs w:val="21"/>
                <w:lang w:val="en-US" w:eastAsia="zh-CN"/>
              </w:rPr>
              <w:t xml:space="preserve">近半年内任意一个月</w:t>
            </w:r>
            <w:r>
              <w:rPr>
                <w:rFonts w:hint="eastAsia" w:ascii="宋体" w:hAnsi="宋体" w:eastAsia="宋体" w:cs="Times New Roman"/>
                <w:sz w:val="24"/>
                <w:szCs w:val="21"/>
              </w:rPr>
              <w:t xml:space="preserve">为其缴纳的社保证明并加盖投标人公章。</w:t>
            </w:r>
            <w:r/>
          </w:p>
        </w:tc>
        <w:tc>
          <w:tcPr>
            <w:tcW w:w="949" w:type="dxa"/>
            <w:vAlign w:val="center"/>
            <w:textDirection w:val="lrTb"/>
            <w:noWrap/>
          </w:tcPr>
          <w:p>
            <w:pPr>
              <w:jc w:val="center"/>
              <w:spacing w:line="360" w:lineRule="auto"/>
              <w:widowControl/>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21</w:t>
            </w:r>
            <w:r/>
          </w:p>
        </w:tc>
      </w:tr>
      <w:tr>
        <w:trPr>
          <w:jc w:val="center"/>
          <w:trHeight w:val="23"/>
        </w:trPr>
        <w:tc>
          <w:tcPr>
            <w:gridSpan w:val="2"/>
            <w:tcW w:w="7611"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合计</w:t>
            </w:r>
            <w:r/>
          </w:p>
        </w:tc>
        <w:tc>
          <w:tcPr>
            <w:tcW w:w="949" w:type="dxa"/>
            <w:vAlign w:val="center"/>
            <w:textDirection w:val="lrTb"/>
            <w:noWrap w:val="false"/>
          </w:tcPr>
          <w:p>
            <w:pPr>
              <w:jc w:val="center"/>
              <w:spacing w:line="360" w:lineRule="auto"/>
              <w:widowControl/>
              <w:rPr>
                <w:rFonts w:ascii="宋体" w:hAnsi="宋体" w:eastAsia="宋体" w:cs="Times New Roman"/>
                <w:sz w:val="24"/>
                <w:szCs w:val="21"/>
              </w:rPr>
            </w:pPr>
            <w:r>
              <w:rPr>
                <w:rFonts w:hint="eastAsia" w:ascii="宋体" w:hAnsi="宋体" w:eastAsia="宋体" w:cs="Times New Roman"/>
                <w:sz w:val="24"/>
                <w:szCs w:val="21"/>
              </w:rPr>
              <w:t xml:space="preserve">100</w:t>
            </w:r>
            <w:r/>
          </w:p>
        </w:tc>
      </w:tr>
    </w:tbl>
    <w:p>
      <w:pPr>
        <w:rPr>
          <w:rFonts w:hint="eastAsia"/>
        </w:rPr>
      </w:pPr>
      <w:r>
        <w:rPr>
          <w:rFonts w:hint="eastAsia"/>
        </w:rPr>
      </w:r>
      <w:r/>
    </w:p>
    <w:p>
      <w:pPr>
        <w:rPr>
          <w:rFonts w:hint="eastAsia"/>
        </w:rPr>
      </w:pPr>
      <w:r>
        <w:rPr>
          <w:rFonts w:hint="eastAsia"/>
        </w:rPr>
      </w:r>
      <w:r/>
    </w:p>
    <w:p>
      <w:pPr>
        <w:rPr>
          <w:rFonts w:hint="eastAsia"/>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rPr>
      </w:r>
      <w:r/>
    </w:p>
    <w:p>
      <w:pPr>
        <w:pStyle w:val="861"/>
        <w:rPr>
          <w:rFonts w:hint="eastAsia" w:ascii="黑体" w:eastAsia="黑体"/>
          <w:bCs/>
          <w:sz w:val="44"/>
        </w:rPr>
      </w:pPr>
      <w:r>
        <w:rPr>
          <w:rFonts w:hint="eastAsia" w:ascii="黑体" w:eastAsia="黑体"/>
          <w:bCs/>
          <w:sz w:val="44"/>
        </w:rPr>
        <w:t xml:space="preserve">第六章  投标</w:t>
      </w:r>
      <w:bookmarkEnd w:id="191"/>
      <w:r/>
      <w:bookmarkEnd w:id="192"/>
      <w:r/>
      <w:bookmarkEnd w:id="194"/>
      <w:r>
        <w:rPr>
          <w:rFonts w:hint="eastAsia" w:ascii="黑体" w:eastAsia="黑体"/>
          <w:bCs/>
          <w:sz w:val="44"/>
        </w:rPr>
        <w:t xml:space="preserve">文件格式 </w:t>
      </w:r>
      <w:r/>
    </w:p>
    <w:p>
      <w:pPr>
        <w:jc w:val="center"/>
        <w:rPr>
          <w:rFonts w:hint="eastAsia" w:ascii="宋体" w:hAnsi="宋体"/>
          <w:b/>
          <w:sz w:val="72"/>
        </w:rPr>
      </w:pPr>
      <w:r/>
      <w:bookmarkStart w:id="195" w:name="_Hlt26671244"/>
      <w:r/>
      <w:bookmarkEnd w:id="195"/>
      <w:r/>
      <w:bookmarkStart w:id="196" w:name="_Hlt26955039"/>
      <w:r/>
      <w:bookmarkEnd w:id="196"/>
      <w:r/>
      <w:bookmarkStart w:id="197" w:name="_Toc49090576"/>
      <w:r/>
      <w:bookmarkStart w:id="198" w:name="_Toc26554094"/>
      <w:r/>
      <w:bookmarkStart w:id="199" w:name="_Toc120614282"/>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总备注：上述“资格审查内容”中1-5条</w:t>
      </w:r>
      <w:r>
        <w:rPr>
          <w:rFonts w:hint="eastAsia" w:ascii="宋体" w:hAnsi="宋体"/>
          <w:color w:val="000000"/>
          <w:sz w:val="24"/>
          <w:szCs w:val="24"/>
        </w:rPr>
        <w:t xml:space="preserve">、8、9条投标</w:t>
      </w:r>
      <w:r>
        <w:rPr>
          <w:rFonts w:hint="eastAsia" w:ascii="宋体" w:hAnsi="宋体"/>
          <w:sz w:val="24"/>
          <w:szCs w:val="24"/>
        </w:rPr>
        <w:t xml:space="preserve">人必须在投标文件中提供相关材料，否则作无效投标处理；6条如招标文件要求必须提供相关材料而未提供的，作无效投标处理。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Style w:val="69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4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Style w:val="691"/>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7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4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4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4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4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4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4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4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4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6"/>
        <w:ind w:left="420"/>
        <w:spacing w:before="0" w:after="0" w:line="420" w:lineRule="exact"/>
        <w:rPr>
          <w:rFonts w:hint="eastAsia" w:ascii="宋体" w:hAnsi="宋体"/>
          <w:szCs w:val="21"/>
        </w:rPr>
      </w:pPr>
      <w:r>
        <w:rPr>
          <w:rFonts w:hint="eastAsia" w:ascii="宋体" w:hAnsi="宋体"/>
          <w:szCs w:val="21"/>
        </w:rPr>
        <w:t xml:space="preserve">地          址：</w:t>
      </w:r>
      <w:r/>
    </w:p>
    <w:p>
      <w:pPr>
        <w:pStyle w:val="946"/>
        <w:ind w:left="420"/>
        <w:spacing w:before="0" w:after="0" w:line="420" w:lineRule="exact"/>
        <w:rPr>
          <w:rFonts w:hint="eastAsia" w:ascii="宋体" w:hAnsi="宋体"/>
          <w:szCs w:val="21"/>
        </w:rPr>
      </w:pPr>
      <w:r>
        <w:rPr>
          <w:rFonts w:hint="eastAsia" w:ascii="宋体" w:hAnsi="宋体"/>
          <w:szCs w:val="21"/>
        </w:rPr>
        <w:t xml:space="preserve">邮          编：</w:t>
      </w:r>
      <w:r/>
    </w:p>
    <w:p>
      <w:pPr>
        <w:pStyle w:val="946"/>
        <w:ind w:left="420"/>
        <w:spacing w:before="0" w:after="0" w:line="420" w:lineRule="exact"/>
        <w:rPr>
          <w:rFonts w:hint="eastAsia" w:ascii="宋体" w:hAnsi="宋体"/>
          <w:szCs w:val="21"/>
        </w:rPr>
      </w:pPr>
      <w:r>
        <w:rPr>
          <w:rFonts w:hint="eastAsia" w:ascii="宋体" w:hAnsi="宋体"/>
          <w:szCs w:val="21"/>
        </w:rPr>
        <w:t xml:space="preserve">电          话：</w:t>
      </w:r>
      <w:r/>
    </w:p>
    <w:p>
      <w:pPr>
        <w:pStyle w:val="946"/>
        <w:ind w:left="420"/>
        <w:spacing w:before="0" w:after="0" w:line="420" w:lineRule="exact"/>
        <w:rPr>
          <w:rFonts w:hint="eastAsia" w:ascii="宋体" w:hAnsi="宋体"/>
          <w:szCs w:val="21"/>
        </w:rPr>
      </w:pPr>
      <w:r>
        <w:rPr>
          <w:rFonts w:hint="eastAsia" w:ascii="宋体" w:hAnsi="宋体"/>
          <w:szCs w:val="21"/>
        </w:rPr>
        <w:t xml:space="preserve">传          真：</w:t>
      </w:r>
      <w:r/>
    </w:p>
    <w:p>
      <w:pPr>
        <w:pStyle w:val="94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46"/>
        <w:ind w:left="420"/>
        <w:spacing w:before="0" w:after="0" w:line="420" w:lineRule="exact"/>
        <w:rPr>
          <w:rFonts w:hint="eastAsia" w:ascii="宋体" w:hAnsi="宋体"/>
          <w:szCs w:val="21"/>
        </w:rPr>
      </w:pPr>
      <w:r>
        <w:rPr>
          <w:rFonts w:hint="eastAsia" w:ascii="宋体" w:hAnsi="宋体"/>
          <w:szCs w:val="21"/>
        </w:rPr>
        <w:t xml:space="preserve">账          号： </w:t>
      </w:r>
      <w:r/>
    </w:p>
    <w:p>
      <w:pPr>
        <w:pStyle w:val="94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480"/>
        <w:spacing w:line="440" w:lineRule="exact"/>
        <w:rPr>
          <w:rFonts w:ascii="宋体" w:hAnsi="宋体"/>
          <w:sz w:val="24"/>
        </w:rPr>
      </w:pPr>
      <w:r>
        <w:rPr>
          <w:rFonts w:ascii="宋体" w:hAnsi="宋体"/>
          <w:sz w:val="24"/>
        </w:rPr>
      </w:r>
      <w:bookmarkEnd w:id="197"/>
      <w:bookmarkEnd w:id="198"/>
      <w:bookmarkEnd w:id="199"/>
      <w:r/>
    </w:p>
    <w:p>
      <w:pPr>
        <w:jc w:val="center"/>
        <w:spacing w:line="460" w:lineRule="exact"/>
        <w:rPr>
          <w:rFonts w:hint="eastAsia" w:ascii="宋体" w:hAnsi="宋体"/>
          <w:b/>
          <w:sz w:val="24"/>
          <w:szCs w:val="24"/>
        </w:rPr>
      </w:pPr>
      <w:r/>
      <w:bookmarkStart w:id="200" w:name="_Toc120614284"/>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ind w:firstLine="24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ascii="宋体" w:hAnsi="宋体"/>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p>
    <w:p>
      <w:pPr>
        <w:spacing w:line="400" w:lineRule="exact"/>
        <w:rPr>
          <w:rFonts w:ascii="宋体" w:hAnsi="宋体"/>
          <w:sz w:val="24"/>
          <w:szCs w:val="24"/>
        </w:rPr>
      </w:pPr>
      <w:r>
        <w:rPr>
          <w:rFonts w:ascii="宋体" w:hAnsi="宋体"/>
          <w:sz w:val="24"/>
          <w:szCs w:val="24"/>
        </w:rPr>
      </w:r>
      <w:r/>
    </w:p>
    <w:p>
      <w:pPr>
        <w:spacing w:line="400" w:lineRule="exact"/>
        <w:rPr>
          <w:rFonts w:hint="eastAsia" w:ascii="宋体" w:hAnsi="宋体"/>
          <w:color w:val="ff0000"/>
          <w:sz w:val="24"/>
          <w:szCs w:val="24"/>
        </w:rPr>
      </w:pP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联合体协议（参考格式）（采购包号：**）</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实质性要求响应及偏离表（采购包号：**）</w:t>
      </w:r>
      <w:r/>
    </w:p>
    <w:tbl>
      <w:tblPr>
        <w:tblStyle w:val="69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bookmarkEnd w:id="189"/>
      <w:bookmarkEnd w:id="190"/>
      <w:bookmarkEnd w:id="200"/>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63"/>
        <w:rPr>
          <w:rFonts w:hint="eastAsia"/>
          <w:sz w:val="24"/>
          <w:szCs w:val="24"/>
        </w:rPr>
      </w:pPr>
      <w:r>
        <w:rPr>
          <w:rFonts w:hint="eastAsia"/>
          <w:sz w:val="24"/>
          <w:szCs w:val="24"/>
        </w:rPr>
      </w:r>
      <w:r/>
    </w:p>
    <w:p>
      <w:pPr>
        <w:pStyle w:val="863"/>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32"/>
        <w:rFonts w:ascii="宋体" w:hAnsi="宋体"/>
      </w:rPr>
      <w:framePr w:wrap="around" w:vAnchor="text" w:hAnchor="margin" w:xAlign="center" w:y="1"/>
    </w:pPr>
    <w:r>
      <w:rPr>
        <w:rFonts w:ascii="宋体" w:hAnsi="宋体"/>
      </w:rPr>
      <w:fldChar w:fldCharType="begin"/>
    </w:r>
    <w:r>
      <w:rPr>
        <w:rStyle w:val="932"/>
        <w:rFonts w:ascii="宋体" w:hAnsi="宋体"/>
      </w:rPr>
      <w:instrText xml:space="preserve">PAGE  </w:instrText>
    </w:r>
    <w:r>
      <w:rPr>
        <w:rFonts w:ascii="宋体" w:hAnsi="宋体"/>
      </w:rPr>
      <w:fldChar w:fldCharType="separate"/>
    </w:r>
    <w:r>
      <w:rPr>
        <w:rStyle w:val="932"/>
        <w:rFonts w:ascii="宋体" w:hAnsi="宋体"/>
      </w:rPr>
      <w:t xml:space="preserve">12</w:t>
    </w:r>
    <w:r>
      <w:rPr>
        <w:rFonts w:ascii="宋体" w:hAnsi="宋体"/>
      </w:rPr>
      <w:fldChar w:fldCharType="end"/>
    </w:r>
    <w:r/>
  </w:p>
  <w:p>
    <w:pPr>
      <w:pStyle w:val="90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rPr>
        <w:rStyle w:val="932"/>
      </w:rPr>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pPr>
    <w:r>
      <w:fldChar w:fldCharType="begin"/>
    </w:r>
    <w:r>
      <w:instrText xml:space="preserve">PAGE   \* MERGEFORMAT</w:instrText>
    </w:r>
    <w:r>
      <w:fldChar w:fldCharType="separate"/>
    </w:r>
    <w:r>
      <w:rPr>
        <w:lang w:val="zh-CN"/>
      </w:rPr>
      <w:t xml:space="preserve">1</w:t>
    </w:r>
    <w:r>
      <w:fldChar w:fldCharType="end"/>
    </w:r>
    <w:r/>
  </w:p>
  <w:p>
    <w:pPr>
      <w:pStyle w:val="9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67"/>
      <w:isLgl w:val="false"/>
      <w:suff w:val="nothing"/>
      <w:lvlText w:val=""/>
      <w:lvlJc w:val="left"/>
      <w:pPr>
        <w:ind w:left="0" w:firstLine="0"/>
      </w:pPr>
      <w:rPr>
        <w:rFonts w:hint="eastAsia"/>
      </w:rPr>
    </w:lvl>
    <w:lvl w:ilvl="6">
      <w:start w:val="1"/>
      <w:numFmt w:val="decimal"/>
      <w:pStyle w:val="868"/>
      <w:isLgl w:val="false"/>
      <w:suff w:val="nothing"/>
      <w:lvlText w:val=""/>
      <w:lvlJc w:val="left"/>
      <w:pPr>
        <w:ind w:left="0" w:firstLine="0"/>
      </w:pPr>
      <w:rPr>
        <w:rFonts w:hint="eastAsia"/>
      </w:rPr>
    </w:lvl>
    <w:lvl w:ilvl="7">
      <w:start w:val="1"/>
      <w:numFmt w:val="decimal"/>
      <w:pStyle w:val="869"/>
      <w:isLgl w:val="false"/>
      <w:suff w:val="nothing"/>
      <w:lvlText w:val=""/>
      <w:lvlJc w:val="left"/>
      <w:pPr>
        <w:ind w:left="0" w:firstLine="0"/>
      </w:pPr>
      <w:rPr>
        <w:rFonts w:hint="eastAsia"/>
      </w:rPr>
    </w:lvl>
    <w:lvl w:ilvl="8">
      <w:start w:val="1"/>
      <w:numFmt w:val="decimal"/>
      <w:pStyle w:val="870"/>
      <w:isLgl w:val="false"/>
      <w:suff w:val="nothing"/>
      <w:lvlText w:val=""/>
      <w:lvlJc w:val="left"/>
      <w:pPr>
        <w:ind w:left="0" w:firstLine="0"/>
      </w:pPr>
      <w:rPr>
        <w:rFonts w:hint="eastAsia"/>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1"/>
  </w:num>
  <w:num w:numId="5">
    <w:abstractNumId w:val="8"/>
  </w:num>
  <w:num w:numId="6">
    <w:abstractNumId w:val="7"/>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link w:val="93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13"/>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14"/>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15"/>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80"/>
    <w:link w:val="716"/>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17"/>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18"/>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20"/>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21"/>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toc 7"/>
    <w:basedOn w:val="680"/>
    <w:next w:val="680"/>
    <w:uiPriority w:val="39"/>
    <w:unhideWhenUsed/>
    <w:qFormat/>
    <w:pPr>
      <w:ind w:left="1701" w:right="0" w:firstLine="0"/>
      <w:spacing w:after="57"/>
    </w:pPr>
  </w:style>
  <w:style w:type="paragraph" w:styleId="693">
    <w:name w:val="Caption"/>
    <w:basedOn w:val="680"/>
    <w:next w:val="680"/>
    <w:uiPriority w:val="35"/>
    <w:semiHidden/>
    <w:unhideWhenUsed/>
    <w:qFormat/>
    <w:pPr>
      <w:spacing w:line="276" w:lineRule="auto"/>
    </w:pPr>
    <w:rPr>
      <w:b/>
      <w:bCs/>
      <w:color w:val="4f81bd" w:themeColor="accent1"/>
      <w:sz w:val="18"/>
      <w:szCs w:val="18"/>
    </w:rPr>
  </w:style>
  <w:style w:type="paragraph" w:styleId="694">
    <w:name w:val="toc 5"/>
    <w:basedOn w:val="680"/>
    <w:next w:val="680"/>
    <w:uiPriority w:val="39"/>
    <w:unhideWhenUsed/>
    <w:qFormat/>
    <w:pPr>
      <w:ind w:left="1134" w:right="0" w:firstLine="0"/>
      <w:spacing w:after="57"/>
    </w:pPr>
  </w:style>
  <w:style w:type="paragraph" w:styleId="695">
    <w:name w:val="toc 3"/>
    <w:basedOn w:val="680"/>
    <w:next w:val="680"/>
    <w:uiPriority w:val="39"/>
    <w:unhideWhenUsed/>
    <w:qFormat/>
    <w:pPr>
      <w:ind w:left="567" w:right="0" w:firstLine="0"/>
      <w:spacing w:after="57"/>
    </w:pPr>
  </w:style>
  <w:style w:type="paragraph" w:styleId="696">
    <w:name w:val="toc 8"/>
    <w:basedOn w:val="680"/>
    <w:next w:val="680"/>
    <w:uiPriority w:val="39"/>
    <w:unhideWhenUsed/>
    <w:qFormat/>
    <w:pPr>
      <w:ind w:left="1984" w:right="0" w:firstLine="0"/>
      <w:spacing w:after="57"/>
    </w:pPr>
  </w:style>
  <w:style w:type="paragraph" w:styleId="697">
    <w:name w:val="endnote text"/>
    <w:basedOn w:val="680"/>
    <w:link w:val="859"/>
    <w:uiPriority w:val="99"/>
    <w:semiHidden/>
    <w:unhideWhenUsed/>
    <w:qFormat/>
    <w:pPr>
      <w:spacing w:after="0" w:line="240" w:lineRule="auto"/>
    </w:pPr>
    <w:rPr>
      <w:sz w:val="20"/>
    </w:rPr>
  </w:style>
  <w:style w:type="paragraph" w:styleId="698">
    <w:name w:val="Footer"/>
    <w:basedOn w:val="680"/>
    <w:link w:val="732"/>
    <w:uiPriority w:val="99"/>
    <w:unhideWhenUsed/>
    <w:qFormat/>
    <w:pPr>
      <w:spacing w:after="0" w:line="240" w:lineRule="auto"/>
      <w:tabs>
        <w:tab w:val="center" w:pos="7143" w:leader="none"/>
        <w:tab w:val="right" w:pos="14287" w:leader="none"/>
      </w:tabs>
    </w:pPr>
  </w:style>
  <w:style w:type="paragraph" w:styleId="699">
    <w:name w:val="Header"/>
    <w:basedOn w:val="680"/>
    <w:link w:val="730"/>
    <w:uiPriority w:val="99"/>
    <w:unhideWhenUsed/>
    <w:qFormat/>
    <w:pPr>
      <w:spacing w:after="0" w:line="240" w:lineRule="auto"/>
      <w:tabs>
        <w:tab w:val="center" w:pos="7143" w:leader="none"/>
        <w:tab w:val="right" w:pos="14287" w:leader="none"/>
      </w:tabs>
    </w:pPr>
  </w:style>
  <w:style w:type="paragraph" w:styleId="700">
    <w:name w:val="toc 1"/>
    <w:basedOn w:val="680"/>
    <w:next w:val="680"/>
    <w:uiPriority w:val="39"/>
    <w:unhideWhenUsed/>
    <w:qFormat/>
    <w:pPr>
      <w:ind w:left="0" w:right="0" w:firstLine="0"/>
      <w:spacing w:after="57"/>
    </w:pPr>
  </w:style>
  <w:style w:type="paragraph" w:styleId="701">
    <w:name w:val="toc 4"/>
    <w:basedOn w:val="680"/>
    <w:next w:val="680"/>
    <w:uiPriority w:val="39"/>
    <w:unhideWhenUsed/>
    <w:qFormat/>
    <w:pPr>
      <w:ind w:left="850" w:right="0" w:firstLine="0"/>
      <w:spacing w:after="57"/>
    </w:pPr>
  </w:style>
  <w:style w:type="paragraph" w:styleId="702">
    <w:name w:val="Subtitle"/>
    <w:basedOn w:val="680"/>
    <w:next w:val="680"/>
    <w:link w:val="725"/>
    <w:uiPriority w:val="11"/>
    <w:qFormat/>
    <w:pPr>
      <w:spacing w:before="200" w:after="200"/>
    </w:pPr>
    <w:rPr>
      <w:sz w:val="24"/>
      <w:szCs w:val="24"/>
    </w:rPr>
  </w:style>
  <w:style w:type="paragraph" w:styleId="703">
    <w:name w:val="footnote text"/>
    <w:basedOn w:val="680"/>
    <w:link w:val="858"/>
    <w:uiPriority w:val="99"/>
    <w:semiHidden/>
    <w:unhideWhenUsed/>
    <w:qFormat/>
    <w:pPr>
      <w:spacing w:after="40" w:line="240" w:lineRule="auto"/>
    </w:pPr>
    <w:rPr>
      <w:sz w:val="18"/>
    </w:rPr>
  </w:style>
  <w:style w:type="paragraph" w:styleId="704">
    <w:name w:val="toc 6"/>
    <w:basedOn w:val="680"/>
    <w:next w:val="680"/>
    <w:uiPriority w:val="39"/>
    <w:unhideWhenUsed/>
    <w:qFormat/>
    <w:pPr>
      <w:ind w:left="1417" w:right="0" w:firstLine="0"/>
      <w:spacing w:after="57"/>
    </w:pPr>
  </w:style>
  <w:style w:type="paragraph" w:styleId="705">
    <w:name w:val="table of figures"/>
    <w:basedOn w:val="680"/>
    <w:next w:val="680"/>
    <w:uiPriority w:val="99"/>
    <w:unhideWhenUsed/>
    <w:qFormat/>
    <w:pPr>
      <w:spacing w:after="0" w:afterAutospacing="0"/>
    </w:pPr>
  </w:style>
  <w:style w:type="paragraph" w:styleId="706">
    <w:name w:val="toc 2"/>
    <w:basedOn w:val="680"/>
    <w:next w:val="680"/>
    <w:uiPriority w:val="39"/>
    <w:unhideWhenUsed/>
    <w:qFormat/>
    <w:pPr>
      <w:ind w:left="283" w:right="0" w:firstLine="0"/>
      <w:spacing w:after="57"/>
    </w:pPr>
  </w:style>
  <w:style w:type="paragraph" w:styleId="707">
    <w:name w:val="toc 9"/>
    <w:basedOn w:val="680"/>
    <w:next w:val="680"/>
    <w:uiPriority w:val="39"/>
    <w:unhideWhenUsed/>
    <w:qFormat/>
    <w:pPr>
      <w:ind w:left="2268" w:right="0" w:firstLine="0"/>
      <w:spacing w:after="57"/>
    </w:pPr>
  </w:style>
  <w:style w:type="paragraph" w:styleId="708">
    <w:name w:val="Title"/>
    <w:basedOn w:val="680"/>
    <w:next w:val="680"/>
    <w:link w:val="724"/>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rPr>
  </w:style>
  <w:style w:type="character" w:styleId="712">
    <w:name w:val="footnote reference"/>
    <w:uiPriority w:val="99"/>
    <w:unhideWhenUsed/>
    <w:qFormat/>
    <w:rPr>
      <w:vertAlign w:val="superscript"/>
    </w:rPr>
  </w:style>
  <w:style w:type="character" w:styleId="713" w:customStyle="1">
    <w:name w:val="Heading 1 Char"/>
    <w:link w:val="681"/>
    <w:uiPriority w:val="9"/>
    <w:qFormat/>
    <w:rPr>
      <w:rFonts w:ascii="Arial" w:hAnsi="Arial" w:eastAsia="Arial" w:cs="Arial"/>
      <w:sz w:val="40"/>
      <w:szCs w:val="40"/>
    </w:rPr>
  </w:style>
  <w:style w:type="character" w:styleId="714" w:customStyle="1">
    <w:name w:val="Heading 2 Char"/>
    <w:link w:val="682"/>
    <w:uiPriority w:val="9"/>
    <w:qFormat/>
    <w:rPr>
      <w:rFonts w:ascii="Arial" w:hAnsi="Arial" w:eastAsia="Arial" w:cs="Arial"/>
      <w:sz w:val="34"/>
    </w:rPr>
  </w:style>
  <w:style w:type="character" w:styleId="715" w:customStyle="1">
    <w:name w:val="Heading 3 Char"/>
    <w:link w:val="683"/>
    <w:uiPriority w:val="9"/>
    <w:qFormat/>
    <w:rPr>
      <w:rFonts w:ascii="Arial" w:hAnsi="Arial" w:eastAsia="Arial" w:cs="Arial"/>
      <w:sz w:val="30"/>
      <w:szCs w:val="30"/>
    </w:rPr>
  </w:style>
  <w:style w:type="character" w:styleId="716" w:customStyle="1">
    <w:name w:val="Heading 4 Char"/>
    <w:link w:val="684"/>
    <w:uiPriority w:val="9"/>
    <w:qFormat/>
    <w:rPr>
      <w:rFonts w:ascii="Arial" w:hAnsi="Arial" w:eastAsia="Arial" w:cs="Arial"/>
      <w:b/>
      <w:bCs/>
      <w:sz w:val="26"/>
      <w:szCs w:val="26"/>
    </w:rPr>
  </w:style>
  <w:style w:type="character" w:styleId="717" w:customStyle="1">
    <w:name w:val="Heading 5 Char"/>
    <w:link w:val="685"/>
    <w:uiPriority w:val="9"/>
    <w:qFormat/>
    <w:rPr>
      <w:rFonts w:ascii="Arial" w:hAnsi="Arial" w:eastAsia="Arial" w:cs="Arial"/>
      <w:b/>
      <w:bCs/>
      <w:sz w:val="24"/>
      <w:szCs w:val="24"/>
    </w:rPr>
  </w:style>
  <w:style w:type="character" w:styleId="718" w:customStyle="1">
    <w:name w:val="Heading 6 Char"/>
    <w:link w:val="686"/>
    <w:uiPriority w:val="9"/>
    <w:qFormat/>
    <w:rPr>
      <w:rFonts w:ascii="Arial" w:hAnsi="Arial" w:eastAsia="Arial" w:cs="Arial"/>
      <w:b/>
      <w:bCs/>
      <w:sz w:val="22"/>
      <w:szCs w:val="22"/>
    </w:rPr>
  </w:style>
  <w:style w:type="character" w:styleId="719" w:customStyle="1">
    <w:name w:val="Heading 7 Char"/>
    <w:link w:val="687"/>
    <w:uiPriority w:val="9"/>
    <w:qFormat/>
    <w:rPr>
      <w:rFonts w:ascii="Arial" w:hAnsi="Arial" w:eastAsia="Arial" w:cs="Arial"/>
      <w:b/>
      <w:bCs/>
      <w:i/>
      <w:iCs/>
      <w:sz w:val="22"/>
      <w:szCs w:val="22"/>
    </w:rPr>
  </w:style>
  <w:style w:type="character" w:styleId="720" w:customStyle="1">
    <w:name w:val="Heading 8 Char"/>
    <w:link w:val="688"/>
    <w:uiPriority w:val="9"/>
    <w:qFormat/>
    <w:rPr>
      <w:rFonts w:ascii="Arial" w:hAnsi="Arial" w:eastAsia="Arial" w:cs="Arial"/>
      <w:i/>
      <w:iCs/>
      <w:sz w:val="22"/>
      <w:szCs w:val="22"/>
    </w:rPr>
  </w:style>
  <w:style w:type="character" w:styleId="721" w:customStyle="1">
    <w:name w:val="Heading 9 Char"/>
    <w:link w:val="689"/>
    <w:uiPriority w:val="9"/>
    <w:qFormat/>
    <w:rPr>
      <w:rFonts w:ascii="Arial" w:hAnsi="Arial" w:eastAsia="Arial" w:cs="Arial"/>
      <w:i/>
      <w:iCs/>
      <w:sz w:val="21"/>
      <w:szCs w:val="21"/>
    </w:rPr>
  </w:style>
  <w:style w:type="paragraph" w:styleId="722">
    <w:name w:val="List Paragraph"/>
    <w:basedOn w:val="680"/>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link w:val="708"/>
    <w:uiPriority w:val="10"/>
    <w:qFormat/>
    <w:rPr>
      <w:sz w:val="48"/>
      <w:szCs w:val="48"/>
    </w:rPr>
  </w:style>
  <w:style w:type="character" w:styleId="725" w:customStyle="1">
    <w:name w:val="Subtitle Char"/>
    <w:link w:val="702"/>
    <w:uiPriority w:val="11"/>
    <w:qFormat/>
    <w:rPr>
      <w:sz w:val="24"/>
      <w:szCs w:val="24"/>
    </w:rPr>
  </w:style>
  <w:style w:type="paragraph" w:styleId="726">
    <w:name w:val="Quote"/>
    <w:basedOn w:val="680"/>
    <w:next w:val="680"/>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80"/>
    <w:next w:val="680"/>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link w:val="699"/>
    <w:uiPriority w:val="99"/>
    <w:qFormat/>
  </w:style>
  <w:style w:type="character" w:styleId="731" w:customStyle="1">
    <w:name w:val="Footer Char"/>
    <w:link w:val="698"/>
    <w:uiPriority w:val="99"/>
    <w:qFormat/>
  </w:style>
  <w:style w:type="character" w:styleId="732" w:customStyle="1">
    <w:name w:val="Caption Char"/>
    <w:link w:val="698"/>
    <w:uiPriority w:val="99"/>
    <w:qFormat/>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Footnote Text Char"/>
    <w:link w:val="703"/>
    <w:uiPriority w:val="99"/>
    <w:qFormat/>
    <w:rPr>
      <w:sz w:val="18"/>
    </w:rPr>
  </w:style>
  <w:style w:type="character" w:styleId="859" w:customStyle="1">
    <w:name w:val="Endnote Text Char"/>
    <w:link w:val="697"/>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标题 11"/>
    <w:basedOn w:val="680"/>
    <w:next w:val="680"/>
    <w:link w:val="873"/>
    <w:uiPriority w:val="0"/>
    <w:qFormat/>
    <w:pPr>
      <w:jc w:val="center"/>
      <w:keepNext/>
      <w:outlineLvl w:val="0"/>
    </w:pPr>
    <w:rPr>
      <w:rFonts w:ascii="楷体_GB2312" w:eastAsia="楷体_GB2312"/>
      <w:sz w:val="28"/>
      <w:szCs w:val="28"/>
    </w:rPr>
  </w:style>
  <w:style w:type="paragraph" w:styleId="862" w:customStyle="1">
    <w:name w:val="标题 21"/>
    <w:basedOn w:val="680"/>
    <w:next w:val="863"/>
    <w:link w:val="87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3" w:customStyle="1">
    <w:name w:val="正文缩进1"/>
    <w:basedOn w:val="680"/>
    <w:link w:val="875"/>
    <w:uiPriority w:val="0"/>
    <w:qFormat/>
    <w:pPr>
      <w:ind w:firstLine="420"/>
    </w:pPr>
  </w:style>
  <w:style w:type="paragraph" w:styleId="864" w:customStyle="1">
    <w:name w:val="标题 31"/>
    <w:basedOn w:val="680"/>
    <w:next w:val="863"/>
    <w:link w:val="876"/>
    <w:uiPriority w:val="0"/>
    <w:qFormat/>
    <w:pPr>
      <w:keepLines/>
      <w:keepNext/>
      <w:spacing w:before="260" w:after="260" w:line="416" w:lineRule="auto"/>
      <w:outlineLvl w:val="2"/>
    </w:pPr>
    <w:rPr>
      <w:b/>
      <w:bCs/>
      <w:sz w:val="32"/>
      <w:szCs w:val="32"/>
    </w:rPr>
  </w:style>
  <w:style w:type="paragraph" w:styleId="865" w:customStyle="1">
    <w:name w:val="标题 41"/>
    <w:basedOn w:val="680"/>
    <w:next w:val="863"/>
    <w:link w:val="877"/>
    <w:uiPriority w:val="0"/>
    <w:qFormat/>
    <w:pPr>
      <w:keepLines/>
      <w:keepNext/>
      <w:spacing w:before="280" w:after="290" w:line="376" w:lineRule="auto"/>
      <w:outlineLvl w:val="3"/>
    </w:pPr>
    <w:rPr>
      <w:rFonts w:ascii="Arial" w:hAnsi="Arial" w:eastAsia="黑体" w:cs="Arial"/>
      <w:b/>
      <w:bCs/>
      <w:sz w:val="28"/>
      <w:szCs w:val="28"/>
    </w:rPr>
  </w:style>
  <w:style w:type="paragraph" w:styleId="866" w:customStyle="1">
    <w:name w:val="标题 51"/>
    <w:basedOn w:val="680"/>
    <w:next w:val="863"/>
    <w:link w:val="878"/>
    <w:uiPriority w:val="0"/>
    <w:qFormat/>
    <w:pPr>
      <w:keepNext/>
      <w:outlineLvl w:val="4"/>
    </w:pPr>
    <w:rPr>
      <w:rFonts w:ascii="宋体"/>
      <w:color w:val="000000"/>
      <w:sz w:val="28"/>
      <w:szCs w:val="28"/>
    </w:rPr>
  </w:style>
  <w:style w:type="paragraph" w:styleId="867" w:customStyle="1">
    <w:name w:val="标题 61"/>
    <w:basedOn w:val="680"/>
    <w:next w:val="680"/>
    <w:link w:val="87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68" w:customStyle="1">
    <w:name w:val="标题 71"/>
    <w:basedOn w:val="680"/>
    <w:next w:val="680"/>
    <w:link w:val="880"/>
    <w:uiPriority w:val="0"/>
    <w:qFormat/>
    <w:pPr>
      <w:numPr>
        <w:ilvl w:val="6"/>
        <w:numId w:val="1"/>
      </w:numPr>
      <w:keepLines/>
      <w:keepNext/>
      <w:spacing w:before="240" w:after="64" w:line="320" w:lineRule="auto"/>
      <w:outlineLvl w:val="6"/>
    </w:pPr>
    <w:rPr>
      <w:b/>
      <w:bCs/>
      <w:sz w:val="24"/>
      <w:szCs w:val="24"/>
    </w:rPr>
  </w:style>
  <w:style w:type="paragraph" w:styleId="869" w:customStyle="1">
    <w:name w:val="标题 81"/>
    <w:basedOn w:val="680"/>
    <w:next w:val="680"/>
    <w:link w:val="88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0" w:customStyle="1">
    <w:name w:val="标题 91"/>
    <w:basedOn w:val="680"/>
    <w:next w:val="680"/>
    <w:link w:val="882"/>
    <w:uiPriority w:val="0"/>
    <w:qFormat/>
    <w:pPr>
      <w:numPr>
        <w:ilvl w:val="8"/>
        <w:numId w:val="1"/>
      </w:numPr>
      <w:keepLines/>
      <w:keepNext/>
      <w:spacing w:before="240" w:after="64" w:line="320" w:lineRule="auto"/>
      <w:outlineLvl w:val="8"/>
    </w:pPr>
    <w:rPr>
      <w:rFonts w:ascii="Arial" w:hAnsi="Arial" w:eastAsia="黑体"/>
    </w:rPr>
  </w:style>
  <w:style w:type="character" w:styleId="871" w:customStyle="1">
    <w:name w:val="默认段落字体1"/>
    <w:link w:val="680"/>
    <w:uiPriority w:val="1"/>
    <w:unhideWhenUsed/>
    <w:qFormat/>
  </w:style>
  <w:style w:type="table" w:styleId="872" w:customStyle="1">
    <w:name w:val="普通表格1"/>
    <w:uiPriority w:val="99"/>
    <w:unhideWhenUsed/>
    <w:qFormat/>
    <w:tblPr/>
  </w:style>
  <w:style w:type="character" w:styleId="873" w:customStyle="1">
    <w:name w:val="标题 1 Char"/>
    <w:link w:val="861"/>
    <w:uiPriority w:val="0"/>
    <w:qFormat/>
    <w:rPr>
      <w:rFonts w:ascii="楷体_GB2312" w:hAnsi="Times New Roman" w:eastAsia="楷体_GB2312" w:cs="Times New Roman"/>
      <w:sz w:val="28"/>
      <w:szCs w:val="28"/>
    </w:rPr>
  </w:style>
  <w:style w:type="character" w:styleId="874" w:customStyle="1">
    <w:name w:val="标题 2 Char"/>
    <w:link w:val="862"/>
    <w:uiPriority w:val="0"/>
    <w:qFormat/>
    <w:rPr>
      <w:rFonts w:ascii="Arial" w:hAnsi="Arial" w:eastAsia="幼圆" w:cs="Arial"/>
      <w:b/>
      <w:bCs/>
      <w:sz w:val="44"/>
      <w:szCs w:val="44"/>
    </w:rPr>
  </w:style>
  <w:style w:type="character" w:styleId="875" w:customStyle="1">
    <w:name w:val="正文缩进 Char"/>
    <w:link w:val="863"/>
    <w:uiPriority w:val="0"/>
    <w:qFormat/>
    <w:rPr>
      <w:rFonts w:ascii="Times New Roman" w:hAnsi="Times New Roman" w:eastAsia="宋体" w:cs="Times New Roman"/>
      <w:szCs w:val="21"/>
    </w:rPr>
  </w:style>
  <w:style w:type="character" w:styleId="876" w:customStyle="1">
    <w:name w:val="标题 3 Char"/>
    <w:link w:val="864"/>
    <w:uiPriority w:val="0"/>
    <w:qFormat/>
    <w:rPr>
      <w:rFonts w:ascii="Times New Roman" w:hAnsi="Times New Roman" w:eastAsia="宋体" w:cs="Times New Roman"/>
      <w:b/>
      <w:bCs/>
      <w:sz w:val="32"/>
      <w:szCs w:val="32"/>
    </w:rPr>
  </w:style>
  <w:style w:type="character" w:styleId="877" w:customStyle="1">
    <w:name w:val="标题 4 Char"/>
    <w:link w:val="865"/>
    <w:uiPriority w:val="0"/>
    <w:qFormat/>
    <w:rPr>
      <w:rFonts w:ascii="Arial" w:hAnsi="Arial" w:eastAsia="黑体" w:cs="Arial"/>
      <w:b/>
      <w:bCs/>
      <w:sz w:val="28"/>
      <w:szCs w:val="28"/>
    </w:rPr>
  </w:style>
  <w:style w:type="character" w:styleId="878" w:customStyle="1">
    <w:name w:val="标题 5 Char"/>
    <w:link w:val="866"/>
    <w:uiPriority w:val="0"/>
    <w:qFormat/>
    <w:rPr>
      <w:rFonts w:ascii="宋体" w:hAnsi="Times New Roman" w:eastAsia="宋体" w:cs="Times New Roman"/>
      <w:color w:val="000000"/>
      <w:sz w:val="28"/>
      <w:szCs w:val="28"/>
    </w:rPr>
  </w:style>
  <w:style w:type="character" w:styleId="879" w:customStyle="1">
    <w:name w:val="标题 6 Char"/>
    <w:link w:val="867"/>
    <w:uiPriority w:val="0"/>
    <w:qFormat/>
    <w:rPr>
      <w:rFonts w:ascii="Arial" w:hAnsi="Arial" w:eastAsia="黑体" w:cs="Times New Roman"/>
      <w:b/>
      <w:bCs/>
      <w:sz w:val="24"/>
      <w:szCs w:val="24"/>
    </w:rPr>
  </w:style>
  <w:style w:type="character" w:styleId="880" w:customStyle="1">
    <w:name w:val="标题 7 Char"/>
    <w:link w:val="868"/>
    <w:uiPriority w:val="0"/>
    <w:qFormat/>
    <w:rPr>
      <w:rFonts w:ascii="Times New Roman" w:hAnsi="Times New Roman" w:eastAsia="宋体" w:cs="Times New Roman"/>
      <w:b/>
      <w:bCs/>
      <w:sz w:val="24"/>
      <w:szCs w:val="24"/>
    </w:rPr>
  </w:style>
  <w:style w:type="character" w:styleId="881" w:customStyle="1">
    <w:name w:val="标题 8 Char"/>
    <w:link w:val="869"/>
    <w:uiPriority w:val="0"/>
    <w:qFormat/>
    <w:rPr>
      <w:rFonts w:ascii="Arial" w:hAnsi="Arial" w:eastAsia="黑体" w:cs="Times New Roman"/>
      <w:sz w:val="24"/>
      <w:szCs w:val="24"/>
    </w:rPr>
  </w:style>
  <w:style w:type="character" w:styleId="882" w:customStyle="1">
    <w:name w:val="标题 9 Char"/>
    <w:link w:val="870"/>
    <w:uiPriority w:val="0"/>
    <w:qFormat/>
    <w:rPr>
      <w:rFonts w:ascii="Arial" w:hAnsi="Arial" w:eastAsia="黑体" w:cs="Times New Roman"/>
      <w:szCs w:val="21"/>
    </w:rPr>
  </w:style>
  <w:style w:type="paragraph" w:styleId="883" w:customStyle="1">
    <w:name w:val="列表 31"/>
    <w:basedOn w:val="680"/>
    <w:uiPriority w:val="0"/>
    <w:qFormat/>
    <w:pPr>
      <w:ind w:left="100" w:hanging="200"/>
    </w:pPr>
  </w:style>
  <w:style w:type="paragraph" w:styleId="884" w:customStyle="1">
    <w:name w:val="目录 71"/>
    <w:basedOn w:val="680"/>
    <w:next w:val="680"/>
    <w:uiPriority w:val="0"/>
    <w:semiHidden/>
    <w:qFormat/>
    <w:pPr>
      <w:ind w:left="1260"/>
      <w:jc w:val="left"/>
    </w:pPr>
  </w:style>
  <w:style w:type="paragraph" w:styleId="885" w:customStyle="1">
    <w:name w:val="文档结构图1"/>
    <w:basedOn w:val="680"/>
    <w:link w:val="886"/>
    <w:uiPriority w:val="0"/>
    <w:semiHidden/>
    <w:qFormat/>
    <w:pPr>
      <w:shd w:val="clear" w:color="auto" w:fill="000080"/>
    </w:pPr>
  </w:style>
  <w:style w:type="character" w:styleId="886" w:customStyle="1">
    <w:name w:val="文档结构图 Char"/>
    <w:link w:val="885"/>
    <w:uiPriority w:val="0"/>
    <w:semiHidden/>
    <w:qFormat/>
    <w:rPr>
      <w:rFonts w:ascii="Times New Roman" w:hAnsi="Times New Roman" w:eastAsia="宋体" w:cs="Times New Roman"/>
      <w:szCs w:val="21"/>
      <w:shd w:val="clear" w:color="auto" w:fill="000080"/>
    </w:rPr>
  </w:style>
  <w:style w:type="paragraph" w:styleId="887" w:customStyle="1">
    <w:name w:val="批注文字1"/>
    <w:basedOn w:val="680"/>
    <w:link w:val="888"/>
    <w:uiPriority w:val="0"/>
    <w:semiHidden/>
    <w:qFormat/>
    <w:pPr>
      <w:jc w:val="left"/>
    </w:pPr>
  </w:style>
  <w:style w:type="character" w:styleId="888" w:customStyle="1">
    <w:name w:val="批注文字 Char"/>
    <w:link w:val="887"/>
    <w:uiPriority w:val="0"/>
    <w:semiHidden/>
    <w:qFormat/>
    <w:rPr>
      <w:rFonts w:ascii="Times New Roman" w:hAnsi="Times New Roman" w:eastAsia="宋体" w:cs="Times New Roman"/>
      <w:szCs w:val="21"/>
    </w:rPr>
  </w:style>
  <w:style w:type="paragraph" w:styleId="889" w:customStyle="1">
    <w:name w:val="正文文本 31"/>
    <w:basedOn w:val="680"/>
    <w:link w:val="890"/>
    <w:uiPriority w:val="0"/>
    <w:qFormat/>
    <w:rPr>
      <w:rFonts w:ascii="仿宋_GB2312" w:hAnsi="Arial" w:eastAsia="仿宋_GB2312"/>
      <w:sz w:val="32"/>
      <w:szCs w:val="32"/>
    </w:rPr>
  </w:style>
  <w:style w:type="character" w:styleId="890" w:customStyle="1">
    <w:name w:val="正文文本 3 Char"/>
    <w:link w:val="889"/>
    <w:uiPriority w:val="0"/>
    <w:qFormat/>
    <w:rPr>
      <w:rFonts w:ascii="仿宋_GB2312" w:hAnsi="Arial" w:eastAsia="仿宋_GB2312" w:cs="Times New Roman"/>
      <w:sz w:val="32"/>
      <w:szCs w:val="32"/>
    </w:rPr>
  </w:style>
  <w:style w:type="paragraph" w:styleId="891" w:customStyle="1">
    <w:name w:val="正文文本1"/>
    <w:basedOn w:val="680"/>
    <w:link w:val="892"/>
    <w:uiPriority w:val="0"/>
    <w:qFormat/>
    <w:rPr>
      <w:rFonts w:ascii="楷体_GB2312" w:hAnsi="Arial" w:eastAsia="楷体_GB2312"/>
      <w:sz w:val="28"/>
      <w:szCs w:val="28"/>
    </w:rPr>
  </w:style>
  <w:style w:type="character" w:styleId="892" w:customStyle="1">
    <w:name w:val="正文文本 Char"/>
    <w:link w:val="891"/>
    <w:uiPriority w:val="0"/>
    <w:qFormat/>
    <w:rPr>
      <w:rFonts w:ascii="楷体_GB2312" w:hAnsi="Arial" w:eastAsia="楷体_GB2312" w:cs="Times New Roman"/>
      <w:sz w:val="28"/>
      <w:szCs w:val="28"/>
    </w:rPr>
  </w:style>
  <w:style w:type="paragraph" w:styleId="893" w:customStyle="1">
    <w:name w:val="正文文本缩进1"/>
    <w:basedOn w:val="680"/>
    <w:link w:val="894"/>
    <w:uiPriority w:val="0"/>
    <w:qFormat/>
    <w:pPr>
      <w:ind w:firstLine="645"/>
    </w:pPr>
    <w:rPr>
      <w:rFonts w:ascii="楷体_GB2312" w:eastAsia="楷体_GB2312"/>
      <w:sz w:val="32"/>
      <w:szCs w:val="32"/>
    </w:rPr>
  </w:style>
  <w:style w:type="character" w:styleId="894" w:customStyle="1">
    <w:name w:val="正文文本缩进 Char"/>
    <w:link w:val="893"/>
    <w:uiPriority w:val="0"/>
    <w:qFormat/>
    <w:rPr>
      <w:rFonts w:ascii="楷体_GB2312" w:hAnsi="Times New Roman" w:eastAsia="楷体_GB2312" w:cs="Times New Roman"/>
      <w:sz w:val="32"/>
      <w:szCs w:val="32"/>
    </w:rPr>
  </w:style>
  <w:style w:type="paragraph" w:styleId="895" w:customStyle="1">
    <w:name w:val="列表 21"/>
    <w:basedOn w:val="680"/>
    <w:uiPriority w:val="0"/>
    <w:qFormat/>
    <w:pPr>
      <w:ind w:left="100" w:hanging="200"/>
    </w:pPr>
  </w:style>
  <w:style w:type="paragraph" w:styleId="896" w:customStyle="1">
    <w:name w:val="目录 51"/>
    <w:basedOn w:val="680"/>
    <w:next w:val="680"/>
    <w:uiPriority w:val="0"/>
    <w:semiHidden/>
    <w:qFormat/>
    <w:pPr>
      <w:ind w:left="840"/>
      <w:jc w:val="left"/>
    </w:pPr>
  </w:style>
  <w:style w:type="paragraph" w:styleId="897" w:customStyle="1">
    <w:name w:val="目录 31"/>
    <w:basedOn w:val="680"/>
    <w:next w:val="680"/>
    <w:uiPriority w:val="0"/>
    <w:semiHidden/>
    <w:qFormat/>
    <w:pPr>
      <w:ind w:left="420"/>
      <w:jc w:val="left"/>
    </w:pPr>
    <w:rPr>
      <w:i/>
      <w:iCs/>
      <w:szCs w:val="24"/>
    </w:rPr>
  </w:style>
  <w:style w:type="paragraph" w:styleId="898" w:customStyle="1">
    <w:name w:val="纯文本1"/>
    <w:basedOn w:val="680"/>
    <w:link w:val="899"/>
    <w:uiPriority w:val="0"/>
    <w:qFormat/>
    <w:rPr>
      <w:rFonts w:ascii="宋体" w:hAnsi="Courier New" w:cs="Courier New"/>
    </w:rPr>
  </w:style>
  <w:style w:type="character" w:styleId="899" w:customStyle="1">
    <w:name w:val="纯文本 Char"/>
    <w:link w:val="898"/>
    <w:uiPriority w:val="0"/>
    <w:qFormat/>
    <w:rPr>
      <w:rFonts w:ascii="宋体" w:hAnsi="Courier New" w:eastAsia="宋体" w:cs="Courier New"/>
      <w:szCs w:val="21"/>
    </w:rPr>
  </w:style>
  <w:style w:type="paragraph" w:styleId="900" w:customStyle="1">
    <w:name w:val="目录 81"/>
    <w:basedOn w:val="680"/>
    <w:next w:val="680"/>
    <w:uiPriority w:val="0"/>
    <w:semiHidden/>
    <w:qFormat/>
    <w:pPr>
      <w:ind w:left="1470"/>
      <w:jc w:val="left"/>
    </w:pPr>
  </w:style>
  <w:style w:type="paragraph" w:styleId="901" w:customStyle="1">
    <w:name w:val="日期1"/>
    <w:basedOn w:val="680"/>
    <w:next w:val="680"/>
    <w:link w:val="902"/>
    <w:uiPriority w:val="0"/>
    <w:qFormat/>
    <w:rPr>
      <w:sz w:val="24"/>
      <w:szCs w:val="24"/>
    </w:rPr>
  </w:style>
  <w:style w:type="character" w:styleId="902" w:customStyle="1">
    <w:name w:val="日期 Char"/>
    <w:link w:val="901"/>
    <w:uiPriority w:val="0"/>
    <w:qFormat/>
    <w:rPr>
      <w:rFonts w:ascii="Times New Roman" w:hAnsi="Times New Roman" w:eastAsia="宋体" w:cs="Times New Roman"/>
      <w:sz w:val="24"/>
      <w:szCs w:val="24"/>
    </w:rPr>
  </w:style>
  <w:style w:type="paragraph" w:styleId="903" w:customStyle="1">
    <w:name w:val="正文文本缩进 21"/>
    <w:basedOn w:val="680"/>
    <w:link w:val="904"/>
    <w:uiPriority w:val="0"/>
    <w:qFormat/>
    <w:pPr>
      <w:ind w:left="630" w:firstLine="645"/>
    </w:pPr>
    <w:rPr>
      <w:rFonts w:ascii="Arial" w:hAnsi="Arial" w:eastAsia="仿宋_GB2312" w:cs="Arial"/>
      <w:sz w:val="32"/>
      <w:szCs w:val="32"/>
    </w:rPr>
  </w:style>
  <w:style w:type="character" w:styleId="904" w:customStyle="1">
    <w:name w:val="正文文本缩进 2 Char"/>
    <w:link w:val="903"/>
    <w:uiPriority w:val="0"/>
    <w:qFormat/>
    <w:rPr>
      <w:rFonts w:ascii="Arial" w:hAnsi="Arial" w:eastAsia="仿宋_GB2312" w:cs="Arial"/>
      <w:sz w:val="32"/>
      <w:szCs w:val="32"/>
    </w:rPr>
  </w:style>
  <w:style w:type="paragraph" w:styleId="905" w:customStyle="1">
    <w:name w:val="批注框文本1"/>
    <w:basedOn w:val="680"/>
    <w:link w:val="906"/>
    <w:uiPriority w:val="0"/>
    <w:semiHidden/>
    <w:qFormat/>
    <w:rPr>
      <w:sz w:val="18"/>
      <w:szCs w:val="18"/>
    </w:rPr>
  </w:style>
  <w:style w:type="character" w:styleId="906" w:customStyle="1">
    <w:name w:val="批注框文本 Char"/>
    <w:link w:val="905"/>
    <w:uiPriority w:val="0"/>
    <w:semiHidden/>
    <w:qFormat/>
    <w:rPr>
      <w:rFonts w:ascii="Times New Roman" w:hAnsi="Times New Roman" w:eastAsia="宋体" w:cs="Times New Roman"/>
      <w:sz w:val="18"/>
      <w:szCs w:val="18"/>
    </w:rPr>
  </w:style>
  <w:style w:type="paragraph" w:styleId="907" w:customStyle="1">
    <w:name w:val="页脚1"/>
    <w:basedOn w:val="680"/>
    <w:link w:val="908"/>
    <w:uiPriority w:val="99"/>
    <w:qFormat/>
    <w:pPr>
      <w:jc w:val="left"/>
      <w:tabs>
        <w:tab w:val="center" w:pos="4153" w:leader="none"/>
        <w:tab w:val="right" w:pos="8306" w:leader="none"/>
      </w:tabs>
    </w:pPr>
    <w:rPr>
      <w:sz w:val="18"/>
      <w:szCs w:val="18"/>
    </w:rPr>
  </w:style>
  <w:style w:type="character" w:styleId="908" w:customStyle="1">
    <w:name w:val="页脚 Char"/>
    <w:link w:val="907"/>
    <w:uiPriority w:val="99"/>
    <w:qFormat/>
    <w:rPr>
      <w:rFonts w:ascii="Times New Roman" w:hAnsi="Times New Roman" w:eastAsia="宋体" w:cs="Times New Roman"/>
      <w:sz w:val="18"/>
      <w:szCs w:val="18"/>
    </w:rPr>
  </w:style>
  <w:style w:type="paragraph" w:styleId="909" w:customStyle="1">
    <w:name w:val="页眉1"/>
    <w:basedOn w:val="680"/>
    <w:link w:val="910"/>
    <w:uiPriority w:val="0"/>
    <w:qFormat/>
    <w:pPr>
      <w:jc w:val="center"/>
      <w:tabs>
        <w:tab w:val="center" w:pos="4153" w:leader="none"/>
        <w:tab w:val="right" w:pos="8306" w:leader="none"/>
      </w:tabs>
      <w:pBdr>
        <w:bottom w:val="single" w:color="000000" w:sz="6" w:space="1"/>
      </w:pBdr>
    </w:pPr>
    <w:rPr>
      <w:sz w:val="18"/>
      <w:szCs w:val="18"/>
    </w:rPr>
  </w:style>
  <w:style w:type="character" w:styleId="910" w:customStyle="1">
    <w:name w:val="页眉 Char"/>
    <w:link w:val="909"/>
    <w:uiPriority w:val="0"/>
    <w:qFormat/>
    <w:rPr>
      <w:rFonts w:ascii="Times New Roman" w:hAnsi="Times New Roman" w:eastAsia="宋体" w:cs="Times New Roman"/>
      <w:sz w:val="18"/>
      <w:szCs w:val="18"/>
    </w:rPr>
  </w:style>
  <w:style w:type="paragraph" w:styleId="911"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12" w:customStyle="1">
    <w:name w:val="目录 41"/>
    <w:basedOn w:val="680"/>
    <w:next w:val="680"/>
    <w:uiPriority w:val="0"/>
    <w:semiHidden/>
    <w:qFormat/>
    <w:pPr>
      <w:ind w:left="630"/>
      <w:jc w:val="left"/>
    </w:pPr>
  </w:style>
  <w:style w:type="paragraph" w:styleId="913" w:customStyle="1">
    <w:name w:val="列表1"/>
    <w:basedOn w:val="680"/>
    <w:uiPriority w:val="0"/>
    <w:qFormat/>
    <w:pPr>
      <w:ind w:left="200" w:hanging="200"/>
    </w:pPr>
  </w:style>
  <w:style w:type="paragraph" w:styleId="914" w:customStyle="1">
    <w:name w:val="目录 61"/>
    <w:basedOn w:val="680"/>
    <w:next w:val="680"/>
    <w:uiPriority w:val="0"/>
    <w:semiHidden/>
    <w:qFormat/>
    <w:pPr>
      <w:ind w:left="1050"/>
      <w:jc w:val="left"/>
    </w:pPr>
  </w:style>
  <w:style w:type="paragraph" w:styleId="915" w:customStyle="1">
    <w:name w:val="正文文本缩进 31"/>
    <w:basedOn w:val="680"/>
    <w:link w:val="916"/>
    <w:uiPriority w:val="0"/>
    <w:qFormat/>
    <w:pPr>
      <w:ind w:left="645" w:firstLine="645"/>
    </w:pPr>
    <w:rPr>
      <w:rFonts w:ascii="Arial" w:hAnsi="Arial" w:eastAsia="仿宋_GB2312" w:cs="Arial"/>
      <w:color w:val="ffff00"/>
      <w:sz w:val="32"/>
      <w:szCs w:val="32"/>
    </w:rPr>
  </w:style>
  <w:style w:type="character" w:styleId="916" w:customStyle="1">
    <w:name w:val="正文文本缩进 3 Char"/>
    <w:link w:val="915"/>
    <w:uiPriority w:val="0"/>
    <w:qFormat/>
    <w:rPr>
      <w:rFonts w:ascii="Arial" w:hAnsi="Arial" w:eastAsia="仿宋_GB2312" w:cs="Arial"/>
      <w:color w:val="ffff00"/>
      <w:sz w:val="32"/>
      <w:szCs w:val="32"/>
    </w:rPr>
  </w:style>
  <w:style w:type="paragraph" w:styleId="917" w:customStyle="1">
    <w:name w:val="图表目录1"/>
    <w:basedOn w:val="680"/>
    <w:next w:val="680"/>
    <w:uiPriority w:val="0"/>
    <w:semiHidden/>
    <w:qFormat/>
    <w:pPr>
      <w:ind w:left="840" w:hanging="420"/>
    </w:pPr>
  </w:style>
  <w:style w:type="paragraph" w:styleId="918" w:customStyle="1">
    <w:name w:val="目录 21"/>
    <w:basedOn w:val="680"/>
    <w:next w:val="680"/>
    <w:uiPriority w:val="0"/>
    <w:semiHidden/>
    <w:qFormat/>
    <w:pPr>
      <w:ind w:left="210"/>
      <w:jc w:val="left"/>
    </w:pPr>
    <w:rPr>
      <w:smallCaps/>
      <w:szCs w:val="24"/>
    </w:rPr>
  </w:style>
  <w:style w:type="paragraph" w:styleId="919" w:customStyle="1">
    <w:name w:val="目录 91"/>
    <w:basedOn w:val="680"/>
    <w:next w:val="680"/>
    <w:uiPriority w:val="0"/>
    <w:semiHidden/>
    <w:qFormat/>
    <w:pPr>
      <w:ind w:left="1680"/>
      <w:jc w:val="left"/>
    </w:pPr>
  </w:style>
  <w:style w:type="paragraph" w:styleId="920" w:customStyle="1">
    <w:name w:val="正文文本 21"/>
    <w:basedOn w:val="680"/>
    <w:link w:val="921"/>
    <w:uiPriority w:val="0"/>
    <w:qFormat/>
    <w:pPr>
      <w:jc w:val="center"/>
      <w:widowControl/>
    </w:pPr>
    <w:rPr>
      <w:rFonts w:ascii="楷体_GB2312" w:eastAsia="楷体_GB2312"/>
      <w:sz w:val="28"/>
      <w:szCs w:val="28"/>
    </w:rPr>
  </w:style>
  <w:style w:type="character" w:styleId="921" w:customStyle="1">
    <w:name w:val="正文文本 2 Char"/>
    <w:link w:val="920"/>
    <w:uiPriority w:val="0"/>
    <w:qFormat/>
    <w:rPr>
      <w:rFonts w:ascii="楷体_GB2312" w:hAnsi="Times New Roman" w:eastAsia="楷体_GB2312" w:cs="Times New Roman"/>
      <w:sz w:val="28"/>
      <w:szCs w:val="28"/>
    </w:rPr>
  </w:style>
  <w:style w:type="paragraph" w:styleId="922"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23" w:customStyle="1">
    <w:name w:val="索引 11"/>
    <w:basedOn w:val="680"/>
    <w:next w:val="680"/>
    <w:uiPriority w:val="0"/>
    <w:semiHidden/>
    <w:qFormat/>
    <w:pPr>
      <w:spacing w:line="240" w:lineRule="atLeast"/>
    </w:pPr>
    <w:rPr>
      <w:b/>
      <w:bCs/>
    </w:rPr>
  </w:style>
  <w:style w:type="paragraph" w:styleId="924" w:customStyle="1">
    <w:name w:val="批注主题1"/>
    <w:basedOn w:val="887"/>
    <w:next w:val="887"/>
    <w:link w:val="925"/>
    <w:uiPriority w:val="0"/>
    <w:semiHidden/>
    <w:qFormat/>
    <w:rPr>
      <w:b/>
      <w:bCs/>
    </w:rPr>
  </w:style>
  <w:style w:type="character" w:styleId="925" w:customStyle="1">
    <w:name w:val="批注主题 Char"/>
    <w:link w:val="924"/>
    <w:uiPriority w:val="0"/>
    <w:semiHidden/>
    <w:qFormat/>
    <w:rPr>
      <w:rFonts w:ascii="Times New Roman" w:hAnsi="Times New Roman" w:eastAsia="宋体" w:cs="Times New Roman"/>
      <w:b/>
      <w:bCs/>
      <w:szCs w:val="21"/>
    </w:rPr>
  </w:style>
  <w:style w:type="paragraph" w:styleId="926" w:customStyle="1">
    <w:name w:val="正文首行缩进1"/>
    <w:basedOn w:val="680"/>
    <w:link w:val="927"/>
    <w:uiPriority w:val="0"/>
    <w:qFormat/>
    <w:pPr>
      <w:ind w:firstLine="200"/>
      <w:spacing w:line="360" w:lineRule="auto"/>
    </w:pPr>
    <w:rPr>
      <w:rFonts w:ascii="仿宋_GB2312" w:eastAsia="仿宋_GB2312"/>
      <w:sz w:val="30"/>
      <w:szCs w:val="30"/>
    </w:rPr>
  </w:style>
  <w:style w:type="character" w:styleId="927" w:customStyle="1">
    <w:name w:val="正文首行缩进 Char"/>
    <w:link w:val="926"/>
    <w:uiPriority w:val="0"/>
    <w:qFormat/>
    <w:rPr>
      <w:rFonts w:ascii="仿宋_GB2312" w:hAnsi="Times New Roman" w:eastAsia="仿宋_GB2312" w:cs="Times New Roman"/>
      <w:sz w:val="30"/>
      <w:szCs w:val="30"/>
    </w:rPr>
  </w:style>
  <w:style w:type="paragraph" w:styleId="928" w:customStyle="1">
    <w:name w:val="正文首行缩进 21"/>
    <w:basedOn w:val="893"/>
    <w:link w:val="929"/>
    <w:uiPriority w:val="0"/>
    <w:qFormat/>
    <w:pPr>
      <w:ind w:firstLine="420"/>
      <w:spacing w:line="360" w:lineRule="auto"/>
    </w:pPr>
    <w:rPr>
      <w:rFonts w:ascii="宋体" w:hAnsi="宋体" w:eastAsia="宋体"/>
      <w:sz w:val="21"/>
      <w:szCs w:val="20"/>
    </w:rPr>
  </w:style>
  <w:style w:type="character" w:styleId="929" w:customStyle="1">
    <w:name w:val="正文首行缩进 2 Char"/>
    <w:link w:val="928"/>
    <w:uiPriority w:val="0"/>
    <w:qFormat/>
    <w:rPr>
      <w:rFonts w:ascii="宋体" w:hAnsi="宋体" w:eastAsia="宋体" w:cs="Times New Roman"/>
      <w:sz w:val="32"/>
      <w:szCs w:val="20"/>
    </w:rPr>
  </w:style>
  <w:style w:type="table" w:styleId="930" w:customStyle="1">
    <w:name w:val="网格型1"/>
    <w:basedOn w:val="872"/>
    <w:uiPriority w:val="0"/>
    <w:qFormat/>
    <w:pPr>
      <w:jc w:val="both"/>
      <w:widowControl w:val="off"/>
    </w:pPr>
    <w:rPr>
      <w:rFonts w:ascii="Times New Roman" w:hAnsi="Times New Roman" w:eastAsia="宋体" w:cs="Times New Roman"/>
      <w:sz w:val="20"/>
      <w:szCs w:val="20"/>
    </w:rPr>
    <w:tblPr/>
  </w:style>
  <w:style w:type="character" w:styleId="931" w:customStyle="1">
    <w:name w:val="要点1"/>
    <w:link w:val="680"/>
    <w:uiPriority w:val="0"/>
    <w:qFormat/>
    <w:rPr>
      <w:b/>
      <w:bCs/>
    </w:rPr>
  </w:style>
  <w:style w:type="character" w:styleId="932" w:customStyle="1">
    <w:name w:val="页码1"/>
    <w:link w:val="680"/>
    <w:uiPriority w:val="0"/>
    <w:qFormat/>
  </w:style>
  <w:style w:type="character" w:styleId="933" w:customStyle="1">
    <w:name w:val="已访问的超链接1"/>
    <w:link w:val="680"/>
    <w:uiPriority w:val="0"/>
    <w:qFormat/>
    <w:rPr>
      <w:color w:val="800080"/>
      <w:u w:val="single"/>
    </w:rPr>
  </w:style>
  <w:style w:type="character" w:styleId="934" w:customStyle="1">
    <w:name w:val="超链接1"/>
    <w:link w:val="680"/>
    <w:uiPriority w:val="0"/>
    <w:qFormat/>
    <w:rPr>
      <w:color w:val="0000ff"/>
      <w:u w:val="single"/>
    </w:rPr>
  </w:style>
  <w:style w:type="character" w:styleId="935" w:customStyle="1">
    <w:name w:val="批注引用1"/>
    <w:link w:val="680"/>
    <w:uiPriority w:val="0"/>
    <w:semiHidden/>
    <w:qFormat/>
    <w:rPr>
      <w:sz w:val="21"/>
      <w:szCs w:val="21"/>
    </w:rPr>
  </w:style>
  <w:style w:type="character" w:styleId="936" w:customStyle="1">
    <w:name w:val="font5 Char"/>
    <w:link w:val="680"/>
    <w:uiPriority w:val="0"/>
    <w:qFormat/>
    <w:rPr>
      <w:rFonts w:ascii="宋体" w:hAnsi="宋体" w:eastAsia="宋体"/>
      <w:sz w:val="28"/>
      <w:szCs w:val="28"/>
      <w:lang w:val="en-US" w:eastAsia="zh-CN" w:bidi="ar-SA"/>
    </w:rPr>
  </w:style>
  <w:style w:type="character" w:styleId="937" w:customStyle="1">
    <w:name w:val="二级目录 Char"/>
    <w:link w:val="938"/>
    <w:uiPriority w:val="0"/>
    <w:qFormat/>
    <w:rPr>
      <w:b/>
      <w:sz w:val="30"/>
      <w:szCs w:val="28"/>
    </w:rPr>
  </w:style>
  <w:style w:type="paragraph" w:styleId="938" w:customStyle="1">
    <w:name w:val="二级目录"/>
    <w:next w:val="680"/>
    <w:link w:val="93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680"/>
    <w:link w:val="939"/>
    <w:uiPriority w:val="0"/>
    <w:qFormat/>
    <w:pPr>
      <w:contextualSpacing/>
      <w:ind w:left="720"/>
      <w:jc w:val="left"/>
      <w:widowControl/>
    </w:pPr>
    <w:rPr>
      <w:rFonts w:ascii="Calibri" w:hAnsi="Calibri" w:eastAsia="宋体" w:cs="Times New Roman"/>
      <w:sz w:val="24"/>
      <w:szCs w:val="24"/>
      <w:lang w:eastAsia="en-US" w:bidi="en-US"/>
    </w:rPr>
  </w:style>
  <w:style w:type="paragraph" w:styleId="941" w:customStyle="1">
    <w:name w:val="Body Text(ch)"/>
    <w:basedOn w:val="680"/>
    <w:next w:val="891"/>
    <w:uiPriority w:val="0"/>
    <w:qFormat/>
    <w:pPr>
      <w:spacing w:after="120"/>
    </w:pPr>
    <w:rPr>
      <w:rFonts w:ascii="宋体" w:hAnsi="Arial"/>
      <w:bCs/>
      <w:iCs/>
      <w:szCs w:val="24"/>
    </w:rPr>
  </w:style>
  <w:style w:type="paragraph" w:styleId="942"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3"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4" w:customStyle="1">
    <w:name w:val="Char"/>
    <w:basedOn w:val="680"/>
    <w:uiPriority w:val="0"/>
    <w:qFormat/>
    <w:pPr>
      <w:ind w:firstLine="200"/>
      <w:tabs>
        <w:tab w:val="left" w:pos="360" w:leader="none"/>
      </w:tabs>
    </w:pPr>
    <w:rPr>
      <w:sz w:val="28"/>
      <w:szCs w:val="30"/>
    </w:rPr>
  </w:style>
  <w:style w:type="paragraph" w:styleId="945" w:customStyle="1">
    <w:name w:val=" Char"/>
    <w:basedOn w:val="885"/>
    <w:uiPriority w:val="0"/>
    <w:qFormat/>
    <w:rPr>
      <w:rFonts w:ascii="Tahoma" w:hAnsi="Tahoma"/>
      <w:sz w:val="24"/>
      <w:szCs w:val="24"/>
    </w:rPr>
  </w:style>
  <w:style w:type="paragraph" w:styleId="946"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947" w:customStyle="1">
    <w:name w:val="table_lines"/>
    <w:basedOn w:val="680"/>
    <w:uiPriority w:val="0"/>
    <w:qFormat/>
    <w:pPr>
      <w:jc w:val="left"/>
      <w:widowControl/>
    </w:pPr>
    <w:rPr>
      <w:sz w:val="20"/>
      <w:szCs w:val="20"/>
      <w:lang w:val="de-DE" w:eastAsia="de-DE"/>
    </w:rPr>
  </w:style>
  <w:style w:type="paragraph" w:styleId="9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49"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950" w:customStyle="1">
    <w:name w:val=" Char Char Char Char"/>
    <w:basedOn w:val="885"/>
    <w:uiPriority w:val="0"/>
    <w:qFormat/>
    <w:pPr>
      <w:spacing w:line="360" w:lineRule="auto"/>
    </w:pPr>
    <w:rPr>
      <w:rFonts w:ascii="Tahoma" w:hAnsi="Tahoma"/>
      <w:sz w:val="24"/>
      <w:szCs w:val="24"/>
    </w:rPr>
  </w:style>
  <w:style w:type="paragraph" w:styleId="951" w:customStyle="1">
    <w:name w:val="列出段落"/>
    <w:basedOn w:val="680"/>
    <w:uiPriority w:val="0"/>
    <w:qFormat/>
    <w:pPr>
      <w:contextualSpacing/>
      <w:ind w:left="720"/>
      <w:jc w:val="left"/>
      <w:widowControl/>
    </w:pPr>
    <w:rPr>
      <w:rFonts w:ascii="Calibri" w:hAnsi="Calibri"/>
      <w:sz w:val="24"/>
      <w:szCs w:val="24"/>
      <w:lang w:eastAsia="en-US" w:bidi="en-US"/>
    </w:rPr>
  </w:style>
  <w:style w:type="paragraph" w:styleId="952" w:customStyle="1">
    <w:name w:val="4"/>
    <w:basedOn w:val="680"/>
    <w:next w:val="915"/>
    <w:uiPriority w:val="0"/>
    <w:qFormat/>
    <w:pPr>
      <w:ind w:firstLine="420"/>
      <w:spacing w:line="360" w:lineRule="auto"/>
    </w:pPr>
    <w:rPr>
      <w:color w:val="ff0000"/>
      <w:sz w:val="24"/>
      <w:szCs w:val="24"/>
    </w:rPr>
  </w:style>
  <w:style w:type="paragraph" w:styleId="953"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954" w:customStyle="1">
    <w:name w:val=" Char Char Char Char Char Char Char Char Char Char"/>
    <w:basedOn w:val="680"/>
    <w:uiPriority w:val="0"/>
    <w:qFormat/>
    <w:pPr>
      <w:spacing w:line="360" w:lineRule="auto"/>
    </w:pPr>
    <w:rPr>
      <w:sz w:val="24"/>
      <w:szCs w:val="20"/>
    </w:rPr>
  </w:style>
  <w:style w:type="paragraph" w:styleId="955" w:customStyle="1">
    <w:name w:val="样式1"/>
    <w:basedOn w:val="680"/>
    <w:uiPriority w:val="0"/>
    <w:qFormat/>
    <w:pPr>
      <w:numPr>
        <w:ilvl w:val="0"/>
        <w:numId w:val="3"/>
      </w:numPr>
    </w:pPr>
    <w:rPr>
      <w:rFonts w:ascii="宋体" w:hAnsi="宋体"/>
    </w:rPr>
  </w:style>
  <w:style w:type="paragraph" w:styleId="956"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957"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8"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9"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960"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2"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63"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4" w:customStyle="1">
    <w:name w:val=" 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965"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966" w:customStyle="1">
    <w:name w:val="Char Char Char Char"/>
    <w:basedOn w:val="885"/>
    <w:uiPriority w:val="0"/>
    <w:qFormat/>
    <w:pPr>
      <w:spacing w:line="360" w:lineRule="auto"/>
    </w:pPr>
    <w:rPr>
      <w:rFonts w:ascii="Tahoma" w:hAnsi="Tahoma"/>
      <w:sz w:val="24"/>
      <w:szCs w:val="24"/>
    </w:rPr>
  </w:style>
  <w:style w:type="paragraph" w:styleId="967" w:customStyle="1">
    <w:name w:val="table_1stline"/>
    <w:basedOn w:val="680"/>
    <w:uiPriority w:val="0"/>
    <w:qFormat/>
    <w:pPr>
      <w:jc w:val="left"/>
      <w:spacing w:before="120"/>
      <w:widowControl/>
    </w:pPr>
    <w:rPr>
      <w:bCs/>
      <w:sz w:val="20"/>
      <w:szCs w:val="20"/>
      <w:lang w:val="de-DE" w:eastAsia="de-DE"/>
    </w:rPr>
  </w:style>
  <w:style w:type="paragraph" w:styleId="968"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969"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numbering" w:styleId="9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王烨</cp:lastModifiedBy>
  <cp:revision>8</cp:revision>
  <dcterms:created xsi:type="dcterms:W3CDTF">2023-03-16T02:16:00Z</dcterms:created>
  <dcterms:modified xsi:type="dcterms:W3CDTF">2025-10-31T08:08:08Z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DF8177D4B1B245329988495182E81689_12</vt:lpwstr>
  </property>
</Properties>
</file>