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119A1">
      <w:pPr>
        <w:pStyle w:val="6"/>
        <w:numPr>
          <w:ilvl w:val="0"/>
          <w:numId w:val="1"/>
        </w:numPr>
        <w:spacing w:line="360" w:lineRule="auto"/>
        <w:jc w:val="center"/>
        <w:rPr>
          <w:rFonts w:hint="eastAsia" w:ascii="楷体" w:hAnsi="楷体" w:eastAsia="楷体" w:cs="楷体"/>
          <w:b/>
          <w:bCs/>
          <w:color w:val="auto"/>
          <w:sz w:val="36"/>
          <w:szCs w:val="36"/>
          <w:highlight w:val="none"/>
          <w:lang w:val="en-US"/>
        </w:rPr>
      </w:pPr>
      <w:r>
        <w:rPr>
          <w:rFonts w:hint="eastAsia" w:ascii="楷体" w:hAnsi="楷体" w:eastAsia="楷体" w:cs="楷体"/>
          <w:b/>
          <w:bCs/>
          <w:color w:val="auto"/>
          <w:sz w:val="36"/>
          <w:szCs w:val="36"/>
          <w:highlight w:val="none"/>
          <w:lang w:val="en-US"/>
        </w:rPr>
        <w:t>采购需求</w:t>
      </w:r>
    </w:p>
    <w:p w14:paraId="7652AF39">
      <w:pPr>
        <w:pStyle w:val="6"/>
        <w:numPr>
          <w:ilvl w:val="0"/>
          <w:numId w:val="1"/>
        </w:numPr>
        <w:spacing w:line="360" w:lineRule="auto"/>
        <w:jc w:val="center"/>
        <w:rPr>
          <w:rFonts w:hint="eastAsia" w:ascii="楷体" w:hAnsi="楷体" w:eastAsia="楷体" w:cs="楷体"/>
          <w:b/>
          <w:bCs/>
          <w:color w:val="auto"/>
          <w:sz w:val="36"/>
          <w:szCs w:val="36"/>
          <w:highlight w:val="none"/>
          <w:lang w:val="en-US"/>
        </w:rPr>
      </w:pPr>
      <w:r>
        <w:rPr>
          <w:rFonts w:hint="eastAsia" w:ascii="楷体" w:hAnsi="楷体" w:eastAsia="楷体" w:cs="楷体"/>
          <w:b/>
          <w:bCs/>
          <w:color w:val="auto"/>
          <w:sz w:val="36"/>
          <w:szCs w:val="36"/>
          <w:highlight w:val="none"/>
          <w:lang w:val="en-US"/>
        </w:rPr>
        <w:t>采购需求</w:t>
      </w:r>
    </w:p>
    <w:p w14:paraId="7E84E27A">
      <w:pPr>
        <w:pStyle w:val="6"/>
        <w:numPr>
          <w:ilvl w:val="0"/>
          <w:numId w:val="0"/>
        </w:numPr>
        <w:spacing w:line="360" w:lineRule="auto"/>
        <w:jc w:val="both"/>
        <w:rPr>
          <w:rFonts w:hint="eastAsia" w:ascii="楷体" w:hAnsi="楷体" w:eastAsia="楷体" w:cs="楷体"/>
          <w:b/>
          <w:color w:val="auto"/>
          <w:sz w:val="28"/>
          <w:szCs w:val="28"/>
          <w:highlight w:val="none"/>
        </w:rPr>
      </w:pPr>
      <w:r>
        <w:rPr>
          <w:rFonts w:hint="eastAsia" w:ascii="楷体" w:hAnsi="楷体" w:eastAsia="楷体" w:cs="楷体"/>
          <w:b/>
          <w:bCs/>
          <w:color w:val="auto"/>
          <w:kern w:val="2"/>
          <w:sz w:val="28"/>
          <w:szCs w:val="28"/>
          <w:highlight w:val="none"/>
          <w:lang w:val="en-US" w:eastAsia="zh-CN"/>
        </w:rPr>
        <w:t>一、</w:t>
      </w:r>
      <w:r>
        <w:rPr>
          <w:rFonts w:hint="eastAsia" w:ascii="楷体" w:hAnsi="楷体" w:eastAsia="楷体" w:cs="楷体"/>
          <w:b/>
          <w:color w:val="auto"/>
          <w:sz w:val="28"/>
          <w:szCs w:val="28"/>
          <w:highlight w:val="none"/>
        </w:rPr>
        <w:t>建设背景</w:t>
      </w:r>
    </w:p>
    <w:p w14:paraId="469AE731">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2018年镇江市京口区老旧小区技防改造租赁服务项目，522处前端设备、存储设备及链路，项目租赁服务已到期。现继续采购服务一年，更新10%前端设备为结构化相机。</w:t>
      </w:r>
    </w:p>
    <w:p w14:paraId="6842CC62">
      <w:pPr>
        <w:spacing w:line="360" w:lineRule="auto"/>
        <w:rPr>
          <w:rFonts w:hint="eastAsia" w:ascii="楷体" w:hAnsi="楷体" w:eastAsia="楷体" w:cs="楷体"/>
          <w:color w:val="auto"/>
          <w:sz w:val="28"/>
          <w:szCs w:val="28"/>
          <w:highlight w:val="none"/>
        </w:rPr>
      </w:pPr>
      <w:r>
        <w:rPr>
          <w:rFonts w:hint="eastAsia" w:ascii="楷体" w:hAnsi="楷体" w:eastAsia="楷体" w:cs="楷体"/>
          <w:b/>
          <w:bCs/>
          <w:color w:val="auto"/>
          <w:kern w:val="2"/>
          <w:sz w:val="28"/>
          <w:szCs w:val="28"/>
          <w:highlight w:val="none"/>
          <w:lang w:val="en-US" w:eastAsia="zh-CN"/>
        </w:rPr>
        <w:t>二、</w:t>
      </w:r>
      <w:r>
        <w:rPr>
          <w:rFonts w:hint="eastAsia" w:ascii="楷体" w:hAnsi="楷体" w:eastAsia="楷体" w:cs="楷体"/>
          <w:b/>
          <w:color w:val="auto"/>
          <w:sz w:val="28"/>
          <w:szCs w:val="28"/>
          <w:highlight w:val="none"/>
        </w:rPr>
        <w:t>建设内容</w:t>
      </w:r>
    </w:p>
    <w:p w14:paraId="5F6E7636">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本项目监控点位涵盖京口区51个老旧小区，共522处前端点位，采购1年租赁服务，包含10%（52处）前端全结构化相机升级、原有存储、传输链路、其他配套基础施工运维服务。系统采用全数字方式组建，在监控点前端采用高清摄像机进行图像的高清数字编码，以公安感知网传输方式将所有视频、图像汇聚存储、转发，最终接入镇江市公安局视频综合应用平台，实现市公安局、京口分局及各派出所勤务指挥室的视频综合应用平台视频图像浏览、回放、上墙及其它应用。</w:t>
      </w:r>
    </w:p>
    <w:p w14:paraId="47625ECE">
      <w:pPr>
        <w:numPr>
          <w:ilvl w:val="0"/>
          <w:numId w:val="0"/>
        </w:num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2.1点位522处，除10%（52处）更新替换外，原有的部分结构化相机、普通监控相机参数不低于原项目技术参数（详见具体参数）。中标方负责相应后端平台、存储设备的扩容等。52处更新设备既能保证对大场景的监控需求，又能兼顾细节下的抓拍，并支持在细节抓拍过程中实现最优目标属性信息的提取，支持人脸、人体、车牌、车辆分析、关联等智能功能。</w:t>
      </w:r>
    </w:p>
    <w:p w14:paraId="4F49EC18">
      <w:pPr>
        <w:numPr>
          <w:ilvl w:val="0"/>
          <w:numId w:val="0"/>
        </w:num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2.2、存储系统不低于原项目技术参数，视频存储采用CVR设备，H.264编码格式，存储时间不少于40天，图片通过国标协议传输至镇江市公安局视频综合应用平台。存储设备托管于供应商的机房内，供应商所提供的机房需符合通信机房标准要求，并采用独立机柜安装。</w:t>
      </w:r>
    </w:p>
    <w:p w14:paraId="2F8CFAEE">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2.3、现有平台扩容：若现有平台软硬件资源不足，由供应商负责升级扩容并标明所需硬件设备明细，若现有平台提供方因合同到期等因素不能提供平台服务，需由本项目中标人在接到京口分局通知后，一周内完成平台服务的恢复工作（包含恢复工作所需的软硬件）。</w:t>
      </w:r>
    </w:p>
    <w:p w14:paraId="122BCB3B">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2.4、传输线路建设：平台核心主干网络（IDC机房---分局监控中心---各派出所分控中心）提供感知网1000M光纤接入，前端监控点以满足该点最高功效要求配置相应上行光纤,网络须考虑冗余备份，即在做好设备与线路备份的同时，应考虑传输链路的热备份，保证任何设备或线路出现故障，均能自动迂回，从而保证系统的可靠性和稳定性。须保证前端相机独立上行带宽符合实际需求，网络丢包率符合GB/T28181-2016要求。</w:t>
      </w:r>
    </w:p>
    <w:p w14:paraId="7F876B79">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2.5、统筹调整，对因公安工作需要设计场所、重点地域感知设备建设，造成数据采集区域重合的点位，统筹规划调整。服务期内根据实际提供不少于60次的移机次数。</w:t>
      </w:r>
    </w:p>
    <w:p w14:paraId="7A3D7924">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2.6、前端配套设施建设：主要包括立杆、横杆、室外机箱、防雷、接电等。</w:t>
      </w:r>
    </w:p>
    <w:p w14:paraId="545D8110">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①立杆、横杆与基础。本项目所需监控立杆、横竖支架由投标人负责，可以借用路灯杆、信号灯杆或其它，摄像机高度原则上不低于3m；最高不得高于3.5米。约需立杆54根、横杆39根（由投标人根据采购人点位要求自行查勘确定）。立杆尺寸：高4-6m，底端外径120mm，壁厚6mm，杆体采用热镀锌钢管，表面经过喷塑处理，基础稳固。如需借用路灯杆、信号灯杆或其它由投标人自行协调，如果产生纠纷事宜及其他问题，由投标人自行协调解决。竖、横支架材质、尺寸依据现场环境由投标人自行确定，需满足安全、牢固、有效、美观要求。</w:t>
      </w:r>
    </w:p>
    <w:p w14:paraId="05EA78C3">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②室外机箱。机箱可以放置接入传输设备、摄像机电源、防雷器等设备，有温控风扇，机箱外表面防水、防锈、美观，并喷涂“此处有监控”标识。对项目点位编制号码，标明编码、京口公安、建设单位、建设年月。机箱尺寸需美观大方，不得影响城市管理要求。</w:t>
      </w:r>
    </w:p>
    <w:p w14:paraId="343D03F5">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③防雷措施。每个监控点均做到前端设备防雷。</w:t>
      </w:r>
    </w:p>
    <w:p w14:paraId="055BA2B2">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④强弱电。前端监控设备采用就近取电方式，投标人自行协调并承担所产生的电费，投标人接电及弱电布线要符合城市市容市貌及安全要求，避免乱拉乱接。如投标人因接电及弱电布线被投诉、行政处罚，由投标人承担责任并负责处理。本项目含有施工、线路、安装等基础工作，投标人在保证施工进度的同时必须确保施工安全，施工人员必须具有相应的资质证书；必须遵循国家、行业及地方标准和规范进行安全施工。在整个项目建设、施工及后期维保中发生的任何事故均由投标人自行承担，与采购人无关。</w:t>
      </w:r>
    </w:p>
    <w:p w14:paraId="45839C56">
      <w:pPr>
        <w:spacing w:line="360" w:lineRule="auto"/>
        <w:ind w:firstLine="560" w:firstLineChars="200"/>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⑤监控点位。监控摄像机位置以采购人指定位置为准，须变更的需双方书面确认，摄像机高度、朝向、角度等以满足公安实战需要。</w:t>
      </w:r>
    </w:p>
    <w:p w14:paraId="5587DEC5">
      <w:pPr>
        <w:spacing w:line="360"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b w:val="0"/>
          <w:bCs/>
          <w:color w:val="auto"/>
          <w:kern w:val="2"/>
          <w:sz w:val="28"/>
          <w:szCs w:val="28"/>
          <w:highlight w:val="none"/>
          <w:lang w:val="en-US" w:eastAsia="zh-CN" w:bidi="ar-SA"/>
        </w:rPr>
        <w:t>⑥投标人应与采购人签订保密协议，严禁公安网、感知网的网络信息外泄；严禁包括视频图像、感知前端在内的数据资料外泄、转移、私自下载；所有项目实施过程中产生的数据、资料未得到采购人同意不得以任何形式向本项目以外的其他项目提供对接服务；专业技术人员在服务期间所接触的各类数据、资料、系统操作等应严格遵守保密制度，不得向第三方透露，并每月落实一次安全教育和培训工作（保留记录备查），参与人员必须报采购人备案，非备案人员不得从事本项目维护相关工作。</w:t>
      </w:r>
    </w:p>
    <w:p w14:paraId="253E858E">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2.7、其他内容</w:t>
      </w:r>
    </w:p>
    <w:p w14:paraId="5BAEEA56">
      <w:pPr>
        <w:spacing w:line="360" w:lineRule="auto"/>
        <w:ind w:firstLine="560" w:firstLineChars="200"/>
        <w:rPr>
          <w:rFonts w:hint="default"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 xml:space="preserve">    </w:t>
      </w:r>
      <w:r>
        <w:rPr>
          <w:rFonts w:hint="eastAsia" w:ascii="楷体" w:hAnsi="楷体" w:eastAsia="楷体" w:cs="楷体"/>
          <w:b w:val="0"/>
          <w:bCs/>
          <w:color w:val="auto"/>
          <w:kern w:val="2"/>
          <w:sz w:val="28"/>
          <w:szCs w:val="28"/>
          <w:highlight w:val="none"/>
          <w:lang w:val="en-US" w:eastAsia="zh-CN" w:bidi="ar-SA"/>
        </w:rPr>
        <w:t>监控点位以采购人指定位置为准。</w:t>
      </w:r>
    </w:p>
    <w:p w14:paraId="22676F5A">
      <w:pPr>
        <w:spacing w:line="360" w:lineRule="auto"/>
        <w:ind w:firstLine="562" w:firstLineChars="2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val="en-US" w:eastAsia="zh-CN"/>
        </w:rPr>
        <w:t>三、</w:t>
      </w:r>
      <w:r>
        <w:rPr>
          <w:rFonts w:hint="eastAsia" w:ascii="楷体" w:hAnsi="楷体" w:eastAsia="楷体" w:cs="楷体"/>
          <w:b/>
          <w:bCs/>
          <w:color w:val="auto"/>
          <w:sz w:val="28"/>
          <w:szCs w:val="28"/>
          <w:highlight w:val="none"/>
        </w:rPr>
        <w:t>工程技术规范</w:t>
      </w:r>
    </w:p>
    <w:p w14:paraId="120E38B1">
      <w:pPr>
        <w:bidi w:val="0"/>
        <w:spacing w:line="360"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本项目的材料、设备、施工必须符合现行国家、行业及地方标准和技术规范要求。本工程设计过程中，参考的行业标准和规范主要有：</w:t>
      </w:r>
    </w:p>
    <w:p w14:paraId="4532FAF6">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 《安全防范工程程序与要求》 GA/T75-94</w:t>
      </w:r>
    </w:p>
    <w:p w14:paraId="0D01900C">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 、《安全防范工程技术规范》 GB50348-2004</w:t>
      </w:r>
    </w:p>
    <w:p w14:paraId="68480D31">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 、《安全防范系统通用图形符号》 GA/T74-2000</w:t>
      </w:r>
    </w:p>
    <w:p w14:paraId="376E7F0D">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 、《视频图像文字标注规范》GA/T 751—2008</w:t>
      </w:r>
    </w:p>
    <w:p w14:paraId="57D34B48">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 、《安全防范系统验收规范》 GA308-2001</w:t>
      </w:r>
    </w:p>
    <w:p w14:paraId="5AD9CAFA">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 、《彩色电视图像质量主观评价方法》 GB50198-94</w:t>
      </w:r>
    </w:p>
    <w:p w14:paraId="45F35C6C">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 、《电气安装工程接地装置施工验收规范》 GB50169</w:t>
      </w:r>
    </w:p>
    <w:p w14:paraId="0C080610">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8 、《电气装置安装工程施工及验收规范》 GBJ232-92</w:t>
      </w:r>
    </w:p>
    <w:p w14:paraId="3C9F0047">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9 、《计算机网络实时监控系统》 Q/SBK005-2001</w:t>
      </w:r>
    </w:p>
    <w:p w14:paraId="753EC687">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10 、《建筑电气工程施工质量验收规范》 GB50303-2002</w:t>
      </w:r>
    </w:p>
    <w:p w14:paraId="4D01B17B">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11 、《建筑物电子信息系统防雷技术规范》 GB50343-2004</w:t>
      </w:r>
    </w:p>
    <w:p w14:paraId="3955D985">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12 、《建筑物防雷设计规范》 GB50057-94</w:t>
      </w:r>
    </w:p>
    <w:p w14:paraId="39D61DFC">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13 、《建筑与建筑群综合布线系统工程设计规范》 GB/T50311-2007</w:t>
      </w:r>
    </w:p>
    <w:p w14:paraId="55E1D58A">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14 、《建筑与建筑群综合布线系统工程施工及验收规范》 GB/T50312-2007</w:t>
      </w:r>
    </w:p>
    <w:p w14:paraId="01E71C06">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15 、《视频安防监控数字录像设备》 GB20815-2006</w:t>
      </w:r>
    </w:p>
    <w:p w14:paraId="3C780000">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16 、《视频安防监控系统工程设计规范》 GB50395-2007</w:t>
      </w:r>
    </w:p>
    <w:p w14:paraId="1DC92B7C">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17 、《视频安防监控系统技求要求》 GA/T367-2001</w:t>
      </w:r>
    </w:p>
    <w:p w14:paraId="543A4AF5">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18 、《信息技术设备的安全》 GB4943-2001</w:t>
      </w:r>
    </w:p>
    <w:p w14:paraId="3D25C196">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19 、《音频、视频及类似电子设备安全要求》 CB8898-2001</w:t>
      </w:r>
    </w:p>
    <w:p w14:paraId="1F4EE903">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20、 《邮电通信网光纤数据传输系统工程施工及验收暂行技术规范》YDJ44-89</w:t>
      </w:r>
    </w:p>
    <w:p w14:paraId="0C6905FD">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21 、《中华人民共和国公共安全行业标准》 GA/T708-2007</w:t>
      </w:r>
    </w:p>
    <w:p w14:paraId="254BCFFD">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22 、《中华人民共和国通信行业标准》 YD/T926-2001</w:t>
      </w:r>
    </w:p>
    <w:p w14:paraId="6218E37A">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23 、《安全防范视频监控联网系统信息传输、交换、控制技术要求》 GB/T 28181-2016</w:t>
      </w:r>
    </w:p>
    <w:p w14:paraId="1BCB43AD">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24 、《安防监控视频实时智能分析设备技术要求》GB/T 30147-2013</w:t>
      </w:r>
    </w:p>
    <w:p w14:paraId="59957E77">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25 、《公共安全视频监控数字视音频编解码技术要求》GB/T 25724-2017</w:t>
      </w:r>
    </w:p>
    <w:p w14:paraId="7C91AFE8">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26 、《公安视频图像分析系统 第1部分：通用技术要求》GA∕T 1399.1-2017</w:t>
      </w:r>
    </w:p>
    <w:p w14:paraId="25130C68">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27、 《公安视频图像分析系统 第2部分：视频图像内容分析及描述技术要求》GA∕T 1399.2-2017</w:t>
      </w:r>
    </w:p>
    <w:p w14:paraId="6D27F8B5">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28、 《公共安全视频监控联网信息安全技术要求》GB 35114-2017</w:t>
      </w:r>
    </w:p>
    <w:p w14:paraId="18F86422">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29 、《公安视频图像分析系统》(GA/T 1399-2017)</w:t>
      </w:r>
    </w:p>
    <w:p w14:paraId="679DE4E1">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30 、《公安视频图像信息应用系统》(GA/T 1400-2017)</w:t>
      </w:r>
    </w:p>
    <w:p w14:paraId="0E0EBC09">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31 、《升级版技防城建设标准》（苏综治办〔2017〕41号）</w:t>
      </w:r>
    </w:p>
    <w:p w14:paraId="16B026DE">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32 、 《全省公安“慧眼工程”视频图像智能综合应用服务系统建设技术指导意见》（苏公厅〔2018〕352号）</w:t>
      </w:r>
    </w:p>
    <w:p w14:paraId="21AAE211">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33 、《江苏公安智慧警务建设发展三年规划（2018-2020年）》（苏公厅〔2018〕243号）</w:t>
      </w:r>
    </w:p>
    <w:p w14:paraId="679DE229">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34、 《镇江市区升级版技防城建设任务书》（镇公传发〔2018〕39号）</w:t>
      </w:r>
    </w:p>
    <w:p w14:paraId="3C38CA55">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未明确之处以国家、行业及江苏省的工程建设标准、规范的要求执行，特别是有关质量、安全方面的强制性规定。</w:t>
      </w:r>
    </w:p>
    <w:p w14:paraId="0E925212">
      <w:pPr>
        <w:numPr>
          <w:ilvl w:val="0"/>
          <w:numId w:val="2"/>
        </w:numPr>
        <w:bidi w:val="0"/>
        <w:spacing w:line="360" w:lineRule="auto"/>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服务要求</w:t>
      </w:r>
    </w:p>
    <w:p w14:paraId="09E21213">
      <w:pPr>
        <w:numPr>
          <w:ilvl w:val="0"/>
          <w:numId w:val="0"/>
        </w:numPr>
        <w:bidi w:val="0"/>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4.1、人员配备要求及免费质保期</w:t>
      </w:r>
    </w:p>
    <w:p w14:paraId="56ADB94C">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1）在本项目的执行过程中，项目总监、项目经理及技术人员要专职于本项目，不少于5个人，并且整个项目团队的人员要相对稳定。在项目实施中应明确各岗位的职责，确保项目顺利实施，项目人员能够与采购人进行良好的沟通。参与此项目的技术人员必须具有强烈的服务意识和高度的责任感。</w:t>
      </w:r>
    </w:p>
    <w:p w14:paraId="602CF902">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（2）供应商应列出详细实施方案，包括人员姓名、经验、学历和在本项目中的职责分工。</w:t>
      </w:r>
    </w:p>
    <w:p w14:paraId="6F7F6133">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（3）自验收之日起，沿用点位提供免费质保期1年，更新建设的52处点位提供免费质保期1年。</w:t>
      </w:r>
    </w:p>
    <w:p w14:paraId="45AD098E">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4.2、售后服务</w:t>
      </w:r>
    </w:p>
    <w:p w14:paraId="04F01ACA">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（1）提供7*24小时服务；</w:t>
      </w:r>
    </w:p>
    <w:p w14:paraId="63CCE661">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（2）提供统一的一点故障申告处理和投诉服务热线；</w:t>
      </w:r>
    </w:p>
    <w:p w14:paraId="46C8413B">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（3）按月定期提供运维报告；</w:t>
      </w:r>
    </w:p>
    <w:p w14:paraId="7856D73C">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4）免费质保期内，除不可抗力因素外（战争、地震以及其他双方商定的事件），供应商负责对其提供的物品进行免费维修或更换，设备供电、修路导致设备不可使用明确为非不可抗力因素，因市政建设等因素需要移址重建所产生的费用，由供应商负责向实施主体主张赔补，并在采购人明确新装地址后 30 日内完成重建，维修更换的设备性能不低于初装使用的产品。免费质保期满后，网络使用及设备维护运行事宜另行商议，如项目终止，由供应商在60个工作日内负责拆除前端设备，妥善处置电、网线路，设备交由产权人处置。</w:t>
      </w:r>
    </w:p>
    <w:p w14:paraId="7AEF8CE1">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4.3、验收</w:t>
      </w:r>
    </w:p>
    <w:p w14:paraId="772AC672">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本项目建设施工周期要求：30天（自签定合同次日起算。项目完工并试运行一个月后，由投标方向招标方书面提出验收申请和验收报告。招标方收到验收申请后在5个工作日内召集有关部门对项目进行验收，验收不通过的部分由投标方进行整改，并由投标方再次提出书面验收，直至通过招标方验收。招标方和投标方在验收报告书盖章签字确认。供应商未在约定工期内完成并通过验收，每延期一天扣罚 1000 元，直至通过验收，扣罚费用从采购人支付工程款中一次性扣除。 延期 2 个月仍未完成施工验收，采购人有权终止合同。</w:t>
      </w:r>
    </w:p>
    <w:p w14:paraId="37D96FCB">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4.4、备品与备件</w:t>
      </w:r>
    </w:p>
    <w:p w14:paraId="4AC9BD28">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投标人应根据招投标文件中方案、设备需求及服务需求等部分章节的需求制定其详细的备品备件方案，并详细说明备品备件的数量、放置地点、服务条款等内容。前端摄像机不少于3%的备件，验收前交付采购人。</w:t>
      </w:r>
    </w:p>
    <w:p w14:paraId="0E631054">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4.5、保密要求</w:t>
      </w:r>
    </w:p>
    <w:p w14:paraId="6C8D511E">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在实施方案及日常维护中针对本项目实施内容制定保密措施并严格执行。中标人必须在项目实施前提供对本项目的保密承诺。相关工作人员上岗前需进行保密培训并签订保密承诺书。</w:t>
      </w:r>
    </w:p>
    <w:p w14:paraId="40AE4BB9">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 xml:space="preserve">4.6、综合要求 </w:t>
      </w:r>
    </w:p>
    <w:p w14:paraId="023B579A">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 xml:space="preserve">（1）本次项目建设的视频监控集中存储、服务器、网络设备由供应商负责提供机房以及网络环境。包括：提供适量标准机柜的托管空间，用于安装交换机、集中存储服务器等采购人组网需要的设备，并提供光纤接入，机房用电、空调等。 </w:t>
      </w:r>
    </w:p>
    <w:p w14:paraId="2D119BB5">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 xml:space="preserve">（2）公网视频固定 IP 地址由供应商配置，专网 IP 地址由京口公安分局编制、供应商配置。视频图像文字标注规范，标识统一齐全，材料及施工工艺符合安全、牢固、美观要求；一机一档等信息采集齐全规范。 </w:t>
      </w:r>
    </w:p>
    <w:p w14:paraId="6E6DE287">
      <w:pPr>
        <w:pStyle w:val="2"/>
        <w:ind w:firstLine="560" w:firstLineChars="200"/>
        <w:jc w:val="left"/>
        <w:rPr>
          <w:rFonts w:hint="eastAsia" w:ascii="楷体" w:hAnsi="楷体" w:eastAsia="楷体" w:cs="楷体"/>
          <w:b w:val="0"/>
          <w:bCs/>
          <w:color w:val="auto"/>
          <w:kern w:val="2"/>
          <w:sz w:val="28"/>
          <w:szCs w:val="28"/>
          <w:highlight w:val="none"/>
          <w:lang w:val="en-US" w:eastAsia="zh-CN" w:bidi="ar-SA"/>
        </w:rPr>
      </w:pPr>
      <w:r>
        <w:rPr>
          <w:rFonts w:hint="eastAsia" w:ascii="楷体" w:hAnsi="楷体" w:eastAsia="楷体" w:cs="楷体"/>
          <w:b w:val="0"/>
          <w:bCs/>
          <w:color w:val="auto"/>
          <w:kern w:val="2"/>
          <w:sz w:val="28"/>
          <w:szCs w:val="28"/>
          <w:highlight w:val="none"/>
          <w:lang w:val="en-US" w:eastAsia="zh-CN" w:bidi="ar-SA"/>
        </w:rPr>
        <w:t>（3）本项目前端相机需符合GB35114标准，支持至少一种国密加密方式。参与调试的工程人员需全部签署保密协议，所用调式计算机、工程宝类设备，均需物理隔绝其他网络连接。</w:t>
      </w:r>
    </w:p>
    <w:p w14:paraId="0899E9B3">
      <w:pPr>
        <w:spacing w:line="360" w:lineRule="auto"/>
        <w:ind w:firstLine="560"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 xml:space="preserve">（4）本项目所涉及的设备、运输、安装、线路租用、调试、验收、培训、集成、备品备件和工具、售后服务、税款、测试、质检、一年免费质保运维(含电费）、行政许可、授权、相关证书费用、政策性文件规定及合同包含的所有风险、责任及投标人认为满足验收所需要的其他费用等均包含在报价单价中。        </w:t>
      </w:r>
      <w:r>
        <w:rPr>
          <w:rFonts w:hint="eastAsia" w:ascii="楷体" w:hAnsi="楷体" w:eastAsia="楷体" w:cs="楷体"/>
          <w:b/>
          <w:color w:val="auto"/>
          <w:sz w:val="28"/>
          <w:szCs w:val="28"/>
          <w:highlight w:val="none"/>
          <w:lang w:val="en-US" w:eastAsia="zh-CN"/>
        </w:rPr>
        <w:t>4.7、其他要求</w:t>
      </w:r>
    </w:p>
    <w:p w14:paraId="7395341D">
      <w:pPr>
        <w:spacing w:line="360" w:lineRule="auto"/>
        <w:ind w:firstLine="560" w:firstLineChars="200"/>
        <w:rPr>
          <w:rFonts w:hint="eastAsia" w:ascii="楷体" w:hAnsi="楷体" w:eastAsia="楷体" w:cs="楷体"/>
          <w:bCs/>
          <w:color w:val="auto"/>
          <w:sz w:val="28"/>
          <w:szCs w:val="28"/>
          <w:highlight w:val="none"/>
          <w:lang w:val="zh-CN" w:eastAsia="zh-CN"/>
        </w:rPr>
      </w:pPr>
      <w:r>
        <w:rPr>
          <w:rFonts w:hint="eastAsia" w:ascii="楷体" w:hAnsi="楷体" w:eastAsia="楷体" w:cs="楷体"/>
          <w:bCs/>
          <w:color w:val="auto"/>
          <w:sz w:val="28"/>
          <w:szCs w:val="28"/>
          <w:highlight w:val="none"/>
          <w:lang w:val="en-US" w:eastAsia="zh-CN"/>
        </w:rPr>
        <w:t>（1）</w:t>
      </w:r>
      <w:r>
        <w:rPr>
          <w:rFonts w:hint="eastAsia" w:ascii="楷体" w:hAnsi="楷体" w:eastAsia="楷体" w:cs="楷体"/>
          <w:bCs/>
          <w:color w:val="auto"/>
          <w:sz w:val="28"/>
          <w:szCs w:val="28"/>
          <w:highlight w:val="none"/>
          <w:lang w:val="zh-CN" w:eastAsia="zh-CN"/>
        </w:rPr>
        <w:t>项目中监控点位维修响应时间48小时，其中列为重点目录的点位响应时间为24小时，超出响应时间的以日为单位扣除</w:t>
      </w:r>
      <w:r>
        <w:rPr>
          <w:rFonts w:hint="eastAsia" w:ascii="楷体" w:hAnsi="楷体" w:eastAsia="楷体" w:cs="楷体"/>
          <w:bCs/>
          <w:color w:val="auto"/>
          <w:sz w:val="28"/>
          <w:szCs w:val="28"/>
          <w:highlight w:val="none"/>
          <w:lang w:val="en-US" w:eastAsia="zh-CN"/>
        </w:rPr>
        <w:t>500元工程款（以年为单位结算）</w:t>
      </w:r>
      <w:r>
        <w:rPr>
          <w:rFonts w:hint="eastAsia" w:ascii="楷体" w:hAnsi="楷体" w:eastAsia="楷体" w:cs="楷体"/>
          <w:bCs/>
          <w:color w:val="auto"/>
          <w:sz w:val="28"/>
          <w:szCs w:val="28"/>
          <w:highlight w:val="none"/>
          <w:lang w:val="zh-CN" w:eastAsia="zh-CN"/>
        </w:rPr>
        <w:t>。运维期间造成网络安全事故的，一次扣罚2000元。</w:t>
      </w:r>
    </w:p>
    <w:p w14:paraId="29A6AD9C">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（2）工程验收前，乙方需派驻工程师在京口分局工作，负责工程对接、平台对接、相关系统注册工作。</w:t>
      </w:r>
    </w:p>
    <w:p w14:paraId="1B0F96F2">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4.8、线路租赁建设要求</w:t>
      </w:r>
    </w:p>
    <w:p w14:paraId="5E00D5D6">
      <w:pPr>
        <w:spacing w:line="360" w:lineRule="auto"/>
        <w:ind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平台核心主干网络采用不低于千兆光纤接入，前端监控点按照每台摄像机20兆标准实现光纤上行，保证系统的可靠性和稳定性，如需扩容，由供应商负责能满足京口分局对视频监控图像的顺畅调用、回放、上墙，同时不影响京口分局原有视频监控业务。所有线路、网络交换机均为独立部署，与其他网络之间呈物理隔离，不得与中标人其他应用共用。</w:t>
      </w:r>
    </w:p>
    <w:p w14:paraId="1FC2677C">
      <w:pPr>
        <w:spacing w:line="360" w:lineRule="auto"/>
        <w:ind w:firstLine="562" w:firstLineChars="200"/>
        <w:rPr>
          <w:rFonts w:hint="eastAsia" w:ascii="楷体" w:hAnsi="楷体" w:eastAsia="楷体" w:cs="楷体"/>
          <w:b/>
          <w:color w:val="auto"/>
          <w:sz w:val="28"/>
          <w:szCs w:val="28"/>
          <w:highlight w:val="none"/>
          <w:lang w:val="en-US" w:eastAsia="zh-CN"/>
        </w:rPr>
      </w:pPr>
      <w:r>
        <w:rPr>
          <w:rFonts w:hint="eastAsia" w:ascii="楷体" w:hAnsi="楷体" w:eastAsia="楷体" w:cs="楷体"/>
          <w:b/>
          <w:color w:val="auto"/>
          <w:sz w:val="28"/>
          <w:szCs w:val="28"/>
          <w:highlight w:val="none"/>
          <w:lang w:val="en-US" w:eastAsia="zh-CN"/>
        </w:rPr>
        <w:t>4.9、监控前端配套及存储建设要求</w:t>
      </w:r>
    </w:p>
    <w:p w14:paraId="2E2736F6">
      <w:pPr>
        <w:spacing w:line="360" w:lineRule="auto"/>
        <w:rPr>
          <w:rFonts w:hint="eastAsia"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除10%（52处）更新点位外，原有项目建设的相机、立杆、室外机箱、防雷、接电与汇聚传输不变。</w:t>
      </w:r>
    </w:p>
    <w:p w14:paraId="134FEEC4">
      <w:pPr>
        <w:pStyle w:val="6"/>
        <w:spacing w:line="360" w:lineRule="auto"/>
        <w:ind w:left="0" w:firstLine="0"/>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五、</w:t>
      </w:r>
      <w:r>
        <w:rPr>
          <w:rFonts w:hint="eastAsia" w:ascii="楷体" w:hAnsi="楷体" w:eastAsia="楷体" w:cs="楷体"/>
          <w:b/>
          <w:bCs/>
          <w:color w:val="auto"/>
          <w:sz w:val="28"/>
          <w:szCs w:val="28"/>
          <w:highlight w:val="none"/>
        </w:rPr>
        <w:t>付款方式</w:t>
      </w:r>
    </w:p>
    <w:p w14:paraId="60C960DF">
      <w:pPr>
        <w:spacing w:line="360" w:lineRule="auto"/>
        <w:ind w:firstLine="560" w:firstLineChars="200"/>
        <w:rPr>
          <w:rFonts w:hint="default" w:ascii="楷体" w:hAnsi="楷体" w:eastAsia="楷体" w:cs="楷体"/>
          <w:bCs/>
          <w:color w:val="auto"/>
          <w:sz w:val="28"/>
          <w:szCs w:val="28"/>
          <w:highlight w:val="none"/>
          <w:lang w:val="en-US" w:eastAsia="zh-CN"/>
        </w:rPr>
      </w:pPr>
      <w:r>
        <w:rPr>
          <w:rFonts w:hint="eastAsia" w:ascii="楷体" w:hAnsi="楷体" w:eastAsia="楷体" w:cs="楷体"/>
          <w:bCs/>
          <w:color w:val="auto"/>
          <w:sz w:val="28"/>
          <w:szCs w:val="28"/>
          <w:highlight w:val="none"/>
          <w:lang w:val="en-US" w:eastAsia="zh-CN"/>
        </w:rPr>
        <w:t>1、</w:t>
      </w:r>
      <w:r>
        <w:rPr>
          <w:rFonts w:hint="eastAsia" w:ascii="楷体" w:hAnsi="楷体" w:eastAsia="楷体" w:cs="楷体"/>
          <w:bCs/>
          <w:color w:val="auto"/>
          <w:sz w:val="28"/>
          <w:szCs w:val="28"/>
          <w:highlight w:val="none"/>
        </w:rPr>
        <w:t>全部调试完毕</w:t>
      </w:r>
      <w:r>
        <w:rPr>
          <w:rFonts w:hint="eastAsia" w:ascii="楷体" w:hAnsi="楷体" w:eastAsia="楷体" w:cs="楷体"/>
          <w:bCs/>
          <w:color w:val="auto"/>
          <w:sz w:val="28"/>
          <w:szCs w:val="28"/>
          <w:highlight w:val="none"/>
          <w:lang w:eastAsia="zh-CN"/>
        </w:rPr>
        <w:t>并投入</w:t>
      </w:r>
      <w:r>
        <w:rPr>
          <w:rFonts w:hint="eastAsia" w:ascii="楷体" w:hAnsi="楷体" w:eastAsia="楷体" w:cs="楷体"/>
          <w:bCs/>
          <w:color w:val="auto"/>
          <w:sz w:val="28"/>
          <w:szCs w:val="28"/>
          <w:highlight w:val="none"/>
        </w:rPr>
        <w:t>运行</w:t>
      </w:r>
      <w:r>
        <w:rPr>
          <w:rFonts w:hint="eastAsia" w:ascii="楷体" w:hAnsi="楷体" w:eastAsia="楷体" w:cs="楷体"/>
          <w:bCs/>
          <w:color w:val="auto"/>
          <w:sz w:val="28"/>
          <w:szCs w:val="28"/>
          <w:highlight w:val="none"/>
          <w:lang w:eastAsia="zh-CN"/>
        </w:rPr>
        <w:t>，</w:t>
      </w:r>
      <w:r>
        <w:rPr>
          <w:rFonts w:hint="eastAsia" w:ascii="楷体" w:hAnsi="楷体" w:eastAsia="楷体" w:cs="楷体"/>
          <w:bCs/>
          <w:color w:val="auto"/>
          <w:sz w:val="28"/>
          <w:szCs w:val="28"/>
          <w:highlight w:val="none"/>
        </w:rPr>
        <w:t>经采购</w:t>
      </w:r>
      <w:r>
        <w:rPr>
          <w:rFonts w:hint="eastAsia" w:ascii="楷体" w:hAnsi="楷体" w:eastAsia="楷体" w:cs="楷体"/>
          <w:bCs/>
          <w:color w:val="auto"/>
          <w:sz w:val="28"/>
          <w:szCs w:val="28"/>
          <w:highlight w:val="none"/>
          <w:lang w:eastAsia="zh-CN"/>
        </w:rPr>
        <w:t>人</w:t>
      </w:r>
      <w:r>
        <w:rPr>
          <w:rFonts w:hint="eastAsia" w:ascii="楷体" w:hAnsi="楷体" w:eastAsia="楷体" w:cs="楷体"/>
          <w:bCs/>
          <w:color w:val="auto"/>
          <w:sz w:val="28"/>
          <w:szCs w:val="28"/>
          <w:highlight w:val="none"/>
        </w:rPr>
        <w:t>验收合格</w:t>
      </w:r>
      <w:r>
        <w:rPr>
          <w:rFonts w:hint="eastAsia" w:ascii="楷体" w:hAnsi="楷体" w:eastAsia="楷体" w:cs="楷体"/>
          <w:bCs/>
          <w:color w:val="auto"/>
          <w:sz w:val="28"/>
          <w:szCs w:val="28"/>
          <w:highlight w:val="none"/>
          <w:lang w:eastAsia="zh-CN"/>
        </w:rPr>
        <w:t>后</w:t>
      </w:r>
      <w:r>
        <w:rPr>
          <w:rFonts w:hint="eastAsia" w:ascii="楷体" w:hAnsi="楷体" w:eastAsia="楷体" w:cs="楷体"/>
          <w:b w:val="0"/>
          <w:bCs/>
          <w:color w:val="auto"/>
          <w:sz w:val="28"/>
          <w:szCs w:val="28"/>
          <w:highlight w:val="none"/>
          <w:lang w:val="en-US"/>
        </w:rPr>
        <w:t>，采购人应当自收到发票后</w:t>
      </w:r>
      <w:r>
        <w:rPr>
          <w:rFonts w:hint="eastAsia" w:ascii="楷体" w:hAnsi="楷体" w:eastAsia="楷体" w:cs="楷体"/>
          <w:b w:val="0"/>
          <w:bCs/>
          <w:color w:val="auto"/>
          <w:sz w:val="28"/>
          <w:szCs w:val="28"/>
          <w:highlight w:val="none"/>
          <w:lang w:val="en-US" w:eastAsia="zh-CN"/>
        </w:rPr>
        <w:t>10个工作</w:t>
      </w:r>
      <w:r>
        <w:rPr>
          <w:rFonts w:hint="eastAsia" w:ascii="楷体" w:hAnsi="楷体" w:eastAsia="楷体" w:cs="楷体"/>
          <w:b w:val="0"/>
          <w:bCs/>
          <w:color w:val="auto"/>
          <w:sz w:val="28"/>
          <w:szCs w:val="28"/>
          <w:highlight w:val="none"/>
          <w:lang w:val="en-US"/>
        </w:rPr>
        <w:t>日内支付合同款的</w:t>
      </w:r>
      <w:r>
        <w:rPr>
          <w:rFonts w:hint="eastAsia" w:ascii="楷体" w:hAnsi="楷体" w:eastAsia="楷体" w:cs="楷体"/>
          <w:b w:val="0"/>
          <w:bCs/>
          <w:color w:val="auto"/>
          <w:sz w:val="28"/>
          <w:szCs w:val="28"/>
          <w:highlight w:val="none"/>
          <w:lang w:val="en-US" w:eastAsia="zh-CN"/>
        </w:rPr>
        <w:t>90</w:t>
      </w:r>
      <w:r>
        <w:rPr>
          <w:rFonts w:hint="eastAsia" w:ascii="楷体" w:hAnsi="楷体" w:eastAsia="楷体" w:cs="楷体"/>
          <w:b w:val="0"/>
          <w:bCs/>
          <w:color w:val="auto"/>
          <w:sz w:val="28"/>
          <w:szCs w:val="28"/>
          <w:highlight w:val="none"/>
          <w:lang w:val="en-US"/>
        </w:rPr>
        <w:t>％到合同约定的供应商账户；</w:t>
      </w:r>
    </w:p>
    <w:p w14:paraId="11678DA0">
      <w:pPr>
        <w:pStyle w:val="6"/>
        <w:spacing w:line="360" w:lineRule="auto"/>
        <w:ind w:left="0" w:leftChars="0"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b w:val="0"/>
          <w:bCs/>
          <w:color w:val="auto"/>
          <w:sz w:val="28"/>
          <w:szCs w:val="28"/>
          <w:highlight w:val="none"/>
          <w:lang w:val="en-US" w:eastAsia="zh-CN"/>
        </w:rPr>
        <w:t>2、经采购人验收合格并</w:t>
      </w:r>
      <w:r>
        <w:rPr>
          <w:rFonts w:hint="eastAsia" w:ascii="楷体" w:hAnsi="楷体" w:eastAsia="楷体" w:cs="楷体"/>
          <w:color w:val="auto"/>
          <w:sz w:val="28"/>
          <w:szCs w:val="28"/>
          <w:highlight w:val="none"/>
          <w:lang w:val="en-US"/>
        </w:rPr>
        <w:t>运行</w:t>
      </w:r>
      <w:r>
        <w:rPr>
          <w:rFonts w:hint="eastAsia" w:ascii="楷体" w:hAnsi="楷体" w:eastAsia="楷体" w:cs="楷体"/>
          <w:color w:val="auto"/>
          <w:sz w:val="28"/>
          <w:szCs w:val="28"/>
          <w:highlight w:val="none"/>
          <w:lang w:val="en-US" w:eastAsia="zh-CN"/>
        </w:rPr>
        <w:t>一</w:t>
      </w:r>
      <w:r>
        <w:rPr>
          <w:rFonts w:hint="eastAsia" w:ascii="楷体" w:hAnsi="楷体" w:eastAsia="楷体" w:cs="楷体"/>
          <w:color w:val="auto"/>
          <w:sz w:val="28"/>
          <w:szCs w:val="28"/>
          <w:highlight w:val="none"/>
          <w:lang w:val="en-US"/>
        </w:rPr>
        <w:t>年无问题后，</w:t>
      </w:r>
      <w:r>
        <w:rPr>
          <w:rFonts w:hint="eastAsia" w:ascii="楷体" w:hAnsi="楷体" w:eastAsia="楷体" w:cs="楷体"/>
          <w:b w:val="0"/>
          <w:bCs/>
          <w:color w:val="auto"/>
          <w:sz w:val="28"/>
          <w:szCs w:val="28"/>
          <w:highlight w:val="none"/>
          <w:lang w:val="en-US" w:eastAsia="zh-CN"/>
        </w:rPr>
        <w:t>经审计后</w:t>
      </w:r>
      <w:r>
        <w:rPr>
          <w:rFonts w:hint="eastAsia" w:ascii="楷体" w:hAnsi="楷体" w:eastAsia="楷体" w:cs="楷体"/>
          <w:color w:val="auto"/>
          <w:sz w:val="28"/>
          <w:szCs w:val="28"/>
          <w:highlight w:val="none"/>
          <w:lang w:val="en-US"/>
        </w:rPr>
        <w:t>付清</w:t>
      </w:r>
      <w:r>
        <w:rPr>
          <w:rFonts w:hint="eastAsia" w:ascii="楷体" w:hAnsi="楷体" w:eastAsia="楷体" w:cs="楷体"/>
          <w:color w:val="auto"/>
          <w:sz w:val="28"/>
          <w:szCs w:val="28"/>
          <w:highlight w:val="none"/>
          <w:lang w:val="en-US" w:eastAsia="zh-CN"/>
        </w:rPr>
        <w:t>合同</w:t>
      </w:r>
      <w:r>
        <w:rPr>
          <w:rFonts w:hint="eastAsia" w:ascii="楷体" w:hAnsi="楷体" w:eastAsia="楷体" w:cs="楷体"/>
          <w:color w:val="auto"/>
          <w:sz w:val="28"/>
          <w:szCs w:val="28"/>
          <w:highlight w:val="none"/>
          <w:lang w:val="en-US"/>
        </w:rPr>
        <w:t>尾款</w:t>
      </w:r>
      <w:r>
        <w:rPr>
          <w:rFonts w:hint="eastAsia" w:ascii="楷体" w:hAnsi="楷体" w:eastAsia="楷体" w:cs="楷体"/>
          <w:color w:val="auto"/>
          <w:sz w:val="28"/>
          <w:szCs w:val="28"/>
          <w:highlight w:val="none"/>
          <w:lang w:val="en-US" w:eastAsia="zh-CN"/>
        </w:rPr>
        <w:t>，</w:t>
      </w:r>
      <w:r>
        <w:rPr>
          <w:rFonts w:hint="eastAsia" w:ascii="楷体" w:hAnsi="楷体" w:eastAsia="楷体" w:cs="楷体"/>
          <w:b w:val="0"/>
          <w:bCs/>
          <w:color w:val="auto"/>
          <w:sz w:val="28"/>
          <w:szCs w:val="28"/>
          <w:highlight w:val="none"/>
          <w:lang w:val="en-US"/>
        </w:rPr>
        <w:t>遇有服务响应扣款情形，按扣除后付</w:t>
      </w:r>
      <w:r>
        <w:rPr>
          <w:rFonts w:hint="eastAsia" w:ascii="楷体" w:hAnsi="楷体" w:eastAsia="楷体" w:cs="楷体"/>
          <w:b w:val="0"/>
          <w:bCs/>
          <w:color w:val="auto"/>
          <w:sz w:val="28"/>
          <w:szCs w:val="28"/>
          <w:highlight w:val="none"/>
          <w:lang w:val="en-US" w:eastAsia="zh-CN"/>
        </w:rPr>
        <w:t>清余款</w:t>
      </w:r>
      <w:r>
        <w:rPr>
          <w:rFonts w:hint="eastAsia" w:ascii="楷体" w:hAnsi="楷体" w:eastAsia="楷体" w:cs="楷体"/>
          <w:b w:val="0"/>
          <w:bCs/>
          <w:color w:val="auto"/>
          <w:sz w:val="28"/>
          <w:szCs w:val="28"/>
          <w:highlight w:val="none"/>
          <w:lang w:val="en-US"/>
        </w:rPr>
        <w:t>。</w:t>
      </w:r>
    </w:p>
    <w:p w14:paraId="649A2BDD">
      <w:pPr>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六、</w:t>
      </w:r>
      <w:r>
        <w:rPr>
          <w:rFonts w:hint="eastAsia" w:ascii="楷体" w:hAnsi="楷体" w:eastAsia="楷体" w:cs="楷体"/>
          <w:b/>
          <w:color w:val="auto"/>
          <w:sz w:val="28"/>
          <w:szCs w:val="28"/>
          <w:highlight w:val="none"/>
        </w:rPr>
        <w:t>设备</w:t>
      </w:r>
      <w:r>
        <w:rPr>
          <w:rFonts w:hint="eastAsia" w:ascii="楷体" w:hAnsi="楷体" w:eastAsia="楷体" w:cs="楷体"/>
          <w:b/>
          <w:color w:val="auto"/>
          <w:sz w:val="28"/>
          <w:szCs w:val="28"/>
          <w:highlight w:val="none"/>
          <w:lang w:val="en-US" w:eastAsia="zh-CN"/>
        </w:rPr>
        <w:t>清单</w:t>
      </w:r>
    </w:p>
    <w:tbl>
      <w:tblPr>
        <w:tblStyle w:val="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204"/>
        <w:gridCol w:w="4866"/>
        <w:gridCol w:w="1128"/>
      </w:tblGrid>
      <w:tr w14:paraId="2A1F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0" w:type="dxa"/>
            <w:vMerge w:val="restart"/>
            <w:shd w:val="clear" w:color="000000" w:fill="BFBFBF"/>
            <w:noWrap w:val="0"/>
            <w:vAlign w:val="center"/>
          </w:tcPr>
          <w:p w14:paraId="3B4A9354">
            <w:pPr>
              <w:widowControl/>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序号</w:t>
            </w:r>
          </w:p>
        </w:tc>
        <w:tc>
          <w:tcPr>
            <w:tcW w:w="2204" w:type="dxa"/>
            <w:vMerge w:val="restart"/>
            <w:shd w:val="clear" w:color="000000" w:fill="BFBFBF"/>
            <w:noWrap w:val="0"/>
            <w:vAlign w:val="center"/>
          </w:tcPr>
          <w:p w14:paraId="1BCFB0F1">
            <w:pPr>
              <w:widowControl/>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商品名称</w:t>
            </w:r>
          </w:p>
        </w:tc>
        <w:tc>
          <w:tcPr>
            <w:tcW w:w="4866" w:type="dxa"/>
            <w:vMerge w:val="restart"/>
            <w:shd w:val="clear" w:color="000000" w:fill="BFBFBF"/>
            <w:noWrap w:val="0"/>
            <w:vAlign w:val="center"/>
          </w:tcPr>
          <w:p w14:paraId="53899DA1">
            <w:pPr>
              <w:widowControl/>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规格参数</w:t>
            </w:r>
          </w:p>
        </w:tc>
        <w:tc>
          <w:tcPr>
            <w:tcW w:w="1128" w:type="dxa"/>
            <w:vMerge w:val="restart"/>
            <w:shd w:val="clear" w:color="000000" w:fill="BFBFBF"/>
            <w:noWrap w:val="0"/>
            <w:vAlign w:val="center"/>
          </w:tcPr>
          <w:p w14:paraId="54F035D9">
            <w:pPr>
              <w:widowControl/>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数量</w:t>
            </w:r>
          </w:p>
        </w:tc>
      </w:tr>
      <w:tr w14:paraId="63A9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0" w:type="dxa"/>
            <w:vMerge w:val="continue"/>
            <w:noWrap w:val="0"/>
            <w:vAlign w:val="center"/>
          </w:tcPr>
          <w:p w14:paraId="4D275799">
            <w:pPr>
              <w:widowControl/>
              <w:spacing w:line="360" w:lineRule="auto"/>
              <w:jc w:val="left"/>
              <w:rPr>
                <w:rFonts w:hint="eastAsia" w:ascii="楷体" w:hAnsi="楷体" w:eastAsia="楷体" w:cs="楷体"/>
                <w:b/>
                <w:bCs/>
                <w:color w:val="auto"/>
                <w:kern w:val="0"/>
                <w:sz w:val="28"/>
                <w:szCs w:val="28"/>
                <w:highlight w:val="none"/>
              </w:rPr>
            </w:pPr>
          </w:p>
        </w:tc>
        <w:tc>
          <w:tcPr>
            <w:tcW w:w="2204" w:type="dxa"/>
            <w:vMerge w:val="continue"/>
            <w:noWrap w:val="0"/>
            <w:vAlign w:val="center"/>
          </w:tcPr>
          <w:p w14:paraId="30B7FAF7">
            <w:pPr>
              <w:widowControl/>
              <w:spacing w:line="360" w:lineRule="auto"/>
              <w:jc w:val="left"/>
              <w:rPr>
                <w:rFonts w:hint="eastAsia" w:ascii="楷体" w:hAnsi="楷体" w:eastAsia="楷体" w:cs="楷体"/>
                <w:b/>
                <w:bCs/>
                <w:color w:val="auto"/>
                <w:kern w:val="0"/>
                <w:sz w:val="28"/>
                <w:szCs w:val="28"/>
                <w:highlight w:val="none"/>
              </w:rPr>
            </w:pPr>
          </w:p>
        </w:tc>
        <w:tc>
          <w:tcPr>
            <w:tcW w:w="4866" w:type="dxa"/>
            <w:vMerge w:val="continue"/>
            <w:noWrap w:val="0"/>
            <w:vAlign w:val="center"/>
          </w:tcPr>
          <w:p w14:paraId="4A7FE889">
            <w:pPr>
              <w:widowControl/>
              <w:spacing w:line="360" w:lineRule="auto"/>
              <w:jc w:val="left"/>
              <w:rPr>
                <w:rFonts w:hint="eastAsia" w:ascii="楷体" w:hAnsi="楷体" w:eastAsia="楷体" w:cs="楷体"/>
                <w:b/>
                <w:bCs/>
                <w:color w:val="auto"/>
                <w:kern w:val="0"/>
                <w:sz w:val="28"/>
                <w:szCs w:val="28"/>
                <w:highlight w:val="none"/>
              </w:rPr>
            </w:pPr>
          </w:p>
        </w:tc>
        <w:tc>
          <w:tcPr>
            <w:tcW w:w="1128" w:type="dxa"/>
            <w:vMerge w:val="continue"/>
            <w:noWrap w:val="0"/>
            <w:vAlign w:val="center"/>
          </w:tcPr>
          <w:p w14:paraId="7D1C0A85">
            <w:pPr>
              <w:widowControl/>
              <w:spacing w:line="360" w:lineRule="auto"/>
              <w:jc w:val="left"/>
              <w:rPr>
                <w:rFonts w:hint="eastAsia" w:ascii="楷体" w:hAnsi="楷体" w:eastAsia="楷体" w:cs="楷体"/>
                <w:b/>
                <w:bCs/>
                <w:color w:val="auto"/>
                <w:kern w:val="0"/>
                <w:sz w:val="28"/>
                <w:szCs w:val="28"/>
                <w:highlight w:val="none"/>
              </w:rPr>
            </w:pPr>
          </w:p>
        </w:tc>
      </w:tr>
      <w:tr w14:paraId="6294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290" w:type="dxa"/>
            <w:gridSpan w:val="3"/>
            <w:shd w:val="clear" w:color="000000" w:fill="BFBFBF"/>
            <w:noWrap w:val="0"/>
            <w:vAlign w:val="center"/>
          </w:tcPr>
          <w:p w14:paraId="5EB8A770">
            <w:pPr>
              <w:widowControl/>
              <w:spacing w:line="360" w:lineRule="auto"/>
              <w:jc w:val="left"/>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一、前端摄像机</w:t>
            </w:r>
          </w:p>
        </w:tc>
        <w:tc>
          <w:tcPr>
            <w:tcW w:w="1128" w:type="dxa"/>
            <w:shd w:val="clear" w:color="000000" w:fill="BFBFBF"/>
            <w:noWrap w:val="0"/>
            <w:vAlign w:val="center"/>
          </w:tcPr>
          <w:p w14:paraId="11E4AF6E">
            <w:pPr>
              <w:widowControl/>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　</w:t>
            </w:r>
          </w:p>
        </w:tc>
      </w:tr>
      <w:tr w14:paraId="1780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20" w:type="dxa"/>
            <w:noWrap w:val="0"/>
            <w:vAlign w:val="center"/>
          </w:tcPr>
          <w:p w14:paraId="27F4B2C9">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w:t>
            </w:r>
          </w:p>
        </w:tc>
        <w:tc>
          <w:tcPr>
            <w:tcW w:w="2204" w:type="dxa"/>
            <w:noWrap w:val="0"/>
            <w:vAlign w:val="center"/>
          </w:tcPr>
          <w:p w14:paraId="39DCC31D">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小区出入口人脸识别摄像机</w:t>
            </w:r>
          </w:p>
        </w:tc>
        <w:tc>
          <w:tcPr>
            <w:tcW w:w="4866" w:type="dxa"/>
            <w:noWrap w:val="0"/>
            <w:vAlign w:val="top"/>
          </w:tcPr>
          <w:p w14:paraId="45CADF49">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436AD91E">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68台</w:t>
            </w:r>
          </w:p>
        </w:tc>
      </w:tr>
      <w:tr w14:paraId="650C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0" w:type="dxa"/>
            <w:noWrap w:val="0"/>
            <w:vAlign w:val="center"/>
          </w:tcPr>
          <w:p w14:paraId="3B5BDDB6">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2</w:t>
            </w:r>
          </w:p>
        </w:tc>
        <w:tc>
          <w:tcPr>
            <w:tcW w:w="2204" w:type="dxa"/>
            <w:noWrap w:val="0"/>
            <w:vAlign w:val="center"/>
          </w:tcPr>
          <w:p w14:paraId="4414E385">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小区人员密集、易发案地区普通高清</w:t>
            </w:r>
          </w:p>
        </w:tc>
        <w:tc>
          <w:tcPr>
            <w:tcW w:w="4866" w:type="dxa"/>
            <w:noWrap w:val="0"/>
            <w:vAlign w:val="top"/>
          </w:tcPr>
          <w:p w14:paraId="2C64A91C">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781B1E6F">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4</w:t>
            </w:r>
            <w:r>
              <w:rPr>
                <w:rFonts w:hint="eastAsia" w:ascii="楷体" w:hAnsi="楷体" w:eastAsia="楷体" w:cs="楷体"/>
                <w:color w:val="auto"/>
                <w:kern w:val="0"/>
                <w:sz w:val="28"/>
                <w:szCs w:val="28"/>
                <w:highlight w:val="none"/>
                <w:lang w:val="en-US" w:eastAsia="zh-CN"/>
              </w:rPr>
              <w:t>0</w:t>
            </w:r>
            <w:r>
              <w:rPr>
                <w:rFonts w:hint="eastAsia" w:ascii="楷体" w:hAnsi="楷体" w:eastAsia="楷体" w:cs="楷体"/>
                <w:color w:val="auto"/>
                <w:kern w:val="0"/>
                <w:sz w:val="28"/>
                <w:szCs w:val="28"/>
                <w:highlight w:val="none"/>
              </w:rPr>
              <w:t>2台</w:t>
            </w:r>
          </w:p>
        </w:tc>
      </w:tr>
      <w:tr w14:paraId="53A0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20" w:type="dxa"/>
            <w:noWrap w:val="0"/>
            <w:vAlign w:val="center"/>
          </w:tcPr>
          <w:p w14:paraId="68E9E832">
            <w:pPr>
              <w:widowControl/>
              <w:spacing w:line="360" w:lineRule="auto"/>
              <w:jc w:val="left"/>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3</w:t>
            </w:r>
          </w:p>
        </w:tc>
        <w:tc>
          <w:tcPr>
            <w:tcW w:w="2204" w:type="dxa"/>
            <w:noWrap w:val="0"/>
            <w:vAlign w:val="center"/>
          </w:tcPr>
          <w:p w14:paraId="71C6D5B2">
            <w:pPr>
              <w:widowControl/>
              <w:spacing w:line="360" w:lineRule="auto"/>
              <w:jc w:val="left"/>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rPr>
              <w:t>全结构双目相机</w:t>
            </w:r>
          </w:p>
        </w:tc>
        <w:tc>
          <w:tcPr>
            <w:tcW w:w="4866" w:type="dxa"/>
            <w:noWrap w:val="0"/>
            <w:vAlign w:val="top"/>
          </w:tcPr>
          <w:p w14:paraId="3AD8EC31">
            <w:pPr>
              <w:widowControl/>
              <w:spacing w:line="360" w:lineRule="auto"/>
              <w:jc w:val="left"/>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7A79E51A">
            <w:pPr>
              <w:widowControl/>
              <w:spacing w:line="360" w:lineRule="auto"/>
              <w:jc w:val="center"/>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rPr>
              <w:t>52</w:t>
            </w:r>
            <w:r>
              <w:rPr>
                <w:rFonts w:hint="eastAsia" w:ascii="楷体" w:hAnsi="楷体" w:eastAsia="楷体" w:cs="楷体"/>
                <w:color w:val="auto"/>
                <w:kern w:val="0"/>
                <w:sz w:val="28"/>
                <w:szCs w:val="28"/>
                <w:highlight w:val="none"/>
              </w:rPr>
              <w:t>台</w:t>
            </w:r>
          </w:p>
        </w:tc>
      </w:tr>
      <w:tr w14:paraId="56DE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290" w:type="dxa"/>
            <w:gridSpan w:val="3"/>
            <w:shd w:val="clear" w:color="000000" w:fill="BFBFBF"/>
            <w:noWrap w:val="0"/>
            <w:vAlign w:val="center"/>
          </w:tcPr>
          <w:p w14:paraId="4DAB3654">
            <w:pPr>
              <w:widowControl/>
              <w:spacing w:line="360" w:lineRule="auto"/>
              <w:jc w:val="left"/>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二、中心存储及平台建设要求</w:t>
            </w:r>
          </w:p>
        </w:tc>
        <w:tc>
          <w:tcPr>
            <w:tcW w:w="1128" w:type="dxa"/>
            <w:noWrap w:val="0"/>
            <w:vAlign w:val="center"/>
          </w:tcPr>
          <w:p w14:paraId="63890663">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　</w:t>
            </w:r>
          </w:p>
        </w:tc>
      </w:tr>
      <w:tr w14:paraId="6340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290" w:type="dxa"/>
            <w:gridSpan w:val="3"/>
            <w:shd w:val="clear" w:color="000000" w:fill="BFBFBF"/>
            <w:noWrap w:val="0"/>
            <w:vAlign w:val="center"/>
          </w:tcPr>
          <w:p w14:paraId="45FD7C11">
            <w:pPr>
              <w:widowControl/>
              <w:spacing w:line="360" w:lineRule="auto"/>
              <w:jc w:val="left"/>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2.1平台软件</w:t>
            </w:r>
          </w:p>
        </w:tc>
        <w:tc>
          <w:tcPr>
            <w:tcW w:w="1128" w:type="dxa"/>
            <w:noWrap w:val="0"/>
            <w:vAlign w:val="center"/>
          </w:tcPr>
          <w:p w14:paraId="186EC0A8">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　</w:t>
            </w:r>
          </w:p>
        </w:tc>
      </w:tr>
      <w:tr w14:paraId="2222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20" w:type="dxa"/>
            <w:noWrap w:val="0"/>
            <w:vAlign w:val="center"/>
          </w:tcPr>
          <w:p w14:paraId="512AF89E">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w:t>
            </w:r>
          </w:p>
        </w:tc>
        <w:tc>
          <w:tcPr>
            <w:tcW w:w="2204" w:type="dxa"/>
            <w:noWrap w:val="0"/>
            <w:vAlign w:val="center"/>
          </w:tcPr>
          <w:p w14:paraId="4562C9F5">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平台授权</w:t>
            </w:r>
          </w:p>
        </w:tc>
        <w:tc>
          <w:tcPr>
            <w:tcW w:w="4866" w:type="dxa"/>
            <w:noWrap w:val="0"/>
            <w:vAlign w:val="center"/>
          </w:tcPr>
          <w:p w14:paraId="2A0512ED">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由</w:t>
            </w:r>
            <w:r>
              <w:rPr>
                <w:rFonts w:hint="eastAsia" w:ascii="楷体" w:hAnsi="楷体" w:eastAsia="楷体" w:cs="楷体"/>
                <w:color w:val="auto"/>
                <w:kern w:val="0"/>
                <w:sz w:val="28"/>
                <w:szCs w:val="28"/>
                <w:highlight w:val="none"/>
                <w:lang w:val="en-US" w:eastAsia="zh-CN"/>
              </w:rPr>
              <w:t>供应商</w:t>
            </w:r>
            <w:r>
              <w:rPr>
                <w:rFonts w:hint="eastAsia" w:ascii="楷体" w:hAnsi="楷体" w:eastAsia="楷体" w:cs="楷体"/>
                <w:color w:val="auto"/>
                <w:kern w:val="0"/>
                <w:sz w:val="28"/>
                <w:szCs w:val="28"/>
                <w:highlight w:val="none"/>
              </w:rPr>
              <w:t>与原平台厂家</w:t>
            </w:r>
            <w:r>
              <w:rPr>
                <w:rFonts w:hint="eastAsia" w:ascii="楷体" w:hAnsi="楷体" w:eastAsia="楷体" w:cs="楷体"/>
                <w:color w:val="auto"/>
                <w:kern w:val="0"/>
                <w:sz w:val="28"/>
                <w:szCs w:val="28"/>
                <w:highlight w:val="none"/>
                <w:lang w:val="en-US" w:eastAsia="zh-CN"/>
              </w:rPr>
              <w:t>协商</w:t>
            </w:r>
            <w:r>
              <w:rPr>
                <w:rFonts w:hint="eastAsia" w:ascii="楷体" w:hAnsi="楷体" w:eastAsia="楷体" w:cs="楷体"/>
                <w:color w:val="auto"/>
                <w:kern w:val="0"/>
                <w:sz w:val="28"/>
                <w:szCs w:val="28"/>
                <w:highlight w:val="none"/>
              </w:rPr>
              <w:t>，保证中标单位接入</w:t>
            </w:r>
          </w:p>
        </w:tc>
        <w:tc>
          <w:tcPr>
            <w:tcW w:w="1128" w:type="dxa"/>
            <w:noWrap w:val="0"/>
            <w:vAlign w:val="center"/>
          </w:tcPr>
          <w:p w14:paraId="0AA0D10B">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lang w:val="en-US" w:eastAsia="zh-CN"/>
              </w:rPr>
              <w:t>642</w:t>
            </w:r>
            <w:r>
              <w:rPr>
                <w:rFonts w:hint="eastAsia" w:ascii="楷体" w:hAnsi="楷体" w:eastAsia="楷体" w:cs="楷体"/>
                <w:color w:val="auto"/>
                <w:kern w:val="0"/>
                <w:sz w:val="28"/>
                <w:szCs w:val="28"/>
                <w:highlight w:val="none"/>
              </w:rPr>
              <w:t>路</w:t>
            </w:r>
          </w:p>
        </w:tc>
      </w:tr>
      <w:tr w14:paraId="318B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290" w:type="dxa"/>
            <w:gridSpan w:val="3"/>
            <w:shd w:val="clear" w:color="000000" w:fill="BFBFBF"/>
            <w:noWrap w:val="0"/>
            <w:vAlign w:val="center"/>
          </w:tcPr>
          <w:p w14:paraId="36EACDF9">
            <w:pPr>
              <w:widowControl/>
              <w:spacing w:line="360" w:lineRule="auto"/>
              <w:jc w:val="left"/>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2.2平台服务器扩容</w:t>
            </w:r>
          </w:p>
        </w:tc>
        <w:tc>
          <w:tcPr>
            <w:tcW w:w="1128" w:type="dxa"/>
            <w:noWrap w:val="0"/>
            <w:vAlign w:val="center"/>
          </w:tcPr>
          <w:p w14:paraId="606D2DF8">
            <w:pPr>
              <w:widowControl/>
              <w:spacing w:line="360" w:lineRule="auto"/>
              <w:jc w:val="center"/>
              <w:rPr>
                <w:rFonts w:hint="eastAsia" w:ascii="楷体" w:hAnsi="楷体" w:eastAsia="楷体" w:cs="楷体"/>
                <w:color w:val="auto"/>
                <w:kern w:val="0"/>
                <w:sz w:val="28"/>
                <w:szCs w:val="28"/>
                <w:highlight w:val="none"/>
              </w:rPr>
            </w:pPr>
          </w:p>
        </w:tc>
      </w:tr>
      <w:tr w14:paraId="62B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20" w:type="dxa"/>
            <w:noWrap w:val="0"/>
            <w:vAlign w:val="center"/>
          </w:tcPr>
          <w:p w14:paraId="7605FC46">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w:t>
            </w:r>
          </w:p>
        </w:tc>
        <w:tc>
          <w:tcPr>
            <w:tcW w:w="2204" w:type="dxa"/>
            <w:noWrap w:val="0"/>
            <w:vAlign w:val="center"/>
          </w:tcPr>
          <w:p w14:paraId="6D092526">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流媒体服务器</w:t>
            </w:r>
          </w:p>
        </w:tc>
        <w:tc>
          <w:tcPr>
            <w:tcW w:w="4866" w:type="dxa"/>
            <w:noWrap w:val="0"/>
            <w:vAlign w:val="top"/>
          </w:tcPr>
          <w:p w14:paraId="31B43C81">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2FCB6CB4">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2台</w:t>
            </w:r>
          </w:p>
        </w:tc>
      </w:tr>
      <w:tr w14:paraId="2E6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20" w:type="dxa"/>
            <w:noWrap w:val="0"/>
            <w:vAlign w:val="center"/>
          </w:tcPr>
          <w:p w14:paraId="7B576DC4">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2</w:t>
            </w:r>
          </w:p>
        </w:tc>
        <w:tc>
          <w:tcPr>
            <w:tcW w:w="2204" w:type="dxa"/>
            <w:noWrap w:val="0"/>
            <w:vAlign w:val="center"/>
          </w:tcPr>
          <w:p w14:paraId="5A7D49B6">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视频管理服务器</w:t>
            </w:r>
          </w:p>
        </w:tc>
        <w:tc>
          <w:tcPr>
            <w:tcW w:w="4866" w:type="dxa"/>
            <w:noWrap w:val="0"/>
            <w:vAlign w:val="top"/>
          </w:tcPr>
          <w:p w14:paraId="5119C48C">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293DB2F4">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1台</w:t>
            </w:r>
          </w:p>
        </w:tc>
      </w:tr>
      <w:tr w14:paraId="00F8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20" w:type="dxa"/>
            <w:noWrap w:val="0"/>
            <w:vAlign w:val="center"/>
          </w:tcPr>
          <w:p w14:paraId="1177F041">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3</w:t>
            </w:r>
          </w:p>
        </w:tc>
        <w:tc>
          <w:tcPr>
            <w:tcW w:w="2204" w:type="dxa"/>
            <w:noWrap w:val="0"/>
            <w:vAlign w:val="center"/>
          </w:tcPr>
          <w:p w14:paraId="012FD9A2">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视频质量诊断服务平台</w:t>
            </w:r>
          </w:p>
        </w:tc>
        <w:tc>
          <w:tcPr>
            <w:tcW w:w="4866" w:type="dxa"/>
            <w:noWrap w:val="0"/>
            <w:vAlign w:val="top"/>
          </w:tcPr>
          <w:p w14:paraId="420AF59D">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34C68B74">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1台</w:t>
            </w:r>
          </w:p>
        </w:tc>
      </w:tr>
      <w:tr w14:paraId="1DB7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290" w:type="dxa"/>
            <w:gridSpan w:val="3"/>
            <w:shd w:val="clear" w:color="000000" w:fill="BFBFBF"/>
            <w:noWrap w:val="0"/>
            <w:vAlign w:val="center"/>
          </w:tcPr>
          <w:p w14:paraId="6BCB6402">
            <w:pPr>
              <w:widowControl/>
              <w:spacing w:line="360" w:lineRule="auto"/>
              <w:jc w:val="left"/>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2.3存储设备扩容</w:t>
            </w:r>
          </w:p>
        </w:tc>
        <w:tc>
          <w:tcPr>
            <w:tcW w:w="1128" w:type="dxa"/>
            <w:noWrap w:val="0"/>
            <w:vAlign w:val="center"/>
          </w:tcPr>
          <w:p w14:paraId="02C7DEF1">
            <w:pPr>
              <w:widowControl/>
              <w:spacing w:line="360" w:lineRule="auto"/>
              <w:jc w:val="center"/>
              <w:rPr>
                <w:rFonts w:hint="eastAsia" w:ascii="楷体" w:hAnsi="楷体" w:eastAsia="楷体" w:cs="楷体"/>
                <w:color w:val="auto"/>
                <w:kern w:val="0"/>
                <w:sz w:val="28"/>
                <w:szCs w:val="28"/>
                <w:highlight w:val="none"/>
              </w:rPr>
            </w:pPr>
          </w:p>
        </w:tc>
      </w:tr>
      <w:tr w14:paraId="49D6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20" w:type="dxa"/>
            <w:noWrap w:val="0"/>
            <w:vAlign w:val="center"/>
          </w:tcPr>
          <w:p w14:paraId="59FAEEC8">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1</w:t>
            </w:r>
          </w:p>
        </w:tc>
        <w:tc>
          <w:tcPr>
            <w:tcW w:w="2204" w:type="dxa"/>
            <w:noWrap w:val="0"/>
            <w:vAlign w:val="center"/>
          </w:tcPr>
          <w:p w14:paraId="662E13B7">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网络存储设备</w:t>
            </w:r>
          </w:p>
        </w:tc>
        <w:tc>
          <w:tcPr>
            <w:tcW w:w="4866" w:type="dxa"/>
            <w:noWrap w:val="0"/>
            <w:vAlign w:val="top"/>
          </w:tcPr>
          <w:p w14:paraId="1F039DE7">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详见主要设备技术指标</w:t>
            </w:r>
          </w:p>
        </w:tc>
        <w:tc>
          <w:tcPr>
            <w:tcW w:w="1128" w:type="dxa"/>
            <w:noWrap w:val="0"/>
            <w:vAlign w:val="center"/>
          </w:tcPr>
          <w:p w14:paraId="40C7BE0A">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4台</w:t>
            </w:r>
          </w:p>
        </w:tc>
      </w:tr>
      <w:tr w14:paraId="17B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220" w:type="dxa"/>
            <w:noWrap w:val="0"/>
            <w:vAlign w:val="center"/>
          </w:tcPr>
          <w:p w14:paraId="3625E04E">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2</w:t>
            </w:r>
          </w:p>
        </w:tc>
        <w:tc>
          <w:tcPr>
            <w:tcW w:w="2204" w:type="dxa"/>
            <w:noWrap w:val="0"/>
            <w:vAlign w:val="center"/>
          </w:tcPr>
          <w:p w14:paraId="20F0EAD4">
            <w:pPr>
              <w:widowControl/>
              <w:spacing w:line="360" w:lineRule="auto"/>
              <w:jc w:val="left"/>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rPr>
              <w:t>企业级硬盘（6T）</w:t>
            </w:r>
          </w:p>
        </w:tc>
        <w:tc>
          <w:tcPr>
            <w:tcW w:w="4866" w:type="dxa"/>
            <w:noWrap w:val="0"/>
            <w:vAlign w:val="top"/>
          </w:tcPr>
          <w:p w14:paraId="6905925B">
            <w:pPr>
              <w:widowControl/>
              <w:spacing w:line="360" w:lineRule="auto"/>
              <w:jc w:val="left"/>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rPr>
              <w:t>根据项目需求，完成前端设备视频40天的存储</w:t>
            </w:r>
            <w:r>
              <w:rPr>
                <w:rFonts w:hint="eastAsia" w:ascii="楷体" w:hAnsi="楷体" w:eastAsia="楷体" w:cs="楷体"/>
                <w:color w:val="auto"/>
                <w:kern w:val="0"/>
                <w:sz w:val="28"/>
                <w:szCs w:val="28"/>
                <w:highlight w:val="none"/>
                <w:lang w:eastAsia="zh-CN"/>
              </w:rPr>
              <w:t>，</w:t>
            </w:r>
            <w:r>
              <w:rPr>
                <w:rFonts w:hint="eastAsia" w:ascii="楷体" w:hAnsi="楷体" w:eastAsia="楷体" w:cs="楷体"/>
                <w:color w:val="auto"/>
                <w:kern w:val="0"/>
                <w:sz w:val="28"/>
                <w:szCs w:val="28"/>
                <w:highlight w:val="none"/>
                <w:lang w:val="en-US" w:eastAsia="zh-CN"/>
              </w:rPr>
              <w:t>如不满足，</w:t>
            </w:r>
            <w:r>
              <w:rPr>
                <w:rFonts w:hint="eastAsia" w:ascii="楷体" w:hAnsi="楷体" w:eastAsia="楷体" w:cs="楷体"/>
                <w:color w:val="auto"/>
                <w:kern w:val="0"/>
                <w:sz w:val="28"/>
                <w:szCs w:val="28"/>
                <w:highlight w:val="none"/>
              </w:rPr>
              <w:t>供应商自行计算</w:t>
            </w:r>
            <w:r>
              <w:rPr>
                <w:rFonts w:hint="eastAsia" w:ascii="楷体" w:hAnsi="楷体" w:eastAsia="楷体" w:cs="楷体"/>
                <w:color w:val="auto"/>
                <w:kern w:val="0"/>
                <w:sz w:val="28"/>
                <w:szCs w:val="28"/>
                <w:highlight w:val="none"/>
                <w:lang w:val="en-US" w:eastAsia="zh-CN"/>
              </w:rPr>
              <w:t>补足。</w:t>
            </w:r>
          </w:p>
        </w:tc>
        <w:tc>
          <w:tcPr>
            <w:tcW w:w="1128" w:type="dxa"/>
            <w:noWrap w:val="0"/>
            <w:vAlign w:val="center"/>
          </w:tcPr>
          <w:p w14:paraId="1FF078BD">
            <w:pPr>
              <w:widowControl/>
              <w:spacing w:line="360" w:lineRule="auto"/>
              <w:jc w:val="center"/>
              <w:rPr>
                <w:rFonts w:hint="eastAsia" w:ascii="楷体" w:hAnsi="楷体" w:eastAsia="楷体" w:cs="楷体"/>
                <w:color w:val="auto"/>
                <w:kern w:val="0"/>
                <w:sz w:val="28"/>
                <w:szCs w:val="28"/>
                <w:highlight w:val="none"/>
              </w:rPr>
            </w:pPr>
            <w:r>
              <w:rPr>
                <w:rFonts w:hint="eastAsia" w:ascii="楷体" w:hAnsi="楷体" w:eastAsia="楷体" w:cs="楷体"/>
                <w:color w:val="auto"/>
                <w:kern w:val="0"/>
                <w:sz w:val="28"/>
                <w:szCs w:val="28"/>
                <w:highlight w:val="none"/>
                <w:lang w:val="en-US" w:eastAsia="zh-CN"/>
              </w:rPr>
              <w:t>180</w:t>
            </w:r>
            <w:r>
              <w:rPr>
                <w:rFonts w:hint="eastAsia" w:ascii="楷体" w:hAnsi="楷体" w:eastAsia="楷体" w:cs="楷体"/>
                <w:color w:val="auto"/>
                <w:kern w:val="0"/>
                <w:sz w:val="28"/>
                <w:szCs w:val="28"/>
                <w:highlight w:val="none"/>
              </w:rPr>
              <w:t>块</w:t>
            </w:r>
          </w:p>
        </w:tc>
      </w:tr>
    </w:tbl>
    <w:p w14:paraId="5B808815">
      <w:pPr>
        <w:pStyle w:val="3"/>
        <w:spacing w:line="360" w:lineRule="auto"/>
        <w:rPr>
          <w:rFonts w:hint="eastAsia" w:ascii="楷体" w:hAnsi="楷体" w:eastAsia="楷体" w:cs="楷体"/>
          <w:b/>
          <w:color w:val="auto"/>
          <w:sz w:val="28"/>
          <w:szCs w:val="28"/>
          <w:highlight w:val="none"/>
        </w:rPr>
      </w:pPr>
      <w:r>
        <w:rPr>
          <w:rFonts w:hint="eastAsia" w:ascii="楷体" w:hAnsi="楷体" w:eastAsia="楷体" w:cs="楷体"/>
          <w:b/>
          <w:bCs/>
          <w:color w:val="auto"/>
          <w:sz w:val="28"/>
          <w:szCs w:val="28"/>
          <w:highlight w:val="none"/>
          <w:lang w:val="en-US" w:eastAsia="zh-CN"/>
        </w:rPr>
        <w:t>七</w:t>
      </w:r>
      <w:r>
        <w:rPr>
          <w:rFonts w:hint="eastAsia" w:ascii="楷体" w:hAnsi="楷体" w:eastAsia="楷体" w:cs="楷体"/>
          <w:b/>
          <w:bCs/>
          <w:color w:val="auto"/>
          <w:sz w:val="28"/>
          <w:szCs w:val="28"/>
          <w:highlight w:val="none"/>
        </w:rPr>
        <w:t>、</w:t>
      </w:r>
      <w:r>
        <w:rPr>
          <w:rFonts w:hint="eastAsia" w:ascii="楷体" w:hAnsi="楷体" w:eastAsia="楷体" w:cs="楷体"/>
          <w:b/>
          <w:color w:val="auto"/>
          <w:sz w:val="28"/>
          <w:szCs w:val="28"/>
          <w:highlight w:val="none"/>
        </w:rPr>
        <w:t>主要设备技术指标</w:t>
      </w:r>
    </w:p>
    <w:p w14:paraId="4EA562A1">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7.1</w:t>
      </w:r>
      <w:r>
        <w:rPr>
          <w:rFonts w:hint="eastAsia" w:ascii="楷体" w:hAnsi="楷体" w:eastAsia="楷体" w:cs="楷体"/>
          <w:color w:val="auto"/>
          <w:sz w:val="28"/>
          <w:szCs w:val="28"/>
          <w:highlight w:val="none"/>
        </w:rPr>
        <w:t>流媒体服务器</w:t>
      </w:r>
      <w:r>
        <w:rPr>
          <w:rFonts w:hint="eastAsia" w:ascii="楷体" w:hAnsi="楷体" w:eastAsia="楷体" w:cs="楷体"/>
          <w:color w:val="auto"/>
          <w:sz w:val="28"/>
          <w:szCs w:val="28"/>
          <w:highlight w:val="none"/>
          <w:lang w:eastAsia="zh-CN"/>
        </w:rPr>
        <w:t>：</w:t>
      </w:r>
    </w:p>
    <w:tbl>
      <w:tblPr>
        <w:tblStyle w:val="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771"/>
      </w:tblGrid>
      <w:tr w14:paraId="4ADB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center"/>
          </w:tcPr>
          <w:p w14:paraId="65661557">
            <w:pPr>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指标项</w:t>
            </w:r>
          </w:p>
        </w:tc>
        <w:tc>
          <w:tcPr>
            <w:tcW w:w="6771" w:type="dxa"/>
            <w:shd w:val="clear" w:color="000000" w:fill="FFFFFF"/>
            <w:noWrap w:val="0"/>
            <w:vAlign w:val="center"/>
          </w:tcPr>
          <w:p w14:paraId="2C96626D">
            <w:pPr>
              <w:ind w:left="3" w:leftChars="-5" w:hanging="14" w:hangingChars="5"/>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参数要求</w:t>
            </w:r>
          </w:p>
        </w:tc>
      </w:tr>
      <w:tr w14:paraId="586A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top"/>
          </w:tcPr>
          <w:p w14:paraId="0F08253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总体要求</w:t>
            </w:r>
          </w:p>
        </w:tc>
        <w:tc>
          <w:tcPr>
            <w:tcW w:w="6771" w:type="dxa"/>
            <w:shd w:val="clear" w:color="000000" w:fill="FFFFFF"/>
            <w:noWrap w:val="0"/>
            <w:vAlign w:val="top"/>
          </w:tcPr>
          <w:p w14:paraId="6834C9F7">
            <w:pP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国内外知名厂商；</w:t>
            </w:r>
          </w:p>
        </w:tc>
      </w:tr>
      <w:tr w14:paraId="32EB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vMerge w:val="restart"/>
            <w:shd w:val="clear" w:color="000000" w:fill="FFFFFF"/>
            <w:noWrap w:val="0"/>
            <w:vAlign w:val="center"/>
          </w:tcPr>
          <w:p w14:paraId="4CA6E0EB">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外型</w:t>
            </w:r>
          </w:p>
        </w:tc>
        <w:tc>
          <w:tcPr>
            <w:tcW w:w="6771" w:type="dxa"/>
            <w:shd w:val="clear" w:color="000000" w:fill="FFFFFF"/>
            <w:noWrap w:val="0"/>
            <w:vAlign w:val="top"/>
          </w:tcPr>
          <w:p w14:paraId="7A737C86">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服务器外型：机架式</w:t>
            </w:r>
          </w:p>
        </w:tc>
      </w:tr>
      <w:tr w14:paraId="1A93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vMerge w:val="continue"/>
            <w:shd w:val="clear" w:color="000000" w:fill="FFFFFF"/>
            <w:noWrap w:val="0"/>
            <w:vAlign w:val="top"/>
          </w:tcPr>
          <w:p w14:paraId="20F83E8D">
            <w:pPr>
              <w:pStyle w:val="7"/>
              <w:rPr>
                <w:rFonts w:hint="eastAsia" w:ascii="楷体" w:hAnsi="楷体" w:eastAsia="楷体" w:cs="楷体"/>
                <w:color w:val="auto"/>
                <w:sz w:val="28"/>
                <w:szCs w:val="28"/>
                <w:highlight w:val="none"/>
              </w:rPr>
            </w:pPr>
          </w:p>
        </w:tc>
        <w:tc>
          <w:tcPr>
            <w:tcW w:w="6771" w:type="dxa"/>
            <w:shd w:val="clear" w:color="000000" w:fill="FFFFFF"/>
            <w:noWrap w:val="0"/>
            <w:vAlign w:val="top"/>
          </w:tcPr>
          <w:p w14:paraId="523FD733">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服务器高度：≥2U，标配原厂导轨</w:t>
            </w:r>
          </w:p>
        </w:tc>
      </w:tr>
      <w:tr w14:paraId="6811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528" w:type="dxa"/>
            <w:shd w:val="clear" w:color="000000" w:fill="FFFFFF"/>
            <w:noWrap w:val="0"/>
            <w:vAlign w:val="center"/>
          </w:tcPr>
          <w:p w14:paraId="099054A8">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CPU</w:t>
            </w:r>
          </w:p>
        </w:tc>
        <w:tc>
          <w:tcPr>
            <w:tcW w:w="6771" w:type="dxa"/>
            <w:shd w:val="clear" w:color="000000" w:fill="FFFFFF"/>
            <w:noWrap w:val="0"/>
            <w:vAlign w:val="center"/>
          </w:tcPr>
          <w:p w14:paraId="7D6C71E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本次配置≥E5-2620 V4×2</w:t>
            </w:r>
          </w:p>
        </w:tc>
      </w:tr>
      <w:tr w14:paraId="20FA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center"/>
          </w:tcPr>
          <w:p w14:paraId="4B18F6D7">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内存</w:t>
            </w:r>
          </w:p>
        </w:tc>
        <w:tc>
          <w:tcPr>
            <w:tcW w:w="6771" w:type="dxa"/>
            <w:shd w:val="clear" w:color="000000" w:fill="FFFFFF"/>
            <w:noWrap w:val="0"/>
            <w:vAlign w:val="top"/>
          </w:tcPr>
          <w:p w14:paraId="65E91B03">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本次配置≥16GB DDR4</w:t>
            </w:r>
          </w:p>
        </w:tc>
      </w:tr>
      <w:tr w14:paraId="7E03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center"/>
          </w:tcPr>
          <w:p w14:paraId="1CE01093">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硬盘</w:t>
            </w:r>
          </w:p>
        </w:tc>
        <w:tc>
          <w:tcPr>
            <w:tcW w:w="6771" w:type="dxa"/>
            <w:shd w:val="clear" w:color="000000" w:fill="FFFFFF"/>
            <w:noWrap w:val="0"/>
            <w:vAlign w:val="center"/>
          </w:tcPr>
          <w:p w14:paraId="6D1888EC">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本次配置≥300GB SAS×2</w:t>
            </w:r>
          </w:p>
        </w:tc>
      </w:tr>
      <w:tr w14:paraId="6A28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top"/>
          </w:tcPr>
          <w:p w14:paraId="048D2685">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网卡</w:t>
            </w:r>
          </w:p>
        </w:tc>
        <w:tc>
          <w:tcPr>
            <w:tcW w:w="6771" w:type="dxa"/>
            <w:shd w:val="clear" w:color="000000" w:fill="FFFFFF"/>
            <w:noWrap w:val="0"/>
            <w:vAlign w:val="top"/>
          </w:tcPr>
          <w:p w14:paraId="79A51DF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本次配置≥4个10/100/1000M-BaseT 以太网接口 </w:t>
            </w:r>
          </w:p>
        </w:tc>
      </w:tr>
      <w:tr w14:paraId="4B86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top"/>
          </w:tcPr>
          <w:p w14:paraId="0363A5B3">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操作系统</w:t>
            </w:r>
          </w:p>
        </w:tc>
        <w:tc>
          <w:tcPr>
            <w:tcW w:w="6771" w:type="dxa"/>
            <w:shd w:val="clear" w:color="000000" w:fill="FFFFFF"/>
            <w:noWrap w:val="0"/>
            <w:vAlign w:val="top"/>
          </w:tcPr>
          <w:p w14:paraId="4DD8BFF1">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Windows Server 2008 R2简体中文标准版</w:t>
            </w:r>
          </w:p>
        </w:tc>
      </w:tr>
      <w:tr w14:paraId="6C44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28" w:type="dxa"/>
            <w:shd w:val="clear" w:color="000000" w:fill="FFFFFF"/>
            <w:noWrap w:val="0"/>
            <w:vAlign w:val="center"/>
          </w:tcPr>
          <w:p w14:paraId="6F996437">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冗余电源</w:t>
            </w:r>
          </w:p>
        </w:tc>
        <w:tc>
          <w:tcPr>
            <w:tcW w:w="6771" w:type="dxa"/>
            <w:shd w:val="clear" w:color="000000" w:fill="FFFFFF"/>
            <w:noWrap w:val="0"/>
            <w:vAlign w:val="top"/>
          </w:tcPr>
          <w:p w14:paraId="43CBA645">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配置冗余电源</w:t>
            </w:r>
          </w:p>
        </w:tc>
      </w:tr>
      <w:tr w14:paraId="2CC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28" w:type="dxa"/>
            <w:shd w:val="clear" w:color="000000" w:fill="FFFFFF"/>
            <w:noWrap w:val="0"/>
            <w:vAlign w:val="center"/>
          </w:tcPr>
          <w:p w14:paraId="06104519">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电源电压</w:t>
            </w:r>
          </w:p>
        </w:tc>
        <w:tc>
          <w:tcPr>
            <w:tcW w:w="6771" w:type="dxa"/>
            <w:shd w:val="clear" w:color="000000" w:fill="FFFFFF"/>
            <w:noWrap w:val="0"/>
            <w:vAlign w:val="top"/>
          </w:tcPr>
          <w:p w14:paraId="72BA3934">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220V</w:t>
            </w:r>
          </w:p>
        </w:tc>
      </w:tr>
    </w:tbl>
    <w:p w14:paraId="15BF2CC0">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7.2</w:t>
      </w:r>
      <w:r>
        <w:rPr>
          <w:rFonts w:hint="eastAsia" w:ascii="楷体" w:hAnsi="楷体" w:eastAsia="楷体" w:cs="楷体"/>
          <w:color w:val="auto"/>
          <w:sz w:val="28"/>
          <w:szCs w:val="28"/>
          <w:highlight w:val="none"/>
        </w:rPr>
        <w:t>视频管理服务器</w:t>
      </w:r>
      <w:r>
        <w:rPr>
          <w:rFonts w:hint="eastAsia" w:ascii="楷体" w:hAnsi="楷体" w:eastAsia="楷体" w:cs="楷体"/>
          <w:color w:val="auto"/>
          <w:sz w:val="28"/>
          <w:szCs w:val="28"/>
          <w:highlight w:val="none"/>
          <w:lang w:eastAsia="zh-CN"/>
        </w:rPr>
        <w:t>：</w:t>
      </w:r>
    </w:p>
    <w:tbl>
      <w:tblPr>
        <w:tblStyle w:val="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772"/>
      </w:tblGrid>
      <w:tr w14:paraId="7F6E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center"/>
          </w:tcPr>
          <w:p w14:paraId="091FE813">
            <w:pPr>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指标项</w:t>
            </w:r>
          </w:p>
        </w:tc>
        <w:tc>
          <w:tcPr>
            <w:tcW w:w="6772" w:type="dxa"/>
            <w:shd w:val="clear" w:color="000000" w:fill="FFFFFF"/>
            <w:noWrap w:val="0"/>
            <w:vAlign w:val="center"/>
          </w:tcPr>
          <w:p w14:paraId="6DB03583">
            <w:pPr>
              <w:ind w:left="3" w:leftChars="-5" w:hanging="14" w:hangingChars="5"/>
              <w:jc w:val="center"/>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参数要求</w:t>
            </w:r>
          </w:p>
        </w:tc>
      </w:tr>
      <w:tr w14:paraId="14EA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top"/>
          </w:tcPr>
          <w:p w14:paraId="0EA9167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总体要求</w:t>
            </w:r>
          </w:p>
        </w:tc>
        <w:tc>
          <w:tcPr>
            <w:tcW w:w="6772" w:type="dxa"/>
            <w:shd w:val="clear" w:color="000000" w:fill="FFFFFF"/>
            <w:noWrap w:val="0"/>
            <w:vAlign w:val="top"/>
          </w:tcPr>
          <w:p w14:paraId="0EBAF51B">
            <w:pP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国内外知名厂商；</w:t>
            </w:r>
          </w:p>
        </w:tc>
      </w:tr>
      <w:tr w14:paraId="247E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vMerge w:val="restart"/>
            <w:shd w:val="clear" w:color="000000" w:fill="FFFFFF"/>
            <w:noWrap w:val="0"/>
            <w:vAlign w:val="center"/>
          </w:tcPr>
          <w:p w14:paraId="6FEC06B7">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外型</w:t>
            </w:r>
          </w:p>
        </w:tc>
        <w:tc>
          <w:tcPr>
            <w:tcW w:w="6772" w:type="dxa"/>
            <w:shd w:val="clear" w:color="000000" w:fill="FFFFFF"/>
            <w:noWrap w:val="0"/>
            <w:vAlign w:val="top"/>
          </w:tcPr>
          <w:p w14:paraId="5798183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服务器外型：机架式</w:t>
            </w:r>
          </w:p>
        </w:tc>
      </w:tr>
      <w:tr w14:paraId="4CAA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vMerge w:val="continue"/>
            <w:shd w:val="clear" w:color="000000" w:fill="FFFFFF"/>
            <w:noWrap w:val="0"/>
            <w:vAlign w:val="top"/>
          </w:tcPr>
          <w:p w14:paraId="4C7E28BF">
            <w:pPr>
              <w:pStyle w:val="7"/>
              <w:rPr>
                <w:rFonts w:hint="eastAsia" w:ascii="楷体" w:hAnsi="楷体" w:eastAsia="楷体" w:cs="楷体"/>
                <w:color w:val="auto"/>
                <w:sz w:val="28"/>
                <w:szCs w:val="28"/>
                <w:highlight w:val="none"/>
              </w:rPr>
            </w:pPr>
          </w:p>
        </w:tc>
        <w:tc>
          <w:tcPr>
            <w:tcW w:w="6772" w:type="dxa"/>
            <w:shd w:val="clear" w:color="000000" w:fill="FFFFFF"/>
            <w:noWrap w:val="0"/>
            <w:vAlign w:val="top"/>
          </w:tcPr>
          <w:p w14:paraId="3E3010F8">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服务器高度：≥2U，标配原厂导轨</w:t>
            </w:r>
          </w:p>
        </w:tc>
      </w:tr>
      <w:tr w14:paraId="0335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47" w:type="dxa"/>
            <w:shd w:val="clear" w:color="000000" w:fill="FFFFFF"/>
            <w:noWrap w:val="0"/>
            <w:vAlign w:val="center"/>
          </w:tcPr>
          <w:p w14:paraId="51FB47B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CPU</w:t>
            </w:r>
          </w:p>
        </w:tc>
        <w:tc>
          <w:tcPr>
            <w:tcW w:w="6772" w:type="dxa"/>
            <w:shd w:val="clear" w:color="000000" w:fill="FFFFFF"/>
            <w:noWrap w:val="0"/>
            <w:vAlign w:val="center"/>
          </w:tcPr>
          <w:p w14:paraId="3BA8DE7D">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本次配置≥E5-2620 V4×2</w:t>
            </w:r>
          </w:p>
        </w:tc>
      </w:tr>
      <w:tr w14:paraId="4B66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center"/>
          </w:tcPr>
          <w:p w14:paraId="56177634">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内存</w:t>
            </w:r>
          </w:p>
        </w:tc>
        <w:tc>
          <w:tcPr>
            <w:tcW w:w="6772" w:type="dxa"/>
            <w:shd w:val="clear" w:color="000000" w:fill="FFFFFF"/>
            <w:noWrap w:val="0"/>
            <w:vAlign w:val="top"/>
          </w:tcPr>
          <w:p w14:paraId="0492A94A">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本次配置≥16GB DDR4</w:t>
            </w:r>
          </w:p>
        </w:tc>
      </w:tr>
      <w:tr w14:paraId="44FF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center"/>
          </w:tcPr>
          <w:p w14:paraId="74ABFEA3">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硬盘</w:t>
            </w:r>
          </w:p>
        </w:tc>
        <w:tc>
          <w:tcPr>
            <w:tcW w:w="6772" w:type="dxa"/>
            <w:shd w:val="clear" w:color="000000" w:fill="FFFFFF"/>
            <w:noWrap w:val="0"/>
            <w:vAlign w:val="center"/>
          </w:tcPr>
          <w:p w14:paraId="4063884B">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本次配置≥300GB SAS×2</w:t>
            </w:r>
          </w:p>
        </w:tc>
      </w:tr>
      <w:tr w14:paraId="54D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top"/>
          </w:tcPr>
          <w:p w14:paraId="071E6F9F">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网卡</w:t>
            </w:r>
          </w:p>
        </w:tc>
        <w:tc>
          <w:tcPr>
            <w:tcW w:w="6772" w:type="dxa"/>
            <w:shd w:val="clear" w:color="000000" w:fill="FFFFFF"/>
            <w:noWrap w:val="0"/>
            <w:vAlign w:val="top"/>
          </w:tcPr>
          <w:p w14:paraId="0925CC5F">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本次配置≥4个10/100/1000M-BaseT 以太网接口 </w:t>
            </w:r>
          </w:p>
        </w:tc>
      </w:tr>
      <w:tr w14:paraId="4B50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top"/>
          </w:tcPr>
          <w:p w14:paraId="1181543F">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操作系统</w:t>
            </w:r>
          </w:p>
        </w:tc>
        <w:tc>
          <w:tcPr>
            <w:tcW w:w="6772" w:type="dxa"/>
            <w:shd w:val="clear" w:color="000000" w:fill="FFFFFF"/>
            <w:noWrap w:val="0"/>
            <w:vAlign w:val="top"/>
          </w:tcPr>
          <w:p w14:paraId="2DFD138F">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Windows Server 2008 R2简体中文标准版</w:t>
            </w:r>
          </w:p>
        </w:tc>
      </w:tr>
      <w:tr w14:paraId="590D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7" w:type="dxa"/>
            <w:shd w:val="clear" w:color="000000" w:fill="FFFFFF"/>
            <w:noWrap w:val="0"/>
            <w:vAlign w:val="center"/>
          </w:tcPr>
          <w:p w14:paraId="0EFEE572">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冗余电源</w:t>
            </w:r>
          </w:p>
        </w:tc>
        <w:tc>
          <w:tcPr>
            <w:tcW w:w="6772" w:type="dxa"/>
            <w:shd w:val="clear" w:color="000000" w:fill="FFFFFF"/>
            <w:noWrap w:val="0"/>
            <w:vAlign w:val="top"/>
          </w:tcPr>
          <w:p w14:paraId="4D4A839F">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配置冗余电源</w:t>
            </w:r>
          </w:p>
        </w:tc>
      </w:tr>
      <w:tr w14:paraId="39C5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47" w:type="dxa"/>
            <w:shd w:val="clear" w:color="000000" w:fill="FFFFFF"/>
            <w:noWrap w:val="0"/>
            <w:vAlign w:val="center"/>
          </w:tcPr>
          <w:p w14:paraId="7A705AD2">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电源电压</w:t>
            </w:r>
          </w:p>
        </w:tc>
        <w:tc>
          <w:tcPr>
            <w:tcW w:w="6772" w:type="dxa"/>
            <w:shd w:val="clear" w:color="000000" w:fill="FFFFFF"/>
            <w:noWrap w:val="0"/>
            <w:vAlign w:val="top"/>
          </w:tcPr>
          <w:p w14:paraId="75D34B3A">
            <w:pPr>
              <w:pStyle w:val="7"/>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220V</w:t>
            </w:r>
          </w:p>
        </w:tc>
      </w:tr>
    </w:tbl>
    <w:p w14:paraId="1911A29F">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7.3</w:t>
      </w:r>
      <w:r>
        <w:rPr>
          <w:rFonts w:hint="eastAsia" w:ascii="楷体" w:hAnsi="楷体" w:eastAsia="楷体" w:cs="楷体"/>
          <w:color w:val="auto"/>
          <w:sz w:val="28"/>
          <w:szCs w:val="28"/>
          <w:highlight w:val="none"/>
        </w:rPr>
        <w:t>小区人员密集点、易发案点低照度红外摄像机</w:t>
      </w:r>
      <w:r>
        <w:rPr>
          <w:rFonts w:hint="eastAsia" w:ascii="楷体" w:hAnsi="楷体" w:eastAsia="楷体" w:cs="楷体"/>
          <w:color w:val="auto"/>
          <w:sz w:val="28"/>
          <w:szCs w:val="28"/>
          <w:highlight w:val="none"/>
          <w:lang w:eastAsia="zh-CN"/>
        </w:rPr>
        <w:t>：</w:t>
      </w:r>
    </w:p>
    <w:p w14:paraId="6795B5B4">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镜头：2.8-12mm F1.2, 水平视场角 103.3°~38.6°</w:t>
      </w:r>
    </w:p>
    <w:p w14:paraId="3000CBE2">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视频压缩标准：H.265/H.264 / MJPEG</w:t>
      </w:r>
    </w:p>
    <w:p w14:paraId="1647CCD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最大图像尺寸：1920×1080</w:t>
      </w:r>
    </w:p>
    <w:p w14:paraId="1A60CC6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图像设置：饱和度、亮度、对比度、锐度通过客户端或者浏览器可调</w:t>
      </w:r>
    </w:p>
    <w:p w14:paraId="3261EDC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图像增强：背光补偿、强光抑制、透雾、电子防抖、3D降噪</w:t>
      </w:r>
    </w:p>
    <w:p w14:paraId="7A33463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区域裁剪支持</w:t>
      </w:r>
    </w:p>
    <w:p w14:paraId="20B156E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图片叠加：支持BMP 24位图像叠加，可选择区域</w:t>
      </w:r>
    </w:p>
    <w:p w14:paraId="76DD36F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感兴趣区域：ROI支持三码流分别设置4个固定区域、全画面动态人脸跟踪</w:t>
      </w:r>
    </w:p>
    <w:p w14:paraId="2C406035">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存储功能：支持Micro SD/SDHC /SDXC卡(128G)断网本地存储，NAS(NFS、SMB/CIFS均支持) </w:t>
      </w:r>
    </w:p>
    <w:p w14:paraId="4D21868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智能报警：移动侦测、遮挡报警、网线断、IP地址冲突、存储器满、存储器错、非法访问</w:t>
      </w:r>
    </w:p>
    <w:p w14:paraId="0BEFD11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通用功能：一键恢复,防闪烁,五码流,心跳,镜像,密码保护,视频遮盖,水印技术,IP地址过滤</w:t>
      </w:r>
    </w:p>
    <w:p w14:paraId="317303D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专业智能人脸抓拍：支持对运动人脸进行检测、跟踪、抓拍、评分、筛选，输出最优的人脸抓图。</w:t>
      </w:r>
    </w:p>
    <w:p w14:paraId="2740C8E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人脸曝光支持</w:t>
      </w:r>
    </w:p>
    <w:p w14:paraId="448D044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宽动态：超宽动态范围达120dB，室内逆光环境下监控</w:t>
      </w:r>
    </w:p>
    <w:p w14:paraId="2FAFBC6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智能补光：设备内置高效白光阵列灯，可定时开启</w:t>
      </w:r>
    </w:p>
    <w:p w14:paraId="0BF4D8F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工作温度和湿度：-30℃~60℃,湿度小于95%(无凝结)</w:t>
      </w:r>
    </w:p>
    <w:p w14:paraId="02CA8E4E">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防护等级IP67</w:t>
      </w:r>
    </w:p>
    <w:p w14:paraId="2E4CF2FD">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补光距离：白光最远达30米</w:t>
      </w:r>
    </w:p>
    <w:p w14:paraId="3D13F53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重量：不小于1500g，不大于1700g</w:t>
      </w:r>
    </w:p>
    <w:p w14:paraId="5C1174D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具有不小于1/1.8"靶面尺寸。（检验报告证明）</w:t>
      </w:r>
    </w:p>
    <w:p w14:paraId="6BAA229B">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内置GPU芯片。（</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7F394EE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最低照度彩色：0.0003 lx，黑白:0.0001 lx，灰度等级不小于11级。（</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51F69F6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同一静止场景相同图像质量下，设备在H.265编码方式时，开启智能编码功能和不开启智能编码相比，码率节约1/2。（</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4D003E5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支持透雾自动切换功能，当检测到雾的浓度达到设定的阈值时，可自动在算法透雾和光学透雾之间进行切换。（</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7FA8F71F">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7.4</w:t>
      </w:r>
      <w:r>
        <w:rPr>
          <w:rFonts w:hint="eastAsia" w:ascii="楷体" w:hAnsi="楷体" w:eastAsia="楷体" w:cs="楷体"/>
          <w:color w:val="auto"/>
          <w:sz w:val="28"/>
          <w:szCs w:val="28"/>
          <w:highlight w:val="none"/>
        </w:rPr>
        <w:t>小区出入口人脸抓拍摄像机</w:t>
      </w:r>
      <w:r>
        <w:rPr>
          <w:rFonts w:hint="eastAsia" w:ascii="楷体" w:hAnsi="楷体" w:eastAsia="楷体" w:cs="楷体"/>
          <w:color w:val="auto"/>
          <w:sz w:val="28"/>
          <w:szCs w:val="28"/>
          <w:highlight w:val="none"/>
          <w:lang w:eastAsia="zh-CN"/>
        </w:rPr>
        <w:t>：</w:t>
      </w:r>
    </w:p>
    <w:p w14:paraId="21FE5DA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镜头：2.8-12mm F1.2, 水平视场角 103.3°~38.6°</w:t>
      </w:r>
    </w:p>
    <w:p w14:paraId="7A5C29F4">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视频压缩标准：H.265/H.264 / MJPEG</w:t>
      </w:r>
    </w:p>
    <w:p w14:paraId="7C5BB4FB">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最大图像尺寸：1920×1080</w:t>
      </w:r>
    </w:p>
    <w:p w14:paraId="10C3400F">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图像设置：饱和度、亮度、对比度、锐度通过客户端或者浏览器可调</w:t>
      </w:r>
    </w:p>
    <w:p w14:paraId="1242ACE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图像增强：背光补偿、强光抑制、透雾、电子防抖、3D降噪</w:t>
      </w:r>
    </w:p>
    <w:p w14:paraId="79093F94">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区域裁剪支持</w:t>
      </w:r>
    </w:p>
    <w:p w14:paraId="0EF96714">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图片叠加：支持BMP 24位图像叠加，可选择区域</w:t>
      </w:r>
    </w:p>
    <w:p w14:paraId="5F1E3EF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感兴趣区域：ROI支持三码流分别设置4个固定区域、全画面动态人脸跟踪</w:t>
      </w:r>
    </w:p>
    <w:p w14:paraId="5ABB2F2C">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存储功能：支持Micro SD/SDHC /SDXC卡(128G)断网本地存储，NAS(NFS、SMB/CIFS均支持) </w:t>
      </w:r>
    </w:p>
    <w:p w14:paraId="5F6A5B0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智能报警：移动侦测、遮挡报警、网线断、IP地址冲突、存储器满、存储器错、非法访问</w:t>
      </w:r>
    </w:p>
    <w:p w14:paraId="60B04FD2">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通用功能：一键恢复,防闪烁,五码流,心跳,镜像,密码保护,视频遮盖,水印技术,IP地址过滤</w:t>
      </w:r>
    </w:p>
    <w:p w14:paraId="27187ED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专业智能人脸抓拍：支持对运动人脸进行检测、跟踪、抓拍、评分、筛选，输出最优的人脸抓图。</w:t>
      </w:r>
    </w:p>
    <w:p w14:paraId="5322793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人脸曝光支持</w:t>
      </w:r>
    </w:p>
    <w:p w14:paraId="2CDB17C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宽动态：超宽动态范围达120dB，室内逆光环境下监控</w:t>
      </w:r>
    </w:p>
    <w:p w14:paraId="59923FF2">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智能补光：设备内置高效白光阵列灯，可定时开启</w:t>
      </w:r>
    </w:p>
    <w:p w14:paraId="29912F7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工作温度和湿度：-30℃~60℃,湿度小于95%(无凝结)</w:t>
      </w:r>
    </w:p>
    <w:p w14:paraId="4D8B5852">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防护等级IP67</w:t>
      </w:r>
    </w:p>
    <w:p w14:paraId="46D49CCE">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补光距离：白光最远达30米</w:t>
      </w:r>
    </w:p>
    <w:p w14:paraId="6F0BC954">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具有不小于1/1.8"靶面尺寸。（</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1820C06C">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内置GPU芯片。（</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0765809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最低照度彩色：0.0003 lx，黑白:0.0001 lx，灰度等级不小于11级。（</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43125B1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人脸检出率不小于99%。（</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20C3543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支持单场景同时检出不少于30张人脸图片，并支持面部跟踪。（</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161A75D1">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7.5</w:t>
      </w:r>
      <w:r>
        <w:rPr>
          <w:rFonts w:hint="eastAsia" w:ascii="楷体" w:hAnsi="楷体" w:eastAsia="楷体" w:cs="楷体"/>
          <w:color w:val="auto"/>
          <w:sz w:val="28"/>
          <w:szCs w:val="28"/>
          <w:highlight w:val="none"/>
        </w:rPr>
        <w:t>网络存储设备</w:t>
      </w:r>
      <w:r>
        <w:rPr>
          <w:rFonts w:hint="eastAsia" w:ascii="楷体" w:hAnsi="楷体" w:eastAsia="楷体" w:cs="楷体"/>
          <w:color w:val="auto"/>
          <w:sz w:val="28"/>
          <w:szCs w:val="28"/>
          <w:highlight w:val="none"/>
          <w:lang w:eastAsia="zh-CN"/>
        </w:rPr>
        <w:t>：</w:t>
      </w:r>
    </w:p>
    <w:p w14:paraId="2D42CB15">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单设备应配置两颗以上64位多核处理器，不低于8GB内存（以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65675E3E">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配置冗余电源</w:t>
      </w:r>
    </w:p>
    <w:p w14:paraId="196057A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设备应标配≥4个千兆网口，可增扩≥2个万兆口或≥4个光纤接口；（以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1DB7FC0D">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可接入硬盘≥48块SATA/SAS硬盘，并支持≥11级扩展柜级联扩展</w:t>
      </w:r>
    </w:p>
    <w:p w14:paraId="2F53DB3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应能提供RAID0、1、3、5、6保护，支持热备选择，支持坏盘自动重构；</w:t>
      </w:r>
    </w:p>
    <w:p w14:paraId="147ED8BF">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应能对视音频、图片、智能分析录像的混合直存，无需存储服务器和图片服务器参与；（以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08FEB54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应能接入并存储2448Mbps视频图像，同时转发2448Mbps的视频图像；同时回放384Mbps的视频图像（以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2701A407">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支持纠删码技术,允许每组RAID任意4块硬盘损坏,数据不丢失,服务不中断（以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10439EF9">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可根据数据对象的重要性、访问频率等属性对数据进行自动分层存储；（以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4DF57FC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可通过IE浏览器直接登录存储系统，实现视频浏览、回放和下载，确保平台服务器宕机时系统可用性</w:t>
      </w:r>
    </w:p>
    <w:p w14:paraId="379D55D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可在视频画面上绘制区域或界线，检索指定范围内的报警录像；输入车牌号码可检索出相关图片和视频；可按照报警事件进行检索。（以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023EC41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兼容GB/T28181国家标准，支持RTSP/ONVIF/PSIA等标准视频流传输协议，支持iSCSI、CIFS、NFS、FTP、HTTP、AFP、RSYNC等存储协议</w:t>
      </w:r>
    </w:p>
    <w:p w14:paraId="7605518F">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需提供3C、检测报告、GB/T28181检测报告</w:t>
      </w:r>
    </w:p>
    <w:p w14:paraId="6D5120B2">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7.6视频质量诊断服务平台：</w:t>
      </w:r>
    </w:p>
    <w:p w14:paraId="328C3EE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支持1000路前端摄像机接入平台；</w:t>
      </w:r>
    </w:p>
    <w:p w14:paraId="18C1491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常见摄像机故障，检测内容包括信号丢失、图像模糊、噪声干扰、黑白图像、图像偏色、图像剧变、场景变更、画面冻结、视频抖动、视频遮挡、对比度异常、登录异常/亮度异常、条纹干扰、云台失控、取流异常。（以</w:t>
      </w:r>
      <w:r>
        <w:rPr>
          <w:rFonts w:hint="eastAsia" w:ascii="楷体" w:hAnsi="楷体" w:eastAsia="楷体" w:cs="楷体"/>
          <w:color w:val="auto"/>
          <w:sz w:val="28"/>
          <w:szCs w:val="28"/>
          <w:highlight w:val="none"/>
          <w:lang w:eastAsia="zh-CN"/>
        </w:rPr>
        <w:t>检测</w:t>
      </w:r>
      <w:r>
        <w:rPr>
          <w:rFonts w:hint="eastAsia" w:ascii="楷体" w:hAnsi="楷体" w:eastAsia="楷体" w:cs="楷体"/>
          <w:color w:val="auto"/>
          <w:sz w:val="28"/>
          <w:szCs w:val="28"/>
          <w:highlight w:val="none"/>
        </w:rPr>
        <w:t>报告为准）</w:t>
      </w:r>
    </w:p>
    <w:p w14:paraId="6613C61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Web方式显示（B/S架构，可通过网页远程配置管理），可实现日志管理、信息查询、辅助报警提示（支持C/S架构的报警工具，实现实时报警提醒功能。），Excel方式导入设备，任务管理。</w:t>
      </w:r>
    </w:p>
    <w:p w14:paraId="7D5837C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支持新建多个周期性任务，任务只在配置的周期内才会执行。每天可设置8个执行时间段，可设置是否循环。（提供软件界面截图证明）</w:t>
      </w:r>
    </w:p>
    <w:p w14:paraId="1C19CAD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支持设置即时任务，设置任务后马上执行，执行完毕后不会再次执行。（提供软件界面截图证明）</w:t>
      </w:r>
    </w:p>
    <w:p w14:paraId="21B5474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信息总览功能，显示出最近诊断的大致信息，可以按任务或者按监控点显示，并可将诊断信息及质量诊断异常图片以excel格式保存到本地。（提供软件界面截图证明）</w:t>
      </w:r>
    </w:p>
    <w:p w14:paraId="3BED6B1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阈值修正，可根据实际检测效果对该监控点的阈值进行修正，达到符合实际情况的最佳检测效果。（提供软件界面截图证明）</w:t>
      </w:r>
    </w:p>
    <w:p w14:paraId="5D7EDE05">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添加信任监控点，可以将指定监控点添加到信任列表，则只对该监控点进行信号丢失检测。（提供软件界面截图证明）</w:t>
      </w:r>
    </w:p>
    <w:p w14:paraId="79B22EB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重新检测，对有疑问的监控点进行视频质量的重新检测</w:t>
      </w:r>
    </w:p>
    <w:p w14:paraId="3586286C">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人工修正基准图片，对场景变更检测的基准图片进行人工修正</w:t>
      </w:r>
    </w:p>
    <w:p w14:paraId="3DA45A6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统计分析，可以按照故障类型、区域统计、故障率进行统计，并以线图、柱状图或饼图来展示，通过点击线图的折点、柱状图柱块或饼状图饼块，可罗列出该异常类型就的监控点。（提供软件界面截图证明）</w:t>
      </w:r>
    </w:p>
    <w:p w14:paraId="33DA693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选择开始时间和结束时间能统计出该时间段视频故障统计图和表格，每一种故障类型都会显示具体数值，图形的类型。</w:t>
      </w:r>
    </w:p>
    <w:p w14:paraId="7DCE7038">
      <w:pPr>
        <w:pStyle w:val="8"/>
        <w:spacing w:line="360" w:lineRule="auto"/>
        <w:ind w:left="0" w:leftChars="0" w:firstLine="0" w:firstLineChars="0"/>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注：</w:t>
      </w:r>
      <w:r>
        <w:rPr>
          <w:rFonts w:hint="eastAsia" w:ascii="楷体" w:hAnsi="楷体" w:eastAsia="楷体" w:cs="楷体"/>
          <w:b/>
          <w:bCs/>
          <w:color w:val="auto"/>
          <w:sz w:val="28"/>
          <w:szCs w:val="28"/>
          <w:highlight w:val="none"/>
          <w:lang w:val="en-US" w:eastAsia="zh-CN"/>
        </w:rPr>
        <w:t>1、</w:t>
      </w:r>
      <w:r>
        <w:rPr>
          <w:rFonts w:hint="eastAsia" w:ascii="楷体" w:hAnsi="楷体" w:eastAsia="楷体" w:cs="楷体"/>
          <w:color w:val="auto"/>
          <w:sz w:val="28"/>
          <w:szCs w:val="28"/>
          <w:highlight w:val="none"/>
        </w:rPr>
        <w:t>上述参数中如出现具体产品的品牌、型号、参数等，仅供供应商更好地理解采购人对货物的需求，不能理解为唯一指定，只要优于或相当于其规格型号或功能要求的，均可视为响应。</w:t>
      </w:r>
    </w:p>
    <w:p w14:paraId="0114EA78">
      <w:pPr>
        <w:spacing w:line="360" w:lineRule="auto"/>
        <w:ind w:firstLine="482"/>
        <w:rPr>
          <w:rFonts w:hint="eastAsia" w:ascii="楷体" w:hAnsi="楷体" w:eastAsia="楷体" w:cs="楷体"/>
          <w:color w:val="auto"/>
          <w:sz w:val="28"/>
          <w:szCs w:val="28"/>
          <w:highlight w:val="none"/>
          <w:lang w:eastAsia="zh-CN"/>
        </w:rPr>
      </w:pPr>
      <w:r>
        <w:rPr>
          <w:rFonts w:hint="eastAsia" w:ascii="楷体" w:hAnsi="楷体" w:eastAsia="楷体" w:cs="楷体"/>
          <w:b/>
          <w:bCs/>
          <w:color w:val="auto"/>
          <w:sz w:val="28"/>
          <w:szCs w:val="28"/>
          <w:highlight w:val="none"/>
          <w:lang w:val="en-US" w:eastAsia="zh-CN"/>
        </w:rPr>
        <w:t>2、</w:t>
      </w:r>
      <w:r>
        <w:rPr>
          <w:rFonts w:hint="eastAsia" w:ascii="楷体" w:hAnsi="楷体" w:eastAsia="楷体" w:cs="楷体"/>
          <w:color w:val="auto"/>
          <w:sz w:val="28"/>
          <w:szCs w:val="28"/>
          <w:highlight w:val="none"/>
        </w:rPr>
        <w:t>标注“★”的为</w:t>
      </w:r>
      <w:r>
        <w:rPr>
          <w:rFonts w:hint="eastAsia" w:ascii="楷体" w:hAnsi="楷体" w:eastAsia="楷体" w:cs="楷体"/>
          <w:color w:val="auto"/>
          <w:sz w:val="28"/>
          <w:szCs w:val="28"/>
          <w:highlight w:val="none"/>
          <w:lang w:eastAsia="zh-CN"/>
        </w:rPr>
        <w:t>重要</w:t>
      </w:r>
      <w:r>
        <w:rPr>
          <w:rFonts w:hint="eastAsia" w:ascii="楷体" w:hAnsi="楷体" w:eastAsia="楷体" w:cs="楷体"/>
          <w:color w:val="auto"/>
          <w:sz w:val="28"/>
          <w:szCs w:val="28"/>
          <w:highlight w:val="none"/>
        </w:rPr>
        <w:t>参数</w:t>
      </w:r>
      <w:r>
        <w:rPr>
          <w:rFonts w:hint="eastAsia" w:ascii="楷体" w:hAnsi="楷体" w:eastAsia="楷体" w:cs="楷体"/>
          <w:color w:val="auto"/>
          <w:sz w:val="28"/>
          <w:szCs w:val="28"/>
          <w:highlight w:val="none"/>
          <w:lang w:eastAsia="zh-CN"/>
        </w:rPr>
        <w:t>及</w:t>
      </w:r>
      <w:r>
        <w:rPr>
          <w:rFonts w:hint="eastAsia" w:ascii="楷体" w:hAnsi="楷体" w:eastAsia="楷体" w:cs="楷体"/>
          <w:color w:val="auto"/>
          <w:sz w:val="28"/>
          <w:szCs w:val="28"/>
          <w:highlight w:val="none"/>
        </w:rPr>
        <w:t>要求，</w:t>
      </w:r>
      <w:r>
        <w:rPr>
          <w:rFonts w:hint="eastAsia" w:ascii="楷体" w:hAnsi="楷体" w:eastAsia="楷体" w:cs="楷体"/>
          <w:color w:val="auto"/>
          <w:sz w:val="28"/>
          <w:szCs w:val="28"/>
          <w:highlight w:val="none"/>
          <w:lang w:eastAsia="zh-CN"/>
        </w:rPr>
        <w:t>须</w:t>
      </w:r>
      <w:r>
        <w:rPr>
          <w:rFonts w:hint="eastAsia" w:ascii="楷体" w:hAnsi="楷体" w:eastAsia="楷体" w:cs="楷体"/>
          <w:color w:val="auto"/>
          <w:sz w:val="28"/>
          <w:szCs w:val="28"/>
          <w:highlight w:val="none"/>
        </w:rPr>
        <w:t>提供相关检测报告证明，并加盖生产厂家公章，无法提供</w:t>
      </w:r>
      <w:r>
        <w:rPr>
          <w:rFonts w:hint="eastAsia" w:ascii="楷体" w:hAnsi="楷体" w:eastAsia="楷体" w:cs="楷体"/>
          <w:color w:val="auto"/>
          <w:sz w:val="28"/>
          <w:szCs w:val="28"/>
          <w:highlight w:val="none"/>
          <w:lang w:eastAsia="zh-CN"/>
        </w:rPr>
        <w:t>的视</w:t>
      </w:r>
      <w:r>
        <w:rPr>
          <w:rFonts w:hint="eastAsia" w:ascii="楷体" w:hAnsi="楷体" w:eastAsia="楷体" w:cs="楷体"/>
          <w:color w:val="auto"/>
          <w:sz w:val="28"/>
          <w:szCs w:val="28"/>
          <w:highlight w:val="none"/>
        </w:rPr>
        <w:t>为负偏离。</w:t>
      </w:r>
    </w:p>
    <w:p w14:paraId="19D54C78">
      <w:pPr>
        <w:pStyle w:val="2"/>
        <w:numPr>
          <w:ilvl w:val="0"/>
          <w:numId w:val="0"/>
        </w:numPr>
        <w:spacing w:before="240" w:after="120" w:line="360" w:lineRule="auto"/>
        <w:ind w:leftChars="0"/>
        <w:jc w:val="left"/>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7.7全结构化双镜头相机：</w:t>
      </w:r>
    </w:p>
    <w:p w14:paraId="6054A55A">
      <w:pPr>
        <w:spacing w:line="360" w:lineRule="auto"/>
        <w:ind w:firstLine="48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支持GB35114安全加密。</w:t>
      </w:r>
    </w:p>
    <w:p w14:paraId="0E53740C">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设备内置双镜头，由</w:t>
      </w:r>
      <w:r>
        <w:rPr>
          <w:rFonts w:hint="eastAsia" w:ascii="楷体" w:hAnsi="楷体" w:eastAsia="楷体" w:cs="楷体"/>
          <w:color w:val="auto"/>
          <w:sz w:val="28"/>
          <w:szCs w:val="28"/>
          <w:highlight w:val="none"/>
        </w:rPr>
        <w:t>1个全景摄像机和1个细节摄像机组成，CMOS靶面尺寸均不小于1/1.8"英寸</w:t>
      </w:r>
    </w:p>
    <w:p w14:paraId="21DC552F">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细节通道分辨率不小于2560×1440，全景通道分辨率不小于2560×1440。</w:t>
      </w:r>
    </w:p>
    <w:p w14:paraId="33859E92">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全景通道最低照度：彩色不大于0.0002 lx，黑白不大于0.0001 lx。</w:t>
      </w:r>
    </w:p>
    <w:p w14:paraId="26FAB62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★内置不少于1颗GPU芯片。（</w:t>
      </w:r>
      <w:r>
        <w:rPr>
          <w:rFonts w:hint="eastAsia" w:ascii="楷体" w:hAnsi="楷体" w:eastAsia="楷体" w:cs="楷体"/>
          <w:color w:val="auto"/>
          <w:sz w:val="28"/>
          <w:szCs w:val="28"/>
          <w:highlight w:val="none"/>
          <w:lang w:eastAsia="zh-CN"/>
        </w:rPr>
        <w:t>检验报告证明</w:t>
      </w:r>
      <w:r>
        <w:rPr>
          <w:rFonts w:hint="eastAsia" w:ascii="楷体" w:hAnsi="楷体" w:eastAsia="楷体" w:cs="楷体"/>
          <w:color w:val="auto"/>
          <w:sz w:val="28"/>
          <w:szCs w:val="28"/>
          <w:highlight w:val="none"/>
        </w:rPr>
        <w:t>）</w:t>
      </w:r>
    </w:p>
    <w:p w14:paraId="2A38B2E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支持人脸检测、抓拍功能，可检出两眼瞳距不小于20像素点的人脸。</w:t>
      </w:r>
    </w:p>
    <w:p w14:paraId="5B8B2CB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支持人脸优选功能，可自动筛选出人脸质量分数最高的一帧人脸图片进行上报。</w:t>
      </w:r>
    </w:p>
    <w:p w14:paraId="51FF48DF">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支持设置通道1的智能分析模式为全结构化/人脸抓拍/道路监控/smart事件/普通监控；通道2的智能分析模式为人数统计/smart事件/普通监控。</w:t>
      </w:r>
    </w:p>
    <w:p w14:paraId="1780BA9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支持对检测区域内出现的机动车、非机动车、行人同时检测、跟踪、评分、抓拍、存储，可关联显示人体和对应的人脸图片、车辆和对应的车牌图片。</w:t>
      </w:r>
    </w:p>
    <w:p w14:paraId="3E68627E">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★摄像机装配牢固、连接可靠，主要由上、下两部分采集通道组成，上通道具有4颗鳞镜式混合补光灯，下通道具有2颗鳞镜式混合补光灯，上下采集通道通过中部的水平/垂直云台连接于一体。（检验报告证明）</w:t>
      </w:r>
    </w:p>
    <w:p w14:paraId="3819B665">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★全景通道和细节通道均具有电动控制PT功能，均支持电动调节。细节通道支持水平方向0至355°旋转，垂直方向-15°至30°旋转，全景通道支持垂直方向-5°至15°旋转。（检验报告证明）</w:t>
      </w:r>
    </w:p>
    <w:p w14:paraId="0DC8C36A">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★细节通道支持独立旋转，支持全景通道和细节通道互为180°夹角监控。（公安部检验报告证明）</w:t>
      </w:r>
    </w:p>
    <w:p w14:paraId="3245CA11">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★内置能耗检测模块，支持电压、功耗异常报警功能。（检验报告证明）</w:t>
      </w:r>
    </w:p>
    <w:p w14:paraId="2921B5C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双镜头均支持镜头前盖加热功能，可去除镜头玻璃上的冰状和水状附着物。</w:t>
      </w:r>
    </w:p>
    <w:p w14:paraId="23A5420D">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具有不少于6颗混合补光灯（每颗由红外和白光灯组成）。</w:t>
      </w:r>
    </w:p>
    <w:p w14:paraId="18CD1468">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★内置6颗鳞镜式补光灯，灯杯为半弧形网格鳞片状。（检验报告证明）</w:t>
      </w:r>
    </w:p>
    <w:p w14:paraId="73A1E9F6">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★灯珠朝向与样机照射方向不同，补光灯开启后正面不可见补光灯灯珠，灯光均匀无波纹、圆环状、麻点状、条纹状和不规则亮斑。（检验报告证明）</w:t>
      </w:r>
    </w:p>
    <w:p w14:paraId="5FC3CDB9">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支持不低于IP67防护等级。</w:t>
      </w:r>
    </w:p>
    <w:p w14:paraId="62F623FD">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内置2个麦克风、1个扬声器，1个RJ45网口、1个SD卡槽。采用DC12V供电。</w:t>
      </w:r>
    </w:p>
    <w:p w14:paraId="3DC32E86">
      <w:pPr>
        <w:pStyle w:val="8"/>
        <w:spacing w:line="360" w:lineRule="auto"/>
        <w:ind w:left="0" w:leftChars="0" w:firstLine="0" w:firstLineChars="0"/>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注：</w:t>
      </w:r>
      <w:r>
        <w:rPr>
          <w:rFonts w:hint="eastAsia" w:ascii="楷体" w:hAnsi="楷体" w:eastAsia="楷体" w:cs="楷体"/>
          <w:b/>
          <w:bCs/>
          <w:color w:val="auto"/>
          <w:sz w:val="28"/>
          <w:szCs w:val="28"/>
          <w:highlight w:val="none"/>
          <w:lang w:val="en-US" w:eastAsia="zh-CN"/>
        </w:rPr>
        <w:t>1、</w:t>
      </w:r>
      <w:r>
        <w:rPr>
          <w:rFonts w:hint="eastAsia" w:ascii="楷体" w:hAnsi="楷体" w:eastAsia="楷体" w:cs="楷体"/>
          <w:color w:val="auto"/>
          <w:sz w:val="28"/>
          <w:szCs w:val="28"/>
          <w:highlight w:val="none"/>
        </w:rPr>
        <w:t>上述参数中如出现具体产品的品牌、型号、参数等，仅供供应商更好地理解采购人对货物的需求，不能理解为唯一指定，只要优于或相当于其规格型号或功能要求的，均可视为响应。</w:t>
      </w:r>
    </w:p>
    <w:p w14:paraId="1AA39A81">
      <w:pPr>
        <w:pageBreakBefore w:val="0"/>
        <w:kinsoku/>
        <w:wordWrap/>
        <w:overflowPunct/>
        <w:topLinePunct w:val="0"/>
        <w:autoSpaceDE w:val="0"/>
        <w:autoSpaceDN w:val="0"/>
        <w:bidi w:val="0"/>
        <w:adjustRightInd w:val="0"/>
        <w:spacing w:line="360" w:lineRule="auto"/>
        <w:ind w:left="0" w:leftChars="0" w:right="0" w:firstLine="562" w:firstLineChars="200"/>
        <w:textAlignment w:val="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2、</w:t>
      </w:r>
      <w:r>
        <w:rPr>
          <w:rFonts w:hint="eastAsia" w:ascii="楷体" w:hAnsi="楷体" w:eastAsia="楷体" w:cs="楷体"/>
          <w:color w:val="auto"/>
          <w:sz w:val="28"/>
          <w:szCs w:val="28"/>
          <w:highlight w:val="none"/>
        </w:rPr>
        <w:t>标注“★”的为</w:t>
      </w:r>
      <w:r>
        <w:rPr>
          <w:rFonts w:hint="eastAsia" w:ascii="楷体" w:hAnsi="楷体" w:eastAsia="楷体" w:cs="楷体"/>
          <w:color w:val="auto"/>
          <w:sz w:val="28"/>
          <w:szCs w:val="28"/>
          <w:highlight w:val="none"/>
          <w:lang w:eastAsia="zh-CN"/>
        </w:rPr>
        <w:t>重要</w:t>
      </w:r>
      <w:r>
        <w:rPr>
          <w:rFonts w:hint="eastAsia" w:ascii="楷体" w:hAnsi="楷体" w:eastAsia="楷体" w:cs="楷体"/>
          <w:color w:val="auto"/>
          <w:sz w:val="28"/>
          <w:szCs w:val="28"/>
          <w:highlight w:val="none"/>
        </w:rPr>
        <w:t>参数</w:t>
      </w:r>
      <w:r>
        <w:rPr>
          <w:rFonts w:hint="eastAsia" w:ascii="楷体" w:hAnsi="楷体" w:eastAsia="楷体" w:cs="楷体"/>
          <w:color w:val="auto"/>
          <w:sz w:val="28"/>
          <w:szCs w:val="28"/>
          <w:highlight w:val="none"/>
          <w:lang w:eastAsia="zh-CN"/>
        </w:rPr>
        <w:t>及</w:t>
      </w:r>
      <w:r>
        <w:rPr>
          <w:rFonts w:hint="eastAsia" w:ascii="楷体" w:hAnsi="楷体" w:eastAsia="楷体" w:cs="楷体"/>
          <w:color w:val="auto"/>
          <w:sz w:val="28"/>
          <w:szCs w:val="28"/>
          <w:highlight w:val="none"/>
        </w:rPr>
        <w:t>要求，</w:t>
      </w:r>
      <w:r>
        <w:rPr>
          <w:rFonts w:hint="eastAsia" w:ascii="楷体" w:hAnsi="楷体" w:eastAsia="楷体" w:cs="楷体"/>
          <w:color w:val="auto"/>
          <w:sz w:val="28"/>
          <w:szCs w:val="28"/>
          <w:highlight w:val="none"/>
          <w:lang w:eastAsia="zh-CN"/>
        </w:rPr>
        <w:t>须</w:t>
      </w:r>
      <w:r>
        <w:rPr>
          <w:rFonts w:hint="eastAsia" w:ascii="楷体" w:hAnsi="楷体" w:eastAsia="楷体" w:cs="楷体"/>
          <w:color w:val="auto"/>
          <w:sz w:val="28"/>
          <w:szCs w:val="28"/>
          <w:highlight w:val="none"/>
        </w:rPr>
        <w:t>提供相关检测报告证明，并加盖生产厂家公章，无法提供</w:t>
      </w:r>
      <w:r>
        <w:rPr>
          <w:rFonts w:hint="eastAsia" w:ascii="楷体" w:hAnsi="楷体" w:eastAsia="楷体" w:cs="楷体"/>
          <w:color w:val="auto"/>
          <w:sz w:val="28"/>
          <w:szCs w:val="28"/>
          <w:highlight w:val="none"/>
          <w:lang w:eastAsia="zh-CN"/>
        </w:rPr>
        <w:t>的视</w:t>
      </w:r>
      <w:r>
        <w:rPr>
          <w:rFonts w:hint="eastAsia" w:ascii="楷体" w:hAnsi="楷体" w:eastAsia="楷体" w:cs="楷体"/>
          <w:color w:val="auto"/>
          <w:sz w:val="28"/>
          <w:szCs w:val="28"/>
          <w:highlight w:val="none"/>
        </w:rPr>
        <w:t>为负偏离。</w:t>
      </w:r>
    </w:p>
    <w:p w14:paraId="52BCD0D2">
      <w:pPr>
        <w:pageBreakBefore w:val="0"/>
        <w:kinsoku/>
        <w:wordWrap/>
        <w:overflowPunct/>
        <w:topLinePunct w:val="0"/>
        <w:autoSpaceDE w:val="0"/>
        <w:autoSpaceDN w:val="0"/>
        <w:bidi w:val="0"/>
        <w:adjustRightInd w:val="0"/>
        <w:spacing w:line="360" w:lineRule="auto"/>
        <w:ind w:left="0" w:leftChars="0" w:right="0"/>
        <w:textAlignment w:val="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八</w:t>
      </w:r>
      <w:r>
        <w:rPr>
          <w:rFonts w:hint="eastAsia" w:ascii="楷体" w:hAnsi="楷体" w:eastAsia="楷体" w:cs="楷体"/>
          <w:b/>
          <w:bCs/>
          <w:color w:val="auto"/>
          <w:sz w:val="28"/>
          <w:szCs w:val="28"/>
          <w:highlight w:val="none"/>
          <w:lang w:eastAsia="zh-CN"/>
        </w:rPr>
        <w:t>、</w:t>
      </w:r>
      <w:r>
        <w:rPr>
          <w:rFonts w:hint="eastAsia" w:ascii="楷体" w:hAnsi="楷体" w:eastAsia="楷体" w:cs="楷体"/>
          <w:b/>
          <w:bCs/>
          <w:color w:val="auto"/>
          <w:sz w:val="28"/>
          <w:szCs w:val="28"/>
          <w:highlight w:val="none"/>
          <w:lang w:val="en-US" w:eastAsia="zh-CN"/>
        </w:rPr>
        <w:t>其他要求</w:t>
      </w:r>
    </w:p>
    <w:p w14:paraId="4533C839">
      <w:r>
        <w:rPr>
          <w:rFonts w:hint="eastAsia" w:ascii="楷体" w:hAnsi="楷体" w:eastAsia="楷体" w:cs="楷体"/>
          <w:b w:val="0"/>
          <w:bCs w:val="0"/>
          <w:color w:val="auto"/>
          <w:sz w:val="28"/>
          <w:szCs w:val="28"/>
          <w:highlight w:val="none"/>
          <w:lang w:val="en-US" w:eastAsia="zh-CN"/>
        </w:rPr>
        <w:t>在本项目实施过程中，中标人需严格遵守和执行《中华人民共和国劳动法》、镇江市劳动用工和社会保险管理规定、镇江市最低工资标准等相关法律法规，并就安全生产和职业道德加强对所有工作人员的教育，合同期中发生的一切事故、纠纷由中标人承担，采购人不承担任何责任。</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06849"/>
    <w:multiLevelType w:val="singleLevel"/>
    <w:tmpl w:val="38106849"/>
    <w:lvl w:ilvl="0" w:tentative="0">
      <w:start w:val="4"/>
      <w:numFmt w:val="chineseCounting"/>
      <w:suff w:val="nothing"/>
      <w:lvlText w:val="%1、"/>
      <w:lvlJc w:val="left"/>
      <w:rPr>
        <w:rFonts w:hint="eastAsia"/>
      </w:rPr>
    </w:lvl>
  </w:abstractNum>
  <w:abstractNum w:abstractNumId="1">
    <w:nsid w:val="43016A73"/>
    <w:multiLevelType w:val="singleLevel"/>
    <w:tmpl w:val="43016A7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46B4E"/>
    <w:rsid w:val="2A446B4E"/>
    <w:rsid w:val="7AFA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hint="default" w:ascii="宋体" w:hAnsi="宋体" w:eastAsia="宋体" w:cs="宋体"/>
      <w:sz w:val="22"/>
      <w:szCs w:val="22"/>
      <w:lang w:val="zh-CN"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qFormat/>
    <w:uiPriority w:val="0"/>
    <w:pPr>
      <w:keepNext/>
      <w:keepLines/>
      <w:spacing w:before="260" w:after="260" w:line="416" w:lineRule="auto"/>
      <w:jc w:val="center"/>
      <w:outlineLvl w:val="1"/>
    </w:pPr>
    <w:rPr>
      <w:rFonts w:ascii="幼圆" w:hAnsi="Arial" w:eastAsia="楷体_GB2312"/>
      <w:b/>
      <w:sz w:val="4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正文文本1"/>
    <w:basedOn w:val="1"/>
    <w:next w:val="1"/>
    <w:qFormat/>
    <w:uiPriority w:val="99"/>
    <w:pPr>
      <w:spacing w:before="129"/>
      <w:ind w:left="100"/>
    </w:pPr>
    <w:rPr>
      <w:sz w:val="18"/>
      <w:szCs w:val="18"/>
    </w:r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缩进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8626</Words>
  <Characters>9692</Characters>
  <Lines>0</Lines>
  <Paragraphs>0</Paragraphs>
  <TotalTime>0</TotalTime>
  <ScaleCrop>false</ScaleCrop>
  <LinksUpToDate>false</LinksUpToDate>
  <CharactersWithSpaces>9828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2025-06-18T07:33:00Z</dcterms:created>
  <dc:creator>WPS_1748940899</dc:creator>
  <cp:lastModifiedBy>WPS_1748940899</cp:lastModifiedBy>
  <dcterms:modified xsi:type="dcterms:W3CDTF">2025-06-19T07:33:13Z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4ACBAF9C68884CBB8FA7BDFFE9068DB7_11</vt:lpwstr>
  </property>
  <property fmtid="{D5CDD505-2E9C-101B-9397-08002B2CF9AE}" pid="4" name="KSOTemplateDocerSaveRecord">
    <vt:lpwstr>eyJoZGlkIjoiOTQ5NzY0MDhiNTY4ZGI0NDRlYzMzOGVmMzNhZDljNzciLCJ1c2VySWQiOiIxNzA1OTQyNzYxIn0=</vt:lpwstr>
  </property>
</Properties>
</file>