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8"/>
        <w:rPr>
          <w:rFonts w:hint="eastAsia"/>
        </w:rPr>
      </w:pPr>
      <w:r>
        <w:rPr>
          <w:rFonts w:hint="eastAsia"/>
        </w:rPr>
      </w:r>
      <w:r/>
    </w:p>
    <w:p>
      <w:pPr>
        <w:pStyle w:val="869"/>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鼓楼区多校网络机房设备采购</w:t>
      </w:r>
      <w:r>
        <w:rPr>
          <w:rFonts w:hint="eastAsia" w:ascii="Times New Roman" w:hAnsi="Times New Roman" w:eastAsia="宋体" w:cs="Times New Roman"/>
          <w:b/>
          <w:color w:val="000000"/>
          <w:sz w:val="30"/>
          <w:szCs w:val="30"/>
          <w:lang w:val="en-US" w:eastAsia="zh-CN"/>
        </w:rPr>
        <w:t xml:space="preserve"> </w:t>
      </w:r>
      <w:r>
        <w:rPr>
          <w:rFonts w:eastAsia="宋体" w:cs="Times New Roman"/>
          <w:b/>
          <w:color w:val="000000"/>
          <w:sz w:val="30"/>
          <w:szCs w:val="30"/>
          <w:u w:val="single"/>
          <w:lang w:val="en-US" w:eastAsia="zh-CN"/>
        </w:rPr>
      </w:r>
      <w:r/>
    </w:p>
    <w:p>
      <w:pPr>
        <w:pStyle w:val="86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0246</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2024年07月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themeColor="text1"/>
          <w:sz w:val="36"/>
          <w:szCs w:val="21"/>
        </w:rPr>
        <w:t xml:space="preserve">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18</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25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29</w:t>
      </w:r>
      <w:r>
        <w:rPr>
          <w:color w:val="000000" w:themeColor="text1"/>
        </w:rPr>
      </w:r>
      <w:r/>
    </w:p>
    <w:p>
      <w:pPr>
        <w:pStyle w:val="869"/>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869"/>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ascii="宋体" w:hAnsi="宋体"/>
          <w:sz w:val="24"/>
          <w:szCs w:val="24"/>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宋体" w:hAnsi="宋体"/>
          <w:sz w:val="24"/>
          <w:szCs w:val="24"/>
        </w:rPr>
        <w:t xml:space="preserve">受</w:t>
      </w:r>
      <w:r>
        <w:rPr>
          <w:rFonts w:hint="eastAsia" w:ascii="宋体" w:hAnsi="宋体" w:eastAsia="宋体" w:cs="Times New Roman"/>
          <w:b w:val="0"/>
          <w:bCs w:val="0"/>
          <w:color w:val="000000"/>
          <w:sz w:val="24"/>
          <w:szCs w:val="24"/>
          <w:lang w:eastAsia="zh-CN"/>
        </w:rPr>
        <w:t xml:space="preserve">南京市鼓楼区教育局（</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）就鼓楼区多校网络机房设备采购</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rPr>
          <w:rFonts w:ascii="宋体" w:hAnsi="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bookmarkEnd w:id="11"/>
      <w:r/>
      <w:bookmarkStart w:id="12" w:name="_Toc35393622"/>
      <w:r/>
      <w:bookmarkStart w:id="13" w:name="_Toc35393791"/>
      <w:r/>
      <w:bookmarkStart w:id="14" w:name="_Toc38985264"/>
      <w:r/>
      <w:bookmarkStart w:id="15" w:name="_Toc28359080"/>
      <w:r/>
      <w:bookmarkStart w:id="16" w:name="_Toc28359003"/>
      <w:r>
        <w:rPr>
          <w:rFonts w:hint="eastAsia" w:ascii="宋体" w:hAnsi="宋体"/>
          <w:sz w:val="24"/>
          <w:szCs w:val="24"/>
        </w:rPr>
        <w:t xml:space="preserve">1.项目编号：</w:t>
      </w:r>
      <w:r>
        <w:rPr>
          <w:rFonts w:hint="eastAsia" w:ascii="宋体" w:hAnsi="宋体" w:eastAsia="宋体" w:cs="Times New Roman"/>
          <w:b w:val="0"/>
          <w:bCs w:val="0"/>
          <w:color w:val="000000"/>
          <w:sz w:val="24"/>
          <w:szCs w:val="24"/>
          <w:lang w:eastAsia="zh-CN"/>
        </w:rPr>
        <w:t xml:space="preserve">JSZC-3201</w:t>
      </w:r>
      <w:r>
        <w:rPr>
          <w:rFonts w:hint="eastAsia" w:ascii="宋体" w:hAnsi="宋体" w:eastAsia="宋体" w:cs="Times New Roman"/>
          <w:b w:val="0"/>
          <w:bCs w:val="0"/>
          <w:color w:val="000000"/>
          <w:sz w:val="24"/>
          <w:szCs w:val="24"/>
          <w:lang w:val="en-US" w:eastAsia="zh-CN"/>
        </w:rPr>
        <w:t xml:space="preserve">00</w:t>
      </w:r>
      <w:r>
        <w:rPr>
          <w:rFonts w:hint="eastAsia" w:ascii="宋体" w:hAnsi="宋体" w:eastAsia="宋体" w:cs="Times New Roman"/>
          <w:b w:val="0"/>
          <w:bCs w:val="0"/>
          <w:color w:val="000000"/>
          <w:sz w:val="24"/>
          <w:szCs w:val="24"/>
          <w:lang w:eastAsia="zh-CN"/>
        </w:rPr>
        <w:t xml:space="preserve">-JZCG-G20</w:t>
      </w:r>
      <w:r>
        <w:rPr>
          <w:rFonts w:hint="eastAsia" w:ascii="宋体" w:hAnsi="宋体" w:eastAsia="宋体" w:cs="Times New Roman"/>
          <w:b w:val="0"/>
          <w:bCs w:val="0"/>
          <w:color w:val="000000"/>
          <w:sz w:val="24"/>
          <w:szCs w:val="24"/>
          <w:lang w:val="en-US" w:eastAsia="zh-CN"/>
        </w:rPr>
        <w:t xml:space="preserve">24</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0246</w:t>
      </w:r>
      <w:r>
        <w:rPr>
          <w:rFonts w:hint="eastAsia" w:ascii="宋体" w:hAnsi="宋体" w:eastAsia="宋体" w:cs="Times New Roman"/>
          <w:b w:val="0"/>
          <w:bCs w:val="0"/>
          <w:color w:val="000000"/>
          <w:sz w:val="24"/>
          <w:szCs w:val="24"/>
          <w:lang w:eastAsia="zh-CN"/>
        </w:rPr>
        <w:t xml:space="preserve"> </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2.项目名称：鼓楼区多校网络机房设备采购</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90万元</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w:t>
      </w:r>
      <w:r>
        <w:rPr>
          <w:rFonts w:hint="eastAsia" w:ascii="宋体" w:hAnsi="宋体" w:eastAsia="宋体" w:cs="Times New Roman"/>
          <w:b w:val="0"/>
          <w:bCs w:val="0"/>
          <w:color w:val="000000"/>
          <w:sz w:val="24"/>
          <w:szCs w:val="24"/>
          <w:lang w:val="en-US" w:eastAsia="zh-CN"/>
        </w:rPr>
        <w:t xml:space="preserve">最高限价：</w:t>
      </w:r>
      <w:r>
        <w:rPr>
          <w:rFonts w:hint="eastAsia" w:ascii="宋体" w:hAnsi="宋体" w:eastAsia="宋体" w:cs="Times New Roman"/>
          <w:b w:val="0"/>
          <w:bCs w:val="0"/>
          <w:color w:val="000000"/>
          <w:sz w:val="24"/>
          <w:szCs w:val="24"/>
          <w:lang w:eastAsia="zh-CN"/>
        </w:rPr>
        <w:t xml:space="preserve">本项目不设最高限价。</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5.采购需求（简介）：</w:t>
      </w:r>
      <w:r>
        <w:rPr>
          <w:rFonts w:hint="eastAsia" w:ascii="宋体" w:hAnsi="宋体" w:eastAsia="宋体" w:cs="Times New Roman"/>
          <w:b w:val="0"/>
          <w:bCs w:val="0"/>
          <w:color w:val="000000"/>
          <w:sz w:val="24"/>
          <w:szCs w:val="24"/>
          <w:lang w:val="en-US" w:eastAsia="zh-CN"/>
        </w:rPr>
        <w:t xml:space="preserve">为满足网络机房教学智慧化的需求</w:t>
      </w:r>
      <w:r>
        <w:rPr>
          <w:rFonts w:hint="eastAsia" w:ascii="宋体" w:hAnsi="宋体" w:eastAsia="宋体" w:cs="Times New Roman"/>
          <w:b w:val="0"/>
          <w:bCs w:val="0"/>
          <w:color w:val="000000"/>
          <w:sz w:val="24"/>
          <w:szCs w:val="24"/>
          <w:lang w:eastAsia="zh-CN"/>
        </w:rPr>
        <w:t xml:space="preserve">，对</w:t>
      </w:r>
      <w:r>
        <w:rPr>
          <w:rFonts w:hint="eastAsia" w:ascii="宋体" w:hAnsi="宋体" w:eastAsia="宋体" w:cs="Times New Roman"/>
          <w:b w:val="0"/>
          <w:bCs w:val="0"/>
          <w:color w:val="000000"/>
          <w:sz w:val="24"/>
          <w:szCs w:val="24"/>
          <w:lang w:val="en-US" w:eastAsia="zh-CN"/>
        </w:rPr>
        <w:t xml:space="preserve">天妃宫小学、金陵汇文学校(小学部)、滨江小学、察哈尔路小学、科睿小学、长平路小学、莫愁新寓小学、宝船小学、芳草园小学凤凰校区、旭日景城小学、南师附中树人学校附属小学、古平岗小学、汉口路小学、南京力学小学等</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网络机房</w:t>
      </w:r>
      <w:r>
        <w:rPr>
          <w:rFonts w:hint="eastAsia" w:ascii="宋体" w:hAnsi="宋体" w:eastAsia="宋体" w:cs="Times New Roman"/>
          <w:b w:val="0"/>
          <w:bCs w:val="0"/>
          <w:color w:val="000000"/>
          <w:sz w:val="24"/>
          <w:szCs w:val="24"/>
          <w:lang w:eastAsia="zh-CN"/>
        </w:rPr>
        <w:t xml:space="preserve">进行升级改造，</w:t>
      </w:r>
      <w:r>
        <w:rPr>
          <w:rFonts w:hint="eastAsia" w:ascii="宋体" w:hAnsi="宋体" w:eastAsia="宋体" w:cs="Times New Roman"/>
          <w:b w:val="0"/>
          <w:bCs w:val="0"/>
          <w:color w:val="000000"/>
          <w:sz w:val="24"/>
          <w:szCs w:val="24"/>
          <w:lang w:val="en-US" w:eastAsia="zh-CN"/>
        </w:rPr>
        <w:t xml:space="preserve">需采购的主要设备包括课桌椅、静电地板、86英寸触控一体机、快拍仪、推拉黑板、机房讲台及机房内网络集成（信息点布线、交换机安装）。</w:t>
      </w:r>
      <w:r>
        <w:rPr>
          <w:rFonts w:hint="eastAsia" w:ascii="宋体" w:hAnsi="宋体" w:eastAsia="宋体" w:cs="Times New Roman"/>
          <w:b w:val="0"/>
          <w:bCs w:val="0"/>
          <w:color w:val="000000"/>
          <w:sz w:val="24"/>
          <w:szCs w:val="24"/>
          <w:lang w:eastAsia="zh-CN"/>
        </w:rPr>
        <w:t xml:space="preserve">（详细内容见本招标文件第四章） </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sz w:val="24"/>
          <w:szCs w:val="24"/>
        </w:rPr>
        <w:t xml:space="preserve">6.合同履行期限：</w:t>
      </w:r>
      <w:r>
        <w:rPr>
          <w:rFonts w:hint="eastAsia" w:ascii="宋体" w:hAnsi="宋体" w:eastAsia="宋体" w:cs="宋体"/>
          <w:bCs/>
          <w:sz w:val="24"/>
          <w:szCs w:val="24"/>
          <w:lang w:val="en-US" w:eastAsia="zh-CN"/>
        </w:rPr>
        <w:t xml:space="preserve">1115天（交货期为合同签订后20天内，质保期为验收合格后1095天）</w:t>
      </w:r>
      <w:r>
        <w:rPr>
          <w:rFonts w:hint="eastAsia" w:ascii="宋体" w:hAnsi="宋体" w:eastAsia="宋体" w:cs="宋体"/>
          <w:bCs/>
          <w:sz w:val="24"/>
          <w:szCs w:val="24"/>
          <w:lang w:val="en-US" w:eastAsia="zh-CN"/>
        </w:rPr>
      </w:r>
      <w:r/>
    </w:p>
    <w:p>
      <w:pPr>
        <w:pStyle w:val="869"/>
        <w:ind w:firstLine="48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7.本项目不接受进口产品投标。</w:t>
      </w:r>
      <w:r>
        <w:rPr>
          <w:rFonts w:hint="eastAsia" w:ascii="宋体" w:hAnsi="宋体" w:eastAsia="宋体" w:cs="宋体"/>
          <w:bCs/>
          <w:sz w:val="24"/>
          <w:szCs w:val="24"/>
          <w:lang w:val="en-US" w:eastAsia="zh-CN"/>
        </w:rPr>
      </w:r>
      <w:r/>
    </w:p>
    <w:p>
      <w:pPr>
        <w:pStyle w:val="869"/>
        <w:ind w:firstLine="48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8.本项目不接受联合体投标。</w:t>
      </w:r>
      <w:r>
        <w:rPr>
          <w:rFonts w:hint="eastAsia" w:ascii="宋体" w:hAnsi="宋体" w:eastAsia="宋体" w:cs="宋体"/>
          <w:bCs/>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28359004"/>
      <w:r/>
      <w:bookmarkStart w:id="18" w:name="_Toc35393623"/>
      <w:r/>
      <w:bookmarkStart w:id="19" w:name="_Toc28359081"/>
      <w:r/>
      <w:bookmarkStart w:id="20" w:name="_Toc38985265"/>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35393794"/>
      <w:r/>
      <w:bookmarkStart w:id="28" w:name="_Toc28359084"/>
      <w:r/>
      <w:bookmarkStart w:id="29" w:name="_Toc28359007"/>
      <w:r/>
      <w:bookmarkStart w:id="30" w:name="_Toc35393625"/>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Times New Roman" w:hAnsi="Times New Roman" w:eastAsia="宋体" w:cs="Times New Roman"/>
          <w:bCs/>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highlight w:val="none"/>
          <w:u w:val="none"/>
          <w:lang w:val="en-US" w:eastAsia="zh-CN"/>
        </w:rPr>
        <w:t xml:space="preserve">24</w:t>
      </w:r>
      <w:r>
        <w:rPr>
          <w:rFonts w:hint="eastAsia" w:ascii="Times New Roman" w:hAnsi="Times New Roman" w:eastAsia="Times New Roman" w:cs="Times New Roman"/>
          <w:bCs/>
          <w:color w:val="000000" w:themeColor="text1"/>
          <w:sz w:val="24"/>
          <w:szCs w:val="24"/>
          <w:u w:val="none"/>
        </w:rPr>
        <w:t xml:space="preserve">年8</w:t>
      </w:r>
      <w:r>
        <w:rPr>
          <w:rFonts w:hint="eastAsia" w:ascii="Times New Roman" w:hAnsi="Times New Roman" w:eastAsia="Times New Roman" w:cs="Times New Roman"/>
          <w:bCs/>
          <w:color w:val="000000" w:themeColor="text1"/>
          <w:sz w:val="24"/>
          <w:szCs w:val="24"/>
          <w:u w:val="none"/>
        </w:rPr>
        <w:t xml:space="preserve">月9</w:t>
      </w:r>
      <w:r>
        <w:rPr>
          <w:rFonts w:hint="eastAsia" w:ascii="Times New Roman" w:hAnsi="Times New Roman" w:eastAsia="Times New Roman" w:cs="Times New Roman"/>
          <w:bCs/>
          <w:color w:val="000000" w:themeColor="text1"/>
          <w:sz w:val="24"/>
          <w:szCs w:val="24"/>
          <w:u w:val="none"/>
        </w:rPr>
        <w:t xml:space="preserve">日</w:t>
      </w:r>
      <w:r>
        <w:rPr>
          <w:rFonts w:hint="eastAsia" w:ascii="Times New Roman" w:hAnsi="Times New Roman" w:eastAsia="宋体" w:cs="Times New Roman"/>
          <w:color w:val="000000" w:themeColor="text1"/>
          <w:sz w:val="24"/>
          <w:szCs w:val="24"/>
          <w:highlight w:val="none"/>
          <w:u w:val="none"/>
          <w:lang w:val="en-US" w:eastAsia="zh-CN"/>
        </w:rPr>
        <w:t xml:space="preserve">14</w:t>
      </w:r>
      <w:r>
        <w:rPr>
          <w:rFonts w:hint="eastAsia" w:ascii="Times New Roman" w:hAnsi="Times New Roman" w:eastAsia="Times New Roman" w:cs="Times New Roman"/>
          <w:bCs/>
          <w:color w:val="000000" w:themeColor="text1"/>
          <w:sz w:val="24"/>
          <w:szCs w:val="24"/>
          <w:u w:val="none"/>
          <w:lang w:val="en-US" w:eastAsia="zh-CN"/>
        </w:rPr>
        <w:t xml:space="preserve">时</w:t>
      </w:r>
      <w:r>
        <w:rPr>
          <w:rFonts w:hint="eastAsia" w:ascii="Times New Roman" w:hAnsi="Times New Roman" w:eastAsia="宋体" w:cs="Times New Roman"/>
          <w:color w:val="000000" w:themeColor="text1"/>
          <w:sz w:val="24"/>
          <w:szCs w:val="24"/>
          <w:highlight w:val="none"/>
          <w:u w:val="none"/>
          <w:lang w:val="en-US" w:eastAsia="zh-CN"/>
        </w:rPr>
        <w:t xml:space="preserve">00</w:t>
      </w:r>
      <w:r>
        <w:rPr>
          <w:rFonts w:hint="eastAsia" w:ascii="Times New Roman" w:hAnsi="Times New Roman" w:eastAsia="Times New Roman" w:cs="Times New Roman"/>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2"/>
        <w:ind w:firstLine="498"/>
        <w:pageBreakBefore w:val="0"/>
        <w:spacing w:before="145" w:after="145"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64"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28359085"/>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5"/>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b w:val="0"/>
          <w:bCs w:val="0"/>
          <w:color w:val="000000"/>
          <w:sz w:val="24"/>
          <w:szCs w:val="24"/>
          <w:lang w:eastAsia="zh-CN"/>
        </w:rPr>
        <w:t xml:space="preserve">南京市鼓楼区教育局</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南京市鼓楼区世贸中心大厦A座7楼</w:t>
      </w:r>
      <w:r>
        <w:rPr>
          <w:rFonts w:hint="eastAsia" w:ascii="宋体" w:hAnsi="宋体" w:eastAsia="宋体" w:cs="Times New Roman"/>
          <w:b w:val="0"/>
          <w:bCs w:val="0"/>
          <w:color w:val="000000"/>
          <w:sz w:val="24"/>
          <w:szCs w:val="24"/>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万老师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025-83230037</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联系人：马老师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120614221"/>
      <w:r/>
      <w:bookmarkStart w:id="52" w:name="_Toc479757207"/>
      <w:r/>
      <w:bookmarkStart w:id="53" w:name="_Toc513029242"/>
      <w:r/>
      <w:bookmarkStart w:id="54" w:name="_Toc20823314"/>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供应商的资格要求的规定。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16938528"/>
      <w:r/>
      <w:bookmarkStart w:id="84" w:name="_Toc462564071"/>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513029213"/>
      <w:r/>
      <w:bookmarkStart w:id="88" w:name="_Toc120614216"/>
      <w:r/>
      <w:bookmarkStart w:id="89" w:name="_Toc20823285"/>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20823286"/>
      <w:r/>
      <w:bookmarkStart w:id="93" w:name="_Toc513029214"/>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Toc513029219"/>
      <w:r/>
      <w:bookmarkStart w:id="100" w:name="_Toc49090507"/>
      <w:r/>
      <w:bookmarkStart w:id="101" w:name="_Toc513029216"/>
      <w:r/>
      <w:bookmarkStart w:id="102" w:name="_Toc14577354"/>
      <w:r/>
      <w:bookmarkStart w:id="103" w:name="_Hlt26668975"/>
      <w:r/>
      <w:bookmarkEnd w:id="103"/>
      <w:r/>
      <w:bookmarkStart w:id="104" w:name="_Hlt26670360"/>
      <w:r/>
      <w:bookmarkEnd w:id="104"/>
      <w:r/>
      <w:bookmarkStart w:id="105" w:name="_Hlt26954838"/>
      <w:r/>
      <w:bookmarkEnd w:id="105"/>
      <w:r/>
      <w:bookmarkStart w:id="106" w:name="_Toc49090509"/>
      <w:r/>
      <w:bookmarkStart w:id="107" w:name="_Toc1457735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0"/>
      <w:r/>
      <w:bookmarkEnd w:id="101"/>
      <w:r/>
      <w:bookmarkEnd w:id="102"/>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68983"/>
      <w:r/>
      <w:bookmarkEnd w:id="113"/>
      <w:r/>
      <w:bookmarkStart w:id="114" w:name="_Hlt26670486"/>
      <w:r/>
      <w:bookmarkEnd w:id="114"/>
      <w:r/>
      <w:bookmarkStart w:id="115" w:name="_Hlt26954846"/>
      <w:r/>
      <w:bookmarkEnd w:id="115"/>
      <w:r/>
      <w:bookmarkStart w:id="116" w:name="_Hlt26670482"/>
      <w:r/>
      <w:bookmarkEnd w:id="116"/>
      <w:r/>
      <w:bookmarkStart w:id="117" w:name="_Hlt26954844"/>
      <w:r/>
      <w:bookmarkEnd w:id="117"/>
      <w:r/>
      <w:bookmarkStart w:id="118" w:name="_Hlt26954731"/>
      <w:r/>
      <w:bookmarkEnd w:id="118"/>
      <w:r/>
      <w:bookmarkStart w:id="119" w:name="_Hlt26954848"/>
      <w:r/>
      <w:bookmarkEnd w:id="119"/>
      <w:r/>
      <w:bookmarkStart w:id="120" w:name="_Hlt26954842"/>
      <w:r/>
      <w:bookmarkEnd w:id="120"/>
      <w:r/>
      <w:bookmarkStart w:id="121" w:name="_Hlt26670425"/>
      <w:r/>
      <w:bookmarkEnd w:id="121"/>
      <w:r/>
      <w:bookmarkStart w:id="122" w:name="_Hlt2667040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对于采用货币报价的项目，开标一览表中的投标总报价应与投标分项报价表中的投标总报价一致，如不一致不作为无效投标处理，评标时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20823296"/>
      <w:r/>
      <w:bookmarkStart w:id="133" w:name="_Toc16938540"/>
      <w:r/>
      <w:bookmarkStart w:id="134" w:name="_Toc120614217"/>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462564084"/>
      <w:r/>
      <w:bookmarkStart w:id="138" w:name="_Toc16938541"/>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20823299"/>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eastAsia="宋体" w:cs="Times New Roman"/>
          <w:color w:val="000000"/>
          <w:sz w:val="24"/>
          <w:lang w:val="en-US" w:eastAsia="zh-CN"/>
        </w:rPr>
        <w:t xml:space="preserve">候选</w:t>
      </w:r>
      <w:r>
        <w:rPr>
          <w:rFonts w:hint="eastAsia" w:ascii="宋体" w:hAnsi="宋体" w:eastAsia="宋体" w:cs="Times New Roman"/>
          <w:color w:val="000000"/>
          <w:sz w:val="24"/>
          <w:lang w:val="zh-CN"/>
        </w:rPr>
        <w:t xml:space="preserve">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7"/>
      <w:r/>
      <w:bookmarkStart w:id="169" w:name="_Toc16938551"/>
      <w:r/>
      <w:bookmarkStart w:id="170" w:name="_Toc513029235"/>
      <w:r/>
      <w:bookmarkStart w:id="171"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本招标文件中斜体且有下划线部分，或者打“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eastAsia="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20823310"/>
      <w:r/>
      <w:bookmarkStart w:id="174" w:name="_Toc16938554"/>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513029236"/>
      <w:r/>
      <w:bookmarkStart w:id="178" w:name="_Toc16938552"/>
      <w:r/>
      <w:bookmarkStart w:id="179" w:name="_Toc20823308"/>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16938553"/>
      <w:r/>
      <w:bookmarkStart w:id="181" w:name="_Toc20823309"/>
      <w:r/>
      <w:bookmarkStart w:id="182"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69"/>
        <w:ind w:firstLine="482"/>
        <w:pageBreakBefore w:val="0"/>
        <w:spacing w:line="264"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宋体"/>
          <w:b/>
          <w:bCs/>
          <w:sz w:val="24"/>
          <w:szCs w:val="24"/>
          <w:highlight w:val="none"/>
          <w:u w:val="single"/>
          <w:lang w:val="en-US" w:eastAsia="zh-CN"/>
        </w:rPr>
        <w:t xml:space="preserve">采购人质疑接收人及联系方式为南京市鼓楼区教育局，联系地址：南京市鼓楼区世贸中心大厦A座7楼，联系人：万老师，联系电话：025-83230037 。</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b w:val="0"/>
          <w:bCs w:val="0"/>
          <w:color w:val="0000ff"/>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ind w:left="0" w:firstLine="0"/>
        <w:jc w:val="center"/>
        <w:rPr>
          <w:rFonts w:hint="eastAsia" w:ascii="黑体" w:hAnsi="Times New Roman" w:eastAsia="黑体" w:cs="Times New Roman"/>
          <w:color w:val="000000"/>
          <w:sz w:val="44"/>
          <w:szCs w:val="44"/>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3" w:name="_Toc16938559"/>
      <w:r/>
      <w:bookmarkStart w:id="184" w:name="_Toc513029243"/>
      <w:r/>
      <w:bookmarkStart w:id="185" w:name="_Toc20823315"/>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乙方应按招标文件规定的时间向甲方提供使用货物(包含与货物相关的服务)的有关技术资料。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8.1.1 合同签订后，甲方支付合同总价款的30%作为预付款。</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8.1.2 </w:t>
      </w:r>
      <w:r>
        <w:rPr>
          <w:rFonts w:hint="eastAsia" w:ascii="宋体" w:hAnsi="宋体" w:eastAsia="宋体" w:cs="Courier New"/>
          <w:color w:val="000000"/>
          <w:sz w:val="24"/>
          <w:szCs w:val="24"/>
          <w:lang w:eastAsia="zh-CN"/>
        </w:rPr>
        <w:t xml:space="preserve">乙方</w:t>
      </w:r>
      <w:r>
        <w:rPr>
          <w:rFonts w:hint="eastAsia" w:ascii="宋体" w:hAnsi="宋体" w:eastAsia="宋体" w:cs="Courier New"/>
          <w:color w:val="000000"/>
          <w:sz w:val="24"/>
          <w:szCs w:val="24"/>
        </w:rPr>
        <w:t xml:space="preserve">完成所有设备安装、调试、培训，交付完毕，</w:t>
      </w:r>
      <w:r>
        <w:rPr>
          <w:rFonts w:hint="eastAsia" w:ascii="宋体" w:hAnsi="宋体" w:eastAsia="宋体" w:cs="Courier New"/>
          <w:color w:val="000000"/>
          <w:sz w:val="24"/>
          <w:szCs w:val="24"/>
          <w:lang w:eastAsia="zh-CN"/>
        </w:rPr>
        <w:t xml:space="preserve">甲方</w:t>
      </w:r>
      <w:r>
        <w:rPr>
          <w:rFonts w:hint="eastAsia" w:ascii="宋体" w:hAnsi="宋体" w:eastAsia="宋体" w:cs="Courier New"/>
          <w:color w:val="000000"/>
          <w:sz w:val="24"/>
          <w:szCs w:val="24"/>
        </w:rPr>
        <w:t xml:space="preserve">组织专家或第三方检测机构与学校共同验收，验收合格后即办理付款手续，采购人一次性付清尾款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注：实际付款方为各个项目学校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49090575"/>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为满足网络机房教学智慧化的需求</w:t>
      </w:r>
      <w:r>
        <w:rPr>
          <w:rFonts w:hint="eastAsia" w:ascii="宋体" w:hAnsi="宋体" w:eastAsia="宋体" w:cs="宋体"/>
          <w:bCs/>
          <w:sz w:val="24"/>
          <w:szCs w:val="24"/>
        </w:rPr>
        <w:t xml:space="preserve">，对</w:t>
      </w:r>
      <w:r>
        <w:rPr>
          <w:rFonts w:hint="eastAsia" w:ascii="宋体" w:hAnsi="宋体" w:eastAsia="宋体" w:cs="宋体"/>
          <w:bCs/>
          <w:sz w:val="24"/>
          <w:szCs w:val="24"/>
          <w:lang w:val="en-US" w:eastAsia="zh-CN"/>
        </w:rPr>
        <w:t xml:space="preserve">天妃宫小学、金陵汇文学校(小学部)、滨江小学、察哈尔路小学、科睿小学、长平路小学、莫愁新寓小学、宝船小学、芳草园小学凤凰校区、旭日景城小学、南师附中树人学校附属小学、古平岗小学、汉口路小学、南京力学小学等</w:t>
      </w:r>
      <w:r>
        <w:rPr>
          <w:rFonts w:hint="eastAsia" w:ascii="宋体" w:hAnsi="宋体" w:eastAsia="宋体" w:cs="宋体"/>
          <w:bCs/>
          <w:sz w:val="24"/>
          <w:szCs w:val="24"/>
        </w:rPr>
        <w:t xml:space="preserve">的</w:t>
      </w:r>
      <w:r>
        <w:rPr>
          <w:rFonts w:hint="eastAsia" w:ascii="宋体" w:hAnsi="宋体" w:eastAsia="宋体" w:cs="宋体"/>
          <w:bCs/>
          <w:sz w:val="24"/>
          <w:szCs w:val="24"/>
          <w:lang w:val="en-US" w:eastAsia="zh-CN"/>
        </w:rPr>
        <w:t xml:space="preserve">网络机房</w:t>
      </w:r>
      <w:r>
        <w:rPr>
          <w:rFonts w:hint="eastAsia" w:ascii="宋体" w:hAnsi="宋体" w:eastAsia="宋体" w:cs="宋体"/>
          <w:bCs/>
          <w:sz w:val="24"/>
          <w:szCs w:val="24"/>
        </w:rPr>
        <w:t xml:space="preserve">进行升级改造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需采购的主要设备包括课桌椅、静电地板、86英寸触控一体机、快拍仪、推拉黑板、机房讲台及机房内网络集成（信息点布线、交换机安装）。</w:t>
      </w:r>
      <w:r>
        <w:rPr>
          <w:rFonts w:hint="eastAsia" w:ascii="宋体" w:hAnsi="宋体" w:eastAsia="宋体" w:cs="宋体"/>
          <w:bCs/>
          <w:sz w:val="24"/>
          <w:szCs w:val="24"/>
          <w:lang w:val="en-US" w:eastAsia="zh-CN"/>
        </w:rPr>
      </w:r>
      <w:r/>
    </w:p>
    <w:p>
      <w:pPr>
        <w:pStyle w:val="869"/>
        <w:ind w:firstLine="480"/>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（二）项目建设遵循标准</w:t>
      </w:r>
      <w:r>
        <w:rPr>
          <w:rFonts w:hint="eastAsia" w:ascii="宋体" w:hAnsi="宋体" w:eastAsia="宋体" w:cs="宋体"/>
          <w:bCs/>
          <w:sz w:val="24"/>
          <w:szCs w:val="24"/>
        </w:rPr>
      </w:r>
      <w:r/>
    </w:p>
    <w:p>
      <w:pPr>
        <w:pStyle w:val="869"/>
        <w:ind w:firstLine="480"/>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rPr>
          <w:rFonts w:hint="eastAsia" w:ascii="宋体" w:hAnsi="宋体" w:eastAsia="宋体" w:cs="宋体"/>
          <w:bCs/>
          <w:sz w:val="24"/>
          <w:szCs w:val="24"/>
        </w:rPr>
      </w:r>
      <w:r/>
    </w:p>
    <w:p>
      <w:pPr>
        <w:pStyle w:val="869"/>
        <w:ind w:firstLine="480"/>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rPr>
          <w:rFonts w:hint="eastAsia" w:ascii="宋体" w:hAnsi="宋体" w:eastAsia="宋体" w:cs="宋体"/>
          <w:bCs/>
          <w:sz w:val="24"/>
          <w:szCs w:val="24"/>
        </w:rPr>
      </w:r>
      <w:r/>
    </w:p>
    <w:p>
      <w:pPr>
        <w:pStyle w:val="869"/>
        <w:ind w:firstLine="480"/>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固定资产须符合《市政府办公厅关于印发&lt;南京市市级行政事业单位资产配置标准&gt;、&lt;南京市市级行政事业单位资产使用年限标准&gt;（2016年修订版）的通知》及《关于印发南京市中小学通用资产配置标准的通知》。</w:t>
      </w:r>
      <w:r>
        <w:rPr>
          <w:rFonts w:hint="eastAsia" w:ascii="宋体" w:hAnsi="宋体" w:eastAsia="宋体" w:cs="宋体"/>
          <w:bCs/>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三、产品清单</w:t>
      </w:r>
      <w:r>
        <w:rPr>
          <w:rFonts w:hint="eastAsia" w:ascii="宋体" w:hAnsi="宋体" w:eastAsia="宋体" w:cs="宋体"/>
          <w:bCs/>
          <w:sz w:val="24"/>
          <w:szCs w:val="24"/>
          <w:lang w:eastAsia="zh-CN"/>
        </w:rPr>
      </w:r>
      <w:r/>
    </w:p>
    <w:tbl>
      <w:tblPr>
        <w:tblStyle w:val="985"/>
        <w:tblW w:w="5053"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3"/>
        <w:gridCol w:w="2225"/>
        <w:gridCol w:w="733"/>
        <w:gridCol w:w="679"/>
        <w:gridCol w:w="1114"/>
        <w:gridCol w:w="1240"/>
        <w:gridCol w:w="1420"/>
        <w:gridCol w:w="1021"/>
        <w:gridCol w:w="790"/>
      </w:tblGrid>
      <w:tr>
        <w:trPr>
          <w:trHeight w:val="470"/>
        </w:trPr>
        <w:tc>
          <w:tcPr>
            <w:tcW w:w="326"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12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备注</w:t>
            </w:r>
            <w:r>
              <w:rPr>
                <w:rFonts w:hint="eastAsia" w:ascii="宋体" w:hAnsi="宋体" w:eastAsia="宋体" w:cs="宋体"/>
                <w:bCs/>
                <w:sz w:val="24"/>
                <w:szCs w:val="24"/>
                <w:lang w:eastAsia="zh-CN"/>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86英寸触控一体机</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11000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核心产品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592"/>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bCs/>
                <w:sz w:val="24"/>
                <w:szCs w:val="24"/>
                <w:lang w:val="en-US" w:eastAsia="zh-CN" w:bidi="ar-SA"/>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快拍仪</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sz w:val="24"/>
                <w:szCs w:val="24"/>
              </w:rPr>
              <w:t xml:space="preserve">3</w:t>
            </w:r>
            <w:r>
              <w:rPr>
                <w:rFonts w:hint="eastAsia" w:ascii="宋体" w:hAnsi="宋体" w:eastAsia="宋体" w:cs="宋体"/>
                <w:bCs/>
                <w:sz w:val="24"/>
                <w:szCs w:val="24"/>
                <w:lang w:val="en-US" w:eastAsia="zh-CN" w:bidi="ar-SA"/>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推拉黑板</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1400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4</w:t>
            </w:r>
            <w:r>
              <w:rPr>
                <w:rFonts w:hint="eastAsia" w:ascii="宋体" w:hAnsi="宋体" w:eastAsia="宋体" w:cs="宋体"/>
                <w:bCs/>
                <w:sz w:val="24"/>
                <w:szCs w:val="24"/>
                <w:lang w:val="en-US" w:eastAsia="zh-CN"/>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24口千兆交换机</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1560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5</w:t>
            </w:r>
            <w:r>
              <w:rPr>
                <w:rFonts w:hint="eastAsia" w:ascii="宋体" w:hAnsi="宋体" w:eastAsia="宋体" w:cs="宋体"/>
                <w:bCs/>
                <w:sz w:val="24"/>
                <w:szCs w:val="24"/>
                <w:lang w:val="en-US" w:eastAsia="zh-CN"/>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静电地板</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449</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平米</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6</w:t>
            </w:r>
            <w:r>
              <w:rPr>
                <w:rFonts w:hint="eastAsia" w:ascii="宋体" w:hAnsi="宋体" w:eastAsia="宋体" w:cs="宋体"/>
                <w:bCs/>
                <w:sz w:val="24"/>
                <w:szCs w:val="24"/>
                <w:lang w:val="en-US" w:eastAsia="zh-CN"/>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机房讲台</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网络机柜</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1300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24口配线架</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理线架</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学生桌椅（2人位）</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89</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650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学生桌椅（6人位）</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2500 </w:t>
            </w: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原设备拆除</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软件和信息</w:t>
            </w:r>
            <w:r>
              <w:rPr>
                <w:rFonts w:hint="eastAsia" w:ascii="宋体" w:hAnsi="宋体" w:eastAsia="宋体" w:cs="宋体"/>
                <w:bCs/>
                <w:sz w:val="24"/>
                <w:szCs w:val="24"/>
                <w:lang w:eastAsia="zh-CN"/>
              </w:rPr>
            </w:r>
            <w:r/>
          </w:p>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技术服务业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服务</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13</w:t>
            </w:r>
            <w:r>
              <w:rPr>
                <w:rFonts w:ascii="宋体" w:hAnsi="宋体" w:eastAsia="宋体" w:cs="宋体"/>
                <w:sz w:val="24"/>
                <w:szCs w:val="24"/>
                <w:lang w:eastAsia="zh-CN"/>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综合布线</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699</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点</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软件和信息</w:t>
            </w:r>
            <w:r>
              <w:rPr>
                <w:rFonts w:hint="eastAsia" w:ascii="宋体" w:hAnsi="宋体" w:eastAsia="宋体" w:cs="宋体"/>
                <w:bCs/>
                <w:sz w:val="24"/>
                <w:szCs w:val="24"/>
                <w:lang w:eastAsia="zh-CN"/>
              </w:rPr>
            </w:r>
            <w:r/>
          </w:p>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技术服务业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r>
        <w:trPr>
          <w:trHeight w:val="414"/>
        </w:trPr>
        <w:tc>
          <w:tcPr>
            <w:tcW w:w="326" w:type="dxa"/>
            <w:vAlign w:val="center"/>
            <w:textDirection w:val="lrTb"/>
            <w:noWrap w:val="false"/>
          </w:tcPr>
          <w:p>
            <w:pPr>
              <w:pStyle w:val="869"/>
              <w:jc w:val="center"/>
              <w:keepLines w:val="0"/>
              <w:keepNext w:val="0"/>
              <w:pageBreakBefore w:val="0"/>
              <w:spacing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14</w:t>
            </w:r>
            <w:r>
              <w:rPr>
                <w:rFonts w:ascii="宋体" w:hAnsi="宋体" w:eastAsia="宋体" w:cs="宋体"/>
                <w:sz w:val="24"/>
                <w:szCs w:val="24"/>
                <w:lang w:eastAsia="zh-CN"/>
              </w:rPr>
            </w:r>
            <w:r/>
          </w:p>
        </w:tc>
        <w:tc>
          <w:tcPr>
            <w:tcW w:w="1127"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多媒体系统集成</w:t>
            </w:r>
            <w:r>
              <w:rPr>
                <w:rFonts w:hint="eastAsia" w:ascii="宋体" w:hAnsi="宋体" w:eastAsia="宋体" w:cs="宋体"/>
                <w:i w:val="0"/>
                <w:iCs w:val="0"/>
                <w:color w:val="000000"/>
                <w:sz w:val="24"/>
                <w:szCs w:val="24"/>
                <w:u w:val="none"/>
                <w:lang w:val="en-US" w:eastAsia="zh-CN" w:bidi="ar"/>
              </w:rPr>
            </w:r>
            <w:r/>
          </w:p>
        </w:tc>
        <w:tc>
          <w:tcPr>
            <w:tcW w:w="37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rPr>
            </w:r>
            <w:r/>
          </w:p>
        </w:tc>
        <w:tc>
          <w:tcPr>
            <w:tcW w:w="34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间</w:t>
            </w:r>
            <w:r>
              <w:rPr>
                <w:rFonts w:hint="eastAsia" w:ascii="宋体" w:hAnsi="宋体" w:eastAsia="宋体" w:cs="宋体"/>
                <w:bCs/>
                <w:sz w:val="24"/>
                <w:szCs w:val="24"/>
                <w:lang w:val="en-US" w:eastAsia="zh-CN"/>
              </w:rPr>
            </w:r>
            <w:r/>
          </w:p>
        </w:tc>
        <w:tc>
          <w:tcPr>
            <w:tcW w:w="56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软件和信息</w:t>
            </w:r>
            <w:r>
              <w:rPr>
                <w:rFonts w:hint="eastAsia" w:ascii="宋体" w:hAnsi="宋体" w:eastAsia="宋体" w:cs="宋体"/>
                <w:bCs/>
                <w:sz w:val="24"/>
                <w:szCs w:val="24"/>
                <w:lang w:eastAsia="zh-CN"/>
              </w:rPr>
            </w:r>
            <w:r/>
          </w:p>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技术服务业</w:t>
            </w:r>
            <w:r>
              <w:rPr>
                <w:rFonts w:hint="eastAsia" w:ascii="宋体" w:hAnsi="宋体" w:eastAsia="宋体" w:cs="宋体"/>
                <w:bCs/>
                <w:sz w:val="24"/>
                <w:szCs w:val="24"/>
                <w:lang w:val="en-US" w:eastAsia="zh-CN"/>
              </w:rPr>
            </w:r>
            <w:r/>
          </w:p>
        </w:tc>
        <w:tc>
          <w:tcPr>
            <w:tcW w:w="51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rPr>
                <w:rFonts w:hint="eastAsia" w:ascii="宋体" w:hAnsi="宋体" w:eastAsia="宋体" w:cs="宋体"/>
                <w:bCs/>
                <w:sz w:val="24"/>
                <w:szCs w:val="24"/>
                <w:lang w:val="en-US" w:eastAsia="zh-CN"/>
              </w:rPr>
            </w:r>
            <w:r/>
          </w:p>
        </w:tc>
        <w:tc>
          <w:tcPr>
            <w:tcW w:w="400"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r>
    </w:tbl>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985"/>
        <w:tblW w:w="5149"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1"/>
        <w:gridCol w:w="1291"/>
        <w:gridCol w:w="1577"/>
        <w:gridCol w:w="6544"/>
      </w:tblGrid>
      <w:tr>
        <w:trPr>
          <w:trHeight w:val="470"/>
        </w:trPr>
        <w:tc>
          <w:tcPr>
            <w:tcW w:w="31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64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8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要求</w:t>
            </w:r>
            <w:r>
              <w:rPr>
                <w:rFonts w:hint="eastAsia" w:ascii="宋体" w:hAnsi="宋体" w:eastAsia="宋体" w:cs="宋体"/>
                <w:bCs/>
                <w:sz w:val="24"/>
                <w:szCs w:val="24"/>
                <w:lang w:eastAsia="zh-CN"/>
              </w:rPr>
            </w:r>
            <w:r/>
          </w:p>
        </w:tc>
        <w:tc>
          <w:tcPr>
            <w:tcW w:w="3254"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功能、性能、配置</w:t>
            </w:r>
            <w:r>
              <w:rPr>
                <w:rFonts w:hint="eastAsia" w:ascii="宋体" w:hAnsi="宋体" w:eastAsia="宋体" w:cs="宋体"/>
                <w:bCs/>
                <w:sz w:val="24"/>
                <w:szCs w:val="24"/>
                <w:lang w:val="en-US" w:eastAsia="zh-CN"/>
              </w:rPr>
              <w:t xml:space="preserve">不低于以下要求</w:t>
            </w:r>
            <w:r>
              <w:rPr>
                <w:rFonts w:hint="eastAsia" w:ascii="宋体" w:hAnsi="宋体" w:eastAsia="宋体" w:cs="宋体"/>
                <w:bCs/>
                <w:sz w:val="24"/>
                <w:szCs w:val="24"/>
                <w:lang w:val="en-US" w:eastAsia="zh-CN"/>
              </w:rPr>
            </w:r>
            <w:r/>
          </w:p>
        </w:tc>
      </w:tr>
      <w:tr>
        <w:trPr>
          <w:trHeight w:val="204"/>
        </w:trPr>
        <w:tc>
          <w:tcPr>
            <w:tcW w:w="319" w:type="dxa"/>
            <w:vAlign w:val="center"/>
            <w:vMerge w:val="restart"/>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r>
            <w:r/>
          </w:p>
        </w:tc>
        <w:tc>
          <w:tcPr>
            <w:tcW w:w="642" w:type="dxa"/>
            <w:vAlign w:val="center"/>
            <w:vMerge w:val="restart"/>
            <w:textDirection w:val="lrTb"/>
            <w:noWrap w:val="false"/>
          </w:tcPr>
          <w:p>
            <w:pPr>
              <w:pStyle w:val="869"/>
              <w:jc w:val="left"/>
              <w:keepLines w:val="0"/>
              <w:keepNext w:val="0"/>
              <w:pageBreakBefore w:val="0"/>
              <w:spacing w:line="240" w:lineRule="auto"/>
              <w:widowControl/>
              <w:rPr>
                <w:rFonts w:hint="eastAsia" w:ascii="宋体" w:hAnsi="宋体" w:eastAsia="宋体" w:cs="宋体"/>
                <w:bCs/>
                <w:color w:val="0000ff"/>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86英寸触控一体机</w:t>
            </w:r>
            <w:r>
              <w:rPr>
                <w:rFonts w:hint="eastAsia" w:ascii="宋体" w:hAnsi="宋体" w:eastAsia="宋体" w:cs="宋体"/>
                <w:bCs/>
                <w:color w:val="0000ff"/>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★实质性要求</w:t>
            </w:r>
            <w:r>
              <w:rPr>
                <w:rFonts w:hint="eastAsia" w:ascii="宋体" w:hAnsi="宋体" w:eastAsia="宋体" w:cs="宋体"/>
                <w:i w:val="0"/>
                <w:iCs w:val="0"/>
                <w:color w:val="000000"/>
                <w:sz w:val="24"/>
                <w:szCs w:val="24"/>
                <w:u w:val="none"/>
                <w:lang w:val="en-US" w:eastAsia="zh-CN" w:bidi="ar"/>
              </w:rPr>
            </w:r>
            <w:r/>
          </w:p>
        </w:tc>
        <w:tc>
          <w:tcPr>
            <w:tcW w:w="3254" w:type="dxa"/>
            <w:vAlign w:val="top"/>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1、整机屏幕采用86英寸液晶显示器，显示比例16:9，分辨率≥3840×2160。</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2、采用红外触控技术，触控点数≥10点。</w:t>
            </w:r>
            <w:r>
              <w:rPr>
                <w:rFonts w:hint="eastAsia" w:ascii="宋体" w:hAnsi="宋体" w:eastAsia="宋体" w:cs="宋体"/>
                <w:i w:val="0"/>
                <w:iCs w:val="0"/>
                <w:color w:val="000000"/>
                <w:sz w:val="24"/>
                <w:szCs w:val="24"/>
                <w:u w:val="none"/>
                <w:lang w:val="en-US" w:eastAsia="zh-CN" w:bidi="ar"/>
              </w:rPr>
            </w:r>
            <w:r/>
          </w:p>
        </w:tc>
      </w:tr>
      <w:tr>
        <w:trPr>
          <w:trHeight w:val="204"/>
        </w:trPr>
        <w:tc>
          <w:tcPr>
            <w:tcW w:w="319" w:type="dxa"/>
            <w:vAlign w:val="center"/>
            <w:vMerge w:val="continue"/>
            <w:textDirection w:val="lrTb"/>
            <w:noWrap w:val="false"/>
          </w:tcPr>
          <w:p>
            <w:pPr>
              <w:pStyle w:val="869"/>
              <w:jc w:val="left"/>
              <w:keepLines w:val="0"/>
              <w:keepNext w:val="0"/>
              <w:pageBreakBefore w:val="0"/>
              <w:spacing w:line="240" w:lineRule="auto"/>
              <w:widowControl/>
              <w:suppressLineNumbers w:val="0"/>
            </w:pPr>
            <w:r/>
            <w:r/>
          </w:p>
        </w:tc>
        <w:tc>
          <w:tcPr>
            <w:tcW w:w="642" w:type="dxa"/>
            <w:vAlign w:val="center"/>
            <w:vMerge w:val="continue"/>
            <w:textDirection w:val="lrTb"/>
            <w:noWrap w:val="false"/>
          </w:tcPr>
          <w:p>
            <w:pPr>
              <w:pStyle w:val="869"/>
              <w:jc w:val="left"/>
              <w:keepLines w:val="0"/>
              <w:keepNext w:val="0"/>
              <w:pageBreakBefore w:val="0"/>
              <w:spacing w:line="240" w:lineRule="auto"/>
              <w:widowControl/>
              <w:suppressLineNumbers w:val="0"/>
            </w:p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i w:val="0"/>
                <w:iCs w:val="0"/>
                <w:color w:val="000000"/>
                <w:sz w:val="24"/>
                <w:szCs w:val="24"/>
                <w:u w:val="none"/>
                <w:lang w:val="en-US" w:eastAsia="zh-CN" w:bidi="ar"/>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1.▲整机内置2.2声道扬声器，位于设备上边框，顶置朝前发声，额定总功率≥60W。</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2.整机内置非独立外扩展的8阵列麦克风，拾音角度≥180°，可用于对教室环境音频进行采集，拾音距离≥12m。</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3.▲整机全通道支持纸质护眼模式，可实现画面纹理的实时调整；支持纸质纹理：牛皮纸、素描纸、宣纸、水彩纸、水纹纸；支持透明度调节；支持色温调节。</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4.整机支持蓝牙Bluetooth 5.4标准；Wi-Fi制式支持IEEE802.11a/b/g/n/ac/ax；内置双WiFi6无线网卡，Wi-Fi及AP热点支持频段2.4GHz/5GHz。</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5.▲整机上边框内置≥3个智能拼接摄像头，视场角≥140度，可拍摄≥1600万像素的照片，支持画面畸变矫正功能。</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6.▲整机摄像头支持人脸识别、清点人数、随机抽人；识别所有学生，显示标记，随机抽选，同时显示标记不少于60人，支持距离摄像头位置≥10米距离的AI识别人脸。</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7.整机支持提笔书写，可实现无需点击任意功能入口，当检测到红外笔笔尖接触屏幕时，自动进入书写模式。</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整机触摸支持动态压力感应，支持无任何电子功能的普通书写笔在整机上书写或点压时，整机能感应压力变化，书写或点压过程笔迹呈现不同粗细，支持同一支笔，笔头、笔尾书写不同的颜色，且颜色可自定义。</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9.▲设备自带地震预警软件，支持在地震预警页面中获取位置，可以手动进行位置校准；支持在地震预警页面中选择提醒阈值；支持在地震预警界面中开启和关闭地震预警服务。</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i w:val="0"/>
                <w:iCs w:val="0"/>
                <w:color w:val="000000"/>
                <w:sz w:val="24"/>
                <w:szCs w:val="24"/>
                <w:u w:val="none"/>
                <w:lang w:val="en-US" w:eastAsia="zh-CN" w:bidi="ar"/>
              </w:rPr>
            </w:r>
            <w:r/>
          </w:p>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10.▲采用缝隙发声技术，喇叭采用槽式开口设计，不大于5.8mm，扬声器在100%音量下，可做到1米处声压级≥88db，10米处声压级≥79dB。</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i w:val="0"/>
                <w:iCs w:val="0"/>
                <w:color w:val="000000"/>
                <w:sz w:val="24"/>
                <w:szCs w:val="24"/>
                <w:u w:val="none"/>
                <w:lang w:val="en-US" w:eastAsia="zh-CN" w:bidi="ar"/>
              </w:rPr>
            </w:r>
            <w:r/>
          </w:p>
        </w:tc>
      </w:tr>
      <w:tr>
        <w:trPr>
          <w:trHeight w:val="596"/>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bCs/>
                <w:sz w:val="24"/>
                <w:szCs w:val="24"/>
                <w:lang w:val="en-US" w:eastAsia="zh-CN" w:bidi="ar-SA"/>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color w:val="0000ff"/>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快拍仪</w:t>
            </w:r>
            <w:r>
              <w:rPr>
                <w:rFonts w:hint="eastAsia" w:ascii="宋体" w:hAnsi="宋体" w:eastAsia="宋体" w:cs="宋体"/>
                <w:bCs/>
                <w:color w:val="0000ff"/>
                <w:sz w:val="24"/>
                <w:szCs w:val="24"/>
                <w:lang w:val="en-US" w:eastAsia="zh-CN" w:bidi="ar-SA"/>
              </w:rPr>
            </w:r>
            <w:r/>
          </w:p>
        </w:tc>
        <w:tc>
          <w:tcPr>
            <w:tcW w:w="784" w:type="dxa"/>
            <w:vAlign w:val="center"/>
            <w:textDirection w:val="lrTb"/>
            <w:noWrap w:val="false"/>
          </w:tcPr>
          <w:p>
            <w:pPr>
              <w:pStyle w:val="869"/>
              <w:jc w:val="left"/>
              <w:keepLines w:val="0"/>
              <w:keepNext w:val="0"/>
              <w:pageBreakBefore w:val="0"/>
              <w:spacing w:line="240" w:lineRule="auto"/>
              <w:widowControl/>
              <w:rPr>
                <w:rFonts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非实质性要求</w:t>
            </w:r>
            <w:r>
              <w:rPr>
                <w:rFonts w:ascii="宋体" w:hAnsi="宋体" w:eastAsia="宋体" w:cs="宋体"/>
                <w:bCs/>
                <w:sz w:val="24"/>
                <w:szCs w:val="24"/>
                <w:lang w:val="en-US" w:eastAsia="zh-CN" w:bidi="ar-SA"/>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1.壁挂式安装，无锐角无利边设计，托板采用单板结构，托板平整无接缝，且托板及挂墙部分具有金属加强 ，展开后托板尺寸≥A4面积，托板可承重≥3kg ，托板可收起，采用磁吸吸附式机构。</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2.采用一体式（非活动悬臂）设计，打开托板一个动作即可启动展台，实现画面拍摄和数据传输；展台支持3档LED补光。</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3.摄像头可拍摄不少于1300万像素数的照片，摄像头支持自动对焦；支持视频矫正功能，拍摄输出实时画面无梯形畸变，展台主体区画面为标准矩形效果。</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4.支持实时降噪功能，可开关控制；支持通过双击屏幕画面任意位置，即时改变对焦位置,可对立体物体的局部进行对焦。</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5.展台按键采用触摸按键，可实现灯光调节、拍照截图、画面缩小、画面放大功能，同时也支持在展台软件上进行同样的操作。</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6.摄像头部分进行外壳防护等级试验，防护等级达到IP4X级别。</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7.支持故障自动检测，可判断硬件连接、显卡驱动、摄像头占用、软件版本问题，并给出引导性解决方案。在出现显卡驱动、摄像头占用问题导致无法显示展台拍摄画面时，自动出现检测链接，检测“无画面”的原因。</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8.打开扫一扫功能后，将书本上的二维码放入扫 描框内即可自动扫描，并进入系统浏览器获取二维码的链接内容。</w:t>
            </w:r>
            <w:r>
              <w:rPr>
                <w:rFonts w:hint="eastAsia" w:ascii="宋体" w:hAnsi="宋体" w:eastAsia="宋体" w:cs="宋体"/>
                <w:bCs/>
                <w:sz w:val="24"/>
                <w:szCs w:val="24"/>
                <w:lang w:val="en-US" w:eastAsia="zh-CN" w:bidi="ar-SA"/>
              </w:rPr>
            </w:r>
            <w:r/>
          </w:p>
        </w:tc>
      </w:tr>
      <w:tr>
        <w:trPr>
          <w:trHeight w:val="204"/>
        </w:trPr>
        <w:tc>
          <w:tcPr>
            <w:tcW w:w="319" w:type="dxa"/>
            <w:vAlign w:val="center"/>
            <w:vMerge w:val="restart"/>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sz w:val="24"/>
                <w:szCs w:val="24"/>
              </w:rPr>
              <w:t xml:space="preserve">3</w:t>
            </w:r>
            <w:r>
              <w:rPr>
                <w:rFonts w:hint="eastAsia" w:ascii="宋体" w:hAnsi="宋体" w:eastAsia="宋体" w:cs="宋体"/>
                <w:bCs/>
                <w:sz w:val="24"/>
                <w:szCs w:val="24"/>
                <w:lang w:val="en-US" w:eastAsia="zh-CN" w:bidi="ar-SA"/>
              </w:rPr>
            </w:r>
            <w:r/>
          </w:p>
        </w:tc>
        <w:tc>
          <w:tcPr>
            <w:tcW w:w="642" w:type="dxa"/>
            <w:vAlign w:val="center"/>
            <w:vMerge w:val="restart"/>
            <w:textDirection w:val="lrTb"/>
            <w:noWrap w:val="false"/>
          </w:tcPr>
          <w:p>
            <w:pPr>
              <w:pStyle w:val="869"/>
              <w:jc w:val="left"/>
              <w:keepLines w:val="0"/>
              <w:keepNext w:val="0"/>
              <w:pageBreakBefore w:val="0"/>
              <w:spacing w:line="240" w:lineRule="auto"/>
              <w:widowControl/>
              <w:rPr>
                <w:rFonts w:hint="eastAsia" w:ascii="宋体" w:hAnsi="宋体" w:eastAsia="宋体" w:cs="宋体"/>
                <w:bCs/>
                <w:color w:val="0000ff"/>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推拉黑板</w:t>
            </w:r>
            <w:r>
              <w:rPr>
                <w:rFonts w:hint="eastAsia" w:ascii="宋体" w:hAnsi="宋体" w:eastAsia="宋体" w:cs="宋体"/>
                <w:bCs/>
                <w:color w:val="0000ff"/>
                <w:sz w:val="24"/>
                <w:szCs w:val="24"/>
                <w:lang w:val="en-US" w:eastAsia="zh-CN" w:bidi="ar-SA"/>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★实质性要求</w:t>
            </w:r>
            <w:r>
              <w:rPr>
                <w:rFonts w:hint="eastAsia" w:ascii="宋体" w:hAnsi="宋体" w:eastAsia="宋体" w:cs="宋体"/>
                <w:i w:val="0"/>
                <w:iCs w:val="0"/>
                <w:color w:val="000000"/>
                <w:sz w:val="24"/>
                <w:szCs w:val="24"/>
                <w:u w:val="none"/>
                <w:lang w:val="en-US" w:eastAsia="zh-CN" w:bidi="ar"/>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整体规格:≥4200mm*1300mm*180mm；颜色：绿色或白色可选。</w:t>
            </w:r>
            <w:r>
              <w:rPr>
                <w:rFonts w:hint="eastAsia" w:ascii="宋体" w:hAnsi="宋体" w:eastAsia="宋体" w:cs="宋体"/>
                <w:bCs/>
                <w:sz w:val="24"/>
                <w:szCs w:val="24"/>
                <w:lang w:val="en-US" w:eastAsia="zh-CN" w:bidi="ar-SA"/>
              </w:rPr>
            </w:r>
            <w:r/>
          </w:p>
        </w:tc>
      </w:tr>
      <w:tr>
        <w:trPr>
          <w:trHeight w:val="204"/>
        </w:trPr>
        <w:tc>
          <w:tcPr>
            <w:tcW w:w="319" w:type="dxa"/>
            <w:vAlign w:val="center"/>
            <w:vMerge w:val="continue"/>
            <w:textDirection w:val="lrTb"/>
            <w:noWrap w:val="false"/>
          </w:tcPr>
          <w:p>
            <w:pPr>
              <w:pStyle w:val="869"/>
              <w:jc w:val="left"/>
              <w:keepLines w:val="0"/>
              <w:keepNext w:val="0"/>
              <w:pageBreakBefore w:val="0"/>
              <w:spacing w:line="240" w:lineRule="auto"/>
              <w:widowControl/>
              <w:suppressLineNumbers w:val="0"/>
            </w:pPr>
            <w:r/>
            <w:r/>
          </w:p>
        </w:tc>
        <w:tc>
          <w:tcPr>
            <w:tcW w:w="642" w:type="dxa"/>
            <w:vAlign w:val="center"/>
            <w:vMerge w:val="continue"/>
            <w:textDirection w:val="lrTb"/>
            <w:noWrap w:val="false"/>
          </w:tcPr>
          <w:p>
            <w:pPr>
              <w:pStyle w:val="869"/>
              <w:jc w:val="left"/>
              <w:keepLines w:val="0"/>
              <w:keepNext w:val="0"/>
              <w:pageBreakBefore w:val="0"/>
              <w:spacing w:line="240" w:lineRule="auto"/>
              <w:widowControl/>
              <w:suppressLineNumbers w:val="0"/>
            </w:p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i w:val="0"/>
                <w:iCs w:val="0"/>
                <w:color w:val="000000"/>
                <w:sz w:val="24"/>
                <w:szCs w:val="24"/>
                <w:u w:val="none"/>
                <w:lang w:val="en-US" w:eastAsia="zh-CN" w:bidi="ar"/>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1.结构:内外双层，左右推拉结构组合设计，两块固定两块滑动，保证与触控一体机尺寸配套，无多余空隙，外框和轨道一体化设计，滑动组件不可视；触控一体机居中安装；背面预留空腔，便于一体机维护。</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2.书写板面:采用厚度≥0.27㎜板面，面板颜色为绿色。</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3.夹层材料:采用厚度≥10mm，聚乙烯泡沫板，容重为25kg/m3，面层平整，无折痕，不变形。</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4.背板:防锈热镀锌钢板，厚度≥0.2mm；镀层牢固、刚性好，不变形，整板无拼接。</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5.板面、衬板、背板粘贴:使用黑板环保专用多元醇胶，机械化流水线制作，高温一次成型。</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6.边框:整体采用高强度工业电泳铝合金；颜色为香槟色，横、立框采用双层加强结构；主外框滑道尺寸≥45*180mm；黑板大框为模具一次成型整体结构，不允许有拼接，四周配置同色专用铝合金封边，不允许用铝皮或铁皮封边。</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7.包角材料:采用抗老化、抗疲劳ABS工程塑料，四周包角不小于R40mm的圆角。</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8.黑板滑轮:侧U型镶嵌式滑轮，带减震胶套，保证滑动流畅、噪音≤36dB，数目≥4个,上下均匀安装。</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9.限位档:黑板边框内部两侧安装限位档，保证活动黑板打开时不会碰撞立框，卡手。</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10.安装:隐形安装、没有外露的挂接件，符合安全要求。</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11.▲所投教学书写板板面、书写边框经72h乙酸盐雾试验检测结果达到10级。</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12.▲所投教学书写板特定元素的迁移（重金属）的检测结果合格。其中包含可溶性锑（Sb）、可溶性砷（As）、可溶性钡（Ba）、可溶性镉（Cd）、可溶性铬（Cr）、可溶性铅（Pb）、可溶性贡（Hg）、可溶性硒（Se）检测结果未检出。</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4</w:t>
            </w:r>
            <w:r>
              <w:rPr>
                <w:rFonts w:hint="eastAsia" w:ascii="宋体" w:hAnsi="宋体" w:eastAsia="宋体" w:cs="宋体"/>
                <w:bCs/>
                <w:sz w:val="24"/>
                <w:szCs w:val="24"/>
                <w:lang w:val="en-US" w:eastAsia="zh-CN"/>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color w:val="0000ff"/>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24口千兆交换机</w:t>
            </w:r>
            <w:r>
              <w:rPr>
                <w:rFonts w:hint="eastAsia" w:ascii="宋体" w:hAnsi="宋体" w:eastAsia="宋体" w:cs="宋体"/>
                <w:bCs/>
                <w:color w:val="0000ff"/>
                <w:sz w:val="24"/>
                <w:szCs w:val="24"/>
                <w:lang w:eastAsia="zh-CN"/>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i w:val="0"/>
                <w:iCs w:val="0"/>
                <w:color w:val="000000"/>
                <w:sz w:val="24"/>
                <w:szCs w:val="24"/>
                <w:u w:val="none"/>
                <w:lang w:val="en-US" w:eastAsia="zh-CN" w:bidi="ar"/>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1.不少于24个10/100/1000Base-T以太网口、4个独立千兆SFP光口；</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2.交换容量≥336Gbps/3.36Tbps；</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3.包转发率≥126Mpps。</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5</w:t>
            </w:r>
            <w:r>
              <w:rPr>
                <w:rFonts w:hint="eastAsia" w:ascii="宋体" w:hAnsi="宋体" w:eastAsia="宋体" w:cs="宋体"/>
                <w:bCs/>
                <w:sz w:val="24"/>
                <w:szCs w:val="24"/>
                <w:lang w:val="en-US" w:eastAsia="zh-CN"/>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color w:val="0000ff"/>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静电地板</w:t>
            </w:r>
            <w:r>
              <w:rPr>
                <w:rFonts w:hint="eastAsia" w:ascii="宋体" w:hAnsi="宋体" w:eastAsia="宋体" w:cs="宋体"/>
                <w:bCs/>
                <w:color w:val="0000ff"/>
                <w:sz w:val="24"/>
                <w:szCs w:val="24"/>
                <w:lang w:eastAsia="zh-CN"/>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lang w:val="en-US" w:eastAsia="zh-CN"/>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全钢有边防静电地板600mm*600mm（±3mm），厚度≥35mm,完成高度不大于20cm，国标有边配加厚配件，1.2MMHPL贴面。含上楼、安装、清扫。</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6</w:t>
            </w:r>
            <w:r>
              <w:rPr>
                <w:rFonts w:hint="eastAsia" w:ascii="宋体" w:hAnsi="宋体" w:eastAsia="宋体" w:cs="宋体"/>
                <w:bCs/>
                <w:sz w:val="24"/>
                <w:szCs w:val="24"/>
                <w:lang w:val="en-US" w:eastAsia="zh-CN"/>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color w:val="0000ff"/>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机房讲台</w:t>
            </w:r>
            <w:r>
              <w:rPr>
                <w:rFonts w:hint="eastAsia" w:ascii="宋体" w:hAnsi="宋体" w:eastAsia="宋体" w:cs="宋体"/>
                <w:bCs/>
                <w:color w:val="0000ff"/>
                <w:sz w:val="24"/>
                <w:szCs w:val="24"/>
                <w:lang w:eastAsia="zh-CN"/>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lang w:val="en-US" w:eastAsia="zh-CN"/>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1.整体尺寸≥1200mm*600mm*750mm；</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2.台面板采用≥25mm三聚氰胺防火饰面板，下身采用≥15mm厚度中密度纤维板为基材，封边采用全自动封边工艺，≥2mm厚度PVC同色封边带；</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3.结构采用三合一螺丝组装成型。</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网络机柜</w:t>
            </w:r>
            <w:r>
              <w:rPr>
                <w:rFonts w:hint="eastAsia" w:ascii="宋体" w:hAnsi="宋体" w:eastAsia="宋体" w:cs="宋体"/>
                <w:bCs/>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19英寸标准机柜，高度不低于1000mm；</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24口配线架</w:t>
            </w:r>
            <w:r>
              <w:rPr>
                <w:rFonts w:hint="eastAsia" w:ascii="宋体" w:hAnsi="宋体" w:eastAsia="宋体" w:cs="宋体"/>
                <w:bCs/>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不低于6类24口网络配线架；</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理线架</w:t>
            </w:r>
            <w:r>
              <w:rPr>
                <w:rFonts w:hint="eastAsia" w:ascii="宋体" w:hAnsi="宋体" w:eastAsia="宋体" w:cs="宋体"/>
                <w:bCs/>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19寸1U；</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学生桌椅（2人位）</w:t>
            </w:r>
            <w:r>
              <w:rPr>
                <w:rFonts w:hint="eastAsia" w:ascii="宋体" w:hAnsi="宋体" w:eastAsia="宋体" w:cs="宋体"/>
                <w:bCs/>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桌子：长度≥1200*宽度≥600*高度≥750mm；桌面板采用电子锯精密开料，桌面板基材采用≥25mm厚度E1级实木颗粒板，表面防火板饰面，下身基材≥15mm厚度中密度纤维板，中间带主机箱，封边采用全自动封边28*2mmPVC同色封边带，键盘托采用三折五金导轨。</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2.凳子2把，尺寸≥34*24*42cm；凳面采用不低于25mm厚度E1级实木颗粒板，凳架采用≥25*25mm钢管为基材，表面高温塑粉处理。</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3.▲所投中密度纤维板静曲强度、弹性模量、24h吸水厚度膨胀率、内胶合强度等符合国家标准。</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学生桌椅（6人位）</w:t>
            </w:r>
            <w:r>
              <w:rPr>
                <w:rFonts w:hint="eastAsia" w:ascii="宋体" w:hAnsi="宋体" w:eastAsia="宋体" w:cs="宋体"/>
                <w:bCs/>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非实质性要求</w:t>
            </w:r>
            <w:r>
              <w:rPr>
                <w:rFonts w:hint="eastAsia" w:ascii="宋体" w:hAnsi="宋体" w:eastAsia="宋体" w:cs="宋体"/>
                <w:bCs/>
                <w:sz w:val="24"/>
                <w:szCs w:val="24"/>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规格：桌子直径≥1.6米，6桌组合拼成；桌面板采用电子锯精密开料，桌面板基材采用≥25mm厚度E1级实木颗粒板，表面防火板饰面，下身基材≥15mm厚度中密度纤维板，后背板材全封，左右侧带柜，封边采用全自动封边28*2mmPVC同色封边带。</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2.凳子6把：尺寸≥34*24*42cm；凳面采用≥25mm厚度E1级实木颗粒板，凳架采用≥25*25mm钢管为基材，表面高温塑粉处理。</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3.▲所投凳子钢管力学性能、弯曲试验、中性盐雾试验等符合国家标准。</w:t>
            </w:r>
            <w:r>
              <w:rPr>
                <w:rFonts w:hint="eastAsia" w:ascii="宋体" w:hAnsi="宋体" w:eastAsia="宋体" w:cs="宋体"/>
                <w:color w:val="000000"/>
                <w:sz w:val="24"/>
                <w:szCs w:val="24"/>
                <w:lang w:val="en-US" w:eastAsia="zh-CN"/>
              </w:rPr>
              <w:t xml:space="preserve">（签订合同时提供具有CMA标识的检测报告原件供采购人核验）</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原设备拆除</w:t>
            </w:r>
            <w:r>
              <w:rPr>
                <w:rFonts w:hint="eastAsia" w:ascii="宋体" w:hAnsi="宋体" w:eastAsia="宋体" w:cs="宋体"/>
                <w:bCs/>
                <w:sz w:val="24"/>
                <w:szCs w:val="24"/>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★实质性要求</w:t>
            </w:r>
            <w:r>
              <w:rPr>
                <w:rFonts w:hint="eastAsia" w:ascii="宋体" w:hAnsi="宋体" w:eastAsia="宋体" w:cs="宋体"/>
                <w:bCs/>
                <w:sz w:val="24"/>
                <w:szCs w:val="24"/>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1.原教室静电地板拆除、下楼、清运至指定位置。2.原教室桌椅拆除、下楼、清运至指定位置。</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综合布线</w:t>
            </w:r>
            <w:r>
              <w:rPr>
                <w:rFonts w:hint="eastAsia" w:ascii="宋体" w:hAnsi="宋体" w:eastAsia="宋体" w:cs="宋体"/>
                <w:sz w:val="24"/>
                <w:szCs w:val="24"/>
                <w:lang w:val="en-US" w:eastAsia="zh-CN"/>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★实质性要求</w:t>
            </w:r>
            <w:r>
              <w:rPr>
                <w:rFonts w:hint="eastAsia" w:ascii="宋体" w:hAnsi="宋体" w:eastAsia="宋体" w:cs="宋体"/>
                <w:i w:val="0"/>
                <w:iCs w:val="0"/>
                <w:color w:val="000000"/>
                <w:sz w:val="24"/>
                <w:szCs w:val="24"/>
                <w:u w:val="none"/>
                <w:lang w:val="en-US" w:eastAsia="zh-CN" w:bidi="ar"/>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1.含六类网线、线槽、水晶头、扎线、标签等材料。</w:t>
            </w:r>
            <w:r>
              <w:rPr>
                <w:rFonts w:hint="eastAsia" w:ascii="宋体" w:hAnsi="宋体" w:eastAsia="宋体" w:cs="宋体"/>
                <w:bCs/>
                <w:sz w:val="24"/>
                <w:szCs w:val="24"/>
                <w:lang w:val="en-US" w:eastAsia="zh-CN" w:bidi="ar-SA"/>
              </w:rPr>
            </w:r>
            <w:r/>
          </w:p>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2.含网线敷设、线槽敷设、配线架卡线、水晶头卡接、理线器理线、机柜内跳线、地板开洞、系统测试等。</w:t>
            </w:r>
            <w:r>
              <w:rPr>
                <w:rFonts w:hint="eastAsia" w:ascii="宋体" w:hAnsi="宋体" w:eastAsia="宋体" w:cs="宋体"/>
                <w:bCs/>
                <w:sz w:val="24"/>
                <w:szCs w:val="24"/>
                <w:lang w:val="en-US" w:eastAsia="zh-CN" w:bidi="ar-SA"/>
              </w:rPr>
            </w:r>
            <w:r/>
          </w:p>
        </w:tc>
      </w:tr>
      <w:tr>
        <w:trPr>
          <w:trHeight w:val="414"/>
        </w:trPr>
        <w:tc>
          <w:tcPr>
            <w:tcW w:w="319" w:type="dxa"/>
            <w:vAlign w:val="center"/>
            <w:textDirection w:val="lrTb"/>
            <w:noWrap w:val="false"/>
          </w:tcPr>
          <w:p>
            <w:pPr>
              <w:pStyle w:val="869"/>
              <w:jc w:val="center"/>
              <w:keepLines w:val="0"/>
              <w:keepNext w:val="0"/>
              <w:pageBreakBefore w:val="0"/>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642"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多媒体系统集成</w:t>
            </w:r>
            <w:r>
              <w:rPr>
                <w:rFonts w:hint="eastAsia" w:ascii="宋体" w:hAnsi="宋体" w:eastAsia="宋体" w:cs="宋体"/>
                <w:sz w:val="24"/>
                <w:szCs w:val="24"/>
                <w:lang w:val="en-US" w:eastAsia="zh-CN"/>
              </w:rPr>
            </w:r>
            <w:r/>
          </w:p>
        </w:tc>
        <w:tc>
          <w:tcPr>
            <w:tcW w:w="78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★实质性要求</w:t>
            </w:r>
            <w:r>
              <w:rPr>
                <w:rFonts w:hint="eastAsia" w:ascii="宋体" w:hAnsi="宋体" w:eastAsia="宋体" w:cs="宋体"/>
                <w:i w:val="0"/>
                <w:iCs w:val="0"/>
                <w:color w:val="000000"/>
                <w:sz w:val="24"/>
                <w:szCs w:val="24"/>
                <w:u w:val="none"/>
                <w:lang w:val="en-US" w:eastAsia="zh-CN" w:bidi="ar"/>
              </w:rPr>
            </w:r>
            <w:r/>
          </w:p>
        </w:tc>
        <w:tc>
          <w:tcPr>
            <w:tcW w:w="3254" w:type="dxa"/>
            <w:vAlign w:val="center"/>
            <w:textDirection w:val="lrTb"/>
            <w:noWrap w:val="false"/>
          </w:tcPr>
          <w:p>
            <w:pPr>
              <w:pStyle w:val="869"/>
              <w:jc w:val="left"/>
              <w:keepLines w:val="0"/>
              <w:keepNext w:val="0"/>
              <w:pageBreakBefore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多媒体设备系统连接、调试及所需音视频线材；培训。</w:t>
            </w:r>
            <w:r>
              <w:rPr>
                <w:rFonts w:hint="eastAsia" w:ascii="宋体" w:hAnsi="宋体" w:eastAsia="宋体" w:cs="宋体"/>
                <w:bCs/>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（二）商务要求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质量保证：</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1）本项目质保期三年，费用包在投标总价中（自验收报告签字确认日起，开始进入质保期）；</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所投</w:t>
      </w:r>
      <w:r>
        <w:rPr>
          <w:rFonts w:hint="eastAsia" w:ascii="宋体" w:hAnsi="宋体" w:eastAsia="宋体" w:cs="宋体"/>
          <w:color w:val="000000"/>
          <w:sz w:val="24"/>
          <w:szCs w:val="24"/>
          <w:lang w:val="en-US" w:eastAsia="zh-CN" w:bidi="ar"/>
        </w:rPr>
        <w:t xml:space="preserve">86英寸触控一体机（产品清单1）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快拍仪</w:t>
      </w:r>
      <w:r>
        <w:rPr>
          <w:rFonts w:hint="eastAsia" w:ascii="宋体" w:hAnsi="宋体" w:eastAsia="宋体" w:cs="宋体"/>
          <w:color w:val="000000"/>
          <w:sz w:val="24"/>
          <w:szCs w:val="24"/>
          <w:lang w:val="en-US" w:eastAsia="zh-CN" w:bidi="ar"/>
        </w:rPr>
        <w:t xml:space="preserve">（产品清单2）</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lang w:val="en-US" w:eastAsia="zh-CN"/>
        </w:rPr>
        <w:t xml:space="preserve">原生产厂商上门维保，签订合同时提供原生产厂商出具的针对此次项目的售后服务承诺函，如未按要求提供视为虚假应标，按无效投标处理。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3）本项目所投产品使用软件授权终身使用及升级，费用包含在投标总价中。</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4）中标供应商接到报修请求，2小时内响应，8小时内维修人员到达现场，质保期内故障报修24小时内无法及时修复的须提供备机。</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5）中标供应商在质保期内每学期结束前为学校进行整体维护一次，费用包含在投标总价中；</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6）质保期</w:t>
      </w:r>
      <w:r>
        <w:rPr>
          <w:rFonts w:hint="eastAsia" w:ascii="宋体" w:hAnsi="宋体" w:eastAsia="宋体" w:cs="宋体"/>
          <w:color w:val="000000"/>
          <w:sz w:val="24"/>
          <w:szCs w:val="24"/>
          <w:lang w:val="en-US" w:eastAsia="zh-CN"/>
        </w:rPr>
        <w:t xml:space="preserve">满</w:t>
      </w:r>
      <w:r>
        <w:rPr>
          <w:rFonts w:hint="eastAsia" w:ascii="宋体" w:hAnsi="宋体" w:eastAsia="宋体" w:cs="宋体"/>
          <w:color w:val="000000"/>
          <w:sz w:val="24"/>
          <w:szCs w:val="24"/>
          <w:lang w:val="en-US" w:eastAsia="zh-CN"/>
        </w:rPr>
        <w:t xml:space="preserve">后，中标供应商提供终生服务，保证零配件的供给。</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验收标准与要求：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所供货物必须是全新的，原装正品行货，完全符合国家规定的质量标准，因产品质量或安装不当导致验收不合格，应及时处理直至验收合格，期间产生的一切费用由中标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2）中标供应商完成竣工文档整理方可申请验收，中标供应商应按相关政府职能部门要求的标准编制竣工验收资料，确保通过相关政府职能部门验收，并将竣工验收资料送城建档案馆存档。</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3）验收的相关数据及中标产品信息，中标供应商应及时填入网络管理平台。</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4）验收合格后，中标数据将在网络管理平台生成的设备二维识别码，中标供应商负责打印二维码不干胶标贴并将其贴在产品的指定位置；完成设备识别码粘贴是验收的重要环节，未完成验收不予通过。</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技术培训：</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1）中标供应商对使用单位采购设备的使用和维护提供培训，培训的内容包括设备和软件的安装、使用以及软硬件基本维护知识。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2）中标供应商制定全面培训计划，要求分为使用培训、教学应用培训，方案中需提供具体培训安排、内容、讲义、考核计划等。</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3）中标供应商须提供培训讲义，培训学校管理人员不少于2人。</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平台监管要求：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1）中标供应商须接受“南京市教育装备项目管理平台”的信息化过程管理，在“南京市教育装备云服务平台”中公开投标文件、合同与合同清单，接受南京市教育、财政、审计等行政部门的网络在线监督。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2）中标供应商须在履约过程中，严格按照“南京市教育装备项目管理平台”的技术与管理规范，在规定的时间节点，提供相应的合同履约资料，包括照片。</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4）中标供应商须对所有进入固定资产的设备，按南京市的统一要求，通过“南京市教育装备项目管理平台”（南京市教育装备项目管理平台网址ttp://nj.cneefix.com）制作二维码标签，并张贴到设备上。</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5）中标供应商须通过“南京市教育装备项目管理平台”提供售后维护维保服务。</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安全要求：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中标供应商须按照《中华人民共和国劳动法》规范用工，并加强人员安全教育，加强实施现场安全保护，杜绝安全事故发生。如实施过程中发生安全事故，中标供应商须承担一切责任，采购人及使用学校免责，如对学校的场地、设备造成损坏或对人员造成伤害，须承担一切责任，并进行相应赔偿。</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付款条件</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交付时间及地点</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（1）交付时间：</w:t>
      </w:r>
      <w:r>
        <w:rPr>
          <w:rFonts w:hint="eastAsia" w:ascii="宋体" w:hAnsi="宋体" w:eastAsia="宋体" w:cs="宋体"/>
          <w:color w:val="000000"/>
          <w:sz w:val="24"/>
          <w:szCs w:val="24"/>
          <w:lang w:val="en-US" w:eastAsia="zh-CN"/>
        </w:rPr>
        <w:t xml:space="preserve">中标供应商自合同签订之日起</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天内完成所有设备安装、调试、培训。</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（2）交付地点：</w:t>
      </w:r>
      <w:r>
        <w:rPr>
          <w:rFonts w:hint="eastAsia" w:ascii="宋体" w:hAnsi="宋体" w:eastAsia="宋体" w:cs="宋体"/>
          <w:color w:val="000000"/>
          <w:sz w:val="24"/>
          <w:szCs w:val="24"/>
          <w:lang w:val="en-US" w:eastAsia="zh-CN"/>
        </w:rPr>
        <w:t xml:space="preserve">中标供应商负责将货物运到采购人指定地点，由中标供应商负责办理运输、装卸、原设备拆除及搬运等，费用由中标供应商负责。由采购人组织验收， 检验不合格或不符合质量要求，中标供应商除无条件退货、返工外，还应承担采购人的一切损失。</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val="en-US" w:eastAsia="zh-CN"/>
        </w:rPr>
        <w:t xml:space="preserve">产品</w:t>
      </w:r>
      <w:r>
        <w:rPr>
          <w:rFonts w:hint="eastAsia" w:ascii="宋体" w:hAnsi="宋体" w:eastAsia="宋体" w:cs="宋体"/>
          <w:color w:val="000000"/>
          <w:sz w:val="24"/>
          <w:szCs w:val="24"/>
          <w:lang w:val="en-US" w:eastAsia="zh-CN"/>
        </w:rPr>
        <w:t xml:space="preserve">演示要求</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视频文件的格式为*.mp4或*.avi，</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须将视频文件分段压缩为*.zip文件上传（单个文件不得大于50M，所有文件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lang w:val="en-US" w:eastAsia="zh-CN"/>
        </w:rPr>
        <w:t xml:space="preserve">不得大于300M）。文件上传方式见《操作手册》，上传的演示视频将作为投标文件的组成部分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视频时长总计不超过</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分钟</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投标人提供所投“</w:t>
      </w:r>
      <w:r>
        <w:rPr>
          <w:rFonts w:hint="eastAsia" w:ascii="宋体" w:hAnsi="宋体" w:eastAsia="宋体" w:cs="宋体"/>
          <w:color w:val="000000"/>
          <w:sz w:val="24"/>
          <w:szCs w:val="24"/>
          <w:lang w:val="en-US" w:eastAsia="zh-CN"/>
        </w:rPr>
        <w:t xml:space="preserve">86英寸触控一体机</w:t>
      </w:r>
      <w:r>
        <w:rPr>
          <w:rFonts w:hint="eastAsia" w:ascii="宋体" w:hAnsi="宋体" w:eastAsia="宋体" w:cs="宋体"/>
          <w:color w:val="000000"/>
          <w:sz w:val="24"/>
          <w:szCs w:val="24"/>
          <w:lang w:val="en-US" w:eastAsia="zh-CN"/>
        </w:rPr>
        <w:t xml:space="preserve">”（产品清单</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）演示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演示内容详见“第五章  评标方法与评标标准”。</w:t>
      </w:r>
      <w:r>
        <w:rPr>
          <w:rFonts w:hint="eastAsia" w:ascii="宋体" w:hAnsi="宋体" w:eastAsia="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2.1-2.3项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88"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869"/>
        <w:ind w:firstLine="480"/>
        <w:keepLines w:val="0"/>
        <w:keepNext w:val="0"/>
        <w:pageBreakBefore w:val="0"/>
        <w:spacing w:line="288"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20%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2"/>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keepLines w:val="0"/>
        <w:keepNext w:val="0"/>
        <w:pageBreakBefore w:val="0"/>
        <w:spacing w:line="288" w:lineRule="auto"/>
        <w:widowControl w:val="off"/>
        <w:rPr>
          <w:rFonts w:hint="eastAsia"/>
          <w:color w:val="000000"/>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color w:val="000000"/>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69"/>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69"/>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69"/>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69"/>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69"/>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9"/>
              <w:jc w:val="left"/>
              <w:keepLines w:val="0"/>
              <w:keepNext w:val="0"/>
              <w:pageBreakBefore w:val="0"/>
              <w:spacing w:line="288"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30（小数点保留两位）</w:t>
            </w:r>
            <w:r>
              <w:rPr>
                <w:rFonts w:ascii="宋体" w:hAnsi="宋体" w:eastAsia="宋体" w:cs="宋体"/>
                <w:lang w:val="en-US" w:eastAsia="zh-CN"/>
              </w:rPr>
            </w:r>
            <w:r/>
          </w:p>
        </w:tc>
        <w:tc>
          <w:tcPr>
            <w:tcW w:w="647"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900"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lang w:eastAsia="zh-CN"/>
              </w:rPr>
            </w:pPr>
            <w:r>
              <w:rPr>
                <w:rFonts w:hint="eastAsia" w:ascii="宋体" w:hAnsi="宋体" w:eastAsia="宋体" w:cs="宋体"/>
                <w:spacing w:val="-2"/>
                <w:lang w:val="en-US" w:eastAsia="zh-CN"/>
              </w:rPr>
              <w:t xml:space="preserve">产品</w:t>
            </w:r>
            <w:r>
              <w:rPr>
                <w:rFonts w:ascii="宋体" w:hAnsi="宋体" w:eastAsia="宋体" w:cs="宋体"/>
                <w:spacing w:val="-2"/>
                <w:lang w:val="en-US" w:eastAsia="zh-CN"/>
              </w:rPr>
              <w:t xml:space="preserve">技术参数</w:t>
            </w:r>
            <w:r>
              <w:rPr>
                <w:rFonts w:hint="eastAsia" w:ascii="宋体" w:hAnsi="宋体" w:eastAsia="宋体" w:cs="宋体"/>
                <w:spacing w:val="-2"/>
                <w:lang w:eastAsia="zh-CN"/>
              </w:rPr>
            </w:r>
            <w:r/>
          </w:p>
        </w:tc>
        <w:tc>
          <w:tcPr>
            <w:tcW w:w="6330" w:type="dxa"/>
            <w:vAlign w:val="center"/>
            <w:textDirection w:val="lrTb"/>
            <w:noWrap w:val="false"/>
          </w:tcPr>
          <w:p>
            <w:pPr>
              <w:pStyle w:val="869"/>
              <w:jc w:val="both"/>
              <w:keepLines w:val="0"/>
              <w:keepNext w:val="0"/>
              <w:pageBreakBefore w:val="0"/>
              <w:spacing w:line="288" w:lineRule="auto"/>
              <w:widowControl w:val="off"/>
              <w:rPr>
                <w:rFonts w:ascii="宋体" w:hAnsi="宋体" w:eastAsia="宋体" w:cs="宋体"/>
                <w:spacing w:val="1"/>
              </w:rPr>
            </w:pPr>
            <w:r>
              <w:rPr>
                <w:rFonts w:hint="eastAsia" w:ascii="宋体" w:hAnsi="宋体" w:eastAsia="宋体" w:cs="宋体"/>
                <w:lang w:val="en-US" w:eastAsia="zh-CN"/>
              </w:rPr>
              <w:t xml:space="preserve">产品</w:t>
            </w:r>
            <w:r>
              <w:rPr>
                <w:rFonts w:ascii="宋体" w:hAnsi="宋体" w:eastAsia="宋体" w:cs="宋体"/>
                <w:lang w:val="en-US" w:eastAsia="zh-CN"/>
              </w:rPr>
              <w:t xml:space="preserve">技术参数全部满足招标要求的得满分；打★指标为必须满足项，如有负偏离将作为无效投标；打▲指标为重要指标，有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项负偏离扣2分；</w:t>
            </w:r>
            <w:r>
              <w:rPr>
                <w:rFonts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项负偏离扣1分，扣完为止。</w:t>
            </w:r>
            <w:r>
              <w:rPr>
                <w:rFonts w:ascii="宋体" w:hAnsi="宋体" w:eastAsia="宋体" w:cs="宋体"/>
                <w:spacing w:val="1"/>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20</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line="288" w:lineRule="auto"/>
              <w:widowControl w:val="off"/>
              <w:rPr>
                <w:rFonts w:ascii="宋体" w:hAnsi="宋体" w:eastAsia="宋体" w:cs="宋体"/>
                <w:sz w:val="21"/>
                <w:szCs w:val="22"/>
                <w:lang w:val="en-US" w:eastAsia="zh-CN" w:bidi="ar-SA"/>
              </w:rPr>
            </w:pPr>
            <w:r>
              <w:rPr>
                <w:rFonts w:ascii="宋体" w:hAnsi="宋体" w:eastAsia="宋体" w:cs="宋体"/>
                <w:lang w:val="en-US" w:eastAsia="zh-CN"/>
              </w:rPr>
              <w:t xml:space="preserve">检测报告</w:t>
            </w:r>
            <w:r>
              <w:rPr>
                <w:rFonts w:ascii="宋体" w:hAnsi="宋体" w:eastAsia="宋体" w:cs="宋体"/>
                <w:sz w:val="21"/>
                <w:szCs w:val="22"/>
                <w:lang w:val="en-US" w:eastAsia="zh-CN" w:bidi="ar-SA"/>
              </w:rPr>
            </w:r>
            <w:r/>
          </w:p>
        </w:tc>
        <w:tc>
          <w:tcPr>
            <w:tcW w:w="6330" w:type="dxa"/>
            <w:vAlign w:val="center"/>
            <w:textDirection w:val="lrTb"/>
            <w:noWrap w:val="false"/>
          </w:tcPr>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提供以下原材料或产品自2022年01月01日以来（以报告签发日期为准）具有CMA标识的原材料检测报告：</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1、三聚氰胺防火饰面板：GB18584-2001《室内装饰装修材料木家具中有害物质限量》、GB/T 7911-2013《热固性树脂浸渍纸高压装饰层积板(HPL)》、JC/T 2039-2010《抗菌防霉木质装饰板》、HJ 2547-2016《环境标志产品技术要求家具》、GB6675.4-2014《玩具安全第4部分:特定元素的迁移》中的相关标准要求，需包含但不限于外观质量、理化性能、甲醛释放量、抗细菌性能、可迁移元素符合国家标准。全部符合得1分；</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t xml:space="preserve">学生桌椅（6人位）（产品清单11）：符合GB/T 3324-2017《木家具通用技术条件》GB/T 31402-2015《塑料 塑料表面抗菌性能试验方法》中技术要求，需包含但不限于木材含水率、抗细菌性能金黄色葡萄球菌抗菌率≧99.93%、大肠杆菌抗菌率≧99.98%等。全部符合得1分。</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所投86英寸触控一体机（产品清单1）支持文件传输应用，支持通过扫码、wifi直联、超声三种方式与手机进行连接，实现文件传输功能；接收的文件支持单份删除；接收的文件支持手动全部清空，为防止误清空，全部清空需要经过二次确认。全部符合得1分。</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所投86英寸触控一体机（产品清单1）支持5个自定义前置按键，“设置”、“音量-”，“音量+”，“录屏”，“护眼”按键，可通过自定义设置实现前置面板功能按键一键启用任一全局小工具（批注、截屏、计时、降半屏、放大镜、倒数日、日历）、快捷开关（节能模式、护眼模式、自动亮度模式）。全部符合得1分。</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本项最多4分，以上提供具有CMA标识的检测报告，未提供不得分。</w:t>
            </w:r>
            <w:r>
              <w:rPr>
                <w:rFonts w:ascii="宋体" w:hAnsi="宋体" w:eastAsia="宋体" w:cs="宋体"/>
                <w:lang w:val="en-US" w:eastAsia="zh-CN"/>
              </w:rPr>
            </w:r>
            <w:r/>
          </w:p>
          <w:p>
            <w:pPr>
              <w:pStyle w:val="869"/>
              <w:jc w:val="both"/>
              <w:keepLines w:val="0"/>
              <w:keepNext w:val="0"/>
              <w:pageBreakBefore w:val="0"/>
              <w:spacing w:line="288" w:lineRule="auto"/>
              <w:widowControl w:val="off"/>
              <w:rPr>
                <w:rFonts w:ascii="宋体" w:hAnsi="宋体" w:eastAsia="宋体" w:cs="宋体"/>
                <w:sz w:val="21"/>
                <w:szCs w:val="22"/>
                <w:lang w:val="en-US" w:eastAsia="zh-CN" w:bidi="ar-SA"/>
              </w:rPr>
            </w:pPr>
            <w:r>
              <w:rPr>
                <w:rFonts w:ascii="宋体" w:hAnsi="宋体" w:eastAsia="宋体" w:cs="宋体"/>
                <w:lang w:val="en-US" w:eastAsia="zh-CN"/>
              </w:rPr>
              <w:t xml:space="preserve">备注：所提供检测报告</w:t>
            </w:r>
            <w:r>
              <w:rPr>
                <w:rFonts w:hint="eastAsia" w:ascii="宋体" w:hAnsi="宋体" w:eastAsia="宋体" w:cs="宋体"/>
                <w:lang w:val="en-US" w:eastAsia="zh-CN"/>
              </w:rPr>
              <w:t xml:space="preserve">中</w:t>
            </w:r>
            <w:r>
              <w:rPr>
                <w:rFonts w:ascii="宋体" w:hAnsi="宋体" w:eastAsia="宋体" w:cs="宋体"/>
                <w:lang w:val="en-US" w:eastAsia="zh-CN"/>
              </w:rPr>
              <w:t xml:space="preserve">“</w:t>
            </w:r>
            <w:r>
              <w:rPr>
                <w:rFonts w:hint="eastAsia" w:ascii="宋体" w:hAnsi="宋体" w:eastAsia="宋体" w:cs="宋体"/>
                <w:lang w:val="en-US" w:eastAsia="zh-CN"/>
              </w:rPr>
              <w:t xml:space="preserve">产品名称和</w:t>
            </w:r>
            <w:r>
              <w:rPr>
                <w:rFonts w:ascii="宋体" w:hAnsi="宋体" w:eastAsia="宋体" w:cs="宋体"/>
                <w:lang w:val="en-US" w:eastAsia="zh-CN"/>
              </w:rPr>
              <w:t xml:space="preserve">检测内容”与</w:t>
            </w:r>
            <w:r>
              <w:rPr>
                <w:rFonts w:hint="eastAsia" w:ascii="宋体" w:hAnsi="宋体" w:eastAsia="宋体" w:cs="宋体"/>
                <w:lang w:val="en-US" w:eastAsia="zh-CN"/>
              </w:rPr>
              <w:t xml:space="preserve">评分细则规定</w:t>
            </w:r>
            <w:r>
              <w:rPr>
                <w:rFonts w:ascii="宋体" w:hAnsi="宋体" w:eastAsia="宋体" w:cs="宋体"/>
                <w:lang w:val="en-US" w:eastAsia="zh-CN"/>
              </w:rPr>
              <w:t xml:space="preserve">不同时，应提供符合上述要求的内容（功能）说明及关键信息，否则不予认可。为方便评委评审，功能参数可用箭头、标红或下划线等进行明显标注。</w:t>
            </w:r>
            <w:r>
              <w:rPr>
                <w:rFonts w:ascii="宋体" w:hAnsi="宋体" w:eastAsia="宋体" w:cs="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w:t>
            </w:r>
            <w:r>
              <w:rPr>
                <w:rFonts w:ascii="宋体" w:hAnsi="宋体" w:eastAsia="宋体" w:cs="宋体"/>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highlight w:val="none"/>
                <w:lang w:val="en-US" w:eastAsia="zh-CN"/>
              </w:rPr>
              <w:t xml:space="preserve">客观分</w:t>
            </w:r>
            <w:r>
              <w:rPr>
                <w:rFonts w:ascii="宋体" w:hAnsi="宋体" w:eastAsia="宋体" w:cs="宋体"/>
              </w:rPr>
            </w:r>
            <w:r/>
          </w:p>
        </w:tc>
      </w:tr>
      <w:tr>
        <w:trPr>
          <w:trHeight w:val="889"/>
        </w:trPr>
        <w:tc>
          <w:tcPr>
            <w:tcW w:w="519"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2.3</w:t>
            </w:r>
            <w:r>
              <w:rPr>
                <w:rFonts w:ascii="宋体" w:hAnsi="宋体" w:eastAsia="宋体" w:cs="宋体"/>
                <w:highlight w:val="none"/>
                <w:lang w:val="en-US" w:eastAsia="zh-CN"/>
              </w:rPr>
            </w:r>
            <w:r/>
          </w:p>
        </w:tc>
        <w:tc>
          <w:tcPr>
            <w:tcW w:w="1179" w:type="dxa"/>
            <w:vAlign w:val="center"/>
            <w:textDirection w:val="lrTb"/>
            <w:noWrap w:val="false"/>
          </w:tcPr>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产品视频演示</w:t>
            </w:r>
            <w:r>
              <w:rPr>
                <w:rFonts w:hint="eastAsia" w:ascii="宋体" w:hAnsi="宋体" w:eastAsia="宋体" w:cs="宋体"/>
                <w:lang w:val="en-US" w:eastAsia="zh-CN"/>
              </w:rPr>
            </w:r>
            <w:r/>
          </w:p>
        </w:tc>
        <w:tc>
          <w:tcPr>
            <w:tcW w:w="6330" w:type="dxa"/>
            <w:vAlign w:val="center"/>
            <w:textDirection w:val="lrTb"/>
            <w:noWrap w:val="false"/>
          </w:tcPr>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评委根据投标人提供的所投86英寸触控一体机（产品清单1）功能演示视频综合评分（每位投标人演示时间不超过10分钟）：</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1、演示教学软件提供教案功能，可在教案预览页面点击授课进入全屏演示模式，也可在授课端直接打开教案列表进入，授课模式下支持使用笔工具书写批注。</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2、演示集体备课：支持选择教案、课件、胶囊资源上传发起集备研讨，支持设置多重访问权限，通过手机号搜索即可邀请外校老师，可用于跨校教研场景。</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3、演示集体备课报告：报告生成后，参备人可查看集备报告。报告内包含集备信息、数据统计、研讨记录的具体内容。</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以上各项，每成功演示一项内容得2分，最多得6分。</w:t>
            </w:r>
            <w:r>
              <w:rPr>
                <w:rFonts w:hint="eastAsia" w:ascii="宋体" w:hAnsi="宋体" w:eastAsia="宋体" w:cs="宋体"/>
                <w:lang w:val="en-US" w:eastAsia="zh-CN"/>
              </w:rPr>
            </w:r>
            <w:r/>
          </w:p>
          <w:p>
            <w:pPr>
              <w:pStyle w:val="869"/>
              <w:jc w:val="both"/>
              <w:keepLines w:val="0"/>
              <w:keepNext w:val="0"/>
              <w:pageBreakBefore w:val="0"/>
              <w:spacing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（未提供视频文件或因投标人自身原因视频文件无法打开或视频画面不清晰无法辨认的不得分）。</w:t>
            </w:r>
            <w:r>
              <w:rPr>
                <w:rFonts w:ascii="宋体" w:hAnsi="宋体" w:eastAsia="宋体" w:cs="宋体"/>
                <w:lang w:val="en-US" w:eastAsia="zh-CN"/>
              </w:rPr>
            </w:r>
            <w:r/>
          </w:p>
        </w:tc>
        <w:tc>
          <w:tcPr>
            <w:tcW w:w="647"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6</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客观分</w:t>
            </w:r>
            <w:r>
              <w:rPr>
                <w:rFonts w:hint="eastAsia" w:ascii="宋体" w:hAnsi="宋体" w:eastAsia="宋体" w:cs="宋体"/>
                <w:sz w:val="21"/>
                <w:szCs w:val="22"/>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color w:val="000000"/>
                <w:spacing w:val="0"/>
                <w:highlight w:val="none"/>
                <w:lang w:val="en-US" w:eastAsia="zh-CN"/>
              </w:rPr>
            </w:pPr>
            <w:r>
              <w:rPr>
                <w:rFonts w:hint="eastAsia" w:ascii="宋体" w:hAnsi="宋体" w:eastAsia="宋体" w:cs="宋体"/>
                <w:color w:val="000000"/>
                <w:spacing w:val="0"/>
                <w:highlight w:val="none"/>
                <w:lang w:val="en-US" w:eastAsia="zh-CN"/>
              </w:rPr>
              <w:t xml:space="preserve">实施方案</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pStyle w:val="989"/>
              <w:jc w:val="left"/>
              <w:widowControl w:val="off"/>
              <w:rPr>
                <w:rFonts w:ascii="宋体" w:hAnsi="宋体" w:eastAsia="宋体" w:cs="宋体"/>
                <w:sz w:val="21"/>
                <w:szCs w:val="22"/>
                <w:lang w:val="zh-CN" w:eastAsia="zh-CN" w:bidi="ar-SA"/>
              </w:rPr>
            </w:pPr>
            <w:r>
              <w:rPr>
                <w:rFonts w:ascii="宋体" w:hAnsi="宋体" w:eastAsia="宋体" w:cs="宋体"/>
                <w:sz w:val="21"/>
                <w:szCs w:val="22"/>
                <w:lang w:val="zh-CN" w:eastAsia="zh-CN" w:bidi="ar-SA"/>
              </w:rPr>
              <w:t xml:space="preserve">评委根据投标人提供的项目实施方案（包括供货进度保证措施、质量保证措施、协调配合</w:t>
            </w:r>
            <w:r>
              <w:rPr>
                <w:rFonts w:ascii="宋体" w:hAnsi="宋体" w:eastAsia="宋体" w:cs="宋体"/>
                <w:sz w:val="21"/>
                <w:szCs w:val="22"/>
                <w:lang w:val="en-US" w:eastAsia="zh-CN" w:bidi="ar-SA"/>
              </w:rPr>
              <w:t xml:space="preserve">措施</w:t>
            </w:r>
            <w:r>
              <w:rPr>
                <w:rFonts w:ascii="宋体" w:hAnsi="宋体" w:eastAsia="宋体" w:cs="宋体"/>
                <w:sz w:val="21"/>
                <w:szCs w:val="22"/>
                <w:lang w:val="zh-CN" w:eastAsia="zh-CN" w:bidi="ar-SA"/>
              </w:rPr>
              <w:t xml:space="preserve">、应急措施等内容）综合评分： </w:t>
            </w:r>
            <w:r>
              <w:rPr>
                <w:rFonts w:ascii="宋体" w:hAnsi="宋体" w:eastAsia="宋体" w:cs="宋体"/>
                <w:sz w:val="21"/>
                <w:szCs w:val="22"/>
                <w:lang w:val="zh-CN" w:eastAsia="zh-CN" w:bidi="ar-SA"/>
              </w:rPr>
            </w:r>
            <w:r/>
          </w:p>
          <w:p>
            <w:pPr>
              <w:pStyle w:val="989"/>
              <w:jc w:val="left"/>
              <w:widowControl w:val="off"/>
              <w:rPr>
                <w:rFonts w:ascii="宋体" w:hAnsi="宋体" w:eastAsia="宋体" w:cs="宋体"/>
                <w:sz w:val="21"/>
                <w:szCs w:val="22"/>
                <w:lang w:val="zh-CN" w:eastAsia="zh-CN" w:bidi="ar-SA"/>
              </w:rPr>
            </w:pPr>
            <w:r>
              <w:rPr>
                <w:rFonts w:ascii="宋体" w:hAnsi="宋体" w:eastAsia="宋体" w:cs="宋体"/>
                <w:sz w:val="21"/>
                <w:szCs w:val="22"/>
                <w:lang w:val="zh-CN" w:eastAsia="zh-CN" w:bidi="ar-SA"/>
              </w:rPr>
              <w:t xml:space="preserve">（1）</w:t>
            </w:r>
            <w:r>
              <w:rPr>
                <w:rFonts w:ascii="宋体" w:hAnsi="宋体" w:eastAsia="宋体" w:cs="宋体"/>
                <w:spacing w:val="0"/>
                <w:sz w:val="21"/>
                <w:lang w:val="zh-CN" w:eastAsia="zh-CN" w:bidi="ar-SA"/>
              </w:rPr>
              <w:t xml:space="preserve">方案</w:t>
            </w:r>
            <w:r>
              <w:rPr>
                <w:rFonts w:ascii="宋体" w:hAnsi="宋体" w:eastAsia="宋体" w:cs="宋体"/>
                <w:sz w:val="21"/>
                <w:szCs w:val="22"/>
                <w:lang w:val="zh-CN" w:eastAsia="zh-CN" w:bidi="ar-SA"/>
              </w:rPr>
              <w:t xml:space="preserve">完整、科学性、合理性、操作性强的，得</w:t>
            </w:r>
            <w:r>
              <w:rPr>
                <w:rFonts w:hint="eastAsia" w:cs="宋体"/>
                <w:sz w:val="21"/>
                <w:szCs w:val="22"/>
                <w:lang w:val="en-US" w:eastAsia="zh-CN" w:bidi="ar-SA"/>
              </w:rPr>
              <w:t xml:space="preserve">8</w:t>
            </w:r>
            <w:r>
              <w:rPr>
                <w:rFonts w:ascii="宋体" w:hAnsi="宋体" w:eastAsia="宋体" w:cs="宋体"/>
                <w:sz w:val="21"/>
                <w:szCs w:val="22"/>
                <w:lang w:val="zh-CN" w:eastAsia="zh-CN" w:bidi="ar-SA"/>
              </w:rPr>
              <w:t xml:space="preserve">分； </w:t>
            </w:r>
            <w:r>
              <w:rPr>
                <w:rFonts w:ascii="宋体" w:hAnsi="宋体" w:eastAsia="宋体" w:cs="宋体"/>
                <w:sz w:val="21"/>
                <w:szCs w:val="22"/>
                <w:lang w:val="zh-CN" w:eastAsia="zh-CN" w:bidi="ar-SA"/>
              </w:rPr>
            </w:r>
            <w:r/>
          </w:p>
          <w:p>
            <w:pPr>
              <w:pStyle w:val="989"/>
              <w:jc w:val="left"/>
              <w:widowControl w:val="off"/>
              <w:rPr>
                <w:rFonts w:ascii="宋体" w:hAnsi="宋体" w:eastAsia="宋体" w:cs="宋体"/>
                <w:sz w:val="21"/>
                <w:szCs w:val="22"/>
                <w:lang w:val="zh-CN" w:eastAsia="zh-CN" w:bidi="ar-SA"/>
              </w:rPr>
            </w:pPr>
            <w:r>
              <w:rPr>
                <w:rFonts w:ascii="宋体" w:hAnsi="宋体" w:eastAsia="宋体" w:cs="宋体"/>
                <w:sz w:val="21"/>
                <w:szCs w:val="22"/>
                <w:lang w:val="zh-CN" w:eastAsia="zh-CN" w:bidi="ar-SA"/>
              </w:rPr>
              <w:t xml:space="preserve">（2）</w:t>
            </w:r>
            <w:r>
              <w:rPr>
                <w:rFonts w:ascii="宋体" w:hAnsi="宋体" w:eastAsia="宋体" w:cs="宋体"/>
                <w:spacing w:val="0"/>
                <w:sz w:val="21"/>
                <w:lang w:val="zh-CN" w:eastAsia="zh-CN" w:bidi="ar-SA"/>
              </w:rPr>
              <w:t xml:space="preserve">方案</w:t>
            </w:r>
            <w:r>
              <w:rPr>
                <w:rFonts w:ascii="宋体" w:hAnsi="宋体" w:eastAsia="宋体" w:cs="宋体"/>
                <w:sz w:val="21"/>
                <w:szCs w:val="22"/>
                <w:lang w:val="zh-CN" w:eastAsia="zh-CN" w:bidi="ar-SA"/>
              </w:rPr>
              <w:t xml:space="preserve">完整、科学性、合理性、操作性</w:t>
            </w:r>
            <w:r>
              <w:rPr>
                <w:rFonts w:hint="eastAsia" w:ascii="宋体" w:hAnsi="宋体" w:eastAsia="宋体" w:cs="宋体"/>
                <w:spacing w:val="0"/>
                <w:sz w:val="21"/>
                <w:lang w:val="en-US" w:eastAsia="zh-CN" w:bidi="ar-SA"/>
              </w:rPr>
              <w:t xml:space="preserve">较</w:t>
            </w:r>
            <w:r>
              <w:rPr>
                <w:rFonts w:ascii="宋体" w:hAnsi="宋体" w:eastAsia="宋体" w:cs="宋体"/>
                <w:sz w:val="21"/>
                <w:szCs w:val="22"/>
                <w:lang w:val="zh-CN" w:eastAsia="zh-CN" w:bidi="ar-SA"/>
              </w:rPr>
              <w:t xml:space="preserve">强的，得5分；</w:t>
            </w:r>
            <w:r>
              <w:rPr>
                <w:rFonts w:ascii="宋体" w:hAnsi="宋体" w:eastAsia="宋体" w:cs="宋体"/>
                <w:sz w:val="21"/>
                <w:szCs w:val="22"/>
                <w:lang w:val="zh-CN" w:eastAsia="zh-CN" w:bidi="ar-SA"/>
              </w:rPr>
            </w:r>
            <w:r/>
          </w:p>
          <w:p>
            <w:pPr>
              <w:pStyle w:val="989"/>
              <w:jc w:val="left"/>
              <w:widowControl w:val="off"/>
              <w:rPr>
                <w:rFonts w:ascii="宋体" w:hAnsi="宋体" w:eastAsia="宋体" w:cs="宋体"/>
                <w:sz w:val="21"/>
                <w:szCs w:val="22"/>
                <w:lang w:val="zh-CN" w:eastAsia="zh-CN" w:bidi="ar-SA"/>
              </w:rPr>
            </w:pPr>
            <w:r>
              <w:rPr>
                <w:rFonts w:ascii="宋体" w:hAnsi="宋体" w:eastAsia="宋体" w:cs="宋体"/>
                <w:sz w:val="21"/>
                <w:szCs w:val="22"/>
                <w:lang w:val="zh-CN" w:eastAsia="zh-CN" w:bidi="ar-SA"/>
              </w:rPr>
              <w:t xml:space="preserve">（3）</w:t>
            </w:r>
            <w:r>
              <w:rPr>
                <w:rFonts w:ascii="宋体" w:hAnsi="宋体" w:eastAsia="宋体" w:cs="宋体"/>
                <w:spacing w:val="0"/>
                <w:sz w:val="21"/>
                <w:lang w:val="zh-CN" w:eastAsia="zh-CN" w:bidi="ar-SA"/>
              </w:rPr>
              <w:t xml:space="preserve">方案</w:t>
            </w:r>
            <w:r>
              <w:rPr>
                <w:rFonts w:ascii="宋体" w:hAnsi="宋体" w:eastAsia="宋体" w:cs="宋体"/>
                <w:sz w:val="21"/>
                <w:szCs w:val="22"/>
                <w:lang w:val="zh-CN" w:eastAsia="zh-CN" w:bidi="ar-SA"/>
              </w:rPr>
              <w:t xml:space="preserve">基本完整、基本科学合理，有可操作性的，得2分； </w:t>
            </w:r>
            <w:r>
              <w:rPr>
                <w:rFonts w:ascii="宋体" w:hAnsi="宋体" w:eastAsia="宋体" w:cs="宋体"/>
                <w:sz w:val="21"/>
                <w:szCs w:val="22"/>
                <w:lang w:val="zh-CN" w:eastAsia="zh-CN" w:bidi="ar-SA"/>
              </w:rPr>
            </w:r>
            <w:r/>
          </w:p>
          <w:p>
            <w:pPr>
              <w:pStyle w:val="989"/>
              <w:jc w:val="left"/>
              <w:widowControl w:val="off"/>
              <w:rPr>
                <w:rFonts w:ascii="宋体" w:hAnsi="宋体" w:eastAsia="宋体" w:cs="宋体"/>
                <w:sz w:val="21"/>
                <w:szCs w:val="22"/>
                <w:lang w:val="zh-CN" w:eastAsia="zh-CN" w:bidi="ar-SA"/>
              </w:rPr>
            </w:pPr>
            <w:r>
              <w:rPr>
                <w:rFonts w:ascii="宋体" w:hAnsi="宋体" w:eastAsia="宋体" w:cs="宋体"/>
                <w:sz w:val="21"/>
                <w:szCs w:val="22"/>
                <w:lang w:val="zh-CN" w:eastAsia="zh-CN" w:bidi="ar-SA"/>
              </w:rPr>
              <w:t xml:space="preserve">（</w:t>
            </w:r>
            <w:r>
              <w:rPr>
                <w:rFonts w:hint="eastAsia" w:cs="宋体"/>
                <w:sz w:val="21"/>
                <w:szCs w:val="22"/>
                <w:lang w:val="en-US" w:eastAsia="zh-CN" w:bidi="ar-SA"/>
              </w:rPr>
              <w:t xml:space="preserve">4</w:t>
            </w:r>
            <w:r>
              <w:rPr>
                <w:rFonts w:ascii="宋体" w:hAnsi="宋体" w:eastAsia="宋体" w:cs="宋体"/>
                <w:sz w:val="21"/>
                <w:szCs w:val="22"/>
                <w:lang w:val="zh-CN" w:eastAsia="zh-CN" w:bidi="ar-SA"/>
              </w:rPr>
              <w:t xml:space="preserve">）</w:t>
            </w:r>
            <w:r>
              <w:rPr>
                <w:rFonts w:ascii="宋体" w:hAnsi="宋体" w:eastAsia="宋体" w:cs="宋体"/>
                <w:spacing w:val="0"/>
                <w:sz w:val="21"/>
                <w:lang w:val="zh-CN" w:eastAsia="zh-CN" w:bidi="ar-SA"/>
              </w:rPr>
              <w:t xml:space="preserve">方案</w:t>
            </w:r>
            <w:r>
              <w:rPr>
                <w:rFonts w:ascii="宋体" w:hAnsi="宋体" w:eastAsia="宋体" w:cs="宋体"/>
                <w:sz w:val="21"/>
                <w:szCs w:val="22"/>
                <w:lang w:val="zh-CN" w:eastAsia="zh-CN" w:bidi="ar-SA"/>
              </w:rPr>
              <w:t xml:space="preserve">不完整、不科学合理、不具可操作性或未提供的不得分。</w:t>
            </w:r>
            <w:r>
              <w:rPr>
                <w:rFonts w:ascii="宋体" w:hAnsi="宋体" w:eastAsia="宋体" w:cs="宋体"/>
                <w:sz w:val="21"/>
                <w:szCs w:val="22"/>
                <w:lang w:val="zh-CN" w:eastAsia="zh-CN" w:bidi="ar-SA"/>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8</w:t>
            </w:r>
            <w:r>
              <w:rPr>
                <w:rFonts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color w:val="000000"/>
                <w:spacing w:val="0"/>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pStyle w:val="989"/>
              <w:jc w:val="left"/>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评委根据投标人提供的项目售后服务方案（包括服务内容、故障解决方案、响应时间、技术人员保障及服务电话等内容）综合评分：</w:t>
            </w:r>
            <w:r>
              <w:rPr>
                <w:rFonts w:ascii="宋体" w:hAnsi="宋体" w:eastAsia="宋体" w:cs="宋体"/>
                <w:sz w:val="21"/>
                <w:szCs w:val="22"/>
                <w:lang w:val="en-US" w:eastAsia="zh-CN" w:bidi="ar-SA"/>
              </w:rPr>
            </w:r>
            <w:r/>
          </w:p>
          <w:p>
            <w:pPr>
              <w:pStyle w:val="989"/>
              <w:jc w:val="left"/>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（1）投标人具备完善的服务体系、全面的服务内容、可行的故障解决方案、可靠的人员保障和服务电话的，得</w:t>
            </w:r>
            <w:r>
              <w:rPr>
                <w:rFonts w:hint="eastAsia" w:cs="宋体"/>
                <w:sz w:val="21"/>
                <w:szCs w:val="22"/>
                <w:lang w:val="en-US" w:eastAsia="zh-CN" w:bidi="ar-SA"/>
              </w:rPr>
              <w:t xml:space="preserve">6</w:t>
            </w:r>
            <w:r>
              <w:rPr>
                <w:rFonts w:ascii="宋体" w:hAnsi="宋体" w:eastAsia="宋体" w:cs="宋体"/>
                <w:sz w:val="21"/>
                <w:szCs w:val="22"/>
                <w:lang w:val="en-US" w:eastAsia="zh-CN" w:bidi="ar-SA"/>
              </w:rPr>
              <w:t xml:space="preserve">分；</w:t>
            </w:r>
            <w:r>
              <w:rPr>
                <w:rFonts w:ascii="宋体" w:hAnsi="宋体" w:eastAsia="宋体" w:cs="宋体"/>
                <w:sz w:val="21"/>
                <w:szCs w:val="22"/>
                <w:lang w:val="en-US" w:eastAsia="zh-CN" w:bidi="ar-SA"/>
              </w:rPr>
            </w:r>
            <w:r/>
          </w:p>
          <w:p>
            <w:pPr>
              <w:pStyle w:val="989"/>
              <w:jc w:val="left"/>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（2）</w:t>
            </w:r>
            <w:r>
              <w:rPr>
                <w:rFonts w:ascii="宋体" w:hAnsi="宋体" w:eastAsia="宋体" w:cs="宋体"/>
                <w:sz w:val="21"/>
                <w:szCs w:val="22"/>
                <w:lang w:val="en-US" w:eastAsia="zh-CN" w:bidi="ar-SA"/>
              </w:rPr>
              <w:t xml:space="preserve">投标人具备</w:t>
            </w:r>
            <w:r>
              <w:rPr>
                <w:rFonts w:hint="eastAsia" w:ascii="宋体" w:hAnsi="宋体" w:eastAsia="宋体" w:cs="宋体"/>
                <w:sz w:val="21"/>
                <w:szCs w:val="22"/>
                <w:lang w:val="en-US" w:eastAsia="zh-CN" w:bidi="ar-SA"/>
              </w:rPr>
              <w:t xml:space="preserve">较</w:t>
            </w:r>
            <w:r>
              <w:rPr>
                <w:rFonts w:ascii="宋体" w:hAnsi="宋体" w:eastAsia="宋体" w:cs="宋体"/>
                <w:sz w:val="21"/>
                <w:szCs w:val="22"/>
                <w:lang w:val="en-US" w:eastAsia="zh-CN" w:bidi="ar-SA"/>
              </w:rPr>
              <w:t xml:space="preserve">完善的服务体系、</w:t>
            </w:r>
            <w:r>
              <w:rPr>
                <w:rFonts w:hint="eastAsia" w:ascii="宋体" w:hAnsi="宋体" w:eastAsia="宋体" w:cs="宋体"/>
                <w:sz w:val="21"/>
                <w:szCs w:val="22"/>
                <w:lang w:val="en-US" w:eastAsia="zh-CN" w:bidi="ar-SA"/>
              </w:rPr>
              <w:t xml:space="preserve">较</w:t>
            </w:r>
            <w:r>
              <w:rPr>
                <w:rFonts w:ascii="宋体" w:hAnsi="宋体" w:eastAsia="宋体" w:cs="宋体"/>
                <w:sz w:val="21"/>
                <w:szCs w:val="22"/>
                <w:lang w:val="en-US" w:eastAsia="zh-CN" w:bidi="ar-SA"/>
              </w:rPr>
              <w:t xml:space="preserve">全面的服务内容、</w:t>
            </w:r>
            <w:r>
              <w:rPr>
                <w:rFonts w:hint="eastAsia" w:ascii="宋体" w:hAnsi="宋体" w:eastAsia="宋体" w:cs="宋体"/>
                <w:sz w:val="21"/>
                <w:szCs w:val="22"/>
                <w:lang w:val="en-US" w:eastAsia="zh-CN" w:bidi="ar-SA"/>
              </w:rPr>
              <w:t xml:space="preserve">较</w:t>
            </w:r>
            <w:r>
              <w:rPr>
                <w:rFonts w:ascii="宋体" w:hAnsi="宋体" w:eastAsia="宋体" w:cs="宋体"/>
                <w:sz w:val="21"/>
                <w:szCs w:val="22"/>
                <w:lang w:val="en-US" w:eastAsia="zh-CN" w:bidi="ar-SA"/>
              </w:rPr>
              <w:t xml:space="preserve">可行的故障解决方案、</w:t>
            </w:r>
            <w:r>
              <w:rPr>
                <w:rFonts w:hint="eastAsia" w:ascii="宋体" w:hAnsi="宋体" w:eastAsia="宋体" w:cs="宋体"/>
                <w:sz w:val="21"/>
                <w:szCs w:val="22"/>
                <w:lang w:val="en-US" w:eastAsia="zh-CN" w:bidi="ar-SA"/>
              </w:rPr>
              <w:t xml:space="preserve">较</w:t>
            </w:r>
            <w:r>
              <w:rPr>
                <w:rFonts w:ascii="宋体" w:hAnsi="宋体" w:eastAsia="宋体" w:cs="宋体"/>
                <w:sz w:val="21"/>
                <w:szCs w:val="22"/>
                <w:lang w:val="en-US" w:eastAsia="zh-CN" w:bidi="ar-SA"/>
              </w:rPr>
              <w:t xml:space="preserve">可靠的人员保障和服务电话的，得</w:t>
            </w:r>
            <w:r>
              <w:rPr>
                <w:rFonts w:hint="eastAsia" w:cs="宋体"/>
                <w:sz w:val="21"/>
                <w:szCs w:val="22"/>
                <w:lang w:val="en-US" w:eastAsia="zh-CN" w:bidi="ar-SA"/>
              </w:rPr>
              <w:t xml:space="preserve">4</w:t>
            </w:r>
            <w:r>
              <w:rPr>
                <w:rFonts w:ascii="宋体" w:hAnsi="宋体" w:eastAsia="宋体" w:cs="宋体"/>
                <w:sz w:val="21"/>
                <w:szCs w:val="22"/>
                <w:lang w:val="en-US" w:eastAsia="zh-CN" w:bidi="ar-SA"/>
              </w:rPr>
              <w:t xml:space="preserve">分；</w:t>
            </w:r>
            <w:r>
              <w:rPr>
                <w:rFonts w:ascii="宋体" w:hAnsi="宋体" w:eastAsia="宋体" w:cs="宋体"/>
                <w:sz w:val="21"/>
                <w:szCs w:val="22"/>
                <w:lang w:val="en-US" w:eastAsia="zh-CN" w:bidi="ar-SA"/>
              </w:rPr>
            </w:r>
            <w:r/>
          </w:p>
          <w:p>
            <w:pPr>
              <w:pStyle w:val="989"/>
              <w:jc w:val="left"/>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（3）</w:t>
            </w:r>
            <w:r>
              <w:rPr>
                <w:rFonts w:ascii="宋体" w:hAnsi="宋体" w:eastAsia="宋体" w:cs="宋体"/>
                <w:sz w:val="21"/>
                <w:szCs w:val="22"/>
                <w:lang w:val="en-US" w:eastAsia="zh-CN" w:bidi="ar-SA"/>
              </w:rPr>
              <w:t xml:space="preserve">投标人具备基本完善的服务体系、基本全面的服务内容、基本可行的故障解决方案、基本可靠的人员保障和服务电话的，得2分；</w:t>
            </w:r>
            <w:r>
              <w:rPr>
                <w:rFonts w:ascii="宋体" w:hAnsi="宋体" w:eastAsia="宋体" w:cs="宋体"/>
                <w:sz w:val="21"/>
                <w:szCs w:val="22"/>
                <w:lang w:val="en-US" w:eastAsia="zh-CN" w:bidi="ar-SA"/>
              </w:rPr>
            </w:r>
            <w:r/>
          </w:p>
          <w:p>
            <w:pPr>
              <w:pStyle w:val="989"/>
              <w:jc w:val="left"/>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w:t>
            </w:r>
            <w:r>
              <w:rPr>
                <w:rFonts w:hint="eastAsia" w:cs="宋体"/>
                <w:sz w:val="21"/>
                <w:szCs w:val="22"/>
                <w:lang w:val="en-US" w:eastAsia="zh-CN" w:bidi="ar-SA"/>
              </w:rPr>
              <w:t xml:space="preserve">4</w:t>
            </w:r>
            <w:r>
              <w:rPr>
                <w:rFonts w:ascii="宋体" w:hAnsi="宋体" w:eastAsia="宋体" w:cs="宋体"/>
                <w:sz w:val="21"/>
                <w:szCs w:val="22"/>
                <w:lang w:val="en-US" w:eastAsia="zh-CN" w:bidi="ar-SA"/>
              </w:rPr>
              <w:t xml:space="preserve">）投标人不具备服务保障体系、服务内容缺失、故障解决方案不可行、人员能力不足或未提供的不得分。</w:t>
            </w:r>
            <w:r>
              <w:rPr>
                <w:rFonts w:ascii="宋体" w:hAnsi="宋体" w:eastAsia="宋体" w:cs="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6</w:t>
            </w:r>
            <w:r>
              <w:rPr>
                <w:rFonts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color w:val="000000"/>
                <w:spacing w:val="0"/>
                <w:highlight w:val="none"/>
                <w:lang w:val="en-US" w:eastAsia="zh-CN"/>
              </w:rPr>
            </w:pPr>
            <w:r>
              <w:rPr>
                <w:rFonts w:hint="eastAsia" w:ascii="宋体" w:hAnsi="宋体" w:eastAsia="宋体" w:cs="宋体"/>
                <w:color w:val="000000"/>
                <w:spacing w:val="0"/>
                <w:highlight w:val="none"/>
                <w:lang w:val="en-US" w:eastAsia="zh-CN"/>
              </w:rPr>
              <w:t xml:space="preserve">培训方案</w:t>
            </w:r>
            <w:r>
              <w:rPr>
                <w:rFonts w:ascii="宋体" w:hAnsi="宋体" w:eastAsia="宋体" w:cs="宋体"/>
                <w:color w:val="000000"/>
                <w:spacing w:val="0"/>
                <w:highlight w:val="none"/>
                <w:lang w:val="en-US" w:eastAsia="zh-CN"/>
              </w:rPr>
            </w:r>
            <w:r/>
          </w:p>
        </w:tc>
        <w:tc>
          <w:tcPr>
            <w:tcW w:w="6330" w:type="dxa"/>
            <w:vAlign w:val="center"/>
            <w:textDirection w:val="lrTb"/>
            <w:noWrap w:val="false"/>
          </w:tcPr>
          <w:p>
            <w:pPr>
              <w:pStyle w:val="989"/>
              <w:jc w:val="lef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评委根据投标人提供的本项目培训服务方案（包括培训计划、培训方法、培训人员等内容）等综合评分：</w:t>
            </w:r>
            <w:r>
              <w:rPr>
                <w:rFonts w:hint="eastAsia" w:ascii="宋体" w:hAnsi="宋体" w:eastAsia="宋体" w:cs="宋体"/>
                <w:sz w:val="21"/>
                <w:szCs w:val="22"/>
                <w:lang w:val="en-US" w:eastAsia="zh-CN" w:bidi="ar-SA"/>
              </w:rPr>
            </w:r>
            <w:r/>
          </w:p>
          <w:p>
            <w:pPr>
              <w:pStyle w:val="989"/>
              <w:jc w:val="lef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（1）培训方案完整、合理性、可行性实用性强的，得5分；</w:t>
            </w:r>
            <w:r>
              <w:rPr>
                <w:rFonts w:hint="eastAsia" w:ascii="宋体" w:hAnsi="宋体" w:eastAsia="宋体" w:cs="宋体"/>
                <w:sz w:val="21"/>
                <w:szCs w:val="22"/>
                <w:lang w:val="en-US" w:eastAsia="zh-CN" w:bidi="ar-SA"/>
              </w:rPr>
            </w:r>
            <w:r/>
          </w:p>
          <w:p>
            <w:pPr>
              <w:pStyle w:val="989"/>
              <w:jc w:val="lef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（2）培训方案基本完整、基本科学合理，具备一定的可行性、实用性，得2分；</w:t>
            </w:r>
            <w:r>
              <w:rPr>
                <w:rFonts w:hint="eastAsia" w:ascii="宋体" w:hAnsi="宋体" w:eastAsia="宋体" w:cs="宋体"/>
                <w:sz w:val="21"/>
                <w:szCs w:val="22"/>
                <w:lang w:val="en-US" w:eastAsia="zh-CN" w:bidi="ar-SA"/>
              </w:rPr>
            </w:r>
            <w:r/>
          </w:p>
          <w:p>
            <w:pPr>
              <w:pStyle w:val="989"/>
              <w:jc w:val="left"/>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（3）培训方案不完整、不科学合理性、不具备可行性实用性或未提供的不得分。</w:t>
            </w:r>
            <w:r>
              <w:rPr>
                <w:rFonts w:ascii="宋体" w:hAnsi="宋体" w:eastAsia="宋体" w:cs="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5</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投标人</w:t>
            </w:r>
            <w:r>
              <w:rPr>
                <w:rFonts w:ascii="宋体" w:hAnsi="宋体" w:eastAsia="宋体" w:cs="宋体"/>
                <w:sz w:val="21"/>
                <w:szCs w:val="22"/>
                <w:lang w:val="en-US" w:eastAsia="zh-CN" w:bidi="ar-SA"/>
              </w:rPr>
              <w:t xml:space="preserve">业绩</w:t>
            </w:r>
            <w:r>
              <w:rPr>
                <w:rFonts w:ascii="宋体" w:hAnsi="宋体" w:eastAsia="宋体" w:cs="宋体"/>
                <w:sz w:val="21"/>
                <w:szCs w:val="22"/>
                <w:lang w:val="en-US" w:eastAsia="zh-CN" w:bidi="ar-SA"/>
              </w:rPr>
            </w:r>
            <w:r/>
          </w:p>
        </w:tc>
        <w:tc>
          <w:tcPr>
            <w:tcW w:w="6330" w:type="dxa"/>
            <w:vAlign w:val="center"/>
            <w:textDirection w:val="lrTb"/>
            <w:noWrap w:val="false"/>
          </w:tcPr>
          <w:p>
            <w:pPr>
              <w:pStyle w:val="869"/>
              <w:jc w:val="both"/>
              <w:keepLines w:val="0"/>
              <w:keepNext w:val="0"/>
              <w:pageBreakBefore w:val="0"/>
              <w:spacing w:line="240"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投标人提供自2022年1月1日（含）以来类似项目业绩（至少包含86英寸触控一体机），每提供1个得1分，最多得2分。（时间以合同签订时间为准，提供有效合同，合同页须清晰可见相应内容）</w:t>
            </w:r>
            <w:r>
              <w:rPr>
                <w:rFonts w:ascii="宋体" w:hAnsi="宋体" w:eastAsia="宋体" w:cs="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4"/>
                <w:szCs w:val="24"/>
                <w:lang w:val="en-US" w:eastAsia="zh-CN"/>
              </w:rPr>
              <w:t xml:space="preserve">2</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90"/>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center"/>
            <w:textDirection w:val="lrTb"/>
            <w:noWrap w:val="false"/>
          </w:tcPr>
          <w:p>
            <w:pPr>
              <w:pStyle w:val="869"/>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1、投标人或所投86英寸触控一体机（产品清单1）制造商具有电气与电子元件和产品有害物质过程控制管理体系认证证书，得3分。</w:t>
            </w:r>
            <w:r>
              <w:rPr>
                <w:rFonts w:hint="eastAsia" w:ascii="宋体" w:hAnsi="宋体" w:eastAsia="宋体" w:cs="宋体"/>
                <w:lang w:val="en-US" w:eastAsia="zh-CN"/>
              </w:rPr>
            </w:r>
            <w:r/>
          </w:p>
          <w:p>
            <w:pPr>
              <w:pStyle w:val="869"/>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2、投标人或所投推拉黑板（产品清单3）制造商具有有效期内“安全生产标准化认证证书”（认证范围包含学校家具、黑板），得3分。</w:t>
            </w:r>
            <w:r>
              <w:rPr>
                <w:rFonts w:hint="eastAsia" w:ascii="宋体" w:hAnsi="宋体" w:eastAsia="宋体" w:cs="宋体"/>
                <w:lang w:val="en-US" w:eastAsia="zh-CN"/>
              </w:rPr>
            </w:r>
            <w:r/>
          </w:p>
          <w:p>
            <w:pPr>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lang w:val="en-US" w:eastAsia="zh-CN"/>
              </w:rPr>
            </w:r>
            <w:r>
              <w:rPr>
                <w:rFonts w:hint="eastAsia" w:ascii="宋体" w:hAnsi="宋体" w:eastAsia="宋体" w:cs="宋体"/>
                <w:lang w:val="en-US" w:eastAsia="zh-CN"/>
              </w:rPr>
              <w:t xml:space="preserve">（认证范围中</w:t>
            </w:r>
            <w:r>
              <w:rPr>
                <w:rFonts w:ascii="宋体" w:hAnsi="宋体" w:eastAsia="宋体" w:cs="宋体"/>
                <w:lang w:val="en-US" w:eastAsia="zh-CN"/>
              </w:rPr>
              <w:t xml:space="preserve">“</w:t>
            </w:r>
            <w:r>
              <w:rPr>
                <w:rFonts w:hint="eastAsia" w:ascii="宋体" w:hAnsi="宋体" w:eastAsia="宋体" w:cs="宋体"/>
                <w:lang w:val="en-US" w:eastAsia="zh-CN"/>
              </w:rPr>
              <w:t xml:space="preserve">认证产品名称</w:t>
            </w:r>
            <w:r>
              <w:rPr>
                <w:rFonts w:ascii="宋体" w:hAnsi="宋体" w:eastAsia="宋体" w:cs="宋体"/>
                <w:lang w:val="en-US" w:eastAsia="zh-CN"/>
              </w:rPr>
              <w:t xml:space="preserve">”与</w:t>
            </w:r>
            <w:r>
              <w:rPr>
                <w:rFonts w:hint="eastAsia" w:ascii="宋体" w:hAnsi="宋体" w:eastAsia="宋体" w:cs="宋体"/>
                <w:lang w:val="en-US" w:eastAsia="zh-CN"/>
              </w:rPr>
              <w:t xml:space="preserve">评分细则规定</w:t>
            </w:r>
            <w:r>
              <w:rPr>
                <w:rFonts w:ascii="宋体" w:hAnsi="宋体" w:eastAsia="宋体" w:cs="宋体"/>
                <w:lang w:val="en-US" w:eastAsia="zh-CN"/>
              </w:rPr>
              <w:t xml:space="preserve">不同时，应提供符合上述要求的内容（功能）说明及关键信息，否则不予认可</w:t>
            </w:r>
            <w:r>
              <w:rPr>
                <w:rFonts w:hint="eastAsia" w:ascii="宋体" w:hAnsi="宋体" w:eastAsia="宋体" w:cs="宋体"/>
                <w:lang w:val="en-US" w:eastAsia="zh-CN"/>
              </w:rPr>
              <w:t xml:space="preserve">）</w:t>
            </w:r>
            <w:r>
              <w:rPr>
                <w:rFonts w:hint="eastAsia" w:ascii="宋体" w:hAnsi="宋体" w:eastAsia="宋体" w:cs="宋体"/>
                <w:lang w:val="en-US" w:eastAsia="zh-CN"/>
              </w:rPr>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highlight w:val="none"/>
                <w:lang w:val="en-US" w:eastAsia="zh-CN"/>
              </w:rPr>
            </w:r>
            <w:r>
              <w:rPr>
                <w:rFonts w:hint="eastAsia" w:ascii="宋体" w:hAnsi="宋体" w:eastAsia="宋体" w:cs="宋体"/>
                <w:lang w:val="zh-CN" w:eastAsia="zh-CN"/>
              </w:rPr>
              <w:t xml:space="preserve">本项最多得</w:t>
            </w:r>
            <w:r>
              <w:rPr>
                <w:rFonts w:hint="eastAsia" w:ascii="宋体" w:hAnsi="宋体" w:eastAsia="宋体" w:cs="宋体"/>
                <w:lang w:val="en-US" w:eastAsia="zh-CN"/>
              </w:rPr>
              <w:t xml:space="preserve">6</w:t>
            </w:r>
            <w:r>
              <w:rPr>
                <w:rFonts w:hint="eastAsia" w:ascii="宋体" w:hAnsi="宋体" w:eastAsia="宋体" w:cs="宋体"/>
                <w:lang w:val="zh-CN" w:eastAsia="zh-CN"/>
              </w:rPr>
              <w:t xml:space="preserve">分，</w:t>
            </w:r>
            <w:r>
              <w:rPr>
                <w:rFonts w:hint="eastAsia" w:ascii="宋体" w:hAnsi="宋体" w:eastAsia="宋体" w:cs="宋体"/>
                <w:lang w:val="en-US" w:eastAsia="zh-CN"/>
              </w:rPr>
              <w:t xml:space="preserve">提供有效期内证书，未提供不得分。</w:t>
            </w:r>
            <w:r>
              <w:rPr>
                <w:rFonts w:hint="eastAsia" w:ascii="宋体" w:hAnsi="宋体" w:eastAsia="宋体" w:cs="宋体"/>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ascii="宋体" w:hAnsi="宋体" w:eastAsia="宋体" w:cs="宋体"/>
                <w:color w:val="000000"/>
                <w:spacing w:val="-1"/>
                <w:lang w:val="en-US" w:eastAsia="zh-CN"/>
              </w:rPr>
            </w:r>
            <w:r/>
          </w:p>
        </w:tc>
        <w:tc>
          <w:tcPr>
            <w:tcW w:w="6330" w:type="dxa"/>
            <w:vAlign w:val="center"/>
            <w:textDirection w:val="lrTb"/>
            <w:noWrap w:val="false"/>
          </w:tcPr>
          <w:p>
            <w:pPr>
              <w:jc w:val="both"/>
              <w:keepLines w:val="0"/>
              <w:keepNext w:val="0"/>
              <w:pageBreakBefore w:val="0"/>
              <w:spacing w:line="240" w:lineRule="auto"/>
              <w:widowControl w:val="off"/>
              <w:rPr>
                <w:rFonts w:ascii="宋体" w:hAnsi="宋体" w:eastAsia="宋体" w:cs="宋体"/>
                <w:lang w:val="en-US" w:eastAsia="zh-CN"/>
                <w14:ligatures w14:val="none"/>
              </w:rPr>
            </w:pPr>
            <w:r>
              <w:rPr>
                <w:rFonts w:ascii="宋体" w:hAnsi="宋体" w:eastAsia="宋体" w:cs="宋体"/>
                <w:lang w:val="en-US" w:eastAsia="zh-CN"/>
              </w:rPr>
              <w:t xml:space="preserve">投标人或所投核心产品制造商具有</w:t>
            </w:r>
            <w:r>
              <w:rPr>
                <w:rFonts w:ascii="宋体" w:hAnsi="宋体" w:eastAsia="宋体" w:cs="宋体"/>
                <w:lang w:val="en-US" w:eastAsia="zh-CN"/>
              </w:rPr>
              <w:t xml:space="preserve">顾客满意度认证证书（GB/T 19039-2009）</w:t>
            </w:r>
            <w:r>
              <w:rPr>
                <w:rFonts w:ascii="宋体" w:hAnsi="宋体" w:eastAsia="宋体" w:cs="宋体"/>
                <w:lang w:val="en-US" w:eastAsia="zh-CN"/>
              </w:rPr>
              <w:t xml:space="preserve">的，得3分，未提供不得分（提供证书）。</w:t>
            </w:r>
            <w:r>
              <w:rPr>
                <w:rFonts w:ascii="宋体" w:hAnsi="宋体" w:eastAsia="宋体" w:cs="宋体"/>
                <w:lang w:val="en-US" w:eastAsia="zh-CN"/>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3</w:t>
            </w:r>
            <w:r>
              <w:rPr>
                <w:rFonts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5</w:t>
            </w:r>
            <w:r>
              <w:rPr>
                <w:rFonts w:ascii="宋体" w:hAnsi="宋体" w:eastAsia="宋体" w:cs="宋体"/>
                <w:spacing w:val="-2"/>
              </w:rPr>
              <w:t xml:space="preserve">.</w:t>
            </w:r>
            <w:r>
              <w:rPr>
                <w:rFonts w:hint="eastAsia" w:ascii="宋体" w:hAnsi="宋体" w:eastAsia="宋体" w:cs="宋体"/>
                <w:spacing w:val="-2"/>
                <w:lang w:val="en-US" w:eastAsia="zh-CN"/>
              </w:rPr>
              <w:t xml:space="preserve">3</w:t>
            </w:r>
            <w:r>
              <w:rPr>
                <w:rFonts w:hint="eastAsia" w:ascii="宋体" w:hAnsi="宋体" w:eastAsia="宋体" w:cs="宋体"/>
                <w:spacing w:val="-2"/>
                <w:sz w:val="21"/>
                <w:szCs w:val="22"/>
                <w:lang w:val="en-US" w:eastAsia="zh-CN" w:bidi="ar-SA"/>
              </w:rPr>
            </w:r>
            <w:r/>
          </w:p>
        </w:tc>
        <w:tc>
          <w:tcPr>
            <w:tcW w:w="1179" w:type="dxa"/>
            <w:vAlign w:val="center"/>
            <w:textDirection w:val="lrTb"/>
            <w:noWrap w:val="false"/>
          </w:tcPr>
          <w:p>
            <w:pPr>
              <w:pStyle w:val="869"/>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履约能力3</w:t>
            </w:r>
            <w:r>
              <w:rPr>
                <w:rFonts w:hint="eastAsia" w:ascii="宋体" w:hAnsi="宋体" w:eastAsia="宋体" w:cs="宋体"/>
                <w:lang w:val="en-US" w:eastAsia="zh-CN"/>
              </w:rPr>
            </w:r>
            <w:r/>
          </w:p>
        </w:tc>
        <w:tc>
          <w:tcPr>
            <w:tcW w:w="6330" w:type="dxa"/>
            <w:vAlign w:val="center"/>
            <w:textDirection w:val="lrTb"/>
            <w:noWrap w:val="false"/>
          </w:tcPr>
          <w:p>
            <w:pPr>
              <w:jc w:val="both"/>
              <w:keepLines w:val="0"/>
              <w:keepNext w:val="0"/>
              <w:pageBreakBefore w:val="0"/>
              <w:spacing w:line="240" w:lineRule="auto"/>
              <w:widowControl w:val="off"/>
              <w:rPr>
                <w:rFonts w:ascii="宋体" w:hAnsi="宋体" w:eastAsia="宋体" w:cs="宋体"/>
                <w:lang w:val="en-US" w:eastAsia="zh-CN"/>
                <w14:ligatures w14:val="none"/>
              </w:rPr>
            </w:pPr>
            <w:r>
              <w:rPr>
                <w:rFonts w:ascii="宋体" w:hAnsi="宋体" w:eastAsia="宋体" w:cs="宋体"/>
                <w:lang w:val="en-US" w:eastAsia="zh-CN"/>
              </w:rPr>
              <w:t xml:space="preserve">1、投标人或所投推拉黑板（产品清单3）制造商具有有效期内“中国环保产品认证证书（CQC）”（认证范围包含黑板），得2分。（认证范围中</w:t>
            </w:r>
            <w:r>
              <w:rPr>
                <w:rFonts w:ascii="宋体" w:hAnsi="宋体" w:eastAsia="宋体" w:cs="宋体"/>
                <w:lang w:val="en-US" w:eastAsia="zh-CN"/>
              </w:rPr>
              <w:t xml:space="preserve">“</w:t>
            </w:r>
            <w:r>
              <w:rPr>
                <w:rFonts w:ascii="宋体" w:hAnsi="宋体" w:eastAsia="宋体" w:cs="宋体"/>
                <w:lang w:val="en-US" w:eastAsia="zh-CN"/>
              </w:rPr>
              <w:t xml:space="preserve">认证产品名称</w:t>
            </w:r>
            <w:r>
              <w:rPr>
                <w:rFonts w:ascii="宋体" w:hAnsi="宋体" w:eastAsia="宋体" w:cs="宋体"/>
                <w:lang w:val="en-US" w:eastAsia="zh-CN"/>
              </w:rPr>
              <w:t xml:space="preserve">”与</w:t>
            </w:r>
            <w:r>
              <w:rPr>
                <w:rFonts w:ascii="宋体" w:hAnsi="宋体" w:eastAsia="宋体" w:cs="宋体"/>
                <w:lang w:val="en-US" w:eastAsia="zh-CN"/>
              </w:rPr>
              <w:t xml:space="preserve">评分细则规定</w:t>
            </w:r>
            <w:r>
              <w:rPr>
                <w:rFonts w:ascii="宋体" w:hAnsi="宋体" w:eastAsia="宋体" w:cs="宋体"/>
                <w:lang w:val="en-US" w:eastAsia="zh-CN"/>
              </w:rPr>
              <w:t xml:space="preserve">不同时，应提供符合上述要求的内容（功能）说明及关键信息，否则不予认可</w:t>
            </w:r>
            <w:r>
              <w:rPr>
                <w:rFonts w:ascii="宋体" w:hAnsi="宋体" w:eastAsia="宋体" w:cs="宋体"/>
                <w:lang w:val="en-US" w:eastAsia="zh-CN"/>
              </w:rPr>
              <w:t xml:space="preserve">）</w:t>
            </w:r>
            <w:r>
              <w:rPr>
                <w:rFonts w:ascii="宋体" w:hAnsi="宋体" w:eastAsia="宋体" w:cs="宋体"/>
                <w:lang w:val="en-US" w:eastAsia="zh-CN"/>
              </w:rPr>
            </w:r>
            <w:r/>
          </w:p>
          <w:p>
            <w:pPr>
              <w:jc w:val="both"/>
              <w:keepLines w:val="0"/>
              <w:keepNext w:val="0"/>
              <w:pageBreakBefore w:val="0"/>
              <w:spacing w:line="240" w:lineRule="auto"/>
              <w:widowControl w:val="off"/>
              <w:rPr>
                <w:rFonts w:ascii="宋体" w:hAnsi="宋体" w:eastAsia="宋体" w:cs="宋体"/>
                <w:lang w:val="en-US" w:eastAsia="zh-CN"/>
                <w14:ligatures w14:val="none"/>
              </w:rPr>
            </w:pPr>
            <w:r>
              <w:rPr>
                <w:rFonts w:ascii="宋体" w:hAnsi="宋体" w:eastAsia="宋体" w:cs="宋体"/>
                <w:lang w:val="en-US" w:eastAsia="zh-CN"/>
              </w:rPr>
              <w:t xml:space="preserve">2、投标人或所投86英寸触控一体机（产品清单1）制造商具有GB/T29490-2013知识产权管理体系认证证书，得2分。</w:t>
            </w:r>
            <w:r>
              <w:rPr>
                <w:rFonts w:ascii="宋体" w:hAnsi="宋体" w:eastAsia="宋体" w:cs="宋体"/>
                <w:lang w:val="en-US" w:eastAsia="zh-CN"/>
              </w:rPr>
            </w:r>
            <w:r/>
          </w:p>
          <w:p>
            <w:pPr>
              <w:jc w:val="both"/>
              <w:keepLines w:val="0"/>
              <w:keepNext w:val="0"/>
              <w:pageBreakBefore w:val="0"/>
              <w:spacing w:line="240" w:lineRule="auto"/>
              <w:widowControl w:val="off"/>
              <w:rPr>
                <w:rFonts w:ascii="宋体" w:hAnsi="宋体" w:eastAsia="宋体" w:cs="宋体"/>
                <w:lang w:val="en-US" w:eastAsia="zh-CN"/>
                <w14:ligatures w14:val="none"/>
              </w:rPr>
            </w:pPr>
            <w:r>
              <w:rPr>
                <w:rFonts w:ascii="宋体" w:hAnsi="宋体" w:eastAsia="宋体" w:cs="宋体"/>
                <w:lang w:val="en-US" w:eastAsia="zh-CN"/>
              </w:rPr>
              <w:t xml:space="preserve">本项最多得</w:t>
            </w:r>
            <w:r>
              <w:rPr>
                <w:rFonts w:ascii="宋体" w:hAnsi="宋体" w:eastAsia="宋体" w:cs="宋体"/>
                <w:lang w:val="en-US" w:eastAsia="zh-CN"/>
              </w:rPr>
              <w:t xml:space="preserve">4</w:t>
            </w:r>
            <w:r>
              <w:rPr>
                <w:rFonts w:ascii="宋体" w:hAnsi="宋体" w:eastAsia="宋体" w:cs="宋体"/>
                <w:lang w:val="en-US" w:eastAsia="zh-CN"/>
              </w:rPr>
              <w:t xml:space="preserve">分，</w:t>
            </w:r>
            <w:r>
              <w:rPr>
                <w:rFonts w:ascii="宋体" w:hAnsi="宋体" w:eastAsia="宋体" w:cs="宋体"/>
                <w:lang w:val="en-US" w:eastAsia="zh-CN"/>
              </w:rPr>
              <w:t xml:space="preserve">提供有效期内证书，未提供不得分。</w:t>
            </w:r>
            <w:r>
              <w:rPr>
                <w:rFonts w:ascii="宋体" w:hAnsi="宋体" w:eastAsia="宋体" w:cs="宋体"/>
                <w:lang w:val="en-US" w:eastAsia="zh-CN"/>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4</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5</w:t>
            </w:r>
            <w:r>
              <w:rPr>
                <w:rFonts w:ascii="宋体" w:hAnsi="宋体" w:eastAsia="宋体" w:cs="宋体"/>
                <w:spacing w:val="-2"/>
              </w:rPr>
              <w:t xml:space="preserve">.</w:t>
            </w:r>
            <w:r>
              <w:rPr>
                <w:rFonts w:hint="eastAsia" w:ascii="宋体" w:hAnsi="宋体" w:eastAsia="宋体" w:cs="宋体"/>
                <w:spacing w:val="-2"/>
                <w:lang w:val="en-US" w:eastAsia="zh-CN"/>
              </w:rPr>
              <w:t xml:space="preserve">4</w:t>
            </w:r>
            <w:r>
              <w:rPr>
                <w:rFonts w:hint="eastAsia" w:ascii="宋体" w:hAnsi="宋体" w:eastAsia="宋体" w:cs="宋体"/>
                <w:spacing w:val="-2"/>
                <w:sz w:val="21"/>
                <w:szCs w:val="22"/>
                <w:lang w:val="en-US" w:eastAsia="zh-CN" w:bidi="ar-SA"/>
              </w:rPr>
            </w:r>
            <w:r/>
          </w:p>
        </w:tc>
        <w:tc>
          <w:tcPr>
            <w:tcW w:w="1179" w:type="dxa"/>
            <w:vAlign w:val="center"/>
            <w:textDirection w:val="lrTb"/>
            <w:noWrap w:val="false"/>
          </w:tcPr>
          <w:p>
            <w:pPr>
              <w:pStyle w:val="869"/>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履约能力4</w:t>
            </w:r>
            <w:r>
              <w:rPr>
                <w:rFonts w:hint="eastAsia" w:ascii="宋体" w:hAnsi="宋体" w:eastAsia="宋体" w:cs="宋体"/>
                <w:lang w:val="en-US" w:eastAsia="zh-CN"/>
              </w:rPr>
            </w:r>
            <w:r/>
          </w:p>
        </w:tc>
        <w:tc>
          <w:tcPr>
            <w:tcW w:w="6330" w:type="dxa"/>
            <w:vAlign w:val="center"/>
            <w:textDirection w:val="lrTb"/>
            <w:noWrap w:val="false"/>
          </w:tcPr>
          <w:p>
            <w:pPr>
              <w:jc w:val="both"/>
              <w:keepLines w:val="0"/>
              <w:keepNext w:val="0"/>
              <w:pageBreakBefore w:val="0"/>
              <w:spacing w:line="240" w:lineRule="auto"/>
              <w:widowControl w:val="off"/>
              <w:rPr>
                <w:rFonts w:ascii="宋体" w:hAnsi="宋体" w:eastAsia="宋体" w:cs="宋体"/>
                <w:lang w:val="en-US" w:eastAsia="zh-CN"/>
                <w14:ligatures w14:val="none"/>
              </w:rPr>
            </w:pPr>
            <w:r>
              <w:rPr>
                <w:rFonts w:ascii="宋体" w:hAnsi="宋体" w:eastAsia="宋体" w:cs="宋体"/>
                <w:lang w:val="en-US" w:eastAsia="zh-CN"/>
              </w:rPr>
              <w:t xml:space="preserve">1、投标人提供所投86英寸触控一体机（产品清单1）相关的配套正版培训教材的，得2分，未提供不得分（提供培训教材封面、培训教材作品登记证书）。</w:t>
            </w:r>
            <w:r>
              <w:rPr>
                <w:rFonts w:ascii="宋体" w:hAnsi="宋体" w:eastAsia="宋体" w:cs="宋体"/>
                <w:lang w:val="en-US" w:eastAsia="zh-CN"/>
              </w:rPr>
            </w:r>
            <w:r/>
          </w:p>
          <w:p>
            <w:pPr>
              <w:jc w:val="both"/>
              <w:keepLines w:val="0"/>
              <w:keepNext w:val="0"/>
              <w:pageBreakBefore w:val="0"/>
              <w:spacing w:line="240" w:lineRule="auto"/>
              <w:widowControl w:val="off"/>
              <w:rPr>
                <w:rFonts w:ascii="宋体" w:hAnsi="宋体" w:eastAsia="宋体" w:cs="宋体"/>
                <w:lang w:val="en-US" w:eastAsia="zh-CN"/>
                <w14:ligatures w14:val="none"/>
              </w:rPr>
            </w:pPr>
            <w:r>
              <w:rPr>
                <w:rFonts w:ascii="宋体" w:hAnsi="宋体" w:eastAsia="宋体" w:cs="宋体"/>
                <w:lang w:val="en-US" w:eastAsia="zh-CN"/>
              </w:rPr>
              <w:t xml:space="preserve">2、投标人提供所投86英寸触控一体机制造商，针对不同培训对象（包括对管理者和系统管理员等相关技术人员）能提供线上学习平台，并且能认证培训人员身份，得2分，未提供不得分（提供线上培训平台身份认证界面截图）</w:t>
            </w:r>
            <w:r>
              <w:rPr>
                <w:rFonts w:ascii="宋体" w:hAnsi="宋体" w:eastAsia="宋体" w:cs="宋体"/>
                <w:lang w:val="en-US" w:eastAsia="zh-CN"/>
              </w:rPr>
              <w:t xml:space="preserve">。</w:t>
            </w:r>
            <w:r>
              <w:rPr>
                <w:rFonts w:ascii="宋体" w:hAnsi="宋体" w:eastAsia="宋体" w:cs="宋体"/>
                <w:lang w:val="en-US" w:eastAsia="zh-CN"/>
              </w:rPr>
            </w:r>
            <w:r/>
          </w:p>
        </w:tc>
        <w:tc>
          <w:tcPr>
            <w:tcW w:w="64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4</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431"/>
        </w:trPr>
        <w:tc>
          <w:tcPr>
            <w:gridSpan w:val="5"/>
            <w:tcW w:w="9575" w:type="dxa"/>
            <w:vAlign w:val="center"/>
            <w:textDirection w:val="lrTb"/>
            <w:noWrap w:val="false"/>
          </w:tcPr>
          <w:p>
            <w:pPr>
              <w:pStyle w:val="869"/>
              <w:jc w:val="both"/>
              <w:keepLines w:val="0"/>
              <w:keepNext w:val="0"/>
              <w:pageBreakBefore w:val="0"/>
              <w:spacing w:before="68" w:line="288" w:lineRule="auto"/>
              <w:widowControl w:val="off"/>
              <w:rPr>
                <w:rFonts w:hint="eastAsia" w:ascii="宋体" w:hAnsi="宋体" w:eastAsia="宋体" w:cs="宋体"/>
                <w:spacing w:val="-6"/>
              </w:rPr>
            </w:pPr>
            <w:r>
              <w:rPr>
                <w:rFonts w:hint="eastAsia" w:ascii="宋体" w:hAnsi="宋体" w:eastAsia="宋体" w:cs="宋体"/>
                <w:b/>
                <w:bCs/>
                <w:spacing w:val="-3"/>
                <w:lang w:val="en-US" w:eastAsia="zh-CN"/>
              </w:rPr>
              <w:t xml:space="preserve">6.</w:t>
            </w:r>
            <w:r>
              <w:rPr>
                <w:rFonts w:hint="eastAsia" w:ascii="宋体" w:hAnsi="宋体" w:eastAsia="宋体" w:cs="宋体"/>
                <w:b/>
                <w:bCs/>
                <w:spacing w:val="-3"/>
                <w:lang w:val="en-US" w:eastAsia="zh-CN"/>
              </w:rPr>
              <w:t xml:space="preserve">节能环保（落实政府采购政策通用条款）</w:t>
            </w:r>
            <w:r>
              <w:rPr>
                <w:rFonts w:hint="eastAsia" w:ascii="宋体" w:hAnsi="宋体" w:eastAsia="宋体" w:cs="宋体"/>
                <w:spacing w:val="-6"/>
              </w:rPr>
            </w:r>
            <w:r/>
          </w:p>
        </w:tc>
      </w:tr>
      <w:tr>
        <w:trPr>
          <w:trHeight w:val="676"/>
        </w:trPr>
        <w:tc>
          <w:tcPr>
            <w:tcW w:w="519" w:type="dxa"/>
            <w:vAlign w:val="center"/>
            <w:textDirection w:val="lrTb"/>
            <w:noWrap w:val="false"/>
          </w:tcPr>
          <w:p>
            <w:pPr>
              <w:pStyle w:val="869"/>
              <w:jc w:val="center"/>
              <w:keepLines w:val="0"/>
              <w:keepNext w:val="0"/>
              <w:pageBreakBefore w:val="0"/>
              <w:spacing w:before="68" w:line="240"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6.1</w:t>
            </w:r>
            <w:r>
              <w:rPr>
                <w:rFonts w:hint="eastAsia" w:ascii="宋体" w:hAnsi="宋体" w:eastAsia="宋体" w:cs="宋体"/>
                <w:spacing w:val="-2"/>
                <w:sz w:val="21"/>
                <w:szCs w:val="22"/>
                <w:lang w:val="en-US" w:eastAsia="zh-CN" w:bidi="ar-SA"/>
              </w:rPr>
            </w:r>
            <w:r/>
          </w:p>
        </w:tc>
        <w:tc>
          <w:tcPr>
            <w:tcW w:w="1179" w:type="dxa"/>
            <w:vAlign w:val="center"/>
            <w:textDirection w:val="lrTb"/>
            <w:noWrap w:val="false"/>
          </w:tcPr>
          <w:p>
            <w:pPr>
              <w:pStyle w:val="869"/>
              <w:jc w:val="both"/>
              <w:keepLines w:val="0"/>
              <w:keepNext w:val="0"/>
              <w:pageBreakBefore w:val="0"/>
              <w:spacing w:before="69" w:line="240"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val="en-US" w:eastAsia="zh-CN"/>
              </w:rPr>
              <w:t xml:space="preserve">节能环保</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69"/>
              <w:jc w:val="both"/>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lang w:val="en-US" w:eastAsia="zh-CN"/>
              </w:rPr>
              <w:t xml:space="preserve">1</w:t>
            </w:r>
            <w:r>
              <w:rPr>
                <w:rFonts w:ascii="宋体" w:hAnsi="宋体" w:eastAsia="宋体" w:cs="宋体"/>
                <w:lang w:val="en-US" w:eastAsia="zh-CN"/>
              </w:rPr>
              <w:t xml:space="preserve">分。</w:t>
            </w:r>
            <w:r>
              <w:rPr>
                <w:rFonts w:ascii="宋体" w:hAnsi="宋体" w:eastAsia="宋体" w:cs="宋体"/>
                <w:lang w:val="en-US" w:eastAsia="zh-CN"/>
              </w:rPr>
            </w:r>
            <w:r/>
          </w:p>
          <w:p>
            <w:pPr>
              <w:pStyle w:val="869"/>
              <w:jc w:val="both"/>
              <w:keepLines w:val="0"/>
              <w:keepNext w:val="0"/>
              <w:pageBreakBefore w:val="0"/>
              <w:spacing w:line="240" w:lineRule="auto"/>
              <w:widowControl w:val="off"/>
              <w:rPr>
                <w:rFonts w:ascii="宋体" w:hAnsi="宋体" w:eastAsia="宋体" w:cs="宋体"/>
                <w:sz w:val="21"/>
                <w:szCs w:val="22"/>
                <w:lang w:val="en-US" w:eastAsia="zh-CN" w:bidi="ar-SA"/>
              </w:rPr>
            </w:pPr>
            <w:r>
              <w:rPr>
                <w:rFonts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rPr>
                <w:rFonts w:ascii="宋体" w:hAnsi="宋体" w:eastAsia="宋体" w:cs="宋体"/>
                <w:sz w:val="21"/>
                <w:szCs w:val="22"/>
                <w:lang w:val="en-US" w:eastAsia="zh-CN" w:bidi="ar-SA"/>
              </w:rPr>
            </w:r>
            <w:r/>
          </w:p>
        </w:tc>
        <w:tc>
          <w:tcPr>
            <w:tcW w:w="647" w:type="dxa"/>
            <w:vAlign w:val="center"/>
            <w:textDirection w:val="lrTb"/>
            <w:noWrap w:val="false"/>
          </w:tcPr>
          <w:p>
            <w:pPr>
              <w:pStyle w:val="869"/>
              <w:jc w:val="center"/>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9"/>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9"/>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81"/>
        <w:jc w:val="cente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送货清单</w:t>
      </w:r>
      <w:r>
        <w:rPr>
          <w:rFonts w:hint="eastAsia" w:ascii="宋体" w:hAnsi="宋体" w:eastAsia="宋体" w:cs="宋体"/>
          <w:b/>
          <w:bCs/>
          <w:color w:val="000000"/>
          <w:sz w:val="24"/>
          <w:szCs w:val="24"/>
          <w:highlight w:val="none"/>
          <w:u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74"/>
        <w:gridCol w:w="930"/>
        <w:gridCol w:w="816"/>
        <w:gridCol w:w="648"/>
        <w:gridCol w:w="972"/>
        <w:gridCol w:w="683"/>
        <w:gridCol w:w="936"/>
        <w:gridCol w:w="636"/>
        <w:gridCol w:w="1096"/>
        <w:gridCol w:w="1080"/>
      </w:tblGrid>
      <w:tr>
        <w:trPr>
          <w:trHeight w:val="500"/>
        </w:trPr>
        <w:tc>
          <w:tcPr>
            <w:shd w:val="clear" w:color="auto" w:fill="b6dde8"/>
            <w:tcW w:w="1474" w:type="dxa"/>
            <w:vAlign w:val="center"/>
            <w:vMerge w:val="restart"/>
            <w:textDirection w:val="lrTb"/>
            <w:noWrap/>
          </w:tcPr>
          <w:p>
            <w:pPr>
              <w:pStyle w:val="869"/>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学校名称</w:t>
            </w:r>
            <w:r>
              <w:rPr>
                <w:rFonts w:hint="eastAsia" w:ascii="宋体" w:hAnsi="宋体" w:eastAsia="宋体" w:cs="宋体"/>
                <w:i w:val="0"/>
                <w:iCs w:val="0"/>
                <w:color w:val="000000"/>
                <w:sz w:val="22"/>
                <w:szCs w:val="22"/>
                <w:u w:val="none"/>
              </w:rPr>
            </w:r>
            <w:r/>
          </w:p>
        </w:tc>
        <w:tc>
          <w:tcPr>
            <w:shd w:val="clear" w:color="auto" w:fill="b6dde8"/>
            <w:tcW w:w="930"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快拍仪</w:t>
            </w:r>
            <w:r>
              <w:rPr>
                <w:rFonts w:hint="eastAsia" w:ascii="宋体" w:hAnsi="宋体" w:eastAsia="宋体" w:cs="宋体"/>
                <w:i w:val="0"/>
                <w:iCs w:val="0"/>
                <w:color w:val="000000"/>
                <w:sz w:val="20"/>
                <w:szCs w:val="20"/>
                <w:u w:val="none"/>
              </w:rPr>
            </w:r>
            <w:r/>
          </w:p>
        </w:tc>
        <w:tc>
          <w:tcPr>
            <w:shd w:val="clear" w:color="auto" w:fill="b6dde8"/>
            <w:tcW w:w="816"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多媒体系统集成</w:t>
            </w:r>
            <w:r>
              <w:rPr>
                <w:rFonts w:hint="eastAsia" w:ascii="宋体" w:hAnsi="宋体" w:eastAsia="宋体" w:cs="宋体"/>
                <w:i w:val="0"/>
                <w:iCs w:val="0"/>
                <w:color w:val="000000"/>
                <w:sz w:val="20"/>
                <w:szCs w:val="20"/>
                <w:u w:val="none"/>
              </w:rPr>
            </w:r>
            <w:r/>
          </w:p>
        </w:tc>
        <w:tc>
          <w:tcPr>
            <w:shd w:val="clear" w:color="auto" w:fill="b6dde8"/>
            <w:tcW w:w="648"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静电地板</w:t>
            </w:r>
            <w:r>
              <w:rPr>
                <w:rFonts w:hint="eastAsia" w:ascii="宋体" w:hAnsi="宋体" w:eastAsia="宋体" w:cs="宋体"/>
                <w:i w:val="0"/>
                <w:iCs w:val="0"/>
                <w:color w:val="000000"/>
                <w:sz w:val="20"/>
                <w:szCs w:val="20"/>
                <w:u w:val="none"/>
              </w:rPr>
            </w:r>
            <w:r/>
          </w:p>
        </w:tc>
        <w:tc>
          <w:tcPr>
            <w:shd w:val="clear" w:color="auto" w:fill="b6dde8"/>
            <w:tcW w:w="972"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86英寸触控一体机</w:t>
            </w:r>
            <w:r>
              <w:rPr>
                <w:rFonts w:hint="eastAsia" w:ascii="宋体" w:hAnsi="宋体" w:eastAsia="宋体" w:cs="宋体"/>
                <w:i w:val="0"/>
                <w:iCs w:val="0"/>
                <w:color w:val="000000"/>
                <w:sz w:val="20"/>
                <w:szCs w:val="20"/>
                <w:u w:val="none"/>
              </w:rPr>
            </w:r>
            <w:r/>
          </w:p>
        </w:tc>
        <w:tc>
          <w:tcPr>
            <w:shd w:val="clear" w:color="auto" w:fill="b6dde8"/>
            <w:tcW w:w="683"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推拉黑板</w:t>
            </w:r>
            <w:r>
              <w:rPr>
                <w:rFonts w:hint="eastAsia" w:ascii="宋体" w:hAnsi="宋体" w:eastAsia="宋体" w:cs="宋体"/>
                <w:i w:val="0"/>
                <w:iCs w:val="0"/>
                <w:color w:val="000000"/>
                <w:sz w:val="20"/>
                <w:szCs w:val="20"/>
                <w:u w:val="none"/>
              </w:rPr>
            </w:r>
            <w:r/>
          </w:p>
        </w:tc>
        <w:tc>
          <w:tcPr>
            <w:shd w:val="clear" w:color="auto" w:fill="b6dde8"/>
            <w:tcW w:w="936"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桌椅（按单人位）</w:t>
            </w:r>
            <w:r>
              <w:rPr>
                <w:rFonts w:hint="eastAsia" w:ascii="宋体" w:hAnsi="宋体" w:eastAsia="宋体" w:cs="宋体"/>
                <w:i w:val="0"/>
                <w:iCs w:val="0"/>
                <w:color w:val="000000"/>
                <w:sz w:val="20"/>
                <w:szCs w:val="20"/>
                <w:u w:val="none"/>
              </w:rPr>
            </w:r>
            <w:r/>
          </w:p>
        </w:tc>
        <w:tc>
          <w:tcPr>
            <w:gridSpan w:val="2"/>
            <w:shd w:val="clear" w:color="auto" w:fill="b6dde8"/>
            <w:tcW w:w="1732" w:type="dxa"/>
            <w:vAlign w:val="center"/>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rPr>
            </w:r>
            <w:r/>
          </w:p>
        </w:tc>
        <w:tc>
          <w:tcPr>
            <w:shd w:val="clear" w:color="auto" w:fill="b6dde8"/>
            <w:tcW w:w="1080" w:type="dxa"/>
            <w:vAlign w:val="center"/>
            <w:vMerge w:val="restart"/>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机房讲台</w:t>
            </w:r>
            <w:r>
              <w:rPr>
                <w:rFonts w:hint="eastAsia" w:ascii="宋体" w:hAnsi="宋体" w:eastAsia="宋体" w:cs="宋体"/>
                <w:i w:val="0"/>
                <w:iCs w:val="0"/>
                <w:color w:val="000000"/>
                <w:sz w:val="20"/>
                <w:szCs w:val="20"/>
                <w:u w:val="none"/>
              </w:rPr>
            </w:r>
            <w:r/>
          </w:p>
        </w:tc>
      </w:tr>
      <w:tr>
        <w:trPr>
          <w:trHeight w:val="540"/>
        </w:trPr>
        <w:tc>
          <w:tcPr>
            <w:tcW w:w="1474" w:type="dxa"/>
            <w:vAlign w:val="center"/>
            <w:vMerge w:val="continue"/>
            <w:textDirection w:val="lrTb"/>
            <w:noWrap/>
          </w:tcPr>
          <w:p>
            <w:pPr>
              <w:pStyle w:val="869"/>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30"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16"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8"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72"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3"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36"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b6dde8"/>
            <w:tcW w:w="636" w:type="dxa"/>
            <w:vAlign w:val="center"/>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布线点</w:t>
            </w:r>
            <w:r>
              <w:rPr>
                <w:rFonts w:hint="eastAsia" w:ascii="宋体" w:hAnsi="宋体" w:eastAsia="宋体" w:cs="宋体"/>
                <w:i w:val="0"/>
                <w:iCs w:val="0"/>
                <w:color w:val="000000"/>
                <w:sz w:val="20"/>
                <w:szCs w:val="20"/>
                <w:u w:val="none"/>
              </w:rPr>
            </w:r>
            <w:r/>
          </w:p>
        </w:tc>
        <w:tc>
          <w:tcPr>
            <w:shd w:val="clear" w:color="auto" w:fill="b6dde8"/>
            <w:tcW w:w="1096" w:type="dxa"/>
            <w:vAlign w:val="center"/>
            <w:textDirection w:val="lrTb"/>
            <w:noWrap w:val="false"/>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24口千兆交换机</w:t>
            </w: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869"/>
              <w:jc w:val="center"/>
              <w:keepLines w:val="0"/>
              <w:keepNext w:val="0"/>
              <w:pageBreakBefore w:val="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天妃宫小学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金陵汇文学校(小学部)</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滨江小学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察哈尔路小学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科睿小学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长平路小学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莫愁新寓小学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宝船小学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芳草园小学凤凰校区</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旭日景城小学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南师附中树人学校附属小学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古平岗小学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汉口路小学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r>
      <w:tr>
        <w:trPr>
          <w:trHeight w:val="400"/>
        </w:trPr>
        <w:tc>
          <w:tcPr>
            <w:tcW w:w="1474"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南京力学小学</w:t>
            </w:r>
            <w:r>
              <w:rPr>
                <w:rFonts w:hint="eastAsia" w:ascii="宋体" w:hAnsi="宋体" w:eastAsia="宋体" w:cs="宋体"/>
                <w:i w:val="0"/>
                <w:iCs w:val="0"/>
                <w:color w:val="000000"/>
                <w:sz w:val="20"/>
                <w:szCs w:val="20"/>
                <w:u w:val="none"/>
              </w:rPr>
            </w:r>
            <w:r/>
          </w:p>
        </w:tc>
        <w:tc>
          <w:tcPr>
            <w:tcW w:w="93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48"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72"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83"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9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c>
          <w:tcPr>
            <w:tcW w:w="63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096"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869"/>
              <w:jc w:val="center"/>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rPr>
            </w:r>
            <w:r/>
          </w:p>
        </w:tc>
      </w:tr>
    </w:tbl>
    <w:p>
      <w:pPr>
        <w:pStyle w:val="94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2"/>
        <w:rPr>
          <w:lang w:val="en-US" w:eastAsia="zh-CN"/>
        </w:rPr>
      </w:pPr>
      <w:r>
        <w:rPr>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1"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十三、分包承诺书（如有）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szCs w:val="24"/>
        </w:rPr>
      </w:pPr>
      <w:r>
        <w:rPr>
          <w:rFonts w:ascii="宋体" w:hAnsi="宋体"/>
          <w:sz w:val="24"/>
        </w:rPr>
      </w:r>
      <w:r>
        <w:rPr>
          <w:rFonts w:ascii="宋体" w:hAnsi="宋体"/>
          <w:sz w:val="24"/>
        </w:rPr>
      </w:r>
      <w:r/>
    </w:p>
    <w:p>
      <w:pPr>
        <w:pStyle w:val="986"/>
        <w:rPr>
          <w:rFonts w:ascii="宋体" w:hAnsi="宋体"/>
          <w:sz w:val="24"/>
          <w:szCs w:val="24"/>
        </w:rPr>
      </w:pPr>
      <w:r>
        <w:rPr>
          <w:rFonts w:ascii="宋体" w:hAnsi="宋体"/>
          <w:sz w:val="24"/>
          <w:szCs w:val="24"/>
        </w:rPr>
      </w:r>
      <w:r>
        <w:rPr>
          <w:rFonts w:ascii="宋体" w:hAnsi="宋体"/>
          <w:sz w:val="24"/>
          <w:szCs w:val="24"/>
        </w:rPr>
      </w:r>
      <w:r/>
    </w:p>
    <w:p>
      <w:pPr>
        <w:pStyle w:val="986"/>
        <w:rPr>
          <w:rFonts w:ascii="宋体" w:hAnsi="宋体"/>
          <w:sz w:val="24"/>
          <w:szCs w:val="24"/>
        </w:rPr>
      </w:pPr>
      <w:r>
        <w:rPr>
          <w:rFonts w:ascii="宋体" w:hAnsi="宋体"/>
          <w:sz w:val="24"/>
          <w:szCs w:val="24"/>
        </w:rPr>
      </w:r>
      <w:r>
        <w:rPr>
          <w:rFonts w:ascii="宋体" w:hAnsi="宋体"/>
          <w:sz w:val="24"/>
          <w:szCs w:val="24"/>
        </w:rPr>
      </w:r>
      <w:r/>
    </w:p>
    <w:p>
      <w:pPr>
        <w:pStyle w:val="986"/>
        <w:rPr>
          <w:rFonts w:ascii="宋体" w:hAnsi="宋体"/>
          <w:sz w:val="24"/>
          <w:szCs w:val="24"/>
        </w:rPr>
      </w:pPr>
      <w:r>
        <w:rPr>
          <w:rFonts w:ascii="宋体" w:hAnsi="宋体"/>
          <w:sz w:val="24"/>
          <w:szCs w:val="24"/>
        </w:rPr>
      </w:r>
      <w:r>
        <w:rPr>
          <w:rFonts w:ascii="宋体" w:hAnsi="宋体"/>
          <w:sz w:val="24"/>
          <w:szCs w:val="24"/>
        </w:rPr>
      </w:r>
      <w:r/>
    </w:p>
    <w:p>
      <w:pPr>
        <w:pStyle w:val="986"/>
        <w:rPr>
          <w:rFonts w:ascii="宋体" w:hAnsi="宋体"/>
          <w:sz w:val="24"/>
          <w:szCs w:val="24"/>
        </w:rPr>
      </w:pPr>
      <w:r>
        <w:rPr>
          <w:rFonts w:ascii="宋体" w:hAnsi="宋体"/>
          <w:sz w:val="24"/>
          <w:szCs w:val="24"/>
        </w:rPr>
      </w:r>
      <w:r>
        <w:rPr>
          <w:rFonts w:ascii="宋体" w:hAnsi="宋体"/>
          <w:sz w:val="24"/>
          <w:szCs w:val="24"/>
        </w:rPr>
      </w:r>
      <w:r/>
    </w:p>
    <w:p>
      <w:pPr>
        <w:pStyle w:val="986"/>
        <w:rPr>
          <w:rFonts w:ascii="宋体" w:hAnsi="宋体"/>
          <w:sz w:val="24"/>
          <w:szCs w:val="24"/>
        </w:rPr>
      </w:pPr>
      <w:r>
        <w:rPr>
          <w:rFonts w:ascii="宋体" w:hAnsi="宋体"/>
          <w:sz w:val="24"/>
        </w:rPr>
      </w:r>
      <w:r/>
    </w:p>
    <w:p>
      <w:pPr>
        <w:pStyle w:val="986"/>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955070"/>
      <w:r/>
      <w:bookmarkEnd w:id="202"/>
      <w:r/>
      <w:bookmarkStart w:id="203" w:name="_格式3__银行出具的资信证明"/>
      <w:r/>
      <w:bookmarkEnd w:id="203"/>
      <w:r/>
      <w:bookmarkStart w:id="204" w:name="_Hlt26671380"/>
      <w:r/>
      <w:bookmarkEnd w:id="204"/>
      <w:r>
        <w:rPr>
          <w:rFonts w:hint="eastAsia"/>
          <w:sz w:val="24"/>
          <w:szCs w:val="24"/>
        </w:rPr>
      </w:r>
      <w:r/>
    </w:p>
    <w:p>
      <w:pPr>
        <w:pStyle w:val="885"/>
        <w:rPr>
          <w:rFonts w:hint="eastAsia"/>
          <w:i/>
          <w:sz w:val="24"/>
          <w:szCs w:val="24"/>
          <w:u w:val="single"/>
        </w:rPr>
      </w:pPr>
      <w:r>
        <w:rPr>
          <w:rFonts w:hint="eastAsia"/>
          <w:i/>
          <w:sz w:val="24"/>
          <w:szCs w:val="24"/>
          <w:u w:val="single"/>
        </w:rPr>
      </w:r>
      <w:r/>
    </w:p>
    <w:p>
      <w:pPr>
        <w:pStyle w:val="885"/>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6"/>
        <w:rPr>
          <w:rFonts w:hint="eastAsia" w:ascii="宋体" w:hAnsi="宋体"/>
          <w:sz w:val="24"/>
          <w:szCs w:val="24"/>
        </w:rPr>
      </w:pPr>
      <w:r>
        <w:rPr>
          <w:rFonts w:hint="eastAsia" w:ascii="宋体" w:hAnsi="宋体"/>
          <w:bCs/>
          <w:sz w:val="24"/>
        </w:rPr>
      </w:r>
      <w:r>
        <w:rPr>
          <w:rFonts w:hint="eastAsia" w:ascii="宋体" w:hAnsi="宋体"/>
          <w:bCs/>
          <w:sz w:val="24"/>
        </w:rPr>
      </w:r>
      <w:r/>
    </w:p>
    <w:p>
      <w:pPr>
        <w:pStyle w:val="986"/>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rPr>
          <w:rFonts w:hint="eastAsia" w:ascii="宋体" w:hAnsi="宋体"/>
          <w:sz w:val="24"/>
          <w:szCs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5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59"/>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81"/>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序号</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val="zh-CN" w:eastAsia="zh-CN"/>
              </w:rPr>
            </w:r>
            <w:r/>
          </w:p>
        </w:tc>
        <w:tc>
          <w:tcPr>
            <w:tcW w:w="2158"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rPr>
                <w:rFonts w:hint="eastAsia" w:ascii="宋体" w:hAnsi="宋体" w:eastAsia="宋体" w:cs="Times New Roman"/>
                <w:sz w:val="24"/>
                <w:szCs w:val="24"/>
                <w:lang w:val="zh-CN" w:eastAsia="zh-CN"/>
              </w:rPr>
            </w:r>
            <w:r/>
          </w:p>
        </w:tc>
        <w:tc>
          <w:tcPr>
            <w:tcW w:w="239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规格或型号</w:t>
            </w:r>
            <w:r>
              <w:rPr>
                <w:rFonts w:hint="eastAsia" w:ascii="宋体" w:hAnsi="宋体" w:eastAsia="宋体" w:cs="Times New Roman"/>
                <w:sz w:val="24"/>
                <w:szCs w:val="24"/>
                <w:lang w:val="zh-CN" w:eastAsia="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39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69"/>
              <w:spacing w:line="0" w:lineRule="atLeast"/>
              <w:rPr>
                <w:rFonts w:hint="eastAsia" w:ascii="宋体" w:hAnsi="宋体"/>
                <w:sz w:val="24"/>
                <w:szCs w:val="24"/>
              </w:rPr>
            </w:pPr>
            <w:r>
              <w:rPr>
                <w:rFonts w:hint="eastAsia" w:ascii="宋体" w:hAnsi="宋体"/>
                <w:sz w:val="24"/>
                <w:szCs w:val="24"/>
              </w:rPr>
            </w:r>
            <w:r/>
          </w:p>
        </w:tc>
      </w:tr>
    </w:tbl>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0"/>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w:t>
      </w:r>
      <w:r>
        <w:rPr>
          <w:rFonts w:hint="eastAsia" w:ascii="宋体" w:hAnsi="宋体" w:eastAsia="宋体" w:cs="宋体"/>
          <w:color w:val="000000"/>
          <w:lang w:val="en-US" w:eastAsia="zh-CN"/>
        </w:rPr>
        <w:t xml:space="preserve">同时应按招标文件要求和投标文件响应内容向采购人提供相应证明材料核验（如：白皮书、</w:t>
      </w:r>
      <w:r>
        <w:rPr>
          <w:rFonts w:hint="eastAsia" w:ascii="宋体" w:hAnsi="宋体" w:eastAsia="宋体" w:cs="宋体"/>
          <w:color w:val="000000"/>
          <w:lang w:val="en-US" w:eastAsia="zh-CN"/>
        </w:rPr>
        <w:t xml:space="preserve">彩页、手册、网站截图、具有CMA标识的检测报告等）。中标供应商未按</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要求和投标文件响应内容提供相应证明材料或者提供的证明材料不符合</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588"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48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9"/>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9"/>
        <w:ind w:firstLine="645"/>
        <w:spacing w:line="560" w:lineRule="exact"/>
        <w:rPr>
          <w:rFonts w:hint="eastAsia" w:ascii="宋体" w:hAnsi="宋体"/>
          <w:sz w:val="24"/>
          <w:szCs w:val="24"/>
        </w:rPr>
      </w:pPr>
      <w:r>
        <w:rPr>
          <w:rFonts w:hint="eastAsia" w:ascii="宋体" w:hAnsi="宋体"/>
          <w:sz w:val="24"/>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bookmarkEnd w:id="201"/>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3"/>
    <w:qFormat/>
    <w:pPr>
      <w:jc w:val="center"/>
      <w:keepNext/>
      <w:outlineLvl w:val="0"/>
    </w:pPr>
    <w:rPr>
      <w:rFonts w:ascii="楷体_GB2312" w:hAnsi="Times New Roman" w:eastAsia="楷体_GB2312" w:cs="Times New Roman"/>
      <w:sz w:val="28"/>
      <w:szCs w:val="28"/>
    </w:rPr>
  </w:style>
  <w:style w:type="paragraph" w:styleId="871">
    <w:name w:val="标题 2"/>
    <w:basedOn w:val="869"/>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5"/>
    <w:link w:val="88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5"/>
    <w:link w:val="888"/>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5"/>
    <w:link w:val="889"/>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文本缩进1"/>
    <w:basedOn w:val="869"/>
    <w:next w:val="882"/>
    <w:link w:val="869"/>
    <w:unhideWhenUsed/>
    <w:qFormat/>
    <w:pPr>
      <w:ind w:left="420"/>
      <w:spacing w:after="120"/>
    </w:pPr>
  </w:style>
  <w:style w:type="paragraph" w:styleId="882">
    <w:name w:val="正文文本首行缩进 2"/>
    <w:basedOn w:val="881"/>
    <w:next w:val="882"/>
    <w:link w:val="869"/>
    <w:qFormat/>
    <w:pPr>
      <w:ind w:left="0" w:firstLine="420"/>
      <w:spacing w:after="0" w:line="360" w:lineRule="auto"/>
    </w:pPr>
    <w:rPr>
      <w:rFonts w:ascii="宋体" w:hAnsi="宋体"/>
      <w:sz w:val="20"/>
      <w:szCs w:val="20"/>
      <w:lang w:val="en-US" w:eastAsia="en-US"/>
    </w:rPr>
  </w:style>
  <w:style w:type="character" w:styleId="883">
    <w:name w:val="标题 1 Char"/>
    <w:next w:val="883"/>
    <w:link w:val="870"/>
    <w:rPr>
      <w:rFonts w:ascii="楷体_GB2312" w:hAnsi="Times New Roman" w:eastAsia="楷体_GB2312" w:cs="Times New Roman"/>
      <w:sz w:val="28"/>
      <w:szCs w:val="28"/>
    </w:rPr>
  </w:style>
  <w:style w:type="character" w:styleId="884">
    <w:name w:val="标题 2 Char"/>
    <w:next w:val="884"/>
    <w:link w:val="871"/>
    <w:rPr>
      <w:rFonts w:ascii="Arial" w:hAnsi="Arial" w:eastAsia="幼圆" w:cs="Arial"/>
      <w:b/>
      <w:bCs/>
      <w:sz w:val="44"/>
      <w:szCs w:val="44"/>
    </w:rPr>
  </w:style>
  <w:style w:type="paragraph" w:styleId="885">
    <w:name w:val="正文缩进"/>
    <w:basedOn w:val="869"/>
    <w:next w:val="885"/>
    <w:link w:val="886"/>
    <w:pPr>
      <w:ind w:firstLine="420"/>
    </w:pPr>
    <w:rPr>
      <w:szCs w:val="21"/>
    </w:rPr>
  </w:style>
  <w:style w:type="character" w:styleId="886">
    <w:name w:val="正文缩进 Char"/>
    <w:next w:val="886"/>
    <w:link w:val="885"/>
    <w:rPr>
      <w:szCs w:val="21"/>
    </w:rPr>
  </w:style>
  <w:style w:type="character" w:styleId="887">
    <w:name w:val="标题 3 Char"/>
    <w:next w:val="887"/>
    <w:link w:val="872"/>
    <w:rPr>
      <w:rFonts w:ascii="Times New Roman" w:hAnsi="Times New Roman" w:eastAsia="宋体" w:cs="Times New Roman"/>
      <w:b/>
      <w:bCs/>
      <w:sz w:val="32"/>
      <w:szCs w:val="32"/>
    </w:rPr>
  </w:style>
  <w:style w:type="character" w:styleId="888">
    <w:name w:val="标题 4 Char"/>
    <w:next w:val="888"/>
    <w:link w:val="873"/>
    <w:rPr>
      <w:rFonts w:ascii="Arial" w:hAnsi="Arial" w:eastAsia="黑体" w:cs="Arial"/>
      <w:b/>
      <w:bCs/>
      <w:sz w:val="28"/>
      <w:szCs w:val="28"/>
    </w:rPr>
  </w:style>
  <w:style w:type="character" w:styleId="889">
    <w:name w:val="标题 5 Char"/>
    <w:next w:val="889"/>
    <w:link w:val="874"/>
    <w:rPr>
      <w:rFonts w:ascii="宋体" w:hAnsi="Times New Roman" w:eastAsia="宋体" w:cs="Times New Roman"/>
      <w:color w:val="000000"/>
      <w:sz w:val="28"/>
      <w:szCs w:val="28"/>
    </w:rPr>
  </w:style>
  <w:style w:type="character" w:styleId="890">
    <w:name w:val="标题 6 Char"/>
    <w:next w:val="890"/>
    <w:link w:val="875"/>
    <w:rPr>
      <w:rFonts w:ascii="Arial" w:hAnsi="Arial" w:eastAsia="黑体" w:cs="Times New Roman"/>
      <w:b/>
      <w:bCs/>
      <w:sz w:val="24"/>
      <w:szCs w:val="24"/>
    </w:rPr>
  </w:style>
  <w:style w:type="character" w:styleId="891">
    <w:name w:val="标题 7 Char"/>
    <w:next w:val="891"/>
    <w:link w:val="876"/>
    <w:rPr>
      <w:rFonts w:ascii="Times New Roman" w:hAnsi="Times New Roman" w:eastAsia="宋体" w:cs="Times New Roman"/>
      <w:b/>
      <w:bCs/>
      <w:sz w:val="24"/>
      <w:szCs w:val="24"/>
    </w:rPr>
  </w:style>
  <w:style w:type="character" w:styleId="892">
    <w:name w:val="标题 8 Char"/>
    <w:next w:val="892"/>
    <w:link w:val="877"/>
    <w:rPr>
      <w:rFonts w:ascii="Arial" w:hAnsi="Arial" w:eastAsia="黑体" w:cs="Times New Roman"/>
      <w:sz w:val="24"/>
      <w:szCs w:val="24"/>
    </w:rPr>
  </w:style>
  <w:style w:type="character" w:styleId="893">
    <w:name w:val="标题 9 Char"/>
    <w:next w:val="893"/>
    <w:link w:val="878"/>
    <w:rPr>
      <w:rFonts w:ascii="Arial" w:hAnsi="Arial" w:eastAsia="黑体" w:cs="Times New Roman"/>
      <w:szCs w:val="21"/>
    </w:rPr>
  </w:style>
  <w:style w:type="paragraph" w:styleId="894">
    <w:name w:val="列表 3"/>
    <w:basedOn w:val="869"/>
    <w:next w:val="894"/>
    <w:link w:val="869"/>
    <w:pPr>
      <w:ind w:left="100" w:hanging="200"/>
    </w:pPr>
    <w:rPr>
      <w:rFonts w:ascii="Times New Roman" w:hAnsi="Times New Roman" w:eastAsia="宋体" w:cs="Times New Roman"/>
      <w:szCs w:val="21"/>
    </w:rPr>
  </w:style>
  <w:style w:type="paragraph" w:styleId="895">
    <w:name w:val="目录 7"/>
    <w:basedOn w:val="869"/>
    <w:next w:val="869"/>
    <w:link w:val="869"/>
    <w:semiHidden/>
    <w:pPr>
      <w:ind w:left="1260"/>
      <w:jc w:val="left"/>
    </w:pPr>
    <w:rPr>
      <w:rFonts w:ascii="Times New Roman" w:hAnsi="Times New Roman" w:eastAsia="宋体" w:cs="Times New Roman"/>
      <w:szCs w:val="21"/>
    </w:rPr>
  </w:style>
  <w:style w:type="paragraph" w:styleId="896">
    <w:name w:val="文档结构图"/>
    <w:basedOn w:val="869"/>
    <w:next w:val="896"/>
    <w:link w:val="897"/>
    <w:semiHidden/>
    <w:pPr>
      <w:shd w:val="clear" w:color="auto" w:fill="000080"/>
    </w:pPr>
    <w:rPr>
      <w:rFonts w:ascii="Times New Roman" w:hAnsi="Times New Roman" w:eastAsia="宋体" w:cs="Times New Roman"/>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69"/>
    <w:next w:val="898"/>
    <w:link w:val="899"/>
    <w:unhideWhenUsed/>
    <w:pPr>
      <w:jc w:val="left"/>
    </w:pPr>
  </w:style>
  <w:style w:type="character" w:styleId="899">
    <w:name w:val="批注文字 Char"/>
    <w:basedOn w:val="879"/>
    <w:next w:val="899"/>
    <w:link w:val="898"/>
    <w:uiPriority w:val="99"/>
    <w:semiHidden/>
  </w:style>
  <w:style w:type="paragraph" w:styleId="900">
    <w:name w:val="正文文本 3"/>
    <w:basedOn w:val="869"/>
    <w:next w:val="900"/>
    <w:link w:val="901"/>
    <w:rPr>
      <w:rFonts w:ascii="仿宋_GB2312" w:hAnsi="Arial" w:eastAsia="仿宋_GB2312" w:cs="Times New Roman"/>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69"/>
    <w:next w:val="902"/>
    <w:link w:val="903"/>
    <w:rPr>
      <w:rFonts w:ascii="楷体_GB2312" w:hAnsi="Arial" w:eastAsia="楷体_GB2312" w:cs="Times New Roman"/>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69"/>
    <w:next w:val="906"/>
    <w:link w:val="905"/>
    <w:unhideWhenUsed/>
    <w:pPr>
      <w:ind w:left="420"/>
      <w:spacing w:after="120"/>
    </w:pPr>
  </w:style>
  <w:style w:type="character" w:styleId="905">
    <w:name w:val="正文文本缩进 Char"/>
    <w:basedOn w:val="879"/>
    <w:next w:val="905"/>
    <w:link w:val="904"/>
    <w:uiPriority w:val="99"/>
    <w:semiHidden/>
  </w:style>
  <w:style w:type="paragraph" w:styleId="906">
    <w:name w:val="寄信人地址"/>
    <w:basedOn w:val="869"/>
    <w:next w:val="906"/>
    <w:link w:val="869"/>
    <w:qFormat/>
    <w:rPr>
      <w:rFonts w:ascii="Arial" w:hAnsi="Arial" w:eastAsia="宋体" w:cs="宋体"/>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2"/>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6"/>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6"/>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6"/>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character" w:styleId="992">
    <w:name w:val="font01"/>
    <w:basedOn w:val="879"/>
    <w:next w:val="992"/>
    <w:link w:val="869"/>
    <w:qFormat/>
    <w:rPr>
      <w:rFonts w:hint="eastAsia" w:ascii="宋体" w:hAnsi="宋体" w:eastAsia="宋体" w:cs="宋体"/>
      <w:color w:val="000000"/>
      <w:sz w:val="22"/>
      <w:szCs w:val="22"/>
      <w:u w:val="none"/>
    </w:rPr>
  </w:style>
  <w:style w:type="paragraph" w:styleId="993">
    <w:name w:val="标题 51"/>
    <w:basedOn w:val="869"/>
    <w:next w:val="994"/>
    <w:link w:val="869"/>
    <w:qFormat/>
    <w:pPr>
      <w:jc w:val="left"/>
      <w:keepNext/>
      <w:spacing w:line="460" w:lineRule="exact"/>
      <w:outlineLvl w:val="4"/>
    </w:pPr>
    <w:rPr>
      <w:rFonts w:ascii="Times New Roman" w:hAnsi="Times New Roman" w:eastAsia="宋体" w:cs="Times New Roman"/>
      <w:color w:val="000000"/>
      <w:sz w:val="24"/>
      <w:szCs w:val="28"/>
    </w:rPr>
  </w:style>
  <w:style w:type="paragraph" w:styleId="994">
    <w:name w:val="正文缩进11"/>
    <w:basedOn w:val="869"/>
    <w:next w:val="994"/>
    <w:link w:val="869"/>
    <w:qFormat/>
    <w:pPr>
      <w:ind w:firstLine="420"/>
    </w:pPr>
    <w:rPr>
      <w:szCs w:val="21"/>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2023-03-16T02:13:00Z</dcterms:created>
  <dcterms:modified xsi:type="dcterms:W3CDTF">2024-07-18T07:30:45Z</dcterms:modified>
</cp:coreProperties>
</file>