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 </w:t>
      </w:r>
      <w:r/>
    </w:p>
    <w:p>
      <w:pPr>
        <w:ind w:left="660"/>
        <w:spacing w:line="360" w:lineRule="auto"/>
        <w:rPr>
          <w:rFonts w:hAnsi="宋体" w:cs="宋体"/>
          <w:bCs/>
          <w:color w:val="auto"/>
          <w:sz w:val="28"/>
          <w:szCs w:val="28"/>
          <w:highlight w:val="none"/>
        </w:rPr>
      </w:pPr>
      <w:r>
        <w:rPr>
          <w:rFonts w:hAnsi="宋体" w:cs="宋体"/>
          <w:bCs/>
          <w:color w:val="auto"/>
          <w:sz w:val="28"/>
          <w:szCs w:val="28"/>
          <w:highlight w:val="none"/>
        </w:rPr>
      </w:r>
      <w:r/>
    </w:p>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无锡市政府采购项目</w:t>
      </w:r>
      <w:r/>
    </w:p>
    <w:p>
      <w:pPr>
        <w:jc w:val="center"/>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（全流程电子化）</w:t>
      </w:r>
      <w:r/>
    </w:p>
    <w:p>
      <w:pPr>
        <w:jc w:val="center"/>
        <w:spacing w:line="360" w:lineRule="auto"/>
        <w:rPr>
          <w:rFonts w:hAnsi="宋体" w:cs="宋体"/>
          <w:b/>
          <w:bCs/>
          <w:color w:val="auto"/>
          <w:sz w:val="28"/>
          <w:szCs w:val="28"/>
          <w:highlight w:val="none"/>
        </w:rPr>
      </w:pPr>
      <w:r>
        <w:rPr>
          <w:rFonts w:hAnsi="宋体" w:cs="宋体"/>
          <w:b/>
          <w:bCs/>
          <w:color w:val="auto"/>
          <w:sz w:val="28"/>
          <w:szCs w:val="28"/>
          <w:highlight w:val="none"/>
        </w:rPr>
      </w:r>
      <w:r/>
    </w:p>
    <w:p>
      <w:pPr>
        <w:jc w:val="center"/>
        <w:spacing w:line="360" w:lineRule="auto"/>
        <w:rPr>
          <w:rFonts w:hAnsi="宋体" w:cs="宋体"/>
          <w:b/>
          <w:bCs/>
          <w:color w:val="auto"/>
          <w:spacing w:val="20"/>
          <w:sz w:val="28"/>
          <w:szCs w:val="28"/>
          <w:highlight w:val="none"/>
        </w:rPr>
      </w:pPr>
      <w:r>
        <w:rPr>
          <w:rFonts w:hint="eastAsia" w:hAnsi="宋体" w:cs="宋体"/>
          <w:b/>
          <w:bCs/>
          <w:color w:val="auto"/>
          <w:spacing w:val="20"/>
          <w:sz w:val="28"/>
          <w:szCs w:val="28"/>
          <w:highlight w:val="none"/>
        </w:rPr>
        <w:t xml:space="preserve">公开</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hAnsi="宋体" w:cs="宋体"/>
          <w:b/>
          <w:bCs/>
          <w:color w:val="auto"/>
          <w:spacing w:val="20"/>
          <w:sz w:val="28"/>
          <w:szCs w:val="28"/>
          <w:highlight w:val="none"/>
        </w:rPr>
        <w:t xml:space="preserve">采购文件</w:t>
      </w:r>
      <w:r/>
    </w:p>
    <w:p>
      <w:pPr>
        <w:pStyle w:val="984"/>
        <w:jc w:val="center"/>
        <w:spacing w:line="360" w:lineRule="auto"/>
        <w:rPr>
          <w:rFonts w:ascii="宋体" w:hAnsi="宋体" w:eastAsia="宋体" w:cs="宋体"/>
          <w:b/>
          <w:bCs/>
          <w:color w:val="auto"/>
          <w:szCs w:val="28"/>
          <w:highlight w:val="none"/>
        </w:rPr>
      </w:pPr>
      <w:r>
        <w:rPr>
          <w:rFonts w:hint="eastAsia" w:ascii="宋体" w:hAnsi="宋体" w:eastAsia="宋体" w:cs="宋体"/>
          <w:b/>
          <w:bCs/>
          <w:color w:val="auto"/>
          <w:spacing w:val="20"/>
          <w:szCs w:val="28"/>
          <w:highlight w:val="none"/>
        </w:rPr>
        <w:t xml:space="preserve">（暗标）</w:t>
      </w:r>
      <w:r/>
    </w:p>
    <w:p>
      <w:pPr>
        <w:pStyle w:val="948"/>
        <w:numPr>
          <w:ilvl w:val="0"/>
          <w:numId w:val="0"/>
        </w:numPr>
        <w:spacing w:line="360" w:lineRule="auto"/>
        <w:rPr>
          <w:rFonts w:ascii="宋体" w:hAnsi="宋体" w:eastAsia="宋体" w:cs="宋体"/>
          <w:color w:val="auto"/>
          <w:highlight w:val="none"/>
        </w:rPr>
        <w:outlineLvl w:val="9"/>
      </w:pPr>
      <w:r>
        <w:rPr>
          <w:rFonts w:ascii="宋体" w:hAnsi="宋体" w:eastAsia="宋体" w:cs="宋体"/>
          <w:color w:val="auto"/>
          <w:highlight w:val="none"/>
        </w:rPr>
      </w:r>
      <w:r/>
    </w:p>
    <w:p>
      <w:pPr>
        <w:spacing w:line="360" w:lineRule="auto"/>
        <w:rPr>
          <w:rFonts w:hAnsi="宋体" w:cs="宋体"/>
          <w:color w:val="auto"/>
          <w:sz w:val="28"/>
          <w:szCs w:val="28"/>
          <w:highlight w:val="none"/>
        </w:rPr>
      </w:pPr>
      <w:r>
        <w:rPr>
          <w:rFonts w:hAnsi="宋体" w:cs="宋体"/>
          <w:color w:val="auto"/>
          <w:sz w:val="28"/>
          <w:szCs w:val="28"/>
          <w:highlight w:val="none"/>
        </w:rPr>
      </w:r>
      <w:r/>
    </w:p>
    <w:p>
      <w:pPr>
        <w:pStyle w:val="948"/>
        <w:numPr>
          <w:ilvl w:val="0"/>
          <w:numId w:val="0"/>
        </w:numPr>
        <w:spacing w:line="360" w:lineRule="auto"/>
        <w:rPr>
          <w:rFonts w:ascii="宋体" w:hAnsi="宋体" w:eastAsia="宋体" w:cs="宋体"/>
          <w:color w:val="auto"/>
          <w:highlight w:val="none"/>
        </w:rPr>
        <w:outlineLvl w:val="9"/>
      </w:pPr>
      <w:r>
        <w:rPr>
          <w:rFonts w:ascii="宋体" w:hAnsi="宋体" w:eastAsia="宋体" w:cs="宋体"/>
          <w:color w:val="auto"/>
          <w:highlight w:val="none"/>
        </w:rPr>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政府采购编号：</w:t>
      </w:r>
      <w:r>
        <w:rPr>
          <w:rFonts w:hint="eastAsia" w:hAnsi="宋体" w:cs="宋体"/>
          <w:bCs/>
          <w:color w:val="auto"/>
          <w:sz w:val="28"/>
          <w:szCs w:val="28"/>
          <w:highlight w:val="none"/>
          <w:lang w:eastAsia="zh-CN"/>
        </w:rPr>
        <w:t xml:space="preserve">JSZC-320214-HLXM-G2025-0009</w:t>
      </w:r>
      <w:r>
        <w:rPr>
          <w:rFonts w:hint="eastAsia" w:hAnsi="宋体" w:cs="宋体"/>
          <w:bCs/>
          <w:color w:val="auto"/>
          <w:sz w:val="28"/>
          <w:szCs w:val="28"/>
          <w:highlight w:val="none"/>
        </w:rPr>
        <w:t xml:space="preserve"> </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采购项目名称：新吴区机场单元，硕放单元详细规划编制项目</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   购   人：无锡市自然资源和规划局新吴分局</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采购代理机构：江苏恒立工程项目管理有限公司</w:t>
      </w:r>
      <w:r/>
    </w:p>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pStyle w:val="1044"/>
        <w:ind w:firstLine="388"/>
        <w:spacing w:line="360" w:lineRule="auto"/>
        <w:rPr>
          <w:rFonts w:ascii="宋体" w:cs="宋体"/>
          <w:color w:val="auto"/>
          <w:sz w:val="28"/>
          <w:szCs w:val="28"/>
          <w:highlight w:val="none"/>
        </w:rPr>
      </w:pPr>
      <w:r>
        <w:rPr>
          <w:rFonts w:ascii="宋体" w:cs="宋体"/>
          <w:color w:val="auto"/>
          <w:sz w:val="28"/>
          <w:szCs w:val="28"/>
          <w:highlight w:val="none"/>
        </w:rPr>
      </w:r>
      <w:r/>
    </w:p>
    <w:p>
      <w:pPr>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2025年</w:t>
      </w:r>
      <w:r>
        <w:rPr>
          <w:rFonts w:hint="eastAsia" w:hAnsi="宋体" w:cs="宋体"/>
          <w:bCs/>
          <w:color w:val="auto"/>
          <w:sz w:val="28"/>
          <w:szCs w:val="28"/>
          <w:highlight w:val="none"/>
          <w:lang w:val="en-US" w:eastAsia="zh-CN"/>
        </w:rPr>
        <w:t xml:space="preserve">9</w:t>
      </w:r>
      <w:r>
        <w:rPr>
          <w:rFonts w:hint="eastAsia" w:hAnsi="宋体" w:cs="宋体"/>
          <w:bCs/>
          <w:color w:val="auto"/>
          <w:sz w:val="28"/>
          <w:szCs w:val="28"/>
          <w:highlight w:val="none"/>
        </w:rPr>
        <w:t xml:space="preserve">月</w:t>
      </w:r>
      <w:r/>
    </w:p>
    <w:p>
      <w:pPr>
        <w:jc w:val="center"/>
        <w:spacing w:line="360" w:lineRule="auto"/>
        <w:rPr>
          <w:rStyle w:val="1049"/>
          <w:rFonts w:ascii="宋体" w:hAnsi="宋体" w:cs="宋体"/>
          <w:bCs/>
          <w:color w:val="auto"/>
          <w:sz w:val="28"/>
          <w:szCs w:val="2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Fonts w:ascii="宋体" w:hAnsi="宋体" w:cs="宋体"/>
          <w:bCs/>
          <w:color w:val="auto"/>
          <w:sz w:val="28"/>
          <w:szCs w:val="28"/>
          <w:highlight w:val="none"/>
        </w:rPr>
      </w:r>
      <w:r/>
    </w:p>
    <w:p>
      <w:pPr>
        <w:jc w:val="center"/>
        <w:rPr>
          <w:b/>
          <w:bCs/>
          <w:color w:val="auto"/>
          <w:sz w:val="56"/>
          <w:szCs w:val="36"/>
          <w:highlight w:val="none"/>
        </w:rPr>
      </w:pPr>
      <w:r>
        <w:rPr>
          <w:rFonts w:hAnsi="宋体"/>
          <w:b/>
          <w:bCs/>
          <w:color w:val="auto"/>
          <w:sz w:val="40"/>
          <w:szCs w:val="36"/>
          <w:highlight w:val="none"/>
        </w:rPr>
        <w:t xml:space="preserve">目</w:t>
      </w:r>
      <w:r>
        <w:rPr>
          <w:rFonts w:hint="eastAsia" w:hAnsi="宋体"/>
          <w:b/>
          <w:bCs/>
          <w:color w:val="auto"/>
          <w:sz w:val="40"/>
          <w:szCs w:val="36"/>
          <w:highlight w:val="none"/>
        </w:rPr>
        <w:t xml:space="preserve">   </w:t>
      </w:r>
      <w:r>
        <w:rPr>
          <w:rFonts w:hAnsi="宋体"/>
          <w:b/>
          <w:bCs/>
          <w:color w:val="auto"/>
          <w:sz w:val="40"/>
          <w:szCs w:val="36"/>
          <w:highlight w:val="none"/>
        </w:rPr>
        <w:t xml:space="preserve">录</w:t>
      </w:r>
      <w:r/>
    </w:p>
    <w:p>
      <w:pPr>
        <w:pStyle w:val="780"/>
        <w:spacing w:line="360" w:lineRule="auto"/>
        <w:tabs>
          <w:tab w:val="right" w:pos="9593" w:leader="dot"/>
        </w:tabs>
        <w:rPr>
          <w:color w:val="auto"/>
          <w:sz w:val="28"/>
          <w:szCs w:val="16"/>
          <w:highlight w:val="none"/>
        </w:rPr>
      </w:pPr>
      <w:r>
        <w:rPr>
          <w:rFonts w:hint="eastAsia" w:hAnsi="宋体" w:cs="宋体"/>
          <w:bCs/>
          <w:color w:val="auto"/>
          <w:sz w:val="22"/>
          <w:szCs w:val="22"/>
          <w:highlight w:val="none"/>
        </w:rPr>
        <w:fldChar w:fldCharType="begin"/>
      </w:r>
      <w:r>
        <w:rPr>
          <w:rFonts w:hint="eastAsia" w:hAnsi="宋体" w:cs="宋体"/>
          <w:bCs/>
          <w:color w:val="auto"/>
          <w:sz w:val="22"/>
          <w:szCs w:val="22"/>
          <w:highlight w:val="none"/>
        </w:rPr>
        <w:instrText xml:space="preserve">TOC \o "1-2" \h \u </w:instrText>
      </w:r>
      <w:r>
        <w:rPr>
          <w:rFonts w:hint="eastAsia" w:hAnsi="宋体" w:cs="宋体"/>
          <w:bCs/>
          <w:color w:val="auto"/>
          <w:sz w:val="22"/>
          <w:szCs w:val="22"/>
          <w:highlight w:val="none"/>
        </w:rPr>
        <w:fldChar w:fldCharType="separate"/>
      </w:r>
      <w:r>
        <w:rPr>
          <w:color w:val="auto"/>
          <w:highlight w:val="none"/>
        </w:rPr>
        <w:fldChar w:fldCharType="begin"/>
      </w:r>
      <w:r>
        <w:rPr>
          <w:color w:val="auto"/>
          <w:highlight w:val="none"/>
        </w:rPr>
        <w:instrText xml:space="preserve"> HYPERLINK \l "_Toc31516" </w:instrText>
      </w:r>
      <w:r>
        <w:rPr>
          <w:color w:val="auto"/>
          <w:highlight w:val="none"/>
        </w:rPr>
        <w:fldChar w:fldCharType="separate"/>
      </w:r>
      <w:r>
        <w:rPr>
          <w:rFonts w:hint="eastAsia" w:hAnsi="宋体" w:cs="宋体"/>
          <w:bCs/>
          <w:color w:val="auto"/>
          <w:sz w:val="28"/>
          <w:szCs w:val="22"/>
          <w:highlight w:val="none"/>
        </w:rPr>
        <w:t xml:space="preserve">第一章  投标邀请函</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_Toc31516 \h </w:instrText>
      </w:r>
      <w:r>
        <w:rPr>
          <w:color w:val="auto"/>
          <w:sz w:val="28"/>
          <w:szCs w:val="16"/>
          <w:highlight w:val="none"/>
        </w:rPr>
        <w:fldChar w:fldCharType="separate"/>
      </w:r>
      <w:r>
        <w:rPr>
          <w:color w:val="auto"/>
          <w:sz w:val="28"/>
          <w:szCs w:val="16"/>
          <w:highlight w:val="none"/>
        </w:rPr>
        <w:t xml:space="preserve">1</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"_Toc1751" </w:instrText>
      </w:r>
      <w:r>
        <w:rPr>
          <w:color w:val="auto"/>
          <w:highlight w:val="none"/>
        </w:rPr>
        <w:fldChar w:fldCharType="separate"/>
      </w:r>
      <w:r>
        <w:rPr>
          <w:rFonts w:hint="eastAsia" w:hAnsi="宋体" w:cs="宋体"/>
          <w:color w:val="auto"/>
          <w:sz w:val="28"/>
          <w:szCs w:val="22"/>
          <w:highlight w:val="none"/>
        </w:rPr>
        <w:t xml:space="preserve">一、项目基本情况</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_Toc1751 \h </w:instrText>
      </w:r>
      <w:r>
        <w:rPr>
          <w:color w:val="auto"/>
          <w:sz w:val="28"/>
          <w:szCs w:val="16"/>
          <w:highlight w:val="none"/>
        </w:rPr>
        <w:fldChar w:fldCharType="separate"/>
      </w:r>
      <w:r>
        <w:rPr>
          <w:color w:val="auto"/>
          <w:sz w:val="28"/>
          <w:szCs w:val="16"/>
          <w:highlight w:val="none"/>
        </w:rPr>
        <w:t xml:space="preserve">1</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"_Toc16866" </w:instrText>
      </w:r>
      <w:r>
        <w:rPr>
          <w:color w:val="auto"/>
          <w:highlight w:val="none"/>
        </w:rPr>
        <w:fldChar w:fldCharType="separate"/>
      </w:r>
      <w:r>
        <w:rPr>
          <w:rFonts w:hint="eastAsia" w:hAnsi="宋体" w:cs="宋体"/>
          <w:color w:val="auto"/>
          <w:sz w:val="28"/>
          <w:szCs w:val="22"/>
          <w:highlight w:val="none"/>
        </w:rPr>
        <w:t xml:space="preserve">二、申请人的资格要求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_Toc16866 \h </w:instrText>
      </w:r>
      <w:r>
        <w:rPr>
          <w:color w:val="auto"/>
          <w:sz w:val="28"/>
          <w:szCs w:val="16"/>
          <w:highlight w:val="none"/>
        </w:rPr>
        <w:fldChar w:fldCharType="separate"/>
      </w:r>
      <w:r>
        <w:rPr>
          <w:color w:val="auto"/>
          <w:sz w:val="28"/>
          <w:szCs w:val="16"/>
          <w:highlight w:val="none"/>
        </w:rPr>
        <w:t xml:space="preserve">2</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"_Toc24768" </w:instrText>
      </w:r>
      <w:r>
        <w:rPr>
          <w:color w:val="auto"/>
          <w:highlight w:val="none"/>
        </w:rPr>
        <w:fldChar w:fldCharType="separate"/>
      </w:r>
      <w:r>
        <w:rPr>
          <w:rFonts w:hint="eastAsia" w:hAnsi="宋体" w:cs="宋体"/>
          <w:color w:val="auto"/>
          <w:sz w:val="28"/>
          <w:szCs w:val="22"/>
          <w:highlight w:val="none"/>
        </w:rPr>
        <w:t xml:space="preserve">三、获取采购文件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_Toc24768 \h </w:instrText>
      </w:r>
      <w:r>
        <w:rPr>
          <w:color w:val="auto"/>
          <w:sz w:val="28"/>
          <w:szCs w:val="16"/>
          <w:highlight w:val="none"/>
        </w:rPr>
        <w:fldChar w:fldCharType="separate"/>
      </w:r>
      <w:r>
        <w:rPr>
          <w:color w:val="auto"/>
          <w:sz w:val="28"/>
          <w:szCs w:val="16"/>
          <w:highlight w:val="none"/>
        </w:rPr>
        <w:t xml:space="preserve">2</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"_Toc5144" </w:instrText>
      </w:r>
      <w:r>
        <w:rPr>
          <w:color w:val="auto"/>
          <w:highlight w:val="none"/>
        </w:rPr>
        <w:fldChar w:fldCharType="separate"/>
      </w:r>
      <w:r>
        <w:rPr>
          <w:rFonts w:hint="eastAsia" w:hAnsi="宋体" w:cs="宋体"/>
          <w:color w:val="auto"/>
          <w:sz w:val="28"/>
          <w:szCs w:val="22"/>
          <w:highlight w:val="none"/>
        </w:rPr>
        <w:t xml:space="preserve">四、提交投标文件截止时间、开标时间和地点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_Toc5144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"_Toc2663" </w:instrText>
      </w:r>
      <w:r>
        <w:rPr>
          <w:color w:val="auto"/>
          <w:highlight w:val="none"/>
        </w:rPr>
        <w:fldChar w:fldCharType="separate"/>
      </w:r>
      <w:r>
        <w:rPr>
          <w:rFonts w:hint="eastAsia" w:hAnsi="宋体" w:cs="宋体"/>
          <w:color w:val="auto"/>
          <w:sz w:val="28"/>
          <w:szCs w:val="22"/>
          <w:highlight w:val="none"/>
        </w:rPr>
        <w:t xml:space="preserve">五、公告期限</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_Toc2663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"_Toc30175" </w:instrText>
      </w:r>
      <w:r>
        <w:rPr>
          <w:color w:val="auto"/>
          <w:highlight w:val="none"/>
        </w:rPr>
        <w:fldChar w:fldCharType="separate"/>
      </w:r>
      <w:r>
        <w:rPr>
          <w:rFonts w:hint="eastAsia" w:hAnsi="宋体" w:cs="宋体"/>
          <w:color w:val="auto"/>
          <w:sz w:val="28"/>
          <w:szCs w:val="22"/>
          <w:highlight w:val="none"/>
        </w:rPr>
        <w:t xml:space="preserve">六、其他补充事宜</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_Toc30175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"_Toc2555" </w:instrText>
      </w:r>
      <w:r>
        <w:rPr>
          <w:color w:val="auto"/>
          <w:highlight w:val="none"/>
        </w:rPr>
        <w:fldChar w:fldCharType="separate"/>
      </w:r>
      <w:r>
        <w:rPr>
          <w:rFonts w:hint="eastAsia" w:hAnsi="宋体" w:cs="宋体"/>
          <w:color w:val="auto"/>
          <w:sz w:val="28"/>
          <w:szCs w:val="22"/>
          <w:highlight w:val="none"/>
        </w:rPr>
        <w:t xml:space="preserve">七、本项目联系方式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_Toc2555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"_Toc17681" </w:instrText>
      </w:r>
      <w:r>
        <w:rPr>
          <w:color w:val="auto"/>
          <w:highlight w:val="none"/>
        </w:rPr>
        <w:fldChar w:fldCharType="separate"/>
      </w:r>
      <w:r>
        <w:rPr>
          <w:rFonts w:hint="eastAsia" w:hAnsi="宋体" w:cs="宋体"/>
          <w:color w:val="auto"/>
          <w:sz w:val="28"/>
          <w:szCs w:val="22"/>
          <w:highlight w:val="none"/>
        </w:rPr>
        <w:t xml:space="preserve">八、其他</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_Toc17681 \h </w:instrText>
      </w:r>
      <w:r>
        <w:rPr>
          <w:color w:val="auto"/>
          <w:sz w:val="28"/>
          <w:szCs w:val="16"/>
          <w:highlight w:val="none"/>
        </w:rPr>
        <w:fldChar w:fldCharType="separate"/>
      </w:r>
      <w:r>
        <w:rPr>
          <w:color w:val="auto"/>
          <w:sz w:val="28"/>
          <w:szCs w:val="16"/>
          <w:highlight w:val="none"/>
        </w:rPr>
        <w:t xml:space="preserve">3</w:t>
      </w:r>
      <w:r>
        <w:rPr>
          <w:color w:val="auto"/>
          <w:sz w:val="28"/>
          <w:szCs w:val="16"/>
          <w:highlight w:val="none"/>
        </w:rPr>
        <w:fldChar w:fldCharType="end"/>
      </w:r>
      <w:r>
        <w:rPr>
          <w:color w:val="auto"/>
          <w:sz w:val="28"/>
          <w:szCs w:val="16"/>
          <w:highlight w:val="none"/>
        </w:rPr>
        <w:fldChar w:fldCharType="end"/>
      </w:r>
      <w:r/>
    </w:p>
    <w:p>
      <w:pPr>
        <w:pStyle w:val="780"/>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"_Toc31936" </w:instrText>
      </w:r>
      <w:r>
        <w:rPr>
          <w:color w:val="auto"/>
          <w:highlight w:val="none"/>
        </w:rPr>
        <w:fldChar w:fldCharType="separate"/>
      </w:r>
      <w:r>
        <w:rPr>
          <w:rFonts w:hint="eastAsia" w:hAnsi="宋体" w:cs="宋体"/>
          <w:bCs/>
          <w:color w:val="auto"/>
          <w:sz w:val="28"/>
          <w:szCs w:val="22"/>
          <w:highlight w:val="none"/>
        </w:rPr>
        <w:t xml:space="preserve">第二章  投标人须知</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_Toc31936 \h </w:instrText>
      </w:r>
      <w:r>
        <w:rPr>
          <w:color w:val="auto"/>
          <w:sz w:val="28"/>
          <w:szCs w:val="16"/>
          <w:highlight w:val="none"/>
        </w:rPr>
        <w:fldChar w:fldCharType="separate"/>
      </w:r>
      <w:r>
        <w:rPr>
          <w:color w:val="auto"/>
          <w:sz w:val="28"/>
          <w:szCs w:val="16"/>
          <w:highlight w:val="none"/>
        </w:rPr>
        <w:t xml:space="preserve">6</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 xml:space="preserve">一、总则</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_Toc27983 \h </w:instrText>
      </w:r>
      <w:r>
        <w:rPr>
          <w:color w:val="auto"/>
          <w:sz w:val="28"/>
          <w:szCs w:val="16"/>
          <w:highlight w:val="none"/>
        </w:rPr>
        <w:fldChar w:fldCharType="separate"/>
      </w:r>
      <w:r>
        <w:rPr>
          <w:color w:val="auto"/>
          <w:sz w:val="28"/>
          <w:szCs w:val="16"/>
          <w:highlight w:val="none"/>
        </w:rPr>
        <w:t xml:space="preserve">6</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 xml:space="preserve">二、采购文件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_Toc7554 \h </w:instrText>
      </w:r>
      <w:r>
        <w:rPr>
          <w:color w:val="auto"/>
          <w:sz w:val="28"/>
          <w:szCs w:val="16"/>
          <w:highlight w:val="none"/>
        </w:rPr>
        <w:fldChar w:fldCharType="separate"/>
      </w:r>
      <w:r>
        <w:rPr>
          <w:color w:val="auto"/>
          <w:sz w:val="28"/>
          <w:szCs w:val="16"/>
          <w:highlight w:val="none"/>
        </w:rPr>
        <w:t xml:space="preserve">7</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 xml:space="preserve">三、投标文件的编制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_Toc27958 \h </w:instrText>
      </w:r>
      <w:r>
        <w:rPr>
          <w:color w:val="auto"/>
          <w:sz w:val="28"/>
          <w:szCs w:val="16"/>
          <w:highlight w:val="none"/>
        </w:rPr>
        <w:fldChar w:fldCharType="separate"/>
      </w:r>
      <w:r>
        <w:rPr>
          <w:color w:val="auto"/>
          <w:sz w:val="28"/>
          <w:szCs w:val="16"/>
          <w:highlight w:val="none"/>
        </w:rPr>
        <w:t xml:space="preserve">8</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 xml:space="preserve">四、投标文件的递交</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_Toc27489 \h </w:instrText>
      </w:r>
      <w:r>
        <w:rPr>
          <w:color w:val="auto"/>
          <w:sz w:val="28"/>
          <w:szCs w:val="16"/>
          <w:highlight w:val="none"/>
        </w:rPr>
        <w:fldChar w:fldCharType="separate"/>
      </w:r>
      <w:r>
        <w:rPr>
          <w:color w:val="auto"/>
          <w:sz w:val="28"/>
          <w:szCs w:val="16"/>
          <w:highlight w:val="none"/>
        </w:rPr>
        <w:t xml:space="preserve">11</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 xml:space="preserve">五、开标与评标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_Toc15997 \h </w:instrText>
      </w:r>
      <w:r>
        <w:rPr>
          <w:color w:val="auto"/>
          <w:sz w:val="28"/>
          <w:szCs w:val="16"/>
          <w:highlight w:val="none"/>
        </w:rPr>
        <w:fldChar w:fldCharType="separate"/>
      </w:r>
      <w:r>
        <w:rPr>
          <w:color w:val="auto"/>
          <w:sz w:val="28"/>
          <w:szCs w:val="16"/>
          <w:highlight w:val="none"/>
        </w:rPr>
        <w:t xml:space="preserve">12</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 xml:space="preserve">六、定标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_Toc23555 \h </w:instrText>
      </w:r>
      <w:r>
        <w:rPr>
          <w:color w:val="auto"/>
          <w:sz w:val="28"/>
          <w:szCs w:val="16"/>
          <w:highlight w:val="none"/>
        </w:rPr>
        <w:fldChar w:fldCharType="separate"/>
      </w:r>
      <w:r>
        <w:rPr>
          <w:color w:val="auto"/>
          <w:sz w:val="28"/>
          <w:szCs w:val="16"/>
          <w:highlight w:val="none"/>
        </w:rPr>
        <w:t xml:space="preserve">18</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 xml:space="preserve">七、授予合同</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_Toc32720 \h </w:instrText>
      </w:r>
      <w:r>
        <w:rPr>
          <w:color w:val="auto"/>
          <w:sz w:val="28"/>
          <w:szCs w:val="16"/>
          <w:highlight w:val="none"/>
        </w:rPr>
        <w:fldChar w:fldCharType="separate"/>
      </w:r>
      <w:r>
        <w:rPr>
          <w:color w:val="auto"/>
          <w:sz w:val="28"/>
          <w:szCs w:val="16"/>
          <w:highlight w:val="none"/>
        </w:rPr>
        <w:t xml:space="preserve">22</w:t>
      </w:r>
      <w:r>
        <w:rPr>
          <w:color w:val="auto"/>
          <w:sz w:val="28"/>
          <w:szCs w:val="16"/>
          <w:highlight w:val="none"/>
        </w:rPr>
        <w:fldChar w:fldCharType="end"/>
      </w:r>
      <w:r>
        <w:rPr>
          <w:color w:val="auto"/>
          <w:sz w:val="28"/>
          <w:szCs w:val="16"/>
          <w:highlight w:val="none"/>
        </w:rPr>
        <w:fldChar w:fldCharType="end"/>
      </w:r>
      <w:r/>
    </w:p>
    <w:p>
      <w:pPr>
        <w:pStyle w:val="780"/>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"_Toc7296" </w:instrText>
      </w:r>
      <w:r>
        <w:rPr>
          <w:color w:val="auto"/>
          <w:highlight w:val="none"/>
        </w:rPr>
        <w:fldChar w:fldCharType="separate"/>
      </w:r>
      <w:r>
        <w:rPr>
          <w:rFonts w:hint="eastAsia" w:hAnsi="宋体" w:cs="宋体"/>
          <w:color w:val="auto"/>
          <w:sz w:val="28"/>
          <w:szCs w:val="22"/>
          <w:highlight w:val="none"/>
        </w:rPr>
        <w:t xml:space="preserve">第三章  合同文本</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_Toc7296 \h </w:instrText>
      </w:r>
      <w:r>
        <w:rPr>
          <w:color w:val="auto"/>
          <w:sz w:val="28"/>
          <w:szCs w:val="16"/>
          <w:highlight w:val="none"/>
        </w:rPr>
        <w:fldChar w:fldCharType="separate"/>
      </w:r>
      <w:r>
        <w:rPr>
          <w:color w:val="auto"/>
          <w:sz w:val="28"/>
          <w:szCs w:val="16"/>
          <w:highlight w:val="none"/>
        </w:rPr>
        <w:t xml:space="preserve">24</w:t>
      </w:r>
      <w:r>
        <w:rPr>
          <w:color w:val="auto"/>
          <w:sz w:val="28"/>
          <w:szCs w:val="16"/>
          <w:highlight w:val="none"/>
        </w:rPr>
        <w:fldChar w:fldCharType="end"/>
      </w:r>
      <w:r>
        <w:rPr>
          <w:color w:val="auto"/>
          <w:sz w:val="28"/>
          <w:szCs w:val="16"/>
          <w:highlight w:val="none"/>
        </w:rPr>
        <w:fldChar w:fldCharType="end"/>
      </w:r>
      <w:r/>
    </w:p>
    <w:p>
      <w:pPr>
        <w:pStyle w:val="780"/>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"_Toc30361" </w:instrText>
      </w:r>
      <w:r>
        <w:rPr>
          <w:color w:val="auto"/>
          <w:highlight w:val="none"/>
        </w:rPr>
        <w:fldChar w:fldCharType="separate"/>
      </w:r>
      <w:r>
        <w:rPr>
          <w:rFonts w:hint="eastAsia" w:hAnsi="宋体" w:cs="宋体"/>
          <w:color w:val="auto"/>
          <w:sz w:val="28"/>
          <w:szCs w:val="22"/>
          <w:highlight w:val="none"/>
        </w:rPr>
        <w:t xml:space="preserve">第四章 采购需求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 xml:space="preserve">28</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"_Toc16000" </w:instrText>
      </w:r>
      <w:r>
        <w:rPr>
          <w:color w:val="auto"/>
          <w:highlight w:val="none"/>
        </w:rPr>
        <w:fldChar w:fldCharType="separate"/>
      </w:r>
      <w:r>
        <w:rPr>
          <w:rFonts w:hint="eastAsia" w:hAnsi="宋体" w:cs="宋体"/>
          <w:color w:val="auto"/>
          <w:sz w:val="28"/>
          <w:szCs w:val="22"/>
          <w:highlight w:val="none"/>
        </w:rPr>
        <w:t xml:space="preserve">（一）技术需求：项目配置、技术参数等</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_Toc16000 \h </w:instrText>
      </w:r>
      <w:r>
        <w:rPr>
          <w:color w:val="auto"/>
          <w:sz w:val="28"/>
          <w:szCs w:val="16"/>
          <w:highlight w:val="none"/>
        </w:rPr>
        <w:fldChar w:fldCharType="separate"/>
      </w:r>
      <w:r>
        <w:rPr>
          <w:color w:val="auto"/>
          <w:sz w:val="28"/>
          <w:szCs w:val="16"/>
          <w:highlight w:val="none"/>
        </w:rPr>
        <w:t xml:space="preserve">28</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"_Toc28708" </w:instrText>
      </w:r>
      <w:r>
        <w:rPr>
          <w:color w:val="auto"/>
          <w:highlight w:val="none"/>
        </w:rPr>
        <w:fldChar w:fldCharType="separate"/>
      </w:r>
      <w:r>
        <w:rPr>
          <w:rFonts w:hint="eastAsia" w:hAnsi="宋体" w:cs="宋体"/>
          <w:color w:val="auto"/>
          <w:sz w:val="28"/>
          <w:szCs w:val="22"/>
          <w:highlight w:val="none"/>
        </w:rPr>
        <w:t xml:space="preserve">（二）商务需求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_Toc28708 \h </w:instrText>
      </w:r>
      <w:r>
        <w:rPr>
          <w:color w:val="auto"/>
          <w:sz w:val="28"/>
          <w:szCs w:val="16"/>
          <w:highlight w:val="none"/>
        </w:rPr>
        <w:fldChar w:fldCharType="separate"/>
      </w:r>
      <w:r>
        <w:rPr>
          <w:color w:val="auto"/>
          <w:sz w:val="28"/>
          <w:szCs w:val="16"/>
          <w:highlight w:val="none"/>
        </w:rPr>
        <w:t xml:space="preserve">39</w:t>
      </w:r>
      <w:r>
        <w:rPr>
          <w:color w:val="auto"/>
          <w:sz w:val="28"/>
          <w:szCs w:val="16"/>
          <w:highlight w:val="none"/>
        </w:rPr>
        <w:fldChar w:fldCharType="end"/>
      </w:r>
      <w:r>
        <w:rPr>
          <w:color w:val="auto"/>
          <w:sz w:val="28"/>
          <w:szCs w:val="16"/>
          <w:highlight w:val="none"/>
        </w:rPr>
        <w:fldChar w:fldCharType="end"/>
      </w:r>
      <w:r/>
    </w:p>
    <w:p>
      <w:pPr>
        <w:pStyle w:val="780"/>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"_Toc23388" </w:instrText>
      </w:r>
      <w:r>
        <w:rPr>
          <w:color w:val="auto"/>
          <w:highlight w:val="none"/>
        </w:rPr>
        <w:fldChar w:fldCharType="separate"/>
      </w:r>
      <w:r>
        <w:rPr>
          <w:rFonts w:hint="eastAsia" w:hAnsi="宋体" w:cs="宋体"/>
          <w:color w:val="auto"/>
          <w:sz w:val="28"/>
          <w:szCs w:val="22"/>
          <w:highlight w:val="none"/>
        </w:rPr>
        <w:t xml:space="preserve">第五章  评标方法与评标标准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_Toc23388 \h </w:instrText>
      </w:r>
      <w:r>
        <w:rPr>
          <w:color w:val="auto"/>
          <w:sz w:val="28"/>
          <w:szCs w:val="16"/>
          <w:highlight w:val="none"/>
        </w:rPr>
        <w:fldChar w:fldCharType="separate"/>
      </w:r>
      <w:r>
        <w:rPr>
          <w:color w:val="auto"/>
          <w:sz w:val="28"/>
          <w:szCs w:val="16"/>
          <w:highlight w:val="none"/>
        </w:rPr>
        <w:t xml:space="preserve">41</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"_Toc1209" </w:instrText>
      </w:r>
      <w:r>
        <w:rPr>
          <w:color w:val="auto"/>
          <w:highlight w:val="none"/>
        </w:rPr>
        <w:fldChar w:fldCharType="separate"/>
      </w:r>
      <w:r>
        <w:rPr>
          <w:rFonts w:hint="eastAsia" w:hAnsi="宋体" w:cs="宋体"/>
          <w:color w:val="auto"/>
          <w:sz w:val="28"/>
          <w:szCs w:val="22"/>
          <w:highlight w:val="none"/>
        </w:rPr>
        <w:t xml:space="preserve">第一部分评标方法</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_Toc1209 \h </w:instrText>
      </w:r>
      <w:r>
        <w:rPr>
          <w:color w:val="auto"/>
          <w:sz w:val="28"/>
          <w:szCs w:val="16"/>
          <w:highlight w:val="none"/>
        </w:rPr>
        <w:fldChar w:fldCharType="separate"/>
      </w:r>
      <w:r>
        <w:rPr>
          <w:color w:val="auto"/>
          <w:sz w:val="28"/>
          <w:szCs w:val="16"/>
          <w:highlight w:val="none"/>
        </w:rPr>
        <w:t xml:space="preserve">41</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"_Toc17736" </w:instrText>
      </w:r>
      <w:r>
        <w:rPr>
          <w:color w:val="auto"/>
          <w:highlight w:val="none"/>
        </w:rPr>
        <w:fldChar w:fldCharType="separate"/>
      </w:r>
      <w:r>
        <w:rPr>
          <w:rFonts w:hint="eastAsia" w:hAnsi="宋体" w:cs="宋体"/>
          <w:color w:val="auto"/>
          <w:sz w:val="28"/>
          <w:szCs w:val="22"/>
          <w:highlight w:val="none"/>
        </w:rPr>
        <w:t xml:space="preserve">第二部分 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_Toc17736 \h </w:instrText>
      </w:r>
      <w:r>
        <w:rPr>
          <w:color w:val="auto"/>
          <w:sz w:val="28"/>
          <w:szCs w:val="16"/>
          <w:highlight w:val="none"/>
        </w:rPr>
        <w:fldChar w:fldCharType="separate"/>
      </w:r>
      <w:r>
        <w:rPr>
          <w:color w:val="auto"/>
          <w:sz w:val="28"/>
          <w:szCs w:val="16"/>
          <w:highlight w:val="none"/>
        </w:rPr>
        <w:t xml:space="preserve">42</w:t>
      </w:r>
      <w:r>
        <w:rPr>
          <w:color w:val="auto"/>
          <w:sz w:val="28"/>
          <w:szCs w:val="16"/>
          <w:highlight w:val="none"/>
        </w:rPr>
        <w:fldChar w:fldCharType="end"/>
      </w:r>
      <w:r>
        <w:rPr>
          <w:color w:val="auto"/>
          <w:sz w:val="28"/>
          <w:szCs w:val="16"/>
          <w:highlight w:val="none"/>
        </w:rPr>
        <w:fldChar w:fldCharType="end"/>
      </w:r>
      <w:r/>
    </w:p>
    <w:p>
      <w:pPr>
        <w:pStyle w:val="780"/>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"_Toc5275" </w:instrText>
      </w:r>
      <w:r>
        <w:rPr>
          <w:color w:val="auto"/>
          <w:highlight w:val="none"/>
        </w:rPr>
        <w:fldChar w:fldCharType="separate"/>
      </w:r>
      <w:r>
        <w:rPr>
          <w:rFonts w:hint="eastAsia" w:hAnsi="宋体" w:cs="宋体"/>
          <w:color w:val="auto"/>
          <w:sz w:val="28"/>
          <w:szCs w:val="22"/>
          <w:highlight w:val="none"/>
        </w:rPr>
        <w:t xml:space="preserve">第六章  投标文件内容与格式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_Toc5275 \h </w:instrText>
      </w:r>
      <w:r>
        <w:rPr>
          <w:color w:val="auto"/>
          <w:sz w:val="28"/>
          <w:szCs w:val="16"/>
          <w:highlight w:val="none"/>
        </w:rPr>
        <w:fldChar w:fldCharType="separate"/>
      </w:r>
      <w:r>
        <w:rPr>
          <w:color w:val="auto"/>
          <w:sz w:val="28"/>
          <w:szCs w:val="16"/>
          <w:highlight w:val="none"/>
        </w:rPr>
        <w:t xml:space="preserve">49</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"_Toc24271" </w:instrText>
      </w:r>
      <w:r>
        <w:rPr>
          <w:color w:val="auto"/>
          <w:highlight w:val="none"/>
        </w:rPr>
        <w:fldChar w:fldCharType="separate"/>
      </w:r>
      <w:r>
        <w:rPr>
          <w:rFonts w:hint="eastAsia" w:hAnsi="宋体" w:cs="宋体"/>
          <w:color w:val="auto"/>
          <w:sz w:val="28"/>
          <w:szCs w:val="22"/>
          <w:highlight w:val="none"/>
        </w:rPr>
        <w:t xml:space="preserve">第一部分投标文件内容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_Toc24271 \h </w:instrText>
      </w:r>
      <w:r>
        <w:rPr>
          <w:color w:val="auto"/>
          <w:sz w:val="28"/>
          <w:szCs w:val="16"/>
          <w:highlight w:val="none"/>
        </w:rPr>
        <w:fldChar w:fldCharType="separate"/>
      </w:r>
      <w:r>
        <w:rPr>
          <w:color w:val="auto"/>
          <w:sz w:val="28"/>
          <w:szCs w:val="16"/>
          <w:highlight w:val="none"/>
        </w:rPr>
        <w:t xml:space="preserve">49</w:t>
      </w:r>
      <w:r>
        <w:rPr>
          <w:color w:val="auto"/>
          <w:sz w:val="28"/>
          <w:szCs w:val="16"/>
          <w:highlight w:val="none"/>
        </w:rPr>
        <w:fldChar w:fldCharType="end"/>
      </w:r>
      <w:r>
        <w:rPr>
          <w:color w:val="auto"/>
          <w:sz w:val="28"/>
          <w:szCs w:val="16"/>
          <w:highlight w:val="none"/>
        </w:rPr>
        <w:fldChar w:fldCharType="end"/>
      </w:r>
      <w:r/>
    </w:p>
    <w:p>
      <w:pPr>
        <w:pStyle w:val="787"/>
        <w:spacing w:line="360" w:lineRule="auto"/>
        <w:tabs>
          <w:tab w:val="right" w:pos="9593" w:leader="dot"/>
        </w:tabs>
        <w:rPr>
          <w:color w:val="auto"/>
          <w:sz w:val="28"/>
          <w:szCs w:val="16"/>
          <w:highlight w:val="none"/>
        </w:rPr>
      </w:pPr>
      <w:r>
        <w:rPr>
          <w:color w:val="auto"/>
          <w:highlight w:val="none"/>
        </w:rPr>
        <w:fldChar w:fldCharType="begin"/>
      </w:r>
      <w:r>
        <w:rPr>
          <w:color w:val="auto"/>
          <w:highlight w:val="none"/>
        </w:rPr>
        <w:instrText xml:space="preserve"> HYPERLINK \l "_Toc22045" </w:instrText>
      </w:r>
      <w:r>
        <w:rPr>
          <w:color w:val="auto"/>
          <w:highlight w:val="none"/>
        </w:rPr>
        <w:fldChar w:fldCharType="separate"/>
      </w:r>
      <w:r>
        <w:rPr>
          <w:rFonts w:hint="eastAsia" w:hAnsi="宋体" w:cs="宋体"/>
          <w:color w:val="auto"/>
          <w:sz w:val="28"/>
          <w:szCs w:val="22"/>
          <w:highlight w:val="none"/>
        </w:rPr>
        <w:t xml:space="preserve">第二部分投标文件格式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_Toc22045 \h </w:instrText>
      </w:r>
      <w:r>
        <w:rPr>
          <w:color w:val="auto"/>
          <w:sz w:val="28"/>
          <w:szCs w:val="16"/>
          <w:highlight w:val="none"/>
        </w:rPr>
        <w:fldChar w:fldCharType="separate"/>
      </w:r>
      <w:r>
        <w:rPr>
          <w:color w:val="auto"/>
          <w:sz w:val="28"/>
          <w:szCs w:val="16"/>
          <w:highlight w:val="none"/>
        </w:rPr>
        <w:t xml:space="preserve">52</w:t>
      </w:r>
      <w:r>
        <w:rPr>
          <w:color w:val="auto"/>
          <w:sz w:val="28"/>
          <w:szCs w:val="16"/>
          <w:highlight w:val="none"/>
        </w:rPr>
        <w:fldChar w:fldCharType="end"/>
      </w:r>
      <w:r>
        <w:rPr>
          <w:color w:val="auto"/>
          <w:sz w:val="28"/>
          <w:szCs w:val="16"/>
          <w:highlight w:val="none"/>
        </w:rPr>
        <w:fldChar w:fldCharType="end"/>
      </w:r>
      <w:r/>
    </w:p>
    <w:p>
      <w:pPr>
        <w:spacing w:line="360" w:lineRule="auto"/>
        <w:rPr>
          <w:rFonts w:hAnsi="宋体" w:cs="宋体"/>
          <w:bCs/>
          <w:color w:val="auto"/>
          <w:szCs w:val="28"/>
          <w:highlight w:val="none"/>
        </w:rPr>
      </w:pPr>
      <w:r>
        <w:rPr>
          <w:rFonts w:hint="eastAsia" w:hAnsi="宋体" w:cs="宋体"/>
          <w:bCs/>
          <w:color w:val="auto"/>
          <w:sz w:val="28"/>
          <w:szCs w:val="22"/>
          <w:highlight w:val="none"/>
        </w:rPr>
        <w:fldChar w:fldCharType="end"/>
      </w:r>
      <w:r/>
    </w:p>
    <w:p>
      <w:pPr>
        <w:spacing w:line="360" w:lineRule="auto"/>
        <w:rPr>
          <w:rFonts w:hAnsi="宋体" w:cs="宋体"/>
          <w:bCs/>
          <w:color w:val="auto"/>
          <w:szCs w:val="28"/>
          <w:highlight w:val="none"/>
        </w:rPr>
      </w:pPr>
      <w:r>
        <w:rPr>
          <w:rFonts w:hAnsi="宋体" w:cs="宋体"/>
          <w:bCs/>
          <w:color w:val="auto"/>
          <w:szCs w:val="28"/>
          <w:highlight w:val="none"/>
        </w:rPr>
      </w:r>
      <w:r/>
    </w:p>
    <w:p>
      <w:pPr>
        <w:spacing w:line="360" w:lineRule="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widowControl/>
        <w:rPr>
          <w:rFonts w:hAnsi="宋体" w:cs="宋体"/>
          <w:b/>
          <w:color w:val="auto"/>
          <w:sz w:val="28"/>
          <w:szCs w:val="28"/>
          <w:highlight w:val="none"/>
        </w:rPr>
      </w:pPr>
      <w:r>
        <w:rPr>
          <w:rFonts w:hAnsi="宋体" w:cs="宋体"/>
          <w:b/>
          <w:color w:val="auto"/>
          <w:sz w:val="28"/>
          <w:szCs w:val="28"/>
          <w:highlight w:val="none"/>
        </w:rPr>
      </w:r>
      <w:r/>
    </w:p>
    <w:p>
      <w:pPr>
        <w:spacing w:line="360" w:lineRule="auto"/>
        <w:widowControl/>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rPr>
          <w:rFonts w:hAnsi="宋体" w:cs="宋体"/>
          <w:b/>
          <w:bCs/>
          <w:color w:val="auto"/>
          <w:sz w:val="28"/>
          <w:szCs w:val="28"/>
          <w:highlight w:val="none"/>
        </w:rPr>
        <w:sectPr>
          <w:footerReference w:type="default" r:id="rId10"/>
          <w:footnotePr/>
          <w:endnotePr/>
          <w:type w:val="nextPage"/>
          <w:pgSz w:w="11906" w:h="16838" w:orient="portrait"/>
          <w:pgMar w:top="1440" w:right="1100" w:bottom="1440" w:left="1213" w:header="851" w:footer="992" w:gutter="0"/>
          <w:pgNumType w:start="1"/>
          <w:cols w:num="1" w:sep="0" w:space="1701" w:equalWidth="1"/>
          <w:docGrid w:linePitch="360"/>
        </w:sectPr>
      </w:pPr>
      <w:r>
        <w:rPr>
          <w:rFonts w:hAnsi="宋体" w:cs="宋体"/>
          <w:b/>
          <w:bCs/>
          <w:color w:val="auto"/>
          <w:sz w:val="28"/>
          <w:szCs w:val="28"/>
          <w:highlight w:val="none"/>
        </w:rPr>
      </w:r>
      <w:r/>
    </w:p>
    <w:p>
      <w:pPr>
        <w:jc w:val="center"/>
        <w:spacing w:line="360" w:lineRule="auto"/>
        <w:rPr>
          <w:rFonts w:hAnsi="宋体" w:cs="宋体"/>
          <w:b/>
          <w:bCs/>
          <w:color w:val="auto"/>
          <w:sz w:val="28"/>
          <w:szCs w:val="28"/>
          <w:highlight w:val="none"/>
        </w:rPr>
        <w:outlineLvl w:val="0"/>
      </w:pPr>
      <w:r/>
      <w:bookmarkStart w:id="0" w:name="_Toc31516"/>
      <w:r>
        <w:rPr>
          <w:rFonts w:hint="eastAsia" w:hAnsi="宋体" w:cs="宋体"/>
          <w:b/>
          <w:bCs/>
          <w:color w:val="auto"/>
          <w:sz w:val="28"/>
          <w:szCs w:val="28"/>
          <w:highlight w:val="none"/>
        </w:rPr>
        <w:t xml:space="preserve">第一章  投标邀请函</w:t>
      </w:r>
      <w:bookmarkEnd w:id="0"/>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江苏恒立工程项目管理有限公司受无锡市自然资源和规划局新吴分局的委托，对新吴区机场单元，硕放单元详细规划编制项目（</w:t>
      </w:r>
      <w:r>
        <w:rPr>
          <w:rFonts w:hint="eastAsia" w:hAnsi="宋体" w:cs="宋体"/>
          <w:bCs/>
          <w:color w:val="auto"/>
          <w:sz w:val="28"/>
          <w:szCs w:val="28"/>
          <w:highlight w:val="none"/>
          <w:lang w:eastAsia="zh-CN"/>
        </w:rPr>
        <w:t xml:space="preserve">JSZC-320214-HLXM-G2025-0009</w:t>
      </w:r>
      <w:r>
        <w:rPr>
          <w:rFonts w:hint="eastAsia" w:hAnsi="宋体" w:cs="宋体"/>
          <w:bCs/>
          <w:color w:val="auto"/>
          <w:sz w:val="28"/>
          <w:szCs w:val="28"/>
          <w:highlight w:val="none"/>
        </w:rPr>
        <w:t xml:space="preserve">）进行公开招标采购，欢迎符合相关条件的投标人参加投标。</w:t>
      </w:r>
      <w:r/>
    </w:p>
    <w:p>
      <w:pPr>
        <w:ind w:firstLine="480"/>
        <w:spacing w:line="360" w:lineRule="auto"/>
        <w:rPr>
          <w:rFonts w:hAnsi="宋体" w:cs="宋体"/>
          <w:color w:val="auto"/>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8"/>
          <w:szCs w:val="28"/>
          <w:highlight w:val="none"/>
        </w:rPr>
        <w:t xml:space="preserve">项目概况</w:t>
      </w:r>
      <w:r/>
    </w:p>
    <w:p>
      <w:pPr>
        <w:ind w:firstLine="480"/>
        <w:spacing w:line="360" w:lineRule="auto"/>
        <w:rPr>
          <w:rFonts w:hAnsi="宋体" w:cs="宋体"/>
          <w:color w:val="auto"/>
          <w:sz w:val="28"/>
          <w:szCs w:val="28"/>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8"/>
          <w:szCs w:val="28"/>
          <w:highlight w:val="none"/>
        </w:rPr>
        <w:t xml:space="preserve">新吴区机场单元，硕放单元详细规划编制项目的潜在投标人应在“江苏政府采购网”自行浏览采购文件，如有投标意向须在本采购文件有效获取期内通过登录“江苏省政府采购（苏采云）平台”下载的方式依法获取采购文件，并于2025年</w:t>
      </w:r>
      <w:r>
        <w:rPr>
          <w:rFonts w:hint="eastAsia" w:hAnsi="宋体" w:cs="宋体"/>
          <w:color w:val="auto"/>
          <w:sz w:val="28"/>
          <w:szCs w:val="28"/>
          <w:highlight w:val="none"/>
          <w:lang w:val="en-US" w:eastAsia="zh-CN"/>
        </w:rPr>
        <w:t xml:space="preserve">10</w:t>
      </w:r>
      <w:r>
        <w:rPr>
          <w:rFonts w:hint="eastAsia" w:hAnsi="宋体" w:cs="宋体"/>
          <w:color w:val="auto"/>
          <w:sz w:val="28"/>
          <w:szCs w:val="28"/>
          <w:highlight w:val="none"/>
        </w:rPr>
        <w:t xml:space="preserve">月</w:t>
      </w:r>
      <w:r>
        <w:rPr>
          <w:rFonts w:hint="eastAsia" w:hAnsi="宋体" w:cs="宋体"/>
          <w:color w:val="auto"/>
          <w:sz w:val="28"/>
          <w:szCs w:val="28"/>
          <w:highlight w:val="none"/>
          <w:lang w:val="en-US" w:eastAsia="zh-CN"/>
        </w:rPr>
        <w:t xml:space="preserve">30</w:t>
      </w:r>
      <w:r>
        <w:rPr>
          <w:rFonts w:hint="eastAsia" w:hAnsi="宋体" w:cs="宋体"/>
          <w:color w:val="auto"/>
          <w:sz w:val="28"/>
          <w:szCs w:val="28"/>
          <w:highlight w:val="none"/>
        </w:rPr>
        <w:t xml:space="preserve">日</w:t>
      </w:r>
      <w:r>
        <w:rPr>
          <w:rFonts w:hint="eastAsia" w:hAnsi="宋体" w:cs="宋体"/>
          <w:color w:val="auto"/>
          <w:sz w:val="28"/>
          <w:szCs w:val="28"/>
          <w:highlight w:val="none"/>
          <w:lang w:val="en-US" w:eastAsia="zh-CN"/>
        </w:rPr>
        <w:t xml:space="preserve">13</w:t>
      </w:r>
      <w:r>
        <w:rPr>
          <w:rFonts w:hint="eastAsia" w:hAnsi="宋体" w:cs="宋体"/>
          <w:color w:val="auto"/>
          <w:sz w:val="28"/>
          <w:szCs w:val="28"/>
          <w:highlight w:val="none"/>
        </w:rPr>
        <w:t xml:space="preserve">点</w:t>
      </w:r>
      <w:r>
        <w:rPr>
          <w:rFonts w:hint="eastAsia" w:hAnsi="宋体" w:cs="宋体"/>
          <w:color w:val="auto"/>
          <w:sz w:val="28"/>
          <w:szCs w:val="28"/>
          <w:highlight w:val="none"/>
          <w:lang w:val="en-US" w:eastAsia="zh-CN"/>
        </w:rPr>
        <w:t xml:space="preserve">3</w:t>
      </w:r>
      <w:r>
        <w:rPr>
          <w:rFonts w:hint="eastAsia" w:hAnsi="宋体" w:cs="宋体"/>
          <w:color w:val="auto"/>
          <w:sz w:val="28"/>
          <w:szCs w:val="28"/>
          <w:highlight w:val="none"/>
        </w:rPr>
        <w:t xml:space="preserve">0分（北京时间）前递交投标文件。</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 w:name="_Toc35393790"/>
      <w:r/>
      <w:bookmarkStart w:id="2" w:name="_Toc38985263"/>
      <w:r/>
      <w:bookmarkStart w:id="3" w:name="_Toc35393621"/>
      <w:r/>
      <w:bookmarkStart w:id="4" w:name="_Toc28359079"/>
      <w:r/>
      <w:bookmarkStart w:id="5" w:name="_Toc28359002"/>
      <w:r/>
      <w:bookmarkStart w:id="6" w:name="_Toc1751"/>
      <w:r/>
      <w:bookmarkStart w:id="7" w:name="_Hlk24379207"/>
      <w:r>
        <w:rPr>
          <w:rFonts w:hint="eastAsia" w:ascii="宋体" w:hAnsi="宋体" w:eastAsia="宋体" w:cs="宋体"/>
          <w:color w:val="auto"/>
          <w:sz w:val="28"/>
          <w:szCs w:val="28"/>
          <w:highlight w:val="none"/>
        </w:rPr>
        <w:t xml:space="preserve">一、项目基本情况</w:t>
      </w:r>
      <w:bookmarkEnd w:id="1"/>
      <w:r/>
      <w:bookmarkEnd w:id="2"/>
      <w:r/>
      <w:bookmarkEnd w:id="3"/>
      <w:r/>
      <w:bookmarkEnd w:id="4"/>
      <w:r/>
      <w:bookmarkEnd w:id="5"/>
      <w:r/>
      <w:bookmarkEnd w:id="6"/>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1.项目编号：</w:t>
      </w:r>
      <w:r>
        <w:rPr>
          <w:rFonts w:hint="eastAsia" w:hAnsi="宋体" w:cs="宋体"/>
          <w:bCs/>
          <w:color w:val="auto"/>
          <w:sz w:val="28"/>
          <w:szCs w:val="28"/>
          <w:highlight w:val="none"/>
          <w:lang w:eastAsia="zh-CN"/>
        </w:rPr>
        <w:t xml:space="preserve">JSZC-320214-HLXM-G2025-0009</w:t>
      </w:r>
      <w:r>
        <w:rPr>
          <w:rFonts w:hint="eastAsia" w:hAnsi="宋体" w:cs="宋体"/>
          <w:bCs/>
          <w:color w:val="auto"/>
          <w:sz w:val="28"/>
          <w:szCs w:val="28"/>
          <w:highlight w:val="none"/>
        </w:rPr>
        <w:t xml:space="preserve">；</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2.项目名称</w:t>
      </w:r>
      <w:bookmarkEnd w:id="7"/>
      <w:r>
        <w:rPr>
          <w:rFonts w:hint="eastAsia" w:hAnsi="宋体" w:cs="宋体"/>
          <w:color w:val="auto"/>
          <w:sz w:val="28"/>
          <w:szCs w:val="28"/>
          <w:highlight w:val="none"/>
        </w:rPr>
        <w:t xml:space="preserve">：新吴区机场单元，硕放单元详细规划编制项目；</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3.项目预算金额：4</w:t>
      </w:r>
      <w:r>
        <w:rPr>
          <w:rFonts w:hint="eastAsia" w:hAnsi="宋体" w:cs="宋体"/>
          <w:color w:val="auto"/>
          <w:sz w:val="28"/>
          <w:szCs w:val="28"/>
          <w:highlight w:val="none"/>
          <w:lang w:val="en-US" w:eastAsia="zh-CN"/>
        </w:rPr>
        <w:t xml:space="preserve">20</w:t>
      </w:r>
      <w:r>
        <w:rPr>
          <w:rFonts w:hint="eastAsia" w:hAnsi="宋体" w:cs="宋体"/>
          <w:color w:val="auto"/>
          <w:sz w:val="28"/>
          <w:szCs w:val="28"/>
          <w:highlight w:val="none"/>
        </w:rPr>
        <w:t xml:space="preserve">万元；</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4.项目最高限价：4</w:t>
      </w:r>
      <w:r>
        <w:rPr>
          <w:rFonts w:hint="eastAsia" w:hAnsi="宋体" w:cs="宋体"/>
          <w:color w:val="auto"/>
          <w:sz w:val="28"/>
          <w:szCs w:val="28"/>
          <w:highlight w:val="none"/>
          <w:lang w:val="en-US" w:eastAsia="zh-CN"/>
        </w:rPr>
        <w:t xml:space="preserve">20</w:t>
      </w:r>
      <w:r>
        <w:rPr>
          <w:rFonts w:hint="eastAsia" w:hAnsi="宋体" w:cs="宋体"/>
          <w:color w:val="auto"/>
          <w:sz w:val="28"/>
          <w:szCs w:val="28"/>
          <w:highlight w:val="none"/>
        </w:rPr>
        <w:t xml:space="preserve">万元，超过最高限价的投标文件按无效文件处理；</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5.采购需求：无锡市自然资源和规划局新吴分局新吴区机场单元，硕放单元详细规划编制项目。具体详见采购文件第四章《采购需求》；</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6.合同履行期限：自合同签订之日起三年；</w:t>
      </w:r>
      <w:r/>
    </w:p>
    <w:p>
      <w:pPr>
        <w:ind w:firstLine="480"/>
        <w:jc w:val="left"/>
        <w:spacing w:line="360" w:lineRule="auto"/>
        <w:shd w:val="clear" w:color="auto" w:fill="ffffff"/>
        <w:widowControl/>
        <w:rPr>
          <w:rFonts w:hAnsi="宋体" w:cs="宋体"/>
          <w:color w:val="auto"/>
          <w:sz w:val="28"/>
          <w:szCs w:val="28"/>
          <w:highlight w:val="none"/>
        </w:rPr>
      </w:pPr>
      <w:r/>
      <w:bookmarkStart w:id="8" w:name="_Toc38985264"/>
      <w:r/>
      <w:bookmarkStart w:id="9" w:name="_Toc35393791"/>
      <w:r/>
      <w:bookmarkStart w:id="10" w:name="_Toc35393622"/>
      <w:r/>
      <w:bookmarkStart w:id="11" w:name="_Toc28359003"/>
      <w:r/>
      <w:bookmarkStart w:id="12" w:name="_Toc28359080"/>
      <w:r>
        <w:rPr>
          <w:rFonts w:hint="eastAsia" w:hAnsi="宋体" w:cs="宋体"/>
          <w:color w:val="auto"/>
          <w:sz w:val="28"/>
          <w:szCs w:val="28"/>
          <w:highlight w:val="none"/>
        </w:rPr>
        <w:t xml:space="preserve">7.服务要求：满足采购人及相关政策文件的要求；</w:t>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8.本项目是否专门面向中小微企业：是；</w:t>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9.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10.本项目</w:t>
      </w:r>
      <w:r>
        <w:rPr>
          <w:rFonts w:hint="eastAsia" w:hAnsi="宋体" w:cs="宋体"/>
          <w:b/>
          <w:bCs/>
          <w:color w:val="auto"/>
          <w:sz w:val="28"/>
          <w:szCs w:val="28"/>
          <w:highlight w:val="none"/>
          <w:u w:val="single"/>
        </w:rPr>
        <w:t xml:space="preserve">不接受 </w:t>
      </w:r>
      <w:r>
        <w:rPr>
          <w:rFonts w:hint="eastAsia" w:hAnsi="宋体" w:cs="宋体"/>
          <w:color w:val="auto"/>
          <w:sz w:val="28"/>
          <w:szCs w:val="28"/>
          <w:highlight w:val="none"/>
        </w:rPr>
        <w:t xml:space="preserve">联合投标；</w:t>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11.本项目是否需要缴纳履约保证金：否。</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3" w:name="_Toc16866"/>
      <w:r>
        <w:rPr>
          <w:rFonts w:hint="eastAsia" w:ascii="宋体" w:hAnsi="宋体" w:eastAsia="宋体" w:cs="宋体"/>
          <w:color w:val="auto"/>
          <w:sz w:val="28"/>
          <w:szCs w:val="28"/>
          <w:highlight w:val="none"/>
        </w:rPr>
        <w:t xml:space="preserve">二、申请人的资格要求</w:t>
      </w:r>
      <w:bookmarkEnd w:id="8"/>
      <w:r/>
      <w:bookmarkEnd w:id="9"/>
      <w:r/>
      <w:bookmarkEnd w:id="10"/>
      <w:r/>
      <w:bookmarkEnd w:id="11"/>
      <w:r/>
      <w:bookmarkEnd w:id="12"/>
      <w:r/>
      <w:bookmarkEnd w:id="13"/>
      <w:r/>
      <w:r/>
    </w:p>
    <w:p>
      <w:pPr>
        <w:ind w:firstLine="480"/>
        <w:spacing w:line="360" w:lineRule="auto"/>
        <w:rPr>
          <w:rFonts w:hAnsi="宋体" w:cs="宋体"/>
          <w:color w:val="auto"/>
          <w:sz w:val="28"/>
          <w:szCs w:val="28"/>
          <w:highlight w:val="none"/>
        </w:rPr>
      </w:pPr>
      <w:r/>
      <w:bookmarkStart w:id="14" w:name="_Toc38985265"/>
      <w:r/>
      <w:bookmarkStart w:id="15" w:name="_Toc28359004"/>
      <w:r/>
      <w:bookmarkStart w:id="16" w:name="_Toc28359081"/>
      <w:r/>
      <w:bookmarkStart w:id="17" w:name="_Toc35393792"/>
      <w:r/>
      <w:bookmarkStart w:id="18" w:name="_Toc35393623"/>
      <w:r>
        <w:rPr>
          <w:rFonts w:hint="eastAsia" w:hAnsi="宋体" w:cs="宋体"/>
          <w:color w:val="auto"/>
          <w:sz w:val="28"/>
          <w:szCs w:val="28"/>
          <w:highlight w:val="none"/>
        </w:rPr>
        <w:t xml:space="preserve">1.满足《中华人民共和国政府采购法》第二十二条规定；</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2.落实政府采购政策需满足的资格要求：</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2.1中小企业政策：本项目专门面向中小企业。</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9"/>
        </w:num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本项目的特定资格要求：投标供应商应具有城乡规划乙级及以上资质（供应商城乡规划资质，因国家机构改革，证书有效期过期未予补办，依旧视为资质有效，需提供相关主管部门出具的证明材料或公告截图）。</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9" w:name="_Toc24768"/>
      <w:r>
        <w:rPr>
          <w:rFonts w:hint="eastAsia" w:ascii="宋体" w:hAnsi="宋体" w:eastAsia="宋体" w:cs="宋体"/>
          <w:color w:val="auto"/>
          <w:sz w:val="28"/>
          <w:szCs w:val="28"/>
          <w:highlight w:val="none"/>
        </w:rPr>
        <w:t xml:space="preserve">三、获取</w:t>
      </w:r>
      <w:bookmarkEnd w:id="14"/>
      <w:r/>
      <w:bookmarkEnd w:id="15"/>
      <w:r/>
      <w:bookmarkEnd w:id="16"/>
      <w:r/>
      <w:bookmarkEnd w:id="17"/>
      <w:r/>
      <w:bookmarkEnd w:id="18"/>
      <w:r>
        <w:rPr>
          <w:rFonts w:hint="eastAsia" w:ascii="宋体" w:hAnsi="宋体" w:eastAsia="宋体" w:cs="宋体"/>
          <w:color w:val="auto"/>
          <w:sz w:val="28"/>
          <w:szCs w:val="28"/>
          <w:highlight w:val="none"/>
        </w:rPr>
        <w:t xml:space="preserve">采购文件</w:t>
      </w:r>
      <w:bookmarkEnd w:id="19"/>
      <w:r/>
      <w:r/>
    </w:p>
    <w:p>
      <w:pPr>
        <w:ind w:firstLine="540"/>
        <w:spacing w:line="360" w:lineRule="auto"/>
        <w:rPr>
          <w:rFonts w:hAnsi="宋体" w:cs="宋体"/>
          <w:color w:val="auto"/>
          <w:sz w:val="28"/>
          <w:szCs w:val="28"/>
          <w:highlight w:val="none"/>
        </w:rPr>
      </w:pPr>
      <w:r/>
      <w:bookmarkStart w:id="20" w:name="_Toc28359005"/>
      <w:r/>
      <w:bookmarkStart w:id="21" w:name="_Toc28359082"/>
      <w:r/>
      <w:bookmarkStart w:id="22" w:name="_Toc38985266"/>
      <w:r/>
      <w:bookmarkStart w:id="23" w:name="_Toc35393624"/>
      <w:r/>
      <w:bookmarkStart w:id="24" w:name="_Toc35393793"/>
      <w:r>
        <w:rPr>
          <w:rFonts w:hint="eastAsia" w:hAnsi="宋体" w:cs="宋体"/>
          <w:color w:val="auto"/>
          <w:sz w:val="28"/>
          <w:szCs w:val="28"/>
          <w:highlight w:val="none"/>
        </w:rPr>
        <w:t xml:space="preserve">1.时间：本采购文件有效获取期自采购文件公告发布之日起5个工作日，（有效获取期内的）每天00:00至23:59（北京时间，法定节假日除外）。</w:t>
      </w:r>
      <w:r/>
    </w:p>
    <w:p>
      <w:pPr>
        <w:ind w:firstLine="54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2.地点：</w:t>
      </w:r>
      <w:r>
        <w:rPr>
          <w:rFonts w:hint="eastAsia" w:hAnsi="宋体" w:cs="宋体"/>
          <w:color w:val="auto"/>
          <w:sz w:val="28"/>
          <w:szCs w:val="28"/>
          <w:highlight w:val="none"/>
        </w:rPr>
        <w:t xml:space="preserve">“江苏省政府采购（苏采云）平台”。</w:t>
      </w:r>
      <w:r/>
    </w:p>
    <w:p>
      <w:pPr>
        <w:ind w:firstLine="540"/>
        <w:spacing w:line="360" w:lineRule="auto"/>
        <w:rPr>
          <w:rStyle w:val="1054"/>
          <w:rFonts w:ascii="宋体" w:hAnsi="宋体" w:cs="宋体"/>
          <w:color w:val="auto"/>
          <w:sz w:val="28"/>
          <w:szCs w:val="28"/>
          <w:highlight w:val="none"/>
        </w:rPr>
      </w:pPr>
      <w:r>
        <w:rPr>
          <w:rFonts w:hint="eastAsia" w:hAnsi="宋体" w:cs="宋体"/>
          <w:bCs/>
          <w:color w:val="auto"/>
          <w:sz w:val="28"/>
          <w:szCs w:val="28"/>
          <w:highlight w:val="none"/>
        </w:rPr>
        <w:t xml:space="preserve">3.方式：请有投标意向的供应商在采购文件有效获取期内及时至</w:t>
      </w:r>
      <w:r>
        <w:rPr>
          <w:rFonts w:hint="eastAsia" w:hAnsi="宋体" w:cs="宋体"/>
          <w:color w:val="auto"/>
          <w:sz w:val="28"/>
          <w:szCs w:val="28"/>
          <w:highlight w:val="none"/>
        </w:rPr>
        <w:t xml:space="preserve">“江苏省政府采购（苏采云）平台”获取。</w:t>
      </w:r>
      <w:r>
        <w:rPr>
          <w:rFonts w:hint="eastAsia" w:hAnsi="宋体" w:cs="宋体"/>
          <w:bCs/>
          <w:color w:val="auto"/>
          <w:sz w:val="28"/>
          <w:szCs w:val="28"/>
          <w:highlight w:val="none"/>
        </w:rPr>
        <w:t xml:space="preserve">在采购文件有效获取期限内，从</w:t>
      </w:r>
      <w:r>
        <w:rPr>
          <w:rFonts w:hint="eastAsia" w:hAnsi="宋体" w:cs="宋体"/>
          <w:color w:val="auto"/>
          <w:sz w:val="28"/>
          <w:szCs w:val="28"/>
          <w:highlight w:val="none"/>
        </w:rPr>
        <w:t xml:space="preserve">“江苏省政府采购（苏采云）平台”获取的</w:t>
      </w:r>
      <w:r>
        <w:rPr>
          <w:rFonts w:hint="eastAsia" w:hAnsi="宋体" w:cs="宋体"/>
          <w:bCs/>
          <w:color w:val="auto"/>
          <w:sz w:val="28"/>
          <w:szCs w:val="28"/>
          <w:highlight w:val="none"/>
        </w:rPr>
        <w:t xml:space="preserve">采购文件，视为依法获取的采购文件。</w:t>
      </w:r>
      <w:r/>
    </w:p>
    <w:p>
      <w:pPr>
        <w:ind w:firstLine="54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4.售价：本项目采购文件免费。</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25" w:name="_Toc5144"/>
      <w:r>
        <w:rPr>
          <w:rFonts w:hint="eastAsia" w:ascii="宋体" w:hAnsi="宋体" w:eastAsia="宋体" w:cs="宋体"/>
          <w:color w:val="auto"/>
          <w:sz w:val="28"/>
          <w:szCs w:val="28"/>
          <w:highlight w:val="none"/>
        </w:rPr>
        <w:t xml:space="preserve">四、提交投标文件</w:t>
      </w:r>
      <w:bookmarkEnd w:id="20"/>
      <w:r/>
      <w:bookmarkEnd w:id="21"/>
      <w:r>
        <w:rPr>
          <w:rFonts w:hint="eastAsia" w:ascii="宋体" w:hAnsi="宋体" w:eastAsia="宋体" w:cs="宋体"/>
          <w:color w:val="auto"/>
          <w:sz w:val="28"/>
          <w:szCs w:val="28"/>
          <w:highlight w:val="none"/>
        </w:rPr>
        <w:t xml:space="preserve">截止时间、开标时间和地点</w:t>
      </w:r>
      <w:bookmarkEnd w:id="22"/>
      <w:r/>
      <w:bookmarkEnd w:id="23"/>
      <w:r/>
      <w:bookmarkEnd w:id="24"/>
      <w:r/>
      <w:bookmarkEnd w:id="25"/>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1.时间：2025年</w:t>
      </w:r>
      <w:r>
        <w:rPr>
          <w:rFonts w:hint="eastAsia" w:hAnsi="宋体" w:cs="宋体"/>
          <w:bCs/>
          <w:color w:val="auto"/>
          <w:sz w:val="28"/>
          <w:szCs w:val="28"/>
          <w:highlight w:val="none"/>
          <w:lang w:val="en-US" w:eastAsia="zh-CN"/>
        </w:rPr>
        <w:t xml:space="preserve">10</w:t>
      </w:r>
      <w:r>
        <w:rPr>
          <w:rFonts w:hint="eastAsia" w:hAnsi="宋体" w:cs="宋体"/>
          <w:bCs/>
          <w:color w:val="auto"/>
          <w:sz w:val="28"/>
          <w:szCs w:val="28"/>
          <w:highlight w:val="none"/>
        </w:rPr>
        <w:t xml:space="preserve">月</w:t>
      </w:r>
      <w:r>
        <w:rPr>
          <w:rFonts w:hint="eastAsia" w:hAnsi="宋体" w:cs="宋体"/>
          <w:bCs/>
          <w:color w:val="auto"/>
          <w:sz w:val="28"/>
          <w:szCs w:val="28"/>
          <w:highlight w:val="none"/>
          <w:lang w:val="en-US" w:eastAsia="zh-CN"/>
        </w:rPr>
        <w:t xml:space="preserve">30</w:t>
      </w:r>
      <w:r>
        <w:rPr>
          <w:rFonts w:hint="eastAsia" w:hAnsi="宋体" w:cs="宋体"/>
          <w:bCs/>
          <w:color w:val="auto"/>
          <w:sz w:val="28"/>
          <w:szCs w:val="28"/>
          <w:highlight w:val="none"/>
        </w:rPr>
        <w:t xml:space="preserve">日</w:t>
      </w:r>
      <w:r>
        <w:rPr>
          <w:rFonts w:hint="eastAsia" w:hAnsi="宋体" w:cs="宋体"/>
          <w:bCs/>
          <w:color w:val="auto"/>
          <w:sz w:val="28"/>
          <w:szCs w:val="28"/>
          <w:highlight w:val="none"/>
          <w:lang w:val="en-US" w:eastAsia="zh-CN"/>
        </w:rPr>
        <w:t xml:space="preserve">13</w:t>
      </w:r>
      <w:bookmarkStart w:id="207" w:name="_GoBack"/>
      <w:r/>
      <w:bookmarkEnd w:id="207"/>
      <w:r>
        <w:rPr>
          <w:rFonts w:hint="eastAsia" w:hAnsi="宋体" w:cs="宋体"/>
          <w:bCs/>
          <w:color w:val="auto"/>
          <w:sz w:val="28"/>
          <w:szCs w:val="28"/>
          <w:highlight w:val="none"/>
        </w:rPr>
        <w:t xml:space="preserve">点</w:t>
      </w:r>
      <w:r>
        <w:rPr>
          <w:rFonts w:hint="eastAsia" w:hAnsi="宋体" w:cs="宋体"/>
          <w:bCs/>
          <w:color w:val="auto"/>
          <w:sz w:val="28"/>
          <w:szCs w:val="28"/>
          <w:highlight w:val="none"/>
          <w:lang w:val="en-US" w:eastAsia="zh-CN"/>
        </w:rPr>
        <w:t xml:space="preserve">3</w:t>
      </w:r>
      <w:r>
        <w:rPr>
          <w:rFonts w:hint="eastAsia" w:hAnsi="宋体" w:cs="宋体"/>
          <w:bCs/>
          <w:color w:val="auto"/>
          <w:sz w:val="28"/>
          <w:szCs w:val="28"/>
          <w:highlight w:val="none"/>
        </w:rPr>
        <w:t xml:space="preserve">0分（北京时间）</w:t>
      </w:r>
      <w:r/>
    </w:p>
    <w:p>
      <w:pPr>
        <w:ind w:firstLine="480"/>
        <w:spacing w:line="360" w:lineRule="auto"/>
        <w:rPr>
          <w:rFonts w:hAnsi="宋体" w:cs="宋体"/>
          <w:bCs/>
          <w:color w:val="auto"/>
          <w:sz w:val="28"/>
          <w:szCs w:val="28"/>
          <w:highlight w:val="none"/>
          <w:u w:val="single"/>
        </w:rPr>
      </w:pPr>
      <w:r>
        <w:rPr>
          <w:rFonts w:hint="eastAsia" w:hAnsi="宋体" w:cs="宋体"/>
          <w:color w:val="auto"/>
          <w:sz w:val="28"/>
          <w:szCs w:val="28"/>
          <w:highlight w:val="none"/>
        </w:rPr>
        <w:t xml:space="preserve">2.地点：“江苏省政府采购（苏采云）平台”网上开标大厅。</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26" w:name="_Toc28359084"/>
      <w:r/>
      <w:bookmarkStart w:id="27" w:name="_Toc35393625"/>
      <w:r/>
      <w:bookmarkStart w:id="28" w:name="_Toc35393794"/>
      <w:r/>
      <w:bookmarkStart w:id="29" w:name="_Toc38985267"/>
      <w:r/>
      <w:bookmarkStart w:id="30" w:name="_Toc28359007"/>
      <w:r/>
      <w:bookmarkStart w:id="31" w:name="_Toc2663"/>
      <w:r>
        <w:rPr>
          <w:rFonts w:hint="eastAsia" w:ascii="宋体" w:hAnsi="宋体" w:eastAsia="宋体" w:cs="宋体"/>
          <w:color w:val="auto"/>
          <w:sz w:val="28"/>
          <w:szCs w:val="28"/>
          <w:highlight w:val="none"/>
        </w:rPr>
        <w:t xml:space="preserve">五、公告期限</w:t>
      </w:r>
      <w:bookmarkEnd w:id="26"/>
      <w:r/>
      <w:bookmarkEnd w:id="27"/>
      <w:r/>
      <w:bookmarkEnd w:id="28"/>
      <w:r/>
      <w:bookmarkEnd w:id="29"/>
      <w:r/>
      <w:bookmarkEnd w:id="30"/>
      <w:r/>
      <w:bookmarkEnd w:id="31"/>
      <w:r/>
      <w:r/>
    </w:p>
    <w:p>
      <w:pPr>
        <w:ind w:firstLine="480"/>
        <w:spacing w:line="360" w:lineRule="auto"/>
        <w:rPr>
          <w:rFonts w:hAnsi="宋体" w:cs="宋体"/>
          <w:color w:val="auto"/>
          <w:sz w:val="28"/>
          <w:szCs w:val="28"/>
          <w:highlight w:val="none"/>
        </w:rPr>
      </w:pPr>
      <w:r/>
      <w:bookmarkStart w:id="32" w:name="_Toc35393795"/>
      <w:r/>
      <w:bookmarkStart w:id="33" w:name="_Toc35393626"/>
      <w:r/>
      <w:bookmarkStart w:id="34" w:name="_Toc38985268"/>
      <w:r>
        <w:rPr>
          <w:rFonts w:hint="eastAsia" w:hAnsi="宋体" w:cs="宋体"/>
          <w:color w:val="auto"/>
          <w:sz w:val="28"/>
          <w:szCs w:val="28"/>
          <w:highlight w:val="none"/>
        </w:rPr>
        <w:t xml:space="preserve">（招标公告及采购文件公告期限）自本公告发布之日起5个工作日。</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35" w:name="_Toc30175"/>
      <w:r>
        <w:rPr>
          <w:rFonts w:hint="eastAsia" w:ascii="宋体" w:hAnsi="宋体" w:eastAsia="宋体" w:cs="宋体"/>
          <w:color w:val="auto"/>
          <w:sz w:val="28"/>
          <w:szCs w:val="28"/>
          <w:highlight w:val="none"/>
        </w:rPr>
        <w:t xml:space="preserve">六、其他补充事宜</w:t>
      </w:r>
      <w:bookmarkEnd w:id="32"/>
      <w:r/>
      <w:bookmarkEnd w:id="33"/>
      <w:r/>
      <w:bookmarkEnd w:id="34"/>
      <w:r/>
      <w:bookmarkEnd w:id="35"/>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无</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36" w:name="_Toc28359085"/>
      <w:r/>
      <w:bookmarkStart w:id="37" w:name="_Toc38985269"/>
      <w:r/>
      <w:bookmarkStart w:id="38" w:name="_Toc35393627"/>
      <w:r/>
      <w:bookmarkStart w:id="39" w:name="_Toc2555"/>
      <w:r/>
      <w:bookmarkStart w:id="40" w:name="_Toc28359008"/>
      <w:r/>
      <w:bookmarkStart w:id="41" w:name="_Toc35393796"/>
      <w:r>
        <w:rPr>
          <w:rFonts w:hint="eastAsia" w:ascii="宋体" w:hAnsi="宋体" w:eastAsia="宋体" w:cs="宋体"/>
          <w:color w:val="auto"/>
          <w:sz w:val="28"/>
          <w:szCs w:val="28"/>
          <w:highlight w:val="none"/>
        </w:rPr>
        <w:t xml:space="preserve">七、本项目联系方式</w:t>
      </w:r>
      <w:bookmarkEnd w:id="36"/>
      <w:r/>
      <w:bookmarkEnd w:id="37"/>
      <w:r/>
      <w:bookmarkEnd w:id="38"/>
      <w:r/>
      <w:bookmarkEnd w:id="39"/>
      <w:r/>
      <w:bookmarkEnd w:id="40"/>
      <w:r/>
      <w:bookmarkEnd w:id="41"/>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1.采购人信息</w:t>
      </w:r>
      <w:r/>
    </w:p>
    <w:p>
      <w:pPr>
        <w:ind w:firstLine="480"/>
        <w:spacing w:line="360" w:lineRule="auto"/>
        <w:rPr>
          <w:rFonts w:hAnsi="宋体" w:cs="宋体"/>
          <w:color w:val="auto"/>
          <w:sz w:val="28"/>
          <w:szCs w:val="28"/>
          <w:highlight w:val="none"/>
        </w:rPr>
      </w:pPr>
      <w:r/>
      <w:bookmarkStart w:id="42" w:name="_Toc28359086"/>
      <w:r/>
      <w:bookmarkStart w:id="43" w:name="_Toc28359009"/>
      <w:r>
        <w:rPr>
          <w:rFonts w:hint="eastAsia" w:hAnsi="宋体" w:cs="宋体"/>
          <w:color w:val="auto"/>
          <w:sz w:val="28"/>
          <w:szCs w:val="28"/>
          <w:highlight w:val="none"/>
        </w:rPr>
        <w:t xml:space="preserve">名    称：无锡市自然资源和规划局新吴分局</w:t>
      </w:r>
      <w:r>
        <w:rPr>
          <w:rFonts w:hint="eastAsia" w:hAnsi="宋体" w:cs="宋体"/>
          <w:color w:val="auto"/>
          <w:sz w:val="28"/>
          <w:szCs w:val="28"/>
          <w:highlight w:val="none"/>
        </w:rPr>
        <w:tab/>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地    址：</w:t>
      </w:r>
      <w:r>
        <w:rPr>
          <w:rFonts w:hint="eastAsia" w:hAnsi="宋体" w:cs="宋体"/>
          <w:bCs/>
          <w:color w:val="auto"/>
          <w:sz w:val="28"/>
          <w:szCs w:val="28"/>
          <w:highlight w:val="none"/>
        </w:rPr>
        <w:t xml:space="preserve">无锡市新吴区龙山路九号</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联系方式：见“招标公告项目联系方式”</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w:t>
      </w:r>
      <w:bookmarkEnd w:id="42"/>
      <w:r/>
      <w:bookmarkEnd w:id="43"/>
      <w:r>
        <w:rPr>
          <w:rFonts w:hint="eastAsia" w:hAnsi="宋体" w:cs="宋体"/>
          <w:color w:val="auto"/>
          <w:sz w:val="28"/>
          <w:szCs w:val="28"/>
          <w:highlight w:val="none"/>
        </w:rPr>
        <w:t xml:space="preserve">采购代理机构信息</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单位名称：江苏恒立工程项目管理有限公司</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单位地址：江苏恒立工程项目管理有限公司（无锡市新吴区具区路108-19）</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联系人：王萍萍（项目负责人）、丁海铭</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联系电话：15061810731、0510-85299212</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44" w:name="_Toc17681"/>
      <w:r>
        <w:rPr>
          <w:rFonts w:hint="eastAsia" w:ascii="宋体" w:hAnsi="宋体" w:eastAsia="宋体" w:cs="宋体"/>
          <w:color w:val="auto"/>
          <w:sz w:val="28"/>
          <w:szCs w:val="28"/>
          <w:highlight w:val="none"/>
        </w:rPr>
        <w:t xml:space="preserve">八、其他</w:t>
      </w:r>
      <w:bookmarkEnd w:id="44"/>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（一）供应商“账号注册”及CA办理</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1.请有意参加本项目采购活动的供应商按以下流程进行操作：</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（1）点击“江苏省政府采购（苏采云）平台”</w:t>
      </w:r>
      <w:r>
        <w:rPr>
          <w:rFonts w:hint="eastAsia" w:hAnsi="宋体" w:cs="宋体"/>
          <w:bCs/>
          <w:color w:val="auto"/>
          <w:sz w:val="28"/>
          <w:szCs w:val="28"/>
          <w:highlight w:val="none"/>
        </w:rPr>
        <w:t xml:space="preserve">（以下简称“苏采云”系统）</w:t>
      </w:r>
      <w:r>
        <w:rPr>
          <w:rFonts w:hint="eastAsia" w:hAnsi="宋体" w:cs="宋体"/>
          <w:color w:val="auto"/>
          <w:sz w:val="28"/>
          <w:szCs w:val="28"/>
          <w:highlight w:val="none"/>
        </w:rPr>
        <w:t xml:space="preserve">选择供应商版块，点击“用户注册”按钮，进行账号注册，注册完成后需在</w:t>
      </w:r>
      <w:r>
        <w:rPr>
          <w:rFonts w:hint="eastAsia" w:hAnsi="宋体" w:cs="宋体"/>
          <w:bCs/>
          <w:color w:val="auto"/>
          <w:sz w:val="28"/>
          <w:szCs w:val="28"/>
          <w:highlight w:val="none"/>
        </w:rPr>
        <w:t xml:space="preserve">系统</w:t>
      </w:r>
      <w:r>
        <w:rPr>
          <w:rFonts w:hint="eastAsia" w:hAnsi="宋体" w:cs="宋体"/>
          <w:color w:val="auto"/>
          <w:sz w:val="28"/>
          <w:szCs w:val="28"/>
          <w:highlight w:val="none"/>
        </w:rPr>
        <w:t xml:space="preserve">中填写资质信息并提交。也可以直接通过http://jszfcg.jsczt.cn/进入界面。</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（3）CA驱动下载：</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在</w:t>
      </w:r>
      <w:r>
        <w:rPr>
          <w:rFonts w:hint="eastAsia" w:hAnsi="宋体" w:cs="宋体"/>
          <w:bCs/>
          <w:color w:val="auto"/>
          <w:sz w:val="28"/>
          <w:szCs w:val="28"/>
          <w:highlight w:val="none"/>
        </w:rPr>
        <w:t xml:space="preserve">“苏采云”系统账号登录</w:t>
      </w:r>
      <w:r>
        <w:rPr>
          <w:rFonts w:hint="eastAsia" w:hAnsi="宋体" w:cs="宋体"/>
          <w:color w:val="auto"/>
          <w:sz w:val="28"/>
          <w:szCs w:val="28"/>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技术服务电话：0510-81827781（服务时间：工作日 9:00-11:30,13:00-17:00）</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2.完成</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账号注册的供应商方可在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中进行CA绑定。登录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，插入CA后，点击【账号设置】——【绑定CA】。</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hAnsi="宋体" w:cs="宋体"/>
          <w:color w:val="auto"/>
          <w:sz w:val="28"/>
          <w:szCs w:val="28"/>
          <w:highlight w:val="none"/>
        </w:rPr>
        <w:t xml:space="preserve">“苏采云”系统供应商操作手册</w:t>
      </w:r>
      <w:r>
        <w:rPr>
          <w:rFonts w:hint="eastAsia" w:hAnsi="宋体" w:cs="宋体"/>
          <w:color w:val="auto"/>
          <w:sz w:val="28"/>
          <w:szCs w:val="28"/>
          <w:highlight w:val="none"/>
        </w:rPr>
        <w:fldChar w:fldCharType="end"/>
      </w:r>
      <w:r>
        <w:rPr>
          <w:rFonts w:hint="eastAsia" w:hAnsi="宋体" w:cs="宋体"/>
          <w:color w:val="auto"/>
          <w:sz w:val="28"/>
          <w:szCs w:val="28"/>
          <w:highlight w:val="none"/>
        </w:rPr>
        <w:t xml:space="preserve">。</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bCs/>
          <w:color w:val="auto"/>
          <w:sz w:val="28"/>
          <w:szCs w:val="28"/>
          <w:highlight w:val="none"/>
        </w:rPr>
        <w:t xml:space="preserve">技术支持QQ：孙先生：442456465；王先生：1476328133。</w:t>
      </w:r>
      <w:r/>
    </w:p>
    <w:p>
      <w:pPr>
        <w:ind w:firstLine="480"/>
        <w:jc w:val="left"/>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（二）完成项目参与，获取采购文件</w:t>
      </w:r>
      <w:r/>
    </w:p>
    <w:p>
      <w:pPr>
        <w:ind w:firstLine="480"/>
        <w:spacing w:line="360" w:lineRule="auto"/>
        <w:shd w:val="clear" w:color="auto" w:fill="ffffff"/>
        <w:widowControl/>
        <w:rPr>
          <w:rFonts w:hAnsi="宋体" w:cs="宋体"/>
          <w:color w:val="auto"/>
          <w:sz w:val="28"/>
          <w:szCs w:val="28"/>
          <w:highlight w:val="none"/>
        </w:rPr>
      </w:pPr>
      <w:r>
        <w:rPr>
          <w:rFonts w:hint="eastAsia" w:hAnsi="宋体" w:cs="宋体"/>
          <w:color w:val="auto"/>
          <w:sz w:val="28"/>
          <w:szCs w:val="28"/>
          <w:highlight w:val="none"/>
        </w:rPr>
        <w:t xml:space="preserve">供应商可在项目招标公告附件中查看公开采购文件，如确定参加本次采购活动，必须在</w:t>
      </w:r>
      <w:r>
        <w:rPr>
          <w:rFonts w:hint="eastAsia" w:hAnsi="宋体" w:cs="宋体"/>
          <w:bCs/>
          <w:color w:val="auto"/>
          <w:sz w:val="28"/>
          <w:szCs w:val="28"/>
          <w:highlight w:val="none"/>
        </w:rPr>
        <w:t xml:space="preserve">采购文件提供期限</w:t>
      </w:r>
      <w:r>
        <w:rPr>
          <w:rFonts w:hint="eastAsia" w:hAnsi="宋体" w:cs="宋体"/>
          <w:color w:val="auto"/>
          <w:sz w:val="28"/>
          <w:szCs w:val="28"/>
          <w:highlight w:val="none"/>
        </w:rPr>
        <w:t xml:space="preserve">内从</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中下载文件（“项目参与”——“采购项目参与”找到需要获取采购文件的项目，点击“我要参与”——“参与投标”——“下载文件”），完成项目参与，将</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中下载的采购文件（后缀名为“.kedt”）导入到“政府采购客户端”，离线按要求编制并加密投标文件（使用“CA数字证书”），导出加密的投标文件（后缀名为zip，不得超过150M）并在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上传该加密的投标文件，对采购文件各项内容做出实质性响应，否则其投标文件无效。</w:t>
      </w:r>
      <w:r/>
    </w:p>
    <w:p>
      <w:pPr>
        <w:ind w:firstLine="480"/>
        <w:spacing w:line="360" w:lineRule="auto"/>
        <w:tabs>
          <w:tab w:val="left" w:pos="900" w:leader="none"/>
        </w:tabs>
        <w:rPr>
          <w:rFonts w:hAnsi="宋体" w:cs="宋体"/>
          <w:bCs/>
          <w:color w:val="auto"/>
          <w:sz w:val="28"/>
          <w:szCs w:val="28"/>
          <w:highlight w:val="none"/>
        </w:rPr>
      </w:pPr>
      <w:r>
        <w:rPr>
          <w:rFonts w:hint="eastAsia" w:hAnsi="宋体" w:cs="宋体"/>
          <w:bCs/>
          <w:color w:val="auto"/>
          <w:sz w:val="28"/>
          <w:szCs w:val="28"/>
          <w:highlight w:val="none"/>
        </w:rPr>
        <w:t xml:space="preserve">（三）有关本次采购的事项若存在变动或修改，敬请及时关注江苏恒立工程项目管理有限公司在“江苏政府采购网”发布的更正公告。</w:t>
      </w:r>
      <w:r/>
    </w:p>
    <w:p>
      <w:pPr>
        <w:ind w:firstLine="480"/>
        <w:spacing w:line="360" w:lineRule="auto"/>
        <w:tabs>
          <w:tab w:val="left" w:pos="900" w:leader="none"/>
        </w:tabs>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（四）本次采购不收取投标保证金。</w:t>
      </w:r>
      <w:r/>
    </w:p>
    <w:p>
      <w:pPr>
        <w:ind w:firstLine="480"/>
        <w:spacing w:line="360" w:lineRule="auto"/>
        <w:tabs>
          <w:tab w:val="left" w:pos="900" w:leader="none"/>
        </w:tabs>
        <w:rPr>
          <w:rFonts w:hAnsi="宋体" w:cs="宋体"/>
          <w:b/>
          <w:color w:val="auto"/>
          <w:sz w:val="28"/>
          <w:szCs w:val="28"/>
          <w:highlight w:val="none"/>
        </w:rPr>
      </w:pPr>
      <w:r>
        <w:rPr>
          <w:rFonts w:hint="eastAsia" w:hAnsi="宋体" w:cs="宋体"/>
          <w:b/>
          <w:color w:val="auto"/>
          <w:sz w:val="28"/>
          <w:szCs w:val="28"/>
          <w:highlight w:val="none"/>
        </w:rPr>
        <w:t xml:space="preserve">（五）纸质投标文件：本项目为不见面开标，投标人无需递交纸质投标文件至现场，中标后中标供应商向采购代理机构提供与电子投标文件完全一致的纸质投标文件（2份）。</w:t>
      </w:r>
      <w:r/>
    </w:p>
    <w:p>
      <w:pPr>
        <w:ind w:firstLine="480"/>
        <w:spacing w:line="360" w:lineRule="auto"/>
        <w:tabs>
          <w:tab w:val="left" w:pos="900" w:leader="none"/>
        </w:tabs>
        <w:rPr>
          <w:rFonts w:hAnsi="宋体" w:cs="宋体"/>
          <w:b/>
          <w:color w:val="auto"/>
          <w:sz w:val="28"/>
          <w:szCs w:val="28"/>
          <w:highlight w:val="none"/>
        </w:rPr>
      </w:pPr>
      <w:r>
        <w:rPr>
          <w:rFonts w:hint="eastAsia" w:hAnsi="宋体" w:cs="宋体"/>
          <w:b/>
          <w:color w:val="auto"/>
          <w:sz w:val="28"/>
          <w:szCs w:val="28"/>
          <w:highlight w:val="none"/>
        </w:rPr>
        <w:t xml:space="preserve">（六）本招标文件中涉及的盖章部分均可使用CA签章。</w:t>
      </w:r>
      <w:r/>
    </w:p>
    <w:p>
      <w:pPr>
        <w:jc w:val="center"/>
        <w:spacing w:line="360" w:lineRule="auto"/>
        <w:tabs>
          <w:tab w:val="left" w:pos="1440" w:leader="none"/>
        </w:tabs>
        <w:rPr>
          <w:rFonts w:hAnsi="宋体" w:cs="宋体"/>
          <w:color w:val="auto"/>
          <w:sz w:val="28"/>
          <w:szCs w:val="28"/>
          <w:highlight w:val="none"/>
        </w:rPr>
        <w:outlineLvl w:val="0"/>
      </w:pPr>
      <w:r>
        <w:rPr>
          <w:rFonts w:hint="eastAsia" w:hAnsi="宋体" w:cs="宋体"/>
          <w:b/>
          <w:bCs/>
          <w:color w:val="auto"/>
          <w:sz w:val="28"/>
          <w:szCs w:val="28"/>
          <w:highlight w:val="none"/>
        </w:rPr>
        <w:br w:type="page" w:clear="all"/>
      </w:r>
      <w:bookmarkStart w:id="45" w:name="_Toc120614211"/>
      <w:r/>
      <w:bookmarkStart w:id="46" w:name="_Toc31936"/>
      <w:r>
        <w:rPr>
          <w:rFonts w:hint="eastAsia" w:hAnsi="宋体" w:cs="宋体"/>
          <w:b/>
          <w:bCs/>
          <w:color w:val="auto"/>
          <w:sz w:val="28"/>
          <w:szCs w:val="28"/>
          <w:highlight w:val="none"/>
        </w:rPr>
        <w:t xml:space="preserve">第二章  </w:t>
      </w:r>
      <w:bookmarkEnd w:id="45"/>
      <w:r/>
      <w:bookmarkStart w:id="47" w:name="_Toc20823274"/>
      <w:r/>
      <w:bookmarkStart w:id="48" w:name="_Toc513029202"/>
      <w:r/>
      <w:bookmarkStart w:id="49" w:name="_Toc16938518"/>
      <w:r/>
      <w:bookmarkStart w:id="50" w:name="_Toc120614213"/>
      <w:r>
        <w:rPr>
          <w:rFonts w:hint="eastAsia" w:hAnsi="宋体" w:cs="宋体"/>
          <w:b/>
          <w:bCs/>
          <w:color w:val="auto"/>
          <w:sz w:val="28"/>
          <w:szCs w:val="28"/>
          <w:highlight w:val="none"/>
        </w:rPr>
        <w:t xml:space="preserve">投标人须知</w:t>
      </w:r>
      <w:bookmarkEnd w:id="46"/>
      <w:r/>
      <w:bookmarkEnd w:id="47"/>
      <w:r/>
      <w:bookmarkEnd w:id="48"/>
      <w:r/>
      <w:bookmarkEnd w:id="49"/>
      <w:r/>
      <w:bookmarkEnd w:id="50"/>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51" w:name="_Toc120614214"/>
      <w:r/>
      <w:bookmarkStart w:id="52" w:name="_Toc20823275"/>
      <w:r/>
      <w:bookmarkStart w:id="53" w:name="_Toc16938519"/>
      <w:r/>
      <w:bookmarkStart w:id="54" w:name="_Toc513029203"/>
      <w:r/>
      <w:bookmarkStart w:id="55" w:name="_Toc27983"/>
      <w:r>
        <w:rPr>
          <w:rFonts w:hint="eastAsia" w:ascii="宋体" w:hAnsi="宋体" w:eastAsia="宋体" w:cs="宋体"/>
          <w:color w:val="auto"/>
          <w:sz w:val="28"/>
          <w:szCs w:val="28"/>
          <w:highlight w:val="none"/>
        </w:rPr>
        <w:t xml:space="preserve">一、总则</w:t>
      </w:r>
      <w:bookmarkEnd w:id="51"/>
      <w:r/>
      <w:bookmarkEnd w:id="52"/>
      <w:r/>
      <w:bookmarkEnd w:id="53"/>
      <w:r/>
      <w:bookmarkEnd w:id="54"/>
      <w:r/>
      <w:bookmarkEnd w:id="55"/>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56" w:name="_Hlt16619475"/>
      <w:r/>
      <w:bookmarkEnd w:id="56"/>
      <w:r/>
      <w:bookmarkStart w:id="57" w:name="_Toc20823276"/>
      <w:r/>
      <w:bookmarkStart w:id="58" w:name="_Toc16938520"/>
      <w:r/>
      <w:bookmarkStart w:id="59" w:name="_Toc513029204"/>
      <w:r>
        <w:rPr>
          <w:rFonts w:hint="eastAsia" w:ascii="宋体" w:hAnsi="宋体" w:eastAsia="宋体" w:cs="宋体"/>
          <w:bCs w:val="0"/>
          <w:color w:val="auto"/>
          <w:highlight w:val="none"/>
        </w:rPr>
        <w:t xml:space="preserve">1.招标方式</w:t>
      </w:r>
      <w:bookmarkEnd w:id="57"/>
      <w:r/>
      <w:bookmarkEnd w:id="58"/>
      <w:r/>
      <w:bookmarkEnd w:id="59"/>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1.1本次招标采取公开招标方式，本采购文件仅适用于招标公告中所述项目。</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60" w:name="_Toc16938521"/>
      <w:r/>
      <w:bookmarkStart w:id="61" w:name="_Toc20823277"/>
      <w:r/>
      <w:bookmarkStart w:id="62" w:name="_Toc513029205"/>
      <w:r>
        <w:rPr>
          <w:rFonts w:hint="eastAsia" w:ascii="宋体" w:hAnsi="宋体" w:eastAsia="宋体" w:cs="宋体"/>
          <w:bCs w:val="0"/>
          <w:color w:val="auto"/>
          <w:highlight w:val="none"/>
        </w:rPr>
        <w:t xml:space="preserve">2.</w:t>
      </w:r>
      <w:bookmarkEnd w:id="60"/>
      <w:r/>
      <w:bookmarkEnd w:id="61"/>
      <w:r/>
      <w:bookmarkEnd w:id="62"/>
      <w:r>
        <w:rPr>
          <w:rFonts w:hint="eastAsia" w:ascii="宋体" w:hAnsi="宋体" w:eastAsia="宋体" w:cs="宋体"/>
          <w:bCs w:val="0"/>
          <w:color w:val="auto"/>
          <w:highlight w:val="none"/>
        </w:rPr>
        <w:t xml:space="preserve">采购人、采购代理机构、投标人、联合体</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63" w:name="_Toc16938522"/>
      <w:r/>
      <w:bookmarkStart w:id="64" w:name="_Toc513029206"/>
      <w:r/>
      <w:bookmarkStart w:id="65" w:name="_Toc20823278"/>
      <w:r>
        <w:rPr>
          <w:rFonts w:hint="eastAsia" w:ascii="宋体" w:hAnsi="宋体" w:eastAsia="宋体" w:cs="宋体"/>
          <w:bCs w:val="0"/>
          <w:color w:val="auto"/>
          <w:highlight w:val="none"/>
        </w:rPr>
        <w:t xml:space="preserve">3.适用法律</w:t>
      </w:r>
      <w:bookmarkEnd w:id="63"/>
      <w:r/>
      <w:bookmarkEnd w:id="64"/>
      <w:r/>
      <w:bookmarkEnd w:id="65"/>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3.1 本次招标及由此产生的合同受中华人民共和国有关的法律法规制约和保护。</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66" w:name="_Toc462564067"/>
      <w:r/>
      <w:bookmarkStart w:id="67" w:name="_Toc16938523"/>
      <w:r/>
      <w:bookmarkStart w:id="68" w:name="_Toc20823279"/>
      <w:r/>
      <w:bookmarkStart w:id="69" w:name="_Toc513029207"/>
      <w:r>
        <w:rPr>
          <w:rFonts w:hint="eastAsia" w:ascii="宋体" w:hAnsi="宋体" w:eastAsia="宋体" w:cs="宋体"/>
          <w:bCs w:val="0"/>
          <w:color w:val="auto"/>
          <w:highlight w:val="none"/>
        </w:rPr>
        <w:t xml:space="preserve">4.投标费用</w:t>
      </w:r>
      <w:bookmarkEnd w:id="66"/>
      <w:r/>
      <w:bookmarkEnd w:id="67"/>
      <w:r/>
      <w:bookmarkEnd w:id="68"/>
      <w:r/>
      <w:bookmarkEnd w:id="69"/>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4.1</w:t>
      </w:r>
      <w:r>
        <w:rPr>
          <w:rFonts w:hint="eastAsia" w:hAnsi="宋体" w:cs="宋体"/>
          <w:color w:val="auto"/>
          <w:sz w:val="28"/>
          <w:szCs w:val="28"/>
          <w:highlight w:val="none"/>
        </w:rPr>
        <w:t xml:space="preserve">投标人应自行承担所有与参加投标有关的费用，无论投标过程中的做法和结果如何，江苏恒立工程项目管理有限公司在任何情况下均无义务和责任承担这些费用。</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4.2本项目采购代理服务费由中标单位支付，以中标金额为计费基础，按差额定率累进法计算，收费标准为：中标金额100万元以下费率为成交金额的1.5%,100万元-500万元费率为成交金额的0.8%，在此基础上打七折。</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5.采购文件的约束力</w:t>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5.1</w:t>
      </w:r>
      <w:r>
        <w:rPr>
          <w:rFonts w:hint="eastAsia" w:hAnsi="宋体" w:cs="宋体"/>
          <w:color w:val="auto"/>
          <w:sz w:val="28"/>
          <w:szCs w:val="28"/>
          <w:highlight w:val="none"/>
        </w:rPr>
        <w:t xml:space="preserve">投标人一旦参加本项目采购活动，即被认为接受了本采购文件的规定和约束。</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70" w:name="_Toc120614215"/>
      <w:r/>
      <w:bookmarkStart w:id="71" w:name="_Toc513029209"/>
      <w:r/>
      <w:bookmarkStart w:id="72" w:name="_Toc20823281"/>
      <w:r/>
      <w:bookmarkStart w:id="73" w:name="_Toc16938525"/>
      <w:r/>
      <w:bookmarkStart w:id="74" w:name="_Toc7554"/>
      <w:r>
        <w:rPr>
          <w:rFonts w:hint="eastAsia" w:ascii="宋体" w:hAnsi="宋体" w:eastAsia="宋体" w:cs="宋体"/>
          <w:color w:val="auto"/>
          <w:sz w:val="28"/>
          <w:szCs w:val="28"/>
          <w:highlight w:val="none"/>
        </w:rPr>
        <w:t xml:space="preserve">二、</w:t>
      </w:r>
      <w:bookmarkEnd w:id="70"/>
      <w:r/>
      <w:bookmarkEnd w:id="71"/>
      <w:r/>
      <w:bookmarkEnd w:id="72"/>
      <w:r/>
      <w:bookmarkEnd w:id="73"/>
      <w:r>
        <w:rPr>
          <w:rFonts w:hint="eastAsia" w:ascii="宋体" w:hAnsi="宋体" w:eastAsia="宋体" w:cs="宋体"/>
          <w:color w:val="auto"/>
          <w:sz w:val="28"/>
          <w:szCs w:val="28"/>
          <w:highlight w:val="none"/>
        </w:rPr>
        <w:t xml:space="preserve">采购文件</w:t>
      </w:r>
      <w:bookmarkEnd w:id="74"/>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75" w:name="_Toc20823282"/>
      <w:r/>
      <w:bookmarkStart w:id="76" w:name="_Toc513029210"/>
      <w:r/>
      <w:bookmarkStart w:id="77" w:name="_Toc16938526"/>
      <w:r>
        <w:rPr>
          <w:rFonts w:hint="eastAsia" w:ascii="宋体" w:hAnsi="宋体" w:eastAsia="宋体" w:cs="宋体"/>
          <w:bCs w:val="0"/>
          <w:color w:val="auto"/>
          <w:highlight w:val="none"/>
        </w:rPr>
        <w:t xml:space="preserve">6.采购文件构成</w:t>
      </w:r>
      <w:bookmarkEnd w:id="75"/>
      <w:r/>
      <w:bookmarkEnd w:id="76"/>
      <w:r/>
      <w:bookmarkEnd w:id="77"/>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6.1</w:t>
      </w:r>
      <w:r>
        <w:rPr>
          <w:rFonts w:hint="eastAsia" w:hAnsi="宋体" w:cs="宋体"/>
          <w:color w:val="auto"/>
          <w:sz w:val="28"/>
          <w:szCs w:val="28"/>
          <w:highlight w:val="none"/>
        </w:rPr>
        <w:t xml:space="preserve">采购文件由以下部分组成：</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（1）投标邀请</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（2）投标人须知</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（3）合同文本</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（4）采购需求</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（5）评标方法与评标标准</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（6）投标文件内容与格式</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请仔细检查采购文件是否齐全，如有缺漏请立即与江苏恒立工程项目管理有限公司联系解决。</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78" w:name="_Toc20823283"/>
      <w:r/>
      <w:bookmarkStart w:id="79" w:name="_Toc16938527"/>
      <w:r/>
      <w:bookmarkStart w:id="80" w:name="_Toc513029211"/>
      <w:r/>
      <w:bookmarkStart w:id="81" w:name="_Toc462564070"/>
      <w:r>
        <w:rPr>
          <w:rFonts w:hint="eastAsia" w:ascii="宋体" w:hAnsi="宋体" w:eastAsia="宋体" w:cs="宋体"/>
          <w:bCs w:val="0"/>
          <w:color w:val="auto"/>
          <w:highlight w:val="none"/>
        </w:rPr>
        <w:t xml:space="preserve">7.采购文件的澄清</w:t>
      </w:r>
      <w:bookmarkEnd w:id="78"/>
      <w:r/>
      <w:bookmarkEnd w:id="79"/>
      <w:r/>
      <w:bookmarkEnd w:id="80"/>
      <w:r/>
      <w:bookmarkEnd w:id="81"/>
      <w:r/>
      <w:r/>
    </w:p>
    <w:p>
      <w:pPr>
        <w:pStyle w:val="948"/>
        <w:numPr>
          <w:ilvl w:val="4"/>
          <w:numId w:val="0"/>
        </w:numPr>
        <w:ind w:firstLine="560"/>
        <w:keepLines w:val="0"/>
        <w:keepNext w:val="0"/>
        <w:spacing w:before="0" w:after="0" w:line="360" w:lineRule="auto"/>
        <w:rPr>
          <w:rFonts w:ascii="宋体" w:hAnsi="宋体" w:eastAsia="宋体" w:cs="宋体"/>
          <w:b w:val="0"/>
          <w:bCs w:val="0"/>
          <w:color w:val="auto"/>
          <w:highlight w:val="none"/>
        </w:rPr>
        <w:outlineLvl w:val="9"/>
      </w:pPr>
      <w:r/>
      <w:bookmarkStart w:id="82" w:name="_Toc513029212"/>
      <w:r/>
      <w:bookmarkStart w:id="83" w:name="_Toc16938528"/>
      <w:r/>
      <w:bookmarkStart w:id="84" w:name="_Toc462564071"/>
      <w:r/>
      <w:bookmarkStart w:id="85" w:name="_Toc20823284"/>
      <w:r>
        <w:rPr>
          <w:rFonts w:hint="eastAsia" w:ascii="宋体" w:hAnsi="宋体" w:eastAsia="宋体" w:cs="宋体"/>
          <w:b w:val="0"/>
          <w:bCs w:val="0"/>
          <w:color w:val="auto"/>
          <w:highlight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8.采购文件的修改</w:t>
      </w:r>
      <w:bookmarkEnd w:id="82"/>
      <w:r/>
      <w:bookmarkEnd w:id="83"/>
      <w:r/>
      <w:bookmarkEnd w:id="84"/>
      <w:r/>
      <w:bookmarkEnd w:id="85"/>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8.1江苏恒立工程项目管理有限公司可在投标截止时间十五日前对采购文件进行必要的澄清或者修改，不足十五日的，将顺延提交投标文件的截止时间和开标日期。</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8.2</w:t>
      </w:r>
      <w:r>
        <w:rPr>
          <w:rFonts w:hint="eastAsia" w:hAnsi="宋体" w:cs="宋体"/>
          <w:bCs/>
          <w:color w:val="auto"/>
          <w:sz w:val="28"/>
          <w:szCs w:val="28"/>
          <w:highlight w:val="none"/>
        </w:rPr>
        <w:t xml:space="preserve">如需对采购文件进行澄清或修改，江苏恒立工程项目管理有限公司将在江苏政府采购网发布更正公告，澄清或修改的内容为采购文件的组成部分，并对投标人具有约束力。投标人应在投标截止时间前</w:t>
      </w:r>
      <w:r>
        <w:rPr>
          <w:rFonts w:hint="eastAsia" w:hAnsi="宋体" w:cs="宋体"/>
          <w:color w:val="auto"/>
          <w:sz w:val="28"/>
          <w:szCs w:val="28"/>
          <w:highlight w:val="none"/>
        </w:rPr>
        <w:t xml:space="preserve">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或</w:t>
      </w:r>
      <w:r>
        <w:rPr>
          <w:rFonts w:hint="eastAsia" w:hAnsi="宋体" w:cs="宋体"/>
          <w:bCs/>
          <w:color w:val="auto"/>
          <w:sz w:val="28"/>
          <w:szCs w:val="28"/>
          <w:highlight w:val="none"/>
        </w:rPr>
        <w:t xml:space="preserve">关注原招标公告媒体上发布的更正公告</w:t>
      </w:r>
      <w:r>
        <w:rPr>
          <w:rFonts w:hint="eastAsia" w:hAnsi="宋体" w:cs="宋体"/>
          <w:color w:val="auto"/>
          <w:sz w:val="28"/>
          <w:szCs w:val="28"/>
          <w:highlight w:val="none"/>
        </w:rPr>
        <w:t xml:space="preserve">。</w:t>
      </w:r>
      <w:r>
        <w:rPr>
          <w:rFonts w:hint="eastAsia" w:hAnsi="宋体" w:cs="宋体"/>
          <w:bCs/>
          <w:color w:val="auto"/>
          <w:sz w:val="28"/>
          <w:szCs w:val="28"/>
          <w:highlight w:val="none"/>
        </w:rPr>
        <w:t xml:space="preserve">因投标人未尽注意义务，未及时更新上传投标文件</w:t>
      </w:r>
      <w:r>
        <w:rPr>
          <w:rFonts w:hint="eastAsia" w:hAnsi="宋体" w:cs="宋体"/>
          <w:color w:val="auto"/>
          <w:sz w:val="28"/>
          <w:szCs w:val="28"/>
          <w:highlight w:val="none"/>
        </w:rPr>
        <w:t xml:space="preserve">或未</w:t>
      </w:r>
      <w:r>
        <w:rPr>
          <w:rFonts w:hint="eastAsia" w:hAnsi="宋体" w:cs="宋体"/>
          <w:bCs/>
          <w:color w:val="auto"/>
          <w:sz w:val="28"/>
          <w:szCs w:val="28"/>
          <w:highlight w:val="none"/>
        </w:rPr>
        <w:t xml:space="preserve">全面地关注更正公告导致其提交的投标材料不符合本项目相关招标要求，而造成的损失及风险（包括但不限于未中标）由投标人自行承担。</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86" w:name="_Toc120614216"/>
      <w:r/>
      <w:bookmarkStart w:id="87" w:name="_Toc27958"/>
      <w:r/>
      <w:bookmarkStart w:id="88" w:name="_Toc462564072"/>
      <w:r/>
      <w:bookmarkStart w:id="89" w:name="_Toc513029213"/>
      <w:r/>
      <w:bookmarkStart w:id="90" w:name="_Toc20823285"/>
      <w:r/>
      <w:bookmarkStart w:id="91" w:name="_Toc16938529"/>
      <w:r>
        <w:rPr>
          <w:rFonts w:hint="eastAsia" w:ascii="宋体" w:hAnsi="宋体" w:eastAsia="宋体" w:cs="宋体"/>
          <w:color w:val="auto"/>
          <w:sz w:val="28"/>
          <w:szCs w:val="28"/>
          <w:highlight w:val="none"/>
        </w:rPr>
        <w:t xml:space="preserve">三、投标文件的编制</w:t>
      </w:r>
      <w:bookmarkEnd w:id="86"/>
      <w:r/>
      <w:bookmarkEnd w:id="87"/>
      <w:r/>
      <w:bookmarkEnd w:id="88"/>
      <w:r/>
      <w:bookmarkEnd w:id="89"/>
      <w:r/>
      <w:bookmarkEnd w:id="90"/>
      <w:r/>
      <w:bookmarkEnd w:id="91"/>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92" w:name="_Toc16938530"/>
      <w:r/>
      <w:bookmarkStart w:id="93" w:name="_Toc20823286"/>
      <w:r/>
      <w:bookmarkStart w:id="94" w:name="_Toc513029214"/>
      <w:r/>
      <w:bookmarkStart w:id="95" w:name="_Toc462564073"/>
      <w:r/>
      <w:bookmarkStart w:id="96" w:name="_Toc20823287"/>
      <w:r/>
      <w:bookmarkStart w:id="97" w:name="_Toc16938531"/>
      <w:r/>
      <w:bookmarkStart w:id="98" w:name="_Toc462564074"/>
      <w:r/>
      <w:bookmarkStart w:id="99" w:name="_Toc513029215"/>
      <w:r>
        <w:rPr>
          <w:rFonts w:hint="eastAsia" w:ascii="宋体" w:hAnsi="宋体" w:eastAsia="宋体" w:cs="宋体"/>
          <w:bCs w:val="0"/>
          <w:color w:val="auto"/>
          <w:highlight w:val="none"/>
        </w:rPr>
        <w:t xml:space="preserve">9.投标文件的语言及度量衡单位</w:t>
      </w:r>
      <w:bookmarkEnd w:id="92"/>
      <w:r/>
      <w:bookmarkEnd w:id="93"/>
      <w:r/>
      <w:bookmarkEnd w:id="94"/>
      <w:r/>
      <w:bookmarkEnd w:id="95"/>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9.1</w:t>
      </w:r>
      <w:r>
        <w:rPr>
          <w:rFonts w:hint="eastAsia" w:hAnsi="宋体" w:cs="宋体"/>
          <w:color w:val="auto"/>
          <w:sz w:val="28"/>
          <w:szCs w:val="28"/>
          <w:highlight w:val="none"/>
        </w:rPr>
        <w:t xml:space="preserve">投标人提交的投标文件以及投标人与江苏恒立工程项目管理有限公司就有关投标的所有来往通知、函件和文件均应使用</w:t>
      </w:r>
      <w:r>
        <w:rPr>
          <w:rFonts w:hint="eastAsia" w:hAnsi="宋体" w:cs="宋体"/>
          <w:bCs/>
          <w:color w:val="auto"/>
          <w:sz w:val="28"/>
          <w:szCs w:val="28"/>
          <w:highlight w:val="none"/>
        </w:rPr>
        <w:t xml:space="preserve">简体中文（规格、型号辅助符号例外）</w:t>
      </w:r>
      <w:r>
        <w:rPr>
          <w:rFonts w:hint="eastAsia" w:hAnsi="宋体" w:cs="宋体"/>
          <w:color w:val="auto"/>
          <w:sz w:val="28"/>
          <w:szCs w:val="28"/>
          <w:highlight w:val="none"/>
        </w:rPr>
        <w:t xml:space="preserve">。</w:t>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9.2</w:t>
      </w:r>
      <w:r>
        <w:rPr>
          <w:rFonts w:hint="eastAsia" w:hAnsi="宋体" w:cs="宋体"/>
          <w:color w:val="auto"/>
          <w:sz w:val="28"/>
          <w:szCs w:val="28"/>
          <w:highlight w:val="none"/>
        </w:rPr>
        <w:t xml:space="preserve">除技术性能另有规定外，投标文件所使用的度量衡单位，均须采用国家法定计量单位。</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val="zh-CN"/>
        </w:rPr>
        <w:t xml:space="preserve">9.4如无特别说明，</w:t>
      </w:r>
      <w:r>
        <w:rPr>
          <w:rFonts w:hint="eastAsia" w:hAnsi="宋体" w:cs="宋体"/>
          <w:bCs/>
          <w:color w:val="auto"/>
          <w:sz w:val="28"/>
          <w:szCs w:val="28"/>
          <w:highlight w:val="none"/>
        </w:rPr>
        <w:t xml:space="preserve">投标人报价一律以人民币为投标结算货币，结算单位为“元”。</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9.5投标文件格式部分，应由投标人按给定格式提供，不得更改。</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9.7投标费用自理。</w:t>
      </w:r>
      <w:r/>
    </w:p>
    <w:p>
      <w:pPr>
        <w:ind w:firstLine="480"/>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9.8在评分标准中除了投标报价外，还须包含明标（商务部分）和暗标（技术方案）两大部分，其暗标编制要求如下：</w:t>
      </w:r>
      <w:r/>
    </w:p>
    <w:p>
      <w:pPr>
        <w:ind w:firstLine="480"/>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暗标不得出现投标人名称、人员姓名，要求版面整洁、字迹清楚、不许涂改，不得出现能显示企业特征或其他提示性的标记或标识，也不得采用任何不符合常规、有别于其他投标人的特殊做法等。</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10.投标文件构成</w:t>
      </w:r>
      <w:bookmarkEnd w:id="96"/>
      <w:r/>
      <w:bookmarkEnd w:id="97"/>
      <w:r/>
      <w:bookmarkEnd w:id="98"/>
      <w:r/>
      <w:bookmarkEnd w:id="99"/>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10.2投标人所须提供的相关证明文件和要求以及投标文件的部分格式要求，详见第六章《投标文件内容与格式》。</w:t>
      </w:r>
      <w:r/>
    </w:p>
    <w:p>
      <w:pPr>
        <w:ind w:firstLine="482"/>
        <w:spacing w:line="360" w:lineRule="auto"/>
        <w:rPr>
          <w:rFonts w:hAnsi="宋体" w:cs="宋体"/>
          <w:color w:val="auto"/>
          <w:sz w:val="28"/>
          <w:szCs w:val="28"/>
          <w:highlight w:val="none"/>
        </w:rPr>
      </w:pPr>
      <w:r>
        <w:rPr>
          <w:rFonts w:hint="eastAsia" w:hAnsi="宋体" w:cs="宋体"/>
          <w:color w:val="auto"/>
          <w:sz w:val="28"/>
          <w:szCs w:val="28"/>
          <w:highlight w:val="none"/>
        </w:rPr>
        <w:t xml:space="preserve">10.3如标书制作工具中格式和内容与采购文件不一致的，请以采购文件为准。</w:t>
      </w:r>
      <w:r/>
    </w:p>
    <w:p>
      <w:pPr>
        <w:ind w:firstLine="482"/>
        <w:spacing w:line="360" w:lineRule="auto"/>
        <w:rPr>
          <w:rFonts w:hAnsi="宋体" w:cs="宋体"/>
          <w:b/>
          <w:color w:val="auto"/>
          <w:sz w:val="28"/>
          <w:szCs w:val="28"/>
          <w:highlight w:val="none"/>
          <w:u w:val="single"/>
        </w:rPr>
      </w:pPr>
      <w:r>
        <w:rPr>
          <w:rFonts w:hint="eastAsia" w:hAnsi="宋体" w:cs="宋体"/>
          <w:b/>
          <w:color w:val="auto"/>
          <w:sz w:val="28"/>
          <w:szCs w:val="28"/>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Ansi="宋体" w:cs="宋体"/>
          <w:b/>
          <w:color w:val="auto"/>
          <w:sz w:val="28"/>
          <w:szCs w:val="28"/>
          <w:highlight w:val="none"/>
          <w:u w:val="single"/>
        </w:rPr>
      </w:pPr>
      <w:r>
        <w:rPr>
          <w:rFonts w:hint="eastAsia" w:hAnsi="宋体" w:cs="宋体"/>
          <w:b/>
          <w:color w:val="auto"/>
          <w:sz w:val="28"/>
          <w:szCs w:val="28"/>
          <w:highlight w:val="none"/>
        </w:rPr>
        <w:t xml:space="preserve">不得有体现投标人身份的内容是指：</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10.4.1技术部分不得出现能够体现投标人身份、名称的相关描述、材料、文件等内容；</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10.4.2技术部分不得更改，不得在其中涂改、标注或做任何可以辨认投标人及所属人员身份的名称、印章、商标等标记；</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10.4.4不得有其他体现投标人身份的内容。</w:t>
      </w:r>
      <w:r/>
    </w:p>
    <w:p>
      <w:pPr>
        <w:ind w:firstLine="480"/>
        <w:spacing w:line="360" w:lineRule="auto"/>
        <w:rPr>
          <w:rFonts w:hAnsi="宋体" w:cs="宋体"/>
          <w:color w:val="auto"/>
          <w:sz w:val="28"/>
          <w:szCs w:val="28"/>
          <w:highlight w:val="none"/>
        </w:rPr>
      </w:pPr>
      <w:r>
        <w:rPr>
          <w:rFonts w:hint="eastAsia" w:hAnsi="宋体" w:cs="宋体"/>
          <w:b/>
          <w:color w:val="auto"/>
          <w:sz w:val="28"/>
          <w:szCs w:val="28"/>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00" w:name="_Hlt26670360"/>
      <w:r/>
      <w:bookmarkEnd w:id="100"/>
      <w:r/>
      <w:bookmarkStart w:id="101" w:name="_Hlt26668975"/>
      <w:r/>
      <w:bookmarkEnd w:id="101"/>
      <w:r/>
      <w:bookmarkStart w:id="102" w:name="_Hlt26954838"/>
      <w:r/>
      <w:bookmarkEnd w:id="102"/>
      <w:r/>
      <w:bookmarkStart w:id="103" w:name="_Toc513029216"/>
      <w:r/>
      <w:bookmarkStart w:id="104" w:name="_Toc14577357"/>
      <w:r/>
      <w:bookmarkStart w:id="105" w:name="_Toc14577354"/>
      <w:r/>
      <w:bookmarkStart w:id="106" w:name="_Toc513029219"/>
      <w:r/>
      <w:bookmarkStart w:id="107" w:name="_Toc49090507"/>
      <w:r/>
      <w:bookmarkStart w:id="108" w:name="_Toc49090509"/>
      <w:r>
        <w:rPr>
          <w:rFonts w:hint="eastAsia" w:ascii="宋体" w:hAnsi="宋体" w:eastAsia="宋体" w:cs="宋体"/>
          <w:bCs w:val="0"/>
          <w:color w:val="auto"/>
          <w:highlight w:val="none"/>
        </w:rPr>
        <w:t xml:space="preserve">11.证明投标人及投标标的符合采购文件规定的文件</w:t>
      </w:r>
      <w:bookmarkEnd w:id="103"/>
      <w:r/>
      <w:bookmarkEnd w:id="104"/>
      <w:r/>
      <w:bookmarkEnd w:id="105"/>
      <w:r/>
      <w:bookmarkEnd w:id="106"/>
      <w:r/>
      <w:bookmarkEnd w:id="107"/>
      <w:r/>
      <w:bookmarkEnd w:id="108"/>
      <w:r/>
      <w:r/>
    </w:p>
    <w:p>
      <w:pPr>
        <w:ind w:firstLine="480"/>
        <w:spacing w:line="360" w:lineRule="auto"/>
        <w:rPr>
          <w:rFonts w:hAnsi="宋体" w:cs="宋体"/>
          <w:bCs/>
          <w:color w:val="auto"/>
          <w:sz w:val="28"/>
          <w:szCs w:val="28"/>
          <w:highlight w:val="none"/>
        </w:rPr>
      </w:pPr>
      <w:r/>
      <w:bookmarkStart w:id="109" w:name="_Toc49090508"/>
      <w:r/>
      <w:bookmarkStart w:id="110" w:name="_Toc14577355"/>
      <w:r>
        <w:rPr>
          <w:rFonts w:hint="eastAsia" w:hAnsi="宋体" w:cs="宋体"/>
          <w:bCs/>
          <w:color w:val="auto"/>
          <w:sz w:val="28"/>
          <w:szCs w:val="28"/>
          <w:highlight w:val="none"/>
        </w:rPr>
        <w:t xml:space="preserve">11.1投标人应按照法律法规、规章和规范性文件以及采购文件要求提交证明文件，证明其及投标标的符合采购文件规定。</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11.2采购文件对证明文件无明确形式要求的，证明文件可以以文字资料、图纸和数据等形式提交。</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11" w:name="_Toc49090510"/>
      <w:r/>
      <w:bookmarkStart w:id="112" w:name="_Toc14577359"/>
      <w:r>
        <w:rPr>
          <w:rFonts w:hint="eastAsia" w:ascii="宋体" w:hAnsi="宋体" w:eastAsia="宋体" w:cs="宋体"/>
          <w:bCs w:val="0"/>
          <w:color w:val="auto"/>
          <w:highlight w:val="none"/>
        </w:rPr>
        <w:t xml:space="preserve">12.投标函、承诺书和开标一览表</w:t>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12.1</w:t>
      </w:r>
      <w:r>
        <w:rPr>
          <w:rFonts w:hint="eastAsia" w:hAnsi="宋体" w:cs="宋体"/>
          <w:color w:val="auto"/>
          <w:sz w:val="28"/>
          <w:szCs w:val="28"/>
          <w:highlight w:val="none"/>
        </w:rPr>
        <w:t xml:space="preserve">投标人应按照采购文件中提供的格式完整、正确填写投标函、承诺书和开标一览表。</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12.2对于采用货币报价的项目，开标一览表中的投标总报价应与分项报价表的总额一致，如不一致，不作为无效投标处理，但评标时以开标一览表中价格为准</w:t>
      </w:r>
      <w:bookmarkEnd w:id="111"/>
      <w:r/>
      <w:bookmarkEnd w:id="112"/>
      <w:r>
        <w:rPr>
          <w:rFonts w:hint="eastAsia" w:hAnsi="宋体" w:cs="宋体"/>
          <w:color w:val="auto"/>
          <w:sz w:val="28"/>
          <w:szCs w:val="28"/>
          <w:highlight w:val="none"/>
        </w:rPr>
        <w:t xml:space="preserve">。</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13.</w:t>
      </w:r>
      <w:bookmarkEnd w:id="109"/>
      <w:r/>
      <w:bookmarkEnd w:id="110"/>
      <w:r>
        <w:rPr>
          <w:rFonts w:hint="eastAsia" w:ascii="宋体" w:hAnsi="宋体" w:eastAsia="宋体" w:cs="宋体"/>
          <w:bCs w:val="0"/>
          <w:color w:val="auto"/>
          <w:highlight w:val="none"/>
        </w:rPr>
        <w:t xml:space="preserve">分项报价表</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13.1</w:t>
      </w:r>
      <w:r>
        <w:rPr>
          <w:rFonts w:hint="eastAsia" w:hAnsi="宋体" w:cs="宋体"/>
          <w:color w:val="auto"/>
          <w:sz w:val="28"/>
          <w:szCs w:val="28"/>
          <w:highlight w:val="none"/>
        </w:rPr>
        <w:t xml:space="preserve">投</w:t>
      </w:r>
      <w:bookmarkStart w:id="113" w:name="_Hlt26954840"/>
      <w:r/>
      <w:bookmarkEnd w:id="113"/>
      <w:r>
        <w:rPr>
          <w:rFonts w:hint="eastAsia" w:hAnsi="宋体" w:cs="宋体"/>
          <w:color w:val="auto"/>
          <w:sz w:val="28"/>
          <w:szCs w:val="28"/>
          <w:highlight w:val="none"/>
        </w:rPr>
        <w:t xml:space="preserve">标人应按照采购文件规定格式填报</w:t>
      </w:r>
      <w:bookmarkStart w:id="114" w:name="_Hlt26670399"/>
      <w:r/>
      <w:bookmarkEnd w:id="114"/>
      <w:r>
        <w:rPr>
          <w:rFonts w:hint="eastAsia" w:hAnsi="宋体" w:cs="宋体"/>
          <w:color w:val="auto"/>
          <w:sz w:val="28"/>
          <w:szCs w:val="28"/>
          <w:highlight w:val="none"/>
        </w:rPr>
        <w:t xml:space="preserve">分项报价表。</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13.2</w:t>
      </w:r>
      <w:r>
        <w:rPr>
          <w:rFonts w:hint="eastAsia" w:hAnsi="宋体" w:cs="宋体"/>
          <w:bCs/>
          <w:color w:val="auto"/>
          <w:sz w:val="28"/>
          <w:szCs w:val="28"/>
          <w:highlight w:val="none"/>
        </w:rPr>
        <w:t xml:space="preserve">投标货币。投标文件中的单价和总价无特殊规定的采用人民币报价，以“元”为单位标注。</w:t>
      </w:r>
      <w:r>
        <w:rPr>
          <w:rFonts w:hint="eastAsia" w:hAnsi="宋体" w:cs="宋体"/>
          <w:color w:val="auto"/>
          <w:sz w:val="28"/>
          <w:szCs w:val="28"/>
          <w:highlight w:val="none"/>
        </w:rPr>
        <w:t xml:space="preserve">采购文件中另有规定的按规定执行。</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15" w:name="_Hlt26670425"/>
      <w:r/>
      <w:bookmarkEnd w:id="115"/>
      <w:r/>
      <w:bookmarkStart w:id="116" w:name="_Hlt26670403"/>
      <w:r/>
      <w:bookmarkEnd w:id="116"/>
      <w:r/>
      <w:bookmarkStart w:id="117" w:name="_Hlt26954846"/>
      <w:r/>
      <w:bookmarkEnd w:id="117"/>
      <w:r/>
      <w:bookmarkStart w:id="118" w:name="_Hlt26668983"/>
      <w:r/>
      <w:bookmarkEnd w:id="118"/>
      <w:r/>
      <w:bookmarkStart w:id="119" w:name="_Hlt26670482"/>
      <w:r/>
      <w:bookmarkEnd w:id="119"/>
      <w:r/>
      <w:bookmarkStart w:id="120" w:name="_Hlt26954848"/>
      <w:r/>
      <w:bookmarkEnd w:id="120"/>
      <w:r/>
      <w:bookmarkStart w:id="121" w:name="_Hlt26954844"/>
      <w:r/>
      <w:bookmarkEnd w:id="121"/>
      <w:r/>
      <w:bookmarkStart w:id="122" w:name="_Hlt26954731"/>
      <w:r/>
      <w:bookmarkEnd w:id="122"/>
      <w:r/>
      <w:bookmarkStart w:id="123" w:name="_Hlt26670486"/>
      <w:r/>
      <w:bookmarkEnd w:id="123"/>
      <w:r/>
      <w:bookmarkStart w:id="124" w:name="_Hlt26954842"/>
      <w:r/>
      <w:bookmarkEnd w:id="124"/>
      <w:r>
        <w:rPr>
          <w:rFonts w:hint="eastAsia" w:ascii="宋体" w:hAnsi="宋体" w:eastAsia="宋体" w:cs="宋体"/>
          <w:bCs w:val="0"/>
          <w:color w:val="auto"/>
          <w:highlight w:val="none"/>
        </w:rPr>
        <w:t xml:space="preserve">14.投标偏离表</w:t>
      </w:r>
      <w:r/>
    </w:p>
    <w:p>
      <w:pPr>
        <w:ind w:firstLine="480"/>
        <w:spacing w:line="360" w:lineRule="auto"/>
        <w:tabs>
          <w:tab w:val="left" w:pos="1035" w:leader="none"/>
        </w:tabs>
        <w:rPr>
          <w:rFonts w:hAnsi="宋体" w:cs="宋体"/>
          <w:color w:val="auto"/>
          <w:sz w:val="28"/>
          <w:szCs w:val="28"/>
          <w:highlight w:val="none"/>
          <w:lang w:val="zh-CN"/>
        </w:rPr>
      </w:pPr>
      <w:r>
        <w:rPr>
          <w:rFonts w:hint="eastAsia" w:hAnsi="宋体" w:cs="宋体"/>
          <w:color w:val="auto"/>
          <w:sz w:val="28"/>
          <w:szCs w:val="28"/>
          <w:highlight w:val="none"/>
        </w:rPr>
        <w:t xml:space="preserve">14</w:t>
      </w:r>
      <w:r>
        <w:rPr>
          <w:rFonts w:hint="eastAsia" w:hAnsi="宋体" w:cs="宋体"/>
          <w:color w:val="auto"/>
          <w:sz w:val="28"/>
          <w:szCs w:val="28"/>
          <w:highlight w:val="none"/>
          <w:lang w:val="zh-CN"/>
        </w:rPr>
        <w:t xml:space="preserve">.</w:t>
      </w:r>
      <w:r>
        <w:rPr>
          <w:rFonts w:hint="eastAsia" w:hAnsi="宋体" w:cs="宋体"/>
          <w:color w:val="auto"/>
          <w:sz w:val="28"/>
          <w:szCs w:val="28"/>
          <w:highlight w:val="none"/>
        </w:rPr>
        <w:t xml:space="preserve">1</w:t>
      </w:r>
      <w:r>
        <w:rPr>
          <w:rFonts w:hint="eastAsia" w:hAnsi="宋体" w:cs="宋体"/>
          <w:color w:val="auto"/>
          <w:sz w:val="28"/>
          <w:szCs w:val="28"/>
          <w:highlight w:val="none"/>
          <w:lang w:val="zh-CN"/>
        </w:rPr>
        <w:t xml:space="preserve">投标人可在投标文件中提供认为需要的其他技术文件或说明。</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宋体" w:hAnsi="宋体" w:eastAsia="宋体" w:cs="宋体"/>
          <w:bCs w:val="0"/>
          <w:color w:val="auto"/>
          <w:highlight w:val="none"/>
        </w:rPr>
        <w:t xml:space="preserve">15.投标有效期</w:t>
      </w:r>
      <w:bookmarkEnd w:id="128"/>
      <w:r/>
      <w:bookmarkEnd w:id="129"/>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15.1</w:t>
      </w:r>
      <w:r>
        <w:rPr>
          <w:rFonts w:hint="eastAsia" w:hAnsi="宋体" w:cs="宋体"/>
          <w:bCs/>
          <w:color w:val="auto"/>
          <w:sz w:val="28"/>
          <w:szCs w:val="28"/>
          <w:highlight w:val="none"/>
        </w:rPr>
        <w:t xml:space="preserve">投标有效期为采购文件规定的递交响应文件截止时间后</w:t>
      </w:r>
      <w:r>
        <w:rPr>
          <w:rFonts w:hint="eastAsia" w:hAnsi="宋体" w:cs="宋体"/>
          <w:color w:val="auto"/>
          <w:sz w:val="28"/>
          <w:szCs w:val="28"/>
          <w:highlight w:val="none"/>
        </w:rPr>
        <w:t xml:space="preserve">九十（90）天</w:t>
      </w:r>
      <w:r>
        <w:rPr>
          <w:rFonts w:hint="eastAsia" w:hAnsi="宋体" w:cs="宋体"/>
          <w:bCs/>
          <w:color w:val="auto"/>
          <w:sz w:val="28"/>
          <w:szCs w:val="28"/>
          <w:highlight w:val="none"/>
        </w:rPr>
        <w:t xml:space="preserve">。投标有效期比规定短的将被视为未实质性响应采购文件而予以拒绝。</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16.投标有效期的延长</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16.1</w:t>
      </w:r>
      <w:r>
        <w:rPr>
          <w:rFonts w:hint="eastAsia" w:hAnsi="宋体" w:cs="宋体"/>
          <w:bCs/>
          <w:color w:val="auto"/>
          <w:sz w:val="28"/>
          <w:szCs w:val="28"/>
          <w:highlight w:val="none"/>
        </w:rPr>
        <w:t xml:space="preserve">在特殊情况下，江苏恒立工程项目管理有限公司于原投标有效期满之前，可向投标人提出延长投标有效期的要求。这种要求与答复均应采用书面形式。投标人可以拒绝江苏恒立工程项目管理有限公司的这一要求而放弃投标</w:t>
      </w:r>
      <w:r>
        <w:rPr>
          <w:rFonts w:hint="eastAsia" w:hAnsi="宋体" w:cs="宋体"/>
          <w:color w:val="auto"/>
          <w:sz w:val="28"/>
          <w:szCs w:val="28"/>
          <w:highlight w:val="none"/>
        </w:rPr>
        <w:t xml:space="preserve">。</w:t>
      </w:r>
      <w:r>
        <w:rPr>
          <w:rFonts w:hint="eastAsia" w:hAnsi="宋体" w:cs="宋体"/>
          <w:bCs/>
          <w:color w:val="auto"/>
          <w:sz w:val="28"/>
          <w:szCs w:val="28"/>
          <w:highlight w:val="none"/>
        </w:rPr>
        <w:t xml:space="preserve">同意延长投标有效期的投标人既不能要求也不允许修改其投标文件</w:t>
      </w:r>
      <w:r>
        <w:rPr>
          <w:rFonts w:hint="eastAsia" w:hAnsi="宋体" w:cs="宋体"/>
          <w:color w:val="auto"/>
          <w:sz w:val="28"/>
          <w:szCs w:val="28"/>
          <w:highlight w:val="none"/>
        </w:rPr>
        <w:t xml:space="preserve">，同时受投标有效期约束的所有权利与义务均延长至新的有效期</w:t>
      </w:r>
      <w:r>
        <w:rPr>
          <w:rFonts w:hint="eastAsia" w:hAnsi="宋体" w:cs="宋体"/>
          <w:bCs/>
          <w:color w:val="auto"/>
          <w:sz w:val="28"/>
          <w:szCs w:val="28"/>
          <w:highlight w:val="none"/>
        </w:rPr>
        <w:t xml:space="preserve">。</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30" w:name="_Hlt26954852"/>
      <w:r/>
      <w:bookmarkEnd w:id="130"/>
      <w:r/>
      <w:bookmarkStart w:id="131" w:name="_Hlt26954739"/>
      <w:r/>
      <w:bookmarkEnd w:id="131"/>
      <w:r/>
      <w:bookmarkStart w:id="132" w:name="_Toc120614217"/>
      <w:r/>
      <w:bookmarkStart w:id="133" w:name="_Toc513029224"/>
      <w:r/>
      <w:bookmarkStart w:id="134" w:name="_Toc20823296"/>
      <w:r/>
      <w:bookmarkStart w:id="135" w:name="_Toc16938540"/>
      <w:r/>
      <w:bookmarkStart w:id="136" w:name="_Toc27489"/>
      <w:r>
        <w:rPr>
          <w:rFonts w:hint="eastAsia" w:ascii="宋体" w:hAnsi="宋体" w:eastAsia="宋体" w:cs="宋体"/>
          <w:color w:val="auto"/>
          <w:sz w:val="28"/>
          <w:szCs w:val="28"/>
          <w:highlight w:val="none"/>
        </w:rPr>
        <w:t xml:space="preserve">四、投标文件的递交</w:t>
      </w:r>
      <w:bookmarkEnd w:id="132"/>
      <w:r/>
      <w:bookmarkEnd w:id="133"/>
      <w:r/>
      <w:bookmarkEnd w:id="134"/>
      <w:r/>
      <w:bookmarkEnd w:id="135"/>
      <w:r/>
      <w:bookmarkEnd w:id="136"/>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37" w:name="_Toc513029225"/>
      <w:r/>
      <w:bookmarkStart w:id="138" w:name="_Toc16938541"/>
      <w:r/>
      <w:bookmarkStart w:id="139" w:name="_Toc20823297"/>
      <w:r/>
      <w:bookmarkStart w:id="140" w:name="_Toc462564084"/>
      <w:r>
        <w:rPr>
          <w:rFonts w:hint="eastAsia" w:ascii="宋体" w:hAnsi="宋体" w:eastAsia="宋体" w:cs="宋体"/>
          <w:bCs w:val="0"/>
          <w:color w:val="auto"/>
          <w:highlight w:val="none"/>
        </w:rPr>
        <w:t xml:space="preserve">17.投标文件</w:t>
      </w:r>
      <w:bookmarkEnd w:id="137"/>
      <w:r/>
      <w:bookmarkEnd w:id="138"/>
      <w:r/>
      <w:bookmarkEnd w:id="139"/>
      <w:r/>
      <w:bookmarkEnd w:id="140"/>
      <w:r>
        <w:rPr>
          <w:rFonts w:hint="eastAsia" w:ascii="宋体" w:hAnsi="宋体" w:eastAsia="宋体" w:cs="宋体"/>
          <w:bCs w:val="0"/>
          <w:color w:val="auto"/>
          <w:highlight w:val="none"/>
        </w:rPr>
        <w:t xml:space="preserve">的递交</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17.1</w:t>
      </w:r>
      <w:r>
        <w:rPr>
          <w:rFonts w:hint="eastAsia" w:hAnsi="宋体" w:cs="宋体"/>
          <w:bCs/>
          <w:color w:val="auto"/>
          <w:sz w:val="28"/>
          <w:szCs w:val="28"/>
          <w:highlight w:val="none"/>
        </w:rPr>
        <w:t xml:space="preserve">电子投标文件的递交</w:t>
      </w:r>
      <w:r/>
    </w:p>
    <w:p>
      <w:pPr>
        <w:pStyle w:val="1249"/>
        <w:ind w:firstLine="48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投标人应当按照《操作手册》规定，在投标截止时间前制作并上传电子投标文件</w:t>
      </w:r>
      <w:bookmarkStart w:id="141" w:name="_Toc513029226"/>
      <w:r/>
      <w:bookmarkStart w:id="142" w:name="_Toc16938542"/>
      <w:r/>
      <w:bookmarkStart w:id="143" w:name="_Toc20823298"/>
      <w:r>
        <w:rPr>
          <w:rFonts w:hint="eastAsia" w:ascii="宋体" w:hAnsi="宋体" w:cs="宋体"/>
          <w:bCs/>
          <w:color w:val="auto"/>
          <w:sz w:val="28"/>
          <w:szCs w:val="28"/>
          <w:highlight w:val="none"/>
        </w:rPr>
        <w:t xml:space="preserve">。</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18.投标截止</w:t>
      </w:r>
      <w:bookmarkEnd w:id="141"/>
      <w:r/>
      <w:bookmarkEnd w:id="142"/>
      <w:r/>
      <w:bookmarkEnd w:id="143"/>
      <w:r>
        <w:rPr>
          <w:rFonts w:hint="eastAsia" w:ascii="宋体" w:hAnsi="宋体" w:eastAsia="宋体" w:cs="宋体"/>
          <w:bCs w:val="0"/>
          <w:color w:val="auto"/>
          <w:highlight w:val="none"/>
        </w:rPr>
        <w:t xml:space="preserve">时间</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18.1</w:t>
      </w:r>
      <w:r>
        <w:rPr>
          <w:rFonts w:hint="eastAsia" w:hAnsi="宋体" w:cs="宋体"/>
          <w:bCs/>
          <w:color w:val="auto"/>
          <w:sz w:val="28"/>
          <w:szCs w:val="28"/>
          <w:highlight w:val="none"/>
        </w:rPr>
        <w:t xml:space="preserve">投标人上传电子投标文件的时间不得迟于招标公告中规定的投标截止时间。</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投标人应充分考虑网络环境、网络带宽等风险因素，如因投标人自身原因造成的电子投标文件上传不成功的视作投标人未按照采购文件要求上传电子投标文件，做无效投标处理。</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18.2</w:t>
      </w:r>
      <w:r>
        <w:rPr>
          <w:rFonts w:hint="eastAsia" w:hAnsi="宋体" w:cs="宋体"/>
          <w:bCs/>
          <w:color w:val="auto"/>
          <w:sz w:val="28"/>
          <w:szCs w:val="28"/>
          <w:highlight w:val="none"/>
        </w:rPr>
        <w:t xml:space="preserve">江苏恒立工程项目管理有限公司可以按照规定，通过更正公告修改投标截止时间，投标人的所有权利和义务以及投标人受制的截止时间均应以延长后新的截止时间为准。</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44" w:name="_Toc513029227"/>
      <w:r/>
      <w:bookmarkStart w:id="145" w:name="_Toc20823299"/>
      <w:r/>
      <w:bookmarkStart w:id="146" w:name="_Toc16938543"/>
      <w:r>
        <w:rPr>
          <w:rFonts w:hint="eastAsia" w:ascii="宋体" w:hAnsi="宋体" w:eastAsia="宋体" w:cs="宋体"/>
          <w:bCs w:val="0"/>
          <w:color w:val="auto"/>
          <w:highlight w:val="none"/>
        </w:rPr>
        <w:t xml:space="preserve">19.投标文件</w:t>
      </w:r>
      <w:bookmarkEnd w:id="144"/>
      <w:r/>
      <w:bookmarkEnd w:id="145"/>
      <w:r/>
      <w:bookmarkEnd w:id="146"/>
      <w:r>
        <w:rPr>
          <w:rFonts w:hint="eastAsia" w:ascii="宋体" w:hAnsi="宋体" w:eastAsia="宋体" w:cs="宋体"/>
          <w:bCs w:val="0"/>
          <w:color w:val="auto"/>
          <w:highlight w:val="none"/>
        </w:rPr>
        <w:t xml:space="preserve">的拒收</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19.1</w:t>
      </w:r>
      <w:r>
        <w:rPr>
          <w:rFonts w:hint="eastAsia" w:hAnsi="宋体" w:cs="宋体"/>
          <w:bCs/>
          <w:color w:val="auto"/>
          <w:sz w:val="28"/>
          <w:szCs w:val="28"/>
          <w:highlight w:val="none"/>
        </w:rPr>
        <w:t xml:space="preserve">江苏恒立工程项目管理有限公司拒绝接收在其规定的投标截止时间后上传的任何投标文件。</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47" w:name="_Toc513029228"/>
      <w:r/>
      <w:bookmarkStart w:id="148" w:name="_Toc16938544"/>
      <w:r/>
      <w:bookmarkStart w:id="149" w:name="_Toc20823300"/>
      <w:r>
        <w:rPr>
          <w:rFonts w:hint="eastAsia" w:ascii="宋体" w:hAnsi="宋体" w:eastAsia="宋体" w:cs="宋体"/>
          <w:bCs w:val="0"/>
          <w:color w:val="auto"/>
          <w:highlight w:val="none"/>
        </w:rPr>
        <w:t xml:space="preserve">20.投标文件的撤回和修改</w:t>
      </w:r>
      <w:bookmarkEnd w:id="147"/>
      <w:r/>
      <w:bookmarkEnd w:id="148"/>
      <w:r/>
      <w:bookmarkEnd w:id="149"/>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20.1投标文件的撤回</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21.1.1电子投标文件的撤回</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投标人可在投标截止时间前，撤回其电子投标文件，具体操作方法见《操作手册》。</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21.1.2投标人撤回电子投标文件，则认为其不再参与本项目投标活动。</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20.2投标文件的修改</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20.2.1投标人可在投标截止时间前，对其电子投标文件进行修改，具体操作方法见《操作手册》。</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20.2.2</w:t>
      </w:r>
      <w:r>
        <w:rPr>
          <w:rFonts w:hint="eastAsia" w:hAnsi="宋体" w:cs="宋体"/>
          <w:bCs/>
          <w:color w:val="auto"/>
          <w:sz w:val="28"/>
          <w:szCs w:val="28"/>
          <w:highlight w:val="none"/>
        </w:rPr>
        <w:t xml:space="preserve">在投标截止时间之后，投标人不得对其电子投标文件作任何修改。</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20.3</w:t>
      </w:r>
      <w:r>
        <w:rPr>
          <w:rFonts w:hint="eastAsia" w:hAnsi="宋体" w:cs="宋体"/>
          <w:bCs/>
          <w:color w:val="auto"/>
          <w:sz w:val="28"/>
          <w:szCs w:val="28"/>
          <w:highlight w:val="none"/>
        </w:rPr>
        <w:t xml:space="preserve">在投标截止时间至采购文件中规定的投标有效期满之间的这段时间内，投标人不得撤回其投标。</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50" w:name="_Toc16938545"/>
      <w:r/>
      <w:bookmarkStart w:id="151" w:name="_Toc20823301"/>
      <w:r/>
      <w:bookmarkStart w:id="152" w:name="_Toc120614218"/>
      <w:r/>
      <w:bookmarkStart w:id="153" w:name="_Toc15997"/>
      <w:r/>
      <w:bookmarkStart w:id="154" w:name="_Toc513029229"/>
      <w:r>
        <w:rPr>
          <w:rFonts w:hint="eastAsia" w:ascii="宋体" w:hAnsi="宋体" w:eastAsia="宋体" w:cs="宋体"/>
          <w:color w:val="auto"/>
          <w:sz w:val="28"/>
          <w:szCs w:val="28"/>
          <w:highlight w:val="none"/>
        </w:rPr>
        <w:t xml:space="preserve">五、开标与评标</w:t>
      </w:r>
      <w:bookmarkEnd w:id="150"/>
      <w:r/>
      <w:bookmarkEnd w:id="151"/>
      <w:r/>
      <w:bookmarkEnd w:id="152"/>
      <w:r/>
      <w:bookmarkEnd w:id="153"/>
      <w:r/>
      <w:bookmarkEnd w:id="154"/>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55" w:name="_Toc16938546"/>
      <w:r/>
      <w:bookmarkStart w:id="156" w:name="_Toc513029230"/>
      <w:r/>
      <w:bookmarkStart w:id="157" w:name="_Toc20823302"/>
      <w:r>
        <w:rPr>
          <w:rFonts w:hint="eastAsia" w:ascii="宋体" w:hAnsi="宋体" w:eastAsia="宋体" w:cs="宋体"/>
          <w:bCs w:val="0"/>
          <w:color w:val="auto"/>
          <w:highlight w:val="none"/>
        </w:rPr>
        <w:t xml:space="preserve">21.开标</w:t>
      </w:r>
      <w:bookmarkEnd w:id="155"/>
      <w:r/>
      <w:bookmarkEnd w:id="156"/>
      <w:r/>
      <w:bookmarkEnd w:id="157"/>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21.1</w:t>
      </w:r>
      <w:r>
        <w:rPr>
          <w:rFonts w:hint="eastAsia" w:hAnsi="宋体" w:cs="宋体"/>
          <w:bCs/>
          <w:color w:val="auto"/>
          <w:sz w:val="28"/>
          <w:szCs w:val="28"/>
          <w:highlight w:val="none"/>
        </w:rPr>
        <w:t xml:space="preserve">江苏恒立工程项目管理有限公司将在招标公告中规定的时间和地点组织公开开标</w:t>
      </w:r>
      <w:r>
        <w:rPr>
          <w:rFonts w:hint="eastAsia" w:hAnsi="宋体" w:cs="宋体"/>
          <w:color w:val="auto"/>
          <w:sz w:val="28"/>
          <w:szCs w:val="28"/>
          <w:highlight w:val="none"/>
        </w:rPr>
        <w:t xml:space="preserve">。投标人应当按照《操作手册》规定，参加开标活动和在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规定的时间内对投标文件进行解密。</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21.2开标仪式由江苏恒立工程项目管理有限公司组织。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将自动对项目进行开标，并宣布各投标人名称和投标价格。</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21.3投标人在开标过程中涉及的投标文件解密、开标结果确认等工作，应按照《操作手册》规定执行。</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21.4投标人如果对开标过程和开标记录有疑义，应当根据《操作手册》规定提出，如</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中《开标记录表》宣布后5分钟内未提出的，视同认可开标结果。</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58" w:name="_Toc16938547"/>
      <w:r/>
      <w:bookmarkStart w:id="159" w:name="_Toc513029231"/>
      <w:r/>
      <w:bookmarkStart w:id="160" w:name="_Toc20823303"/>
      <w:r>
        <w:rPr>
          <w:rFonts w:hint="eastAsia" w:ascii="宋体" w:hAnsi="宋体" w:eastAsia="宋体" w:cs="宋体"/>
          <w:bCs w:val="0"/>
          <w:color w:val="auto"/>
          <w:highlight w:val="none"/>
        </w:rPr>
        <w:t xml:space="preserve">22.评标委员会</w:t>
      </w:r>
      <w:r/>
    </w:p>
    <w:p>
      <w:pPr>
        <w:ind w:firstLine="480"/>
        <w:spacing w:line="360" w:lineRule="auto"/>
        <w:rPr>
          <w:rFonts w:hAnsi="宋体" w:cs="宋体"/>
          <w:b/>
          <w:color w:val="auto"/>
          <w:sz w:val="28"/>
          <w:szCs w:val="28"/>
          <w:highlight w:val="none"/>
        </w:rPr>
      </w:pPr>
      <w:r>
        <w:rPr>
          <w:rFonts w:hint="eastAsia" w:hAnsi="宋体" w:cs="宋体"/>
          <w:color w:val="auto"/>
          <w:sz w:val="28"/>
          <w:szCs w:val="28"/>
          <w:highlight w:val="none"/>
        </w:rPr>
        <w:t xml:space="preserve">22.1开标后，江苏恒立工程项目管理有限公司将立即组织评标委员会（以下简称评委会）进行评标。</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22.2评委会依法组建，且人员构成符合政府采购有关规定。</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22.3评委会独立工作，负责评审所有投标文件并确定中标候选人。</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23.评标过程的保密与公正</w:t>
      </w:r>
      <w:bookmarkEnd w:id="158"/>
      <w:r/>
      <w:bookmarkEnd w:id="159"/>
      <w:r/>
      <w:bookmarkEnd w:id="160"/>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23.1</w:t>
      </w:r>
      <w:r>
        <w:rPr>
          <w:rFonts w:hint="eastAsia" w:hAnsi="宋体" w:cs="宋体"/>
          <w:bCs/>
          <w:color w:val="auto"/>
          <w:sz w:val="28"/>
          <w:szCs w:val="28"/>
          <w:highlight w:val="none"/>
        </w:rPr>
        <w:t xml:space="preserve">凡是与审查、澄清、评价和比较投标的有关资料以及投标建议等，采购人、评委、江苏恒立工程项目管理有限公司均不得向投标人或与评标无关的其他人员透露。</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23.2在评标过程中，投标人不得以任何行为影响评标过程，否则其投标文件将被作为无效投标文件。</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23.3江苏恒立工程项目管理有限公司和评标委员会不向未中标的投标人解释未中标原因，也不公布评标过程中的相关细节。</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23.4采用综合评分法的项目，未中标的投标人可于中标结果公告发布后通过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查看自己的评审得分及排序情况。</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61" w:name="_Toc20823304"/>
      <w:r/>
      <w:bookmarkStart w:id="162" w:name="_Toc16938548"/>
      <w:r/>
      <w:bookmarkStart w:id="163" w:name="_Toc513029232"/>
      <w:r>
        <w:rPr>
          <w:rFonts w:hint="eastAsia" w:ascii="宋体" w:hAnsi="宋体" w:eastAsia="宋体" w:cs="宋体"/>
          <w:bCs w:val="0"/>
          <w:color w:val="auto"/>
          <w:highlight w:val="none"/>
        </w:rPr>
        <w:t xml:space="preserve">24.投标文件的澄清</w:t>
      </w:r>
      <w:bookmarkEnd w:id="161"/>
      <w:r/>
      <w:bookmarkEnd w:id="162"/>
      <w:r/>
      <w:bookmarkEnd w:id="163"/>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投标人的澄清、说明或者补正不得超出投标文件的范围或者改变投标文件的实质性内容。</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24.2需要供应商进行澄清、说明和补正的，评委会将通过</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向供应商发出“澄清要求函”，接到“澄清要求函”的投标人应当按照要求在</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中提交“澄清响应函”并加盖CA电子公章。澄清、说明和补正的内容作为投标文件的补充部分，具体操作方式见《操作手册》。</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24.3接到评委会澄清、说明和补正要求的投标人如未按规定及时作出澄清、说明和补正，其风险由投标人自行承担。</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64" w:name="_Toc20823305"/>
      <w:r/>
      <w:bookmarkStart w:id="165" w:name="_Toc16938549"/>
      <w:r/>
      <w:bookmarkStart w:id="166" w:name="_Toc513029233"/>
      <w:r>
        <w:rPr>
          <w:rFonts w:hint="eastAsia" w:ascii="宋体" w:hAnsi="宋体" w:eastAsia="宋体" w:cs="宋体"/>
          <w:bCs w:val="0"/>
          <w:color w:val="auto"/>
          <w:highlight w:val="none"/>
        </w:rPr>
        <w:t xml:space="preserve">25.对投标文件的初审</w:t>
      </w:r>
      <w:bookmarkEnd w:id="164"/>
      <w:r/>
      <w:bookmarkEnd w:id="165"/>
      <w:r/>
      <w:bookmarkEnd w:id="166"/>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25.1</w:t>
      </w:r>
      <w:r>
        <w:rPr>
          <w:rFonts w:hint="eastAsia" w:hAnsi="宋体" w:cs="宋体"/>
          <w:bCs/>
          <w:color w:val="auto"/>
          <w:sz w:val="28"/>
          <w:szCs w:val="28"/>
          <w:highlight w:val="none"/>
        </w:rPr>
        <w:t xml:space="preserve">投标文件初审分为资格审查和符合性审查。</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25.1.1资格审查：依据法律法规和采购文件的规定，由采购人或采购代理机构对投标文件中的资格证明文件进行审查。</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bCs/>
          <w:color w:val="auto"/>
          <w:sz w:val="28"/>
          <w:szCs w:val="28"/>
          <w:highlight w:val="none"/>
        </w:rPr>
        <w:t xml:space="preserve">www.creditchina.gov.cn</w:t>
      </w:r>
      <w:r>
        <w:rPr>
          <w:rFonts w:hint="eastAsia" w:hAnsi="宋体" w:cs="宋体"/>
          <w:bCs/>
          <w:color w:val="auto"/>
          <w:sz w:val="28"/>
          <w:szCs w:val="28"/>
          <w:highlight w:val="none"/>
        </w:rPr>
        <w:fldChar w:fldCharType="end"/>
      </w:r>
      <w:r>
        <w:rPr>
          <w:rFonts w:hint="eastAsia" w:hAnsi="宋体" w:cs="宋体"/>
          <w:bCs/>
          <w:color w:val="auto"/>
          <w:sz w:val="28"/>
          <w:szCs w:val="28"/>
          <w:highlight w:val="none"/>
        </w:rPr>
        <w:t xml:space="preserve">）、</w:t>
      </w:r>
      <w:r>
        <w:rPr>
          <w:rFonts w:hint="eastAsia" w:hAnsi="宋体" w:cs="宋体"/>
          <w:color w:val="auto"/>
          <w:sz w:val="28"/>
          <w:szCs w:val="28"/>
          <w:highlight w:val="none"/>
        </w:rPr>
        <w:t xml:space="preserve">中国政府采购网（www.ccgp.gov.cn）</w:t>
      </w:r>
      <w:r>
        <w:rPr>
          <w:rFonts w:hint="eastAsia" w:hAnsi="宋体" w:cs="宋体"/>
          <w:bCs/>
          <w:color w:val="auto"/>
          <w:sz w:val="28"/>
          <w:szCs w:val="28"/>
          <w:highlight w:val="none"/>
        </w:rPr>
        <w:t xml:space="preserve">查询投标人在投标截止时间之前，是否被列入</w:t>
      </w:r>
      <w:r>
        <w:rPr>
          <w:rFonts w:hint="eastAsia" w:hAnsi="宋体" w:cs="宋体"/>
          <w:color w:val="auto"/>
          <w:sz w:val="28"/>
          <w:szCs w:val="28"/>
          <w:highlight w:val="none"/>
        </w:rPr>
        <w:t xml:space="preserve">失信被执行人、重大税收违法失信主体、政府采购严重违法失信行为记录名单，</w:t>
      </w:r>
      <w:r>
        <w:rPr>
          <w:rFonts w:hint="eastAsia" w:hAnsi="宋体" w:cs="宋体"/>
          <w:bCs/>
          <w:color w:val="auto"/>
          <w:sz w:val="28"/>
          <w:szCs w:val="28"/>
          <w:highlight w:val="none"/>
        </w:rPr>
        <w:t xml:space="preserve">以确定投标人是否具备投标资格。</w:t>
      </w:r>
      <w:r>
        <w:rPr>
          <w:rFonts w:hint="eastAsia" w:hAnsi="宋体" w:cs="宋体"/>
          <w:color w:val="auto"/>
          <w:sz w:val="28"/>
          <w:szCs w:val="28"/>
          <w:highlight w:val="none"/>
        </w:rPr>
        <w:t xml:space="preserve">查询结果留存并归档。</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25.1.2符合性审查：依据采购文件的规定，由评委会从投标文件的有效性、完整性和对采购文件的响应程度进行审查，以确定是否对采购文件的实质性要求作出响应。</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所谓重大偏离或保留是指与采购文件规定的实质性要求存在负偏离，或者在实质上与采购文件不一致，而且限制了合同中买方和江苏恒立工程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25.3如果投标文件实质上没有响应采购文件的要求，评委会将予以拒绝，其投标文件无效，投标人不得通过修改或撤销不符合要求的偏离或保留而使其投标成为实质性响应的投标。</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25.4</w:t>
      </w:r>
      <w:r>
        <w:rPr>
          <w:rFonts w:hint="eastAsia" w:hAnsi="宋体" w:cs="宋体"/>
          <w:bCs/>
          <w:color w:val="auto"/>
          <w:sz w:val="28"/>
          <w:szCs w:val="28"/>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（1）投标文件中开标一览表内容与投标文件中相应内容不一致的，以开标一览表为准。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（2）大写金额和小写金额不一致的，以大写金额为准。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（3）单价金额小数点或者百分比有明显错位的，以开标一览表的总价为准，并修改单价。</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（4）总价金额与按单价汇总金额不一致的，以单价金额计算结果为准。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同时出现两种以上错误的，按照前款规定的顺序修正。</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25.5</w:t>
      </w:r>
      <w:r>
        <w:rPr>
          <w:rFonts w:hint="eastAsia" w:hAnsi="宋体" w:cs="宋体"/>
          <w:bCs/>
          <w:color w:val="auto"/>
          <w:sz w:val="28"/>
          <w:szCs w:val="28"/>
          <w:highlight w:val="none"/>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20"/>
        <w:spacing w:line="360" w:lineRule="auto"/>
        <w:rPr>
          <w:rFonts w:hAnsi="宋体" w:cs="宋体"/>
          <w:color w:val="auto"/>
          <w:sz w:val="28"/>
          <w:szCs w:val="28"/>
          <w:highlight w:val="none"/>
        </w:rPr>
      </w:pPr>
      <w:r/>
      <w:bookmarkStart w:id="167" w:name="_Toc16938550"/>
      <w:r/>
      <w:bookmarkStart w:id="168" w:name="_Toc20823306"/>
      <w:r/>
      <w:bookmarkStart w:id="169" w:name="_Toc513029234"/>
      <w:r>
        <w:rPr>
          <w:rFonts w:hint="eastAsia" w:hAnsi="宋体" w:cs="宋体"/>
          <w:color w:val="auto"/>
          <w:sz w:val="28"/>
          <w:szCs w:val="28"/>
          <w:highlight w:val="none"/>
        </w:rPr>
        <w:t xml:space="preserve">25.6投标人在开、评标全过程中应保持通信畅通，及时登录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查阅、答复相关信息，并安排专人随时接受与代理机构及评标委员会的相关询问。</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26</w:t>
      </w:r>
      <w:bookmarkEnd w:id="167"/>
      <w:r/>
      <w:bookmarkEnd w:id="168"/>
      <w:r/>
      <w:bookmarkEnd w:id="169"/>
      <w:r>
        <w:rPr>
          <w:rFonts w:hint="eastAsia" w:ascii="宋体" w:hAnsi="宋体" w:eastAsia="宋体" w:cs="宋体"/>
          <w:bCs w:val="0"/>
          <w:color w:val="auto"/>
          <w:highlight w:val="none"/>
        </w:rPr>
        <w:t xml:space="preserve">.无效投标条款和废标条款</w:t>
      </w:r>
      <w:r/>
    </w:p>
    <w:p>
      <w:pPr>
        <w:ind w:left="479"/>
        <w:spacing w:line="360" w:lineRule="auto"/>
        <w:rPr>
          <w:rFonts w:hAnsi="宋体" w:cs="宋体"/>
          <w:bCs/>
          <w:color w:val="auto"/>
          <w:sz w:val="28"/>
          <w:szCs w:val="28"/>
          <w:highlight w:val="none"/>
        </w:rPr>
      </w:pPr>
      <w:r/>
      <w:bookmarkStart w:id="170" w:name="_Toc513029235"/>
      <w:r/>
      <w:bookmarkStart w:id="171" w:name="_Toc20823307"/>
      <w:r/>
      <w:bookmarkStart w:id="172" w:name="_Toc16938551"/>
      <w:r>
        <w:rPr>
          <w:rFonts w:hint="eastAsia" w:hAnsi="宋体" w:cs="宋体"/>
          <w:bCs/>
          <w:color w:val="auto"/>
          <w:sz w:val="28"/>
          <w:szCs w:val="28"/>
          <w:highlight w:val="none"/>
        </w:rPr>
        <w:t xml:space="preserve">26.1无效投标条款</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w:t>
      </w:r>
      <w:r>
        <w:rPr>
          <w:rFonts w:hint="eastAsia" w:hAnsi="宋体" w:cs="宋体"/>
          <w:color w:val="auto"/>
          <w:sz w:val="28"/>
          <w:szCs w:val="28"/>
          <w:highlight w:val="none"/>
        </w:rPr>
        <w:t xml:space="preserve">未按《“苏采云”系统供应商操作手册》进行正确操作的。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26.1.2投标人在“苏采云”系统规定的时间内未成功解密电子投标文件的。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26.1.3投标人未按照采购文件要求上传电子投标文件、电子投标文件未按规定期限投标的，纸质投标文件（如有）未按规定的期限、地点送达的。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26.1.4投标人的电子投标文件未按采购文件要求签章的。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26.1.5投标人的被授权代表无授权委托书或授权委托日期晚于投标截止日期的。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26.1.6投标人不具备采购文件中规定的资格要求或未按采购文件规定的要求提供资格证明文件的。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26.1.7同一投标人提交两套（含两套）以上不同的投标报价的。</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color w:val="auto"/>
          <w:sz w:val="28"/>
          <w:szCs w:val="28"/>
          <w:highlight w:val="none"/>
        </w:rPr>
        <w:t xml:space="preserve">www.creditchina.gov.cn</w:t>
      </w:r>
      <w:r>
        <w:rPr>
          <w:rFonts w:hint="eastAsia" w:hAnsi="宋体" w:cs="宋体"/>
          <w:color w:val="auto"/>
          <w:sz w:val="28"/>
          <w:szCs w:val="28"/>
          <w:highlight w:val="none"/>
        </w:rPr>
        <w:fldChar w:fldCharType="end"/>
      </w:r>
      <w:r>
        <w:rPr>
          <w:rFonts w:hint="eastAsia" w:hAnsi="宋体" w:cs="宋体"/>
          <w:color w:val="auto"/>
          <w:sz w:val="28"/>
          <w:szCs w:val="28"/>
          <w:highlight w:val="none"/>
        </w:rPr>
        <w:t xml:space="preserve">）、中国政府采购网（www.ccgp.gov.cn）列入失信被执行人或重大税收违法失信主体或政府采购严重违法失信行为记录名单的。</w:t>
      </w:r>
      <w:r>
        <w:rPr>
          <w:rFonts w:hint="eastAsia" w:hAnsi="宋体" w:cs="宋体"/>
          <w:bCs/>
          <w:color w:val="auto"/>
          <w:sz w:val="28"/>
          <w:szCs w:val="28"/>
          <w:highlight w:val="none"/>
        </w:rPr>
        <w:t xml:space="preserve">或查询“信用中国”网站、</w:t>
      </w:r>
      <w:r>
        <w:rPr>
          <w:rFonts w:hint="eastAsia" w:hAnsi="宋体" w:cs="宋体"/>
          <w:color w:val="auto"/>
          <w:sz w:val="28"/>
          <w:szCs w:val="28"/>
          <w:highlight w:val="none"/>
        </w:rPr>
        <w:t xml:space="preserve">中国政府采购网</w:t>
      </w:r>
      <w:r>
        <w:rPr>
          <w:rFonts w:hint="eastAsia" w:hAnsi="宋体" w:cs="宋体"/>
          <w:bCs/>
          <w:color w:val="auto"/>
          <w:sz w:val="28"/>
          <w:szCs w:val="28"/>
          <w:highlight w:val="none"/>
        </w:rPr>
        <w:t xml:space="preserve">后发现投标人存在其他不符合《中华人民共和国政府采购法》第二十二条规定条件的信用记录。</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26.1.9投标文件未按采购文件规定的内容和要求填写的。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26.1.10投标人的项目（标项、标段、分包）投标总价超过本项目（标项、标段、分包）预算或最高限价的。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26.1.11未通过符合性审查的。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26.1.12投标文件含有采购人不能接受的附加条件的。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26.1.13电子投标文件图片、字迹模糊不清、无法辨认导致无法评审的。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26.1.14投标文件中有采购文件未允许提供的选择性内容。</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26.1.15不同投标人委托同一单位或者个人办理投标事宜的。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26.1.16不同投标人的单位负责人为同一人或者存在直接控股、管理关系的。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26.1.20提供虚假材料的（包括工商营业执照、财务报表、资格证明文件等）。</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26.1.21除单一来源采购项目外，为采购项目提供整体设计、规范编制或者项目管理、监理、检测等服务的。</w:t>
      </w:r>
      <w:r/>
    </w:p>
    <w:p>
      <w:pPr>
        <w:ind w:firstLine="480"/>
        <w:spacing w:line="360" w:lineRule="auto"/>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26.1.22评标委员会认定投标人的报价明显低于其他通过符合性审查投标人的报价，有可能影响产品质量或者不能诚信履约，且投标人不能应评标委员会要求通过“苏采云”系统</w:t>
      </w:r>
      <w:r>
        <w:rPr>
          <w:rFonts w:hint="eastAsia" w:hAnsi="宋体" w:cs="宋体"/>
          <w:color w:val="auto"/>
          <w:sz w:val="28"/>
          <w:szCs w:val="28"/>
          <w:highlight w:val="none"/>
        </w:rPr>
        <w:t xml:space="preserve">（或</w:t>
      </w:r>
      <w:r>
        <w:rPr>
          <w:rFonts w:hint="eastAsia" w:hAnsi="宋体" w:cs="宋体"/>
          <w:bCs/>
          <w:color w:val="auto"/>
          <w:sz w:val="28"/>
          <w:szCs w:val="28"/>
          <w:highlight w:val="none"/>
        </w:rPr>
        <w:t xml:space="preserve">在评标现场</w:t>
      </w:r>
      <w:r>
        <w:rPr>
          <w:rFonts w:hint="eastAsia" w:hAnsi="宋体" w:cs="宋体"/>
          <w:color w:val="auto"/>
          <w:sz w:val="28"/>
          <w:szCs w:val="28"/>
          <w:highlight w:val="none"/>
        </w:rPr>
        <w:t xml:space="preserve">）给定的</w:t>
      </w:r>
      <w:r>
        <w:rPr>
          <w:rFonts w:hint="eastAsia" w:hAnsi="宋体" w:cs="宋体"/>
          <w:bCs/>
          <w:color w:val="auto"/>
          <w:sz w:val="28"/>
          <w:szCs w:val="28"/>
          <w:highlight w:val="none"/>
        </w:rPr>
        <w:t xml:space="preserve">合理时间内提供说明（必要时评标委员会可要求投标人提交相关证明材料）证明其报价合理性的，评标委员会应当将其作为无效投标处理。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26.1.23投标文件内容不全或不符合采购文件中规定的其他实质性要求和条件的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26.1.24其他法律法规及本采购文件规定的无效投标的情形。</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26.2废标条款</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26.2.1符合专业条件的供应商或者对采购文件做实质响应的供应商不足三家的。</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26.2.2出现影响采购公正的违法、违规行为的。</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26.2.3因重大变故，采购任务取消的。</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26.2.4评标委员会认定采购文件存在歧义、重大缺陷导致评审工作无法进行。</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26.2.5 因“苏采云”系统故障原因造成开标不成功的；</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26.2.6投标人的报价均超过采购预算，采购人不能支付的。</w:t>
      </w:r>
      <w:r/>
    </w:p>
    <w:p>
      <w:pPr>
        <w:ind w:left="479"/>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26.3 投标截止时间结束后参加投标的供应商不足三家的处理：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26.3.1如出现投标截止时间结束后参加投标的供应商或者在评标期间对采购文件做出实质响应的供应商不足三家情况，按政府采购相关规定执行。</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73" w:name="_Toc120614219"/>
      <w:r/>
      <w:bookmarkStart w:id="174" w:name="_Toc23555"/>
      <w:r>
        <w:rPr>
          <w:rFonts w:hint="eastAsia" w:ascii="宋体" w:hAnsi="宋体" w:eastAsia="宋体" w:cs="宋体"/>
          <w:color w:val="auto"/>
          <w:sz w:val="28"/>
          <w:szCs w:val="28"/>
          <w:highlight w:val="none"/>
        </w:rPr>
        <w:t xml:space="preserve">六、</w:t>
      </w:r>
      <w:bookmarkEnd w:id="170"/>
      <w:r/>
      <w:bookmarkEnd w:id="171"/>
      <w:r/>
      <w:bookmarkEnd w:id="172"/>
      <w:r>
        <w:rPr>
          <w:rFonts w:hint="eastAsia" w:ascii="宋体" w:hAnsi="宋体" w:eastAsia="宋体" w:cs="宋体"/>
          <w:color w:val="auto"/>
          <w:sz w:val="28"/>
          <w:szCs w:val="28"/>
          <w:highlight w:val="none"/>
        </w:rPr>
        <w:t xml:space="preserve">定标</w:t>
      </w:r>
      <w:bookmarkEnd w:id="173"/>
      <w:r/>
      <w:bookmarkEnd w:id="174"/>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75" w:name="_Toc513029238"/>
      <w:r/>
      <w:bookmarkStart w:id="176" w:name="_Toc16938554"/>
      <w:r/>
      <w:bookmarkStart w:id="177" w:name="_Toc20823310"/>
      <w:r>
        <w:rPr>
          <w:rFonts w:hint="eastAsia" w:ascii="宋体" w:hAnsi="宋体" w:eastAsia="宋体" w:cs="宋体"/>
          <w:bCs w:val="0"/>
          <w:color w:val="auto"/>
          <w:highlight w:val="none"/>
          <w:lang w:eastAsia="zh-CN"/>
        </w:rPr>
        <w:t xml:space="preserve">27.</w:t>
      </w:r>
      <w:bookmarkEnd w:id="175"/>
      <w:r>
        <w:rPr>
          <w:rFonts w:hint="eastAsia" w:ascii="宋体" w:hAnsi="宋体" w:eastAsia="宋体" w:cs="宋体"/>
          <w:bCs w:val="0"/>
          <w:color w:val="auto"/>
          <w:highlight w:val="none"/>
        </w:rPr>
        <w:t xml:space="preserve">确定</w:t>
      </w:r>
      <w:bookmarkEnd w:id="176"/>
      <w:r/>
      <w:bookmarkEnd w:id="177"/>
      <w:r>
        <w:rPr>
          <w:rFonts w:hint="eastAsia" w:ascii="宋体" w:hAnsi="宋体" w:eastAsia="宋体" w:cs="宋体"/>
          <w:bCs w:val="0"/>
          <w:color w:val="auto"/>
          <w:highlight w:val="none"/>
        </w:rPr>
        <w:t xml:space="preserve">中标单位</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27.1评标委员会根据采购文件规定的评标方法和评标标准进行评审，按采购文件的要求依法选取中标候选人，中标候选人的选取原则和数量见采购文件第五章规定。</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27.3</w:t>
      </w:r>
      <w:r>
        <w:rPr>
          <w:rFonts w:hint="eastAsia" w:hAnsi="宋体" w:cs="宋体"/>
          <w:color w:val="auto"/>
          <w:sz w:val="28"/>
          <w:szCs w:val="28"/>
          <w:highlight w:val="none"/>
        </w:rPr>
        <w:t xml:space="preserve">江苏恒立工程项目管理有限公司将在“江苏政府采购网”发布中标公告，公告期限为1个工作日。</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27.4中标无效的确认</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若有充分证据证明，中标人出现下列情况之一的，一经查实，将被取消中标资格：</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27.4.1提供虚假材料谋取中标的。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27.4.2向采购人、江苏恒立工程项目管理有限公司行贿或者提供其他不正当利益的。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27.4.3属于本文件规定的无效投标文件条件的，但在评标过程中又未被评委会发现的。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27.4.4与采购人或者其他供应商恶意串通的。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27.4.5采取不正当手段诋毁、排挤其他供应商的。</w:t>
      </w:r>
      <w:r/>
    </w:p>
    <w:p>
      <w:pPr>
        <w:ind w:firstLine="480"/>
        <w:spacing w:line="360" w:lineRule="auto"/>
        <w:rPr>
          <w:rFonts w:hAnsi="宋体" w:cs="宋体"/>
          <w:color w:val="auto"/>
          <w:sz w:val="28"/>
          <w:szCs w:val="28"/>
          <w:highlight w:val="none"/>
        </w:rPr>
      </w:pPr>
      <w:r/>
      <w:bookmarkStart w:id="178" w:name="_Toc200451960"/>
      <w:r>
        <w:rPr>
          <w:rFonts w:hint="eastAsia" w:hAnsi="宋体" w:cs="宋体"/>
          <w:color w:val="auto"/>
          <w:sz w:val="28"/>
          <w:szCs w:val="28"/>
          <w:highlight w:val="none"/>
        </w:rPr>
        <w:t xml:space="preserve">27.4.6</w:t>
      </w:r>
      <w:r>
        <w:rPr>
          <w:rFonts w:hint="eastAsia" w:hAnsi="宋体" w:cs="宋体"/>
          <w:bCs/>
          <w:color w:val="auto"/>
          <w:sz w:val="28"/>
          <w:szCs w:val="28"/>
          <w:highlight w:val="none"/>
        </w:rPr>
        <w:t xml:space="preserve">在招标过程中与采购人进行协商谈判、不按照采购文件和中标供应商的投标文件订立合同，或者与采购人另行订立背离合同实质性内容的协议的；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27.4.7</w:t>
      </w:r>
      <w:r>
        <w:rPr>
          <w:rFonts w:hint="eastAsia" w:hAnsi="宋体" w:cs="宋体"/>
          <w:bCs/>
          <w:color w:val="auto"/>
          <w:sz w:val="28"/>
          <w:szCs w:val="28"/>
          <w:highlight w:val="none"/>
        </w:rPr>
        <w:t xml:space="preserve">拒绝有关部门监督检查或者提供虚假情况的。</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27.5 有下列情形之一的，视为投标人串通投标，投标无效：</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27.5.1不同投标人的投标文件由同一单位或者个人编制。</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27.5.2不同投标人委托同一单位或者个人办理投标事宜。</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27.5.3 不同投标人的投标文件载明的项目管理成员或者联系人员为同一人。</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27.5.4不同投标人的投标文件异常一致或者投标报价呈规律性差异。</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28.质疑处理</w:t>
      </w:r>
      <w:bookmarkEnd w:id="178"/>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人或江苏恒立工程项目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28.2.1对可以质疑的采购文件提出质疑的，为收到采购文件之日或者采购文件公告期限届满之日；</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28.2.2对采购过程提出质疑的，为各采购程序环节结束之日；</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28.2.3对中标或者成交结果提出质疑的，为中标或者成交结果公告期限届满之日。</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供应商应当在法定质疑期内一次性提出针对同一采购程序环节的质疑。供应商如在法定期限内对同一采购程序环节提出多次质疑的，江苏恒立工程项目管理有限公司、采购人将只对供应商第一次质疑作出答复。</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28.3</w:t>
      </w:r>
      <w:r>
        <w:rPr>
          <w:rFonts w:hint="eastAsia" w:hAnsi="宋体" w:cs="宋体"/>
          <w:bCs/>
          <w:color w:val="auto"/>
          <w:sz w:val="28"/>
          <w:szCs w:val="28"/>
          <w:highlight w:val="none"/>
        </w:rPr>
        <w:t xml:space="preserve">质疑函的质疑事项应具体、明确，并有必要的事实依据和法律依据（格式详见中国政府采购网《政府采购供应商质疑函范本》）。</w:t>
      </w:r>
      <w:r>
        <w:rPr>
          <w:rFonts w:hint="eastAsia" w:hAnsi="宋体" w:cs="宋体"/>
          <w:color w:val="auto"/>
          <w:sz w:val="28"/>
          <w:szCs w:val="28"/>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Ansi="宋体" w:cs="宋体"/>
          <w:color w:val="auto"/>
          <w:sz w:val="28"/>
          <w:szCs w:val="28"/>
          <w:highlight w:val="none"/>
          <w:shd w:val="clear" w:color="ffffff" w:fill="d9d9d9"/>
        </w:rPr>
      </w:pPr>
      <w:r>
        <w:rPr>
          <w:rFonts w:hint="eastAsia" w:hAnsi="宋体" w:cs="宋体"/>
          <w:color w:val="auto"/>
          <w:sz w:val="28"/>
          <w:szCs w:val="28"/>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江苏恒立工程项目管理有限公司提出，由江苏恒立工程项目管理有限公司负责答复。</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采购人、江苏恒立工程项目管理有限公司只接收以纸质原件形式送达的质疑，质疑供应商可通过面交或邮寄方式送达（采购人和江苏恒立工程项目管理有限公司不接受未填写快递运单的快件）。</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采购人、江苏恒立工程项目管理有限公司联系人、联系方式、通信地址见采购文件第一章。</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 以下情形的质疑不予受理</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28.5.1 内容不符合《政府采购质疑和投诉办法》第十二条规定的质疑。</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28.5.2 超出政府采购法定期限的质疑。</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28.5.3 以传真、电子邮件等方式递交的非原件形式的质疑。</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28.5.4未参加投标活动的供应商或在投标活动中自身权益未受到损害的供应商所提出的质疑。</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28.5.5供应商组成联合体参加投标，联合体中任何一方或多方未按要求签字、盖章、加盖公章的质疑。</w:t>
      </w:r>
      <w:r/>
    </w:p>
    <w:p>
      <w:pPr>
        <w:ind w:firstLine="468"/>
        <w:spacing w:line="360" w:lineRule="auto"/>
        <w:rPr>
          <w:rFonts w:hAnsi="宋体" w:cs="宋体"/>
          <w:color w:val="auto"/>
          <w:sz w:val="28"/>
          <w:szCs w:val="28"/>
          <w:highlight w:val="none"/>
        </w:rPr>
      </w:pPr>
      <w:r>
        <w:rPr>
          <w:rFonts w:hint="eastAsia" w:hAnsi="宋体" w:cs="宋体"/>
          <w:color w:val="auto"/>
          <w:sz w:val="28"/>
          <w:szCs w:val="28"/>
          <w:highlight w:val="none"/>
        </w:rPr>
        <w:t xml:space="preserve">28.6供应商提出书面质疑必须有理、有据，</w:t>
      </w:r>
      <w:r>
        <w:rPr>
          <w:rFonts w:hint="eastAsia" w:hAnsi="宋体" w:cs="宋体"/>
          <w:bCs/>
          <w:color w:val="auto"/>
          <w:sz w:val="28"/>
          <w:szCs w:val="28"/>
          <w:highlight w:val="none"/>
        </w:rPr>
        <w:t xml:space="preserve">如质疑查无实据或供应商捏造事实，提供虚假材料进行恶意质疑或举报，不配合或采用不正当手段干扰政府采购质疑的，</w:t>
      </w:r>
      <w:r>
        <w:rPr>
          <w:rFonts w:hint="eastAsia" w:hAnsi="宋体" w:cs="宋体"/>
          <w:color w:val="auto"/>
          <w:sz w:val="28"/>
          <w:szCs w:val="28"/>
          <w:highlight w:val="none"/>
        </w:rPr>
        <w:t xml:space="preserve">一经查实，江苏恒立工程项目管理有限公司有权依据政府采购的有关规定，报请政府采购监管部门对该供应商进行相应的行政处罚和记录该供应商的失信信息。</w:t>
      </w:r>
      <w:r/>
    </w:p>
    <w:p>
      <w:pPr>
        <w:pStyle w:val="948"/>
        <w:numPr>
          <w:ilvl w:val="0"/>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29.中标通知书</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29.l中标结果确定后，江苏恒立工程项目管理有限公司将向中标人发出中标通知书。请中标人在中标结果公告届满之日起30日内，使用CA数字证书登录</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及时下载中标通知书。因系统存储空间有限，自中标结果公告届满之日起30日后，</w:t>
      </w:r>
      <w:r>
        <w:rPr>
          <w:rFonts w:hint="eastAsia" w:hAnsi="宋体" w:cs="宋体"/>
          <w:bCs/>
          <w:color w:val="auto"/>
          <w:sz w:val="28"/>
          <w:szCs w:val="28"/>
          <w:highlight w:val="none"/>
        </w:rPr>
        <w:t xml:space="preserve">“苏采云”系统</w:t>
      </w:r>
      <w:r>
        <w:rPr>
          <w:rFonts w:hint="eastAsia" w:hAnsi="宋体" w:cs="宋体"/>
          <w:color w:val="auto"/>
          <w:sz w:val="28"/>
          <w:szCs w:val="28"/>
          <w:highlight w:val="none"/>
        </w:rPr>
        <w:t xml:space="preserve">不再保证提供下载中标通知书服务，因未及时下载而造成的不利后果由中标人自行承担。</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46"/>
        <w:ind w:firstLine="452"/>
        <w:keepLines w:val="0"/>
        <w:keepNext w:val="0"/>
        <w:spacing w:before="0" w:after="0" w:line="360" w:lineRule="auto"/>
        <w:rPr>
          <w:rFonts w:ascii="宋体" w:hAnsi="宋体" w:eastAsia="宋体" w:cs="宋体"/>
          <w:color w:val="auto"/>
          <w:sz w:val="28"/>
          <w:szCs w:val="28"/>
          <w:highlight w:val="none"/>
        </w:rPr>
        <w:outlineLvl w:val="1"/>
      </w:pPr>
      <w:r/>
      <w:bookmarkStart w:id="179" w:name="_Toc20823308"/>
      <w:r/>
      <w:bookmarkStart w:id="180" w:name="_Toc513029236"/>
      <w:r/>
      <w:bookmarkStart w:id="181" w:name="_Toc16938552"/>
      <w:r/>
      <w:bookmarkStart w:id="182" w:name="_Toc32720"/>
      <w:r/>
      <w:bookmarkStart w:id="183" w:name="_Toc120614220"/>
      <w:r>
        <w:rPr>
          <w:rFonts w:hint="eastAsia" w:ascii="宋体" w:hAnsi="宋体" w:eastAsia="宋体" w:cs="宋体"/>
          <w:color w:val="auto"/>
          <w:sz w:val="28"/>
          <w:szCs w:val="28"/>
          <w:highlight w:val="none"/>
        </w:rPr>
        <w:t xml:space="preserve">七、授予合同</w:t>
      </w:r>
      <w:bookmarkEnd w:id="179"/>
      <w:r/>
      <w:bookmarkEnd w:id="180"/>
      <w:r/>
      <w:bookmarkEnd w:id="181"/>
      <w:r/>
      <w:bookmarkEnd w:id="182"/>
      <w:r/>
      <w:bookmarkEnd w:id="183"/>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bookmarkStart w:id="184" w:name="_Toc16938553"/>
      <w:r/>
      <w:bookmarkStart w:id="185" w:name="_Toc20823309"/>
      <w:r/>
      <w:bookmarkStart w:id="186" w:name="_Toc513029237"/>
      <w:r>
        <w:rPr>
          <w:rFonts w:hint="eastAsia" w:ascii="宋体" w:hAnsi="宋体" w:eastAsia="宋体" w:cs="宋体"/>
          <w:bCs w:val="0"/>
          <w:color w:val="auto"/>
          <w:highlight w:val="none"/>
        </w:rPr>
        <w:t xml:space="preserve">30.签订合同</w:t>
      </w:r>
      <w:r/>
    </w:p>
    <w:p>
      <w:pPr>
        <w:ind w:firstLine="48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hAnsi="宋体" w:cs="宋体"/>
          <w:color w:val="auto"/>
          <w:sz w:val="28"/>
          <w:szCs w:val="28"/>
          <w:highlight w:val="none"/>
        </w:rPr>
        <w:t xml:space="preserve">采购文件、中标人的投标文件及招标过程中有关澄清、承诺文件均应作为合同附件。</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30.2中标人非因不可抗力未履行招、投标文件和合同规定的义务，一经查实，江苏恒立工程项目管理有限公司将根据具体情况提请政府采购管理部门作出相应处理。</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8"/>
        <w:numPr>
          <w:ilvl w:val="4"/>
          <w:numId w:val="0"/>
        </w:numPr>
        <w:keepLines w:val="0"/>
        <w:keepNext w:val="0"/>
        <w:spacing w:before="0" w:after="0" w:line="360" w:lineRule="auto"/>
        <w:rPr>
          <w:rFonts w:ascii="宋体" w:hAnsi="宋体" w:eastAsia="宋体" w:cs="宋体"/>
          <w:bCs w:val="0"/>
          <w:color w:val="auto"/>
          <w:highlight w:val="none"/>
        </w:rPr>
        <w:outlineLvl w:val="9"/>
      </w:pPr>
      <w:r>
        <w:rPr>
          <w:rFonts w:hint="eastAsia" w:ascii="宋体" w:hAnsi="宋体" w:eastAsia="宋体" w:cs="宋体"/>
          <w:bCs w:val="0"/>
          <w:color w:val="auto"/>
          <w:highlight w:val="none"/>
        </w:rPr>
        <w:t xml:space="preserve">31.</w:t>
      </w:r>
      <w:bookmarkEnd w:id="184"/>
      <w:r/>
      <w:bookmarkEnd w:id="185"/>
      <w:r/>
      <w:bookmarkEnd w:id="186"/>
      <w:r>
        <w:rPr>
          <w:rFonts w:hint="eastAsia" w:ascii="宋体" w:hAnsi="宋体" w:eastAsia="宋体" w:cs="宋体"/>
          <w:bCs w:val="0"/>
          <w:color w:val="auto"/>
          <w:highlight w:val="none"/>
        </w:rPr>
        <w:t xml:space="preserve"> 货物（包含与货物相关的服务）的追加</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pStyle w:val="1060"/>
        <w:ind w:firstLine="0"/>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48"/>
        <w:numPr>
          <w:ilvl w:val="0"/>
          <w:numId w:val="0"/>
        </w:numPr>
        <w:jc w:val="center"/>
        <w:keepLines w:val="0"/>
        <w:keepNext w:val="0"/>
        <w:spacing w:before="0" w:after="0" w:line="360" w:lineRule="auto"/>
        <w:rPr>
          <w:rFonts w:ascii="宋体" w:hAnsi="宋体" w:eastAsia="宋体" w:cs="宋体"/>
          <w:bCs w:val="0"/>
          <w:color w:val="auto"/>
          <w:highlight w:val="none"/>
        </w:rPr>
        <w:outlineLvl w:val="0"/>
      </w:pPr>
      <w:r>
        <w:rPr>
          <w:rFonts w:hint="eastAsia" w:ascii="宋体" w:hAnsi="宋体" w:eastAsia="宋体" w:cs="宋体"/>
          <w:color w:val="auto"/>
          <w:highlight w:val="none"/>
        </w:rPr>
        <w:br w:type="page" w:clear="all"/>
      </w:r>
      <w:bookmarkStart w:id="187" w:name="_Toc7296"/>
      <w:r>
        <w:rPr>
          <w:rFonts w:hint="eastAsia" w:ascii="宋体" w:hAnsi="宋体" w:eastAsia="宋体" w:cs="宋体"/>
          <w:color w:val="auto"/>
          <w:highlight w:val="none"/>
        </w:rPr>
        <w:t xml:space="preserve">第三章  合同文本</w:t>
      </w:r>
      <w:bookmarkEnd w:id="187"/>
      <w:r/>
      <w:r/>
    </w:p>
    <w:p>
      <w:pPr>
        <w:pStyle w:val="1276"/>
        <w:ind w:firstLine="482"/>
        <w:jc w:val="center"/>
        <w:spacing w:line="360" w:lineRule="auto"/>
        <w:rPr>
          <w:rFonts w:ascii="宋体" w:hAnsi="宋体" w:eastAsia="宋体" w:cs="宋体"/>
          <w:color w:val="auto"/>
          <w:szCs w:val="28"/>
          <w:highlight w:val="none"/>
        </w:rPr>
      </w:pPr>
      <w:r>
        <w:rPr>
          <w:rFonts w:hint="eastAsia" w:ascii="宋体" w:hAnsi="宋体" w:eastAsia="宋体" w:cs="宋体"/>
          <w:b/>
          <w:color w:val="auto"/>
          <w:szCs w:val="28"/>
          <w:highlight w:val="none"/>
        </w:rPr>
        <w:t xml:space="preserve">（投标时无需填写）</w:t>
      </w:r>
      <w:r/>
    </w:p>
    <w:p>
      <w:pPr>
        <w:jc w:val="center"/>
        <w:rPr>
          <w:rFonts w:hAnsi="宋体"/>
          <w:b/>
          <w:bCs/>
          <w:color w:val="auto"/>
          <w:sz w:val="58"/>
          <w:highlight w:val="none"/>
        </w:rPr>
      </w:pPr>
      <w:r>
        <w:rPr>
          <w:rFonts w:hint="eastAsia" w:hAnsi="宋体"/>
          <w:b/>
          <w:bCs/>
          <w:color w:val="auto"/>
          <w:sz w:val="58"/>
          <w:highlight w:val="none"/>
        </w:rPr>
        <w:t xml:space="preserve">技术咨询服务合同</w:t>
      </w:r>
      <w:r/>
    </w:p>
    <w:p>
      <w:pPr>
        <w:jc w:val="center"/>
        <w:spacing w:line="360" w:lineRule="auto"/>
        <w:rPr>
          <w:rFonts w:hAnsi="宋体"/>
          <w:color w:val="auto"/>
          <w:sz w:val="36"/>
          <w:szCs w:val="15"/>
          <w:highlight w:val="none"/>
        </w:rPr>
      </w:pPr>
      <w:r>
        <w:rPr>
          <w:rFonts w:hAnsi="宋体"/>
          <w:color w:val="auto"/>
          <w:sz w:val="36"/>
          <w:szCs w:val="15"/>
          <w:highlight w:val="none"/>
        </w:rPr>
      </w:r>
      <w:r/>
    </w:p>
    <w:p>
      <w:pPr>
        <w:spacing w:line="360" w:lineRule="auto"/>
        <w:rPr>
          <w:rFonts w:hAnsi="宋体"/>
          <w:color w:val="auto"/>
          <w:sz w:val="36"/>
          <w:szCs w:val="15"/>
          <w:highlight w:val="none"/>
        </w:rPr>
      </w:pPr>
      <w:r>
        <w:rPr>
          <w:rFonts w:hAnsi="宋体"/>
          <w:color w:val="auto"/>
          <w:sz w:val="36"/>
          <w:szCs w:val="15"/>
          <w:highlight w:val="none"/>
        </w:rPr>
      </w:r>
      <w:r/>
    </w:p>
    <w:p>
      <w:pPr>
        <w:pStyle w:val="771"/>
        <w:rPr>
          <w:rFonts w:ascii="宋体" w:hAnsi="宋体"/>
          <w:color w:val="auto"/>
          <w:sz w:val="36"/>
          <w:szCs w:val="15"/>
          <w:highlight w:val="none"/>
        </w:rPr>
      </w:pPr>
      <w:r>
        <w:rPr>
          <w:rFonts w:ascii="宋体" w:hAnsi="宋体"/>
          <w:color w:val="auto"/>
          <w:sz w:val="36"/>
          <w:szCs w:val="15"/>
          <w:highlight w:val="none"/>
        </w:rPr>
      </w:r>
      <w:r/>
    </w:p>
    <w:p>
      <w:pPr>
        <w:rPr>
          <w:color w:val="auto"/>
          <w:highlight w:val="none"/>
        </w:rPr>
      </w:pPr>
      <w:r>
        <w:rPr>
          <w:color w:val="auto"/>
          <w:highlight w:val="none"/>
        </w:rPr>
      </w:r>
      <w:r/>
    </w:p>
    <w:p>
      <w:pPr>
        <w:spacing w:line="360" w:lineRule="auto"/>
        <w:rPr>
          <w:rFonts w:hAnsi="宋体"/>
          <w:color w:val="auto"/>
          <w:sz w:val="28"/>
          <w:szCs w:val="28"/>
          <w:highlight w:val="none"/>
        </w:rPr>
      </w:pPr>
      <w:r>
        <w:rPr>
          <w:rFonts w:hint="eastAsia" w:hAnsi="宋体"/>
          <w:color w:val="auto"/>
          <w:sz w:val="28"/>
          <w:szCs w:val="28"/>
          <w:highlight w:val="none"/>
        </w:rPr>
        <w:t xml:space="preserve">    项目名称：新吴区机场单元，硕放单元详细规划编制项目 </w:t>
      </w:r>
      <w:r/>
    </w:p>
    <w:p>
      <w:pPr>
        <w:pStyle w:val="771"/>
        <w:ind w:firstLine="560"/>
        <w:rPr>
          <w:rFonts w:ascii="宋体" w:hAnsi="宋体"/>
          <w:color w:val="auto"/>
          <w:sz w:val="28"/>
          <w:szCs w:val="28"/>
          <w:highlight w:val="none"/>
        </w:rPr>
      </w:pPr>
      <w:r>
        <w:rPr>
          <w:rFonts w:hint="eastAsia" w:ascii="宋体" w:hAnsi="宋体"/>
          <w:color w:val="auto"/>
          <w:sz w:val="28"/>
          <w:szCs w:val="28"/>
          <w:highlight w:val="none"/>
        </w:rPr>
        <w:t xml:space="preserve">甲方（采购人）： 无锡市自然资源和规划局新吴分局         </w:t>
      </w:r>
      <w:r/>
    </w:p>
    <w:p>
      <w:pPr>
        <w:pStyle w:val="771"/>
        <w:ind w:firstLine="560"/>
        <w:rPr>
          <w:rFonts w:ascii="宋体" w:hAnsi="宋体"/>
          <w:color w:val="auto"/>
          <w:sz w:val="28"/>
          <w:szCs w:val="28"/>
          <w:highlight w:val="none"/>
        </w:rPr>
      </w:pPr>
      <w:r>
        <w:rPr>
          <w:rFonts w:hint="eastAsia" w:ascii="宋体" w:hAnsi="宋体"/>
          <w:color w:val="auto"/>
          <w:sz w:val="28"/>
          <w:szCs w:val="28"/>
          <w:highlight w:val="none"/>
        </w:rPr>
        <w:t xml:space="preserve">乙方（中标方）：  </w:t>
      </w:r>
      <w:r/>
    </w:p>
    <w:p>
      <w:pPr>
        <w:pStyle w:val="771"/>
        <w:ind w:firstLine="560"/>
        <w:rPr>
          <w:color w:val="auto"/>
          <w:highlight w:val="none"/>
        </w:rPr>
      </w:pPr>
      <w:r>
        <w:rPr>
          <w:rFonts w:hint="eastAsia" w:ascii="宋体" w:hAnsi="宋体"/>
          <w:color w:val="auto"/>
          <w:sz w:val="28"/>
          <w:szCs w:val="28"/>
          <w:highlight w:val="none"/>
        </w:rPr>
        <w:t xml:space="preserve">   </w:t>
      </w:r>
      <w:r/>
    </w:p>
    <w:p>
      <w:pPr>
        <w:ind w:firstLine="560"/>
        <w:spacing w:line="360" w:lineRule="auto"/>
        <w:rPr>
          <w:rFonts w:hAnsi="宋体"/>
          <w:color w:val="auto"/>
          <w:sz w:val="28"/>
          <w:szCs w:val="28"/>
          <w:highlight w:val="none"/>
        </w:rPr>
      </w:pPr>
      <w:r>
        <w:rPr>
          <w:rFonts w:hAnsi="宋体"/>
          <w:color w:val="auto"/>
          <w:sz w:val="28"/>
          <w:szCs w:val="28"/>
          <w:highlight w:val="none"/>
        </w:rPr>
      </w:r>
      <w:r/>
    </w:p>
    <w:p>
      <w:pPr>
        <w:pStyle w:val="771"/>
        <w:rPr>
          <w:color w:val="auto"/>
          <w:highlight w:val="none"/>
        </w:rPr>
      </w:pPr>
      <w:r>
        <w:rPr>
          <w:color w:val="auto"/>
          <w:highlight w:val="none"/>
        </w:rPr>
      </w:r>
      <w:r/>
    </w:p>
    <w:p>
      <w:pPr>
        <w:rPr>
          <w:color w:val="auto"/>
          <w:highlight w:val="none"/>
        </w:rPr>
      </w:pPr>
      <w:r>
        <w:rPr>
          <w:color w:val="auto"/>
          <w:highlight w:val="none"/>
        </w:rPr>
      </w:r>
      <w:r/>
    </w:p>
    <w:p>
      <w:pPr>
        <w:pStyle w:val="791"/>
        <w:ind w:left="680"/>
        <w:rPr>
          <w:color w:val="auto"/>
          <w:highlight w:val="none"/>
        </w:rPr>
      </w:pPr>
      <w:r>
        <w:rPr>
          <w:color w:val="auto"/>
          <w:highlight w:val="none"/>
        </w:rPr>
      </w:r>
      <w:r/>
    </w:p>
    <w:p>
      <w:pPr>
        <w:rPr>
          <w:color w:val="auto"/>
          <w:highlight w:val="none"/>
        </w:rPr>
      </w:pPr>
      <w:r>
        <w:rPr>
          <w:color w:val="auto"/>
          <w:highlight w:val="none"/>
        </w:rPr>
      </w:r>
      <w:r/>
    </w:p>
    <w:p>
      <w:pPr>
        <w:pStyle w:val="791"/>
        <w:ind w:left="680"/>
        <w:rPr>
          <w:color w:val="auto"/>
          <w:highlight w:val="none"/>
        </w:rPr>
      </w:pPr>
      <w:r>
        <w:rPr>
          <w:color w:val="auto"/>
          <w:highlight w:val="none"/>
        </w:rPr>
      </w:r>
      <w:r/>
    </w:p>
    <w:p>
      <w:pPr>
        <w:ind w:firstLine="3080"/>
        <w:spacing w:line="360" w:lineRule="auto"/>
        <w:rPr>
          <w:rFonts w:hAnsi="宋体"/>
          <w:color w:val="auto"/>
          <w:sz w:val="28"/>
          <w:szCs w:val="28"/>
          <w:highlight w:val="none"/>
        </w:rPr>
      </w:pPr>
      <w:r>
        <w:rPr>
          <w:rFonts w:hint="eastAsia" w:hAnsi="宋体"/>
          <w:color w:val="auto"/>
          <w:sz w:val="28"/>
          <w:szCs w:val="28"/>
          <w:highlight w:val="none"/>
        </w:rPr>
        <w:t xml:space="preserve">签订地点：无锡市新吴区</w:t>
      </w:r>
      <w:r/>
    </w:p>
    <w:p>
      <w:pPr>
        <w:ind w:firstLine="560"/>
        <w:jc w:val="center"/>
        <w:spacing w:line="360" w:lineRule="auto"/>
        <w:rPr>
          <w:rFonts w:hAnsi="宋体"/>
          <w:color w:val="auto"/>
          <w:sz w:val="28"/>
          <w:szCs w:val="28"/>
          <w:highlight w:val="none"/>
        </w:rPr>
      </w:pPr>
      <w:r>
        <w:rPr>
          <w:rFonts w:hint="eastAsia" w:hAnsi="宋体"/>
          <w:color w:val="auto"/>
          <w:sz w:val="28"/>
          <w:szCs w:val="28"/>
          <w:highlight w:val="none"/>
        </w:rPr>
        <w:t xml:space="preserve">签订日期：2025年  月  日</w:t>
      </w:r>
      <w:r/>
    </w:p>
    <w:p>
      <w:pPr>
        <w:ind w:firstLine="560"/>
        <w:spacing w:line="360" w:lineRule="auto"/>
        <w:rPr>
          <w:rFonts w:hAnsi="宋体"/>
          <w:color w:val="auto"/>
          <w:sz w:val="28"/>
          <w:szCs w:val="28"/>
          <w:highlight w:val="none"/>
        </w:rPr>
      </w:pPr>
      <w:r>
        <w:rPr>
          <w:rFonts w:hAnsi="宋体"/>
          <w:color w:val="auto"/>
          <w:sz w:val="28"/>
          <w:szCs w:val="28"/>
          <w:highlight w:val="none"/>
        </w:rPr>
      </w:r>
      <w:r/>
    </w:p>
    <w:p>
      <w:pPr>
        <w:spacing w:line="360" w:lineRule="auto"/>
        <w:rPr>
          <w:rFonts w:hAnsi="宋体" w:cs="宋体"/>
          <w:bCs/>
          <w:color w:val="auto"/>
          <w:sz w:val="28"/>
          <w:szCs w:val="28"/>
          <w:highlight w:val="none"/>
          <w:u w:val="single"/>
        </w:rPr>
      </w:pPr>
      <w:r>
        <w:rPr>
          <w:rFonts w:hint="eastAsia" w:hAnsi="宋体" w:cs="宋体"/>
          <w:bCs/>
          <w:color w:val="auto"/>
          <w:sz w:val="24"/>
          <w:highlight w:val="none"/>
        </w:rPr>
        <w:br w:type="page" w:clear="all"/>
      </w:r>
      <w:r>
        <w:rPr>
          <w:rFonts w:hint="eastAsia" w:hAnsi="宋体" w:cs="宋体"/>
          <w:bCs/>
          <w:color w:val="auto"/>
          <w:sz w:val="28"/>
          <w:szCs w:val="28"/>
          <w:highlight w:val="none"/>
        </w:rPr>
        <w:t xml:space="preserve">甲方（采购人）：</w:t>
      </w:r>
      <w:r>
        <w:rPr>
          <w:rFonts w:hint="eastAsia" w:hAnsi="宋体" w:cs="宋体"/>
          <w:bCs/>
          <w:color w:val="auto"/>
          <w:sz w:val="28"/>
          <w:szCs w:val="28"/>
          <w:highlight w:val="none"/>
          <w:u w:val="single"/>
        </w:rPr>
        <w:t xml:space="preserve">无锡市自然资源和规划局新吴分局 </w:t>
      </w:r>
      <w:r/>
    </w:p>
    <w:p>
      <w:pPr>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地址：无锡市新吴区龙山路9号</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乙方（中标方）：</w:t>
      </w:r>
      <w:r>
        <w:rPr>
          <w:rFonts w:hint="eastAsia" w:hAnsi="宋体" w:cs="宋体"/>
          <w:bCs/>
          <w:color w:val="auto"/>
          <w:sz w:val="28"/>
          <w:szCs w:val="28"/>
          <w:highlight w:val="none"/>
          <w:u w:val="single"/>
        </w:rPr>
        <w:t xml:space="preserve">                               </w:t>
      </w:r>
      <w:r/>
    </w:p>
    <w:p>
      <w:pPr>
        <w:spacing w:line="360" w:lineRule="auto"/>
        <w:rPr>
          <w:rFonts w:hAnsi="宋体" w:cs="宋体"/>
          <w:bCs/>
          <w:color w:val="auto"/>
          <w:sz w:val="28"/>
          <w:szCs w:val="28"/>
          <w:highlight w:val="none"/>
          <w:u w:val="single"/>
        </w:rPr>
      </w:pPr>
      <w:r>
        <w:rPr>
          <w:rFonts w:hint="eastAsia" w:hAnsi="宋体" w:cs="宋体"/>
          <w:color w:val="auto"/>
          <w:sz w:val="28"/>
          <w:szCs w:val="28"/>
          <w:highlight w:val="none"/>
        </w:rPr>
        <w:t xml:space="preserve">地址： </w:t>
      </w:r>
      <w:r/>
    </w:p>
    <w:p>
      <w:pPr>
        <w:spacing w:line="360" w:lineRule="auto"/>
        <w:tabs>
          <w:tab w:val="left" w:pos="735"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一、政府采购编号：</w:t>
      </w:r>
      <w:r/>
    </w:p>
    <w:p>
      <w:pPr>
        <w:spacing w:line="360" w:lineRule="auto"/>
        <w:tabs>
          <w:tab w:val="left" w:pos="735"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二、采购内容：</w:t>
      </w:r>
      <w:r>
        <w:rPr>
          <w:rFonts w:hint="eastAsia" w:hAnsi="宋体" w:cs="宋体"/>
          <w:bCs/>
          <w:color w:val="auto"/>
          <w:sz w:val="28"/>
          <w:szCs w:val="28"/>
          <w:highlight w:val="none"/>
          <w:u w:val="single"/>
        </w:rPr>
        <w:t xml:space="preserve">新吴区机场单元，硕放单元详细规划编制项目</w:t>
      </w:r>
      <w:r/>
    </w:p>
    <w:p>
      <w:pPr>
        <w:spacing w:line="360" w:lineRule="auto"/>
        <w:tabs>
          <w:tab w:val="left" w:pos="735"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三、中标总金额：人民币（大写）</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 ；人民币（小写）</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元 </w:t>
      </w:r>
      <w:r/>
    </w:p>
    <w:p>
      <w:pPr>
        <w:spacing w:line="360" w:lineRule="auto"/>
        <w:tabs>
          <w:tab w:val="left" w:pos="735" w:leader="none"/>
          <w:tab w:val="left" w:pos="1260" w:leader="none"/>
        </w:tabs>
        <w:rPr>
          <w:rFonts w:hAnsi="宋体" w:cs="宋体"/>
          <w:bCs/>
          <w:color w:val="auto"/>
          <w:sz w:val="28"/>
          <w:szCs w:val="28"/>
          <w:highlight w:val="none"/>
          <w:u w:val="single"/>
        </w:rPr>
      </w:pPr>
      <w:r>
        <w:rPr>
          <w:rFonts w:hint="eastAsia" w:hAnsi="宋体" w:cs="宋体"/>
          <w:bCs/>
          <w:color w:val="auto"/>
          <w:sz w:val="28"/>
          <w:szCs w:val="28"/>
          <w:highlight w:val="none"/>
        </w:rPr>
        <w:t xml:space="preserve">四、质量和服务要求及验收标准：</w:t>
      </w:r>
      <w:r>
        <w:rPr>
          <w:rFonts w:hint="eastAsia" w:hAnsi="宋体" w:cs="宋体"/>
          <w:bCs/>
          <w:color w:val="auto"/>
          <w:sz w:val="28"/>
          <w:szCs w:val="28"/>
          <w:highlight w:val="none"/>
          <w:u w:val="single"/>
        </w:rPr>
        <w:t xml:space="preserve">                 </w:t>
      </w:r>
      <w:r/>
    </w:p>
    <w:p>
      <w:pPr>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五、服务期或完工期：</w:t>
      </w:r>
      <w:r>
        <w:rPr>
          <w:rFonts w:hint="eastAsia" w:hAnsi="宋体" w:cs="宋体"/>
          <w:bCs/>
          <w:color w:val="auto"/>
          <w:sz w:val="28"/>
          <w:szCs w:val="28"/>
          <w:highlight w:val="none"/>
          <w:u w:val="single"/>
        </w:rPr>
        <w:t xml:space="preserve">                           </w:t>
      </w:r>
      <w:r/>
    </w:p>
    <w:p>
      <w:pPr>
        <w:spacing w:line="360" w:lineRule="auto"/>
        <w:tabs>
          <w:tab w:val="left" w:pos="735"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六、服务地点和方式：</w:t>
      </w:r>
      <w:r>
        <w:rPr>
          <w:rFonts w:hint="eastAsia" w:hAnsi="宋体" w:cs="宋体"/>
          <w:bCs/>
          <w:color w:val="auto"/>
          <w:sz w:val="28"/>
          <w:szCs w:val="28"/>
          <w:highlight w:val="none"/>
          <w:u w:val="single"/>
        </w:rPr>
        <w:t xml:space="preserve">                           </w:t>
      </w:r>
      <w:r/>
    </w:p>
    <w:p>
      <w:pPr>
        <w:spacing w:line="360" w:lineRule="auto"/>
        <w:tabs>
          <w:tab w:val="left" w:pos="945" w:leader="none"/>
          <w:tab w:val="left" w:pos="2100" w:leader="none"/>
        </w:tabs>
        <w:rPr>
          <w:rFonts w:hAnsi="宋体" w:cs="宋体"/>
          <w:bCs/>
          <w:color w:val="auto"/>
          <w:sz w:val="28"/>
          <w:szCs w:val="28"/>
          <w:highlight w:val="none"/>
          <w:u w:val="single"/>
        </w:rPr>
      </w:pPr>
      <w:r>
        <w:rPr>
          <w:rFonts w:hint="eastAsia" w:hAnsi="宋体" w:cs="宋体"/>
          <w:bCs/>
          <w:color w:val="auto"/>
          <w:sz w:val="28"/>
          <w:szCs w:val="28"/>
          <w:highlight w:val="none"/>
        </w:rPr>
        <w:t xml:space="preserve">七、（1）款项支付步骤和办法：</w:t>
      </w:r>
      <w:r>
        <w:rPr>
          <w:rFonts w:hint="eastAsia" w:hAnsi="宋体" w:cs="宋体"/>
          <w:bCs/>
          <w:color w:val="auto"/>
          <w:sz w:val="28"/>
          <w:szCs w:val="28"/>
          <w:highlight w:val="none"/>
          <w:u w:val="single"/>
        </w:rPr>
        <w:t xml:space="preserve">                  </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（2）履约保证金的缴纳和退付：</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本项目是/否向采购人缴纳履约保证金：</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 。</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履约保证金缴纳金额：</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元。</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履约保证金的缴纳时间：</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，缴纳形式：</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履约保证金的退付时间：</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，退付办法：</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履约保证金不予退还的情形：</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560"/>
        <w:spacing w:line="360" w:lineRule="auto"/>
        <w:tabs>
          <w:tab w:val="left" w:pos="945" w:leader="none"/>
          <w:tab w:val="left" w:pos="2100" w:leader="none"/>
        </w:tabs>
        <w:rPr>
          <w:rFonts w:hAnsi="宋体" w:cs="宋体"/>
          <w:bCs/>
          <w:color w:val="auto"/>
          <w:sz w:val="28"/>
          <w:szCs w:val="28"/>
          <w:highlight w:val="none"/>
        </w:rPr>
      </w:pPr>
      <w:r>
        <w:rPr>
          <w:rFonts w:hint="eastAsia" w:hAnsi="宋体" w:cs="宋体"/>
          <w:bCs/>
          <w:color w:val="auto"/>
          <w:sz w:val="28"/>
          <w:szCs w:val="28"/>
          <w:highlight w:val="none"/>
        </w:rPr>
        <w:t xml:space="preserve">逾期退还履约保证金的违约责任：</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八、违约责任：</w:t>
      </w:r>
      <w:r>
        <w:rPr>
          <w:rFonts w:hint="eastAsia" w:hAnsi="宋体" w:cs="宋体"/>
          <w:bCs/>
          <w:color w:val="auto"/>
          <w:sz w:val="28"/>
          <w:szCs w:val="28"/>
          <w:highlight w:val="none"/>
          <w:u w:val="single"/>
        </w:rPr>
        <w:t xml:space="preserve">                                    </w:t>
      </w:r>
      <w:r/>
    </w:p>
    <w:p>
      <w:pPr>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九、</w:t>
      </w:r>
      <w:r>
        <w:rPr>
          <w:rFonts w:hint="eastAsia" w:hAnsi="宋体" w:cs="宋体"/>
          <w:color w:val="auto"/>
          <w:sz w:val="28"/>
          <w:szCs w:val="28"/>
          <w:highlight w:val="none"/>
        </w:rPr>
        <w:t xml:space="preserve">解决争议的方式：</w:t>
      </w:r>
      <w:r>
        <w:rPr>
          <w:rFonts w:hint="eastAsia" w:hAnsi="宋体" w:cs="宋体"/>
          <w:bCs/>
          <w:color w:val="auto"/>
          <w:sz w:val="28"/>
          <w:szCs w:val="28"/>
          <w:highlight w:val="none"/>
          <w:u w:val="single"/>
        </w:rPr>
        <w:t xml:space="preserve">                              </w:t>
      </w:r>
      <w:r/>
    </w:p>
    <w:p>
      <w:pPr>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十、其他事项：</w:t>
      </w:r>
      <w:r>
        <w:rPr>
          <w:rFonts w:hint="eastAsia" w:hAnsi="宋体" w:cs="宋体"/>
          <w:bCs/>
          <w:color w:val="auto"/>
          <w:sz w:val="28"/>
          <w:szCs w:val="28"/>
          <w:highlight w:val="none"/>
          <w:u w:val="single"/>
        </w:rPr>
        <w:t xml:space="preserve">                                     </w:t>
      </w:r>
      <w:r/>
    </w:p>
    <w:p>
      <w:pPr>
        <w:spacing w:line="360" w:lineRule="auto"/>
        <w:tabs>
          <w:tab w:val="left" w:pos="0" w:leader="none"/>
          <w:tab w:val="left" w:pos="567" w:leader="none"/>
        </w:tabs>
        <w:rPr>
          <w:rFonts w:hAnsi="宋体" w:cs="宋体"/>
          <w:bCs/>
          <w:color w:val="auto"/>
          <w:sz w:val="28"/>
          <w:szCs w:val="28"/>
          <w:highlight w:val="none"/>
        </w:rPr>
      </w:pPr>
      <w:r>
        <w:rPr>
          <w:rFonts w:hint="eastAsia" w:hAnsi="宋体" w:cs="宋体"/>
          <w:bCs/>
          <w:color w:val="auto"/>
          <w:sz w:val="28"/>
          <w:szCs w:val="28"/>
          <w:highlight w:val="none"/>
        </w:rPr>
        <w:t xml:space="preserve">十一、合同不可分割部分：</w:t>
      </w:r>
      <w:r/>
    </w:p>
    <w:p>
      <w:pPr>
        <w:ind w:firstLine="700"/>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招标文件、投标文件、合同条款及中标通知书，乙方在招标、评标过程中所作其他有关承诺、声明、书面澄清等均为合同不可分割的部分，与主合同具有同等法律效力。</w:t>
      </w:r>
      <w:r/>
    </w:p>
    <w:p>
      <w:pPr>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十二、合同备案：</w:t>
      </w:r>
      <w:r/>
    </w:p>
    <w:p>
      <w:pPr>
        <w:ind w:left="1360"/>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合同一式六份，甲方执三份，乙方执二份，见证方一份。</w:t>
      </w:r>
      <w:r/>
    </w:p>
    <w:p>
      <w:pPr>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十三、合同生效：</w:t>
      </w:r>
      <w:r/>
    </w:p>
    <w:p>
      <w:pPr>
        <w:ind w:firstLine="840"/>
        <w:spacing w:line="360" w:lineRule="auto"/>
        <w:tabs>
          <w:tab w:val="left" w:pos="0" w:leader="none"/>
          <w:tab w:val="left" w:pos="709" w:leader="none"/>
        </w:tabs>
        <w:rPr>
          <w:rFonts w:hAnsi="宋体" w:cs="宋体"/>
          <w:bCs/>
          <w:color w:val="auto"/>
          <w:sz w:val="28"/>
          <w:szCs w:val="28"/>
          <w:highlight w:val="none"/>
        </w:rPr>
      </w:pPr>
      <w:r>
        <w:rPr>
          <w:rFonts w:hint="eastAsia" w:hAnsi="宋体" w:cs="宋体"/>
          <w:bCs/>
          <w:color w:val="auto"/>
          <w:sz w:val="28"/>
          <w:szCs w:val="28"/>
          <w:highlight w:val="none"/>
        </w:rPr>
        <w:t xml:space="preserve">本合同由甲乙双方签字、盖章，并经江苏恒立工程项目管理有限公司见证后生效。</w:t>
      </w:r>
      <w:r/>
    </w:p>
    <w:p>
      <w:pPr>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甲方（采购人）：（盖章）              乙方（中标方）：（盖章）</w:t>
      </w:r>
      <w:r/>
    </w:p>
    <w:p>
      <w:pPr>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法定（授权）代表人：                法定（授权）代表人：</w:t>
      </w:r>
      <w:r/>
    </w:p>
    <w:p>
      <w:pPr>
        <w:ind w:right="-92"/>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2025年    月    日                  2025年   月   日</w:t>
      </w:r>
      <w:r/>
    </w:p>
    <w:p>
      <w:pPr>
        <w:ind w:firstLine="5040"/>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乙方户名：</w:t>
      </w:r>
      <w:r/>
    </w:p>
    <w:p>
      <w:pPr>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                                    乙方开户银行：</w:t>
      </w:r>
      <w:r/>
    </w:p>
    <w:p>
      <w:pPr>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                                    乙方账号：</w:t>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采购代理机构（见证方单位盖章）：</w:t>
      </w:r>
      <w:r/>
    </w:p>
    <w:p>
      <w:pPr>
        <w:pStyle w:val="768"/>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法定(被授权）代表人： </w:t>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w:t>
      </w:r>
      <w:r>
        <w:rPr>
          <w:rFonts w:hint="eastAsia" w:hAnsi="宋体" w:cs="宋体"/>
          <w:b/>
          <w:bCs/>
          <w:color w:val="auto"/>
          <w:sz w:val="28"/>
          <w:szCs w:val="28"/>
          <w:highlight w:val="none"/>
        </w:rPr>
        <w:t xml:space="preserve">备注：</w:t>
      </w:r>
      <w:r>
        <w:rPr>
          <w:rFonts w:hint="eastAsia" w:hAnsi="宋体" w:cs="宋体"/>
          <w:bCs/>
          <w:color w:val="auto"/>
          <w:sz w:val="28"/>
          <w:szCs w:val="28"/>
          <w:highlight w:val="none"/>
        </w:rPr>
        <w:t xml:space="preserve">甲乙双方必须以本格式文本拟订合同。</w:t>
      </w:r>
      <w:r/>
    </w:p>
    <w:p>
      <w:pPr>
        <w:jc w:val="center"/>
        <w:spacing w:line="360" w:lineRule="auto"/>
        <w:widowControl/>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合同条款</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根据编号招标文件和该文件的中标通知书及乙方投标文件，甲乙双方就此次</w:t>
      </w:r>
      <w:r>
        <w:rPr>
          <w:rFonts w:hint="eastAsia" w:hAnsi="宋体" w:cs="宋体"/>
          <w:bCs/>
          <w:color w:val="auto"/>
          <w:sz w:val="28"/>
          <w:szCs w:val="28"/>
          <w:highlight w:val="none"/>
          <w:u w:val="single"/>
        </w:rPr>
        <w:t xml:space="preserve">新吴区机场单元，硕放单元详细规划编制项目</w:t>
      </w:r>
      <w:r>
        <w:rPr>
          <w:rFonts w:hint="eastAsia" w:hAnsi="宋体" w:cs="宋体"/>
          <w:bCs/>
          <w:color w:val="auto"/>
          <w:sz w:val="28"/>
          <w:szCs w:val="28"/>
          <w:highlight w:val="none"/>
        </w:rPr>
        <w:t xml:space="preserve">及相关问题，同意按下列条款规定执行。</w:t>
      </w:r>
      <w:r/>
    </w:p>
    <w:p>
      <w:pPr>
        <w:numPr>
          <w:ilvl w:val="0"/>
          <w:numId w:val="10"/>
        </w:numPr>
        <w:spacing w:line="360" w:lineRule="auto"/>
        <w:rPr>
          <w:rFonts w:hAnsi="宋体" w:cs="宋体"/>
          <w:bCs/>
          <w:color w:val="auto"/>
          <w:sz w:val="28"/>
          <w:szCs w:val="28"/>
          <w:highlight w:val="none"/>
        </w:rPr>
      </w:pPr>
      <w:r>
        <w:rPr>
          <w:rFonts w:hint="eastAsia" w:hAnsi="宋体" w:cs="宋体"/>
          <w:b/>
          <w:color w:val="auto"/>
          <w:sz w:val="28"/>
          <w:szCs w:val="28"/>
          <w:highlight w:val="none"/>
        </w:rPr>
        <w:t xml:space="preserve">合同内容</w:t>
      </w:r>
      <w:r>
        <w:rPr>
          <w:rFonts w:hint="eastAsia" w:hAnsi="宋体" w:cs="宋体"/>
          <w:bCs/>
          <w:color w:val="auto"/>
          <w:sz w:val="28"/>
          <w:szCs w:val="28"/>
          <w:highlight w:val="none"/>
        </w:rPr>
        <w:t xml:space="preserve">：</w:t>
      </w:r>
      <w:r>
        <w:rPr>
          <w:rFonts w:hint="eastAsia" w:hAnsi="宋体" w:cs="宋体"/>
          <w:bCs/>
          <w:color w:val="auto"/>
          <w:sz w:val="28"/>
          <w:szCs w:val="28"/>
          <w:highlight w:val="none"/>
          <w:u w:val="single"/>
        </w:rPr>
        <w:t xml:space="preserve">新吴区机场单元，硕放单元详细规划编制项目。</w:t>
      </w:r>
      <w:r/>
    </w:p>
    <w:p>
      <w:pPr>
        <w:spacing w:line="360" w:lineRule="auto"/>
        <w:rPr>
          <w:rFonts w:hAnsi="宋体" w:cs="宋体"/>
          <w:bCs/>
          <w:color w:val="auto"/>
          <w:sz w:val="28"/>
          <w:szCs w:val="28"/>
          <w:highlight w:val="none"/>
        </w:rPr>
      </w:pPr>
      <w:r>
        <w:rPr>
          <w:rFonts w:hint="eastAsia" w:hAnsi="宋体" w:cs="宋体"/>
          <w:b/>
          <w:color w:val="auto"/>
          <w:sz w:val="28"/>
          <w:szCs w:val="28"/>
          <w:highlight w:val="none"/>
        </w:rPr>
        <w:t xml:space="preserve">二、价格及支付</w:t>
      </w:r>
      <w:r/>
    </w:p>
    <w:p>
      <w:pPr>
        <w:ind w:firstLine="560"/>
        <w:spacing w:line="360" w:lineRule="auto"/>
        <w:rPr>
          <w:rFonts w:hAnsi="宋体" w:cs="宋体"/>
          <w:color w:val="auto"/>
          <w:sz w:val="28"/>
          <w:szCs w:val="28"/>
          <w:highlight w:val="none"/>
        </w:rPr>
      </w:pPr>
      <w:r>
        <w:rPr>
          <w:rFonts w:hint="eastAsia" w:hAnsi="宋体" w:cs="宋体"/>
          <w:bCs/>
          <w:color w:val="auto"/>
          <w:sz w:val="28"/>
          <w:szCs w:val="28"/>
          <w:highlight w:val="none"/>
          <w:lang w:eastAsia="zh-CN"/>
        </w:rPr>
        <w:t xml:space="preserve">1.</w:t>
      </w:r>
      <w:r>
        <w:rPr>
          <w:rFonts w:hint="eastAsia" w:hAnsi="宋体" w:cs="宋体"/>
          <w:bCs/>
          <w:color w:val="auto"/>
          <w:sz w:val="28"/>
          <w:szCs w:val="28"/>
          <w:highlight w:val="none"/>
        </w:rPr>
        <w:t xml:space="preserve">本项目报酬</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（大写）元整（小写：</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元整）。</w:t>
      </w:r>
      <w:r>
        <w:rPr>
          <w:rFonts w:hint="eastAsia" w:hAnsi="宋体" w:cs="宋体"/>
          <w:color w:val="auto"/>
          <w:sz w:val="28"/>
          <w:szCs w:val="28"/>
          <w:highlight w:val="none"/>
        </w:rPr>
        <w:t xml:space="preserve">注：</w:t>
      </w:r>
      <w:r>
        <w:rPr>
          <w:rFonts w:hint="eastAsia" w:hAnsi="宋体" w:cs="宋体"/>
          <w:bCs/>
          <w:color w:val="auto"/>
          <w:sz w:val="28"/>
          <w:szCs w:val="28"/>
          <w:highlight w:val="none"/>
        </w:rPr>
        <w:t xml:space="preserve">投标总价应包括乙方整个服务期内全部费用的报价，包含人员工资、加班费、各项福利、办公费、管理费、为本招标项目提供服务所需的仪器设备、各类耗材、公共耗能费、专家评审费、利润、税金、地形基础资料费用、本项目招标代理费等本项目招标文件规定的全部费用。除因特殊原因经双方协商同意外，乙方不得再要求追加任何费用。</w:t>
      </w:r>
      <w:r/>
    </w:p>
    <w:p>
      <w:pPr>
        <w:ind w:firstLine="560"/>
        <w:spacing w:line="360" w:lineRule="auto"/>
        <w:tabs>
          <w:tab w:val="left" w:pos="0" w:leader="none"/>
          <w:tab w:val="left" w:pos="709" w:leader="none"/>
        </w:tabs>
        <w:rPr>
          <w:rFonts w:hAnsi="宋体" w:cs="宋体"/>
          <w:color w:val="auto"/>
          <w:sz w:val="28"/>
          <w:szCs w:val="28"/>
          <w:highlight w:val="none"/>
        </w:rPr>
      </w:pPr>
      <w:r>
        <w:rPr>
          <w:rFonts w:hint="eastAsia" w:hAnsi="宋体" w:cs="宋体"/>
          <w:bCs/>
          <w:color w:val="auto"/>
          <w:sz w:val="28"/>
          <w:szCs w:val="28"/>
          <w:highlight w:val="none"/>
          <w:lang w:eastAsia="zh-CN"/>
        </w:rPr>
        <w:t xml:space="preserve">2.</w:t>
      </w:r>
      <w:r>
        <w:rPr>
          <w:rFonts w:hint="eastAsia" w:hAnsi="宋体" w:cs="宋体"/>
          <w:color w:val="auto"/>
          <w:sz w:val="28"/>
          <w:szCs w:val="28"/>
          <w:highlight w:val="none"/>
        </w:rPr>
        <w:t xml:space="preserve">付款方式：</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(1)合同签订后，乙方完成初步成果，经甲方财务部门审核同意之日起10个工作日内，甲方支付合同额的20%;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(2)乙方完成论证成果，通过自规部门组织的审查论证后，甲方财务部门审核同意之日起10个工作日内，甲方支付合同额的35%;</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(3)乙方根据论证意见修改完善，成果取得市政府批准后，甲方财务部门审核同意之日起10个工作日内，甲方支付合同额的30%;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(4)乙方提交全套成果后，按相关要求开展成果汇交和数据库入库后，工作甲方财务部门审核同意之日起10个工作日内，甲方支付合同额的10%;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(5)合同履约期内，乙方配合甲方安排部署完成项目评优工作及详细规划实施深化工作，甲方财务部门审核同意之日起10个工作日内，甲方支付合同额的5%。</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具体支付时间和金额最终以财政预算审拨数统筹为准，需方不承担违约责任，供方不得以此作为延迟履行合同的依据或理由。</w:t>
      </w:r>
      <w:r/>
    </w:p>
    <w:p>
      <w:pPr>
        <w:ind w:firstLine="56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三、</w:t>
      </w:r>
      <w:bookmarkStart w:id="188" w:name="_Toc7001"/>
      <w:r>
        <w:rPr>
          <w:rFonts w:hint="eastAsia" w:hAnsi="宋体" w:cs="宋体"/>
          <w:b/>
          <w:color w:val="auto"/>
          <w:sz w:val="28"/>
          <w:szCs w:val="28"/>
          <w:highlight w:val="none"/>
        </w:rPr>
        <w:t xml:space="preserve">服务内容</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服务内容根据国家、省、市有关国土空间规划体系下详细规划编制要求，包括但不限于以下内容：</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（一）基础工作</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开展前期沟通，结合地方实际，把准发展需求，明确规划目标。制作资料清单，进行数据资料的收集、整理与分析。</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lang w:eastAsia="zh-CN"/>
        </w:rPr>
        <w:t xml:space="preserve">1.</w:t>
      </w:r>
      <w:r>
        <w:rPr>
          <w:rFonts w:hint="eastAsia" w:hAnsi="宋体" w:cs="宋体"/>
          <w:bCs/>
          <w:color w:val="auto"/>
          <w:sz w:val="28"/>
          <w:szCs w:val="28"/>
          <w:highlight w:val="none"/>
        </w:rPr>
        <w:t xml:space="preserve">开展现状调查 </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采取现场踏勘、公众调查等方式，结合国土变更调查、影像、确权登记、大数据等数据，对详细规划范围内及周边的自然条件、生态本底、历史文化资源、人口、土地利用、土地权属、地下空间利用、建筑、公共管理与公共服务设施、重要企业、综合交通、公用设施、综合防灾等现状进行详细调查，了解土壤污染状况，梳理分析上位规划及其他相关规划，必要时征求公众意愿、利害关系人意见以及相关部门意见，了解社区治理现状，总结现状特征，分析存在问题，挖掘发展条件。 </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rPr>
        <w:t xml:space="preserve">统一底图基数 </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收集第三次全国国土调查（“三调”）成果、地形图、遥感影像图、国土空间总体规划底图、批地供地征收信息、城镇地籍信息（产权权属、地籍）等基础数据，结合年度国土变更调查开展地类细化调查，形成比例尺不小于1: 2000、用地分类以三级类为主的土地利用现状数据和工作底图。 </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rPr>
        <w:t xml:space="preserve">评估规划实施 </w:t>
      </w:r>
      <w:r/>
    </w:p>
    <w:p>
      <w:pPr>
        <w:ind w:firstLine="560"/>
        <w:jc w:val="left"/>
        <w:spacing w:line="360" w:lineRule="auto"/>
        <w:widowControl/>
        <w:rPr>
          <w:rFonts w:hAnsi="宋体" w:cs="宋体"/>
          <w:color w:val="auto"/>
          <w:sz w:val="24"/>
          <w:highlight w:val="none"/>
        </w:rPr>
      </w:pPr>
      <w:r>
        <w:rPr>
          <w:rFonts w:hint="eastAsia" w:hAnsi="宋体" w:cs="宋体"/>
          <w:bCs/>
          <w:color w:val="auto"/>
          <w:sz w:val="28"/>
          <w:szCs w:val="28"/>
          <w:highlight w:val="none"/>
        </w:rPr>
        <w:t xml:space="preserve">开展现行详细规划的实施评估。评估规划内容实施情况、影响规划实施的外部因素变化情况以及规划内容自身合理性情况，梳理规划实施问题，剖析问题原因，并与总体规划进行比对，提出现行详细规划延续内容与优化建议，确定详细规划编制重点。</w:t>
      </w:r>
      <w:r>
        <w:rPr>
          <w:rFonts w:hint="eastAsia" w:hAnsi="宋体" w:cs="宋体"/>
          <w:color w:val="auto"/>
          <w:sz w:val="24"/>
          <w:highlight w:val="none"/>
        </w:rPr>
        <w:t xml:space="preserve"> </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（二）详细规划编制工作</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按照《江苏省城镇开发边界内详细规划编制指南（试行）》开展详细规划分层编制，分别包括单元层次和街区层次的详细规划。</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lang w:eastAsia="zh-CN"/>
        </w:rPr>
        <w:t xml:space="preserve">1.</w:t>
      </w:r>
      <w:r>
        <w:rPr>
          <w:rFonts w:hint="eastAsia" w:hAnsi="宋体" w:cs="宋体"/>
          <w:bCs/>
          <w:color w:val="auto"/>
          <w:sz w:val="28"/>
          <w:szCs w:val="28"/>
          <w:highlight w:val="none"/>
        </w:rPr>
        <w:t xml:space="preserve">单元层次：</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（1）目标定位</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统筹考虑发展条件与上位规划要求，细化单元发展目标和功能定位，合理确定单元主导功能。</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（2）规划布局</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①规模控制</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依据上位规划约束指标传导要求，深入研究单元人口构成和需求。合理确定人口容量、用地规模，保持人口规模、住宅规模、公共管理与公共服务设施配置的匹配关系。</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②布局结构</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落实上位规划的保护开发总体要求，统筹生态保护、重大设施与廊道控制、空港门户特色展示、机场净空及噪音影响等空间因素，加强产城融合，促进职住平衡，研究确定单元布局结构。</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③居住用地与生活圈</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结合单元住宅总量控制要求与用地潜力评价，衔接相关专项规划和部门工作计划，提出老旧小区改造、城市更新等居住环境改善的规划引导要求，明确15 分钟生活圈社区配套设施布局，提出5-10分钟生活圈社区配套要求，明确刚性和弹性管控规则。</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④产业用地</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落实总体规划工业保障线管控要求，明确产业用地安全防护、环境保护等控制要求，优化货运交通组织。</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⑤公共管理与公共服务设施</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落实上位规划确定的文、教、体、卫、养老、社区服务等公共管理与公共服务设施配置要求和标准，统筹相关专项规划，在满足服务半径基础上优化用地布局。</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（3）蓝绿空间管控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总体规划及绿地系统专项规划确定的生态环境保护目标，合理确定单元绿地总量和重要绿地、绿廊、广场布局；结合社区生活圈构建，优化社区公园、游园布局。尊重水系现状，明确水面率控制及河道布局，形成有机连通的水域空间网络。落实上位规划分解的耕地、林地、湿地及永久基本农田、生态公益林等保护任务，依据生态保护、生态修复、国土综合整治等相关专项规划，优化耕地、林地、湿地空间布局。</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（4）地下空间</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评价地下空间开发潜力，落实细化总体规划、专项规划确定的地下空间开发利用分区和管控，保障地下空间资源开发利用的战略性、前瞻性与长效性。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（5）综合交通</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总体规划及专项规划提出的道路网、公共交通、慢行交通等交通网络与设施的规模、布局要求，明确次干路、支路、慢行系统和交通场站布局，统筹协调各类空间要素，建立多层次、一体化的机场集疏运系统，拓展机场区域辐射功能。</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（6）公用设施</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落实总体规划及专项规划提出的各类公用设施体系布局及规模，加强公用设施空间管控。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（7）综合防灾</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落实总体规划及专项规划中设施布局及规模，加强抗震、防洪排涝、消防、人防等防灾减灾基础设施空间管控。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（8）竖向规划</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合理确定建设用地的场地高程和道路、桥梁、堤防等控制点标高，提出空中、地面、地下分层开发、分层赋权、统筹管控模式。</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（9）城市控制线</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根据上位规划划定的城市红线、绿线、蓝线、黄线的位置及边界，刚弹结合地明确控制线范围内的各类控制要求。</w:t>
      </w:r>
      <w:r/>
    </w:p>
    <w:p>
      <w:pPr>
        <w:pStyle w:val="789"/>
        <w:ind w:firstLine="560"/>
        <w:spacing w:beforeAutospacing="0" w:afterAutospacing="0" w:line="360" w:lineRule="auto"/>
        <w:rPr>
          <w:rFonts w:hAnsi="宋体" w:cs="宋体"/>
          <w:bCs/>
          <w:color w:val="auto"/>
          <w:sz w:val="28"/>
          <w:szCs w:val="28"/>
          <w:highlight w:val="none"/>
        </w:rPr>
      </w:pPr>
      <w:r>
        <w:rPr>
          <w:rFonts w:hint="eastAsia" w:hAnsi="宋体" w:cs="宋体"/>
          <w:bCs/>
          <w:color w:val="auto"/>
          <w:sz w:val="28"/>
          <w:szCs w:val="28"/>
          <w:highlight w:val="none"/>
        </w:rPr>
        <w:t xml:space="preserve">（10）街区管控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统筹考虑社区行政区划和公共服务等内在功能的关联性，划定详细规划街区，将“ </w:t>
      </w:r>
      <w:r>
        <w:rPr>
          <w:rFonts w:hint="eastAsia" w:hAnsi="宋体" w:cs="宋体"/>
          <w:bCs/>
          <w:color w:val="auto"/>
          <w:sz w:val="28"/>
          <w:szCs w:val="28"/>
          <w:highlight w:val="none"/>
          <w:lang w:eastAsia="zh-CN"/>
        </w:rPr>
        <w:t xml:space="preserve">‘三区三线’</w:t>
      </w:r>
      <w:r>
        <w:rPr>
          <w:rFonts w:hint="eastAsia" w:hAnsi="宋体" w:cs="宋体"/>
          <w:bCs/>
          <w:color w:val="auto"/>
          <w:sz w:val="28"/>
          <w:szCs w:val="28"/>
          <w:highlight w:val="none"/>
        </w:rPr>
        <w:t xml:space="preserve">” 、主导功能、发展规模、公共设施、蓝绿空间、城市设计和城市更新引导，以及道路交通、市政公用、环卫和防灾设施等单元层次详细规划内容管控要求分解传导至街区，明确街区主导功能、规划人口规模、建设用地总规模、强度分区。</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结合单元发展定位和功能布局特色，划定城市设计重点控制区范围，深化功能布局、交通组织、开发强度、高度控制、公共空间、地下空间、景观风貌等方面规划内容，明确空间形态和风貌特色的管控目标和要求。</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rPr>
        <w:t xml:space="preserve">街区层次：</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街区层次详细规划在严格遵循单元层次详细规划管控要求的基础上，制定地块具体管控指标和管控要求，作为规划许可的依据。</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（1）优化用地布局</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结合街区开发建设实际和城市更新需求，根据地块特点、权属单位开发意向及利害关系人意见，综合运用城市设计、交通分析、经济分析等方法进行深化研究，结合土地收储及开发时序优化用地布局，提高土地利用经济性和规划实施可操作性。</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（2）保障设施落地</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以符合单元层次详细规划约束性指标和强制性内容为前提，在满足设施服务半径要求基础上，深化设施具体空间布局，详细说明实线控制、虚线控制、点位控制等刚性和弹性的管控要求。</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（3）细化竖向及立体开发控制</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依据单元层次详细规划，细化确定街区内各地块场地高程和道路控制点标高，协调地上地下空间开发利用和控制要求。</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（4）确定地块控制基本指标</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深化地块容积率、建筑密度、建筑高度、绿地率等具体控制指标，划定各类控制线，明确地块基准容积率、指标上下限控制等具体管控要求，详细说明实施深化阶段的弹性管理规定。</w:t>
      </w:r>
      <w:r/>
    </w:p>
    <w:p>
      <w:pPr>
        <w:ind w:firstLine="560"/>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位于城市设计重点控制的街区（地块）需增加相应的附加图则，细化地块层面建筑形态、公共空间、道路交通、立体空间、城市更新等精细化管控要素和管控要求，提升城市空间品质。</w:t>
      </w:r>
      <w:bookmarkEnd w:id="188"/>
      <w:r/>
      <w:r/>
    </w:p>
    <w:p>
      <w:pPr>
        <w:ind w:firstLine="492"/>
        <w:spacing w:line="360" w:lineRule="auto"/>
        <w:tabs>
          <w:tab w:val="left" w:pos="945" w:leader="none"/>
        </w:tabs>
        <w:rPr>
          <w:rFonts w:hAnsi="宋体" w:cs="宋体"/>
          <w:b/>
          <w:color w:val="auto"/>
          <w:sz w:val="28"/>
          <w:szCs w:val="28"/>
          <w:highlight w:val="none"/>
        </w:rPr>
      </w:pPr>
      <w:r>
        <w:rPr>
          <w:rFonts w:hint="eastAsia" w:hAnsi="宋体" w:cs="宋体"/>
          <w:b/>
          <w:color w:val="auto"/>
          <w:sz w:val="28"/>
          <w:szCs w:val="28"/>
          <w:highlight w:val="none"/>
        </w:rPr>
        <w:t xml:space="preserve">四、服务期限</w:t>
      </w:r>
      <w:r/>
    </w:p>
    <w:p>
      <w:pPr>
        <w:ind w:firstLine="560"/>
        <w:jc w:val="left"/>
        <w:spacing w:line="360" w:lineRule="auto"/>
        <w:widowControl/>
        <w:rPr>
          <w:rFonts w:hAnsi="宋体" w:cs="宋体"/>
          <w:bCs/>
          <w:color w:val="auto"/>
          <w:sz w:val="28"/>
          <w:szCs w:val="28"/>
          <w:highlight w:val="none"/>
        </w:rPr>
      </w:pPr>
      <w:r>
        <w:rPr>
          <w:rFonts w:hint="eastAsia" w:hAnsi="宋体" w:cs="宋体"/>
          <w:color w:val="auto"/>
          <w:sz w:val="28"/>
          <w:szCs w:val="28"/>
          <w:highlight w:val="none"/>
        </w:rPr>
        <w:t xml:space="preserve">合同履行期限：自合同签订之日起三年。</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项目总时间为36个月，其中详细规划编制工作为前12个月，后续为跟踪服务期。前12个月工作进度要求安排如下：</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第一阶段：历时1个月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通过现场踏勘及与各相关部门对接，完成现状调研与基础资料收集工作。</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第二阶段：历时4个月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全面展开规划编制工作，形成阶段性成果，及时征求属地政府、各相关部门意见。</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第三阶段：历时4个月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继续推进规划编制工作，形成完整规划草案提交市局审查，结合审查意见修改完善形成论证成果。</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第四阶段：历时3个月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提请市局组织召开专家、部门论证会，根据会议意见修改完善后形成报批成果。</w:t>
      </w:r>
      <w:r/>
    </w:p>
    <w:p>
      <w:pPr>
        <w:ind w:firstLine="492"/>
        <w:spacing w:line="360" w:lineRule="auto"/>
        <w:tabs>
          <w:tab w:val="left" w:pos="945" w:leader="none"/>
        </w:tabs>
        <w:rPr>
          <w:rFonts w:hAnsi="宋体" w:cs="宋体"/>
          <w:b/>
          <w:color w:val="auto"/>
          <w:sz w:val="28"/>
          <w:szCs w:val="28"/>
          <w:highlight w:val="none"/>
        </w:rPr>
      </w:pPr>
      <w:r>
        <w:rPr>
          <w:rFonts w:hint="eastAsia" w:hAnsi="宋体" w:cs="宋体"/>
          <w:b/>
          <w:color w:val="auto"/>
          <w:sz w:val="28"/>
          <w:szCs w:val="28"/>
          <w:highlight w:val="none"/>
        </w:rPr>
        <w:t xml:space="preserve">五、项目成果</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规划成果应包括规划文本、图件（图纸、图则）、附件及数据库，内容须符合设计任务书的有关要求和国家、省、市有关标准。</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规划成果包括纸质文件及相应的计算机文件，其中详细规划数据库是国土空间规划“一张图”的重要组成部分， 需在详细规划编制过程中同步建立规划成果数据库，并整合到国土空间基础信息平台，数据库须符合省、市有关标准。</w:t>
      </w:r>
      <w:r/>
    </w:p>
    <w:p>
      <w:pPr>
        <w:ind w:firstLine="492"/>
        <w:spacing w:line="360" w:lineRule="auto"/>
        <w:tabs>
          <w:tab w:val="left" w:pos="945" w:leader="none"/>
        </w:tabs>
        <w:rPr>
          <w:rFonts w:hAnsi="宋体" w:cs="宋体"/>
          <w:b/>
          <w:color w:val="auto"/>
          <w:sz w:val="28"/>
          <w:szCs w:val="28"/>
          <w:highlight w:val="none"/>
        </w:rPr>
      </w:pPr>
      <w:r>
        <w:rPr>
          <w:rFonts w:hint="eastAsia" w:hAnsi="宋体" w:cs="宋体"/>
          <w:b/>
          <w:color w:val="auto"/>
          <w:sz w:val="28"/>
          <w:szCs w:val="28"/>
          <w:highlight w:val="none"/>
        </w:rPr>
        <w:t xml:space="preserve">六、甲方权利和义务 </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1.</w:t>
      </w:r>
      <w:r>
        <w:rPr>
          <w:rFonts w:hint="eastAsia" w:ascii="宋体" w:hAnsi="宋体" w:eastAsia="宋体" w:cs="宋体"/>
          <w:color w:val="auto"/>
          <w:szCs w:val="28"/>
          <w:highlight w:val="none"/>
        </w:rPr>
        <w:t xml:space="preserve">甲方对本合同研究事项负指导监督义务，有权检查乙方工作进展。甲方不得要求乙方违反国家有关标准进行编制，对乙方编制规划过程中的情况与乙方交换意见，但不应影响乙方的工作计划进程。 </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2.</w:t>
      </w:r>
      <w:r>
        <w:rPr>
          <w:rFonts w:hint="eastAsia" w:ascii="宋体" w:hAnsi="宋体" w:eastAsia="宋体" w:cs="宋体"/>
          <w:color w:val="auto"/>
          <w:szCs w:val="28"/>
          <w:highlight w:val="none"/>
        </w:rPr>
        <w:t xml:space="preserve">甲方变更委托编制项目、规模、条件等，双方需另行协商签订补充协议（或另订合同）。 </w:t>
      </w:r>
      <w:r/>
    </w:p>
    <w:p>
      <w:pPr>
        <w:pStyle w:val="768"/>
        <w:ind w:firstLine="490"/>
        <w:spacing w:line="360" w:lineRule="auto"/>
        <w:rPr>
          <w:rFonts w:ascii="宋体" w:hAnsi="宋体" w:eastAsia="宋体" w:cs="宋体"/>
          <w:b/>
          <w:color w:val="auto"/>
          <w:szCs w:val="28"/>
          <w:highlight w:val="none"/>
        </w:rPr>
      </w:pPr>
      <w:r>
        <w:rPr>
          <w:rFonts w:hint="eastAsia" w:ascii="宋体" w:hAnsi="宋体" w:eastAsia="宋体" w:cs="宋体"/>
          <w:color w:val="auto"/>
          <w:szCs w:val="28"/>
          <w:highlight w:val="none"/>
          <w:lang w:eastAsia="zh-CN"/>
        </w:rPr>
        <w:t xml:space="preserve">3.</w:t>
      </w:r>
      <w:r>
        <w:rPr>
          <w:rFonts w:hint="eastAsia" w:ascii="宋体" w:hAnsi="宋体" w:eastAsia="宋体" w:cs="宋体"/>
          <w:color w:val="auto"/>
          <w:szCs w:val="28"/>
          <w:highlight w:val="none"/>
        </w:rPr>
        <w:t xml:space="preserve">甲方对乙方交付的成果拥有所有权，乙方可以在著述中引用、署名，但不得用于其他商务活动。</w:t>
      </w:r>
      <w:r/>
    </w:p>
    <w:p>
      <w:pPr>
        <w:pStyle w:val="768"/>
        <w:ind w:firstLine="492"/>
        <w:spacing w:line="360" w:lineRule="auto"/>
        <w:rPr>
          <w:rFonts w:ascii="宋体" w:hAnsi="宋体" w:eastAsia="宋体" w:cs="宋体"/>
          <w:b/>
          <w:color w:val="auto"/>
          <w:szCs w:val="28"/>
          <w:highlight w:val="none"/>
        </w:rPr>
      </w:pPr>
      <w:r>
        <w:rPr>
          <w:rFonts w:hint="eastAsia" w:ascii="宋体" w:hAnsi="宋体" w:eastAsia="宋体" w:cs="宋体"/>
          <w:b/>
          <w:color w:val="auto"/>
          <w:szCs w:val="28"/>
          <w:highlight w:val="none"/>
        </w:rPr>
        <w:t xml:space="preserve">七、乙方权利义务</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1.</w:t>
      </w:r>
      <w:r>
        <w:rPr>
          <w:rFonts w:hint="eastAsia" w:ascii="宋体" w:hAnsi="宋体" w:eastAsia="宋体" w:cs="宋体"/>
          <w:color w:val="auto"/>
          <w:szCs w:val="28"/>
          <w:highlight w:val="none"/>
        </w:rPr>
        <w:t xml:space="preserve">乙方应按国家技术规范、标准、规程及甲方提出的要求开展相关服务，按合同规定的进度要求提交质量合格的成果资料，并对其负责。 </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2.</w:t>
      </w:r>
      <w:r>
        <w:rPr>
          <w:rFonts w:hint="eastAsia" w:ascii="宋体" w:hAnsi="宋体" w:eastAsia="宋体" w:cs="宋体"/>
          <w:color w:val="auto"/>
          <w:szCs w:val="28"/>
          <w:highlight w:val="none"/>
        </w:rPr>
        <w:t xml:space="preserve">乙方按本合同规定进度向甲方交付资料及文件等。</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3.</w:t>
      </w:r>
      <w:r>
        <w:rPr>
          <w:rFonts w:hint="eastAsia" w:ascii="宋体" w:hAnsi="宋体" w:eastAsia="宋体" w:cs="宋体"/>
          <w:color w:val="auto"/>
          <w:szCs w:val="28"/>
          <w:highlight w:val="none"/>
        </w:rPr>
        <w:t xml:space="preserve">乙方交付编制资料及文件等成果后，按甲方要求参加相关审议、论证、评审、评优等活动，并根据相关结论意见负责对成果做必要修改、调整及补充。 </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4.</w:t>
      </w:r>
      <w:r>
        <w:rPr>
          <w:rFonts w:hint="eastAsia" w:ascii="宋体" w:hAnsi="宋体" w:eastAsia="宋体" w:cs="宋体"/>
          <w:color w:val="auto"/>
          <w:szCs w:val="28"/>
          <w:highlight w:val="none"/>
        </w:rPr>
        <w:t xml:space="preserve">乙方应保护甲方的知识产权，不得向第三人泄露、转让和使用甲方提交的相关资料。如发生以上情况并给甲方造成经济损失，甲方有权向乙方索赔。 </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5.</w:t>
      </w:r>
      <w:r>
        <w:rPr>
          <w:rFonts w:hint="eastAsia" w:ascii="宋体" w:hAnsi="宋体" w:eastAsia="宋体" w:cs="宋体"/>
          <w:color w:val="auto"/>
          <w:szCs w:val="28"/>
          <w:highlight w:val="none"/>
        </w:rPr>
        <w:t xml:space="preserve">乙方在提交的成果中，不得侵犯第三方的知识产权，如因此发生争议，由乙方负责处理并承担全部责任。</w:t>
      </w:r>
      <w:r/>
    </w:p>
    <w:p>
      <w:pPr>
        <w:pStyle w:val="768"/>
        <w:ind w:firstLine="492"/>
        <w:spacing w:line="360" w:lineRule="auto"/>
        <w:rPr>
          <w:rFonts w:ascii="宋体" w:hAnsi="宋体" w:eastAsia="宋体" w:cs="宋体"/>
          <w:b/>
          <w:color w:val="auto"/>
          <w:szCs w:val="28"/>
          <w:highlight w:val="none"/>
        </w:rPr>
      </w:pPr>
      <w:r>
        <w:rPr>
          <w:rFonts w:hint="eastAsia" w:ascii="宋体" w:hAnsi="宋体" w:eastAsia="宋体" w:cs="宋体"/>
          <w:b/>
          <w:color w:val="auto"/>
          <w:szCs w:val="28"/>
          <w:highlight w:val="none"/>
        </w:rPr>
        <w:t xml:space="preserve">八、保密条款</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乙方在本合同履行期间所知悉或获取的甲方的一切信息或资料均负有保密的义务，包括甲方工作人员家庭、身份等不宜公开的隐私信息等。乙方应确保项目中甲方成果数据的安全性与保密性，未征得甲方书面同意，不得泄露和用于其他用途。本项义务不受本协议履行期限的限制，如发现此类问题，甲方有权向司法机关追究乙方相应法律责任。</w:t>
      </w:r>
      <w:r/>
    </w:p>
    <w:p>
      <w:pPr>
        <w:pStyle w:val="768"/>
        <w:ind w:firstLine="492"/>
        <w:spacing w:line="360" w:lineRule="auto"/>
        <w:rPr>
          <w:rFonts w:ascii="宋体" w:hAnsi="宋体" w:eastAsia="宋体" w:cs="宋体"/>
          <w:b/>
          <w:color w:val="auto"/>
          <w:szCs w:val="28"/>
          <w:highlight w:val="none"/>
        </w:rPr>
      </w:pPr>
      <w:r>
        <w:rPr>
          <w:rFonts w:hint="eastAsia" w:ascii="宋体" w:hAnsi="宋体" w:eastAsia="宋体" w:cs="宋体"/>
          <w:b/>
          <w:color w:val="auto"/>
          <w:szCs w:val="28"/>
          <w:highlight w:val="none"/>
        </w:rPr>
        <w:t xml:space="preserve">九、其他说明：</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（1）本项目投标总报价包括项目中标起到项目正式交付到验收所发生的一切费用。</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（2）质量及验收：满足甲方及相关政策文件的要求，项目研究成果通过甲方验收并完成报批、汇交及评优工作。</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（3）合同服务期内，甲方可依据国家、省、市有关国土空间规划体系下详细规划编制最新政策要求，对服务内容进行针对性补充，乙方应无条件配合；</w:t>
      </w:r>
      <w:r/>
    </w:p>
    <w:p>
      <w:pPr>
        <w:pStyle w:val="768"/>
        <w:ind w:firstLine="49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（4）地形基础资料由乙方向具有测绘资质的单位自行购买。</w:t>
      </w:r>
      <w:r/>
    </w:p>
    <w:p>
      <w:pPr>
        <w:pStyle w:val="768"/>
        <w:ind w:firstLine="492"/>
        <w:spacing w:line="360" w:lineRule="auto"/>
        <w:rPr>
          <w:rFonts w:ascii="宋体" w:hAnsi="宋体" w:eastAsia="宋体" w:cs="宋体"/>
          <w:b/>
          <w:color w:val="auto"/>
          <w:szCs w:val="28"/>
          <w:highlight w:val="none"/>
        </w:rPr>
      </w:pPr>
      <w:r>
        <w:rPr>
          <w:rFonts w:hint="eastAsia" w:ascii="宋体" w:hAnsi="宋体" w:eastAsia="宋体" w:cs="宋体"/>
          <w:b/>
          <w:color w:val="auto"/>
          <w:szCs w:val="28"/>
          <w:highlight w:val="none"/>
        </w:rPr>
        <w:t xml:space="preserve">十、知识产权</w:t>
      </w:r>
      <w:r/>
    </w:p>
    <w:p>
      <w:pPr>
        <w:ind w:firstLine="490"/>
        <w:spacing w:line="360" w:lineRule="auto"/>
        <w:tabs>
          <w:tab w:val="left" w:pos="945" w:leader="none"/>
        </w:tabs>
        <w:rPr>
          <w:rFonts w:hAnsi="宋体" w:cs="宋体"/>
          <w:bCs/>
          <w:color w:val="auto"/>
          <w:sz w:val="28"/>
          <w:szCs w:val="28"/>
          <w:highlight w:val="none"/>
        </w:rPr>
      </w:pPr>
      <w:r>
        <w:rPr>
          <w:rFonts w:hint="eastAsia" w:hAnsi="宋体" w:cs="宋体"/>
          <w:bCs/>
          <w:color w:val="auto"/>
          <w:sz w:val="28"/>
          <w:szCs w:val="28"/>
          <w:highlight w:val="none"/>
        </w:rPr>
        <w:t xml:space="preserve">本项目从征集至最终成果提交过程中的各类成果及知识产权均归甲方所有而不被视为侵权乙方须无条件提供。甲方对编制过程中的阶段性成果和方案享有版权和使用权，并可以进行展览、印刷、出版等。</w:t>
      </w:r>
      <w:r/>
    </w:p>
    <w:p>
      <w:pPr>
        <w:pStyle w:val="1282"/>
        <w:ind w:firstLine="492"/>
        <w:spacing w:line="360" w:lineRule="auto"/>
        <w:rPr>
          <w:rFonts w:hAnsi="宋体" w:eastAsia="宋体" w:cs="宋体"/>
          <w:b/>
          <w:color w:val="auto"/>
          <w:sz w:val="28"/>
          <w:szCs w:val="28"/>
          <w:highlight w:val="none"/>
        </w:rPr>
      </w:pPr>
      <w:r>
        <w:rPr>
          <w:rFonts w:hint="eastAsia" w:hAnsi="宋体" w:eastAsia="宋体" w:cs="宋体"/>
          <w:b/>
          <w:color w:val="auto"/>
          <w:sz w:val="28"/>
          <w:szCs w:val="28"/>
          <w:highlight w:val="none"/>
        </w:rPr>
        <w:t xml:space="preserve">十一、违约责任</w:t>
      </w:r>
      <w:r/>
    </w:p>
    <w:p>
      <w:pPr>
        <w:ind w:firstLine="49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w:t>
      </w:r>
      <w:r>
        <w:rPr>
          <w:rFonts w:hint="eastAsia" w:hAnsi="宋体" w:cs="宋体"/>
          <w:color w:val="auto"/>
          <w:sz w:val="28"/>
          <w:szCs w:val="28"/>
          <w:highlight w:val="none"/>
        </w:rPr>
        <w:t xml:space="preserve">本合同履行期内，甲、乙双方任何一方无故单方终止合同则按合同额的</w:t>
      </w:r>
      <w:r>
        <w:rPr>
          <w:rFonts w:hAnsi="宋体" w:cs="宋体"/>
          <w:color w:val="auto"/>
          <w:sz w:val="28"/>
          <w:szCs w:val="28"/>
          <w:highlight w:val="none"/>
        </w:rPr>
        <w:t xml:space="preserve">5</w:t>
      </w:r>
      <w:r>
        <w:rPr>
          <w:rFonts w:hint="eastAsia" w:hAnsi="宋体" w:cs="宋体"/>
          <w:color w:val="auto"/>
          <w:sz w:val="28"/>
          <w:szCs w:val="28"/>
          <w:highlight w:val="none"/>
        </w:rPr>
        <w:t xml:space="preserve">%向对方支付违约金。</w:t>
      </w:r>
      <w:r/>
    </w:p>
    <w:p>
      <w:pPr>
        <w:ind w:firstLine="49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2.</w:t>
      </w:r>
      <w:r>
        <w:rPr>
          <w:rFonts w:hint="eastAsia" w:hAnsi="宋体" w:cs="宋体"/>
          <w:color w:val="auto"/>
          <w:sz w:val="28"/>
          <w:szCs w:val="28"/>
          <w:highlight w:val="none"/>
        </w:rPr>
        <w:t xml:space="preserve">除本合同另有约定外，若乙方违反本合同第三、四、六、七条之约定，则向甲方承担合同总金额</w:t>
      </w:r>
      <w:r>
        <w:rPr>
          <w:rFonts w:hAnsi="宋体" w:cs="宋体"/>
          <w:color w:val="auto"/>
          <w:sz w:val="28"/>
          <w:szCs w:val="28"/>
          <w:highlight w:val="none"/>
        </w:rPr>
        <w:t xml:space="preserve">5</w:t>
      </w:r>
      <w:r>
        <w:rPr>
          <w:rFonts w:hint="eastAsia" w:hAnsi="宋体" w:cs="宋体"/>
          <w:color w:val="auto"/>
          <w:sz w:val="28"/>
          <w:szCs w:val="28"/>
          <w:highlight w:val="none"/>
        </w:rPr>
        <w:t xml:space="preserve">%的违约金。</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3.</w:t>
      </w:r>
      <w:r>
        <w:rPr>
          <w:rFonts w:hint="eastAsia" w:hAnsi="宋体" w:cs="宋体"/>
          <w:color w:val="auto"/>
          <w:sz w:val="28"/>
          <w:szCs w:val="28"/>
          <w:highlight w:val="none"/>
        </w:rPr>
        <w:t xml:space="preserve">若乙方提交的成果未达到审查、验收通过要求且经修改后仍不符合要求，或提供报告的内容虚假、不符合实际或不提供报告、成果侵权，则甲方有权解除合同，如甲方选择解除合同，乙方应退还已支付款项并承担合同总金额</w:t>
      </w:r>
      <w:r>
        <w:rPr>
          <w:rFonts w:hAnsi="宋体" w:cs="宋体"/>
          <w:color w:val="auto"/>
          <w:sz w:val="28"/>
          <w:szCs w:val="28"/>
          <w:highlight w:val="none"/>
        </w:rPr>
        <w:t xml:space="preserve">5</w:t>
      </w:r>
      <w:r>
        <w:rPr>
          <w:rFonts w:hint="eastAsia" w:hAnsi="宋体" w:cs="宋体"/>
          <w:color w:val="auto"/>
          <w:sz w:val="28"/>
          <w:szCs w:val="28"/>
          <w:highlight w:val="none"/>
        </w:rPr>
        <w:t xml:space="preserve">%的违约金。</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4.</w:t>
      </w:r>
      <w:r>
        <w:rPr>
          <w:rFonts w:hint="eastAsia" w:hAnsi="宋体" w:cs="宋体"/>
          <w:color w:val="auto"/>
          <w:sz w:val="28"/>
          <w:szCs w:val="28"/>
          <w:highlight w:val="none"/>
        </w:rPr>
        <w:t xml:space="preserve">如乙方交付的成果和技术资料侵犯第三方的合法权益，发生第三方指控甲方技术侵权，乙方应承担全部责任。</w:t>
      </w:r>
      <w:r/>
    </w:p>
    <w:p>
      <w:pPr>
        <w:pStyle w:val="1282"/>
        <w:ind w:firstLine="562"/>
        <w:spacing w:line="360" w:lineRule="auto"/>
        <w:rPr>
          <w:rFonts w:hAnsi="宋体" w:eastAsia="宋体" w:cs="宋体"/>
          <w:b/>
          <w:color w:val="auto"/>
          <w:sz w:val="28"/>
          <w:szCs w:val="28"/>
          <w:highlight w:val="none"/>
        </w:rPr>
      </w:pPr>
      <w:r>
        <w:rPr>
          <w:rFonts w:hint="eastAsia" w:hAnsi="宋体" w:eastAsia="宋体" w:cs="宋体"/>
          <w:b/>
          <w:color w:val="auto"/>
          <w:sz w:val="28"/>
          <w:szCs w:val="28"/>
          <w:highlight w:val="none"/>
        </w:rPr>
        <w:t xml:space="preserve">十二、争议处理方式</w:t>
      </w:r>
      <w:r/>
    </w:p>
    <w:p>
      <w:pPr>
        <w:pStyle w:val="1282"/>
        <w:ind w:firstLine="56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双方因履行本合同而发生的争议，应协商、调解解决。协商、调解不成的，确定按以下第2种方式处理：</w:t>
      </w:r>
      <w:r/>
    </w:p>
    <w:p>
      <w:pPr>
        <w:pStyle w:val="1282"/>
        <w:ind w:firstLine="56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lang w:eastAsia="zh-CN"/>
        </w:rPr>
        <w:t xml:space="preserve">1.</w:t>
      </w:r>
      <w:r>
        <w:rPr>
          <w:rFonts w:hint="eastAsia" w:hAnsi="宋体" w:eastAsia="宋体" w:cs="宋体"/>
          <w:color w:val="auto"/>
          <w:sz w:val="28"/>
          <w:szCs w:val="28"/>
          <w:highlight w:val="none"/>
        </w:rPr>
        <w:t xml:space="preserve">提交仲裁委员会仲裁；</w:t>
      </w:r>
      <w:r/>
    </w:p>
    <w:p>
      <w:pPr>
        <w:pStyle w:val="1282"/>
        <w:ind w:firstLine="560"/>
        <w:spacing w:line="360" w:lineRule="auto"/>
        <w:rPr>
          <w:rFonts w:hAnsi="宋体" w:eastAsia="宋体" w:cs="宋体"/>
          <w:b/>
          <w:color w:val="auto"/>
          <w:sz w:val="28"/>
          <w:szCs w:val="28"/>
          <w:highlight w:val="none"/>
        </w:rPr>
      </w:pPr>
      <w:r>
        <w:rPr>
          <w:rFonts w:hint="eastAsia" w:hAnsi="宋体" w:eastAsia="宋体" w:cs="宋体"/>
          <w:color w:val="auto"/>
          <w:sz w:val="28"/>
          <w:szCs w:val="28"/>
          <w:highlight w:val="none"/>
          <w:lang w:eastAsia="zh-CN"/>
        </w:rPr>
        <w:t xml:space="preserve">2.</w:t>
      </w:r>
      <w:r>
        <w:rPr>
          <w:rFonts w:hint="eastAsia" w:hAnsi="宋体" w:eastAsia="宋体" w:cs="宋体"/>
          <w:color w:val="auto"/>
          <w:sz w:val="28"/>
          <w:szCs w:val="28"/>
          <w:highlight w:val="none"/>
        </w:rPr>
        <w:t xml:space="preserve">依法向甲方所在地人民法院起诉。</w:t>
      </w:r>
      <w:r/>
    </w:p>
    <w:p>
      <w:pPr>
        <w:pStyle w:val="1282"/>
        <w:ind w:firstLine="562"/>
        <w:spacing w:line="360" w:lineRule="auto"/>
        <w:rPr>
          <w:rFonts w:hAnsi="宋体" w:eastAsia="宋体" w:cs="宋体"/>
          <w:b/>
          <w:color w:val="auto"/>
          <w:sz w:val="28"/>
          <w:szCs w:val="28"/>
          <w:highlight w:val="none"/>
        </w:rPr>
      </w:pPr>
      <w:r>
        <w:rPr>
          <w:rFonts w:hint="eastAsia" w:hAnsi="宋体" w:eastAsia="宋体" w:cs="宋体"/>
          <w:b/>
          <w:color w:val="auto"/>
          <w:sz w:val="28"/>
          <w:szCs w:val="28"/>
          <w:highlight w:val="none"/>
        </w:rPr>
        <w:t xml:space="preserve">十三、其他有关约定事项</w:t>
      </w:r>
      <w:r/>
    </w:p>
    <w:p>
      <w:pPr>
        <w:pStyle w:val="1282"/>
        <w:ind w:firstLine="56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未尽事宜由双方协商解决。</w:t>
      </w:r>
      <w:r/>
    </w:p>
    <w:p>
      <w:pPr>
        <w:pStyle w:val="1282"/>
        <w:ind w:firstLine="0"/>
        <w:spacing w:line="360" w:lineRule="auto"/>
        <w:rPr>
          <w:rFonts w:hAnsi="宋体" w:eastAsia="宋体" w:cs="宋体"/>
          <w:color w:val="auto"/>
          <w:sz w:val="28"/>
          <w:szCs w:val="28"/>
          <w:highlight w:val="none"/>
        </w:rPr>
      </w:pPr>
      <w:r>
        <w:rPr>
          <w:rFonts w:hAnsi="宋体" w:eastAsia="宋体" w:cs="宋体"/>
          <w:color w:val="auto"/>
          <w:sz w:val="28"/>
          <w:szCs w:val="28"/>
          <w:highlight w:val="none"/>
        </w:rPr>
      </w:r>
      <w:r/>
    </w:p>
    <w:p>
      <w:pPr>
        <w:pStyle w:val="1282"/>
        <w:ind w:firstLine="560"/>
        <w:spacing w:line="360" w:lineRule="auto"/>
        <w:rPr>
          <w:rFonts w:hAnsi="宋体" w:eastAsia="宋体" w:cs="宋体"/>
          <w:color w:val="auto"/>
          <w:sz w:val="28"/>
          <w:szCs w:val="28"/>
          <w:highlight w:val="none"/>
        </w:rPr>
      </w:pPr>
      <w:r>
        <w:rPr>
          <w:rFonts w:hAnsi="宋体" w:eastAsia="宋体" w:cs="宋体"/>
          <w:color w:val="auto"/>
          <w:sz w:val="28"/>
          <w:szCs w:val="28"/>
          <w:highlight w:val="none"/>
        </w:rPr>
      </w:r>
      <w:r/>
    </w:p>
    <w:p>
      <w:pPr>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（本页无正文）</w:t>
      </w:r>
      <w:r/>
    </w:p>
    <w:p>
      <w:pPr>
        <w:pStyle w:val="1282"/>
        <w:ind w:firstLine="560"/>
        <w:spacing w:line="360" w:lineRule="auto"/>
        <w:rPr>
          <w:rFonts w:hAnsi="宋体" w:eastAsia="宋体" w:cs="宋体"/>
          <w:color w:val="auto"/>
          <w:sz w:val="28"/>
          <w:szCs w:val="28"/>
          <w:highlight w:val="none"/>
        </w:rPr>
      </w:pPr>
      <w:r>
        <w:rPr>
          <w:rFonts w:hAnsi="宋体" w:eastAsia="宋体" w:cs="宋体"/>
          <w:color w:val="auto"/>
          <w:sz w:val="28"/>
          <w:szCs w:val="28"/>
          <w:highlight w:val="none"/>
        </w:rPr>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1"/>
        <w:gridCol w:w="4621"/>
      </w:tblGrid>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甲方：（盖章）</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法定代表人/委托代理人：</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法定代表人/委托代理人：</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所在地：</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所在地：</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邮编：</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邮编：</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电话：</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传真：</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传真：</w:t>
            </w:r>
            <w:r/>
          </w:p>
        </w:tc>
      </w:tr>
      <w:tr>
        <w:trPr/>
        <w:tc>
          <w:tcPr>
            <w:tcBorders>
              <w:top w:val="none" w:color="000000" w:sz="4" w:space="0"/>
              <w:left w:val="none" w:color="000000" w:sz="4" w:space="0"/>
              <w:bottom w:val="none" w:color="000000" w:sz="4" w:space="0"/>
              <w:right w:val="none" w:color="000000" w:sz="4" w:space="0"/>
            </w:tcBorders>
            <w:tcW w:w="5068"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2025年  月  日 </w:t>
            </w:r>
            <w:r/>
          </w:p>
        </w:tc>
        <w:tc>
          <w:tcPr>
            <w:tcBorders>
              <w:top w:val="none" w:color="000000" w:sz="4" w:space="0"/>
              <w:left w:val="none" w:color="000000" w:sz="4" w:space="0"/>
              <w:bottom w:val="none" w:color="000000" w:sz="4" w:space="0"/>
              <w:right w:val="none" w:color="000000" w:sz="4" w:space="0"/>
            </w:tcBorders>
            <w:tcW w:w="5069" w:type="dxa"/>
            <w:textDirection w:val="lrTb"/>
            <w:noWrap w:val="false"/>
          </w:tcPr>
          <w:p>
            <w:pPr>
              <w:pStyle w:val="1282"/>
              <w:ind w:firstLine="0"/>
              <w:spacing w:line="360" w:lineRule="auto"/>
              <w:rPr>
                <w:rFonts w:hAnsi="宋体" w:eastAsia="宋体" w:cs="宋体"/>
                <w:color w:val="auto"/>
                <w:sz w:val="28"/>
                <w:szCs w:val="28"/>
                <w:highlight w:val="none"/>
              </w:rPr>
            </w:pPr>
            <w:r>
              <w:rPr>
                <w:rFonts w:hint="eastAsia" w:hAnsi="宋体" w:eastAsia="宋体" w:cs="宋体"/>
                <w:color w:val="auto"/>
                <w:sz w:val="28"/>
                <w:szCs w:val="28"/>
                <w:highlight w:val="none"/>
              </w:rPr>
              <w:t xml:space="preserve">2025年  月  日 </w:t>
            </w:r>
            <w:r/>
          </w:p>
        </w:tc>
      </w:tr>
    </w:tbl>
    <w:p>
      <w:pPr>
        <w:spacing w:line="360" w:lineRule="auto"/>
        <w:rPr>
          <w:rStyle w:val="797"/>
          <w:rFonts w:ascii="宋体" w:hAnsi="宋体" w:eastAsia="宋体" w:cs="宋体"/>
          <w:color w:val="auto"/>
          <w:sz w:val="28"/>
          <w:szCs w:val="28"/>
          <w:highlight w:val="none"/>
        </w:rPr>
        <w:outlineLvl w:val="0"/>
      </w:pPr>
      <w:r>
        <w:rPr>
          <w:rFonts w:ascii="宋体" w:hAnsi="宋体" w:eastAsia="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rFonts w:hAnsi="宋体" w:cs="宋体"/>
          <w:color w:val="auto"/>
          <w:sz w:val="28"/>
          <w:szCs w:val="28"/>
          <w:highlight w:val="none"/>
        </w:rPr>
      </w:pPr>
      <w:r>
        <w:rPr>
          <w:rFonts w:hAnsi="宋体" w:cs="宋体"/>
          <w:color w:val="auto"/>
          <w:sz w:val="28"/>
          <w:szCs w:val="28"/>
          <w:highlight w:val="none"/>
        </w:rPr>
      </w:r>
      <w:r/>
    </w:p>
    <w:p>
      <w:pPr>
        <w:pStyle w:val="768"/>
        <w:rPr>
          <w:rFonts w:hAnsi="宋体" w:cs="宋体"/>
          <w:color w:val="auto"/>
          <w:szCs w:val="28"/>
          <w:highlight w:val="none"/>
        </w:rPr>
      </w:pPr>
      <w:r>
        <w:rPr>
          <w:rFonts w:hAnsi="宋体" w:cs="宋体"/>
          <w:color w:val="auto"/>
          <w:szCs w:val="28"/>
          <w:highlight w:val="none"/>
        </w:rPr>
      </w:r>
      <w:r/>
    </w:p>
    <w:p>
      <w:pPr>
        <w:rPr>
          <w:color w:val="auto"/>
          <w:highlight w:val="none"/>
        </w:rPr>
      </w:pPr>
      <w:r>
        <w:rPr>
          <w:color w:val="auto"/>
          <w:highlight w:val="none"/>
        </w:rPr>
      </w:r>
      <w:r/>
    </w:p>
    <w:p>
      <w:pPr>
        <w:jc w:val="center"/>
        <w:spacing w:line="360" w:lineRule="auto"/>
        <w:widowControl/>
        <w:rPr>
          <w:rFonts w:hAnsi="宋体" w:cs="宋体"/>
          <w:color w:val="auto"/>
          <w:sz w:val="28"/>
          <w:szCs w:val="28"/>
          <w:highlight w:val="none"/>
        </w:rPr>
      </w:pPr>
      <w:r>
        <w:rPr>
          <w:rFonts w:hAnsi="宋体" w:cs="宋体"/>
          <w:color w:val="auto"/>
          <w:sz w:val="28"/>
          <w:szCs w:val="28"/>
          <w:highlight w:val="none"/>
        </w:rPr>
      </w:r>
      <w:r/>
    </w:p>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无锡市自然资源和规划局新吴分局</w:t>
      </w:r>
      <w:r/>
    </w:p>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电子数据使用保密协议</w:t>
      </w:r>
      <w:r/>
    </w:p>
    <w:p>
      <w:pPr>
        <w:jc w:val="left"/>
        <w:spacing w:line="360" w:lineRule="auto"/>
        <w:widowControl/>
        <w:rPr>
          <w:rFonts w:hAnsi="宋体" w:cs="宋体"/>
          <w:b/>
          <w:bCs/>
          <w:color w:val="auto"/>
          <w:sz w:val="28"/>
          <w:szCs w:val="28"/>
          <w:highlight w:val="none"/>
        </w:rPr>
      </w:pPr>
      <w:r>
        <w:rPr>
          <w:rFonts w:hAnsi="宋体" w:cs="宋体"/>
          <w:b/>
          <w:bCs/>
          <w:color w:val="auto"/>
          <w:sz w:val="28"/>
          <w:szCs w:val="28"/>
          <w:highlight w:val="none"/>
        </w:rPr>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甲方：无锡市自然资源和规划局新吴分局</w:t>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乙方： </w:t>
      </w:r>
      <w:r/>
    </w:p>
    <w:p>
      <w:pPr>
        <w:ind w:firstLine="560"/>
        <w:jc w:val="left"/>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鉴于乙方从甲方处获取的国土资源电子数据属于涉密数据，双方当事人就乙方获取数据后的保密事宜，达成以下条款：</w:t>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第一条  甲方提供使用的成果范围</w:t>
      </w:r>
      <w:r/>
    </w:p>
    <w:p>
      <w:pPr>
        <w:ind w:left="340" w:firstLine="280"/>
        <w:jc w:val="left"/>
        <w:spacing w:line="360" w:lineRule="auto"/>
        <w:widowControl/>
        <w:rPr>
          <w:rFonts w:hAnsi="宋体" w:cs="宋体"/>
          <w:color w:val="auto"/>
          <w:sz w:val="28"/>
          <w:szCs w:val="28"/>
          <w:highlight w:val="none"/>
          <w:u w:val="single"/>
        </w:rPr>
      </w:pPr>
      <w:r>
        <w:rPr>
          <w:rFonts w:hint="eastAsia" w:hAnsi="宋体" w:cs="宋体"/>
          <w:color w:val="auto"/>
          <w:sz w:val="28"/>
          <w:szCs w:val="28"/>
          <w:highlight w:val="none"/>
        </w:rPr>
        <w:t xml:space="preserve">甲方向乙方提供的</w:t>
      </w:r>
      <w:r>
        <w:rPr>
          <w:rFonts w:hint="eastAsia" w:hAnsi="宋体" w:cs="宋体"/>
          <w:color w:val="auto"/>
          <w:sz w:val="28"/>
          <w:szCs w:val="28"/>
          <w:highlight w:val="none"/>
          <w:u w:val="single"/>
        </w:rPr>
        <w:t xml:space="preserve"> 年度国土利用变更调查数据、地籍数据、高清影像图、城市国土空间监测数据  </w:t>
      </w:r>
      <w:r>
        <w:rPr>
          <w:rFonts w:hint="eastAsia" w:hAnsi="宋体" w:cs="宋体"/>
          <w:color w:val="auto"/>
          <w:sz w:val="28"/>
          <w:szCs w:val="28"/>
          <w:highlight w:val="none"/>
        </w:rPr>
        <w:t xml:space="preserve">用于新吴区机场单元，硕放单元详细规划编制项目。</w:t>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第二条  乙方的保密义务</w:t>
      </w:r>
      <w:r/>
    </w:p>
    <w:p>
      <w:pPr>
        <w:ind w:firstLine="560"/>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甲方提供给乙方的资料信息的知识产权和所有权、持有权皆属甲方，未经甲方书面授权，严禁乙方以任何方式，无论口头、书面，还是磁盘、通信网络等介质向任何其他方，包括个人、公司、商社、其他经济组织等提供或转让，违者属侵权行为，乙方应承担法律责任。乙方仅能按照协议规定的用途使用该数据，未经甲方事先书面许可，不得用于其他用途。</w:t>
      </w:r>
      <w:r/>
    </w:p>
    <w:p>
      <w:pPr>
        <w:ind w:firstLine="630"/>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所有由甲方提供给乙方的技术资料和商业信息乙方应采取执行有效的安全保密措施，乙方采取安全保密措施所需人力、物力、财力由乙方自行承担。</w:t>
      </w:r>
      <w:r/>
    </w:p>
    <w:p>
      <w:pPr>
        <w:ind w:right="-92" w:firstLine="630"/>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乙方无权擅自修改或移除本协议中的任何条款或权利注释。</w:t>
      </w:r>
      <w:r/>
    </w:p>
    <w:p>
      <w:pPr>
        <w:jc w:val="left"/>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第三条    保密期限</w:t>
      </w:r>
      <w:r/>
    </w:p>
    <w:p>
      <w:pPr>
        <w:ind w:firstLine="630"/>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双方同意本协议规定的保密期限为自本协议签署之日起长期有效。</w:t>
      </w:r>
      <w:r/>
    </w:p>
    <w:p>
      <w:pPr>
        <w:jc w:val="left"/>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第四条    违约责任</w:t>
      </w:r>
      <w:r/>
    </w:p>
    <w:p>
      <w:pPr>
        <w:ind w:firstLine="630"/>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如果乙方违反本协议约定，应承担由此带给甲方的一切损失，包括但不限于甲方的直接损失、间接损失及调查、诉讼费用。且乙方还应采取各种合理方法挽回泄密造成的影响，尽可能使涉密数据继续处于保密状态；同时，本协议继续有效。</w:t>
      </w:r>
      <w:r/>
    </w:p>
    <w:p>
      <w:pPr>
        <w:jc w:val="left"/>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第五条    协议的生效与效力</w:t>
      </w:r>
      <w:r/>
    </w:p>
    <w:p>
      <w:pPr>
        <w:ind w:left="-3"/>
        <w:jc w:val="left"/>
        <w:spacing w:line="360" w:lineRule="auto"/>
        <w:tabs>
          <w:tab w:val="left" w:pos="927" w:leader="none"/>
        </w:tabs>
        <w:rPr>
          <w:rFonts w:hAnsi="宋体" w:cs="宋体"/>
          <w:color w:val="auto"/>
          <w:sz w:val="28"/>
          <w:szCs w:val="28"/>
          <w:highlight w:val="none"/>
        </w:rPr>
      </w:pPr>
      <w:r>
        <w:rPr>
          <w:rFonts w:hint="eastAsia" w:hAnsi="宋体" w:cs="宋体"/>
          <w:color w:val="auto"/>
          <w:sz w:val="28"/>
          <w:szCs w:val="28"/>
          <w:highlight w:val="none"/>
        </w:rPr>
        <w:t xml:space="preserve">1.本协议自甲、乙双方签字之日起生效。</w:t>
      </w:r>
      <w:r/>
    </w:p>
    <w:p>
      <w:pPr>
        <w:ind w:left="-3"/>
        <w:jc w:val="left"/>
        <w:spacing w:line="360" w:lineRule="auto"/>
        <w:widowControl/>
        <w:tabs>
          <w:tab w:val="left" w:pos="927" w:leader="none"/>
        </w:tabs>
        <w:rPr>
          <w:rFonts w:hAnsi="宋体" w:cs="宋体"/>
          <w:color w:val="auto"/>
          <w:sz w:val="28"/>
          <w:szCs w:val="28"/>
          <w:highlight w:val="none"/>
        </w:rPr>
      </w:pPr>
      <w:r>
        <w:rPr>
          <w:rFonts w:hint="eastAsia" w:hAnsi="宋体" w:cs="宋体"/>
          <w:color w:val="auto"/>
          <w:sz w:val="28"/>
          <w:szCs w:val="28"/>
          <w:highlight w:val="none"/>
        </w:rPr>
        <w:t xml:space="preserve">2.本协议一式两份，甲方、乙方各保留一份。两份协议具有同等法律效力。</w:t>
      </w:r>
      <w:r/>
    </w:p>
    <w:p>
      <w:pPr>
        <w:jc w:val="left"/>
        <w:spacing w:line="360" w:lineRule="auto"/>
        <w:widowControl/>
        <w:rPr>
          <w:rFonts w:hAnsi="宋体" w:cs="宋体"/>
          <w:b/>
          <w:bCs/>
          <w:color w:val="auto"/>
          <w:sz w:val="28"/>
          <w:szCs w:val="28"/>
          <w:highlight w:val="none"/>
        </w:rPr>
      </w:pPr>
      <w:r>
        <w:rPr>
          <w:rFonts w:hAnsi="宋体" w:cs="宋体"/>
          <w:b/>
          <w:bCs/>
          <w:color w:val="auto"/>
          <w:sz w:val="28"/>
          <w:szCs w:val="28"/>
          <w:highlight w:val="none"/>
        </w:rPr>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甲方： </w:t>
      </w:r>
      <w:r/>
    </w:p>
    <w:p>
      <w:pPr>
        <w:jc w:val="left"/>
        <w:spacing w:line="360" w:lineRule="auto"/>
        <w:widowControl/>
        <w:rPr>
          <w:rFonts w:hAnsi="宋体" w:cs="宋体"/>
          <w:color w:val="auto"/>
          <w:sz w:val="28"/>
          <w:szCs w:val="28"/>
          <w:highlight w:val="none"/>
          <w:u w:val="single"/>
        </w:rPr>
      </w:pPr>
      <w:r>
        <w:rPr>
          <w:rFonts w:hint="eastAsia" w:hAnsi="宋体" w:cs="宋体"/>
          <w:color w:val="auto"/>
          <w:sz w:val="28"/>
          <w:szCs w:val="28"/>
          <w:highlight w:val="none"/>
        </w:rPr>
        <w:t xml:space="preserve">法人代表或授权代表（签字） </w:t>
      </w:r>
      <w:r>
        <w:rPr>
          <w:rFonts w:hint="eastAsia" w:hAnsi="宋体" w:cs="宋体"/>
          <w:color w:val="auto"/>
          <w:sz w:val="28"/>
          <w:szCs w:val="28"/>
          <w:highlight w:val="none"/>
          <w:u w:val="single"/>
        </w:rPr>
        <w:t xml:space="preserve">                              </w:t>
      </w:r>
      <w:r/>
    </w:p>
    <w:p>
      <w:pPr>
        <w:jc w:val="left"/>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日期：</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年</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月</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日</w:t>
      </w:r>
      <w:r>
        <w:rPr>
          <w:rFonts w:hint="eastAsia"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800100</wp:posOffset>
                </wp:positionH>
                <wp:positionV relativeFrom="paragraph">
                  <wp:posOffset>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63.0pt,0.0pt" to="63.0pt,0.0pt" filled="f" strokecolor="#000000" strokeweight="0.75pt"/>
            </w:pict>
          </mc:Fallback>
        </mc:AlternateContent>
      </w:r>
      <w:r/>
    </w:p>
    <w:p>
      <w:pPr>
        <w:jc w:val="left"/>
        <w:spacing w:line="360" w:lineRule="auto"/>
        <w:widowControl/>
        <w:rPr>
          <w:rFonts w:hAnsi="宋体" w:cs="宋体"/>
          <w:b/>
          <w:bCs/>
          <w:color w:val="auto"/>
          <w:sz w:val="28"/>
          <w:szCs w:val="28"/>
          <w:highlight w:val="none"/>
        </w:rPr>
      </w:pPr>
      <w:r>
        <w:rPr>
          <w:rFonts w:hAnsi="宋体" w:cs="宋体"/>
          <w:b/>
          <w:bCs/>
          <w:color w:val="auto"/>
          <w:sz w:val="28"/>
          <w:szCs w:val="28"/>
          <w:highlight w:val="none"/>
        </w:rPr>
      </w:r>
      <w:r/>
    </w:p>
    <w:p>
      <w:pPr>
        <w:jc w:val="left"/>
        <w:spacing w:line="360" w:lineRule="auto"/>
        <w:widowControl/>
        <w:rPr>
          <w:rFonts w:hAnsi="宋体" w:cs="宋体"/>
          <w:b/>
          <w:bCs/>
          <w:color w:val="auto"/>
          <w:sz w:val="28"/>
          <w:szCs w:val="28"/>
          <w:highlight w:val="none"/>
        </w:rPr>
      </w:pPr>
      <w:r>
        <w:rPr>
          <w:rFonts w:hint="eastAsia" w:hAnsi="宋体" w:cs="宋体"/>
          <w:b/>
          <w:bCs/>
          <w:color w:val="auto"/>
          <w:sz w:val="28"/>
          <w:szCs w:val="28"/>
          <w:highlight w:val="none"/>
        </w:rPr>
        <w:t xml:space="preserve">乙方： </w:t>
      </w:r>
      <w:r/>
    </w:p>
    <w:p>
      <w:pPr>
        <w:jc w:val="left"/>
        <w:spacing w:line="360" w:lineRule="auto"/>
        <w:widowControl/>
        <w:rPr>
          <w:rFonts w:hAnsi="宋体" w:cs="宋体"/>
          <w:color w:val="auto"/>
          <w:sz w:val="28"/>
          <w:szCs w:val="28"/>
          <w:highlight w:val="none"/>
          <w:u w:val="single"/>
        </w:rPr>
      </w:pPr>
      <w:r>
        <w:rPr>
          <w:rFonts w:hint="eastAsia" w:hAnsi="宋体" w:cs="宋体"/>
          <w:color w:val="auto"/>
          <w:sz w:val="28"/>
          <w:szCs w:val="28"/>
          <w:highlight w:val="none"/>
        </w:rPr>
        <w:t xml:space="preserve">法人代表或授权代表（签字）</w:t>
      </w:r>
      <w:r>
        <w:rPr>
          <w:rFonts w:hint="eastAsia" w:hAnsi="宋体" w:cs="宋体"/>
          <w:color w:val="auto"/>
          <w:sz w:val="28"/>
          <w:szCs w:val="28"/>
          <w:highlight w:val="none"/>
          <w:u w:val="single"/>
        </w:rPr>
        <w:t xml:space="preserve">                          </w:t>
      </w:r>
      <w:r/>
    </w:p>
    <w:p>
      <w:pPr>
        <w:jc w:val="left"/>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日期：</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年</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月</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日</w:t>
      </w:r>
      <w:r>
        <w:rPr>
          <w:rFonts w:hint="eastAsia"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800100</wp:posOffset>
                </wp:positionH>
                <wp:positionV relativeFrom="paragraph">
                  <wp:posOffset>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63.0pt,0.0pt" to="63.0pt,0.0pt" filled="f" strokecolor="#000000" strokeweight="0.75pt"/>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Ansi="宋体" w:cs="宋体"/>
          <w:color w:val="auto"/>
          <w:sz w:val="28"/>
          <w:szCs w:val="28"/>
          <w:highlight w:val="none"/>
        </w:rPr>
        <w:outlineLvl w:val="0"/>
      </w:pPr>
      <w:r>
        <w:rPr>
          <w:rFonts w:hint="eastAsia" w:hAnsi="宋体" w:cs="宋体"/>
          <w:bCs/>
          <w:color w:val="auto"/>
          <w:sz w:val="28"/>
          <w:szCs w:val="28"/>
          <w:highlight w:val="none"/>
        </w:rPr>
        <w:br w:type="page" w:clear="all"/>
      </w:r>
      <w:bookmarkStart w:id="189" w:name="_Toc30361"/>
      <w:r>
        <w:rPr>
          <w:rFonts w:hint="eastAsia" w:hAnsi="宋体" w:cs="宋体"/>
          <w:b/>
          <w:color w:val="auto"/>
          <w:sz w:val="28"/>
          <w:szCs w:val="28"/>
          <w:highlight w:val="none"/>
        </w:rPr>
        <w:t xml:space="preserve">第四章 采购需求</w:t>
      </w:r>
      <w:bookmarkEnd w:id="189"/>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（一）采购标的需实现的功能或者目标，以及为落实政府采购政策需满足的要求</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1）按照《政府采购促进中小企业发展管理办法》（财库〔2020〕46号）的规定，对小型和微型企业产品给予扶持；</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2）按照《财政部司法部关于政府采购支持监狱企业发展有关问题的通知》（财库</w:t>
      </w:r>
      <w:r>
        <w:rPr>
          <w:rFonts w:hint="eastAsia" w:hAnsi="宋体" w:cs="宋体"/>
          <w:color w:val="auto"/>
          <w:sz w:val="28"/>
          <w:szCs w:val="28"/>
          <w:highlight w:val="none"/>
        </w:rPr>
        <w:t xml:space="preserve">〔2014〕68号</w:t>
      </w:r>
      <w:r>
        <w:rPr>
          <w:rFonts w:hAnsi="宋体" w:cs="宋体"/>
          <w:color w:val="auto"/>
          <w:sz w:val="28"/>
          <w:szCs w:val="28"/>
          <w:highlight w:val="none"/>
        </w:rPr>
        <w:t xml:space="preserve">）文件规定，在政府采购活动中，监狱企业视同小型、微型企业，享受评审中价格扣除的政府采购政策</w:t>
      </w:r>
      <w:r>
        <w:rPr>
          <w:rFonts w:hint="eastAsia" w:hAnsi="宋体" w:cs="宋体"/>
          <w:color w:val="auto"/>
          <w:sz w:val="28"/>
          <w:szCs w:val="28"/>
          <w:highlight w:val="none"/>
        </w:rPr>
        <w:t xml:space="preserve">，</w:t>
      </w:r>
      <w:r>
        <w:rPr>
          <w:rFonts w:hAnsi="宋体" w:cs="宋体"/>
          <w:color w:val="auto"/>
          <w:sz w:val="28"/>
          <w:szCs w:val="28"/>
          <w:highlight w:val="none"/>
        </w:rPr>
        <w:t xml:space="preserve">监狱企业属于小微企业的，不重复享受政策支持。</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4）优先和强制采购节能产品。属于财政部、国家发展改革委《节能产品政府采购清单》有效期内产品的优先采购，属于节能产品清单中强制采购的产品强制采购。优先采购环保产品。属于财政部、</w:t>
      </w:r>
      <w:r>
        <w:rPr>
          <w:rFonts w:hint="eastAsia" w:hAnsi="宋体" w:cs="宋体"/>
          <w:color w:val="auto"/>
          <w:sz w:val="28"/>
          <w:szCs w:val="28"/>
          <w:highlight w:val="none"/>
        </w:rPr>
        <w:t xml:space="preserve">生态环境部</w:t>
      </w:r>
      <w:r>
        <w:rPr>
          <w:rFonts w:hAnsi="宋体" w:cs="宋体"/>
          <w:color w:val="auto"/>
          <w:sz w:val="28"/>
          <w:szCs w:val="28"/>
          <w:highlight w:val="none"/>
        </w:rPr>
        <w:t xml:space="preserve">《环境标志产品政府采购清单》有效期内产品的优先采购。</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（二）采购标的需执行的国家相关标准、行业标准、地方标准或者其他标准、规范《中华人民共和国政府采购法》《中华人民共和国政府采购</w:t>
      </w:r>
      <w:r>
        <w:rPr>
          <w:rFonts w:hint="eastAsia" w:hAnsi="宋体" w:cs="宋体"/>
          <w:color w:val="auto"/>
          <w:sz w:val="28"/>
          <w:szCs w:val="28"/>
          <w:highlight w:val="none"/>
        </w:rPr>
        <w:t xml:space="preserve">法</w:t>
      </w:r>
      <w:r>
        <w:rPr>
          <w:rFonts w:hAnsi="宋体" w:cs="宋体"/>
          <w:color w:val="auto"/>
          <w:sz w:val="28"/>
          <w:szCs w:val="28"/>
          <w:highlight w:val="none"/>
        </w:rPr>
        <w:t xml:space="preserve">实施条例》等。</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（三）采购标的需满足的质量、安全、技术规格、物理特性等要求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一、项目背景</w:t>
      </w:r>
      <w:r/>
    </w:p>
    <w:p>
      <w:pPr>
        <w:pStyle w:val="773"/>
        <w:ind w:firstLine="560"/>
        <w:spacing w:line="36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为深入推进《无锡市新吴区国土空间总体规划（2021-2035年）》和《无锡硕放机场总体规划（2024年版）》实施，落实总体规划对详细规划的传导要求，加强规划统筹引领和要素保障，提升硕放机场综合枢纽功能，实现空港经济开发区功能定位、空间品质更高质量发展，按照《自然资源部关于加强国土空间详细规划工作的通知》、《江苏省自然资源厅关于加强详细规划管理的通知》，启动编制《无锡市新吴区机场单元、硕放单元详细规划》。</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本次详细规划积极呼应创建国家级临空经济示范区、打造活力空港新城的外部条件和历史机遇，落实并完善上位规划所确立的发展目标和要求，发挥以下三方面的作用和意义：（1）审视目标定位，明确发展方向——围绕“港产城一体化”融合发</w:t>
      </w:r>
      <w:r>
        <w:rPr>
          <w:rFonts w:hint="eastAsia" w:hAnsi="宋体" w:cs="宋体"/>
          <w:color w:val="auto"/>
          <w:sz w:val="28"/>
          <w:szCs w:val="28"/>
          <w:highlight w:val="none"/>
        </w:rPr>
        <w:t xml:space="preserve">展要求，进一步明确机场地区的规划结构、功能分区和产业方向，提升机场周边临空产业的关联性，与周边城市功能、交通、风貌进一步互动衔接。（2）统筹各类规划，构建一张蓝图——依据上位规划，整合相关城市设计、专项规划、交通市政工程及专项研究等，协调相关部门要求，落实“多规合一”，形成一张蓝图，并将相关管控要求分解传导至街区层面，指导后续建设项目实施。（3）探索临空门户创新空间设计，提升场所品质，对标国际、国内临空门户区案例，加强城市设计引导，营造立体紧凑、服务便捷、多元活力的临空门户空间，提升空港国际枢纽综合竞争力。</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二、规划范围</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包括2个单元，即硕放单元和机场单元。</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硕放单元规划范围为东至通锡高速-孙安路，南至京杭大运河-望虞河，西至华友中路-唐庄河，北至沪宁高速公路，总用地面积约14.33平方公里。</w:t>
      </w:r>
      <w:r/>
    </w:p>
    <w:p>
      <w:pPr>
        <w:pStyle w:val="773"/>
        <w:spacing w:line="360" w:lineRule="auto"/>
        <w:rPr>
          <w:rFonts w:hAnsi="宋体" w:cs="宋体"/>
          <w:color w:val="auto"/>
          <w:sz w:val="24"/>
          <w:szCs w:val="24"/>
          <w:highlight w:val="none"/>
        </w:rPr>
      </w:pPr>
      <w:r>
        <w:rPr>
          <w:rFonts w:hint="eastAsia" w:ascii="宋体" w:hAnsi="宋体" w:eastAsia="宋体" w:cs="宋体"/>
          <w:color w:val="auto"/>
          <w:szCs w:val="28"/>
          <w:highlight w:val="none"/>
        </w:rPr>
        <w:t xml:space="preserve">机场单元规划范围为东至华友中路-唐庄河，南至京杭大运河，西至硕梅路-雪梅路，北至沪宁高速公路，总用地面积约16.41平方公里）。</w:t>
      </w:r>
      <w:r/>
    </w:p>
    <w:p>
      <w:pPr>
        <w:pStyle w:val="7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Ansi="宋体" w:cs="宋体"/>
          <w:color w:val="auto"/>
          <w:sz w:val="24"/>
          <w:szCs w:val="24"/>
          <w:highlight w:val="none"/>
        </w:rPr>
      </w:pPr>
      <w:r>
        <w:rPr>
          <w:rFonts w:hint="eastAsia"/>
          <w:b/>
          <w:bCs/>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50165</wp:posOffset>
                </wp:positionH>
                <wp:positionV relativeFrom="paragraph">
                  <wp:posOffset>3175</wp:posOffset>
                </wp:positionV>
                <wp:extent cx="5384800" cy="4038600"/>
                <wp:effectExtent l="0" t="0" r="6350" b="0"/>
                <wp:wrapSquare wrapText="bothSides"/>
                <wp:docPr id="5" name="图片 2" descr="编制范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编制范围2"/>
                        <pic:cNvPicPr>
                          <a:picLocks noChangeAspect="1"/>
                        </pic:cNvPicPr>
                        <pic:nvPr/>
                      </pic:nvPicPr>
                      <pic:blipFill>
                        <a:blip r:embed="rId13"/>
                        <a:stretch/>
                      </pic:blipFill>
                      <pic:spPr bwMode="auto">
                        <a:xfrm>
                          <a:off x="0" y="0"/>
                          <a:ext cx="5384800" cy="403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3.9pt;mso-position-horizontal:absolute;mso-position-vertical-relative:text;margin-top:0.2pt;mso-position-vertical:absolute;width:424.0pt;height:318.0pt;mso-wrap-distance-left:9.0pt;mso-wrap-distance-top:0.0pt;mso-wrap-distance-right:9.0pt;mso-wrap-distance-bottom:0.0pt;" stroked="f">
                <v:path textboxrect="0,0,0,0"/>
                <w10:wrap type="square"/>
                <v:imagedata r:id="rId13" o:title=""/>
              </v:shape>
            </w:pict>
          </mc:Fallback>
        </mc:AlternateContent>
      </w:r>
      <w:r>
        <w:rPr>
          <w:rFonts w:hint="eastAsia"/>
          <w:b/>
          <w:bCs/>
          <w:color w:val="auto"/>
          <w:sz w:val="18"/>
          <w:szCs w:val="18"/>
          <w:highlight w:val="none"/>
        </w:rPr>
        <w:t xml:space="preserve">规划范围示意图</w:t>
      </w:r>
      <w:r/>
    </w:p>
    <w:p>
      <w:pPr>
        <w:pStyle w:val="770"/>
        <w:jc w:val="center"/>
        <w:rPr>
          <w:rFonts w:hAnsi="宋体" w:cs="宋体"/>
          <w:color w:val="auto"/>
          <w:sz w:val="28"/>
          <w:szCs w:val="36"/>
          <w:highlight w:val="none"/>
        </w:rPr>
      </w:pPr>
      <w:r>
        <w:rPr>
          <w:rFonts w:hAnsi="宋体" w:cs="宋体"/>
          <w:color w:val="auto"/>
          <w:sz w:val="28"/>
          <w:szCs w:val="36"/>
          <w:highlight w:val="none"/>
        </w:rPr>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三、规划依据</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w:t>
      </w:r>
      <w:r>
        <w:rPr>
          <w:rFonts w:hint="eastAsia" w:hAnsi="宋体" w:cs="宋体"/>
          <w:color w:val="auto"/>
          <w:sz w:val="28"/>
          <w:szCs w:val="28"/>
          <w:highlight w:val="none"/>
        </w:rPr>
        <w:t xml:space="preserve">《中华人民共和国城乡规划法》（2019年修正）</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2.</w:t>
      </w:r>
      <w:r>
        <w:rPr>
          <w:rFonts w:hint="eastAsia" w:hAnsi="宋体" w:cs="宋体"/>
          <w:color w:val="auto"/>
          <w:sz w:val="28"/>
          <w:szCs w:val="28"/>
          <w:highlight w:val="none"/>
        </w:rPr>
        <w:t xml:space="preserve">《中华人民共和国土地管理法》（2019年修正）</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3.</w:t>
      </w:r>
      <w:r>
        <w:rPr>
          <w:rFonts w:hint="eastAsia" w:hAnsi="宋体" w:cs="宋体"/>
          <w:color w:val="auto"/>
          <w:sz w:val="28"/>
          <w:szCs w:val="28"/>
          <w:highlight w:val="none"/>
        </w:rPr>
        <w:t xml:space="preserve">《中华人民共和国环境保护法》（2015年修正）</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4.</w:t>
      </w:r>
      <w:r>
        <w:rPr>
          <w:rFonts w:hint="eastAsia" w:hAnsi="宋体" w:cs="宋体"/>
          <w:color w:val="auto"/>
          <w:sz w:val="28"/>
          <w:szCs w:val="28"/>
          <w:highlight w:val="none"/>
        </w:rPr>
        <w:t xml:space="preserve">《中央国务院关于建立国土空间规划体系并监督实施的若干意见》（中发〔2019〕18号）</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5.</w:t>
      </w:r>
      <w:r>
        <w:rPr>
          <w:rFonts w:hint="eastAsia" w:hAnsi="宋体" w:cs="宋体"/>
          <w:color w:val="auto"/>
          <w:sz w:val="28"/>
          <w:szCs w:val="28"/>
          <w:highlight w:val="none"/>
        </w:rPr>
        <w:t xml:space="preserve">《江苏省城乡规划条例》（2019年修正）</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6.</w:t>
      </w:r>
      <w:r>
        <w:rPr>
          <w:rFonts w:hint="eastAsia" w:hAnsi="宋体" w:cs="宋体"/>
          <w:color w:val="auto"/>
          <w:sz w:val="28"/>
          <w:szCs w:val="28"/>
          <w:highlight w:val="none"/>
        </w:rPr>
        <w:t xml:space="preserve">《江苏省土地管理条例》（2021年修订）</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7.</w:t>
      </w:r>
      <w:r>
        <w:rPr>
          <w:rFonts w:hint="eastAsia" w:hAnsi="宋体" w:cs="宋体"/>
          <w:color w:val="auto"/>
          <w:sz w:val="28"/>
          <w:szCs w:val="28"/>
          <w:highlight w:val="none"/>
        </w:rPr>
        <w:t xml:space="preserve">《江苏省城市规划管理技术规定》（2011年版）</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8.</w:t>
      </w:r>
      <w:r>
        <w:rPr>
          <w:rFonts w:hint="eastAsia" w:hAnsi="宋体" w:cs="宋体"/>
          <w:color w:val="auto"/>
          <w:sz w:val="28"/>
          <w:szCs w:val="28"/>
          <w:highlight w:val="none"/>
        </w:rPr>
        <w:t xml:space="preserve">《江苏省土壤污染防治条例》（2022年版）</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9.</w:t>
      </w:r>
      <w:r>
        <w:rPr>
          <w:rFonts w:hint="eastAsia" w:hAnsi="宋体" w:cs="宋体"/>
          <w:color w:val="auto"/>
          <w:sz w:val="28"/>
          <w:szCs w:val="28"/>
          <w:highlight w:val="none"/>
        </w:rPr>
        <w:t xml:space="preserve">《国土空间调查、规划、用途管制用地用海分类指南》</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10.</w:t>
      </w:r>
      <w:r>
        <w:rPr>
          <w:rFonts w:hint="eastAsia" w:hAnsi="宋体" w:cs="宋体"/>
          <w:color w:val="auto"/>
          <w:sz w:val="28"/>
          <w:szCs w:val="28"/>
          <w:highlight w:val="none"/>
        </w:rPr>
        <w:t xml:space="preserve">《国土空间规划城市设计指南》（TD/T1065-2021）</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11.</w:t>
      </w:r>
      <w:r>
        <w:rPr>
          <w:rFonts w:hint="eastAsia" w:hAnsi="宋体" w:cs="宋体"/>
          <w:color w:val="auto"/>
          <w:sz w:val="28"/>
          <w:szCs w:val="28"/>
          <w:highlight w:val="none"/>
        </w:rPr>
        <w:t xml:space="preserve">《社区生活圈规划技术指南》（TD/T1062-2021）</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12.</w:t>
      </w:r>
      <w:r>
        <w:rPr>
          <w:rFonts w:hint="eastAsia" w:hAnsi="宋体" w:cs="宋体"/>
          <w:color w:val="auto"/>
          <w:sz w:val="28"/>
          <w:szCs w:val="28"/>
          <w:highlight w:val="none"/>
        </w:rPr>
        <w:t xml:space="preserve">《城市居住区规划设计标准》（GB50180-2018）</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13.</w:t>
      </w:r>
      <w:r>
        <w:rPr>
          <w:rFonts w:hint="eastAsia" w:hAnsi="宋体" w:cs="宋体"/>
          <w:color w:val="auto"/>
          <w:sz w:val="28"/>
          <w:szCs w:val="28"/>
          <w:highlight w:val="none"/>
        </w:rPr>
        <w:t xml:space="preserve">《江苏省城镇开发边界内详细规划编制指南（试行）》（2021年版）</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14.</w:t>
      </w:r>
      <w:r>
        <w:rPr>
          <w:rFonts w:hint="eastAsia" w:hAnsi="宋体" w:cs="宋体"/>
          <w:color w:val="auto"/>
          <w:sz w:val="28"/>
          <w:szCs w:val="28"/>
          <w:highlight w:val="none"/>
        </w:rPr>
        <w:t xml:space="preserve">《无锡市国土空间总体规划（2021—2035年）》</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15.</w:t>
      </w:r>
      <w:r>
        <w:rPr>
          <w:rFonts w:hint="eastAsia" w:hAnsi="宋体" w:cs="宋体"/>
          <w:color w:val="auto"/>
          <w:sz w:val="28"/>
          <w:szCs w:val="28"/>
          <w:highlight w:val="none"/>
        </w:rPr>
        <w:t xml:space="preserve">《无锡市新吴区国土空间总体规划（2021—2035年）》</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16.</w:t>
      </w:r>
      <w:r>
        <w:rPr>
          <w:rFonts w:hint="eastAsia" w:hAnsi="宋体" w:cs="宋体"/>
          <w:color w:val="auto"/>
          <w:sz w:val="28"/>
          <w:szCs w:val="28"/>
          <w:highlight w:val="none"/>
        </w:rPr>
        <w:t xml:space="preserve">其他相关法律、法规及已批准的相关规划</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四、规划内容要求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（一）基础工作</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开展前期沟通，结合地方实际，把准发展需求，明确规划目标。制作资料清单，进行数据资料的收集、整理与分析。</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w:t>
      </w:r>
      <w:r>
        <w:rPr>
          <w:rFonts w:hint="eastAsia" w:hAnsi="宋体" w:cs="宋体"/>
          <w:color w:val="auto"/>
          <w:sz w:val="28"/>
          <w:szCs w:val="28"/>
          <w:highlight w:val="none"/>
        </w:rPr>
        <w:t xml:space="preserve">开展现状调查 </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采取现场踏勘、公众调查等方式，结合国土变更调查、影像、确权登记、大数据等数据，对详细规划范围内及周边的自然条件、生态本底、历史文化资源、人口、土地利用、土地权属、地下空间利用、建筑、公共管理与公共服务设施、重要企业、综合交通、公用设施、综合防灾等现状进行详细调查，了解土壤污染状况，梳理分析上位规划及其他相关规划，必要时征求公众意愿、利害关系人意见以及相关部门意见，了解社区治理现状，总结现状特征，分析存在问题，挖掘发展条件。 </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2.</w:t>
      </w:r>
      <w:r>
        <w:rPr>
          <w:rFonts w:hint="eastAsia" w:hAnsi="宋体" w:cs="宋体"/>
          <w:color w:val="auto"/>
          <w:sz w:val="28"/>
          <w:szCs w:val="28"/>
          <w:highlight w:val="none"/>
        </w:rPr>
        <w:t xml:space="preserve">统一底图基数 </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收集第三次全国国土调查（“三调”）成果、地形图、遥感影像图、国土空间总体规划底图、批地供地征收信息、城镇地籍信息（产权权属、地籍）等基础数据，结合年度国土变更调查开展地类细化调查，形成比例尺不小于1: 2000、用地分类以三级类为主的土地利用现状数据和工作底图。 </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3.</w:t>
      </w:r>
      <w:r>
        <w:rPr>
          <w:rFonts w:hint="eastAsia" w:hAnsi="宋体" w:cs="宋体"/>
          <w:color w:val="auto"/>
          <w:sz w:val="28"/>
          <w:szCs w:val="28"/>
          <w:highlight w:val="none"/>
        </w:rPr>
        <w:t xml:space="preserve">评估规划实施 </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开展现行详细规划的实施评估。评估规划内容实施情况、影响规划实施的外部因素变化情况以及规划内容自身合理性情况，梳理规划实施问题，剖析问题原因，并与总体规划进行比对，提出现行详细规划延续内容与优化建议，确定详细规划编制重点。</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（二）单元层次详细规划</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单元层次详细规划应承接落实国土空间总体规划和次分区规划的要求，衔接专项规划关于单元层次的空间性内容，作为指导土地利用和开发建设、开展街区（地块）层次详细规划编制与修改的依据。</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w:t>
      </w:r>
      <w:r>
        <w:rPr>
          <w:rFonts w:hint="eastAsia" w:hAnsi="宋体" w:cs="宋体"/>
          <w:color w:val="auto"/>
          <w:sz w:val="28"/>
          <w:szCs w:val="28"/>
          <w:highlight w:val="none"/>
        </w:rPr>
        <w:t xml:space="preserve">目标定位</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统筹考虑发展条件与上位规划要求，细化单元发展目标和功能定位，合理确定单元主导功能。</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2.</w:t>
      </w:r>
      <w:r>
        <w:rPr>
          <w:rFonts w:hint="eastAsia" w:hAnsi="宋体" w:cs="宋体"/>
          <w:color w:val="auto"/>
          <w:sz w:val="28"/>
          <w:szCs w:val="28"/>
          <w:highlight w:val="none"/>
        </w:rPr>
        <w:t xml:space="preserve">规划布局</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（1）规模控制</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依据上位规划约束指标传导要求，深入研究单元人口构成和需求。合理确定人口容量、用地规模，保持人口规模、住宅规模、公共管理与公共服务设施配置的匹配关系。</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（2）布局结构</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落实上位规划的保护开发总体要求，统筹生态保护、重大设施与廊道控制、空港门户特色展示、机场净空及噪音影响等空间因素，加强产城融合，促进职住平衡，研究确定单元布局结构。</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（3）居住用地与生活圈</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结合单元住宅总量控制要求与用地潜力评价，衔接相关专项规划和部门工作计划，提出老旧小区改造、城市更新等居住环境改善的规划引导要求，明确15 分钟生活圈社区配套设施布局，提出5-10分钟生活圈社区配套要求，明确刚性和弹性管控规则。</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（4）产业用地</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落实总体规划工业保障线管控要求，明确产业用地安全防护、环境保护等控制要求，优化货运交通组织。</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（5）公共管理与公共服务设施</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落实上位规划确定的文、教、体、卫、养老、社区服务等公共管理与公共服务设施配置要求和标准，统筹相关专项规划，在满足服务半径基础上优化用地布局。</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3.</w:t>
      </w:r>
      <w:r>
        <w:rPr>
          <w:rFonts w:hint="eastAsia" w:hAnsi="宋体" w:cs="宋体"/>
          <w:color w:val="auto"/>
          <w:sz w:val="28"/>
          <w:szCs w:val="28"/>
          <w:highlight w:val="none"/>
        </w:rPr>
        <w:t xml:space="preserve">蓝绿空间管控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总体规划及绿地系统专项规划确定的生态环境保护目标，合理确定单元绿地总量和重要绿地、绿廊、广场布局；结合社区生活圈构建，优化社区公园、游园布局。尊重水系现状，明确水面率控制及河道布局，形成有机连通的水域空间网络。落实上位规划分解的耕地、林地、湿地及永久基本农田、生态公益林等保护任务，依据生态保护、生态修复、国土综合整治等相关专项规划，优化耕地、林地、湿地空间布局。</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4.</w:t>
      </w:r>
      <w:r>
        <w:rPr>
          <w:rFonts w:hint="eastAsia" w:hAnsi="宋体" w:cs="宋体"/>
          <w:color w:val="auto"/>
          <w:sz w:val="28"/>
          <w:szCs w:val="28"/>
          <w:highlight w:val="none"/>
        </w:rPr>
        <w:t xml:space="preserve">地下空间</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评价地下空间开发潜力，落实细化总体规划、专项规划确定的地下空间开发利用分区和管控，保障地下空间资源开发利用的战略性、前瞻性与长效性。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5.</w:t>
      </w:r>
      <w:r>
        <w:rPr>
          <w:rFonts w:hint="eastAsia" w:hAnsi="宋体" w:cs="宋体"/>
          <w:color w:val="auto"/>
          <w:sz w:val="28"/>
          <w:szCs w:val="28"/>
          <w:highlight w:val="none"/>
        </w:rPr>
        <w:t xml:space="preserve">综合交通</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总体规划及专项规划提出的道路网、公共交通、慢行交通等交通网络与设施的规模、布局要求，明确次干路、支路、慢行系统和交通场站布局，统筹协调各类空间要素，建立多层次、一体化的机场集疏运系统，拓展机场区域辐射功能。</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6.</w:t>
      </w:r>
      <w:r>
        <w:rPr>
          <w:rFonts w:hint="eastAsia" w:hAnsi="宋体" w:cs="宋体"/>
          <w:color w:val="auto"/>
          <w:sz w:val="28"/>
          <w:szCs w:val="28"/>
          <w:highlight w:val="none"/>
        </w:rPr>
        <w:t xml:space="preserve">公用设施</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落实总体规划及专项规划提出的各类公用设施体系布局及规模，加强公用设施空间管控。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7.</w:t>
      </w:r>
      <w:r>
        <w:rPr>
          <w:rFonts w:hint="eastAsia" w:hAnsi="宋体" w:cs="宋体"/>
          <w:color w:val="auto"/>
          <w:sz w:val="28"/>
          <w:szCs w:val="28"/>
          <w:highlight w:val="none"/>
        </w:rPr>
        <w:t xml:space="preserve">综合防灾</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落实总体规划及专项规划中设施布局及规模，加强抗震、防洪排涝、消防、人防等防灾减灾基础设施空间管控。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8.</w:t>
      </w:r>
      <w:r>
        <w:rPr>
          <w:rFonts w:hint="eastAsia" w:hAnsi="宋体" w:cs="宋体"/>
          <w:color w:val="auto"/>
          <w:sz w:val="28"/>
          <w:szCs w:val="28"/>
          <w:highlight w:val="none"/>
        </w:rPr>
        <w:t xml:space="preserve">竖向规划</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合理确定建设用地的场地高程和道路、桥梁、堤防等控制点标高，提出空中、地面、地下分层开发、分层赋权、统筹管控模式。</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9.</w:t>
      </w:r>
      <w:r>
        <w:rPr>
          <w:rFonts w:hint="eastAsia" w:hAnsi="宋体" w:cs="宋体"/>
          <w:color w:val="auto"/>
          <w:sz w:val="28"/>
          <w:szCs w:val="28"/>
          <w:highlight w:val="none"/>
        </w:rPr>
        <w:t xml:space="preserve">城市控制线</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根据上位规划划定的城市红线、绿线、蓝线、黄线的位置及边界，刚弹结合地明确控制线范围内的各类控制要求。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10.</w:t>
      </w:r>
      <w:r>
        <w:rPr>
          <w:rFonts w:hint="eastAsia" w:hAnsi="宋体" w:cs="宋体"/>
          <w:color w:val="auto"/>
          <w:sz w:val="28"/>
          <w:szCs w:val="28"/>
          <w:highlight w:val="none"/>
        </w:rPr>
        <w:t xml:space="preserve">街区管控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统筹考虑社区行政区划和公共服务等内在功能的关联性，划定详细规划街区，将“ </w:t>
      </w:r>
      <w:r>
        <w:rPr>
          <w:rFonts w:hint="eastAsia" w:hAnsi="宋体" w:cs="宋体"/>
          <w:color w:val="auto"/>
          <w:sz w:val="28"/>
          <w:szCs w:val="28"/>
          <w:highlight w:val="none"/>
          <w:lang w:eastAsia="zh-CN"/>
        </w:rPr>
        <w:t xml:space="preserve">‘三区三线’</w:t>
      </w:r>
      <w:r>
        <w:rPr>
          <w:rFonts w:hint="eastAsia" w:hAnsi="宋体" w:cs="宋体"/>
          <w:color w:val="auto"/>
          <w:sz w:val="28"/>
          <w:szCs w:val="28"/>
          <w:highlight w:val="none"/>
        </w:rPr>
        <w:t xml:space="preserve">” 、主导功能、发展规模、公共设施、蓝绿空间、城市设计和城市更新引导，以及道路交通、市政公用、环卫和防灾设施等单元层次详细规划内容管控要求分解传导至街区，明确街区主导功能、规划人口规模、建设用地总规模、强度分区。</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结合单元发展定位和功能布局特色，划定城市设计重点控制区范围，深化功能布局、交通组织、开发强度、高度控制、公共空间、地下空间、景观风貌等方面规划内容，明确空间形态和风貌特色的管控目标和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11.</w:t>
      </w:r>
      <w:r>
        <w:rPr>
          <w:rFonts w:hint="eastAsia" w:hAnsi="宋体" w:cs="宋体"/>
          <w:color w:val="auto"/>
          <w:sz w:val="28"/>
          <w:szCs w:val="28"/>
          <w:highlight w:val="none"/>
        </w:rPr>
        <w:t xml:space="preserve">清单引导管控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制定混合兼容正、负面清单，严守安全底线要求，因地制宜引导管控。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（三）街区层次详细规划</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街区层次详细规划在严格遵循单元层次详细规划管控要求的基础上，制定地块具体管控指标和管控要求，作为规划许可的依据。</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1.</w:t>
      </w:r>
      <w:r>
        <w:rPr>
          <w:rFonts w:hint="eastAsia" w:hAnsi="宋体" w:cs="宋体"/>
          <w:color w:val="auto"/>
          <w:sz w:val="28"/>
          <w:szCs w:val="28"/>
          <w:highlight w:val="none"/>
        </w:rPr>
        <w:t xml:space="preserve">优化用地布局</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结合街区开发建设实际和城市更新需求，根据地块特点、权属单位开发意向及利害关系人意见，综合运用城市设计、交通分析、经济分析等方法进行深化研究，结合土地收储及开发时序优化用地布局，提高土地利用经济性和规划实施可操作性。</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2.</w:t>
      </w:r>
      <w:r>
        <w:rPr>
          <w:rFonts w:hint="eastAsia" w:hAnsi="宋体" w:cs="宋体"/>
          <w:color w:val="auto"/>
          <w:sz w:val="28"/>
          <w:szCs w:val="28"/>
          <w:highlight w:val="none"/>
        </w:rPr>
        <w:t xml:space="preserve">保障设施落地</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以符合单元层次详细规划约束性指标和强制性内容为前提，在满足设施服务半径要求基础上，深化设施具体空间布局，详细说明实线控制、虚线控制、点位控制等刚性和弹性的管控要求。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3.</w:t>
      </w:r>
      <w:r>
        <w:rPr>
          <w:rFonts w:hint="eastAsia" w:hAnsi="宋体" w:cs="宋体"/>
          <w:color w:val="auto"/>
          <w:sz w:val="28"/>
          <w:szCs w:val="28"/>
          <w:highlight w:val="none"/>
        </w:rPr>
        <w:t xml:space="preserve">细化竖向及立体开发控制</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依据单元层次详细规划，细化确定街区内各地块场地高程和道路控制点标高，协调地上地下空间开发利用和控制要求。</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lang w:eastAsia="zh-CN"/>
        </w:rPr>
        <w:t xml:space="preserve">4.</w:t>
      </w:r>
      <w:r>
        <w:rPr>
          <w:rFonts w:hint="eastAsia" w:hAnsi="宋体" w:cs="宋体"/>
          <w:color w:val="auto"/>
          <w:sz w:val="28"/>
          <w:szCs w:val="28"/>
          <w:highlight w:val="none"/>
        </w:rPr>
        <w:t xml:space="preserve">确定地块控制基本指标</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深化地块容积率、建筑密度、建筑高度、绿地率等具体控制指标，划定各类控制线，明确地块基准容积率、指标上下限控制等具体管控要求，详细说明实施深化阶段的弹性管理规定。</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位于城市设计重点控制的街区（地块）需增加相应的附加图则，细化地块层面建筑形态、公共空间、道路交通、立体空间、城市更新等精细化管控要素和管控要求，提升城市空间品质。</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（四）采购数量、采购项目交付或者实施的时间和地点</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服务地点：无锡市辖区 </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（五）采购标的需满足的服务标准、期限、效率等要求</w:t>
      </w:r>
      <w:r/>
    </w:p>
    <w:p>
      <w:pPr>
        <w:ind w:firstLine="560"/>
        <w:spacing w:line="360" w:lineRule="auto"/>
        <w:rPr>
          <w:rFonts w:hAnsi="宋体" w:cs="宋体"/>
          <w:bCs/>
          <w:color w:val="auto"/>
          <w:sz w:val="28"/>
          <w:szCs w:val="28"/>
          <w:highlight w:val="none"/>
        </w:rPr>
      </w:pPr>
      <w:r>
        <w:rPr>
          <w:rFonts w:hAnsi="宋体" w:cs="宋体"/>
          <w:color w:val="auto"/>
          <w:sz w:val="28"/>
          <w:szCs w:val="28"/>
          <w:highlight w:val="none"/>
        </w:rPr>
        <w:t xml:space="preserve">一、服务期：</w:t>
      </w:r>
      <w:r>
        <w:rPr>
          <w:rFonts w:hint="eastAsia" w:hAnsi="宋体" w:cs="宋体"/>
          <w:color w:val="auto"/>
          <w:sz w:val="28"/>
          <w:szCs w:val="28"/>
          <w:highlight w:val="none"/>
        </w:rPr>
        <w:t xml:space="preserve">自合同签订之日起三年</w:t>
      </w:r>
      <w:r>
        <w:rPr>
          <w:rFonts w:hint="eastAsia" w:hAnsi="宋体" w:cs="宋体"/>
          <w:bCs/>
          <w:color w:val="auto"/>
          <w:sz w:val="28"/>
          <w:szCs w:val="28"/>
          <w:highlight w:val="none"/>
        </w:rPr>
        <w:t xml:space="preserve">。</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项目总时间为36个月，其中详细规划编制工作为前12个月，后续为跟踪服务期。前12个月工作进度要求安排如下：</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第一阶段：历时1个月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通过现场踏勘及与各相关部门对接，完成现状调研与基础资料收集工作。</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第二阶段：历时4个月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全面展开规划编制工作，形成阶段性成果，及时征求属地政府、各相关部门意见。</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第三阶段：历时4个月</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继续推进规划编制工作，形成完整规划草案提交市局审查，结合审查意见修改完善形成论证成果。</w:t>
      </w:r>
      <w:r/>
    </w:p>
    <w:p>
      <w:pPr>
        <w:ind w:firstLine="560"/>
        <w:jc w:val="left"/>
        <w:spacing w:line="360" w:lineRule="auto"/>
        <w:widowControl/>
        <w:rPr>
          <w:rFonts w:hAnsi="宋体" w:cs="宋体"/>
          <w:bCs/>
          <w:color w:val="auto"/>
          <w:sz w:val="28"/>
          <w:szCs w:val="28"/>
          <w:highlight w:val="none"/>
        </w:rPr>
      </w:pPr>
      <w:r>
        <w:rPr>
          <w:rFonts w:hAnsi="宋体" w:cs="宋体"/>
          <w:bCs/>
          <w:color w:val="auto"/>
          <w:sz w:val="28"/>
          <w:szCs w:val="28"/>
          <w:highlight w:val="none"/>
        </w:rPr>
        <w:t xml:space="preserve">第四阶段：历时3个月</w:t>
      </w:r>
      <w:r/>
    </w:p>
    <w:p>
      <w:pPr>
        <w:ind w:firstLine="560"/>
        <w:jc w:val="left"/>
        <w:spacing w:line="360" w:lineRule="auto"/>
        <w:widowControl/>
        <w:rPr>
          <w:color w:val="auto"/>
          <w:highlight w:val="none"/>
        </w:rPr>
      </w:pPr>
      <w:r>
        <w:rPr>
          <w:rFonts w:hAnsi="宋体" w:cs="宋体"/>
          <w:bCs/>
          <w:color w:val="auto"/>
          <w:sz w:val="28"/>
          <w:szCs w:val="28"/>
          <w:highlight w:val="none"/>
        </w:rPr>
        <w:t xml:space="preserve">提请市局组织召开专家、部门论证会，根据会议意见修改完善后形成报批成果。</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二、成果提交</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规划成果应包括规划文本、图件（图纸、图则）、附件及数据库，内容须符合设计任务书的有关要求和国家、省、市有关标准。</w:t>
      </w:r>
      <w:r/>
    </w:p>
    <w:p>
      <w:pPr>
        <w:ind w:firstLine="560"/>
        <w:spacing w:line="360" w:lineRule="auto"/>
        <w:rPr>
          <w:rFonts w:hAnsi="宋体" w:cs="宋体"/>
          <w:color w:val="auto"/>
          <w:sz w:val="28"/>
          <w:szCs w:val="28"/>
          <w:highlight w:val="none"/>
        </w:rPr>
      </w:pPr>
      <w:r>
        <w:rPr>
          <w:rFonts w:hint="eastAsia" w:hAnsi="宋体" w:cs="宋体"/>
          <w:color w:val="auto"/>
          <w:sz w:val="28"/>
          <w:szCs w:val="28"/>
          <w:highlight w:val="none"/>
        </w:rPr>
        <w:t xml:space="preserve">规划成果包括纸质文件及相应的计算机文件，其中详细规划数据库是国土空间规划“一张图”的重要组成部分， 需在详细规划编制过程中同步建立规划成果数据库，并整合到国土空间基础信息平台，数据库须符合省、市有关标准。</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（六）采购验收标准</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符合《中华人民共和国城乡规划法》、《国土空间调查、规划、用途管制用地用海分类指南》、《江苏省城镇开发边界内详细规划编制指南（试行）》（2021）、《江苏省城市规划管理技术规定》（2011年版）及其他相关规定和规范，经无锡市人民政府批准后，完成向省自然资源厅逐级汇交规划基本内容。</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（七）采购其他技术、服务等要求：</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一、付款方式</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(1)合同签订后，乙方完成初步成果，经甲方财务部门审核同意之日起10个工作日内，甲方支付合同额的20%;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(2)乙方完成论证成果，通过自规部门组织的审查论证后，甲方财务部门审核同意之日起10个工作日内，甲方支付合同额的35%;</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(3)乙方根据论证意见修改完善，成果取得市政府批准后，甲方财务部门审核同意之日起10个工作日内，甲方支付合同额的30%;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(4)乙方提交全套成果后，按相关要求开展成果汇交和数据库入库后，工作甲方财务部门审核同意之日起10个工作日内，甲方支付合同额的10%;</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(5)合同履约期内，乙方配合甲方安排部署完成项目评优工作及详细规划实施深化工作，甲方财务部门审核同意之日起10个工作日内，甲方支付合同额的5%。</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具体支付时间和金额最终以财政预算审拨数统筹为准，需方不承担违约责任，供方不得以此作为延迟履行合同的依据或理由。</w:t>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二、其他说明</w:t>
      </w:r>
      <w:r/>
    </w:p>
    <w:p>
      <w:pPr>
        <w:ind w:firstLine="560"/>
        <w:spacing w:line="360" w:lineRule="auto"/>
        <w:rPr>
          <w:rFonts w:hAnsi="宋体" w:cs="宋体"/>
          <w:color w:val="auto"/>
          <w:sz w:val="28"/>
          <w:szCs w:val="28"/>
          <w:highlight w:val="none"/>
        </w:rPr>
      </w:pPr>
      <w:r>
        <w:rPr>
          <w:rFonts w:hAnsi="宋体" w:cs="宋体"/>
          <w:color w:val="auto"/>
          <w:sz w:val="28"/>
          <w:szCs w:val="28"/>
          <w:highlight w:val="none"/>
        </w:rPr>
        <w:t xml:space="preserve">费用说明：</w:t>
      </w:r>
      <w:r>
        <w:rPr>
          <w:rFonts w:hint="eastAsia" w:hAnsi="宋体" w:cs="宋体"/>
          <w:color w:val="auto"/>
          <w:sz w:val="28"/>
          <w:szCs w:val="28"/>
          <w:highlight w:val="none"/>
        </w:rPr>
        <w:t xml:space="preserve">投标总价应包括乙方整个服务期内全部费用的报价，包含人员工资、加班费、各项福利、办公费、管理费、为本招标项目提供服务所需的仪器设备、各类耗材、公共耗能费、专家评审费、利润、税金、地形基础资料费用、本项目招标代理费等本项目招标文件规定的全部费用。除因特殊原因经双方协商同意外，乙方不得再要求追加任何费用</w:t>
      </w:r>
      <w:r>
        <w:rPr>
          <w:rFonts w:hAnsi="宋体" w:cs="宋体"/>
          <w:color w:val="auto"/>
          <w:sz w:val="28"/>
          <w:szCs w:val="28"/>
          <w:highlight w:val="none"/>
        </w:rPr>
        <w:t xml:space="preserve">。</w:t>
      </w:r>
      <w:r/>
    </w:p>
    <w:p>
      <w:pPr>
        <w:jc w:val="center"/>
        <w:spacing w:line="360" w:lineRule="auto"/>
        <w:tabs>
          <w:tab w:val="left" w:pos="525" w:leader="none"/>
          <w:tab w:val="left" w:pos="630" w:leader="none"/>
          <w:tab w:val="left" w:pos="735" w:leader="none"/>
          <w:tab w:val="left" w:pos="945" w:leader="none"/>
          <w:tab w:val="left" w:pos="1080" w:leader="none"/>
        </w:tabs>
        <w:rPr>
          <w:rFonts w:hAnsi="宋体" w:cs="宋体"/>
          <w:bCs/>
          <w:color w:val="auto"/>
          <w:sz w:val="28"/>
          <w:szCs w:val="28"/>
          <w:highlight w:val="none"/>
        </w:rPr>
        <w:outlineLvl w:val="0"/>
      </w:pPr>
      <w:r>
        <w:rPr>
          <w:rFonts w:hint="eastAsia" w:hAnsi="宋体" w:cs="宋体"/>
          <w:bCs/>
          <w:color w:val="auto"/>
          <w:sz w:val="28"/>
          <w:szCs w:val="28"/>
          <w:highlight w:val="none"/>
        </w:rPr>
        <w:br w:type="page" w:clear="all"/>
      </w:r>
      <w:bookmarkStart w:id="190" w:name="_Toc23388"/>
      <w:r>
        <w:rPr>
          <w:rFonts w:hint="eastAsia" w:hAnsi="宋体" w:cs="宋体"/>
          <w:b/>
          <w:color w:val="auto"/>
          <w:sz w:val="28"/>
          <w:szCs w:val="28"/>
          <w:highlight w:val="none"/>
        </w:rPr>
        <w:t xml:space="preserve">第五章  评标方法与评标标准</w:t>
      </w:r>
      <w:bookmarkEnd w:id="190"/>
      <w:r/>
      <w:r/>
    </w:p>
    <w:p>
      <w:pPr>
        <w:pStyle w:val="1090"/>
        <w:ind w:firstLine="602"/>
        <w:spacing w:before="0" w:after="0" w:line="360" w:lineRule="auto"/>
        <w:rPr>
          <w:rFonts w:ascii="宋体" w:hAnsi="宋体" w:cs="宋体"/>
          <w:b/>
          <w:color w:val="auto"/>
          <w:sz w:val="28"/>
          <w:szCs w:val="28"/>
          <w:highlight w:val="none"/>
        </w:rPr>
        <w:outlineLvl w:val="1"/>
      </w:pPr>
      <w:r/>
      <w:bookmarkStart w:id="191" w:name="_Toc1209"/>
      <w:r>
        <w:rPr>
          <w:rFonts w:hint="eastAsia" w:ascii="宋体" w:hAnsi="宋体" w:cs="宋体"/>
          <w:b/>
          <w:color w:val="auto"/>
          <w:sz w:val="28"/>
          <w:szCs w:val="28"/>
          <w:highlight w:val="none"/>
        </w:rPr>
        <w:t xml:space="preserve">第一部分评标方法</w:t>
      </w:r>
      <w:bookmarkEnd w:id="191"/>
      <w:r/>
      <w:r/>
    </w:p>
    <w:p>
      <w:pPr>
        <w:pStyle w:val="109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投标人通过初审的，方可进入比较与评价程序。</w:t>
      </w:r>
      <w:r/>
    </w:p>
    <w:p>
      <w:pPr>
        <w:pStyle w:val="109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比较与评价采用综合评分法。</w:t>
      </w:r>
      <w:r/>
    </w:p>
    <w:p>
      <w:pPr>
        <w:pStyle w:val="1090"/>
        <w:spacing w:before="0" w:after="0" w:line="360" w:lineRule="auto"/>
        <w:rPr>
          <w:rStyle w:val="1265"/>
          <w:rFonts w:ascii="宋体" w:hAnsi="宋体" w:cs="宋体"/>
          <w:color w:val="auto"/>
          <w:sz w:val="28"/>
          <w:szCs w:val="28"/>
          <w:highlight w:val="none"/>
        </w:rPr>
      </w:pPr>
      <w:r>
        <w:rPr>
          <w:rFonts w:hint="eastAsia" w:ascii="宋体" w:hAnsi="宋体" w:cs="宋体"/>
          <w:bCs/>
          <w:color w:val="auto"/>
          <w:sz w:val="28"/>
          <w:szCs w:val="28"/>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0"/>
        <w:spacing w:before="0" w:after="0" w:line="360" w:lineRule="auto"/>
        <w:rPr>
          <w:rFonts w:ascii="宋体" w:hAnsi="宋体" w:cs="宋体"/>
          <w:color w:val="auto"/>
          <w:sz w:val="28"/>
          <w:szCs w:val="28"/>
          <w:highlight w:val="none"/>
          <w:shd w:val="clear" w:color="ffffff" w:fill="d9d9d9"/>
        </w:rPr>
      </w:pPr>
      <w:r>
        <w:rPr>
          <w:rFonts w:hint="eastAsia" w:ascii="宋体" w:hAnsi="宋体" w:cs="宋体"/>
          <w:bCs/>
          <w:color w:val="auto"/>
          <w:sz w:val="28"/>
          <w:szCs w:val="28"/>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90"/>
        <w:ind w:firstLine="602"/>
        <w:spacing w:before="0" w:after="0"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br w:type="page" w:clear="all"/>
      </w:r>
      <w:bookmarkStart w:id="192" w:name="_Toc17736"/>
      <w:r>
        <w:rPr>
          <w:rFonts w:hint="eastAsia" w:ascii="宋体" w:hAnsi="宋体" w:cs="宋体"/>
          <w:b/>
          <w:color w:val="auto"/>
          <w:sz w:val="28"/>
          <w:szCs w:val="28"/>
          <w:highlight w:val="none"/>
        </w:rPr>
        <w:t xml:space="preserve">第二部分 评标标准</w:t>
      </w:r>
      <w:bookmarkEnd w:id="192"/>
      <w:r/>
      <w:r/>
    </w:p>
    <w:p>
      <w:pPr>
        <w:pStyle w:val="1090"/>
        <w:ind w:firstLine="562"/>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小微型企业价格扣除：</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4.残疾人福利单位、监狱企业属于小型、微型企业的，不重复享受政策。</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联合体各方均为小型、微型企业的，联合体视同为小型、微型企业按规定享受价格扣除。</w:t>
      </w:r>
      <w:r/>
    </w:p>
    <w:p>
      <w:pPr>
        <w:ind w:firstLine="480"/>
        <w:jc w:val="left"/>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90"/>
        <w:ind w:left="680" w:firstLine="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二)评分标准</w:t>
      </w:r>
      <w:r/>
    </w:p>
    <w:p>
      <w:pPr>
        <w:ind w:firstLine="562"/>
        <w:spacing w:line="360" w:lineRule="auto"/>
        <w:rPr>
          <w:rFonts w:hAnsi="宋体" w:cs="宋体"/>
          <w:b/>
          <w:color w:val="auto"/>
          <w:sz w:val="28"/>
          <w:szCs w:val="28"/>
          <w:highlight w:val="none"/>
        </w:rPr>
      </w:pPr>
      <w:r>
        <w:rPr>
          <w:rFonts w:hint="eastAsia" w:hAnsi="宋体" w:cs="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一、价格分（30分）</w:t>
      </w:r>
      <w:r/>
    </w:p>
    <w:p>
      <w:pPr>
        <w:ind w:firstLine="482"/>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eastAsia="zh-CN"/>
        </w:rPr>
        <w:t xml:space="preserve">1.</w:t>
      </w:r>
      <w:r>
        <w:rPr>
          <w:rFonts w:hint="eastAsia" w:hAnsi="宋体" w:cs="宋体"/>
          <w:bCs/>
          <w:color w:val="auto"/>
          <w:sz w:val="28"/>
          <w:szCs w:val="28"/>
          <w:highlight w:val="none"/>
          <w:lang w:val="zh-CN"/>
        </w:rPr>
        <w:t xml:space="preserve">价格分采用低价优先法计算，即满足采购文件要求且报价最低的投标报价为评标基准价（落实政府采购政策进行价格调整的，以调整后的投标价格计算），满分</w:t>
      </w:r>
      <w:r>
        <w:rPr>
          <w:rFonts w:hint="eastAsia" w:hAnsi="宋体" w:cs="宋体"/>
          <w:bCs/>
          <w:color w:val="auto"/>
          <w:sz w:val="28"/>
          <w:szCs w:val="28"/>
          <w:highlight w:val="none"/>
        </w:rPr>
        <w:t xml:space="preserve">30</w:t>
      </w:r>
      <w:r>
        <w:rPr>
          <w:rFonts w:hint="eastAsia" w:hAnsi="宋体" w:cs="宋体"/>
          <w:bCs/>
          <w:color w:val="auto"/>
          <w:sz w:val="28"/>
          <w:szCs w:val="28"/>
          <w:highlight w:val="none"/>
          <w:lang w:val="zh-CN"/>
        </w:rPr>
        <w:t xml:space="preserve">分。其他投标供应商的价格分统一按照下列公式计算：</w:t>
      </w:r>
      <w:r/>
    </w:p>
    <w:p>
      <w:pPr>
        <w:ind w:firstLine="480"/>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val="zh-CN"/>
        </w:rPr>
        <w:t xml:space="preserve">投标报价得分=（评标基准价／投标报价）×价格权值×100，结果保留两位小数。</w:t>
      </w:r>
      <w:r/>
    </w:p>
    <w:p>
      <w:pPr>
        <w:ind w:firstLine="482"/>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lang w:val="zh-CN"/>
        </w:rPr>
        <w:t xml:space="preserve">评审过程中出现下列情形之一的，评审委员会应当启动异常低价投标（响应）审查程序：</w:t>
      </w:r>
      <w:r/>
    </w:p>
    <w:p>
      <w:pPr>
        <w:ind w:firstLine="482"/>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rPr>
        <w:t xml:space="preserve">2.</w:t>
      </w:r>
      <w:r>
        <w:rPr>
          <w:rFonts w:hAnsi="宋体" w:cs="宋体"/>
          <w:bCs/>
          <w:color w:val="auto"/>
          <w:sz w:val="28"/>
          <w:szCs w:val="28"/>
          <w:highlight w:val="none"/>
          <w:lang w:val="zh-CN"/>
        </w:rPr>
        <w:t xml:space="preserve">1</w:t>
      </w:r>
      <w:r>
        <w:rPr>
          <w:rFonts w:hint="eastAsia" w:hAnsi="宋体" w:cs="宋体"/>
          <w:bCs/>
          <w:color w:val="auto"/>
          <w:sz w:val="28"/>
          <w:szCs w:val="28"/>
          <w:highlight w:val="none"/>
          <w:lang w:val="zh-CN"/>
        </w:rPr>
        <w:t xml:space="preserve">投标（响应）报价低于采购项目预算</w:t>
      </w:r>
      <w:r>
        <w:rPr>
          <w:rFonts w:hAnsi="宋体" w:cs="宋体"/>
          <w:bCs/>
          <w:color w:val="auto"/>
          <w:sz w:val="28"/>
          <w:szCs w:val="28"/>
          <w:highlight w:val="none"/>
          <w:lang w:val="zh-CN"/>
        </w:rPr>
        <w:t xml:space="preserve">50%</w:t>
      </w:r>
      <w:r>
        <w:rPr>
          <w:rFonts w:hint="eastAsia" w:hAnsi="宋体" w:cs="宋体"/>
          <w:bCs/>
          <w:color w:val="auto"/>
          <w:sz w:val="28"/>
          <w:szCs w:val="28"/>
          <w:highlight w:val="none"/>
          <w:lang w:val="zh-CN"/>
        </w:rPr>
        <w:t xml:space="preserve">的，即投标（响应）报价〈采购项目预算×</w:t>
      </w:r>
      <w:r>
        <w:rPr>
          <w:rFonts w:hAnsi="宋体" w:cs="宋体"/>
          <w:bCs/>
          <w:color w:val="auto"/>
          <w:sz w:val="28"/>
          <w:szCs w:val="28"/>
          <w:highlight w:val="none"/>
          <w:lang w:val="zh-CN"/>
        </w:rPr>
        <w:t xml:space="preserve">50%</w:t>
      </w:r>
      <w:r>
        <w:rPr>
          <w:rFonts w:hint="eastAsia" w:hAnsi="宋体" w:cs="宋体"/>
          <w:bCs/>
          <w:color w:val="auto"/>
          <w:sz w:val="28"/>
          <w:szCs w:val="28"/>
          <w:highlight w:val="none"/>
          <w:lang w:val="zh-CN"/>
        </w:rPr>
        <w:t xml:space="preserve">；</w:t>
      </w:r>
      <w:r/>
    </w:p>
    <w:p>
      <w:pPr>
        <w:ind w:firstLine="482"/>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rPr>
        <w:t xml:space="preserve">2.</w:t>
      </w:r>
      <w:r>
        <w:rPr>
          <w:rFonts w:hAnsi="宋体" w:cs="宋体"/>
          <w:bCs/>
          <w:color w:val="auto"/>
          <w:sz w:val="28"/>
          <w:szCs w:val="28"/>
          <w:highlight w:val="none"/>
          <w:lang w:val="zh-CN"/>
        </w:rPr>
        <w:t xml:space="preserve">2</w:t>
      </w:r>
      <w:r>
        <w:rPr>
          <w:rFonts w:hint="eastAsia" w:hAnsi="宋体" w:cs="宋体"/>
          <w:bCs/>
          <w:color w:val="auto"/>
          <w:sz w:val="28"/>
          <w:szCs w:val="28"/>
          <w:highlight w:val="none"/>
          <w:lang w:val="zh-CN"/>
        </w:rPr>
        <w:t xml:space="preserve">投标（响应）报价低于采购项目最高限价</w:t>
      </w:r>
      <w:r>
        <w:rPr>
          <w:rFonts w:hAnsi="宋体" w:cs="宋体"/>
          <w:bCs/>
          <w:color w:val="auto"/>
          <w:sz w:val="28"/>
          <w:szCs w:val="28"/>
          <w:highlight w:val="none"/>
          <w:lang w:val="zh-CN"/>
        </w:rPr>
        <w:t xml:space="preserve">45%</w:t>
      </w:r>
      <w:r>
        <w:rPr>
          <w:rFonts w:hint="eastAsia" w:hAnsi="宋体" w:cs="宋体"/>
          <w:bCs/>
          <w:color w:val="auto"/>
          <w:sz w:val="28"/>
          <w:szCs w:val="28"/>
          <w:highlight w:val="none"/>
          <w:lang w:val="zh-CN"/>
        </w:rPr>
        <w:t xml:space="preserve">的，即投标（响应）报价〈采购项目最高限价×</w:t>
      </w:r>
      <w:r>
        <w:rPr>
          <w:rFonts w:hAnsi="宋体" w:cs="宋体"/>
          <w:bCs/>
          <w:color w:val="auto"/>
          <w:sz w:val="28"/>
          <w:szCs w:val="28"/>
          <w:highlight w:val="none"/>
          <w:lang w:val="zh-CN"/>
        </w:rPr>
        <w:t xml:space="preserve">45%</w:t>
      </w:r>
      <w:r>
        <w:rPr>
          <w:rFonts w:hint="eastAsia" w:hAnsi="宋体" w:cs="宋体"/>
          <w:bCs/>
          <w:color w:val="auto"/>
          <w:sz w:val="28"/>
          <w:szCs w:val="28"/>
          <w:highlight w:val="none"/>
          <w:lang w:val="zh-CN"/>
        </w:rPr>
        <w:t xml:space="preserve">；</w:t>
      </w:r>
      <w:r/>
    </w:p>
    <w:p>
      <w:pPr>
        <w:ind w:firstLine="482"/>
        <w:spacing w:line="360" w:lineRule="auto"/>
        <w:tabs>
          <w:tab w:val="left" w:pos="945" w:leader="none"/>
        </w:tabs>
        <w:rPr>
          <w:rFonts w:hAnsi="宋体" w:cs="宋体"/>
          <w:bCs/>
          <w:color w:val="auto"/>
          <w:sz w:val="28"/>
          <w:szCs w:val="28"/>
          <w:highlight w:val="none"/>
          <w:lang w:val="zh-CN"/>
        </w:rPr>
      </w:pPr>
      <w:r>
        <w:rPr>
          <w:rFonts w:hint="eastAsia" w:hAnsi="宋体" w:cs="宋体"/>
          <w:bCs/>
          <w:color w:val="auto"/>
          <w:sz w:val="28"/>
          <w:szCs w:val="28"/>
          <w:highlight w:val="none"/>
        </w:rPr>
        <w:t xml:space="preserve">2.3</w:t>
      </w:r>
      <w:r>
        <w:rPr>
          <w:rFonts w:hint="eastAsia" w:hAnsi="宋体" w:cs="宋体"/>
          <w:bCs/>
          <w:color w:val="auto"/>
          <w:sz w:val="28"/>
          <w:szCs w:val="28"/>
          <w:highlight w:val="none"/>
          <w:lang w:val="zh-CN"/>
        </w:rPr>
        <w:t xml:space="preserve">评审委员会认定的供应商报价过低、有可能影响产品质量或者不能诚信履约的其他情形。</w:t>
      </w:r>
      <w:r/>
    </w:p>
    <w:p>
      <w:pPr>
        <w:ind w:firstLine="482"/>
        <w:spacing w:line="360" w:lineRule="auto"/>
        <w:tabs>
          <w:tab w:val="left" w:pos="945" w:leader="none"/>
        </w:tabs>
        <w:rPr>
          <w:color w:val="auto"/>
          <w:highlight w:val="none"/>
          <w:lang w:val="zh-CN"/>
        </w:rPr>
      </w:pPr>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60" w:firstLine="360"/>
        <w:spacing w:line="360" w:lineRule="auto"/>
        <w:rPr>
          <w:rFonts w:hAnsi="宋体" w:cs="宋体"/>
          <w:color w:val="auto"/>
          <w:sz w:val="28"/>
          <w:szCs w:val="28"/>
          <w:highlight w:val="none"/>
        </w:rPr>
      </w:pPr>
      <w:r>
        <w:rPr>
          <w:rFonts w:hint="eastAsia" w:hAnsi="宋体" w:cs="宋体"/>
          <w:color w:val="auto"/>
          <w:sz w:val="28"/>
          <w:szCs w:val="28"/>
          <w:highlight w:val="none"/>
        </w:rPr>
        <w:t xml:space="preserve">二、商务（明标）部分（</w:t>
      </w:r>
      <w:r>
        <w:rPr>
          <w:rFonts w:hAnsi="宋体" w:cs="宋体"/>
          <w:color w:val="auto"/>
          <w:sz w:val="28"/>
          <w:szCs w:val="28"/>
          <w:highlight w:val="none"/>
        </w:rPr>
        <w:t xml:space="preserve">15</w:t>
      </w:r>
      <w:r>
        <w:rPr>
          <w:rFonts w:hint="eastAsia" w:hAnsi="宋体" w:cs="宋体"/>
          <w:color w:val="auto"/>
          <w:sz w:val="28"/>
          <w:szCs w:val="28"/>
          <w:highlight w:val="none"/>
        </w:rPr>
        <w:t xml:space="preserve">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2.1、投标供应商业绩（3分）：</w:t>
      </w:r>
      <w:r>
        <w:rPr>
          <w:rFonts w:hint="eastAsia" w:hAnsi="宋体" w:cs="宋体"/>
          <w:color w:val="auto"/>
          <w:sz w:val="28"/>
          <w:szCs w:val="28"/>
          <w:highlight w:val="none"/>
        </w:rPr>
        <w:t xml:space="preserve">20</w:t>
      </w:r>
      <w:r>
        <w:rPr>
          <w:rFonts w:hAnsi="宋体" w:cs="宋体"/>
          <w:color w:val="auto"/>
          <w:sz w:val="28"/>
          <w:szCs w:val="28"/>
          <w:highlight w:val="none"/>
        </w:rPr>
        <w:t xml:space="preserve">20</w:t>
      </w:r>
      <w:r>
        <w:rPr>
          <w:rFonts w:hint="eastAsia" w:hAnsi="宋体" w:cs="宋体"/>
          <w:color w:val="auto"/>
          <w:sz w:val="28"/>
          <w:szCs w:val="28"/>
          <w:highlight w:val="none"/>
        </w:rPr>
        <w:t xml:space="preserve">年1月1日以来</w:t>
      </w:r>
      <w:r>
        <w:rPr>
          <w:rFonts w:hint="eastAsia" w:hAnsi="宋体" w:cs="宋体"/>
          <w:bCs/>
          <w:color w:val="auto"/>
          <w:sz w:val="28"/>
          <w:szCs w:val="28"/>
          <w:highlight w:val="none"/>
        </w:rPr>
        <w:t xml:space="preserve">，投标供应商承担过类似项目业绩，</w:t>
      </w:r>
      <w:r>
        <w:rPr>
          <w:rFonts w:hint="eastAsia" w:hAnsi="宋体" w:cs="宋体"/>
          <w:color w:val="auto"/>
          <w:sz w:val="28"/>
          <w:szCs w:val="28"/>
          <w:highlight w:val="none"/>
        </w:rPr>
        <w:t xml:space="preserve">有一项得1分，本项最高得3分。</w:t>
      </w:r>
      <w:r>
        <w:rPr>
          <w:rFonts w:hint="eastAsia" w:hAnsi="宋体" w:cs="宋体"/>
          <w:bCs/>
          <w:color w:val="auto"/>
          <w:sz w:val="28"/>
          <w:szCs w:val="28"/>
          <w:highlight w:val="none"/>
        </w:rPr>
        <w:t xml:space="preserve">以签订合同时间为准，合同复印件加盖公章，业绩不满足要求不得分。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2.2、项目人员配备</w:t>
      </w:r>
      <w:r>
        <w:rPr>
          <w:rFonts w:hint="eastAsia" w:hAnsi="宋体" w:cs="宋体"/>
          <w:color w:val="auto"/>
          <w:sz w:val="28"/>
          <w:szCs w:val="28"/>
          <w:highlight w:val="none"/>
        </w:rPr>
        <w:t xml:space="preserve">（</w:t>
      </w:r>
      <w:r>
        <w:rPr>
          <w:rFonts w:hint="eastAsia" w:hAnsi="宋体" w:cs="宋体"/>
          <w:color w:val="auto"/>
          <w:sz w:val="28"/>
          <w:szCs w:val="28"/>
          <w:highlight w:val="none"/>
          <w:lang w:val="en-US" w:eastAsia="zh-CN"/>
        </w:rPr>
        <w:t xml:space="preserve">10</w:t>
      </w:r>
      <w:r>
        <w:rPr>
          <w:rFonts w:hint="eastAsia" w:hAnsi="宋体" w:cs="宋体"/>
          <w:color w:val="auto"/>
          <w:sz w:val="28"/>
          <w:szCs w:val="28"/>
          <w:highlight w:val="none"/>
        </w:rPr>
        <w:t xml:space="preserve">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①拟派项目负责人（2分）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项目负责人同时具备高级城乡规划师职称和注册城乡规划师资格的，得1分。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自2021年1月1日（以获奖证书证明时间为准）以来项目负责人参加过的项目获得过行政主管部门颁发的勘察设计类或规划类奖项的，市级奖项每个得0.5分，省级或省级以上奖项每个得1分，本项最高得1分。（须提供获奖证书扫描件，同一项目获得多个奖项的，仅按一个项目计算）。</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②拟派项目组成员（除项目负责人以外）（</w:t>
      </w:r>
      <w:r>
        <w:rPr>
          <w:rFonts w:hint="eastAsia" w:hAnsi="宋体" w:cs="宋体"/>
          <w:bCs/>
          <w:color w:val="auto"/>
          <w:sz w:val="28"/>
          <w:szCs w:val="28"/>
          <w:highlight w:val="none"/>
          <w:lang w:val="en-US" w:eastAsia="zh-CN"/>
        </w:rPr>
        <w:t xml:space="preserve">8</w:t>
      </w:r>
      <w:r>
        <w:rPr>
          <w:rFonts w:hint="eastAsia" w:hAnsi="宋体" w:cs="宋体"/>
          <w:bCs/>
          <w:color w:val="auto"/>
          <w:sz w:val="28"/>
          <w:szCs w:val="28"/>
          <w:highlight w:val="none"/>
        </w:rPr>
        <w:t xml:space="preserve">分）</w:t>
      </w:r>
      <w:r/>
    </w:p>
    <w:p>
      <w:pPr>
        <w:ind w:firstLine="560"/>
        <w:spacing w:line="360" w:lineRule="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配备一名技术负责人：具有土地或城市（乡）规划专业高级及以上技术职称的得1分，本项最多得</w:t>
      </w:r>
      <w:r>
        <w:rPr>
          <w:rFonts w:hint="eastAsia" w:hAnsi="宋体" w:cs="宋体"/>
          <w:bCs/>
          <w:color w:val="auto"/>
          <w:sz w:val="28"/>
          <w:szCs w:val="28"/>
          <w:highlight w:val="none"/>
          <w:lang w:val="en-US" w:eastAsia="zh-CN"/>
        </w:rPr>
        <w:t xml:space="preserve">1</w:t>
      </w:r>
      <w:r>
        <w:rPr>
          <w:rFonts w:hint="eastAsia" w:hAnsi="宋体" w:cs="宋体"/>
          <w:bCs/>
          <w:color w:val="auto"/>
          <w:sz w:val="28"/>
          <w:szCs w:val="28"/>
          <w:highlight w:val="none"/>
        </w:rPr>
        <w:t xml:space="preserve">分</w:t>
      </w:r>
      <w:r>
        <w:rPr>
          <w:rFonts w:hint="eastAsia" w:hAnsi="宋体" w:cs="宋体"/>
          <w:bCs/>
          <w:color w:val="auto"/>
          <w:sz w:val="28"/>
          <w:szCs w:val="28"/>
          <w:highlight w:val="none"/>
          <w:lang w:eastAsia="zh-CN"/>
        </w:rPr>
        <w:t xml:space="preserve">。</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除项目负责人</w:t>
      </w:r>
      <w:r>
        <w:rPr>
          <w:rFonts w:hint="eastAsia" w:hAnsi="宋体" w:cs="宋体"/>
          <w:bCs/>
          <w:color w:val="auto"/>
          <w:sz w:val="28"/>
          <w:szCs w:val="28"/>
          <w:highlight w:val="none"/>
          <w:lang w:eastAsia="zh-CN"/>
        </w:rPr>
        <w:t xml:space="preserve">、</w:t>
      </w:r>
      <w:r>
        <w:rPr>
          <w:rFonts w:hint="eastAsia" w:hAnsi="宋体" w:cs="宋体"/>
          <w:bCs/>
          <w:color w:val="auto"/>
          <w:sz w:val="28"/>
          <w:szCs w:val="28"/>
          <w:highlight w:val="none"/>
        </w:rPr>
        <w:t xml:space="preserve">技术负责人外，项目组成员中每增加一名注册城乡规划师，加0.5分，本项最多</w:t>
      </w:r>
      <w:r>
        <w:rPr>
          <w:rFonts w:hint="eastAsia" w:hAnsi="宋体" w:cs="宋体"/>
          <w:color w:val="auto"/>
          <w:sz w:val="28"/>
          <w:szCs w:val="28"/>
          <w:highlight w:val="none"/>
        </w:rPr>
        <w:t xml:space="preserve">得2分；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除项目负责人外</w:t>
      </w:r>
      <w:r>
        <w:rPr>
          <w:rFonts w:hint="eastAsia" w:hAnsi="宋体" w:cs="宋体"/>
          <w:bCs/>
          <w:color w:val="auto"/>
          <w:sz w:val="28"/>
          <w:szCs w:val="28"/>
          <w:highlight w:val="none"/>
          <w:lang w:eastAsia="zh-CN"/>
        </w:rPr>
        <w:t xml:space="preserve">、</w:t>
      </w:r>
      <w:r>
        <w:rPr>
          <w:rFonts w:hint="eastAsia" w:hAnsi="宋体" w:cs="宋体"/>
          <w:bCs/>
          <w:color w:val="auto"/>
          <w:sz w:val="28"/>
          <w:szCs w:val="28"/>
          <w:highlight w:val="none"/>
        </w:rPr>
        <w:t xml:space="preserve">技术负责人，项目组成员中具有中级职称的，每有1人得0.5分；具有高级及以上职称的，每有1人得1分；本项最多</w:t>
      </w:r>
      <w:r>
        <w:rPr>
          <w:rFonts w:hint="eastAsia" w:hAnsi="宋体" w:cs="宋体"/>
          <w:color w:val="auto"/>
          <w:sz w:val="28"/>
          <w:szCs w:val="28"/>
          <w:highlight w:val="none"/>
        </w:rPr>
        <w:t xml:space="preserve">得3分。</w:t>
      </w:r>
      <w:r/>
    </w:p>
    <w:p>
      <w:pPr>
        <w:ind w:firstLine="560"/>
        <w:spacing w:line="360" w:lineRule="auto"/>
        <w:rPr>
          <w:color w:val="auto"/>
          <w:highlight w:val="none"/>
        </w:rPr>
      </w:pPr>
      <w:r>
        <w:rPr>
          <w:rFonts w:hint="eastAsia" w:hAnsi="宋体" w:cs="宋体"/>
          <w:color w:val="auto"/>
          <w:sz w:val="28"/>
          <w:szCs w:val="28"/>
          <w:highlight w:val="none"/>
        </w:rPr>
        <w:t xml:space="preserve">除项目负责人外</w:t>
      </w:r>
      <w:r>
        <w:rPr>
          <w:rFonts w:hint="eastAsia" w:hAnsi="宋体" w:cs="宋体"/>
          <w:bCs/>
          <w:color w:val="auto"/>
          <w:sz w:val="28"/>
          <w:szCs w:val="28"/>
          <w:highlight w:val="none"/>
          <w:lang w:eastAsia="zh-CN"/>
        </w:rPr>
        <w:t xml:space="preserve">、</w:t>
      </w:r>
      <w:r>
        <w:rPr>
          <w:rFonts w:hint="eastAsia" w:hAnsi="宋体" w:cs="宋体"/>
          <w:bCs/>
          <w:color w:val="auto"/>
          <w:sz w:val="28"/>
          <w:szCs w:val="28"/>
          <w:highlight w:val="none"/>
        </w:rPr>
        <w:t xml:space="preserve">技术负责人</w:t>
      </w:r>
      <w:r>
        <w:rPr>
          <w:rFonts w:hint="eastAsia" w:hAnsi="宋体" w:cs="宋体"/>
          <w:color w:val="auto"/>
          <w:sz w:val="28"/>
          <w:szCs w:val="28"/>
          <w:highlight w:val="none"/>
        </w:rPr>
        <w:t xml:space="preserve">，项目组成员中具有一级注册建筑师的，每有1人得0.5分；本项最多得2分。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注：以上人员不得重复计分，提供证书及奖项证明文件复印件并加盖公章及社保机构出具的近一年中任意一个月份（不含开标本月）的缴费证明复印件加盖公章。</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2.3、投标供应商综合</w:t>
      </w:r>
      <w:r>
        <w:rPr>
          <w:rFonts w:hint="eastAsia" w:hAnsi="宋体" w:cs="宋体"/>
          <w:color w:val="auto"/>
          <w:sz w:val="28"/>
          <w:szCs w:val="28"/>
          <w:highlight w:val="none"/>
        </w:rPr>
        <w:t xml:space="preserve">实力（</w:t>
      </w:r>
      <w:r>
        <w:rPr>
          <w:rFonts w:hint="eastAsia" w:hAnsi="宋体" w:cs="宋体"/>
          <w:color w:val="auto"/>
          <w:sz w:val="28"/>
          <w:szCs w:val="28"/>
          <w:highlight w:val="none"/>
          <w:lang w:val="en-US" w:eastAsia="zh-CN"/>
        </w:rPr>
        <w:t xml:space="preserve">2</w:t>
      </w:r>
      <w:r>
        <w:rPr>
          <w:rFonts w:hint="eastAsia" w:hAnsi="宋体" w:cs="宋体"/>
          <w:color w:val="auto"/>
          <w:sz w:val="28"/>
          <w:szCs w:val="28"/>
          <w:highlight w:val="none"/>
        </w:rPr>
        <w:t xml:space="preserve">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①供应商同时具有有效期内质量管理体系认证、环境管理体系认证、职业健康安全管理体系认证证书的，得1分。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注：提供相关证书原件扫描件，未提供或未按要求提供此项不得分。</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②企业荣誉：供应商自2021年1月1日（以获奖证书证明时间为准）承担过的项目获得过行政主管部门颁发的勘察设计类或规划类奖项的，市级奖项每个得</w:t>
      </w:r>
      <w:r>
        <w:rPr>
          <w:rFonts w:hint="eastAsia" w:hAnsi="宋体" w:cs="宋体"/>
          <w:bCs/>
          <w:color w:val="auto"/>
          <w:sz w:val="28"/>
          <w:szCs w:val="28"/>
          <w:highlight w:val="none"/>
          <w:lang w:val="en-US" w:eastAsia="zh-CN"/>
        </w:rPr>
        <w:t xml:space="preserve">0.5</w:t>
      </w:r>
      <w:r>
        <w:rPr>
          <w:rFonts w:hint="eastAsia" w:hAnsi="宋体" w:cs="宋体"/>
          <w:bCs/>
          <w:color w:val="auto"/>
          <w:sz w:val="28"/>
          <w:szCs w:val="28"/>
          <w:highlight w:val="none"/>
        </w:rPr>
        <w:t xml:space="preserve">分，省级或省级以上奖项每个得</w:t>
      </w:r>
      <w:r>
        <w:rPr>
          <w:rFonts w:hint="eastAsia" w:hAnsi="宋体" w:cs="宋体"/>
          <w:bCs/>
          <w:color w:val="auto"/>
          <w:sz w:val="28"/>
          <w:szCs w:val="28"/>
          <w:highlight w:val="none"/>
          <w:lang w:val="en-US" w:eastAsia="zh-CN"/>
        </w:rPr>
        <w:t xml:space="preserve">1</w:t>
      </w:r>
      <w:r>
        <w:rPr>
          <w:rFonts w:hint="eastAsia" w:hAnsi="宋体" w:cs="宋体"/>
          <w:bCs/>
          <w:color w:val="auto"/>
          <w:sz w:val="28"/>
          <w:szCs w:val="28"/>
          <w:highlight w:val="none"/>
        </w:rPr>
        <w:t xml:space="preserve">分，本项最高得</w:t>
      </w:r>
      <w:r>
        <w:rPr>
          <w:rFonts w:hint="eastAsia" w:hAnsi="宋体" w:cs="宋体"/>
          <w:bCs/>
          <w:color w:val="auto"/>
          <w:sz w:val="28"/>
          <w:szCs w:val="28"/>
          <w:highlight w:val="none"/>
          <w:lang w:val="en-US" w:eastAsia="zh-CN"/>
        </w:rPr>
        <w:t xml:space="preserve">1</w:t>
      </w:r>
      <w:r>
        <w:rPr>
          <w:rFonts w:hint="eastAsia" w:hAnsi="宋体" w:cs="宋体"/>
          <w:bCs/>
          <w:color w:val="auto"/>
          <w:sz w:val="28"/>
          <w:szCs w:val="28"/>
          <w:highlight w:val="none"/>
        </w:rPr>
        <w:t xml:space="preserve">分。（提供投标单位获奖证书复印件，此处获奖及荣誉的评分与前述项目负责人个人获奖同一项目不同证书可得分，同一奖项同一证书不重复得分。）</w:t>
      </w:r>
      <w:r/>
    </w:p>
    <w:p>
      <w:pPr>
        <w:ind w:firstLine="560"/>
        <w:spacing w:line="360" w:lineRule="auto"/>
        <w:rPr>
          <w:rFonts w:hAnsi="宋体" w:cs="宋体"/>
          <w:color w:val="auto"/>
          <w:sz w:val="28"/>
          <w:szCs w:val="28"/>
          <w:highlight w:val="none"/>
        </w:rPr>
      </w:pPr>
      <w:r>
        <w:rPr>
          <w:rFonts w:hint="eastAsia" w:hAnsi="宋体" w:cs="宋体"/>
          <w:bCs/>
          <w:color w:val="auto"/>
          <w:sz w:val="28"/>
          <w:szCs w:val="28"/>
          <w:highlight w:val="none"/>
        </w:rPr>
        <w:t xml:space="preserve">注：提供证书复印件加盖公章并放入投标文件中。未按要求提供或未提供证明材料的均不得分</w:t>
      </w:r>
      <w:r>
        <w:rPr>
          <w:rFonts w:hint="eastAsia" w:hAnsi="宋体" w:cs="宋体"/>
          <w:color w:val="auto"/>
          <w:sz w:val="28"/>
          <w:szCs w:val="28"/>
          <w:highlight w:val="none"/>
        </w:rPr>
        <w:t xml:space="preserve">。</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三、技术标部分（暗标）（满分55分）：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3.1</w:t>
      </w:r>
      <w:bookmarkStart w:id="193" w:name="OLE_LINK4"/>
      <w:r>
        <w:rPr>
          <w:rFonts w:hint="eastAsia" w:hAnsi="宋体" w:cs="宋体"/>
          <w:b/>
          <w:color w:val="auto"/>
          <w:sz w:val="28"/>
          <w:szCs w:val="28"/>
          <w:highlight w:val="none"/>
        </w:rPr>
        <w:t xml:space="preserve">对项目的总体理解</w:t>
      </w:r>
      <w:bookmarkEnd w:id="193"/>
      <w:r>
        <w:rPr>
          <w:rFonts w:hint="eastAsia" w:hAnsi="宋体" w:cs="宋体"/>
          <w:b/>
          <w:color w:val="auto"/>
          <w:sz w:val="28"/>
          <w:szCs w:val="28"/>
          <w:highlight w:val="none"/>
        </w:rPr>
        <w:t xml:space="preserve">（9分）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包括：①对规划背景及区位条件的认识（3分）；②现状情况的理解（3分）；③任务要求的理解（3分）。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对本项目理解到位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3.2项目规划编制的重点难点的剖析（8分）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包括：①应对本项目重点难点的分析（4分）；②应对本项目重点难点的解决措施（4分）。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4分；内容较为简单、可行、细节有待完善的该条得2分；内容粗略、无针对性、基本满足采购需求的该条得1分。本项最高得8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3.3上位规划落实与相关规划衔接（6分）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包括：①上位规划传导内容落实（3分）；②相关规划衔接（3分）。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3分；内容较为简单、可行、细节有待完善的该条得2分；内容粗略、无针对性、基本满足采购需求的该条得1分。本项最高得6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3.4规划实施评估（6分）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包括：①现行规划评估（3分）；②对现行规划的优化建议（3分）。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3分；内容较为简单、可行、细节有待完善的该条得1.5分；内容粗略、无针对性、基本满足采购需求的该条得0.5分。本项最高得6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3.5 规划思路和规划内容阐述（1</w:t>
      </w:r>
      <w:r>
        <w:rPr>
          <w:rFonts w:hAnsi="宋体" w:cs="宋体"/>
          <w:b/>
          <w:color w:val="auto"/>
          <w:sz w:val="28"/>
          <w:szCs w:val="28"/>
          <w:highlight w:val="none"/>
        </w:rPr>
        <w:t xml:space="preserve">8</w:t>
      </w:r>
      <w:r>
        <w:rPr>
          <w:rFonts w:hint="eastAsia" w:hAnsi="宋体" w:cs="宋体"/>
          <w:b/>
          <w:color w:val="auto"/>
          <w:sz w:val="28"/>
          <w:szCs w:val="28"/>
          <w:highlight w:val="none"/>
        </w:rPr>
        <w:t xml:space="preserve">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包括：①项目整体规划思路（</w:t>
      </w:r>
      <w:r>
        <w:rPr>
          <w:rFonts w:hAnsi="宋体" w:cs="宋体"/>
          <w:bCs/>
          <w:color w:val="auto"/>
          <w:sz w:val="28"/>
          <w:szCs w:val="28"/>
          <w:highlight w:val="none"/>
        </w:rPr>
        <w:t xml:space="preserve">6</w:t>
      </w:r>
      <w:r>
        <w:rPr>
          <w:rFonts w:hint="eastAsia" w:hAnsi="宋体" w:cs="宋体"/>
          <w:bCs/>
          <w:color w:val="auto"/>
          <w:sz w:val="28"/>
          <w:szCs w:val="28"/>
          <w:highlight w:val="none"/>
        </w:rPr>
        <w:t xml:space="preserve">分）；②项目规划布局方案（</w:t>
      </w:r>
      <w:r>
        <w:rPr>
          <w:rFonts w:hAnsi="宋体" w:cs="宋体"/>
          <w:bCs/>
          <w:color w:val="auto"/>
          <w:sz w:val="28"/>
          <w:szCs w:val="28"/>
          <w:highlight w:val="none"/>
        </w:rPr>
        <w:t xml:space="preserve">6</w:t>
      </w:r>
      <w:r>
        <w:rPr>
          <w:rFonts w:hint="eastAsia" w:hAnsi="宋体" w:cs="宋体"/>
          <w:bCs/>
          <w:color w:val="auto"/>
          <w:sz w:val="28"/>
          <w:szCs w:val="28"/>
          <w:highlight w:val="none"/>
        </w:rPr>
        <w:t xml:space="preserve">分）；③规划支撑体系与行动举措（</w:t>
      </w:r>
      <w:r>
        <w:rPr>
          <w:rFonts w:hAnsi="宋体" w:cs="宋体"/>
          <w:bCs/>
          <w:color w:val="auto"/>
          <w:sz w:val="28"/>
          <w:szCs w:val="28"/>
          <w:highlight w:val="none"/>
        </w:rPr>
        <w:t xml:space="preserve">6</w:t>
      </w:r>
      <w:r>
        <w:rPr>
          <w:rFonts w:hint="eastAsia" w:hAnsi="宋体" w:cs="宋体"/>
          <w:bCs/>
          <w:color w:val="auto"/>
          <w:sz w:val="28"/>
          <w:szCs w:val="28"/>
          <w:highlight w:val="none"/>
        </w:rPr>
        <w:t xml:space="preserve">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w:t>
      </w:r>
      <w:r>
        <w:rPr>
          <w:rFonts w:hAnsi="宋体" w:cs="宋体"/>
          <w:bCs/>
          <w:color w:val="auto"/>
          <w:sz w:val="28"/>
          <w:szCs w:val="28"/>
          <w:highlight w:val="none"/>
        </w:rPr>
        <w:t xml:space="preserve">6</w:t>
      </w:r>
      <w:r>
        <w:rPr>
          <w:rFonts w:hint="eastAsia" w:hAnsi="宋体" w:cs="宋体"/>
          <w:bCs/>
          <w:color w:val="auto"/>
          <w:sz w:val="28"/>
          <w:szCs w:val="28"/>
          <w:highlight w:val="none"/>
        </w:rPr>
        <w:t xml:space="preserve">分；内容较为简单、可行、细节有待完善的该条得</w:t>
      </w:r>
      <w:r>
        <w:rPr>
          <w:rFonts w:hint="eastAsia" w:hAnsi="宋体" w:cs="宋体"/>
          <w:bCs/>
          <w:color w:val="auto"/>
          <w:sz w:val="28"/>
          <w:szCs w:val="28"/>
          <w:highlight w:val="none"/>
          <w:lang w:val="en-US" w:eastAsia="zh-CN"/>
        </w:rPr>
        <w:t xml:space="preserve">3</w:t>
      </w:r>
      <w:r>
        <w:rPr>
          <w:rFonts w:hint="eastAsia" w:hAnsi="宋体" w:cs="宋体"/>
          <w:bCs/>
          <w:color w:val="auto"/>
          <w:sz w:val="28"/>
          <w:szCs w:val="28"/>
          <w:highlight w:val="none"/>
        </w:rPr>
        <w:t xml:space="preserve">分；内容粗略、无针对性、基本满足采购需求的该条得1分。本项最高得1</w:t>
      </w:r>
      <w:r>
        <w:rPr>
          <w:rFonts w:hAnsi="宋体" w:cs="宋体"/>
          <w:bCs/>
          <w:color w:val="auto"/>
          <w:sz w:val="28"/>
          <w:szCs w:val="28"/>
          <w:highlight w:val="none"/>
        </w:rPr>
        <w:t xml:space="preserve">8</w:t>
      </w:r>
      <w:r>
        <w:rPr>
          <w:rFonts w:hint="eastAsia" w:hAnsi="宋体" w:cs="宋体"/>
          <w:bCs/>
          <w:color w:val="auto"/>
          <w:sz w:val="28"/>
          <w:szCs w:val="28"/>
          <w:highlight w:val="none"/>
        </w:rPr>
        <w:t xml:space="preserve">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3.6 进度计划和各阶段进度的保证措施（3分）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包括：①进度计划（1.5分）；②进度保障措施（1.5分）。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投标供应商须针对每条内容进行阐述，阐述内容须满足采购需求。内容翔实、需求贴合度高且条理清晰的该条得</w:t>
      </w:r>
      <w:r>
        <w:rPr>
          <w:rFonts w:hint="eastAsia" w:hAnsi="宋体" w:cs="宋体"/>
          <w:bCs/>
          <w:color w:val="auto"/>
          <w:sz w:val="28"/>
          <w:szCs w:val="28"/>
          <w:highlight w:val="none"/>
          <w:lang w:val="en-US" w:eastAsia="zh-CN"/>
        </w:rPr>
        <w:t xml:space="preserve">1.5</w:t>
      </w:r>
      <w:r>
        <w:rPr>
          <w:rFonts w:hint="eastAsia" w:hAnsi="宋体" w:cs="宋体"/>
          <w:bCs/>
          <w:color w:val="auto"/>
          <w:sz w:val="28"/>
          <w:szCs w:val="28"/>
          <w:highlight w:val="none"/>
        </w:rPr>
        <w:t xml:space="preserve">分；内容较为简单、可行、细节有待完善的该条得1分；内容粗略、无针对性、基本满足采购需求的该条得0.5分。本项最高得</w:t>
      </w:r>
      <w:r>
        <w:rPr>
          <w:rFonts w:hint="eastAsia" w:hAnsi="宋体" w:cs="宋体"/>
          <w:bCs/>
          <w:color w:val="auto"/>
          <w:sz w:val="28"/>
          <w:szCs w:val="28"/>
          <w:highlight w:val="none"/>
          <w:lang w:val="en-US" w:eastAsia="zh-CN"/>
        </w:rPr>
        <w:t xml:space="preserve">3</w:t>
      </w:r>
      <w:r>
        <w:rPr>
          <w:rFonts w:hint="eastAsia" w:hAnsi="宋体" w:cs="宋体"/>
          <w:bCs/>
          <w:color w:val="auto"/>
          <w:sz w:val="28"/>
          <w:szCs w:val="28"/>
          <w:highlight w:val="none"/>
        </w:rPr>
        <w:t xml:space="preserve">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3.7 质量保证措施（2分）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包括：①服务人员专业素质保障（1分）；②服务成果保障（1分）。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供应商须针对每条内容进行阐述，阐述内容须满足采购需求。内容翔实、需求贴合度高且条理清晰的该条得1分；内容较为简单、可行、细节有待完善的该条得</w:t>
      </w:r>
      <w:r>
        <w:rPr>
          <w:rFonts w:hint="eastAsia" w:hAnsi="宋体" w:cs="宋体"/>
          <w:bCs/>
          <w:color w:val="auto"/>
          <w:sz w:val="28"/>
          <w:szCs w:val="28"/>
          <w:highlight w:val="none"/>
          <w:lang w:val="en-US" w:eastAsia="zh-CN"/>
        </w:rPr>
        <w:t xml:space="preserve">0.5</w:t>
      </w:r>
      <w:r>
        <w:rPr>
          <w:rFonts w:hint="eastAsia" w:hAnsi="宋体" w:cs="宋体"/>
          <w:bCs/>
          <w:color w:val="auto"/>
          <w:sz w:val="28"/>
          <w:szCs w:val="28"/>
          <w:highlight w:val="none"/>
        </w:rPr>
        <w:t xml:space="preserve">分；内容粗略、无针对性、基本满足采购需求的该条得</w:t>
      </w:r>
      <w:r>
        <w:rPr>
          <w:rFonts w:hint="eastAsia" w:hAnsi="宋体" w:cs="宋体"/>
          <w:bCs/>
          <w:color w:val="auto"/>
          <w:sz w:val="28"/>
          <w:szCs w:val="28"/>
          <w:highlight w:val="none"/>
          <w:lang w:val="en-US" w:eastAsia="zh-CN"/>
        </w:rPr>
        <w:t xml:space="preserve">0</w:t>
      </w:r>
      <w:r>
        <w:rPr>
          <w:rFonts w:hint="eastAsia" w:hAnsi="宋体" w:cs="宋体"/>
          <w:bCs/>
          <w:color w:val="auto"/>
          <w:sz w:val="28"/>
          <w:szCs w:val="28"/>
          <w:highlight w:val="none"/>
        </w:rPr>
        <w:t xml:space="preserve">分。本项最高得</w:t>
      </w:r>
      <w:r>
        <w:rPr>
          <w:rFonts w:hint="eastAsia" w:hAnsi="宋体" w:cs="宋体"/>
          <w:bCs/>
          <w:color w:val="auto"/>
          <w:sz w:val="28"/>
          <w:szCs w:val="28"/>
          <w:highlight w:val="none"/>
          <w:lang w:val="en-US" w:eastAsia="zh-CN"/>
        </w:rPr>
        <w:t xml:space="preserve">2</w:t>
      </w:r>
      <w:r>
        <w:rPr>
          <w:rFonts w:hint="eastAsia" w:hAnsi="宋体" w:cs="宋体"/>
          <w:bCs/>
          <w:color w:val="auto"/>
          <w:sz w:val="28"/>
          <w:szCs w:val="28"/>
          <w:highlight w:val="none"/>
        </w:rPr>
        <w:t xml:space="preserve">分，每缺少一条内容或内容存在不能满足采购需求，或存在逻辑错误、前后矛盾，或存在违反现行相关规范的，该条不得分。</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3.8 成果管理及后续服务方案、措施（</w:t>
      </w:r>
      <w:r>
        <w:rPr>
          <w:rFonts w:hAnsi="宋体" w:cs="宋体"/>
          <w:b/>
          <w:color w:val="auto"/>
          <w:sz w:val="28"/>
          <w:szCs w:val="28"/>
          <w:highlight w:val="none"/>
        </w:rPr>
        <w:t xml:space="preserve">3</w:t>
      </w:r>
      <w:r>
        <w:rPr>
          <w:rFonts w:hint="eastAsia" w:hAnsi="宋体" w:cs="宋体"/>
          <w:b/>
          <w:color w:val="auto"/>
          <w:sz w:val="28"/>
          <w:szCs w:val="28"/>
          <w:highlight w:val="none"/>
        </w:rPr>
        <w:t xml:space="preserve">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包括：①服务全过程资料管理措施（</w:t>
      </w:r>
      <w:r>
        <w:rPr>
          <w:rFonts w:hAnsi="宋体" w:cs="宋体"/>
          <w:bCs/>
          <w:color w:val="auto"/>
          <w:sz w:val="28"/>
          <w:szCs w:val="28"/>
          <w:highlight w:val="none"/>
        </w:rPr>
        <w:t xml:space="preserve">1</w:t>
      </w:r>
      <w:r>
        <w:rPr>
          <w:rFonts w:hint="eastAsia" w:hAnsi="宋体" w:cs="宋体"/>
          <w:bCs/>
          <w:color w:val="auto"/>
          <w:sz w:val="28"/>
          <w:szCs w:val="28"/>
          <w:highlight w:val="none"/>
        </w:rPr>
        <w:t xml:space="preserve">分）；②成果保密措施（</w:t>
      </w:r>
      <w:r>
        <w:rPr>
          <w:rFonts w:hAnsi="宋体" w:cs="宋体"/>
          <w:bCs/>
          <w:color w:val="auto"/>
          <w:sz w:val="28"/>
          <w:szCs w:val="28"/>
          <w:highlight w:val="none"/>
        </w:rPr>
        <w:t xml:space="preserve">1</w:t>
      </w:r>
      <w:r>
        <w:rPr>
          <w:rFonts w:hint="eastAsia" w:hAnsi="宋体" w:cs="宋体"/>
          <w:bCs/>
          <w:color w:val="auto"/>
          <w:sz w:val="28"/>
          <w:szCs w:val="28"/>
          <w:highlight w:val="none"/>
        </w:rPr>
        <w:t xml:space="preserve">分）；③持续服务保障方案（</w:t>
      </w:r>
      <w:r>
        <w:rPr>
          <w:rFonts w:hAnsi="宋体" w:cs="宋体"/>
          <w:bCs/>
          <w:color w:val="auto"/>
          <w:sz w:val="28"/>
          <w:szCs w:val="28"/>
          <w:highlight w:val="none"/>
        </w:rPr>
        <w:t xml:space="preserve">1</w:t>
      </w:r>
      <w:r>
        <w:rPr>
          <w:rFonts w:hint="eastAsia" w:hAnsi="宋体" w:cs="宋体"/>
          <w:bCs/>
          <w:color w:val="auto"/>
          <w:sz w:val="28"/>
          <w:szCs w:val="28"/>
          <w:highlight w:val="none"/>
        </w:rPr>
        <w:t xml:space="preserve">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供应商须针对每条内容进行阐述，阐述内容须满足采购需求。内容翔实、需求贴合度高且条理清晰的该条得</w:t>
      </w:r>
      <w:r>
        <w:rPr>
          <w:rFonts w:hAnsi="宋体" w:cs="宋体"/>
          <w:bCs/>
          <w:color w:val="auto"/>
          <w:sz w:val="28"/>
          <w:szCs w:val="28"/>
          <w:highlight w:val="none"/>
        </w:rPr>
        <w:t xml:space="preserve">1</w:t>
      </w:r>
      <w:r>
        <w:rPr>
          <w:rFonts w:hint="eastAsia" w:hAnsi="宋体" w:cs="宋体"/>
          <w:bCs/>
          <w:color w:val="auto"/>
          <w:sz w:val="28"/>
          <w:szCs w:val="28"/>
          <w:highlight w:val="none"/>
        </w:rPr>
        <w:t xml:space="preserve">分；内容较为简单、可行、细节有待完善的该条得</w:t>
      </w:r>
      <w:r>
        <w:rPr>
          <w:rFonts w:hAnsi="宋体" w:cs="宋体"/>
          <w:bCs/>
          <w:color w:val="auto"/>
          <w:sz w:val="28"/>
          <w:szCs w:val="28"/>
          <w:highlight w:val="none"/>
        </w:rPr>
        <w:t xml:space="preserve">0.5</w:t>
      </w:r>
      <w:r>
        <w:rPr>
          <w:rFonts w:hint="eastAsia" w:hAnsi="宋体" w:cs="宋体"/>
          <w:bCs/>
          <w:color w:val="auto"/>
          <w:sz w:val="28"/>
          <w:szCs w:val="28"/>
          <w:highlight w:val="none"/>
        </w:rPr>
        <w:t xml:space="preserve">分。本项最高得</w:t>
      </w:r>
      <w:r>
        <w:rPr>
          <w:rFonts w:hAnsi="宋体" w:cs="宋体"/>
          <w:bCs/>
          <w:color w:val="auto"/>
          <w:sz w:val="28"/>
          <w:szCs w:val="28"/>
          <w:highlight w:val="none"/>
        </w:rPr>
        <w:t xml:space="preserve">3</w:t>
      </w:r>
      <w:r>
        <w:rPr>
          <w:rFonts w:hint="eastAsia" w:hAnsi="宋体" w:cs="宋体"/>
          <w:bCs/>
          <w:color w:val="auto"/>
          <w:sz w:val="28"/>
          <w:szCs w:val="28"/>
          <w:highlight w:val="none"/>
        </w:rPr>
        <w:t xml:space="preserve">分，缺少内容或内容存在不能满足采购需求，或存在逻辑错误、前后矛盾，或存在违反现行相关规范的，该项不得分。</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outlineLvl w:val="0"/>
      </w:pPr>
      <w:r>
        <w:rPr>
          <w:rFonts w:hint="eastAsia" w:hAnsi="宋体" w:cs="宋体"/>
          <w:b/>
          <w:color w:val="auto"/>
          <w:sz w:val="28"/>
          <w:szCs w:val="28"/>
          <w:highlight w:val="none"/>
        </w:rPr>
        <w:br w:type="page" w:clear="all"/>
      </w:r>
      <w:bookmarkStart w:id="194" w:name="_Toc5275"/>
      <w:r>
        <w:rPr>
          <w:rFonts w:hint="eastAsia" w:hAnsi="宋体" w:cs="宋体"/>
          <w:b/>
          <w:color w:val="auto"/>
          <w:sz w:val="28"/>
          <w:szCs w:val="28"/>
          <w:highlight w:val="none"/>
        </w:rPr>
        <w:t xml:space="preserve">第六章  投标文件内容与格式</w:t>
      </w:r>
      <w:bookmarkEnd w:id="194"/>
      <w:r/>
      <w:r/>
    </w:p>
    <w:p>
      <w:pPr>
        <w:pStyle w:val="1090"/>
        <w:ind w:firstLine="602"/>
        <w:spacing w:before="0" w:after="0" w:line="360" w:lineRule="auto"/>
        <w:rPr>
          <w:rFonts w:ascii="宋体" w:hAnsi="宋体" w:cs="宋体"/>
          <w:b/>
          <w:color w:val="auto"/>
          <w:sz w:val="28"/>
          <w:szCs w:val="28"/>
          <w:highlight w:val="none"/>
        </w:rPr>
        <w:outlineLvl w:val="1"/>
      </w:pPr>
      <w:r/>
      <w:bookmarkStart w:id="195" w:name="_Hlt26955039"/>
      <w:r/>
      <w:bookmarkEnd w:id="195"/>
      <w:r/>
      <w:bookmarkStart w:id="196" w:name="_Hlt26671244"/>
      <w:r/>
      <w:bookmarkEnd w:id="196"/>
      <w:r/>
      <w:bookmarkStart w:id="197" w:name="_Toc24271"/>
      <w:r>
        <w:rPr>
          <w:rFonts w:hint="eastAsia" w:ascii="宋体" w:hAnsi="宋体" w:cs="宋体"/>
          <w:b/>
          <w:color w:val="auto"/>
          <w:sz w:val="28"/>
          <w:szCs w:val="28"/>
          <w:highlight w:val="none"/>
        </w:rPr>
        <w:t xml:space="preserve">第一部分投标文件内容</w:t>
      </w:r>
      <w:bookmarkEnd w:id="197"/>
      <w:r/>
      <w:r/>
    </w:p>
    <w:p>
      <w:pPr>
        <w:pStyle w:val="1090"/>
        <w:ind w:firstLine="562"/>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67"/>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90"/>
              <w:ind w:firstLine="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序号</w:t>
            </w:r>
            <w:r/>
          </w:p>
        </w:tc>
        <w:tc>
          <w:tcPr>
            <w:tcW w:w="6104" w:type="dxa"/>
            <w:vAlign w:val="center"/>
            <w:textDirection w:val="lrTb"/>
            <w:noWrap w:val="false"/>
          </w:tcPr>
          <w:p>
            <w:pPr>
              <w:pStyle w:val="1090"/>
              <w:ind w:firstLine="0"/>
              <w:jc w:val="center"/>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评审项及评审要求</w:t>
            </w:r>
            <w:r/>
          </w:p>
        </w:tc>
        <w:tc>
          <w:tcPr>
            <w:tcW w:w="2449" w:type="dxa"/>
            <w:vAlign w:val="center"/>
            <w:textDirection w:val="lrTb"/>
            <w:noWrap w:val="false"/>
          </w:tcPr>
          <w:p>
            <w:pPr>
              <w:pStyle w:val="1090"/>
              <w:ind w:firstLine="0"/>
              <w:jc w:val="center"/>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审查因素</w:t>
            </w:r>
            <w:r/>
          </w:p>
        </w:tc>
      </w:tr>
      <w:tr>
        <w:trPr>
          <w:cantSplit/>
          <w:trHeight w:val="1335"/>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满足《中华人民共和国政府采购法》第二十二条规定</w:t>
            </w:r>
            <w:r/>
          </w:p>
        </w:tc>
      </w:tr>
      <w:tr>
        <w:trPr>
          <w:cantSplit/>
          <w:trHeight w:val="812"/>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《授权委托书》（给定格式；投标人如是自然人情形的，可不提供）。</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684"/>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Ansi="宋体" w:cs="宋体"/>
                <w:color w:val="auto"/>
                <w:sz w:val="28"/>
                <w:szCs w:val="28"/>
                <w:highlight w:val="none"/>
              </w:rPr>
            </w:pPr>
            <w:r>
              <w:rPr>
                <w:rFonts w:hint="eastAsia" w:hAnsi="宋体" w:cs="宋体"/>
                <w:bCs/>
                <w:color w:val="auto"/>
                <w:sz w:val="28"/>
                <w:szCs w:val="28"/>
                <w:highlight w:val="none"/>
              </w:rPr>
              <w:t xml:space="preserve">被授权人具有与本企业签订的劳动合同或供应商为其缴纳的由相关部门出具的近一年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684"/>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一年任意一个月份（不含投标当月）的财务状况报告（资产负债表和利润表）或由会计师事务所出具的2023年度或2024年度的审计报告和所附已审财务报告（投标人如是自然人情形的，没有经审计的财务报告的，可以提供银行出具的资信证明）</w:t>
            </w:r>
            <w:r>
              <w:rPr>
                <w:rStyle w:val="1265"/>
                <w:rFonts w:hint="eastAsia" w:ascii="宋体" w:hAnsi="宋体" w:cs="宋体"/>
                <w:color w:val="auto"/>
                <w:sz w:val="28"/>
                <w:szCs w:val="28"/>
                <w:highlight w:val="none"/>
              </w:rPr>
              <w:t xml:space="preserve">。</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963"/>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投标人近一年任意一个月份（不含投标当月）的依法缴纳税收的相关材料（提供相关主管部门证明或银行代扣证明）。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1023"/>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705"/>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7</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《资格声明函》（给定格式）。</w:t>
            </w:r>
            <w:r/>
          </w:p>
        </w:tc>
        <w:tc>
          <w:tcPr>
            <w:tcW w:w="2449" w:type="dxa"/>
            <w:vAlign w:val="center"/>
            <w:vMerge w:val="continue"/>
            <w:textDirection w:val="lrTb"/>
            <w:noWrap w:val="false"/>
          </w:tcPr>
          <w:p>
            <w:pPr>
              <w:pStyle w:val="1090"/>
              <w:ind w:firstLine="0"/>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trHeight w:val="407"/>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8</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满足中小企业政策的证明文件。</w:t>
            </w:r>
            <w:r/>
          </w:p>
        </w:tc>
        <w:tc>
          <w:tcPr>
            <w:tcW w:w="2449"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落实政府采购政策需满足的资格要求，详见第一章《投标邀请》</w:t>
            </w:r>
            <w:r/>
          </w:p>
        </w:tc>
      </w:tr>
      <w:tr>
        <w:trPr>
          <w:trHeight w:val="407"/>
        </w:trPr>
        <w:tc>
          <w:tcPr>
            <w:tcW w:w="719"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9</w:t>
            </w:r>
            <w:r/>
          </w:p>
        </w:tc>
        <w:tc>
          <w:tcPr>
            <w:tcW w:w="6104"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bCs/>
                <w:color w:val="auto"/>
                <w:sz w:val="28"/>
                <w:szCs w:val="28"/>
                <w:highlight w:val="none"/>
              </w:rPr>
              <w:t xml:space="preserve">本项目要求的特定资格证明</w:t>
            </w:r>
            <w:r>
              <w:rPr>
                <w:rFonts w:hint="eastAsia" w:ascii="宋体" w:hAnsi="宋体" w:cs="宋体"/>
                <w:color w:val="auto"/>
                <w:sz w:val="28"/>
                <w:szCs w:val="28"/>
                <w:highlight w:val="none"/>
              </w:rPr>
              <w:t xml:space="preserve">文件（</w:t>
            </w:r>
            <w:r>
              <w:rPr>
                <w:rFonts w:hint="eastAsia" w:ascii="宋体" w:hAnsi="宋体" w:cs="宋体"/>
                <w:bCs/>
                <w:color w:val="auto"/>
                <w:sz w:val="28"/>
                <w:szCs w:val="28"/>
                <w:highlight w:val="none"/>
              </w:rPr>
              <w:t xml:space="preserve">如有</w:t>
            </w:r>
            <w:r>
              <w:rPr>
                <w:rFonts w:hint="eastAsia" w:ascii="宋体" w:hAnsi="宋体" w:cs="宋体"/>
                <w:color w:val="auto"/>
                <w:sz w:val="28"/>
                <w:szCs w:val="28"/>
                <w:highlight w:val="none"/>
              </w:rPr>
              <w:t xml:space="preserve">特定资格要求的）。</w:t>
            </w:r>
            <w:r/>
          </w:p>
        </w:tc>
        <w:tc>
          <w:tcPr>
            <w:tcW w:w="2449"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特定资格要求，详见第一章《投标邀请》</w:t>
            </w:r>
            <w:r/>
          </w:p>
        </w:tc>
      </w:tr>
    </w:tbl>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说明：</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ind w:firstLine="480"/>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二、符合性证明文件及其他证明文件</w:t>
      </w:r>
      <w:r/>
    </w:p>
    <w:p>
      <w:pPr>
        <w:pStyle w:val="956"/>
        <w:ind w:firstLine="0"/>
        <w:rPr>
          <w:rFonts w:cs="宋体"/>
          <w:color w:val="auto"/>
          <w:sz w:val="28"/>
          <w:szCs w:val="28"/>
          <w:highlight w:val="none"/>
        </w:rPr>
        <w:outlineLvl w:val="9"/>
      </w:pPr>
      <w:r>
        <w:rPr>
          <w:rFonts w:hint="eastAsia" w:cs="宋体"/>
          <w:color w:val="auto"/>
          <w:sz w:val="28"/>
          <w:szCs w:val="28"/>
          <w:highlight w:val="none"/>
        </w:rPr>
        <w:t xml:space="preserve">（一）符合性证明文件</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序号</w:t>
            </w:r>
            <w:r/>
          </w:p>
        </w:tc>
        <w:tc>
          <w:tcPr>
            <w:tcW w:w="6095" w:type="dxa"/>
            <w:vAlign w:val="center"/>
            <w:textDirection w:val="lrTb"/>
            <w:noWrap w:val="false"/>
          </w:tcPr>
          <w:p>
            <w:pPr>
              <w:pStyle w:val="1090"/>
              <w:ind w:firstLine="0"/>
              <w:jc w:val="center"/>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评审项目及评审要求</w:t>
            </w:r>
            <w:r/>
          </w:p>
        </w:tc>
        <w:tc>
          <w:tcPr>
            <w:tcW w:w="1979" w:type="dxa"/>
            <w:vAlign w:val="center"/>
            <w:textDirection w:val="lrTb"/>
            <w:noWrap w:val="false"/>
          </w:tcPr>
          <w:p>
            <w:pPr>
              <w:pStyle w:val="1090"/>
              <w:ind w:firstLine="0"/>
              <w:jc w:val="center"/>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审查因素</w:t>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投标函（给定格式）</w:t>
            </w:r>
            <w:r/>
          </w:p>
        </w:tc>
        <w:tc>
          <w:tcPr>
            <w:tcW w:w="1979" w:type="dxa"/>
            <w:vAlign w:val="center"/>
            <w:vMerge w:val="restart"/>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商务符合性</w:t>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承诺书（给定格式）</w:t>
            </w:r>
            <w:r/>
          </w:p>
        </w:tc>
        <w:tc>
          <w:tcPr>
            <w:tcW w:w="1979" w:type="dxa"/>
            <w:vAlign w:val="center"/>
            <w:vMerge w:val="continue"/>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开标一览表（给定格式）</w:t>
            </w:r>
            <w:r/>
          </w:p>
        </w:tc>
        <w:tc>
          <w:tcPr>
            <w:tcW w:w="1979" w:type="dxa"/>
            <w:vAlign w:val="center"/>
            <w:vMerge w:val="restart"/>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报价符合性</w:t>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分项报价表（给定格式）</w:t>
            </w:r>
            <w:r/>
          </w:p>
        </w:tc>
        <w:tc>
          <w:tcPr>
            <w:tcW w:w="1979" w:type="dxa"/>
            <w:vAlign w:val="center"/>
            <w:vMerge w:val="continue"/>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投标偏离表（给定格式）</w:t>
            </w:r>
            <w:r/>
          </w:p>
        </w:tc>
        <w:tc>
          <w:tcPr>
            <w:tcW w:w="1979" w:type="dxa"/>
            <w:vAlign w:val="center"/>
            <w:vMerge w:val="restart"/>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技术符合性</w:t>
            </w:r>
            <w:r/>
          </w:p>
        </w:tc>
      </w:tr>
      <w:tr>
        <w:trPr>
          <w:cantSplit/>
          <w:jc w:val="center"/>
          <w:trHeight w:val="567"/>
        </w:trPr>
        <w:tc>
          <w:tcPr>
            <w:tcW w:w="823" w:type="dxa"/>
            <w:vAlign w:val="center"/>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p>
        </w:tc>
        <w:tc>
          <w:tcPr>
            <w:tcW w:w="6095" w:type="dxa"/>
            <w:vAlign w:val="center"/>
            <w:textDirection w:val="lrTb"/>
            <w:noWrap w:val="false"/>
          </w:tcPr>
          <w:p>
            <w:pPr>
              <w:pStyle w:val="1090"/>
              <w:ind w:firstLine="0"/>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《采购需求》中要求提供的证明材料（如有）</w:t>
            </w:r>
            <w:r/>
          </w:p>
        </w:tc>
        <w:tc>
          <w:tcPr>
            <w:tcW w:w="1979" w:type="dxa"/>
            <w:vAlign w:val="center"/>
            <w:vMerge w:val="continue"/>
            <w:textDirection w:val="lrTb"/>
            <w:noWrap w:val="false"/>
          </w:tcPr>
          <w:p>
            <w:pPr>
              <w:pStyle w:val="1090"/>
              <w:ind w:firstLine="0"/>
              <w:jc w:val="center"/>
              <w:spacing w:before="0" w:after="0" w:line="360" w:lineRule="auto"/>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360" w:lineRule="auto"/>
        <w:rPr>
          <w:rFonts w:hAnsi="宋体" w:cs="宋体"/>
          <w:color w:val="auto"/>
          <w:sz w:val="28"/>
          <w:szCs w:val="28"/>
          <w:highlight w:val="none"/>
        </w:rPr>
      </w:pPr>
      <w:r>
        <w:rPr>
          <w:rFonts w:hint="eastAsia" w:hAnsi="宋体" w:cs="宋体"/>
          <w:color w:val="auto"/>
          <w:sz w:val="28"/>
          <w:szCs w:val="28"/>
          <w:highlight w:val="none"/>
        </w:rPr>
        <w:t xml:space="preserve">说明：</w:t>
      </w:r>
      <w:r/>
    </w:p>
    <w:p>
      <w:pPr>
        <w:ind w:firstLine="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（1）上述符合性证明文件第1～5项必须按要求全部提供（有给定格式的，必须按给定格式的要求正确填报并提供），否则投标文件无效。</w:t>
      </w:r>
      <w:r/>
    </w:p>
    <w:p>
      <w:pPr>
        <w:ind w:firstLine="480"/>
        <w:spacing w:line="360" w:lineRule="auto"/>
        <w:rPr>
          <w:rFonts w:hAnsi="宋体" w:cs="宋体"/>
          <w:b/>
          <w:color w:val="auto"/>
          <w:sz w:val="28"/>
          <w:szCs w:val="28"/>
          <w:highlight w:val="none"/>
        </w:rPr>
      </w:pPr>
      <w:r>
        <w:rPr>
          <w:rFonts w:hint="eastAsia" w:hAnsi="宋体" w:cs="宋体"/>
          <w:color w:val="auto"/>
          <w:sz w:val="28"/>
          <w:szCs w:val="28"/>
          <w:highlight w:val="none"/>
        </w:rPr>
        <w:t xml:space="preserve">（2）上述符合性证明文件第6项，《采购需求》中如有要求提供证明材料的，须按要求提供，否则投标文件无效。</w:t>
      </w:r>
      <w:r/>
    </w:p>
    <w:p>
      <w:pP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（二）其他证明文件</w:t>
      </w:r>
      <w:r/>
    </w:p>
    <w:p>
      <w:pPr>
        <w:ind w:left="480"/>
        <w:spacing w:line="360" w:lineRule="auto"/>
        <w:rPr>
          <w:rFonts w:hAnsi="宋体" w:cs="宋体"/>
          <w:color w:val="auto"/>
          <w:sz w:val="28"/>
          <w:szCs w:val="28"/>
          <w:highlight w:val="none"/>
        </w:rPr>
      </w:pPr>
      <w:r>
        <w:rPr>
          <w:rFonts w:hint="eastAsia" w:hAnsi="宋体" w:cs="宋体"/>
          <w:color w:val="auto"/>
          <w:sz w:val="28"/>
          <w:szCs w:val="28"/>
          <w:highlight w:val="none"/>
        </w:rPr>
        <w:t xml:space="preserve">1.《评标方法与评标标准》中涉及的证明文件。</w:t>
      </w:r>
      <w:r/>
    </w:p>
    <w:p>
      <w:pPr>
        <w:ind w:left="480"/>
        <w:spacing w:line="360" w:lineRule="auto"/>
        <w:rPr>
          <w:rFonts w:hAnsi="宋体" w:cs="宋体"/>
          <w:color w:val="auto"/>
          <w:sz w:val="28"/>
          <w:szCs w:val="28"/>
          <w:highlight w:val="none"/>
        </w:rPr>
      </w:pPr>
      <w:r>
        <w:rPr>
          <w:rFonts w:hint="eastAsia" w:hAnsi="宋体" w:cs="宋体"/>
          <w:color w:val="auto"/>
          <w:sz w:val="28"/>
          <w:szCs w:val="28"/>
          <w:highlight w:val="none"/>
        </w:rPr>
        <w:t xml:space="preserve">2.投标人认为如有其他应附的文件可自拟并自行添加。</w:t>
      </w:r>
      <w:r/>
    </w:p>
    <w:p>
      <w:pPr>
        <w:jc w:val="center"/>
        <w:spacing w:line="360" w:lineRule="auto"/>
        <w:rPr>
          <w:rFonts w:hAnsi="宋体" w:cs="宋体"/>
          <w:b/>
          <w:color w:val="auto"/>
          <w:sz w:val="28"/>
          <w:szCs w:val="28"/>
          <w:highlight w:val="none"/>
        </w:rPr>
      </w:pPr>
      <w:r>
        <w:rPr>
          <w:rFonts w:hAnsi="宋体" w:cs="宋体"/>
          <w:b/>
          <w:color w:val="auto"/>
          <w:sz w:val="28"/>
          <w:szCs w:val="28"/>
          <w:highlight w:val="none"/>
        </w:rPr>
      </w:r>
      <w:r/>
    </w:p>
    <w:p>
      <w:pPr>
        <w:ind w:firstLine="480"/>
        <w:spacing w:line="360" w:lineRule="auto"/>
        <w:rPr>
          <w:rFonts w:hAnsi="宋体" w:cs="宋体"/>
          <w:b/>
          <w:color w:val="auto"/>
          <w:sz w:val="28"/>
          <w:szCs w:val="28"/>
          <w:highlight w:val="none"/>
        </w:rPr>
        <w:outlineLvl w:val="1"/>
      </w:pPr>
      <w:r>
        <w:rPr>
          <w:rFonts w:hint="eastAsia" w:hAnsi="宋体" w:cs="宋体"/>
          <w:b/>
          <w:color w:val="auto"/>
          <w:sz w:val="28"/>
          <w:szCs w:val="28"/>
          <w:highlight w:val="none"/>
        </w:rPr>
        <w:br w:type="page" w:clear="all"/>
      </w:r>
      <w:bookmarkStart w:id="198" w:name="_Toc22045"/>
      <w:r>
        <w:rPr>
          <w:rFonts w:hint="eastAsia" w:hAnsi="宋体" w:cs="宋体"/>
          <w:b/>
          <w:color w:val="auto"/>
          <w:sz w:val="28"/>
          <w:szCs w:val="28"/>
          <w:highlight w:val="none"/>
        </w:rPr>
        <w:t xml:space="preserve">第二部分投标文件格式</w:t>
      </w:r>
      <w:bookmarkEnd w:id="198"/>
      <w:r/>
      <w:r/>
    </w:p>
    <w:p>
      <w:pPr>
        <w:pStyle w:val="1090"/>
        <w:ind w:firstLine="562"/>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center"/>
        <w:spacing w:line="360" w:lineRule="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rPr>
          <w:rFonts w:hAnsi="宋体" w:cs="宋体"/>
          <w:bCs/>
          <w:color w:val="auto"/>
          <w:spacing w:val="20"/>
          <w:sz w:val="28"/>
          <w:szCs w:val="28"/>
          <w:highlight w:val="none"/>
        </w:rPr>
      </w:pPr>
      <w:r>
        <w:rPr>
          <w:rFonts w:hAnsi="宋体" w:cs="宋体"/>
          <w:bCs/>
          <w:color w:val="auto"/>
          <w:spacing w:val="20"/>
          <w:sz w:val="28"/>
          <w:szCs w:val="28"/>
          <w:highlight w:val="none"/>
        </w:rPr>
      </w:r>
      <w:r/>
    </w:p>
    <w:p>
      <w:pPr>
        <w:jc w:val="center"/>
        <w:spacing w:line="360" w:lineRule="auto"/>
        <w:rPr>
          <w:rFonts w:hAnsi="宋体" w:cs="宋体"/>
          <w:bCs/>
          <w:color w:val="auto"/>
          <w:spacing w:val="20"/>
          <w:sz w:val="28"/>
          <w:szCs w:val="28"/>
          <w:highlight w:val="none"/>
        </w:rPr>
      </w:pPr>
      <w:r>
        <w:rPr>
          <w:rFonts w:hint="eastAsia" w:hAnsi="宋体" w:cs="宋体"/>
          <w:bCs/>
          <w:color w:val="auto"/>
          <w:spacing w:val="20"/>
          <w:sz w:val="28"/>
          <w:szCs w:val="28"/>
          <w:highlight w:val="none"/>
        </w:rPr>
        <w:t xml:space="preserve">投  标  文  件</w:t>
      </w:r>
      <w:r/>
    </w:p>
    <w:p>
      <w:pPr>
        <w:jc w:val="center"/>
        <w:spacing w:line="360" w:lineRule="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jc w:val="center"/>
        <w:spacing w:line="360" w:lineRule="auto"/>
        <w:rPr>
          <w:rFonts w:hAnsi="宋体" w:cs="宋体"/>
          <w:b/>
          <w:color w:val="auto"/>
          <w:sz w:val="28"/>
          <w:szCs w:val="28"/>
          <w:highlight w:val="none"/>
          <w:shd w:val="clear" w:color="ffffff" w:fill="d9d9d9"/>
        </w:rPr>
      </w:pPr>
      <w:r>
        <w:rPr>
          <w:rFonts w:hAnsi="宋体" w:cs="宋体"/>
          <w:b/>
          <w:color w:val="auto"/>
          <w:sz w:val="28"/>
          <w:szCs w:val="28"/>
          <w:highlight w:val="none"/>
          <w:shd w:val="clear" w:color="ffffff" w:fill="d9d9d9"/>
        </w:rPr>
      </w:r>
      <w:r/>
    </w:p>
    <w:p>
      <w:pPr>
        <w:ind w:firstLine="900"/>
        <w:spacing w:line="360" w:lineRule="auto"/>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 xml:space="preserve">政府采购编号：</w:t>
      </w:r>
      <w:r>
        <w:rPr>
          <w:rFonts w:hint="eastAsia" w:hAnsi="宋体" w:cs="宋体"/>
          <w:bCs/>
          <w:color w:val="auto"/>
          <w:sz w:val="28"/>
          <w:szCs w:val="28"/>
          <w:highlight w:val="none"/>
          <w:lang w:eastAsia="zh-CN"/>
        </w:rPr>
        <w:t xml:space="preserve">JSZC-320214-HLXM-G2025-0009</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采购项目名称：新吴区机场单元，硕放单元详细规划编制项目</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 标 人：</w:t>
      </w:r>
      <w:r/>
    </w:p>
    <w:p>
      <w:pPr>
        <w:ind w:firstLine="9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日    期：</w:t>
      </w:r>
      <w:r/>
    </w:p>
    <w:p>
      <w:pPr>
        <w:jc w:val="cente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bookmarkStart w:id="199" w:name="（报价人）法定代表人授权书（格式）"/>
      <w:r/>
      <w:bookmarkEnd w:id="199"/>
      <w:r/>
      <w:bookmarkStart w:id="200" w:name="校园网系统报价和服务承诺表（格式）"/>
      <w:r/>
      <w:bookmarkEnd w:id="200"/>
      <w:r>
        <w:rPr>
          <w:rFonts w:hint="eastAsia" w:hAnsi="宋体" w:cs="宋体"/>
          <w:b/>
          <w:color w:val="auto"/>
          <w:sz w:val="28"/>
          <w:szCs w:val="28"/>
          <w:highlight w:val="none"/>
        </w:rPr>
        <w:br w:type="page" w:clear="all"/>
      </w:r>
      <w:r>
        <w:rPr>
          <w:rFonts w:hint="eastAsia" w:hAnsi="宋体" w:cs="宋体"/>
          <w:b/>
          <w:color w:val="auto"/>
          <w:sz w:val="28"/>
          <w:szCs w:val="28"/>
          <w:highlight w:val="none"/>
        </w:rPr>
        <w:t xml:space="preserve">二、授权委托书（给定格式）：</w:t>
      </w:r>
      <w:r/>
    </w:p>
    <w:p>
      <w:pPr>
        <w:jc w:val="center"/>
        <w:spacing w:line="360" w:lineRule="auto"/>
        <w:rPr>
          <w:rFonts w:hAnsi="宋体" w:cs="宋体"/>
          <w:bCs/>
          <w:color w:val="auto"/>
          <w:sz w:val="28"/>
          <w:szCs w:val="28"/>
          <w:highlight w:val="none"/>
          <w:shd w:val="clear" w:color="ffffff" w:fill="d9d9d9"/>
        </w:rPr>
      </w:pPr>
      <w:r>
        <w:rPr>
          <w:rFonts w:hint="eastAsia" w:hAnsi="宋体" w:cs="宋体"/>
          <w:bCs/>
          <w:color w:val="auto"/>
          <w:sz w:val="28"/>
          <w:szCs w:val="28"/>
          <w:highlight w:val="none"/>
        </w:rPr>
        <w:t xml:space="preserve">授权委托书</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我公司（单位、联合体）针对</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项目，兹授权：</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被授权人的姓名：</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；性别：</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；年龄：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；职务：</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被授权人的身份证号码：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；联系方式：</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特此授权委托。</w:t>
      </w:r>
      <w:r/>
    </w:p>
    <w:p>
      <w:pPr>
        <w:pStyle w:val="1127"/>
        <w:spacing w:line="360" w:lineRule="auto"/>
        <w:tabs>
          <w:tab w:val="left" w:pos="360" w:leader="none"/>
        </w:tabs>
        <w:rPr>
          <w:rFonts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 xml:space="preserve">授权日期：</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                投标人名称（盖章）：</w:t>
      </w:r>
      <w:r/>
    </w:p>
    <w:p>
      <w:pPr>
        <w:pStyle w:val="1127"/>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法定代表人签字或盖章：</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被授权人签字或盖章：</w:t>
      </w:r>
      <w:r>
        <w:rPr>
          <w:rFonts w:hint="eastAsia" w:ascii="宋体" w:hAnsi="宋体" w:eastAsia="宋体" w:cs="宋体"/>
          <w:b w:val="0"/>
          <w:bCs/>
          <w:color w:val="auto"/>
          <w:sz w:val="28"/>
          <w:szCs w:val="28"/>
          <w:highlight w:val="none"/>
          <w:u w:val="single"/>
        </w:rPr>
        <w:t xml:space="preserve">        </w:t>
      </w:r>
      <w:r/>
    </w:p>
    <w:p>
      <w:pPr>
        <w:pStyle w:val="1127"/>
        <w:spacing w:line="360" w:lineRule="auto"/>
        <w:tabs>
          <w:tab w:val="left" w:pos="360" w:leader="none"/>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（被授权人身份证原件扫描件附后）</w:t>
      </w:r>
      <w:r/>
    </w:p>
    <w:p>
      <w:pPr>
        <w:pStyle w:val="1127"/>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（1）若投标人为事业单位或其他组织或分支机构，则法定代表人处的签字人可为单位负责人。</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（2）当被授权人为法定代表人（或上述情况的单位负责人）时，只需在法定代表人处签字或盖章即可。</w:t>
      </w:r>
      <w:r/>
    </w:p>
    <w:p>
      <w:pPr>
        <w:pStyle w:val="1127"/>
        <w:ind w:firstLine="480"/>
        <w:spacing w:line="360" w:lineRule="auto"/>
        <w:tabs>
          <w:tab w:val="left" w:pos="360" w:leader="none"/>
        </w:tabs>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（3）供应商为自然人情形的，可不提供本《授权委托书》。</w:t>
      </w:r>
      <w:r/>
    </w:p>
    <w:p>
      <w:pPr>
        <w:jc w:val="left"/>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27"/>
        <w:spacing w:line="360" w:lineRule="auto"/>
        <w:tabs>
          <w:tab w:val="left" w:pos="360" w:leader="none"/>
        </w:tabs>
        <w:rPr>
          <w:rFonts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br w:type="page" w:clear="all"/>
      </w:r>
      <w:r>
        <w:rPr>
          <w:rFonts w:hint="eastAsia" w:ascii="宋体" w:hAnsi="宋体" w:eastAsia="宋体" w:cs="宋体"/>
          <w:color w:val="auto"/>
          <w:sz w:val="28"/>
          <w:szCs w:val="28"/>
          <w:highlight w:val="none"/>
        </w:rPr>
        <w:t xml:space="preserve">三、资格声明函（给定格式）：</w:t>
      </w:r>
      <w:r/>
    </w:p>
    <w:p>
      <w:pPr>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资格声明函</w:t>
      </w:r>
      <w:r/>
    </w:p>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江苏恒立工程项目管理有限公司：</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我公司（单位、联合体）针对本次项目</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进行投标，并做如下声明</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2.本公司（单位、联合体）具备本次项目履行合同所必需的设备和专业技术能力。</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jc w:val="left"/>
        <w:spacing w:line="360" w:lineRule="auto"/>
        <w:rPr>
          <w:rFonts w:hAnsi="宋体" w:cs="宋体"/>
          <w:color w:val="auto"/>
          <w:sz w:val="28"/>
          <w:szCs w:val="28"/>
          <w:highlight w:val="none"/>
        </w:rPr>
      </w:pPr>
      <w:r>
        <w:rPr>
          <w:rFonts w:hint="eastAsia" w:hAnsi="宋体" w:cs="宋体"/>
          <w:color w:val="auto"/>
          <w:sz w:val="28"/>
          <w:szCs w:val="28"/>
          <w:highlight w:val="none"/>
        </w:rPr>
        <w:t xml:space="preserve">日期： </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四、中小企业声明函（给定格式）： </w:t>
      </w:r>
      <w:r/>
    </w:p>
    <w:p>
      <w:pPr>
        <w:ind w:firstLine="560"/>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中小企业声明函（服务）</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本公司（联合体）郑重声明，根据《政府采购促进中小企业发展管理办法》（财库﹝2020﹞46 号）的规定，本公司 </w:t>
      </w:r>
      <w:r>
        <w:rPr>
          <w:rFonts w:hint="eastAsia" w:hAnsi="宋体" w:cs="宋体"/>
          <w:bCs/>
          <w:color w:val="auto"/>
          <w:sz w:val="28"/>
          <w:szCs w:val="28"/>
          <w:highlight w:val="none"/>
          <w:u w:val="single"/>
        </w:rPr>
        <w:t xml:space="preserve">（联合体）</w:t>
      </w:r>
      <w:r>
        <w:rPr>
          <w:rFonts w:hint="eastAsia" w:hAnsi="宋体" w:cs="宋体"/>
          <w:bCs/>
          <w:color w:val="auto"/>
          <w:sz w:val="28"/>
          <w:szCs w:val="28"/>
          <w:highlight w:val="none"/>
        </w:rPr>
        <w:t xml:space="preserve">参加</w:t>
      </w:r>
      <w:r>
        <w:rPr>
          <w:rFonts w:hint="eastAsia" w:hAnsi="宋体" w:cs="宋体"/>
          <w:bCs/>
          <w:color w:val="auto"/>
          <w:sz w:val="28"/>
          <w:szCs w:val="28"/>
          <w:highlight w:val="none"/>
          <w:u w:val="single"/>
        </w:rPr>
        <w:t xml:space="preserve">（单位名称）</w:t>
      </w:r>
      <w:r>
        <w:rPr>
          <w:rFonts w:hint="eastAsia" w:hAnsi="宋体" w:cs="宋体"/>
          <w:bCs/>
          <w:color w:val="auto"/>
          <w:sz w:val="28"/>
          <w:szCs w:val="28"/>
          <w:highlight w:val="none"/>
        </w:rPr>
        <w:t xml:space="preserve">的</w:t>
      </w:r>
      <w:r>
        <w:rPr>
          <w:rFonts w:hint="eastAsia" w:hAnsi="宋体" w:cs="宋体"/>
          <w:bCs/>
          <w:color w:val="auto"/>
          <w:sz w:val="28"/>
          <w:szCs w:val="28"/>
          <w:highlight w:val="none"/>
          <w:u w:val="single"/>
        </w:rPr>
        <w:t xml:space="preserve">（项目名称）</w:t>
      </w:r>
      <w:r>
        <w:rPr>
          <w:rFonts w:hint="eastAsia" w:hAnsi="宋体" w:cs="宋体"/>
          <w:bCs/>
          <w:color w:val="auto"/>
          <w:sz w:val="28"/>
          <w:szCs w:val="28"/>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1.</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 xml:space="preserve">，属于</w:t>
      </w:r>
      <w:r>
        <w:rPr>
          <w:rFonts w:hint="eastAsia" w:hAnsi="宋体" w:cs="宋体"/>
          <w:bCs/>
          <w:color w:val="auto"/>
          <w:sz w:val="28"/>
          <w:szCs w:val="28"/>
          <w:highlight w:val="none"/>
          <w:u w:val="single"/>
        </w:rPr>
        <w:t xml:space="preserve">（招标文件中明确的所属行业）</w:t>
      </w:r>
      <w:r>
        <w:rPr>
          <w:rFonts w:hint="eastAsia" w:hAnsi="宋体" w:cs="宋体"/>
          <w:bCs/>
          <w:color w:val="auto"/>
          <w:sz w:val="28"/>
          <w:szCs w:val="28"/>
          <w:highlight w:val="none"/>
        </w:rPr>
        <w:t xml:space="preserve">； 承建（承接）企业为</w:t>
      </w:r>
      <w:r>
        <w:rPr>
          <w:rFonts w:hint="eastAsia" w:hAnsi="宋体" w:cs="宋体"/>
          <w:bCs/>
          <w:color w:val="auto"/>
          <w:sz w:val="28"/>
          <w:szCs w:val="28"/>
          <w:highlight w:val="none"/>
          <w:u w:val="single"/>
        </w:rPr>
        <w:t xml:space="preserve">（企业名称）</w:t>
      </w:r>
      <w:r>
        <w:rPr>
          <w:rFonts w:hint="eastAsia" w:hAnsi="宋体" w:cs="宋体"/>
          <w:bCs/>
          <w:color w:val="auto"/>
          <w:sz w:val="28"/>
          <w:szCs w:val="28"/>
          <w:highlight w:val="none"/>
        </w:rPr>
        <w:t xml:space="preserve">，从业人员人，营业收入为万元，资产总额为万元，属于</w:t>
      </w:r>
      <w:r>
        <w:rPr>
          <w:rFonts w:hint="eastAsia" w:hAnsi="宋体" w:cs="宋体"/>
          <w:bCs/>
          <w:color w:val="auto"/>
          <w:sz w:val="28"/>
          <w:szCs w:val="28"/>
          <w:highlight w:val="none"/>
          <w:u w:val="single"/>
        </w:rPr>
        <w:t xml:space="preserve">（中型企业、 小型企业、微型企业）</w:t>
      </w:r>
      <w:r>
        <w:rPr>
          <w:rFonts w:hint="eastAsia" w:hAnsi="宋体" w:cs="宋体"/>
          <w:bCs/>
          <w:color w:val="auto"/>
          <w:sz w:val="28"/>
          <w:szCs w:val="28"/>
          <w:highlight w:val="none"/>
        </w:rPr>
        <w:t xml:space="preserve">；</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 xml:space="preserve">，属于</w:t>
      </w:r>
      <w:r>
        <w:rPr>
          <w:rFonts w:hint="eastAsia" w:hAnsi="宋体" w:cs="宋体"/>
          <w:bCs/>
          <w:color w:val="auto"/>
          <w:sz w:val="28"/>
          <w:szCs w:val="28"/>
          <w:highlight w:val="none"/>
          <w:u w:val="single"/>
        </w:rPr>
        <w:t xml:space="preserve">（招标文件中明确的所属行业）</w:t>
      </w:r>
      <w:r>
        <w:rPr>
          <w:rFonts w:hint="eastAsia" w:hAnsi="宋体" w:cs="宋体"/>
          <w:bCs/>
          <w:color w:val="auto"/>
          <w:sz w:val="28"/>
          <w:szCs w:val="28"/>
          <w:highlight w:val="none"/>
        </w:rPr>
        <w:t xml:space="preserve">； 承建（承接）企业为</w:t>
      </w:r>
      <w:r>
        <w:rPr>
          <w:rFonts w:hint="eastAsia" w:hAnsi="宋体" w:cs="宋体"/>
          <w:bCs/>
          <w:color w:val="auto"/>
          <w:sz w:val="28"/>
          <w:szCs w:val="28"/>
          <w:highlight w:val="none"/>
          <w:u w:val="single"/>
        </w:rPr>
        <w:t xml:space="preserve">（企业名称）</w:t>
      </w:r>
      <w:r>
        <w:rPr>
          <w:rFonts w:hint="eastAsia" w:hAnsi="宋体" w:cs="宋体"/>
          <w:bCs/>
          <w:color w:val="auto"/>
          <w:sz w:val="28"/>
          <w:szCs w:val="28"/>
          <w:highlight w:val="none"/>
        </w:rPr>
        <w:t xml:space="preserve">，从业人员人，营业收入为万元，资产总额为万元，属于</w:t>
      </w:r>
      <w:r>
        <w:rPr>
          <w:rFonts w:hint="eastAsia" w:hAnsi="宋体" w:cs="宋体"/>
          <w:bCs/>
          <w:color w:val="auto"/>
          <w:sz w:val="28"/>
          <w:szCs w:val="28"/>
          <w:highlight w:val="none"/>
          <w:u w:val="single"/>
        </w:rPr>
        <w:t xml:space="preserve">（中型企业、 小型企业、微型企业）</w:t>
      </w:r>
      <w:r>
        <w:rPr>
          <w:rFonts w:hint="eastAsia" w:hAnsi="宋体" w:cs="宋体"/>
          <w:bCs/>
          <w:color w:val="auto"/>
          <w:sz w:val="28"/>
          <w:szCs w:val="28"/>
          <w:highlight w:val="none"/>
        </w:rPr>
        <w:t xml:space="preserve">；</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企业名称（签章）：</w:t>
      </w:r>
      <w:r/>
    </w:p>
    <w:p>
      <w:pPr>
        <w:ind w:firstLine="480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日　　　　　　期：</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（2）从业人员、营业收入、资产总额填报上一年度数据，无上一年度数据的新成立企业可不填报。</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spacing w:line="360" w:lineRule="auto"/>
        <w:rPr>
          <w:rFonts w:hAnsi="宋体" w:cs="宋体"/>
          <w:b/>
          <w:bCs/>
          <w:color w:val="auto"/>
          <w:sz w:val="28"/>
          <w:szCs w:val="28"/>
          <w:highlight w:val="none"/>
        </w:rPr>
      </w:pPr>
      <w:r>
        <w:rPr>
          <w:rFonts w:hint="eastAsia" w:hAnsi="宋体" w:cs="宋体"/>
          <w:b/>
          <w:color w:val="auto"/>
          <w:sz w:val="28"/>
          <w:szCs w:val="28"/>
          <w:highlight w:val="none"/>
        </w:rPr>
        <w:br w:type="page" w:clear="all"/>
      </w:r>
      <w:r/>
    </w:p>
    <w:p>
      <w:pPr>
        <w:spacing w:line="360" w:lineRule="auto"/>
        <w:rPr>
          <w:rFonts w:hAnsi="宋体" w:cs="宋体"/>
          <w:b/>
          <w:bCs/>
          <w:color w:val="auto"/>
          <w:sz w:val="28"/>
          <w:szCs w:val="28"/>
          <w:highlight w:val="none"/>
        </w:rPr>
      </w:pPr>
      <w:r>
        <w:rPr>
          <w:rFonts w:hint="eastAsia" w:hAnsi="宋体" w:cs="宋体"/>
          <w:b/>
          <w:color w:val="auto"/>
          <w:sz w:val="28"/>
          <w:szCs w:val="28"/>
          <w:highlight w:val="none"/>
        </w:rPr>
        <w:t xml:space="preserve">五、残疾人福利性单位声明函（给定格式）：</w:t>
      </w:r>
      <w:r/>
    </w:p>
    <w:p>
      <w:pPr>
        <w:ind w:firstLine="482"/>
        <w:spacing w:line="360" w:lineRule="auto"/>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残疾人福利性单位声明函</w:t>
      </w:r>
      <w:r/>
    </w:p>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本单位对上述声明的真实性负责。如有虚假，将依法承担相应责任。</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单位名称（签章）：</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日  期：</w:t>
      </w:r>
      <w:r/>
    </w:p>
    <w:p>
      <w:pP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六、投标函（给定格式）：</w:t>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投标函</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致江苏恒立工程项目管理有限公司：</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我方收到贵方编号</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招标文件，经仔细阅读和研究，我方决定参加此项目的投标。</w:t>
      </w:r>
      <w:r/>
    </w:p>
    <w:p>
      <w:pPr>
        <w:numPr>
          <w:ilvl w:val="0"/>
          <w:numId w:val="11"/>
        </w:numPr>
        <w:ind w:left="-105" w:firstLine="525"/>
        <w:spacing w:line="360" w:lineRule="auto"/>
        <w:tabs>
          <w:tab w:val="left" w:pos="315" w:leader="none"/>
          <w:tab w:val="left" w:pos="840" w:leader="none"/>
          <w:tab w:val="left" w:pos="945" w:leader="none"/>
          <w:tab w:val="left" w:pos="1050"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我方愿意按照招标文件的一切要求，提供本项目的投标，投标优惠率见《开标一览表》。</w:t>
      </w:r>
      <w:r/>
    </w:p>
    <w:p>
      <w:pPr>
        <w:numPr>
          <w:ilvl w:val="0"/>
          <w:numId w:val="11"/>
        </w:numPr>
        <w:ind w:left="-105"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56"/>
          <w:bCs/>
          <w:color w:val="auto"/>
          <w:sz w:val="28"/>
          <w:szCs w:val="28"/>
          <w:highlight w:val="none"/>
        </w:rPr>
      </w:pPr>
      <w:r>
        <w:rPr>
          <w:rFonts w:hint="eastAsia" w:hAnsi="宋体" w:cs="宋体"/>
          <w:bCs/>
          <w:color w:val="auto"/>
          <w:sz w:val="28"/>
          <w:szCs w:val="28"/>
          <w:highlight w:val="none"/>
        </w:rPr>
        <w:t xml:space="preserve">我方愿意提供江苏恒立工程项目管理有限公司在招标文件中要求的文件、资料。</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我方同意按照招标文件中的规定，从规定的开标日期起遵循本投标文件，并在规定的投标有效期期满之前均具有约束力。</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如果我方的投标文件被接受，我方将履行招标文件中规定的每一项要求，按期、按质、按量，完成交货任务。</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我方完全同意招标文件规定的决定中标者的方式。</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我方愿意遵守《中华人民共和国政府采购法》，并按照《中华人民共和国民法典》、财政部《政府采购货物和服务招标投标管理办法》等相关法律法规</w:t>
      </w:r>
      <w:r>
        <w:rPr>
          <w:rFonts w:hint="eastAsia" w:hAnsi="宋体" w:cs="宋体"/>
          <w:color w:val="auto"/>
          <w:sz w:val="28"/>
          <w:szCs w:val="28"/>
          <w:highlight w:val="none"/>
        </w:rPr>
        <w:t xml:space="preserve">和</w:t>
      </w:r>
      <w:r>
        <w:rPr>
          <w:rFonts w:hint="eastAsia" w:hAnsi="宋体" w:cs="宋体"/>
          <w:bCs/>
          <w:color w:val="auto"/>
          <w:sz w:val="28"/>
          <w:szCs w:val="28"/>
          <w:highlight w:val="none"/>
        </w:rPr>
        <w:t xml:space="preserve">合同条款履行自己的全部责任。</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我方已详细审核全部招标文件及其有效补充文件，我们知道必须放弃提出含糊不清或误解问题的权利。</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105" w:firstLine="523"/>
        <w:spacing w:line="360" w:lineRule="auto"/>
        <w:tabs>
          <w:tab w:val="left" w:pos="0" w:leader="none"/>
          <w:tab w:val="left" w:pos="315" w:leader="none"/>
          <w:tab w:val="left" w:pos="525" w:leader="none"/>
          <w:tab w:val="left" w:pos="945" w:leader="none"/>
          <w:tab w:val="left" w:pos="1050" w:leader="none"/>
        </w:tabs>
        <w:rPr>
          <w:rFonts w:hAnsi="宋体" w:cs="宋体"/>
          <w:bCs/>
          <w:color w:val="auto"/>
          <w:sz w:val="28"/>
          <w:szCs w:val="28"/>
          <w:highlight w:val="none"/>
        </w:rPr>
      </w:pPr>
      <w:r>
        <w:rPr>
          <w:rFonts w:hint="eastAsia" w:hAnsi="宋体" w:cs="宋体"/>
          <w:bCs/>
          <w:color w:val="auto"/>
          <w:sz w:val="28"/>
          <w:szCs w:val="28"/>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numPr>
          <w:ilvl w:val="0"/>
          <w:numId w:val="11"/>
        </w:numPr>
        <w:ind w:left="-105" w:firstLine="525"/>
        <w:spacing w:line="360" w:lineRule="auto"/>
        <w:tabs>
          <w:tab w:val="left" w:pos="315" w:leader="none"/>
          <w:tab w:val="left" w:pos="840" w:leader="none"/>
          <w:tab w:val="left" w:pos="945" w:leader="none"/>
          <w:tab w:val="left" w:pos="1050" w:leader="none"/>
          <w:tab w:val="left" w:pos="1260" w:leader="none"/>
        </w:tabs>
        <w:rPr>
          <w:rFonts w:hAnsi="宋体" w:cs="宋体"/>
          <w:bCs/>
          <w:color w:val="auto"/>
          <w:sz w:val="28"/>
          <w:szCs w:val="28"/>
          <w:highlight w:val="none"/>
        </w:rPr>
      </w:pPr>
      <w:r>
        <w:rPr>
          <w:rFonts w:hint="eastAsia" w:hAnsi="宋体" w:cs="宋体"/>
          <w:bCs/>
          <w:color w:val="auto"/>
          <w:sz w:val="28"/>
          <w:szCs w:val="28"/>
          <w:highlight w:val="none"/>
        </w:rPr>
        <w:t xml:space="preserve">我方承诺如有3个以上标段排名均为第一，则优先中标金额大的标段，放弃其余标段的中标资格，其余标段由排名第二的自动递进为第一名。</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电话：</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；传真：</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；邮编：</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480"/>
        <w:spacing w:line="360" w:lineRule="auto"/>
        <w:rPr>
          <w:rFonts w:hAnsi="宋体" w:cs="宋体"/>
          <w:bCs/>
          <w:color w:val="auto"/>
          <w:sz w:val="28"/>
          <w:szCs w:val="28"/>
          <w:highlight w:val="none"/>
          <w:u w:val="single"/>
        </w:rPr>
      </w:pPr>
      <w:r>
        <w:rPr>
          <w:rFonts w:hint="eastAsia" w:hAnsi="宋体" w:cs="宋体"/>
          <w:bCs/>
          <w:color w:val="auto"/>
          <w:sz w:val="28"/>
          <w:szCs w:val="28"/>
          <w:highlight w:val="none"/>
        </w:rPr>
        <w:t xml:space="preserve">通讯地址：</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 xml:space="preserve">；</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七、承诺书（给定格式）：</w:t>
      </w:r>
      <w:r/>
    </w:p>
    <w:p>
      <w:pPr>
        <w:jc w:val="center"/>
        <w:spacing w:line="360" w:lineRule="auto"/>
        <w:tabs>
          <w:tab w:val="left" w:pos="3657" w:leader="none"/>
          <w:tab w:val="center" w:pos="4572" w:leader="none"/>
        </w:tabs>
        <w:rPr>
          <w:rFonts w:hAnsi="宋体" w:cs="宋体"/>
          <w:b/>
          <w:color w:val="auto"/>
          <w:sz w:val="28"/>
          <w:szCs w:val="28"/>
          <w:highlight w:val="none"/>
        </w:rPr>
      </w:pPr>
      <w:r>
        <w:rPr>
          <w:rFonts w:hint="eastAsia" w:hAnsi="宋体" w:cs="宋体"/>
          <w:b/>
          <w:color w:val="auto"/>
          <w:sz w:val="28"/>
          <w:szCs w:val="28"/>
          <w:highlight w:val="none"/>
        </w:rPr>
        <w:t xml:space="preserve">承诺书</w:t>
      </w:r>
      <w:r/>
    </w:p>
    <w:p>
      <w:pPr>
        <w:ind w:firstLine="240"/>
        <w:spacing w:line="360" w:lineRule="auto"/>
        <w:rPr>
          <w:rFonts w:hAnsi="宋体" w:cs="宋体"/>
          <w:color w:val="auto"/>
          <w:sz w:val="28"/>
          <w:szCs w:val="28"/>
          <w:highlight w:val="none"/>
        </w:rPr>
      </w:pPr>
      <w:r>
        <w:rPr>
          <w:rFonts w:hint="eastAsia" w:hAnsi="宋体" w:cs="宋体"/>
          <w:color w:val="auto"/>
          <w:sz w:val="28"/>
          <w:szCs w:val="28"/>
          <w:highlight w:val="none"/>
          <w:u w:val="single"/>
        </w:rPr>
        <w:t xml:space="preserve">    （投标人名称）    </w:t>
      </w:r>
      <w:r>
        <w:rPr>
          <w:rFonts w:hint="eastAsia" w:hAnsi="宋体" w:cs="宋体"/>
          <w:color w:val="auto"/>
          <w:sz w:val="28"/>
          <w:szCs w:val="28"/>
          <w:highlight w:val="none"/>
        </w:rPr>
        <w:t xml:space="preserve">针对本项目</w:t>
      </w:r>
      <w:r>
        <w:rPr>
          <w:rFonts w:hint="eastAsia" w:hAnsi="宋体" w:cs="宋体"/>
          <w:bCs/>
          <w:color w:val="auto"/>
          <w:sz w:val="28"/>
          <w:szCs w:val="28"/>
          <w:highlight w:val="none"/>
        </w:rPr>
        <w:t xml:space="preserve">编号</w:t>
      </w:r>
      <w:r>
        <w:rPr>
          <w:rFonts w:hint="eastAsia" w:hAnsi="宋体" w:cs="宋体"/>
          <w:bCs/>
          <w:color w:val="auto"/>
          <w:sz w:val="28"/>
          <w:szCs w:val="28"/>
          <w:highlight w:val="none"/>
          <w:u w:val="single"/>
        </w:rPr>
        <w:t xml:space="preserve">                 </w:t>
      </w:r>
      <w:r>
        <w:rPr>
          <w:rFonts w:hint="eastAsia" w:hAnsi="宋体" w:cs="宋体"/>
          <w:color w:val="auto"/>
          <w:sz w:val="28"/>
          <w:szCs w:val="28"/>
          <w:highlight w:val="none"/>
        </w:rPr>
        <w:t xml:space="preserve">在此承诺：</w:t>
      </w:r>
      <w:r/>
    </w:p>
    <w:p>
      <w:pPr>
        <w:ind w:firstLine="480"/>
        <w:spacing w:line="360" w:lineRule="auto"/>
        <w:rPr>
          <w:rFonts w:hAnsi="宋体" w:cs="宋体"/>
          <w:bCs/>
          <w:color w:val="auto"/>
          <w:sz w:val="28"/>
          <w:szCs w:val="28"/>
          <w:highlight w:val="none"/>
        </w:rPr>
      </w:pPr>
      <w:r>
        <w:rPr>
          <w:rFonts w:hint="eastAsia" w:hAnsi="宋体" w:cs="宋体"/>
          <w:color w:val="auto"/>
          <w:sz w:val="28"/>
          <w:szCs w:val="28"/>
          <w:highlight w:val="none"/>
        </w:rPr>
        <w:t xml:space="preserve">1.本公司（单位）</w:t>
      </w:r>
      <w:r>
        <w:rPr>
          <w:rFonts w:hint="eastAsia" w:hAnsi="宋体" w:cs="宋体"/>
          <w:bCs/>
          <w:color w:val="auto"/>
          <w:sz w:val="28"/>
          <w:szCs w:val="28"/>
          <w:highlight w:val="none"/>
        </w:rPr>
        <w:t xml:space="preserve">对本项目所提供的货物均为原厂全新合格品，提供的服务符合招标文件要求。</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2.</w:t>
      </w:r>
      <w:r>
        <w:rPr>
          <w:rFonts w:hint="eastAsia" w:hAnsi="宋体" w:cs="宋体"/>
          <w:bCs/>
          <w:color w:val="auto"/>
          <w:sz w:val="28"/>
          <w:szCs w:val="28"/>
          <w:highlight w:val="none"/>
        </w:rPr>
        <w:t xml:space="preserve">本次投标没有借用别人资质，递交的投标文件内容真实、准确，没有使用虚假资质或虚假资料；</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3.</w:t>
      </w:r>
      <w:r>
        <w:rPr>
          <w:rFonts w:hint="eastAsia" w:hAnsi="宋体" w:cs="宋体"/>
          <w:bCs/>
          <w:color w:val="auto"/>
          <w:sz w:val="28"/>
          <w:szCs w:val="28"/>
          <w:highlight w:val="none"/>
        </w:rPr>
        <w:t xml:space="preserve">在投标过程中不串通投标、围标、哄抬报价，或不计成本、低价抢标等行为。</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4.</w:t>
      </w:r>
      <w:r>
        <w:rPr>
          <w:rFonts w:hint="eastAsia" w:hAnsi="宋体" w:cs="宋体"/>
          <w:bCs/>
          <w:color w:val="auto"/>
          <w:sz w:val="28"/>
          <w:szCs w:val="28"/>
          <w:highlight w:val="none"/>
        </w:rPr>
        <w:t xml:space="preserve">不使用贿赂等不正当手段。</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5.</w:t>
      </w:r>
      <w:r>
        <w:rPr>
          <w:rFonts w:hint="eastAsia" w:hAnsi="宋体" w:cs="宋体"/>
          <w:bCs/>
          <w:color w:val="auto"/>
          <w:sz w:val="28"/>
          <w:szCs w:val="28"/>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6.</w:t>
      </w:r>
      <w:r>
        <w:rPr>
          <w:rFonts w:hint="eastAsia" w:hAnsi="宋体" w:cs="宋体"/>
          <w:bCs/>
          <w:color w:val="auto"/>
          <w:sz w:val="28"/>
          <w:szCs w:val="28"/>
          <w:highlight w:val="none"/>
        </w:rPr>
        <w:t xml:space="preserve">我方本次投标提供的所有材料均为真实、有效，无虚假内容。</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lang w:eastAsia="zh-CN"/>
        </w:rPr>
        <w:t xml:space="preserve">7.</w:t>
      </w:r>
      <w:r>
        <w:rPr>
          <w:rFonts w:hint="eastAsia" w:hAnsi="宋体" w:cs="宋体"/>
          <w:bCs/>
          <w:color w:val="auto"/>
          <w:sz w:val="28"/>
          <w:szCs w:val="28"/>
          <w:highlight w:val="none"/>
        </w:rPr>
        <w:t xml:space="preserve">实事求是回答招标人提出的相关问题。</w:t>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……（投标人如有其他承诺的可在此处添加）</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如违背上述承诺，本公司（单位）将承担一切法律责任。</w:t>
      </w:r>
      <w:r/>
    </w:p>
    <w:p>
      <w:pPr>
        <w:ind w:firstLine="48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投标人名称（盖章）：</w:t>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
          <w:color w:val="auto"/>
          <w:sz w:val="28"/>
          <w:szCs w:val="28"/>
          <w:highlight w:val="none"/>
        </w:rPr>
      </w:pPr>
      <w:r>
        <w:rPr>
          <w:rFonts w:hint="eastAsia" w:hAnsi="宋体" w:cs="宋体"/>
          <w:b/>
          <w:color w:val="auto"/>
          <w:sz w:val="28"/>
          <w:szCs w:val="28"/>
          <w:highlight w:val="none"/>
        </w:rPr>
        <w:br w:type="page" w:clear="all"/>
      </w:r>
      <w:r>
        <w:rPr>
          <w:rFonts w:hint="eastAsia" w:hAnsi="宋体" w:cs="宋体"/>
          <w:b/>
          <w:color w:val="auto"/>
          <w:sz w:val="28"/>
          <w:szCs w:val="28"/>
          <w:highlight w:val="none"/>
        </w:rPr>
        <w:t xml:space="preserve">八、开标一览表（给定格式）：</w:t>
      </w:r>
      <w:r/>
    </w:p>
    <w:p>
      <w:pPr>
        <w:jc w:val="center"/>
        <w:spacing w:line="360" w:lineRule="auto"/>
        <w:rPr>
          <w:rFonts w:hAnsi="宋体" w:cs="宋体"/>
          <w:bCs/>
          <w:color w:val="auto"/>
          <w:sz w:val="28"/>
          <w:szCs w:val="28"/>
          <w:highlight w:val="none"/>
        </w:rPr>
      </w:pPr>
      <w:r/>
      <w:bookmarkStart w:id="201" w:name="_Toc120614284"/>
      <w:r>
        <w:rPr>
          <w:rFonts w:hint="eastAsia" w:hAnsi="宋体" w:cs="宋体"/>
          <w:bCs/>
          <w:color w:val="auto"/>
          <w:sz w:val="28"/>
          <w:szCs w:val="28"/>
          <w:highlight w:val="none"/>
        </w:rPr>
        <w:t xml:space="preserve">开标一览表</w:t>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项目编号：</w:t>
      </w:r>
      <w:r/>
    </w:p>
    <w:tbl>
      <w:tblPr>
        <w:tblStyle w:val="767"/>
        <w:tblW w:w="9380" w:type="dxa"/>
        <w:tblInd w:w="-20" w:type="dxa"/>
        <w:tblLayout w:type="fixed"/>
        <w:tblCellMar>
          <w:left w:w="108" w:type="dxa"/>
          <w:top w:w="0" w:type="dxa"/>
          <w:right w:w="108" w:type="dxa"/>
          <w:bottom w:w="0" w:type="dxa"/>
        </w:tblCellMar>
        <w:tblLook w:val="04A0" w:firstRow="1" w:lastRow="0" w:firstColumn="1" w:lastColumn="0" w:noHBand="0" w:noVBand="1"/>
      </w:tblPr>
      <w:tblGrid>
        <w:gridCol w:w="937"/>
        <w:gridCol w:w="3769"/>
        <w:gridCol w:w="4674"/>
      </w:tblGrid>
      <w:tr>
        <w:trPr>
          <w:trHeight w:val="816"/>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3769" w:type="dxa"/>
            <w:vAlign w:val="center"/>
            <w:textDirection w:val="lrTb"/>
            <w:noWrap w:val="false"/>
          </w:tcPr>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4674" w:type="dxa"/>
            <w:vAlign w:val="center"/>
            <w:textDirection w:val="lrTb"/>
            <w:noWrap w:val="false"/>
          </w:tcPr>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投标报价 </w:t>
            </w:r>
            <w:r/>
          </w:p>
        </w:tc>
      </w:tr>
      <w:tr>
        <w:trPr>
          <w:trHeight w:val="874"/>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3769" w:type="dxa"/>
            <w:vAlign w:val="center"/>
            <w:textDirection w:val="lrTb"/>
            <w:noWrap w:val="false"/>
          </w:tcPr>
          <w:p>
            <w:pPr>
              <w:jc w:val="cente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新吴区机场单元，硕放单元详细规划编制项目</w:t>
            </w:r>
            <w:r/>
          </w:p>
        </w:tc>
        <w:tc>
          <w:tcPr>
            <w:tcBorders>
              <w:top w:val="single" w:color="auto" w:sz="4" w:space="0"/>
              <w:left w:val="single" w:color="auto" w:sz="4" w:space="0"/>
              <w:bottom w:val="single" w:color="auto" w:sz="4" w:space="0"/>
              <w:right w:val="single" w:color="auto" w:sz="4" w:space="0"/>
            </w:tcBorders>
            <w:tcW w:w="4674" w:type="dxa"/>
            <w:vAlign w:val="center"/>
            <w:textDirection w:val="lrTb"/>
            <w:noWrap w:val="false"/>
          </w:tcPr>
          <w:p>
            <w:pP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投标总价</w:t>
            </w:r>
            <w:r/>
          </w:p>
          <w:p>
            <w:pPr>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大写：</w:t>
            </w:r>
            <w:r/>
          </w:p>
          <w:p>
            <w:pPr>
              <w:pStyle w:val="1283"/>
              <w:ind w:firstLine="0"/>
              <w:rPr>
                <w:rFonts w:hAnsi="宋体" w:cs="宋体"/>
                <w:color w:val="auto"/>
                <w:sz w:val="28"/>
                <w:szCs w:val="28"/>
                <w:highlight w:val="none"/>
              </w:rPr>
            </w:pPr>
            <w:r>
              <w:rPr>
                <w:rFonts w:hint="eastAsia" w:hAnsi="宋体" w:cs="宋体"/>
                <w:color w:val="auto"/>
                <w:sz w:val="28"/>
                <w:szCs w:val="28"/>
                <w:highlight w:val="none"/>
              </w:rPr>
              <w:t xml:space="preserve">小写：</w:t>
            </w:r>
            <w:r/>
          </w:p>
        </w:tc>
      </w:tr>
      <w:tr>
        <w:trPr>
          <w:trHeight w:val="915"/>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Ansi="宋体" w:cs="宋体"/>
                <w:color w:val="auto"/>
                <w:sz w:val="28"/>
                <w:szCs w:val="28"/>
                <w:highlight w:val="none"/>
              </w:rPr>
            </w:pPr>
            <w:r>
              <w:rPr>
                <w:rFonts w:hint="eastAsia" w:hAnsi="宋体" w:cs="宋体"/>
                <w:color w:val="auto"/>
                <w:sz w:val="28"/>
                <w:szCs w:val="28"/>
                <w:highlight w:val="none"/>
              </w:rPr>
              <w:t xml:space="preserve">服务期限： 自合同签订之日起三年。</w:t>
            </w:r>
            <w:r/>
          </w:p>
        </w:tc>
      </w:tr>
      <w:tr>
        <w:trPr>
          <w:trHeight w:val="979"/>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Ansi="宋体" w:cs="宋体"/>
                <w:bCs/>
                <w:color w:val="auto"/>
                <w:sz w:val="28"/>
                <w:szCs w:val="28"/>
                <w:highlight w:val="none"/>
              </w:rPr>
            </w:pPr>
            <w:r>
              <w:rPr>
                <w:rFonts w:hint="eastAsia" w:hAnsi="宋体" w:cs="宋体"/>
                <w:bCs/>
                <w:color w:val="auto"/>
                <w:sz w:val="28"/>
                <w:szCs w:val="28"/>
                <w:highlight w:val="none"/>
              </w:rPr>
              <w:t xml:space="preserve">服务要求：</w:t>
            </w:r>
            <w:r>
              <w:rPr>
                <w:rFonts w:hint="eastAsia" w:hAnsi="宋体" w:cs="宋体"/>
                <w:color w:val="auto"/>
                <w:sz w:val="28"/>
                <w:szCs w:val="28"/>
                <w:highlight w:val="none"/>
              </w:rPr>
              <w:t xml:space="preserve">满足采购人及相关政策文件的要求。</w:t>
            </w:r>
            <w:r>
              <w:rPr>
                <w:rFonts w:hint="eastAsia" w:hAnsi="宋体" w:cs="宋体"/>
                <w:bCs/>
                <w:color w:val="auto"/>
                <w:sz w:val="28"/>
                <w:szCs w:val="28"/>
                <w:highlight w:val="none"/>
              </w:rPr>
              <w:t xml:space="preserve"> </w:t>
            </w:r>
            <w:r/>
          </w:p>
        </w:tc>
      </w:tr>
      <w:tr>
        <w:trPr>
          <w:trHeight w:val="955"/>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Ansi="宋体" w:cs="宋体"/>
                <w:bCs/>
                <w:color w:val="auto"/>
                <w:sz w:val="28"/>
                <w:szCs w:val="28"/>
                <w:highlight w:val="none"/>
              </w:rPr>
            </w:pPr>
            <w:r>
              <w:rPr>
                <w:rFonts w:hint="eastAsia" w:hAnsi="宋体" w:cs="宋体"/>
                <w:b/>
                <w:bCs/>
                <w:color w:val="auto"/>
                <w:sz w:val="28"/>
                <w:szCs w:val="28"/>
                <w:highlight w:val="none"/>
              </w:rPr>
              <w:t xml:space="preserve">项目负责人（姓名）：                   联系电话：</w:t>
            </w:r>
            <w:r/>
          </w:p>
        </w:tc>
      </w:tr>
      <w:tr>
        <w:trPr>
          <w:trHeight w:val="853"/>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备注：本项目投标总价应包括乙方整个服务期内全部费用的报价，包含人员工资、加班费、各项福利、办公费、管理费、为本招标项目提供服务所需的仪器设备、各类耗材、公共耗能费、专家评审费、利润、税金、地形基础资料费用、本项目招标代理费等本项目招标文件规定的全部费用。除因特殊原因经双方协商同意外，乙方不得再要求追加任何费用。</w:t>
            </w:r>
            <w:r/>
          </w:p>
        </w:tc>
      </w:tr>
    </w:tbl>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投标人名称（签章）：</w:t>
      </w:r>
      <w:r/>
    </w:p>
    <w:p>
      <w:pPr>
        <w:ind w:firstLine="482"/>
        <w:spacing w:line="360" w:lineRule="auto"/>
        <w:rPr>
          <w:rFonts w:hAnsi="宋体" w:cs="宋体"/>
          <w:b/>
          <w:color w:val="auto"/>
          <w:sz w:val="28"/>
          <w:szCs w:val="28"/>
          <w:highlight w:val="none"/>
        </w:rPr>
      </w:pPr>
      <w:r/>
      <w:bookmarkStart w:id="202" w:name="_Hlk165208335"/>
      <w:r>
        <w:rPr>
          <w:rFonts w:hint="eastAsia" w:hAnsi="宋体" w:cs="宋体"/>
          <w:b/>
          <w:color w:val="auto"/>
          <w:sz w:val="28"/>
          <w:szCs w:val="28"/>
          <w:highlight w:val="none"/>
        </w:rPr>
        <w:t xml:space="preserve">填写说明：</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投标总报价应为分项报价表中的合计总价</w:t>
      </w:r>
      <w:r/>
    </w:p>
    <w:p>
      <w:pPr>
        <w:ind w:firstLine="482"/>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开标一览表中的内容应与投标函内容一致，否则评标时一律按开标一览表中内容为准，开标一览表中必须签章</w:t>
      </w:r>
      <w:bookmarkEnd w:id="202"/>
      <w:r>
        <w:rPr>
          <w:rFonts w:hint="eastAsia" w:hAnsi="宋体" w:cs="宋体"/>
          <w:b/>
          <w:color w:val="auto"/>
          <w:sz w:val="28"/>
          <w:szCs w:val="28"/>
          <w:highlight w:val="none"/>
        </w:rPr>
        <w:t xml:space="preserve">。</w:t>
      </w:r>
      <w:r/>
    </w:p>
    <w:p>
      <w:pP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九、分项报价表（给定格式）：</w:t>
      </w:r>
      <w:r/>
    </w:p>
    <w:p>
      <w:pPr>
        <w:jc w:val="center"/>
        <w:spacing w:line="360" w:lineRule="auto"/>
        <w:rPr>
          <w:rFonts w:hAnsi="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cs="宋体"/>
          <w:bCs/>
          <w:color w:val="auto"/>
          <w:sz w:val="28"/>
          <w:szCs w:val="28"/>
          <w:highlight w:val="none"/>
        </w:rPr>
        <w:t xml:space="preserve">分项报价表</w:t>
      </w:r>
      <w:r/>
    </w:p>
    <w:p>
      <w:pPr>
        <w:jc w:val="center"/>
        <w:spacing w:line="360" w:lineRule="auto"/>
        <w:rPr>
          <w:rFonts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投标人名称（签章）                                政府采购编号：</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jc w:val="center"/>
              <w:spacing w:line="360" w:lineRule="auto"/>
              <w:rPr>
                <w:rFonts w:hAnsi="宋体" w:cs="仿宋_GB2312"/>
                <w:b/>
                <w:bCs/>
                <w:color w:val="auto"/>
                <w:sz w:val="28"/>
                <w:szCs w:val="28"/>
                <w:highlight w:val="none"/>
              </w:rPr>
            </w:pPr>
            <w:r>
              <w:rPr>
                <w:rFonts w:hint="eastAsia" w:hAnsi="宋体" w:cs="仿宋_GB2312"/>
                <w:b/>
                <w:bCs/>
                <w:color w:val="auto"/>
                <w:sz w:val="28"/>
                <w:szCs w:val="28"/>
                <w:highlight w:val="none"/>
              </w:rPr>
              <w:t xml:space="preserve">序号</w:t>
            </w:r>
            <w:r/>
          </w:p>
        </w:tc>
        <w:tc>
          <w:tcPr>
            <w:tcW w:w="1695" w:type="dxa"/>
            <w:vAlign w:val="center"/>
            <w:textDirection w:val="lrTb"/>
            <w:noWrap w:val="false"/>
          </w:tcPr>
          <w:p>
            <w:pPr>
              <w:jc w:val="center"/>
              <w:spacing w:line="360" w:lineRule="auto"/>
              <w:rPr>
                <w:rFonts w:hAnsi="宋体" w:cs="仿宋_GB2312"/>
                <w:b/>
                <w:bCs/>
                <w:color w:val="auto"/>
                <w:sz w:val="28"/>
                <w:szCs w:val="28"/>
                <w:highlight w:val="none"/>
              </w:rPr>
            </w:pPr>
            <w:r>
              <w:rPr>
                <w:rFonts w:hint="eastAsia" w:hAnsi="宋体" w:cs="仿宋_GB2312"/>
                <w:b/>
                <w:bCs/>
                <w:color w:val="auto"/>
                <w:sz w:val="28"/>
                <w:szCs w:val="28"/>
                <w:highlight w:val="none"/>
              </w:rPr>
              <w:t xml:space="preserve">项目类别</w:t>
            </w:r>
            <w:r/>
          </w:p>
        </w:tc>
        <w:tc>
          <w:tcPr>
            <w:tcW w:w="2727" w:type="dxa"/>
            <w:vAlign w:val="center"/>
            <w:textDirection w:val="lrTb"/>
            <w:noWrap w:val="false"/>
          </w:tcPr>
          <w:p>
            <w:pPr>
              <w:jc w:val="center"/>
              <w:spacing w:line="360" w:lineRule="auto"/>
              <w:rPr>
                <w:rFonts w:hAnsi="宋体" w:cs="仿宋_GB2312"/>
                <w:b/>
                <w:bCs/>
                <w:color w:val="auto"/>
                <w:sz w:val="28"/>
                <w:szCs w:val="28"/>
                <w:highlight w:val="none"/>
              </w:rPr>
            </w:pPr>
            <w:r>
              <w:rPr>
                <w:rFonts w:hint="eastAsia" w:hAnsi="宋体" w:cs="仿宋_GB2312"/>
                <w:b/>
                <w:bCs/>
                <w:color w:val="auto"/>
                <w:sz w:val="28"/>
                <w:szCs w:val="28"/>
                <w:highlight w:val="none"/>
              </w:rPr>
              <w:t xml:space="preserve">项目内容</w:t>
            </w:r>
            <w:r/>
          </w:p>
        </w:tc>
        <w:tc>
          <w:tcPr>
            <w:tcW w:w="2835" w:type="dxa"/>
            <w:vAlign w:val="center"/>
            <w:textDirection w:val="lrTb"/>
            <w:noWrap w:val="false"/>
          </w:tcPr>
          <w:p>
            <w:pPr>
              <w:jc w:val="center"/>
              <w:spacing w:line="360" w:lineRule="auto"/>
              <w:rPr>
                <w:rFonts w:hAnsi="宋体" w:cs="仿宋_GB2312"/>
                <w:b/>
                <w:bCs/>
                <w:color w:val="auto"/>
                <w:sz w:val="28"/>
                <w:szCs w:val="28"/>
                <w:highlight w:val="none"/>
              </w:rPr>
            </w:pPr>
            <w:r>
              <w:rPr>
                <w:rFonts w:hint="eastAsia" w:hAnsi="宋体" w:cs="仿宋_GB2312"/>
                <w:b/>
                <w:bCs/>
                <w:color w:val="auto"/>
                <w:sz w:val="28"/>
                <w:szCs w:val="28"/>
                <w:highlight w:val="none"/>
              </w:rPr>
              <w:t xml:space="preserve">报价（元）</w:t>
            </w:r>
            <w:r/>
          </w:p>
        </w:tc>
        <w:tc>
          <w:tcPr>
            <w:tcW w:w="1843" w:type="dxa"/>
            <w:vAlign w:val="center"/>
            <w:textDirection w:val="lrTb"/>
            <w:noWrap w:val="false"/>
          </w:tcPr>
          <w:p>
            <w:pPr>
              <w:jc w:val="center"/>
              <w:spacing w:line="360" w:lineRule="auto"/>
              <w:rPr>
                <w:rFonts w:hAnsi="宋体" w:cs="仿宋_GB2312"/>
                <w:b/>
                <w:bCs/>
                <w:color w:val="auto"/>
                <w:sz w:val="28"/>
                <w:szCs w:val="28"/>
                <w:highlight w:val="none"/>
              </w:rPr>
            </w:pPr>
            <w:r>
              <w:rPr>
                <w:rFonts w:hint="eastAsia" w:hAnsi="宋体" w:cs="仿宋_GB2312"/>
                <w:b/>
                <w:bCs/>
                <w:color w:val="auto"/>
                <w:sz w:val="28"/>
                <w:szCs w:val="28"/>
                <w:highlight w:val="none"/>
              </w:rPr>
              <w:t xml:space="preserve">备注</w:t>
            </w:r>
            <w:r/>
          </w:p>
        </w:tc>
      </w:tr>
      <w:tr>
        <w:trPr/>
        <w:tc>
          <w:tcPr>
            <w:tcW w:w="789"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1</w:t>
            </w:r>
            <w:r/>
          </w:p>
        </w:tc>
        <w:tc>
          <w:tcPr>
            <w:tcW w:w="169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727" w:type="dxa"/>
            <w:vAlign w:val="center"/>
            <w:textDirection w:val="lrTb"/>
            <w:noWrap w:val="false"/>
          </w:tcPr>
          <w:p>
            <w:pP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83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1843" w:type="dxa"/>
            <w:vAlign w:val="center"/>
            <w:textDirection w:val="lrTb"/>
            <w:noWrap w:val="false"/>
          </w:tcPr>
          <w:p>
            <w:pPr>
              <w:jc w:val="left"/>
              <w:spacing w:line="360" w:lineRule="auto"/>
              <w:rPr>
                <w:rFonts w:hAnsi="宋体" w:cs="仿宋_GB2312"/>
                <w:color w:val="auto"/>
                <w:sz w:val="28"/>
                <w:szCs w:val="28"/>
                <w:highlight w:val="none"/>
              </w:rPr>
            </w:pPr>
            <w:r>
              <w:rPr>
                <w:rFonts w:hAnsi="宋体" w:cs="仿宋_GB2312"/>
                <w:color w:val="auto"/>
                <w:sz w:val="28"/>
                <w:szCs w:val="28"/>
                <w:highlight w:val="none"/>
              </w:rPr>
            </w:r>
            <w:r/>
          </w:p>
        </w:tc>
      </w:tr>
      <w:tr>
        <w:trPr>
          <w:trHeight w:val="90"/>
        </w:trPr>
        <w:tc>
          <w:tcPr>
            <w:tcW w:w="789"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2</w:t>
            </w:r>
            <w:r/>
          </w:p>
        </w:tc>
        <w:tc>
          <w:tcPr>
            <w:tcW w:w="169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727" w:type="dxa"/>
            <w:vAlign w:val="center"/>
            <w:textDirection w:val="lrTb"/>
            <w:noWrap w:val="false"/>
          </w:tcPr>
          <w:p>
            <w:pP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83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1843" w:type="dxa"/>
            <w:vAlign w:val="center"/>
            <w:textDirection w:val="lrTb"/>
            <w:noWrap w:val="false"/>
          </w:tcPr>
          <w:p>
            <w:pPr>
              <w:jc w:val="left"/>
              <w:spacing w:line="360" w:lineRule="auto"/>
              <w:rPr>
                <w:rFonts w:hAnsi="宋体" w:cs="仿宋_GB2312"/>
                <w:color w:val="auto"/>
                <w:sz w:val="28"/>
                <w:szCs w:val="28"/>
                <w:highlight w:val="none"/>
              </w:rPr>
            </w:pPr>
            <w:r>
              <w:rPr>
                <w:rFonts w:hAnsi="宋体" w:cs="仿宋_GB2312"/>
                <w:color w:val="auto"/>
                <w:sz w:val="28"/>
                <w:szCs w:val="28"/>
                <w:highlight w:val="none"/>
              </w:rPr>
            </w:r>
            <w:r/>
          </w:p>
        </w:tc>
      </w:tr>
      <w:tr>
        <w:trPr/>
        <w:tc>
          <w:tcPr>
            <w:tcW w:w="789"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3</w:t>
            </w:r>
            <w:r/>
          </w:p>
        </w:tc>
        <w:tc>
          <w:tcPr>
            <w:tcW w:w="169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727" w:type="dxa"/>
            <w:vAlign w:val="center"/>
            <w:textDirection w:val="lrTb"/>
            <w:noWrap w:val="false"/>
          </w:tcPr>
          <w:p>
            <w:pP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2835"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c>
          <w:tcPr>
            <w:tcW w:w="1843" w:type="dxa"/>
            <w:vAlign w:val="center"/>
            <w:textDirection w:val="lrTb"/>
            <w:noWrap w:val="false"/>
          </w:tcPr>
          <w:p>
            <w:pPr>
              <w:jc w:val="center"/>
              <w:spacing w:line="360" w:lineRule="auto"/>
              <w:rPr>
                <w:rFonts w:hAnsi="宋体" w:cs="仿宋_GB2312"/>
                <w:color w:val="auto"/>
                <w:sz w:val="28"/>
                <w:szCs w:val="28"/>
                <w:highlight w:val="none"/>
              </w:rPr>
            </w:pPr>
            <w:r>
              <w:rPr>
                <w:rFonts w:hAnsi="宋体" w:cs="仿宋_GB2312"/>
                <w:color w:val="auto"/>
                <w:sz w:val="28"/>
                <w:szCs w:val="28"/>
                <w:highlight w:val="none"/>
              </w:rPr>
            </w:r>
            <w:r/>
          </w:p>
        </w:tc>
      </w:tr>
      <w:tr>
        <w:trPr/>
        <w:tc>
          <w:tcPr>
            <w:tcW w:w="789"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w:t>
            </w:r>
            <w:r/>
          </w:p>
        </w:tc>
        <w:tc>
          <w:tcPr>
            <w:tcW w:w="1695"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w:t>
            </w:r>
            <w:r/>
          </w:p>
        </w:tc>
        <w:tc>
          <w:tcPr>
            <w:tcW w:w="2727" w:type="dxa"/>
            <w:vAlign w:val="center"/>
            <w:textDirection w:val="lrTb"/>
            <w:noWrap w:val="false"/>
          </w:tcPr>
          <w:p>
            <w:pP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w:t>
            </w:r>
            <w:r/>
          </w:p>
        </w:tc>
        <w:tc>
          <w:tcPr>
            <w:tcW w:w="2835"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w:t>
            </w:r>
            <w:r/>
          </w:p>
        </w:tc>
        <w:tc>
          <w:tcPr>
            <w:tcW w:w="1843"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w:t>
            </w:r>
            <w:r/>
          </w:p>
        </w:tc>
      </w:tr>
      <w:tr>
        <w:trPr/>
        <w:tc>
          <w:tcPr>
            <w:gridSpan w:val="3"/>
            <w:tcW w:w="5211" w:type="dxa"/>
            <w:vAlign w:val="center"/>
            <w:textDirection w:val="lrTb"/>
            <w:noWrap w:val="false"/>
          </w:tcPr>
          <w:p>
            <w:pPr>
              <w:jc w:val="center"/>
              <w:spacing w:line="360" w:lineRule="auto"/>
              <w:rPr>
                <w:rFonts w:hAnsi="宋体" w:cs="仿宋_GB2312"/>
                <w:b/>
                <w:color w:val="auto"/>
                <w:sz w:val="28"/>
                <w:szCs w:val="28"/>
                <w:highlight w:val="none"/>
              </w:rPr>
            </w:pPr>
            <w:r>
              <w:rPr>
                <w:rFonts w:hint="eastAsia" w:hAnsi="宋体" w:cs="仿宋_GB2312"/>
                <w:b/>
                <w:color w:val="auto"/>
                <w:sz w:val="28"/>
                <w:szCs w:val="28"/>
                <w:highlight w:val="none"/>
              </w:rPr>
              <w:t xml:space="preserve">合计</w:t>
            </w:r>
            <w:r/>
          </w:p>
        </w:tc>
        <w:tc>
          <w:tcPr>
            <w:gridSpan w:val="2"/>
            <w:tcW w:w="4678" w:type="dxa"/>
            <w:vAlign w:val="center"/>
            <w:textDirection w:val="lrTb"/>
            <w:noWrap w:val="false"/>
          </w:tcPr>
          <w:p>
            <w:pPr>
              <w:jc w:val="center"/>
              <w:spacing w:line="360" w:lineRule="auto"/>
              <w:rPr>
                <w:rFonts w:hAnsi="宋体" w:cs="仿宋_GB2312"/>
                <w:color w:val="auto"/>
                <w:sz w:val="28"/>
                <w:szCs w:val="28"/>
                <w:highlight w:val="none"/>
              </w:rPr>
            </w:pPr>
            <w:r>
              <w:rPr>
                <w:rFonts w:hint="eastAsia" w:hAnsi="宋体" w:cs="仿宋_GB2312"/>
                <w:color w:val="auto"/>
                <w:sz w:val="28"/>
                <w:szCs w:val="28"/>
                <w:highlight w:val="none"/>
              </w:rPr>
              <w:t xml:space="preserve">   </w:t>
            </w:r>
            <w:r/>
          </w:p>
        </w:tc>
      </w:tr>
    </w:tbl>
    <w:p>
      <w:pPr>
        <w:spacing w:line="360" w:lineRule="auto"/>
        <w:rPr>
          <w:rFonts w:hAnsi="宋体"/>
          <w:color w:val="auto"/>
          <w:sz w:val="28"/>
          <w:szCs w:val="28"/>
          <w:highlight w:val="none"/>
        </w:rPr>
      </w:pPr>
      <w:r>
        <w:rPr>
          <w:rFonts w:hint="eastAsia" w:hAnsi="宋体" w:cs="仿宋_GB2312"/>
          <w:color w:val="auto"/>
          <w:sz w:val="28"/>
          <w:szCs w:val="28"/>
          <w:highlight w:val="none"/>
        </w:rPr>
        <w:t xml:space="preserve">注：由投标供应商自行列明报价项目类别和项目内容及报价</w:t>
      </w:r>
      <w:r/>
    </w:p>
    <w:p>
      <w:pPr>
        <w:spacing w:line="360" w:lineRule="auto"/>
        <w:rPr>
          <w:rFonts w:hAnsi="宋体"/>
          <w:color w:val="auto"/>
          <w:sz w:val="28"/>
          <w:szCs w:val="28"/>
          <w:highlight w:val="none"/>
        </w:rPr>
      </w:pPr>
      <w:r>
        <w:rPr>
          <w:rFonts w:hint="eastAsia" w:hAnsi="宋体"/>
          <w:color w:val="auto"/>
          <w:sz w:val="28"/>
          <w:szCs w:val="28"/>
          <w:highlight w:val="none"/>
        </w:rPr>
        <w:t xml:space="preserve">投标供应商（公章）：                      </w:t>
      </w:r>
      <w:r/>
    </w:p>
    <w:p>
      <w:pPr>
        <w:spacing w:line="360" w:lineRule="auto"/>
        <w:rPr>
          <w:rFonts w:hAnsi="宋体"/>
          <w:color w:val="auto"/>
          <w:sz w:val="28"/>
          <w:szCs w:val="28"/>
          <w:highlight w:val="none"/>
        </w:rPr>
      </w:pPr>
      <w:r>
        <w:rPr>
          <w:rFonts w:hint="eastAsia" w:hAnsi="宋体"/>
          <w:color w:val="auto"/>
          <w:sz w:val="28"/>
          <w:szCs w:val="28"/>
          <w:highlight w:val="none"/>
        </w:rPr>
        <w:t xml:space="preserve">法定代表人或授权委托人（签字或盖章）：             </w:t>
      </w:r>
      <w:r/>
    </w:p>
    <w:p>
      <w:pPr>
        <w:spacing w:line="360" w:lineRule="auto"/>
        <w:rPr>
          <w:rFonts w:hAnsi="宋体"/>
          <w:color w:val="auto"/>
          <w:sz w:val="28"/>
          <w:szCs w:val="28"/>
          <w:highlight w:val="none"/>
        </w:rPr>
      </w:pPr>
      <w:r>
        <w:rPr>
          <w:rFonts w:hint="eastAsia" w:hAnsi="宋体"/>
          <w:color w:val="auto"/>
          <w:sz w:val="28"/>
          <w:szCs w:val="28"/>
          <w:highlight w:val="none"/>
        </w:rPr>
        <w:t xml:space="preserve">日期： </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年 </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月</w:t>
      </w:r>
      <w:r>
        <w:rPr>
          <w:rFonts w:hint="eastAsia" w:hAnsi="宋体"/>
          <w:color w:val="auto"/>
          <w:sz w:val="28"/>
          <w:szCs w:val="28"/>
          <w:highlight w:val="none"/>
          <w:u w:val="single"/>
        </w:rPr>
        <w:t xml:space="preserve">    </w:t>
      </w:r>
      <w:r>
        <w:rPr>
          <w:rFonts w:hint="eastAsia" w:hAnsi="宋体"/>
          <w:color w:val="auto"/>
          <w:sz w:val="28"/>
          <w:szCs w:val="28"/>
          <w:highlight w:val="none"/>
        </w:rPr>
        <w:t xml:space="preserve"> 日</w:t>
      </w:r>
      <w:r/>
    </w:p>
    <w:p>
      <w:pPr>
        <w:spacing w:before="5" w:line="360" w:lineRule="auto"/>
        <w:rPr>
          <w:rFonts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Ansi="宋体" w:cs="宋体"/>
          <w:b/>
          <w:color w:val="auto"/>
          <w:sz w:val="28"/>
          <w:szCs w:val="28"/>
          <w:highlight w:val="none"/>
        </w:rPr>
      </w:r>
      <w:r/>
    </w:p>
    <w:p>
      <w:pPr>
        <w:spacing w:line="360" w:lineRule="auto"/>
        <w:rPr>
          <w:rFonts w:hAnsi="宋体" w:cs="宋体"/>
          <w:b/>
          <w:color w:val="auto"/>
          <w:sz w:val="28"/>
          <w:szCs w:val="28"/>
          <w:highlight w:val="none"/>
        </w:rPr>
      </w:pPr>
      <w:r>
        <w:rPr>
          <w:rFonts w:hint="eastAsia" w:hAnsi="宋体" w:cs="宋体"/>
          <w:b/>
          <w:color w:val="auto"/>
          <w:sz w:val="28"/>
          <w:szCs w:val="28"/>
          <w:highlight w:val="none"/>
        </w:rPr>
        <w:br w:type="page" w:clear="all"/>
      </w:r>
      <w:r>
        <w:rPr>
          <w:rFonts w:hint="eastAsia" w:hAnsi="宋体" w:cs="宋体"/>
          <w:b/>
          <w:color w:val="auto"/>
          <w:sz w:val="28"/>
          <w:szCs w:val="28"/>
          <w:highlight w:val="none"/>
        </w:rPr>
        <w:t xml:space="preserve">十、投标偏离表（给定格式）：</w:t>
      </w:r>
      <w:r/>
    </w:p>
    <w:p>
      <w:pPr>
        <w:ind w:firstLine="490"/>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90"/>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投标偏离表</w:t>
      </w:r>
      <w:r/>
    </w:p>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项目编号：</w:t>
      </w:r>
      <w:r/>
    </w:p>
    <w:tbl>
      <w:tblPr>
        <w:tblStyle w:val="76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Ansi="宋体" w:cs="宋体"/>
                <w:b/>
                <w:bCs/>
                <w:color w:val="auto"/>
                <w:sz w:val="28"/>
                <w:szCs w:val="28"/>
                <w:highlight w:val="none"/>
              </w:rPr>
            </w:pPr>
            <w:r>
              <w:rPr>
                <w:rFonts w:hint="eastAsia" w:hAnsi="宋体" w:cs="宋体"/>
                <w:b/>
                <w:bCs/>
                <w:color w:val="auto"/>
                <w:sz w:val="28"/>
                <w:szCs w:val="28"/>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tc>
      </w:tr>
    </w:tbl>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
          <w:color w:val="auto"/>
          <w:sz w:val="28"/>
          <w:szCs w:val="28"/>
          <w:highlight w:val="none"/>
        </w:rPr>
      </w:pPr>
      <w:r>
        <w:rPr>
          <w:rFonts w:hint="eastAsia" w:hAnsi="宋体" w:cs="宋体"/>
          <w:bCs/>
          <w:color w:val="auto"/>
          <w:sz w:val="28"/>
          <w:szCs w:val="28"/>
          <w:highlight w:val="none"/>
        </w:rPr>
        <w:t xml:space="preserve">投标人名称（签章）：</w:t>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注：（1）本表不得删除；</w:t>
      </w:r>
      <w:r/>
    </w:p>
    <w:p>
      <w:pPr>
        <w:ind w:firstLine="42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（2）如无任何技术偏离，请于本表 “偏离说明”中注明“无偏离”；</w:t>
      </w:r>
      <w:r/>
    </w:p>
    <w:p>
      <w:pPr>
        <w:ind w:firstLine="42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   （3）如有技术偏离项，请于本表中列明偏离内容，如需要可自行延长，其余无偏离内容不须赘述</w:t>
      </w:r>
      <w:bookmarkEnd w:id="201"/>
      <w:r/>
      <w:bookmarkStart w:id="203" w:name="_Hlt26955066"/>
      <w:r/>
      <w:bookmarkEnd w:id="203"/>
      <w:r/>
      <w:bookmarkStart w:id="204" w:name="_Hlt26671374"/>
      <w:r/>
      <w:bookmarkEnd w:id="204"/>
      <w:r/>
      <w:bookmarkStart w:id="205" w:name="_Hlt26609389"/>
      <w:r/>
      <w:bookmarkEnd w:id="205"/>
      <w:r/>
      <w:bookmarkStart w:id="206" w:name="_格式2__法定代表人授权书"/>
      <w:r/>
      <w:bookmarkEnd w:id="206"/>
      <w:r>
        <w:rPr>
          <w:rFonts w:hint="eastAsia" w:hAnsi="宋体" w:cs="宋体"/>
          <w:bCs/>
          <w:color w:val="auto"/>
          <w:sz w:val="28"/>
          <w:szCs w:val="28"/>
          <w:highlight w:val="none"/>
        </w:rPr>
        <w:t xml:space="preserve">。</w:t>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color w:val="auto"/>
          <w:sz w:val="28"/>
          <w:szCs w:val="28"/>
          <w:highlight w:val="none"/>
        </w:rPr>
      </w:pPr>
      <w:r>
        <w:rPr>
          <w:rFonts w:hAnsi="宋体" w:cs="宋体"/>
          <w:color w:val="auto"/>
          <w:sz w:val="28"/>
          <w:szCs w:val="28"/>
          <w:highlight w:val="none"/>
        </w:rPr>
      </w:r>
      <w:r/>
    </w:p>
    <w:p>
      <w:pP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 xml:space="preserve">十一、项目人员配置表（格式）</w:t>
      </w:r>
      <w:r/>
    </w:p>
    <w:p>
      <w:pPr>
        <w:ind w:firstLine="42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90"/>
        <w:jc w:val="cente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项目人员配置表</w:t>
      </w:r>
      <w:r/>
    </w:p>
    <w:p>
      <w:pPr>
        <w:jc w:val="center"/>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48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项目编号：</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061"/>
        <w:gridCol w:w="729"/>
        <w:gridCol w:w="696"/>
        <w:gridCol w:w="813"/>
        <w:gridCol w:w="1228"/>
        <w:gridCol w:w="1236"/>
        <w:gridCol w:w="1768"/>
        <w:gridCol w:w="962"/>
      </w:tblGrid>
      <w:tr>
        <w:trPr>
          <w:jc w:val="center"/>
          <w:trHeight w:val="865"/>
        </w:trPr>
        <w:tc>
          <w:tcPr>
            <w:tcW w:w="766"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序号</w:t>
            </w:r>
            <w:r/>
          </w:p>
        </w:tc>
        <w:tc>
          <w:tcPr>
            <w:tcW w:w="1098"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姓名</w:t>
            </w:r>
            <w:r/>
          </w:p>
        </w:tc>
        <w:tc>
          <w:tcPr>
            <w:tcW w:w="744"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性别</w:t>
            </w:r>
            <w:r/>
          </w:p>
        </w:tc>
        <w:tc>
          <w:tcPr>
            <w:tcW w:w="709"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年龄</w:t>
            </w:r>
            <w:r/>
          </w:p>
        </w:tc>
        <w:tc>
          <w:tcPr>
            <w:tcW w:w="834"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学历</w:t>
            </w:r>
            <w:r/>
          </w:p>
        </w:tc>
        <w:tc>
          <w:tcPr>
            <w:tcW w:w="1276"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岗位职责</w:t>
            </w:r>
            <w:r/>
          </w:p>
        </w:tc>
        <w:tc>
          <w:tcPr>
            <w:tcW w:w="1285"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人员证书名称</w:t>
            </w:r>
            <w:r/>
          </w:p>
        </w:tc>
        <w:tc>
          <w:tcPr>
            <w:tcW w:w="1833"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人员经验描述（如有要求）</w:t>
            </w:r>
            <w:r/>
          </w:p>
        </w:tc>
        <w:tc>
          <w:tcPr>
            <w:tcW w:w="992" w:type="dxa"/>
            <w:vAlign w:val="center"/>
            <w:textDirection w:val="lrTb"/>
            <w:noWrap w:val="false"/>
          </w:tcPr>
          <w:p>
            <w:pPr>
              <w:jc w:val="cente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备注</w:t>
            </w:r>
            <w:r/>
          </w:p>
        </w:tc>
      </w:tr>
      <w:tr>
        <w:trPr>
          <w:jc w:val="center"/>
          <w:trHeight w:val="680"/>
        </w:trPr>
        <w:tc>
          <w:tcPr>
            <w:tcW w:w="766"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098"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4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09"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83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76"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85"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833"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992"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098"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4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09"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83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76"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85"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833"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992"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098"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4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09"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83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76" w:type="dxa"/>
            <w:vAlign w:val="center"/>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85"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833"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992"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098"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4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09"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83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76"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85"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833"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992"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r>
      <w:tr>
        <w:trPr>
          <w:jc w:val="center"/>
          <w:trHeight w:val="680"/>
        </w:trPr>
        <w:tc>
          <w:tcPr>
            <w:tcW w:w="766"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098" w:type="dxa"/>
            <w:textDirection w:val="lrTb"/>
            <w:noWrap w:val="false"/>
          </w:tcPr>
          <w:p>
            <w:pP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4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709"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834"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76"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285"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1833"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c>
          <w:tcPr>
            <w:tcW w:w="992" w:type="dxa"/>
            <w:vAlign w:val="center"/>
            <w:textDirection w:val="lrTb"/>
            <w:noWrap w:val="false"/>
          </w:tcPr>
          <w:p>
            <w:pPr>
              <w:jc w:val="center"/>
              <w:spacing w:line="360" w:lineRule="auto"/>
              <w:rPr>
                <w:rFonts w:hAnsi="宋体" w:cs="宋体"/>
                <w:bCs/>
                <w:color w:val="auto"/>
                <w:sz w:val="28"/>
                <w:szCs w:val="28"/>
                <w:highlight w:val="none"/>
              </w:rPr>
              <w:outlineLvl w:val="0"/>
            </w:pPr>
            <w:r>
              <w:rPr>
                <w:rFonts w:hAnsi="宋体" w:cs="宋体"/>
                <w:bCs/>
                <w:color w:val="auto"/>
                <w:sz w:val="28"/>
                <w:szCs w:val="28"/>
                <w:highlight w:val="none"/>
              </w:rPr>
            </w:r>
            <w:r/>
          </w:p>
        </w:tc>
      </w:tr>
    </w:tbl>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投标人名称（签章）：</w:t>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Ansi="宋体" w:cs="宋体"/>
          <w:bCs/>
          <w:color w:val="auto"/>
          <w:sz w:val="28"/>
          <w:szCs w:val="28"/>
          <w:highlight w:val="none"/>
        </w:rPr>
      </w:r>
      <w:r/>
    </w:p>
    <w:p>
      <w:pPr>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注：1. 本表对应项目人员配置情况，表格不够可自行延长。</w:t>
      </w:r>
      <w:r/>
    </w:p>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细黑">
    <w:panose1 w:val="02010600040101010101"/>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165" cy="42799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4464" cy="428227"/>
                      </a:xfrm>
                      <a:prstGeom prst="rect">
                        <a:avLst/>
                      </a:prstGeom>
                      <a:noFill/>
                      <a:ln>
                        <a:noFill/>
                      </a:ln>
                      <a:effectLst/>
                    </wps:spPr>
                    <wps:txbx>
                      <w:txbxContent>
                        <w:p>
                          <w:pPr>
                            <w:pStyle w:val="100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55</w:t>
                          </w:r>
                          <w:r>
                            <w:fldChar w:fldCharType="end"/>
                          </w:r>
                          <w:r/>
                        </w:p>
                        <w:p>
                          <w:r/>
                          <w:r/>
                        </w:p>
                      </w:txbxContent>
                    </wps:txbx>
                    <wps:bodyPr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9pt;height:33.7pt;mso-wrap-distance-left:9.0pt;mso-wrap-distance-top:0.0pt;mso-wrap-distance-right:9.0pt;mso-wrap-distance-bottom:0.0pt;v-text-anchor:top;visibility:visible;" filled="f" stroked="f">
              <v:textbox inset="0,0,0,0">
                <w:txbxContent>
                  <w:p>
                    <w:pPr>
                      <w:pStyle w:val="100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55</w:t>
                    </w:r>
                    <w:r>
                      <w:fldChar w:fldCharType="end"/>
                    </w:r>
                    <w:r/>
                  </w:p>
                  <w:p>
                    <w:r/>
                    <w:r/>
                  </w:p>
                </w:txbxContent>
              </v:textbox>
            </v:shape>
          </w:pict>
        </mc:Fallback>
      </mc:AlternateContent>
    </w:r>
    <w:r/>
  </w:p>
  <w:p>
    <w:pPr>
      <w:pStyle w:val="10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0"/>
      <w:numFmt w:val="none"/>
      <w:pStyle w:val="783"/>
      <w:isLgl w:val="false"/>
      <w:suff w:val="tab"/>
      <w:lvlText w:val=""/>
      <w:lvlJc w:val="left"/>
      <w:pPr>
        <w:tabs>
          <w:tab w:val="left" w:pos="360" w:leader="none"/>
        </w:tabs>
      </w:pPr>
    </w:lvl>
    <w:lvl w:ilvl="1">
      <w:start w:val="1"/>
      <w:numFmt w:val="decimal"/>
      <w:pStyle w:val="945"/>
      <w:isLgl w:val="false"/>
      <w:suff w:val="tab"/>
      <w:lvlText w:val="%1.%2"/>
      <w:lvlJc w:val="left"/>
      <w:pPr>
        <w:ind w:left="567" w:hanging="567"/>
        <w:tabs>
          <w:tab w:val="left" w:pos="567" w:leader="none"/>
        </w:tabs>
      </w:pPr>
      <w:rPr>
        <w:rFonts w:hint="eastAsia"/>
      </w:rPr>
    </w:lvl>
    <w:lvl w:ilvl="2">
      <w:start w:val="1"/>
      <w:numFmt w:val="decimal"/>
      <w:pStyle w:val="1180"/>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48"/>
      <w:isLgl w:val="false"/>
      <w:suff w:val="tab"/>
      <w:lvlText w:val="%1.%2.%3.%4.%5"/>
      <w:lvlJc w:val="left"/>
      <w:pPr>
        <w:ind w:left="992" w:hanging="992"/>
        <w:tabs>
          <w:tab w:val="left" w:pos="1080" w:leader="none"/>
        </w:tabs>
      </w:pPr>
      <w:rPr>
        <w:rFonts w:hint="eastAsia"/>
      </w:rPr>
    </w:lvl>
    <w:lvl w:ilvl="5">
      <w:start w:val="1"/>
      <w:numFmt w:val="decimal"/>
      <w:pStyle w:val="94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2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68"/>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101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1"/>
      <w:numFmt w:val="bullet"/>
      <w:pStyle w:val="1279"/>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0"/>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6"/>
    <w:link w:val="757"/>
    <w:uiPriority w:val="9"/>
    <w:rPr>
      <w:rFonts w:ascii="Arial" w:hAnsi="Arial" w:eastAsia="Arial" w:cs="Arial"/>
      <w:sz w:val="40"/>
      <w:szCs w:val="40"/>
    </w:rPr>
  </w:style>
  <w:style w:type="character" w:styleId="720">
    <w:name w:val="Heading 2 Char"/>
    <w:basedOn w:val="766"/>
    <w:link w:val="758"/>
    <w:uiPriority w:val="9"/>
    <w:rPr>
      <w:rFonts w:ascii="Arial" w:hAnsi="Arial" w:eastAsia="Arial" w:cs="Arial"/>
      <w:sz w:val="34"/>
    </w:rPr>
  </w:style>
  <w:style w:type="character" w:styleId="721">
    <w:name w:val="Heading 3 Char"/>
    <w:basedOn w:val="766"/>
    <w:link w:val="759"/>
    <w:uiPriority w:val="9"/>
    <w:rPr>
      <w:rFonts w:ascii="Arial" w:hAnsi="Arial" w:eastAsia="Arial" w:cs="Arial"/>
      <w:sz w:val="30"/>
      <w:szCs w:val="30"/>
    </w:rPr>
  </w:style>
  <w:style w:type="character" w:styleId="722">
    <w:name w:val="Heading 4 Char"/>
    <w:basedOn w:val="766"/>
    <w:link w:val="760"/>
    <w:uiPriority w:val="9"/>
    <w:rPr>
      <w:rFonts w:ascii="Arial" w:hAnsi="Arial" w:eastAsia="Arial" w:cs="Arial"/>
      <w:b/>
      <w:bCs/>
      <w:sz w:val="26"/>
      <w:szCs w:val="26"/>
    </w:rPr>
  </w:style>
  <w:style w:type="character" w:styleId="723">
    <w:name w:val="Heading 5 Char"/>
    <w:basedOn w:val="766"/>
    <w:link w:val="761"/>
    <w:uiPriority w:val="9"/>
    <w:rPr>
      <w:rFonts w:ascii="Arial" w:hAnsi="Arial" w:eastAsia="Arial" w:cs="Arial"/>
      <w:b/>
      <w:bCs/>
      <w:sz w:val="24"/>
      <w:szCs w:val="24"/>
    </w:rPr>
  </w:style>
  <w:style w:type="character" w:styleId="724">
    <w:name w:val="Heading 6 Char"/>
    <w:basedOn w:val="766"/>
    <w:link w:val="762"/>
    <w:uiPriority w:val="9"/>
    <w:rPr>
      <w:rFonts w:ascii="Arial" w:hAnsi="Arial" w:eastAsia="Arial" w:cs="Arial"/>
      <w:b/>
      <w:bCs/>
      <w:sz w:val="22"/>
      <w:szCs w:val="22"/>
    </w:rPr>
  </w:style>
  <w:style w:type="character" w:styleId="725">
    <w:name w:val="Heading 7 Char"/>
    <w:basedOn w:val="766"/>
    <w:link w:val="763"/>
    <w:uiPriority w:val="9"/>
    <w:rPr>
      <w:rFonts w:ascii="Arial" w:hAnsi="Arial" w:eastAsia="Arial" w:cs="Arial"/>
      <w:b/>
      <w:bCs/>
      <w:i/>
      <w:iCs/>
      <w:sz w:val="22"/>
      <w:szCs w:val="22"/>
    </w:rPr>
  </w:style>
  <w:style w:type="character" w:styleId="726">
    <w:name w:val="Heading 8 Char"/>
    <w:basedOn w:val="766"/>
    <w:link w:val="764"/>
    <w:uiPriority w:val="9"/>
    <w:rPr>
      <w:rFonts w:ascii="Arial" w:hAnsi="Arial" w:eastAsia="Arial" w:cs="Arial"/>
      <w:i/>
      <w:iCs/>
      <w:sz w:val="22"/>
      <w:szCs w:val="22"/>
    </w:rPr>
  </w:style>
  <w:style w:type="character" w:styleId="727">
    <w:name w:val="Heading 9 Char"/>
    <w:basedOn w:val="766"/>
    <w:link w:val="765"/>
    <w:uiPriority w:val="9"/>
    <w:rPr>
      <w:rFonts w:ascii="Arial" w:hAnsi="Arial" w:eastAsia="Arial" w:cs="Arial"/>
      <w:i/>
      <w:iCs/>
      <w:sz w:val="21"/>
      <w:szCs w:val="21"/>
    </w:rPr>
  </w:style>
  <w:style w:type="character" w:styleId="728">
    <w:name w:val="Title Char"/>
    <w:basedOn w:val="766"/>
    <w:link w:val="790"/>
    <w:uiPriority w:val="10"/>
    <w:rPr>
      <w:sz w:val="48"/>
      <w:szCs w:val="48"/>
    </w:rPr>
  </w:style>
  <w:style w:type="character" w:styleId="729">
    <w:name w:val="Subtitle Char"/>
    <w:basedOn w:val="766"/>
    <w:link w:val="782"/>
    <w:uiPriority w:val="11"/>
    <w:rPr>
      <w:sz w:val="24"/>
      <w:szCs w:val="24"/>
    </w:rPr>
  </w:style>
  <w:style w:type="character" w:styleId="730">
    <w:name w:val="Quote Char"/>
    <w:link w:val="809"/>
    <w:uiPriority w:val="29"/>
    <w:rPr>
      <w:i/>
    </w:rPr>
  </w:style>
  <w:style w:type="character" w:styleId="731">
    <w:name w:val="Intense Quote Char"/>
    <w:link w:val="811"/>
    <w:uiPriority w:val="30"/>
    <w:rPr>
      <w:i/>
    </w:rPr>
  </w:style>
  <w:style w:type="character" w:styleId="732">
    <w:name w:val="Header Char"/>
    <w:basedOn w:val="766"/>
    <w:link w:val="779"/>
    <w:uiPriority w:val="99"/>
  </w:style>
  <w:style w:type="character" w:styleId="733">
    <w:name w:val="Caption Char"/>
    <w:basedOn w:val="770"/>
    <w:link w:val="778"/>
    <w:uiPriority w:val="99"/>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4"/>
    <w:uiPriority w:val="99"/>
    <w:rPr>
      <w:sz w:val="18"/>
    </w:rPr>
  </w:style>
  <w:style w:type="character" w:styleId="754">
    <w:name w:val="Endnote Text Char"/>
    <w:link w:val="777"/>
    <w:uiPriority w:val="99"/>
    <w:rPr>
      <w:sz w:val="20"/>
    </w:rPr>
  </w:style>
  <w:style w:type="paragraph" w:styleId="755">
    <w:name w:val="TOC Heading"/>
    <w:uiPriority w:val="39"/>
    <w:unhideWhenUsed/>
  </w:style>
  <w:style w:type="paragraph" w:styleId="756" w:default="1">
    <w:name w:val="Normal"/>
    <w:next w:val="768"/>
    <w:uiPriority w:val="0"/>
    <w:qFormat/>
    <w:pPr>
      <w:jc w:val="both"/>
      <w:widowControl w:val="off"/>
    </w:pPr>
    <w:rPr>
      <w:rFonts w:ascii="宋体" w:hAnsi="Times New Roman" w:eastAsia="宋体" w:cs="Times New Roman"/>
      <w:sz w:val="34"/>
      <w:lang w:val="en-US" w:eastAsia="zh-CN" w:bidi="ar-SA"/>
    </w:rPr>
  </w:style>
  <w:style w:type="paragraph" w:styleId="757">
    <w:name w:val="Heading 1"/>
    <w:basedOn w:val="756"/>
    <w:next w:val="756"/>
    <w:link w:val="797"/>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8"/>
    <w:uiPriority w:val="9"/>
    <w:unhideWhenUsed/>
    <w:qFormat/>
    <w:pPr>
      <w:keepLines/>
      <w:keepNext/>
      <w:spacing w:before="360" w:after="200"/>
      <w:outlineLvl w:val="1"/>
    </w:pPr>
    <w:rPr>
      <w:rFonts w:ascii="Arial" w:hAnsi="Arial" w:eastAsia="Arial" w:cs="Arial"/>
    </w:rPr>
  </w:style>
  <w:style w:type="paragraph" w:styleId="759">
    <w:name w:val="Heading 3"/>
    <w:basedOn w:val="756"/>
    <w:next w:val="756"/>
    <w:link w:val="799"/>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00"/>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01"/>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02"/>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4"/>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5"/>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Body Text"/>
    <w:basedOn w:val="756"/>
    <w:next w:val="756"/>
    <w:uiPriority w:val="0"/>
    <w:qFormat/>
    <w:rPr>
      <w:rFonts w:ascii="仿宋_GB2312" w:eastAsia="仿宋_GB2312"/>
      <w:sz w:val="28"/>
    </w:rPr>
  </w:style>
  <w:style w:type="paragraph" w:styleId="769">
    <w:name w:val="toc 7"/>
    <w:basedOn w:val="756"/>
    <w:next w:val="756"/>
    <w:uiPriority w:val="39"/>
    <w:unhideWhenUsed/>
    <w:qFormat/>
    <w:pPr>
      <w:ind w:left="1701"/>
      <w:spacing w:after="57"/>
    </w:pPr>
  </w:style>
  <w:style w:type="paragraph" w:styleId="770">
    <w:name w:val="Caption"/>
    <w:basedOn w:val="756"/>
    <w:next w:val="756"/>
    <w:uiPriority w:val="35"/>
    <w:semiHidden/>
    <w:unhideWhenUsed/>
    <w:qFormat/>
    <w:pPr>
      <w:spacing w:line="276" w:lineRule="auto"/>
    </w:pPr>
    <w:rPr>
      <w:b/>
      <w:bCs/>
      <w:color w:val="4f81bd"/>
      <w:sz w:val="18"/>
      <w:szCs w:val="18"/>
    </w:rPr>
  </w:style>
  <w:style w:type="paragraph" w:styleId="771">
    <w:name w:val="toa heading"/>
    <w:basedOn w:val="756"/>
    <w:next w:val="756"/>
    <w:uiPriority w:val="99"/>
    <w:unhideWhenUsed/>
    <w:qFormat/>
    <w:pPr>
      <w:spacing w:before="120"/>
    </w:pPr>
    <w:rPr>
      <w:rFonts w:ascii="Cambria" w:hAnsi="Cambria"/>
      <w:sz w:val="24"/>
      <w:szCs w:val="24"/>
    </w:rPr>
  </w:style>
  <w:style w:type="paragraph" w:styleId="772">
    <w:name w:val="annotation text"/>
    <w:basedOn w:val="756"/>
    <w:uiPriority w:val="99"/>
    <w:semiHidden/>
    <w:unhideWhenUsed/>
    <w:qFormat/>
    <w:pPr>
      <w:jc w:val="left"/>
    </w:pPr>
  </w:style>
  <w:style w:type="paragraph" w:styleId="773">
    <w:name w:val="Body Text Indent"/>
    <w:basedOn w:val="756"/>
    <w:uiPriority w:val="0"/>
    <w:qFormat/>
    <w:pPr>
      <w:ind w:left="156"/>
      <w:spacing w:line="300" w:lineRule="auto"/>
      <w:widowControl/>
    </w:pPr>
    <w:rPr>
      <w:rFonts w:ascii="仿宋_GB2312" w:eastAsia="仿宋_GB2312"/>
      <w:sz w:val="28"/>
    </w:rPr>
  </w:style>
  <w:style w:type="paragraph" w:styleId="774">
    <w:name w:val="toc 5"/>
    <w:basedOn w:val="756"/>
    <w:next w:val="756"/>
    <w:uiPriority w:val="39"/>
    <w:unhideWhenUsed/>
    <w:qFormat/>
    <w:pPr>
      <w:ind w:left="1134"/>
      <w:spacing w:after="57"/>
    </w:pPr>
  </w:style>
  <w:style w:type="paragraph" w:styleId="775">
    <w:name w:val="toc 3"/>
    <w:basedOn w:val="756"/>
    <w:next w:val="756"/>
    <w:uiPriority w:val="39"/>
    <w:unhideWhenUsed/>
    <w:qFormat/>
    <w:pPr>
      <w:ind w:left="567"/>
      <w:spacing w:after="57"/>
    </w:pPr>
  </w:style>
  <w:style w:type="paragraph" w:styleId="776">
    <w:name w:val="toc 8"/>
    <w:basedOn w:val="756"/>
    <w:next w:val="756"/>
    <w:uiPriority w:val="39"/>
    <w:unhideWhenUsed/>
    <w:qFormat/>
    <w:pPr>
      <w:ind w:left="1984"/>
      <w:spacing w:after="57"/>
    </w:pPr>
  </w:style>
  <w:style w:type="paragraph" w:styleId="777">
    <w:name w:val="endnote text"/>
    <w:basedOn w:val="756"/>
    <w:link w:val="942"/>
    <w:uiPriority w:val="99"/>
    <w:semiHidden/>
    <w:unhideWhenUsed/>
    <w:qFormat/>
    <w:rPr>
      <w:sz w:val="20"/>
    </w:rPr>
  </w:style>
  <w:style w:type="paragraph" w:styleId="778">
    <w:name w:val="Footer"/>
    <w:basedOn w:val="756"/>
    <w:link w:val="815"/>
    <w:uiPriority w:val="99"/>
    <w:unhideWhenUsed/>
    <w:qFormat/>
    <w:pPr>
      <w:tabs>
        <w:tab w:val="center" w:pos="7143" w:leader="none"/>
        <w:tab w:val="right" w:pos="14287" w:leader="none"/>
      </w:tabs>
    </w:pPr>
  </w:style>
  <w:style w:type="paragraph" w:styleId="779">
    <w:name w:val="Header"/>
    <w:basedOn w:val="756"/>
    <w:link w:val="813"/>
    <w:uiPriority w:val="99"/>
    <w:unhideWhenUsed/>
    <w:qFormat/>
    <w:pPr>
      <w:tabs>
        <w:tab w:val="center" w:pos="7143" w:leader="none"/>
        <w:tab w:val="right" w:pos="14287" w:leader="none"/>
      </w:tabs>
    </w:pPr>
  </w:style>
  <w:style w:type="paragraph" w:styleId="780">
    <w:name w:val="toc 1"/>
    <w:basedOn w:val="756"/>
    <w:next w:val="756"/>
    <w:uiPriority w:val="39"/>
    <w:unhideWhenUsed/>
    <w:qFormat/>
    <w:pPr>
      <w:spacing w:after="57"/>
    </w:pPr>
  </w:style>
  <w:style w:type="paragraph" w:styleId="781">
    <w:name w:val="toc 4"/>
    <w:basedOn w:val="756"/>
    <w:next w:val="756"/>
    <w:uiPriority w:val="39"/>
    <w:unhideWhenUsed/>
    <w:qFormat/>
    <w:pPr>
      <w:ind w:left="850"/>
      <w:spacing w:after="57"/>
    </w:pPr>
  </w:style>
  <w:style w:type="paragraph" w:styleId="782">
    <w:name w:val="Subtitle"/>
    <w:basedOn w:val="756"/>
    <w:next w:val="756"/>
    <w:link w:val="808"/>
    <w:uiPriority w:val="11"/>
    <w:qFormat/>
    <w:pPr>
      <w:spacing w:before="200" w:after="200"/>
    </w:pPr>
    <w:rPr>
      <w:sz w:val="24"/>
      <w:szCs w:val="24"/>
    </w:rPr>
  </w:style>
  <w:style w:type="paragraph" w:styleId="783">
    <w:name w:val="List"/>
    <w:basedOn w:val="756"/>
    <w:uiPriority w:val="0"/>
    <w:qFormat/>
    <w:pPr>
      <w:numPr>
        <w:ilvl w:val="0"/>
        <w:numId w:val="1"/>
      </w:numPr>
      <w:spacing w:after="20" w:line="288" w:lineRule="auto"/>
      <w:tabs>
        <w:tab w:val="clear" w:pos="360" w:leader="none"/>
        <w:tab w:val="left" w:pos="420" w:leader="none"/>
      </w:tabs>
    </w:pPr>
    <w:rPr>
      <w:lang w:val="en-GB"/>
    </w:rPr>
  </w:style>
  <w:style w:type="paragraph" w:styleId="784">
    <w:name w:val="footnote text"/>
    <w:basedOn w:val="756"/>
    <w:link w:val="941"/>
    <w:uiPriority w:val="99"/>
    <w:semiHidden/>
    <w:unhideWhenUsed/>
    <w:qFormat/>
    <w:pPr>
      <w:spacing w:after="40"/>
    </w:pPr>
    <w:rPr>
      <w:sz w:val="18"/>
    </w:rPr>
  </w:style>
  <w:style w:type="paragraph" w:styleId="785">
    <w:name w:val="toc 6"/>
    <w:basedOn w:val="756"/>
    <w:next w:val="756"/>
    <w:uiPriority w:val="39"/>
    <w:unhideWhenUsed/>
    <w:qFormat/>
    <w:pPr>
      <w:ind w:left="1417"/>
      <w:spacing w:after="57"/>
    </w:pPr>
  </w:style>
  <w:style w:type="paragraph" w:styleId="786">
    <w:name w:val="table of figures"/>
    <w:basedOn w:val="756"/>
    <w:next w:val="756"/>
    <w:uiPriority w:val="99"/>
    <w:unhideWhenUsed/>
    <w:qFormat/>
  </w:style>
  <w:style w:type="paragraph" w:styleId="787">
    <w:name w:val="toc 2"/>
    <w:basedOn w:val="756"/>
    <w:next w:val="756"/>
    <w:uiPriority w:val="39"/>
    <w:unhideWhenUsed/>
    <w:qFormat/>
    <w:pPr>
      <w:ind w:left="283"/>
      <w:spacing w:after="57"/>
    </w:pPr>
  </w:style>
  <w:style w:type="paragraph" w:styleId="788">
    <w:name w:val="toc 9"/>
    <w:basedOn w:val="756"/>
    <w:next w:val="756"/>
    <w:uiPriority w:val="39"/>
    <w:unhideWhenUsed/>
    <w:qFormat/>
    <w:pPr>
      <w:ind w:left="2268"/>
      <w:spacing w:after="57"/>
    </w:pPr>
  </w:style>
  <w:style w:type="paragraph" w:styleId="789">
    <w:name w:val="Normal (Web)"/>
    <w:basedOn w:val="756"/>
    <w:uiPriority w:val="99"/>
    <w:semiHidden/>
    <w:unhideWhenUsed/>
    <w:qFormat/>
    <w:pPr>
      <w:jc w:val="left"/>
      <w:spacing w:beforeAutospacing="1" w:afterAutospacing="1"/>
    </w:pPr>
    <w:rPr>
      <w:sz w:val="24"/>
    </w:rPr>
  </w:style>
  <w:style w:type="paragraph" w:styleId="790">
    <w:name w:val="Title"/>
    <w:basedOn w:val="756"/>
    <w:next w:val="756"/>
    <w:link w:val="807"/>
    <w:uiPriority w:val="10"/>
    <w:qFormat/>
    <w:pPr>
      <w:contextualSpacing/>
      <w:spacing w:before="300" w:after="200"/>
    </w:pPr>
    <w:rPr>
      <w:sz w:val="48"/>
      <w:szCs w:val="48"/>
    </w:rPr>
  </w:style>
  <w:style w:type="paragraph" w:styleId="791">
    <w:name w:val="Body Text First Indent 2"/>
    <w:basedOn w:val="773"/>
    <w:next w:val="756"/>
    <w:uiPriority w:val="0"/>
    <w:qFormat/>
    <w:pPr>
      <w:ind w:left="420" w:firstLine="420"/>
      <w:spacing w:after="120" w:line="240" w:lineRule="auto"/>
      <w:widowControl w:val="off"/>
    </w:pPr>
    <w:rPr>
      <w:rFonts w:ascii="Cambria" w:hAnsi="Cambria" w:eastAsia="华文细黑"/>
      <w:sz w:val="21"/>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6"/>
    <w:uiPriority w:val="22"/>
    <w:qFormat/>
    <w:rPr>
      <w:b/>
    </w:rPr>
  </w:style>
  <w:style w:type="character" w:styleId="794">
    <w:name w:val="endnote reference"/>
    <w:uiPriority w:val="99"/>
    <w:semiHidden/>
    <w:unhideWhenUsed/>
    <w:qFormat/>
    <w:rPr>
      <w:vertAlign w:val="superscript"/>
    </w:rPr>
  </w:style>
  <w:style w:type="character" w:styleId="795">
    <w:name w:val="Hyperlink"/>
    <w:uiPriority w:val="99"/>
    <w:unhideWhenUsed/>
    <w:qFormat/>
    <w:rPr>
      <w:color w:val="0000ff"/>
      <w:u w:val="single"/>
    </w:rPr>
  </w:style>
  <w:style w:type="character" w:styleId="796">
    <w:name w:val="footnote reference"/>
    <w:uiPriority w:val="99"/>
    <w:unhideWhenUsed/>
    <w:qFormat/>
    <w:rPr>
      <w:vertAlign w:val="superscript"/>
    </w:rPr>
  </w:style>
  <w:style w:type="character" w:styleId="797" w:customStyle="1">
    <w:name w:val="标题 1 字符1"/>
    <w:link w:val="757"/>
    <w:uiPriority w:val="9"/>
    <w:qFormat/>
    <w:rPr>
      <w:rFonts w:ascii="Arial" w:hAnsi="Arial" w:eastAsia="Arial" w:cs="Arial"/>
      <w:sz w:val="40"/>
      <w:szCs w:val="40"/>
    </w:rPr>
  </w:style>
  <w:style w:type="character" w:styleId="798" w:customStyle="1">
    <w:name w:val="标题 2 字符1"/>
    <w:link w:val="758"/>
    <w:uiPriority w:val="9"/>
    <w:qFormat/>
    <w:rPr>
      <w:rFonts w:ascii="Arial" w:hAnsi="Arial" w:eastAsia="Arial" w:cs="Arial"/>
      <w:sz w:val="34"/>
    </w:rPr>
  </w:style>
  <w:style w:type="character" w:styleId="799" w:customStyle="1">
    <w:name w:val="标题 3 字符1"/>
    <w:link w:val="759"/>
    <w:uiPriority w:val="9"/>
    <w:qFormat/>
    <w:rPr>
      <w:rFonts w:ascii="Arial" w:hAnsi="Arial" w:eastAsia="Arial" w:cs="Arial"/>
      <w:sz w:val="30"/>
      <w:szCs w:val="30"/>
    </w:rPr>
  </w:style>
  <w:style w:type="character" w:styleId="800" w:customStyle="1">
    <w:name w:val="标题 4 字符1"/>
    <w:link w:val="760"/>
    <w:uiPriority w:val="9"/>
    <w:qFormat/>
    <w:rPr>
      <w:rFonts w:ascii="Arial" w:hAnsi="Arial" w:eastAsia="Arial" w:cs="Arial"/>
      <w:b/>
      <w:bCs/>
      <w:sz w:val="26"/>
      <w:szCs w:val="26"/>
    </w:rPr>
  </w:style>
  <w:style w:type="character" w:styleId="801" w:customStyle="1">
    <w:name w:val="标题 5 字符1"/>
    <w:link w:val="761"/>
    <w:uiPriority w:val="9"/>
    <w:qFormat/>
    <w:rPr>
      <w:rFonts w:ascii="Arial" w:hAnsi="Arial" w:eastAsia="Arial" w:cs="Arial"/>
      <w:b/>
      <w:bCs/>
      <w:sz w:val="24"/>
      <w:szCs w:val="24"/>
    </w:rPr>
  </w:style>
  <w:style w:type="character" w:styleId="802" w:customStyle="1">
    <w:name w:val="标题 6 字符1"/>
    <w:link w:val="762"/>
    <w:uiPriority w:val="9"/>
    <w:qFormat/>
    <w:rPr>
      <w:rFonts w:ascii="Arial" w:hAnsi="Arial" w:eastAsia="Arial" w:cs="Arial"/>
      <w:b/>
      <w:bCs/>
      <w:sz w:val="22"/>
      <w:szCs w:val="22"/>
    </w:rPr>
  </w:style>
  <w:style w:type="character" w:styleId="803" w:customStyle="1">
    <w:name w:val="标题 7 字符1"/>
    <w:link w:val="763"/>
    <w:uiPriority w:val="9"/>
    <w:qFormat/>
    <w:rPr>
      <w:rFonts w:ascii="Arial" w:hAnsi="Arial" w:eastAsia="Arial" w:cs="Arial"/>
      <w:b/>
      <w:bCs/>
      <w:i/>
      <w:iCs/>
      <w:sz w:val="22"/>
      <w:szCs w:val="22"/>
    </w:rPr>
  </w:style>
  <w:style w:type="character" w:styleId="804" w:customStyle="1">
    <w:name w:val="标题 8 字符1"/>
    <w:link w:val="764"/>
    <w:uiPriority w:val="9"/>
    <w:qFormat/>
    <w:rPr>
      <w:rFonts w:ascii="Arial" w:hAnsi="Arial" w:eastAsia="Arial" w:cs="Arial"/>
      <w:i/>
      <w:iCs/>
      <w:sz w:val="22"/>
      <w:szCs w:val="22"/>
    </w:rPr>
  </w:style>
  <w:style w:type="character" w:styleId="805" w:customStyle="1">
    <w:name w:val="标题 9 字符1"/>
    <w:link w:val="765"/>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字符1"/>
    <w:link w:val="790"/>
    <w:uiPriority w:val="10"/>
    <w:qFormat/>
    <w:rPr>
      <w:sz w:val="48"/>
      <w:szCs w:val="48"/>
    </w:rPr>
  </w:style>
  <w:style w:type="character" w:styleId="808" w:customStyle="1">
    <w:name w:val="副标题 字符"/>
    <w:link w:val="782"/>
    <w:uiPriority w:val="11"/>
    <w:qFormat/>
    <w:rPr>
      <w:sz w:val="24"/>
      <w:szCs w:val="24"/>
    </w:rPr>
  </w:style>
  <w:style w:type="paragraph" w:styleId="809">
    <w:name w:val="Quote"/>
    <w:basedOn w:val="756"/>
    <w:next w:val="756"/>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56"/>
    <w:next w:val="756"/>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1"/>
    <w:link w:val="779"/>
    <w:uiPriority w:val="99"/>
    <w:qFormat/>
  </w:style>
  <w:style w:type="character" w:styleId="814" w:customStyle="1">
    <w:name w:val="Footer Char"/>
    <w:uiPriority w:val="99"/>
    <w:qFormat/>
  </w:style>
  <w:style w:type="character" w:styleId="815" w:customStyle="1">
    <w:name w:val="页脚 字符2"/>
    <w:link w:val="778"/>
    <w:uiPriority w:val="99"/>
    <w:qFormat/>
  </w:style>
  <w:style w:type="table" w:styleId="81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9" w:customStyle="1">
    <w:name w:val="无格式表格 31"/>
    <w:uiPriority w:val="99"/>
    <w:qFormat/>
    <w:tblPr>
      <w:tblCellMar>
        <w:left w:w="0" w:type="dxa"/>
        <w:top w:w="0" w:type="dxa"/>
        <w:right w:w="0" w:type="dxa"/>
        <w:bottom w:w="0" w:type="dxa"/>
      </w:tblCellMar>
    </w:tblPr>
  </w:style>
  <w:style w:type="table" w:styleId="820" w:customStyle="1">
    <w:name w:val="无格式表格 41"/>
    <w:uiPriority w:val="99"/>
    <w:qFormat/>
    <w:tblPr>
      <w:tblCellMar>
        <w:left w:w="0" w:type="dxa"/>
        <w:top w:w="0" w:type="dxa"/>
        <w:right w:w="0" w:type="dxa"/>
        <w:bottom w:w="0" w:type="dxa"/>
      </w:tblCellMar>
    </w:tblPr>
  </w:style>
  <w:style w:type="table" w:styleId="821" w:customStyle="1">
    <w:name w:val="无格式表格 51"/>
    <w:uiPriority w:val="99"/>
    <w:qFormat/>
    <w:tblPr>
      <w:tblCellMar>
        <w:left w:w="0" w:type="dxa"/>
        <w:top w:w="0" w:type="dxa"/>
        <w:right w:w="0" w:type="dxa"/>
        <w:bottom w:w="0" w:type="dxa"/>
      </w:tblCellMar>
    </w:tblPr>
  </w:style>
  <w:style w:type="table" w:styleId="82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1" w:customStyle="1">
    <w:name w:val="清单表 1 浅色1"/>
    <w:uiPriority w:val="99"/>
    <w:qFormat/>
    <w:tblPr>
      <w:tblCellMar>
        <w:left w:w="0" w:type="dxa"/>
        <w:top w:w="0" w:type="dxa"/>
        <w:right w:w="0" w:type="dxa"/>
        <w:bottom w:w="0" w:type="dxa"/>
      </w:tblCellMar>
    </w:tblPr>
  </w:style>
  <w:style w:type="table" w:styleId="872" w:customStyle="1">
    <w:name w:val="List Table 1 Light - Accent 1"/>
    <w:uiPriority w:val="99"/>
    <w:qFormat/>
    <w:tblPr>
      <w:tblCellMar>
        <w:left w:w="0" w:type="dxa"/>
        <w:top w:w="0" w:type="dxa"/>
        <w:right w:w="0" w:type="dxa"/>
        <w:bottom w:w="0" w:type="dxa"/>
      </w:tblCellMar>
    </w:tblPr>
  </w:style>
  <w:style w:type="table" w:styleId="873" w:customStyle="1">
    <w:name w:val="List Table 1 Light - Accent 2"/>
    <w:uiPriority w:val="99"/>
    <w:qFormat/>
    <w:tblPr>
      <w:tblCellMar>
        <w:left w:w="0" w:type="dxa"/>
        <w:top w:w="0" w:type="dxa"/>
        <w:right w:w="0" w:type="dxa"/>
        <w:bottom w:w="0" w:type="dxa"/>
      </w:tblCellMar>
    </w:tblPr>
  </w:style>
  <w:style w:type="table" w:styleId="874" w:customStyle="1">
    <w:name w:val="List Table 1 Light - Accent 3"/>
    <w:uiPriority w:val="99"/>
    <w:qFormat/>
    <w:tblPr>
      <w:tblCellMar>
        <w:left w:w="0" w:type="dxa"/>
        <w:top w:w="0" w:type="dxa"/>
        <w:right w:w="0" w:type="dxa"/>
        <w:bottom w:w="0" w:type="dxa"/>
      </w:tblCellMar>
    </w:tblPr>
  </w:style>
  <w:style w:type="table" w:styleId="875" w:customStyle="1">
    <w:name w:val="List Table 1 Light - Accent 4"/>
    <w:uiPriority w:val="99"/>
    <w:qFormat/>
    <w:tblPr>
      <w:tblCellMar>
        <w:left w:w="0" w:type="dxa"/>
        <w:top w:w="0" w:type="dxa"/>
        <w:right w:w="0" w:type="dxa"/>
        <w:bottom w:w="0" w:type="dxa"/>
      </w:tblCellMar>
    </w:tblPr>
  </w:style>
  <w:style w:type="table" w:styleId="876" w:customStyle="1">
    <w:name w:val="List Table 1 Light - Accent 5"/>
    <w:uiPriority w:val="99"/>
    <w:qFormat/>
    <w:tblPr>
      <w:tblCellMar>
        <w:left w:w="0" w:type="dxa"/>
        <w:top w:w="0" w:type="dxa"/>
        <w:right w:w="0" w:type="dxa"/>
        <w:bottom w:w="0" w:type="dxa"/>
      </w:tblCellMar>
    </w:tblPr>
  </w:style>
  <w:style w:type="table" w:styleId="877" w:customStyle="1">
    <w:name w:val="List Table 1 Light - Accent 6"/>
    <w:uiPriority w:val="99"/>
    <w:qFormat/>
    <w:tblPr>
      <w:tblCellMar>
        <w:left w:w="0" w:type="dxa"/>
        <w:top w:w="0" w:type="dxa"/>
        <w:right w:w="0" w:type="dxa"/>
        <w:bottom w:w="0" w:type="dxa"/>
      </w:tblCellMar>
    </w:tblPr>
  </w:style>
  <w:style w:type="table" w:styleId="87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0" w:customStyle="1">
    <w:name w:val="Lined - Accent"/>
    <w:uiPriority w:val="99"/>
    <w:qFormat/>
    <w:rPr>
      <w:color w:val="404040"/>
    </w:rPr>
    <w:tblPr>
      <w:tblCellMar>
        <w:left w:w="0" w:type="dxa"/>
        <w:top w:w="0" w:type="dxa"/>
        <w:right w:w="0" w:type="dxa"/>
        <w:bottom w:w="0" w:type="dxa"/>
      </w:tblCellMar>
    </w:tblPr>
  </w:style>
  <w:style w:type="table" w:styleId="921" w:customStyle="1">
    <w:name w:val="Lined - Accent 1"/>
    <w:uiPriority w:val="99"/>
    <w:qFormat/>
    <w:rPr>
      <w:color w:val="404040"/>
    </w:rPr>
    <w:tblPr>
      <w:tblCellMar>
        <w:left w:w="0" w:type="dxa"/>
        <w:top w:w="0" w:type="dxa"/>
        <w:right w:w="0" w:type="dxa"/>
        <w:bottom w:w="0" w:type="dxa"/>
      </w:tblCellMar>
    </w:tblPr>
  </w:style>
  <w:style w:type="table" w:styleId="922" w:customStyle="1">
    <w:name w:val="Lined - Accent 2"/>
    <w:uiPriority w:val="99"/>
    <w:qFormat/>
    <w:rPr>
      <w:color w:val="404040"/>
    </w:rPr>
    <w:tblPr>
      <w:tblCellMar>
        <w:left w:w="0" w:type="dxa"/>
        <w:top w:w="0" w:type="dxa"/>
        <w:right w:w="0" w:type="dxa"/>
        <w:bottom w:w="0" w:type="dxa"/>
      </w:tblCellMar>
    </w:tblPr>
  </w:style>
  <w:style w:type="table" w:styleId="923" w:customStyle="1">
    <w:name w:val="Lined - Accent 3"/>
    <w:uiPriority w:val="99"/>
    <w:qFormat/>
    <w:rPr>
      <w:color w:val="404040"/>
    </w:rPr>
    <w:tblPr>
      <w:tblCellMar>
        <w:left w:w="0" w:type="dxa"/>
        <w:top w:w="0" w:type="dxa"/>
        <w:right w:w="0" w:type="dxa"/>
        <w:bottom w:w="0" w:type="dxa"/>
      </w:tblCellMar>
    </w:tblPr>
  </w:style>
  <w:style w:type="table" w:styleId="924" w:customStyle="1">
    <w:name w:val="Lined - Accent 4"/>
    <w:uiPriority w:val="99"/>
    <w:qFormat/>
    <w:rPr>
      <w:color w:val="404040"/>
    </w:rPr>
    <w:tblPr>
      <w:tblCellMar>
        <w:left w:w="0" w:type="dxa"/>
        <w:top w:w="0" w:type="dxa"/>
        <w:right w:w="0" w:type="dxa"/>
        <w:bottom w:w="0" w:type="dxa"/>
      </w:tblCellMar>
    </w:tblPr>
  </w:style>
  <w:style w:type="table" w:styleId="925" w:customStyle="1">
    <w:name w:val="Lined - Accent 5"/>
    <w:uiPriority w:val="99"/>
    <w:qFormat/>
    <w:rPr>
      <w:color w:val="404040"/>
    </w:rPr>
    <w:tblPr>
      <w:tblCellMar>
        <w:left w:w="0" w:type="dxa"/>
        <w:top w:w="0" w:type="dxa"/>
        <w:right w:w="0" w:type="dxa"/>
        <w:bottom w:w="0" w:type="dxa"/>
      </w:tblCellMar>
    </w:tblPr>
  </w:style>
  <w:style w:type="table" w:styleId="926" w:customStyle="1">
    <w:name w:val="Lined - Accent 6"/>
    <w:uiPriority w:val="99"/>
    <w:qFormat/>
    <w:rPr>
      <w:color w:val="404040"/>
    </w:rPr>
    <w:tblPr>
      <w:tblCellMar>
        <w:left w:w="0" w:type="dxa"/>
        <w:top w:w="0" w:type="dxa"/>
        <w:right w:w="0" w:type="dxa"/>
        <w:bottom w:w="0" w:type="dxa"/>
      </w:tblCellMar>
    </w:tblPr>
  </w:style>
  <w:style w:type="table" w:styleId="9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1" w:customStyle="1">
    <w:name w:val="脚注文本 字符1"/>
    <w:link w:val="784"/>
    <w:uiPriority w:val="99"/>
    <w:qFormat/>
    <w:rPr>
      <w:sz w:val="18"/>
    </w:rPr>
  </w:style>
  <w:style w:type="character" w:styleId="942" w:customStyle="1">
    <w:name w:val="尾注文本 字符"/>
    <w:link w:val="777"/>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paragraph" w:styleId="944" w:customStyle="1">
    <w:name w:val="标题 11"/>
    <w:basedOn w:val="756"/>
    <w:next w:val="756"/>
    <w:link w:val="957"/>
    <w:uiPriority w:val="0"/>
    <w:qFormat/>
    <w:pPr>
      <w:jc w:val="center"/>
      <w:keepLines/>
      <w:keepNext/>
      <w:spacing w:before="340" w:after="330" w:line="578" w:lineRule="auto"/>
      <w:tabs>
        <w:tab w:val="left" w:pos="360" w:leader="none"/>
      </w:tabs>
      <w:outlineLvl w:val="0"/>
    </w:pPr>
    <w:rPr>
      <w:rFonts w:ascii="黑体" w:eastAsia="黑体"/>
      <w:b/>
      <w:bCs/>
      <w:sz w:val="44"/>
      <w:szCs w:val="44"/>
    </w:rPr>
  </w:style>
  <w:style w:type="paragraph" w:styleId="945" w:customStyle="1">
    <w:name w:val="标题 21"/>
    <w:basedOn w:val="756"/>
    <w:next w:val="756"/>
    <w:link w:val="958"/>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46" w:customStyle="1">
    <w:name w:val="标题 311"/>
    <w:basedOn w:val="756"/>
    <w:next w:val="947"/>
    <w:link w:val="959"/>
    <w:uiPriority w:val="0"/>
    <w:qFormat/>
    <w:pPr>
      <w:keepLines/>
      <w:keepNext/>
      <w:spacing w:before="260" w:after="260" w:line="416" w:lineRule="auto"/>
      <w:outlineLvl w:val="2"/>
    </w:pPr>
    <w:rPr>
      <w:rFonts w:ascii="黑体" w:eastAsia="黑体"/>
      <w:b/>
      <w:bCs/>
      <w:sz w:val="32"/>
      <w:szCs w:val="32"/>
    </w:rPr>
  </w:style>
  <w:style w:type="paragraph" w:styleId="947" w:customStyle="1">
    <w:name w:val="正文缩进1"/>
    <w:basedOn w:val="756"/>
    <w:link w:val="960"/>
    <w:uiPriority w:val="0"/>
    <w:qFormat/>
    <w:pPr>
      <w:ind w:firstLine="420"/>
      <w:jc w:val="left"/>
      <w:widowControl/>
    </w:pPr>
    <w:rPr>
      <w:sz w:val="20"/>
    </w:rPr>
  </w:style>
  <w:style w:type="paragraph" w:styleId="948" w:customStyle="1">
    <w:name w:val="标题 411"/>
    <w:basedOn w:val="756"/>
    <w:next w:val="756"/>
    <w:link w:val="961"/>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49" w:customStyle="1">
    <w:name w:val="标题 51"/>
    <w:basedOn w:val="756"/>
    <w:next w:val="756"/>
    <w:link w:val="962"/>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50" w:customStyle="1">
    <w:name w:val="标题 61"/>
    <w:basedOn w:val="756"/>
    <w:next w:val="756"/>
    <w:link w:val="963"/>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51" w:customStyle="1">
    <w:name w:val="标题 71"/>
    <w:basedOn w:val="756"/>
    <w:next w:val="756"/>
    <w:link w:val="964"/>
    <w:uiPriority w:val="0"/>
    <w:qFormat/>
    <w:pPr>
      <w:ind w:left="1296" w:hanging="1296"/>
      <w:keepLines/>
      <w:keepNext/>
      <w:spacing w:before="240" w:after="64" w:line="320" w:lineRule="atLeast"/>
      <w:tabs>
        <w:tab w:val="left" w:pos="1296" w:leader="none"/>
      </w:tabs>
      <w:outlineLvl w:val="6"/>
    </w:pPr>
    <w:rPr>
      <w:b/>
      <w:sz w:val="24"/>
    </w:rPr>
  </w:style>
  <w:style w:type="paragraph" w:styleId="952" w:customStyle="1">
    <w:name w:val="标题 81"/>
    <w:basedOn w:val="756"/>
    <w:next w:val="756"/>
    <w:link w:val="96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53" w:customStyle="1">
    <w:name w:val="标题 91"/>
    <w:basedOn w:val="756"/>
    <w:next w:val="756"/>
    <w:link w:val="966"/>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54" w:customStyle="1">
    <w:name w:val="默认段落字体1"/>
    <w:uiPriority w:val="0"/>
    <w:qFormat/>
    <w:rPr>
      <w:rFonts w:ascii="Times New Roman" w:hAnsi="Times New Roman" w:eastAsia="宋体" w:cs="Times New Roman"/>
    </w:rPr>
  </w:style>
  <w:style w:type="table" w:styleId="955" w:customStyle="1">
    <w:name w:val="普通表格1"/>
    <w:uiPriority w:val="99"/>
    <w:unhideWhenUsed/>
    <w:qFormat/>
    <w:tblPr>
      <w:tblCellMar>
        <w:left w:w="0" w:type="dxa"/>
        <w:top w:w="0" w:type="dxa"/>
        <w:right w:w="0" w:type="dxa"/>
        <w:bottom w:w="0" w:type="dxa"/>
      </w:tblCellMar>
    </w:tblPr>
  </w:style>
  <w:style w:type="paragraph" w:styleId="956" w:customStyle="1">
    <w:name w:val="标题二、"/>
    <w:basedOn w:val="756"/>
    <w:uiPriority w:val="99"/>
    <w:qFormat/>
    <w:pPr>
      <w:ind w:firstLine="200"/>
      <w:spacing w:line="360" w:lineRule="auto"/>
      <w:outlineLvl w:val="2"/>
    </w:pPr>
    <w:rPr>
      <w:rFonts w:hAnsi="宋体"/>
      <w:b/>
      <w:szCs w:val="21"/>
    </w:rPr>
  </w:style>
  <w:style w:type="character" w:styleId="957" w:customStyle="1">
    <w:name w:val="标题 1 字符"/>
    <w:link w:val="944"/>
    <w:uiPriority w:val="0"/>
    <w:qFormat/>
    <w:rPr>
      <w:rFonts w:ascii="黑体" w:eastAsia="黑体"/>
      <w:b/>
      <w:bCs/>
      <w:sz w:val="44"/>
      <w:szCs w:val="44"/>
    </w:rPr>
  </w:style>
  <w:style w:type="character" w:styleId="958" w:customStyle="1">
    <w:name w:val="标题 2 字符"/>
    <w:link w:val="945"/>
    <w:uiPriority w:val="0"/>
    <w:qFormat/>
    <w:rPr>
      <w:rFonts w:ascii="Arial" w:hAnsi="Arial" w:eastAsia="黑体" w:cs="Times New Roman"/>
      <w:b/>
      <w:bCs/>
      <w:sz w:val="32"/>
      <w:szCs w:val="32"/>
      <w:lang w:val="en-US" w:eastAsia="zh-CN" w:bidi="ar-SA"/>
    </w:rPr>
  </w:style>
  <w:style w:type="character" w:styleId="959" w:customStyle="1">
    <w:name w:val="标题 3 字符"/>
    <w:link w:val="946"/>
    <w:uiPriority w:val="0"/>
    <w:qFormat/>
    <w:rPr>
      <w:rFonts w:ascii="黑体" w:hAnsi="Times New Roman" w:eastAsia="黑体" w:cs="Times New Roman"/>
      <w:b/>
      <w:bCs/>
      <w:sz w:val="32"/>
      <w:szCs w:val="32"/>
      <w:lang w:val="en-US" w:eastAsia="zh-CN" w:bidi="ar-SA"/>
    </w:rPr>
  </w:style>
  <w:style w:type="character" w:styleId="960" w:customStyle="1">
    <w:name w:val="正文缩进 字符"/>
    <w:link w:val="947"/>
    <w:uiPriority w:val="0"/>
    <w:qFormat/>
    <w:rPr>
      <w:rFonts w:ascii="Times New Roman" w:hAnsi="Times New Roman" w:eastAsia="宋体" w:cs="Times New Roman"/>
      <w:lang w:val="en-US" w:eastAsia="zh-CN" w:bidi="ar-SA"/>
    </w:rPr>
  </w:style>
  <w:style w:type="character" w:styleId="961" w:customStyle="1">
    <w:name w:val="标题 4 字符"/>
    <w:link w:val="948"/>
    <w:uiPriority w:val="0"/>
    <w:qFormat/>
    <w:rPr>
      <w:rFonts w:ascii="Arial" w:hAnsi="Arial" w:eastAsia="黑体" w:cs="Times New Roman"/>
      <w:b/>
      <w:bCs/>
      <w:sz w:val="28"/>
      <w:szCs w:val="28"/>
      <w:lang w:val="en-US" w:eastAsia="zh-CN" w:bidi="ar-SA"/>
    </w:rPr>
  </w:style>
  <w:style w:type="character" w:styleId="962" w:customStyle="1">
    <w:name w:val="标题 5 字符"/>
    <w:link w:val="949"/>
    <w:uiPriority w:val="0"/>
    <w:qFormat/>
    <w:rPr>
      <w:rFonts w:ascii="黑体" w:eastAsia="黑体"/>
      <w:b/>
      <w:bCs/>
      <w:sz w:val="28"/>
      <w:szCs w:val="28"/>
    </w:rPr>
  </w:style>
  <w:style w:type="character" w:styleId="963" w:customStyle="1">
    <w:name w:val="标题 6 字符"/>
    <w:link w:val="950"/>
    <w:uiPriority w:val="0"/>
    <w:qFormat/>
    <w:rPr>
      <w:rFonts w:ascii="Arial" w:hAnsi="Arial" w:eastAsia="黑体" w:cs="Times New Roman"/>
      <w:b/>
      <w:sz w:val="24"/>
      <w:szCs w:val="24"/>
    </w:rPr>
  </w:style>
  <w:style w:type="character" w:styleId="964" w:customStyle="1">
    <w:name w:val="标题 7 字符"/>
    <w:link w:val="951"/>
    <w:uiPriority w:val="0"/>
    <w:qFormat/>
    <w:rPr>
      <w:rFonts w:ascii="Times New Roman" w:hAnsi="Times New Roman" w:eastAsia="宋体" w:cs="Times New Roman"/>
      <w:b/>
      <w:sz w:val="24"/>
      <w:szCs w:val="24"/>
    </w:rPr>
  </w:style>
  <w:style w:type="character" w:styleId="965" w:customStyle="1">
    <w:name w:val="标题 8 字符"/>
    <w:link w:val="952"/>
    <w:uiPriority w:val="0"/>
    <w:qFormat/>
    <w:rPr>
      <w:rFonts w:ascii="Arial" w:hAnsi="Arial" w:eastAsia="黑体" w:cs="Times New Roman"/>
      <w:sz w:val="24"/>
      <w:szCs w:val="24"/>
    </w:rPr>
  </w:style>
  <w:style w:type="character" w:styleId="966" w:customStyle="1">
    <w:name w:val="标题 9 字符"/>
    <w:link w:val="953"/>
    <w:uiPriority w:val="0"/>
    <w:qFormat/>
    <w:rPr>
      <w:rFonts w:ascii="Arial" w:hAnsi="Arial" w:eastAsia="黑体" w:cs="Times New Roman"/>
      <w:sz w:val="21"/>
      <w:szCs w:val="24"/>
    </w:rPr>
  </w:style>
  <w:style w:type="paragraph" w:styleId="967" w:customStyle="1">
    <w:name w:val="列表 31"/>
    <w:basedOn w:val="756"/>
    <w:uiPriority w:val="0"/>
    <w:qFormat/>
    <w:pPr>
      <w:ind w:left="1260" w:hanging="420"/>
    </w:pPr>
    <w:rPr>
      <w:rFonts w:ascii="Times New Roman" w:hAnsi="宋体"/>
      <w:color w:val="000000"/>
      <w:spacing w:val="-8"/>
    </w:rPr>
  </w:style>
  <w:style w:type="paragraph" w:styleId="968" w:customStyle="1">
    <w:name w:val="目录 71"/>
    <w:basedOn w:val="756"/>
    <w:next w:val="756"/>
    <w:uiPriority w:val="0"/>
    <w:qFormat/>
    <w:pPr>
      <w:ind w:left="1260" w:firstLine="420"/>
      <w:jc w:val="left"/>
      <w:spacing w:line="288" w:lineRule="auto"/>
    </w:pPr>
    <w:rPr>
      <w:rFonts w:ascii="Times New Roman"/>
      <w:sz w:val="18"/>
      <w:szCs w:val="18"/>
    </w:rPr>
  </w:style>
  <w:style w:type="paragraph" w:styleId="969" w:customStyle="1">
    <w:name w:val="索引 81"/>
    <w:basedOn w:val="756"/>
    <w:next w:val="756"/>
    <w:uiPriority w:val="0"/>
    <w:qFormat/>
    <w:pPr>
      <w:ind w:left="1400"/>
    </w:pPr>
    <w:rPr>
      <w:rFonts w:ascii="Times New Roman"/>
    </w:rPr>
  </w:style>
  <w:style w:type="paragraph" w:styleId="970" w:customStyle="1">
    <w:name w:val="题注1"/>
    <w:basedOn w:val="756"/>
    <w:next w:val="756"/>
    <w:uiPriority w:val="0"/>
    <w:qFormat/>
    <w:rPr>
      <w:rFonts w:ascii="Arial" w:hAnsi="Arial" w:eastAsia="黑体" w:cs="Arial"/>
      <w:sz w:val="20"/>
    </w:rPr>
  </w:style>
  <w:style w:type="paragraph" w:styleId="971" w:customStyle="1">
    <w:name w:val="索引 51"/>
    <w:basedOn w:val="756"/>
    <w:next w:val="756"/>
    <w:uiPriority w:val="0"/>
    <w:qFormat/>
    <w:pPr>
      <w:ind w:left="800"/>
    </w:pPr>
    <w:rPr>
      <w:rFonts w:ascii="Times New Roman"/>
    </w:rPr>
  </w:style>
  <w:style w:type="paragraph" w:styleId="972" w:customStyle="1">
    <w:name w:val="列表项目符号1"/>
    <w:basedOn w:val="756"/>
    <w:uiPriority w:val="0"/>
    <w:qFormat/>
    <w:pPr>
      <w:ind w:left="360" w:firstLine="200"/>
      <w:tabs>
        <w:tab w:val="left" w:pos="360" w:leader="none"/>
      </w:tabs>
    </w:pPr>
    <w:rPr>
      <w:rFonts w:ascii="Times New Roman" w:hAnsi="宋体"/>
      <w:color w:val="000000"/>
      <w:spacing w:val="-8"/>
    </w:rPr>
  </w:style>
  <w:style w:type="paragraph" w:styleId="973" w:customStyle="1">
    <w:name w:val="文档结构图1"/>
    <w:basedOn w:val="756"/>
    <w:link w:val="974"/>
    <w:uiPriority w:val="0"/>
    <w:qFormat/>
    <w:pPr>
      <w:shd w:val="clear" w:color="auto" w:fill="000080"/>
    </w:pPr>
  </w:style>
  <w:style w:type="character" w:styleId="974" w:customStyle="1">
    <w:name w:val="文档结构图 字符"/>
    <w:link w:val="973"/>
    <w:uiPriority w:val="0"/>
    <w:qFormat/>
    <w:rPr>
      <w:rFonts w:ascii="Times New Roman" w:hAnsi="Times New Roman" w:eastAsia="宋体" w:cs="Times New Roman"/>
      <w:sz w:val="21"/>
      <w:szCs w:val="24"/>
      <w:lang w:val="en-US" w:eastAsia="zh-CN" w:bidi="ar-SA"/>
    </w:rPr>
  </w:style>
  <w:style w:type="paragraph" w:styleId="975" w:customStyle="1">
    <w:name w:val="批注文字1"/>
    <w:basedOn w:val="756"/>
    <w:link w:val="976"/>
    <w:uiPriority w:val="0"/>
    <w:qFormat/>
    <w:pPr>
      <w:jc w:val="left"/>
    </w:pPr>
  </w:style>
  <w:style w:type="character" w:styleId="976" w:customStyle="1">
    <w:name w:val="批注文字 字符"/>
    <w:link w:val="975"/>
    <w:uiPriority w:val="0"/>
    <w:qFormat/>
    <w:rPr>
      <w:rFonts w:ascii="Times New Roman" w:hAnsi="Times New Roman" w:eastAsia="宋体" w:cs="Times New Roman"/>
      <w:sz w:val="21"/>
      <w:szCs w:val="24"/>
    </w:rPr>
  </w:style>
  <w:style w:type="paragraph" w:styleId="977" w:customStyle="1">
    <w:name w:val="索引 61"/>
    <w:basedOn w:val="756"/>
    <w:next w:val="756"/>
    <w:uiPriority w:val="0"/>
    <w:qFormat/>
    <w:pPr>
      <w:ind w:left="1000"/>
    </w:pPr>
    <w:rPr>
      <w:rFonts w:ascii="Times New Roman"/>
    </w:rPr>
  </w:style>
  <w:style w:type="paragraph" w:styleId="978" w:customStyle="1">
    <w:name w:val="称呼1"/>
    <w:basedOn w:val="756"/>
    <w:next w:val="756"/>
    <w:link w:val="979"/>
    <w:uiPriority w:val="0"/>
    <w:qFormat/>
    <w:pPr>
      <w:ind w:firstLine="420"/>
      <w:spacing w:after="20" w:line="288" w:lineRule="auto"/>
    </w:pPr>
    <w:rPr>
      <w:sz w:val="28"/>
    </w:rPr>
  </w:style>
  <w:style w:type="character" w:styleId="979" w:customStyle="1">
    <w:name w:val="称呼 字符"/>
    <w:link w:val="978"/>
    <w:uiPriority w:val="0"/>
    <w:qFormat/>
    <w:rPr>
      <w:rFonts w:ascii="Times New Roman" w:hAnsi="Times New Roman" w:eastAsia="宋体" w:cs="Times New Roman"/>
      <w:sz w:val="28"/>
      <w:szCs w:val="24"/>
    </w:rPr>
  </w:style>
  <w:style w:type="paragraph" w:styleId="980" w:customStyle="1">
    <w:name w:val="正文文本 31"/>
    <w:basedOn w:val="756"/>
    <w:link w:val="981"/>
    <w:uiPriority w:val="0"/>
    <w:qFormat/>
    <w:pPr>
      <w:jc w:val="center"/>
      <w:spacing w:after="20" w:line="288" w:lineRule="auto"/>
    </w:pPr>
    <w:rPr>
      <w:sz w:val="24"/>
    </w:rPr>
  </w:style>
  <w:style w:type="character" w:styleId="981" w:customStyle="1">
    <w:name w:val="正文文本 3 字符"/>
    <w:link w:val="980"/>
    <w:uiPriority w:val="0"/>
    <w:qFormat/>
    <w:rPr>
      <w:sz w:val="24"/>
      <w:szCs w:val="24"/>
    </w:rPr>
  </w:style>
  <w:style w:type="paragraph" w:styleId="982" w:customStyle="1">
    <w:name w:val="结束语1"/>
    <w:basedOn w:val="756"/>
    <w:link w:val="983"/>
    <w:uiPriority w:val="0"/>
    <w:qFormat/>
    <w:pPr>
      <w:ind w:left="100" w:firstLine="420"/>
      <w:spacing w:after="20" w:line="288" w:lineRule="auto"/>
    </w:pPr>
    <w:rPr>
      <w:sz w:val="28"/>
    </w:rPr>
  </w:style>
  <w:style w:type="character" w:styleId="983" w:customStyle="1">
    <w:name w:val="结束语 字符"/>
    <w:link w:val="982"/>
    <w:uiPriority w:val="0"/>
    <w:qFormat/>
    <w:rPr>
      <w:rFonts w:ascii="Times New Roman" w:hAnsi="Times New Roman" w:eastAsia="宋体" w:cs="Times New Roman"/>
      <w:sz w:val="28"/>
      <w:szCs w:val="24"/>
    </w:rPr>
  </w:style>
  <w:style w:type="paragraph" w:styleId="984" w:customStyle="1">
    <w:name w:val="正文文本111"/>
    <w:basedOn w:val="756"/>
    <w:link w:val="985"/>
    <w:uiPriority w:val="0"/>
    <w:qFormat/>
    <w:rPr>
      <w:rFonts w:ascii="仿宋_GB2312" w:eastAsia="仿宋_GB2312"/>
      <w:sz w:val="28"/>
    </w:rPr>
  </w:style>
  <w:style w:type="character" w:styleId="985" w:customStyle="1">
    <w:name w:val="正文文本 字符"/>
    <w:link w:val="984"/>
    <w:uiPriority w:val="0"/>
    <w:qFormat/>
    <w:rPr>
      <w:rFonts w:ascii="仿宋_GB2312" w:eastAsia="仿宋_GB2312"/>
      <w:sz w:val="28"/>
    </w:rPr>
  </w:style>
  <w:style w:type="paragraph" w:styleId="986" w:customStyle="1">
    <w:name w:val="正文文本缩进1"/>
    <w:basedOn w:val="756"/>
    <w:next w:val="987"/>
    <w:link w:val="988"/>
    <w:uiPriority w:val="0"/>
    <w:qFormat/>
    <w:pPr>
      <w:ind w:left="156"/>
      <w:spacing w:line="300" w:lineRule="auto"/>
      <w:widowControl/>
    </w:pPr>
    <w:rPr>
      <w:rFonts w:ascii="仿宋_GB2312" w:eastAsia="仿宋_GB2312"/>
      <w:sz w:val="28"/>
    </w:rPr>
  </w:style>
  <w:style w:type="paragraph" w:styleId="987" w:customStyle="1">
    <w:name w:val="寄信人地址1"/>
    <w:basedOn w:val="756"/>
    <w:uiPriority w:val="99"/>
    <w:unhideWhenUsed/>
    <w:qFormat/>
    <w:rPr>
      <w:rFonts w:ascii="Arial" w:hAnsi="Arial"/>
    </w:rPr>
  </w:style>
  <w:style w:type="character" w:styleId="988" w:customStyle="1">
    <w:name w:val="正文文本缩进 字符"/>
    <w:link w:val="986"/>
    <w:uiPriority w:val="0"/>
    <w:qFormat/>
    <w:rPr>
      <w:rFonts w:ascii="仿宋_GB2312" w:hAnsi="Times New Roman" w:eastAsia="仿宋_GB2312" w:cs="Times New Roman"/>
      <w:sz w:val="28"/>
      <w:lang w:val="en-US" w:eastAsia="zh-CN" w:bidi="ar-SA"/>
    </w:rPr>
  </w:style>
  <w:style w:type="paragraph" w:styleId="989" w:customStyle="1">
    <w:name w:val="列表 21"/>
    <w:basedOn w:val="756"/>
    <w:uiPriority w:val="0"/>
    <w:qFormat/>
    <w:pPr>
      <w:ind w:left="840" w:hanging="420"/>
    </w:pPr>
    <w:rPr>
      <w:rFonts w:ascii="Times New Roman" w:hAnsi="宋体"/>
      <w:color w:val="000000"/>
      <w:spacing w:val="-8"/>
    </w:rPr>
  </w:style>
  <w:style w:type="paragraph" w:styleId="990" w:customStyle="1">
    <w:name w:val="列表接续1"/>
    <w:basedOn w:val="756"/>
    <w:uiPriority w:val="0"/>
    <w:qFormat/>
    <w:pPr>
      <w:ind w:left="420" w:firstLine="448"/>
      <w:spacing w:after="120"/>
    </w:pPr>
    <w:rPr>
      <w:rFonts w:ascii="Times New Roman" w:hAnsi="宋体"/>
      <w:color w:val="000000"/>
      <w:spacing w:val="-8"/>
    </w:rPr>
  </w:style>
  <w:style w:type="paragraph" w:styleId="991" w:customStyle="1">
    <w:name w:val="文本块1"/>
    <w:basedOn w:val="756"/>
    <w:uiPriority w:val="0"/>
    <w:qFormat/>
    <w:pPr>
      <w:ind w:left="420" w:right="33"/>
      <w:jc w:val="left"/>
    </w:pPr>
    <w:rPr>
      <w:rFonts w:ascii="Times New Roman"/>
      <w:sz w:val="24"/>
    </w:rPr>
  </w:style>
  <w:style w:type="paragraph" w:styleId="992" w:customStyle="1">
    <w:name w:val="列表项目符号 21"/>
    <w:basedOn w:val="756"/>
    <w:uiPriority w:val="0"/>
    <w:qFormat/>
    <w:pPr>
      <w:ind w:left="780" w:firstLine="200"/>
      <w:tabs>
        <w:tab w:val="left" w:pos="780" w:leader="none"/>
      </w:tabs>
    </w:pPr>
    <w:rPr>
      <w:rFonts w:ascii="Times New Roman" w:hAnsi="宋体"/>
      <w:color w:val="000000"/>
      <w:spacing w:val="-8"/>
    </w:rPr>
  </w:style>
  <w:style w:type="paragraph" w:styleId="993" w:customStyle="1">
    <w:name w:val="索引 411"/>
    <w:basedOn w:val="756"/>
    <w:next w:val="756"/>
    <w:uiPriority w:val="0"/>
    <w:qFormat/>
    <w:pPr>
      <w:ind w:left="600"/>
    </w:pPr>
    <w:rPr>
      <w:rFonts w:ascii="Times New Roman"/>
    </w:rPr>
  </w:style>
  <w:style w:type="paragraph" w:styleId="994" w:customStyle="1">
    <w:name w:val="目录 51"/>
    <w:basedOn w:val="756"/>
    <w:next w:val="756"/>
    <w:uiPriority w:val="0"/>
    <w:qFormat/>
    <w:pPr>
      <w:ind w:left="840" w:firstLine="420"/>
      <w:jc w:val="left"/>
      <w:spacing w:line="288" w:lineRule="auto"/>
    </w:pPr>
    <w:rPr>
      <w:rFonts w:ascii="Times New Roman"/>
      <w:sz w:val="18"/>
      <w:szCs w:val="18"/>
    </w:rPr>
  </w:style>
  <w:style w:type="paragraph" w:styleId="995" w:customStyle="1">
    <w:name w:val="目录 31"/>
    <w:basedOn w:val="756"/>
    <w:next w:val="756"/>
    <w:uiPriority w:val="0"/>
    <w:qFormat/>
    <w:pPr>
      <w:ind w:left="420" w:firstLine="420"/>
      <w:jc w:val="left"/>
      <w:spacing w:line="288" w:lineRule="auto"/>
    </w:pPr>
    <w:rPr>
      <w:rFonts w:ascii="Times New Roman"/>
      <w:iCs/>
      <w:sz w:val="20"/>
    </w:rPr>
  </w:style>
  <w:style w:type="paragraph" w:styleId="996" w:customStyle="1">
    <w:name w:val="纯文本11"/>
    <w:basedOn w:val="756"/>
    <w:link w:val="997"/>
    <w:uiPriority w:val="0"/>
    <w:qFormat/>
    <w:rPr>
      <w:rFonts w:hAnsi="Courier New"/>
      <w:szCs w:val="21"/>
    </w:rPr>
  </w:style>
  <w:style w:type="character" w:styleId="997" w:customStyle="1">
    <w:name w:val="纯文本 字符"/>
    <w:link w:val="996"/>
    <w:uiPriority w:val="0"/>
    <w:qFormat/>
    <w:rPr>
      <w:rFonts w:ascii="宋体" w:hAnsi="Courier New" w:eastAsia="宋体" w:cs="Times New Roman"/>
      <w:sz w:val="21"/>
      <w:szCs w:val="21"/>
    </w:rPr>
  </w:style>
  <w:style w:type="paragraph" w:styleId="998" w:customStyle="1">
    <w:name w:val="列表项目符号 51"/>
    <w:basedOn w:val="756"/>
    <w:uiPriority w:val="0"/>
    <w:qFormat/>
    <w:pPr>
      <w:numPr>
        <w:ilvl w:val="0"/>
        <w:numId w:val="2"/>
      </w:numPr>
      <w:spacing w:line="360" w:lineRule="exact"/>
      <w:widowControl/>
    </w:pPr>
    <w:rPr>
      <w:rFonts w:ascii="Times New Roman" w:eastAsia="楷体_GB2312"/>
      <w:sz w:val="24"/>
    </w:rPr>
  </w:style>
  <w:style w:type="paragraph" w:styleId="999" w:customStyle="1">
    <w:name w:val="目录 81"/>
    <w:basedOn w:val="756"/>
    <w:next w:val="756"/>
    <w:uiPriority w:val="0"/>
    <w:qFormat/>
    <w:pPr>
      <w:ind w:left="1470" w:firstLine="420"/>
      <w:jc w:val="left"/>
      <w:spacing w:line="288" w:lineRule="auto"/>
    </w:pPr>
    <w:rPr>
      <w:rFonts w:ascii="Times New Roman"/>
      <w:sz w:val="18"/>
      <w:szCs w:val="18"/>
    </w:rPr>
  </w:style>
  <w:style w:type="paragraph" w:styleId="1000" w:customStyle="1">
    <w:name w:val="索引 31"/>
    <w:basedOn w:val="756"/>
    <w:next w:val="756"/>
    <w:uiPriority w:val="0"/>
    <w:qFormat/>
    <w:pPr>
      <w:ind w:left="400"/>
    </w:pPr>
    <w:rPr>
      <w:rFonts w:ascii="Times New Roman"/>
    </w:rPr>
  </w:style>
  <w:style w:type="paragraph" w:styleId="1001" w:customStyle="1">
    <w:name w:val="日期1"/>
    <w:basedOn w:val="756"/>
    <w:next w:val="756"/>
    <w:link w:val="1002"/>
    <w:uiPriority w:val="0"/>
    <w:qFormat/>
    <w:pPr>
      <w:ind w:left="100"/>
    </w:pPr>
    <w:rPr>
      <w:rFonts w:ascii="楷体_GB2312" w:eastAsia="楷体_GB2312"/>
      <w:b/>
      <w:sz w:val="28"/>
    </w:rPr>
  </w:style>
  <w:style w:type="character" w:styleId="1002" w:customStyle="1">
    <w:name w:val="日期 字符"/>
    <w:link w:val="1001"/>
    <w:uiPriority w:val="0"/>
    <w:qFormat/>
    <w:rPr>
      <w:rFonts w:ascii="楷体_GB2312" w:eastAsia="楷体_GB2312"/>
      <w:b/>
      <w:sz w:val="28"/>
      <w:szCs w:val="24"/>
    </w:rPr>
  </w:style>
  <w:style w:type="paragraph" w:styleId="1003" w:customStyle="1">
    <w:name w:val="正文文本缩进 211"/>
    <w:basedOn w:val="756"/>
    <w:link w:val="1004"/>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04" w:customStyle="1">
    <w:name w:val="正文文本缩进 2 字符"/>
    <w:link w:val="1003"/>
    <w:uiPriority w:val="0"/>
    <w:qFormat/>
    <w:rPr>
      <w:rFonts w:ascii="楷体_GB2312" w:hAnsi="Times New Roman" w:eastAsia="楷体_GB2312" w:cs="Times New Roman"/>
      <w:sz w:val="24"/>
      <w:szCs w:val="24"/>
      <w:lang w:val="en-US" w:eastAsia="zh-CN" w:bidi="ar-SA"/>
    </w:rPr>
  </w:style>
  <w:style w:type="paragraph" w:styleId="1005" w:customStyle="1">
    <w:name w:val="批注框文本1"/>
    <w:basedOn w:val="756"/>
    <w:link w:val="1006"/>
    <w:uiPriority w:val="0"/>
    <w:qFormat/>
    <w:rPr>
      <w:sz w:val="18"/>
      <w:szCs w:val="18"/>
    </w:rPr>
  </w:style>
  <w:style w:type="character" w:styleId="1006" w:customStyle="1">
    <w:name w:val="批注框文本 字符"/>
    <w:link w:val="1005"/>
    <w:uiPriority w:val="0"/>
    <w:qFormat/>
    <w:rPr>
      <w:rFonts w:ascii="Times New Roman" w:hAnsi="Times New Roman" w:eastAsia="宋体" w:cs="Times New Roman"/>
      <w:sz w:val="18"/>
      <w:szCs w:val="18"/>
    </w:rPr>
  </w:style>
  <w:style w:type="paragraph" w:styleId="1007" w:customStyle="1">
    <w:name w:val="页脚1"/>
    <w:basedOn w:val="756"/>
    <w:link w:val="1008"/>
    <w:uiPriority w:val="0"/>
    <w:qFormat/>
    <w:pPr>
      <w:jc w:val="left"/>
      <w:tabs>
        <w:tab w:val="center" w:pos="4153" w:leader="none"/>
        <w:tab w:val="right" w:pos="8306" w:leader="none"/>
      </w:tabs>
    </w:pPr>
    <w:rPr>
      <w:sz w:val="18"/>
      <w:szCs w:val="18"/>
    </w:rPr>
  </w:style>
  <w:style w:type="character" w:styleId="1008" w:customStyle="1">
    <w:name w:val="页脚 字符1"/>
    <w:link w:val="1007"/>
    <w:uiPriority w:val="0"/>
    <w:qFormat/>
    <w:rPr>
      <w:rFonts w:ascii="Times New Roman" w:hAnsi="Times New Roman" w:eastAsia="宋体" w:cs="Times New Roman"/>
      <w:sz w:val="18"/>
      <w:szCs w:val="18"/>
    </w:rPr>
  </w:style>
  <w:style w:type="paragraph" w:styleId="1009" w:customStyle="1">
    <w:name w:val="页眉11"/>
    <w:basedOn w:val="756"/>
    <w:link w:val="1010"/>
    <w:uiPriority w:val="0"/>
    <w:qFormat/>
    <w:pPr>
      <w:jc w:val="center"/>
      <w:tabs>
        <w:tab w:val="center" w:pos="4153" w:leader="none"/>
        <w:tab w:val="right" w:pos="8306" w:leader="none"/>
      </w:tabs>
      <w:pBdr>
        <w:bottom w:val="single" w:color="000000" w:sz="6" w:space="1"/>
      </w:pBdr>
    </w:pPr>
    <w:rPr>
      <w:sz w:val="18"/>
      <w:szCs w:val="18"/>
    </w:rPr>
  </w:style>
  <w:style w:type="character" w:styleId="1010" w:customStyle="1">
    <w:name w:val="页眉 字符"/>
    <w:link w:val="1009"/>
    <w:uiPriority w:val="0"/>
    <w:qFormat/>
    <w:rPr>
      <w:sz w:val="18"/>
      <w:szCs w:val="18"/>
    </w:rPr>
  </w:style>
  <w:style w:type="paragraph" w:styleId="1011" w:customStyle="1">
    <w:name w:val="目录 11"/>
    <w:basedOn w:val="756"/>
    <w:next w:val="756"/>
    <w:link w:val="1012"/>
    <w:uiPriority w:val="0"/>
    <w:qFormat/>
    <w:pPr>
      <w:spacing w:before="120" w:after="120" w:line="288" w:lineRule="auto"/>
      <w:tabs>
        <w:tab w:val="right" w:pos="8296" w:leader="dot"/>
      </w:tabs>
    </w:pPr>
    <w:rPr>
      <w:rFonts w:ascii="黑体" w:hAnsi="宋体" w:eastAsia="黑体"/>
      <w:caps/>
      <w:sz w:val="30"/>
      <w:szCs w:val="30"/>
    </w:rPr>
  </w:style>
  <w:style w:type="character" w:styleId="1012" w:customStyle="1">
    <w:name w:val="TOC 1 字符"/>
    <w:link w:val="1011"/>
    <w:uiPriority w:val="0"/>
    <w:qFormat/>
    <w:rPr>
      <w:rFonts w:ascii="黑体" w:hAnsi="宋体" w:eastAsia="黑体" w:cs="Times New Roman"/>
      <w:caps/>
      <w:sz w:val="30"/>
      <w:szCs w:val="30"/>
      <w:lang w:val="en-US" w:eastAsia="zh-CN" w:bidi="ar-SA"/>
    </w:rPr>
  </w:style>
  <w:style w:type="paragraph" w:styleId="1013" w:customStyle="1">
    <w:name w:val="目录 41"/>
    <w:basedOn w:val="756"/>
    <w:next w:val="756"/>
    <w:uiPriority w:val="0"/>
    <w:qFormat/>
    <w:pPr>
      <w:ind w:left="630" w:firstLine="420"/>
      <w:jc w:val="left"/>
      <w:spacing w:line="288" w:lineRule="auto"/>
    </w:pPr>
    <w:rPr>
      <w:rFonts w:ascii="Times New Roman"/>
      <w:sz w:val="18"/>
      <w:szCs w:val="18"/>
    </w:rPr>
  </w:style>
  <w:style w:type="paragraph" w:styleId="1014" w:customStyle="1">
    <w:name w:val="列表1"/>
    <w:basedOn w:val="756"/>
    <w:uiPriority w:val="0"/>
    <w:qFormat/>
    <w:pPr>
      <w:numPr>
        <w:ilvl w:val="0"/>
        <w:numId w:val="3"/>
      </w:numPr>
      <w:spacing w:after="20" w:line="288" w:lineRule="auto"/>
    </w:pPr>
    <w:rPr>
      <w:rFonts w:ascii="Times New Roman"/>
      <w:lang w:val="en-GB"/>
    </w:rPr>
  </w:style>
  <w:style w:type="paragraph" w:styleId="1015" w:customStyle="1">
    <w:name w:val="脚注文本1"/>
    <w:basedOn w:val="756"/>
    <w:link w:val="1016"/>
    <w:uiPriority w:val="0"/>
    <w:qFormat/>
    <w:pPr>
      <w:ind w:firstLine="425"/>
      <w:jc w:val="left"/>
      <w:spacing w:after="60" w:line="360" w:lineRule="exact"/>
    </w:pPr>
    <w:rPr>
      <w:sz w:val="18"/>
      <w:szCs w:val="18"/>
    </w:rPr>
  </w:style>
  <w:style w:type="character" w:styleId="1016" w:customStyle="1">
    <w:name w:val="脚注文本 字符"/>
    <w:link w:val="1015"/>
    <w:uiPriority w:val="0"/>
    <w:qFormat/>
    <w:rPr>
      <w:rFonts w:ascii="Times New Roman" w:hAnsi="Times New Roman" w:eastAsia="宋体" w:cs="Times New Roman"/>
      <w:sz w:val="18"/>
      <w:szCs w:val="18"/>
    </w:rPr>
  </w:style>
  <w:style w:type="paragraph" w:styleId="1017" w:customStyle="1">
    <w:name w:val="目录 61"/>
    <w:basedOn w:val="756"/>
    <w:next w:val="756"/>
    <w:uiPriority w:val="0"/>
    <w:qFormat/>
    <w:pPr>
      <w:ind w:left="1050" w:firstLine="420"/>
      <w:jc w:val="left"/>
      <w:spacing w:line="288" w:lineRule="auto"/>
    </w:pPr>
    <w:rPr>
      <w:rFonts w:ascii="Times New Roman"/>
      <w:sz w:val="18"/>
      <w:szCs w:val="18"/>
    </w:rPr>
  </w:style>
  <w:style w:type="paragraph" w:styleId="1018" w:customStyle="1">
    <w:name w:val="列表 51"/>
    <w:basedOn w:val="756"/>
    <w:uiPriority w:val="0"/>
    <w:qFormat/>
    <w:pPr>
      <w:ind w:left="2100" w:hanging="420"/>
    </w:pPr>
    <w:rPr>
      <w:rFonts w:ascii="Times New Roman" w:hAnsi="宋体"/>
      <w:color w:val="000000"/>
      <w:spacing w:val="-8"/>
    </w:rPr>
  </w:style>
  <w:style w:type="paragraph" w:styleId="1019" w:customStyle="1">
    <w:name w:val="正文文本缩进 31"/>
    <w:basedOn w:val="756"/>
    <w:link w:val="1020"/>
    <w:uiPriority w:val="0"/>
    <w:qFormat/>
    <w:pPr>
      <w:ind w:firstLine="698"/>
      <w:jc w:val="left"/>
      <w:spacing w:line="360" w:lineRule="auto"/>
    </w:pPr>
    <w:rPr>
      <w:rFonts w:ascii="仿宋_GB2312" w:eastAsia="仿宋_GB2312"/>
      <w:sz w:val="32"/>
    </w:rPr>
  </w:style>
  <w:style w:type="character" w:styleId="1020" w:customStyle="1">
    <w:name w:val="正文文本缩进 3 字符"/>
    <w:link w:val="1019"/>
    <w:uiPriority w:val="0"/>
    <w:qFormat/>
    <w:rPr>
      <w:rFonts w:ascii="仿宋_GB2312" w:eastAsia="仿宋_GB2312"/>
      <w:sz w:val="32"/>
    </w:rPr>
  </w:style>
  <w:style w:type="paragraph" w:styleId="1021" w:customStyle="1">
    <w:name w:val="索引 71"/>
    <w:basedOn w:val="756"/>
    <w:next w:val="756"/>
    <w:uiPriority w:val="0"/>
    <w:qFormat/>
    <w:pPr>
      <w:ind w:left="1200"/>
    </w:pPr>
    <w:rPr>
      <w:rFonts w:ascii="Times New Roman"/>
    </w:rPr>
  </w:style>
  <w:style w:type="paragraph" w:styleId="1022" w:customStyle="1">
    <w:name w:val="索引 91"/>
    <w:basedOn w:val="756"/>
    <w:next w:val="756"/>
    <w:uiPriority w:val="0"/>
    <w:qFormat/>
    <w:pPr>
      <w:ind w:left="1600"/>
    </w:pPr>
    <w:rPr>
      <w:rFonts w:ascii="Times New Roman"/>
    </w:rPr>
  </w:style>
  <w:style w:type="paragraph" w:styleId="1023" w:customStyle="1">
    <w:name w:val="目录 21"/>
    <w:basedOn w:val="756"/>
    <w:next w:val="756"/>
    <w:uiPriority w:val="0"/>
    <w:qFormat/>
    <w:pPr>
      <w:ind w:left="210" w:firstLine="420"/>
      <w:jc w:val="left"/>
      <w:spacing w:line="288" w:lineRule="auto"/>
    </w:pPr>
    <w:rPr>
      <w:rFonts w:ascii="Times New Roman"/>
      <w:smallCaps/>
      <w:sz w:val="20"/>
    </w:rPr>
  </w:style>
  <w:style w:type="paragraph" w:styleId="1024" w:customStyle="1">
    <w:name w:val="目录 91"/>
    <w:basedOn w:val="756"/>
    <w:next w:val="756"/>
    <w:uiPriority w:val="0"/>
    <w:qFormat/>
    <w:pPr>
      <w:ind w:left="1680" w:firstLine="420"/>
      <w:jc w:val="left"/>
      <w:spacing w:line="288" w:lineRule="auto"/>
    </w:pPr>
    <w:rPr>
      <w:rFonts w:ascii="Times New Roman"/>
      <w:sz w:val="18"/>
      <w:szCs w:val="18"/>
    </w:rPr>
  </w:style>
  <w:style w:type="paragraph" w:styleId="1025" w:customStyle="1">
    <w:name w:val="正文文本 21"/>
    <w:basedOn w:val="756"/>
    <w:link w:val="1026"/>
    <w:uiPriority w:val="0"/>
    <w:qFormat/>
    <w:pPr>
      <w:ind w:firstLine="420"/>
      <w:spacing w:after="20" w:line="720" w:lineRule="auto"/>
    </w:pPr>
    <w:rPr>
      <w:sz w:val="30"/>
    </w:rPr>
  </w:style>
  <w:style w:type="character" w:styleId="1026" w:customStyle="1">
    <w:name w:val="正文文本 2 字符"/>
    <w:link w:val="1025"/>
    <w:uiPriority w:val="0"/>
    <w:qFormat/>
    <w:rPr>
      <w:rFonts w:ascii="Times New Roman" w:hAnsi="Times New Roman" w:eastAsia="宋体" w:cs="Times New Roman"/>
      <w:sz w:val="30"/>
      <w:szCs w:val="24"/>
    </w:rPr>
  </w:style>
  <w:style w:type="paragraph" w:styleId="1027" w:customStyle="1">
    <w:name w:val="列表 41"/>
    <w:basedOn w:val="756"/>
    <w:uiPriority w:val="0"/>
    <w:qFormat/>
    <w:pPr>
      <w:ind w:left="1680" w:hanging="420"/>
    </w:pPr>
    <w:rPr>
      <w:rFonts w:ascii="Times New Roman" w:hAnsi="宋体"/>
      <w:color w:val="000000"/>
      <w:spacing w:val="-8"/>
    </w:rPr>
  </w:style>
  <w:style w:type="paragraph" w:styleId="1028" w:customStyle="1">
    <w:name w:val="列表接续 21"/>
    <w:basedOn w:val="756"/>
    <w:uiPriority w:val="0"/>
    <w:qFormat/>
    <w:pPr>
      <w:ind w:left="840" w:firstLine="448"/>
      <w:spacing w:after="120"/>
    </w:pPr>
    <w:rPr>
      <w:rFonts w:ascii="Times New Roman" w:hAnsi="宋体"/>
      <w:color w:val="000000"/>
      <w:spacing w:val="-8"/>
    </w:rPr>
  </w:style>
  <w:style w:type="paragraph" w:styleId="1029" w:customStyle="1">
    <w:name w:val="信息标题1"/>
    <w:basedOn w:val="984"/>
    <w:link w:val="1030"/>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30" w:customStyle="1">
    <w:name w:val="信息标题 字符"/>
    <w:link w:val="1029"/>
    <w:uiPriority w:val="0"/>
    <w:qFormat/>
    <w:rPr>
      <w:rFonts w:ascii="Garamond" w:hAnsi="Garamond"/>
      <w:color w:val="000000"/>
      <w:spacing w:val="-8"/>
      <w:sz w:val="18"/>
      <w:lang w:bidi="he-IL"/>
    </w:rPr>
  </w:style>
  <w:style w:type="paragraph" w:styleId="1031" w:customStyle="1">
    <w:name w:val="HTML 预设格式1"/>
    <w:basedOn w:val="756"/>
    <w:link w:val="10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2" w:customStyle="1">
    <w:name w:val="HTML 预设格式 字符"/>
    <w:link w:val="1031"/>
    <w:uiPriority w:val="0"/>
    <w:qFormat/>
    <w:rPr>
      <w:rFonts w:ascii="黑体" w:hAnsi="Courier New" w:eastAsia="黑体" w:cs="Times New Roman"/>
    </w:rPr>
  </w:style>
  <w:style w:type="paragraph" w:styleId="1033" w:customStyle="1">
    <w:name w:val="普通(网站)1"/>
    <w:basedOn w:val="756"/>
    <w:link w:val="1034"/>
    <w:uiPriority w:val="0"/>
    <w:qFormat/>
    <w:pPr>
      <w:ind w:firstLine="420"/>
      <w:jc w:val="left"/>
      <w:spacing w:before="100" w:beforeAutospacing="1" w:after="100" w:afterAutospacing="1" w:line="288" w:lineRule="auto"/>
      <w:widowControl/>
    </w:pPr>
    <w:rPr>
      <w:rFonts w:hAnsi="宋体"/>
      <w:sz w:val="24"/>
    </w:rPr>
  </w:style>
  <w:style w:type="character" w:styleId="1034" w:customStyle="1">
    <w:name w:val="普通(网站) 字符"/>
    <w:link w:val="1033"/>
    <w:uiPriority w:val="0"/>
    <w:qFormat/>
    <w:rPr>
      <w:rFonts w:ascii="宋体" w:hAnsi="宋体" w:eastAsia="宋体" w:cs="Times New Roman"/>
      <w:sz w:val="24"/>
      <w:szCs w:val="24"/>
    </w:rPr>
  </w:style>
  <w:style w:type="paragraph" w:styleId="1035" w:customStyle="1">
    <w:name w:val="列表接续 31"/>
    <w:basedOn w:val="756"/>
    <w:uiPriority w:val="0"/>
    <w:qFormat/>
    <w:pPr>
      <w:ind w:left="1260" w:firstLine="448"/>
      <w:spacing w:after="120"/>
    </w:pPr>
    <w:rPr>
      <w:rFonts w:ascii="Times New Roman" w:hAnsi="宋体"/>
      <w:color w:val="000000"/>
      <w:spacing w:val="-8"/>
    </w:rPr>
  </w:style>
  <w:style w:type="paragraph" w:styleId="1036" w:customStyle="1">
    <w:name w:val="索引 11"/>
    <w:basedOn w:val="756"/>
    <w:next w:val="756"/>
    <w:uiPriority w:val="0"/>
    <w:qFormat/>
    <w:rPr>
      <w:rFonts w:ascii="Times New Roman"/>
    </w:rPr>
  </w:style>
  <w:style w:type="paragraph" w:styleId="1037" w:customStyle="1">
    <w:name w:val="索引 21"/>
    <w:basedOn w:val="756"/>
    <w:next w:val="756"/>
    <w:uiPriority w:val="0"/>
    <w:qFormat/>
    <w:pPr>
      <w:ind w:left="200"/>
    </w:pPr>
    <w:rPr>
      <w:rFonts w:ascii="Times New Roman"/>
    </w:rPr>
  </w:style>
  <w:style w:type="paragraph" w:styleId="1038" w:customStyle="1">
    <w:name w:val="标题1"/>
    <w:basedOn w:val="756"/>
    <w:link w:val="1039"/>
    <w:uiPriority w:val="0"/>
    <w:qFormat/>
    <w:pPr>
      <w:ind w:firstLine="420"/>
      <w:jc w:val="center"/>
      <w:spacing w:before="240" w:after="60" w:line="288" w:lineRule="auto"/>
      <w:outlineLvl w:val="0"/>
    </w:pPr>
    <w:rPr>
      <w:rFonts w:ascii="Arial" w:hAnsi="Arial"/>
      <w:b/>
      <w:bCs/>
      <w:sz w:val="32"/>
      <w:szCs w:val="32"/>
    </w:rPr>
  </w:style>
  <w:style w:type="character" w:styleId="1039" w:customStyle="1">
    <w:name w:val="标题 字符"/>
    <w:link w:val="1038"/>
    <w:uiPriority w:val="0"/>
    <w:qFormat/>
    <w:rPr>
      <w:rFonts w:ascii="Arial" w:hAnsi="Arial" w:eastAsia="宋体" w:cs="Arial"/>
      <w:b/>
      <w:bCs/>
      <w:sz w:val="32"/>
      <w:szCs w:val="32"/>
    </w:rPr>
  </w:style>
  <w:style w:type="paragraph" w:styleId="1040" w:customStyle="1">
    <w:name w:val="批注主题1"/>
    <w:basedOn w:val="975"/>
    <w:next w:val="975"/>
    <w:link w:val="1041"/>
    <w:uiPriority w:val="0"/>
    <w:qFormat/>
    <w:rPr>
      <w:b/>
      <w:bCs/>
    </w:rPr>
  </w:style>
  <w:style w:type="character" w:styleId="1041" w:customStyle="1">
    <w:name w:val="批注主题 字符"/>
    <w:link w:val="1040"/>
    <w:uiPriority w:val="0"/>
    <w:qFormat/>
    <w:rPr>
      <w:rFonts w:ascii="Times New Roman" w:hAnsi="Times New Roman" w:eastAsia="宋体" w:cs="Times New Roman"/>
      <w:b/>
      <w:bCs/>
      <w:sz w:val="21"/>
      <w:szCs w:val="24"/>
    </w:rPr>
  </w:style>
  <w:style w:type="paragraph" w:styleId="1042" w:customStyle="1">
    <w:name w:val="正文首行缩进1"/>
    <w:basedOn w:val="756"/>
    <w:link w:val="1043"/>
    <w:uiPriority w:val="0"/>
    <w:qFormat/>
    <w:pPr>
      <w:ind w:firstLine="420"/>
      <w:spacing w:after="120"/>
    </w:pPr>
    <w:rPr>
      <w:color w:val="000000"/>
      <w:spacing w:val="-8"/>
      <w:sz w:val="21"/>
    </w:rPr>
  </w:style>
  <w:style w:type="character" w:styleId="1043" w:customStyle="1">
    <w:name w:val="正文文本首行缩进 字符"/>
    <w:link w:val="1042"/>
    <w:uiPriority w:val="0"/>
    <w:qFormat/>
    <w:rPr>
      <w:rFonts w:ascii="仿宋_GB2312" w:hAnsi="Times New Roman" w:eastAsia="仿宋_GB2312" w:cs="Times New Roman"/>
      <w:color w:val="000000"/>
      <w:spacing w:val="-8"/>
      <w:sz w:val="21"/>
      <w:lang w:bidi="ar-SA"/>
    </w:rPr>
  </w:style>
  <w:style w:type="paragraph" w:styleId="1044" w:customStyle="1">
    <w:name w:val="正文首行缩进 21"/>
    <w:basedOn w:val="986"/>
    <w:next w:val="756"/>
    <w:link w:val="1045"/>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45" w:customStyle="1">
    <w:name w:val="正文文本首行缩进 2 字符"/>
    <w:link w:val="1044"/>
    <w:uiPriority w:val="0"/>
    <w:qFormat/>
    <w:rPr>
      <w:rFonts w:hAnsi="宋体"/>
      <w:color w:val="000000"/>
      <w:spacing w:val="-8"/>
      <w:sz w:val="21"/>
      <w:szCs w:val="24"/>
    </w:rPr>
  </w:style>
  <w:style w:type="table" w:styleId="1046" w:customStyle="1">
    <w:name w:val="网格型1"/>
    <w:basedOn w:val="955"/>
    <w:uiPriority w:val="59"/>
    <w:qFormat/>
    <w:rPr>
      <w:rFonts w:ascii="Calibri" w:hAnsi="Calibri"/>
      <w:sz w:val="21"/>
      <w:szCs w:val="22"/>
    </w:rPr>
    <w:tblPr/>
  </w:style>
  <w:style w:type="character" w:styleId="1047" w:customStyle="1">
    <w:name w:val="要点1"/>
    <w:uiPriority w:val="0"/>
    <w:qFormat/>
    <w:rPr>
      <w:rFonts w:ascii="Times New Roman" w:hAnsi="Times New Roman" w:eastAsia="宋体" w:cs="Times New Roman"/>
      <w:b/>
      <w:bCs/>
    </w:rPr>
  </w:style>
  <w:style w:type="character" w:styleId="1048" w:customStyle="1">
    <w:name w:val="页码1"/>
    <w:uiPriority w:val="0"/>
    <w:qFormat/>
    <w:rPr>
      <w:rFonts w:ascii="Times New Roman" w:hAnsi="Times New Roman" w:eastAsia="宋体" w:cs="Times New Roman"/>
    </w:rPr>
  </w:style>
  <w:style w:type="character" w:styleId="1049" w:customStyle="1">
    <w:name w:val="已访问的超链接1"/>
    <w:uiPriority w:val="0"/>
    <w:qFormat/>
    <w:rPr>
      <w:rFonts w:ascii="Times New Roman" w:hAnsi="Times New Roman" w:eastAsia="宋体" w:cs="Times New Roman"/>
      <w:color w:val="000000"/>
      <w:u w:val="none"/>
    </w:rPr>
  </w:style>
  <w:style w:type="character" w:styleId="1050" w:customStyle="1">
    <w:name w:val="强调1"/>
    <w:uiPriority w:val="0"/>
    <w:qFormat/>
    <w:rPr>
      <w:rFonts w:ascii="Times New Roman" w:hAnsi="Times New Roman" w:eastAsia="宋体" w:cs="Times New Roman"/>
      <w:i/>
    </w:rPr>
  </w:style>
  <w:style w:type="character" w:styleId="1051" w:customStyle="1">
    <w:name w:val="HTML 打字机11"/>
    <w:uiPriority w:val="0"/>
    <w:qFormat/>
    <w:rPr>
      <w:rFonts w:ascii="宋体" w:hAnsi="宋体" w:eastAsia="宋体" w:cs="宋体"/>
      <w:sz w:val="24"/>
      <w:szCs w:val="24"/>
    </w:rPr>
  </w:style>
  <w:style w:type="character" w:styleId="1052" w:customStyle="1">
    <w:name w:val="超链接1"/>
    <w:uiPriority w:val="0"/>
    <w:qFormat/>
    <w:rPr>
      <w:rFonts w:ascii="Times New Roman" w:hAnsi="Times New Roman" w:eastAsia="宋体" w:cs="Times New Roman"/>
      <w:color w:val="0000ff"/>
      <w:u w:val="single"/>
    </w:rPr>
  </w:style>
  <w:style w:type="character" w:styleId="1053" w:customStyle="1">
    <w:name w:val="HTML 代码1"/>
    <w:uiPriority w:val="99"/>
    <w:unhideWhenUsed/>
    <w:qFormat/>
    <w:rPr>
      <w:rFonts w:ascii="Courier New" w:hAnsi="Courier New"/>
      <w:sz w:val="20"/>
    </w:rPr>
  </w:style>
  <w:style w:type="character" w:styleId="1054" w:customStyle="1">
    <w:name w:val="批注引用11"/>
    <w:uiPriority w:val="0"/>
    <w:qFormat/>
    <w:rPr>
      <w:rFonts w:ascii="Times New Roman" w:hAnsi="Times New Roman" w:eastAsia="宋体" w:cs="Times New Roman"/>
      <w:sz w:val="21"/>
      <w:szCs w:val="21"/>
    </w:rPr>
  </w:style>
  <w:style w:type="character" w:styleId="1055" w:customStyle="1">
    <w:name w:val="脚注引用1"/>
    <w:uiPriority w:val="0"/>
    <w:qFormat/>
    <w:rPr>
      <w:rFonts w:ascii="宋体" w:hAnsi="宋体" w:eastAsia="宋体" w:cs="Times New Roman"/>
      <w:vertAlign w:val="superscript"/>
    </w:rPr>
  </w:style>
  <w:style w:type="character" w:styleId="1056" w:customStyle="1">
    <w:name w:val="HTML 打字机1"/>
    <w:uiPriority w:val="99"/>
    <w:qFormat/>
    <w:rPr>
      <w:rFonts w:ascii="宋体" w:hAnsi="宋体" w:eastAsia="宋体" w:cs="宋体"/>
      <w:sz w:val="24"/>
      <w:szCs w:val="24"/>
    </w:rPr>
  </w:style>
  <w:style w:type="paragraph" w:styleId="1057" w:customStyle="1">
    <w:name w:val="正文文本1"/>
    <w:basedOn w:val="756"/>
    <w:next w:val="756"/>
    <w:uiPriority w:val="0"/>
    <w:qFormat/>
    <w:rPr>
      <w:rFonts w:ascii="华文中宋" w:eastAsia="华文中宋"/>
      <w:bCs/>
      <w:sz w:val="28"/>
    </w:rPr>
  </w:style>
  <w:style w:type="paragraph" w:styleId="1058" w:customStyle="1">
    <w:name w:val="明显引用1"/>
    <w:next w:val="75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59" w:customStyle="1">
    <w:name w:val="Default"/>
    <w:next w:val="756"/>
    <w:uiPriority w:val="0"/>
    <w:qFormat/>
    <w:pPr>
      <w:widowControl w:val="off"/>
    </w:pPr>
    <w:rPr>
      <w:rFonts w:ascii="宋体" w:hAnsi="宋体" w:eastAsia="宋体" w:cs="宋体"/>
      <w:color w:val="000000"/>
      <w:sz w:val="24"/>
      <w:szCs w:val="24"/>
      <w:lang w:val="en-US" w:eastAsia="zh-CN" w:bidi="ar-SA"/>
    </w:rPr>
  </w:style>
  <w:style w:type="paragraph" w:styleId="1060" w:customStyle="1">
    <w:name w:val="列表段落"/>
    <w:basedOn w:val="756"/>
    <w:uiPriority w:val="0"/>
    <w:qFormat/>
    <w:pPr>
      <w:ind w:firstLine="420"/>
    </w:pPr>
    <w:rPr>
      <w:rFonts w:ascii="Calibri" w:hAnsi="Calibri"/>
      <w:szCs w:val="22"/>
    </w:rPr>
  </w:style>
  <w:style w:type="character" w:styleId="1061" w:customStyle="1">
    <w:name w:val="文档结构图 Char1"/>
    <w:uiPriority w:val="99"/>
    <w:qFormat/>
    <w:rPr>
      <w:rFonts w:ascii="宋体" w:hAnsi="Calibri"/>
      <w:sz w:val="18"/>
      <w:szCs w:val="18"/>
    </w:rPr>
  </w:style>
  <w:style w:type="character" w:styleId="1062" w:customStyle="1">
    <w:name w:val="正文文本缩进 2 Char1"/>
    <w:uiPriority w:val="99"/>
    <w:qFormat/>
    <w:rPr>
      <w:rFonts w:ascii="Calibri" w:hAnsi="Calibri"/>
      <w:sz w:val="21"/>
      <w:szCs w:val="22"/>
    </w:rPr>
  </w:style>
  <w:style w:type="character" w:styleId="1063" w:customStyle="1">
    <w:name w:val="font"/>
    <w:uiPriority w:val="0"/>
    <w:qFormat/>
    <w:rPr>
      <w:rFonts w:ascii="Times New Roman" w:hAnsi="Times New Roman" w:eastAsia="宋体" w:cs="Times New Roman"/>
    </w:rPr>
  </w:style>
  <w:style w:type="character" w:styleId="1064" w:customStyle="1">
    <w:name w:val="普通(Web)1 Char"/>
    <w:uiPriority w:val="0"/>
    <w:qFormat/>
    <w:rPr>
      <w:rFonts w:ascii="宋体" w:hAnsi="宋体" w:eastAsia="宋体" w:cs="Times New Roman"/>
      <w:sz w:val="24"/>
      <w:szCs w:val="24"/>
    </w:rPr>
  </w:style>
  <w:style w:type="character" w:styleId="1065" w:customStyle="1">
    <w:name w:val="页脚 字符"/>
    <w:uiPriority w:val="0"/>
    <w:qFormat/>
    <w:rPr>
      <w:rFonts w:ascii="Times New Roman" w:hAnsi="Times New Roman" w:eastAsia="宋体" w:cs="Times New Roman"/>
      <w:sz w:val="18"/>
      <w:szCs w:val="18"/>
    </w:rPr>
  </w:style>
  <w:style w:type="character" w:styleId="1066" w:customStyle="1">
    <w:name w:val="Char Char24"/>
    <w:uiPriority w:val="0"/>
    <w:qFormat/>
    <w:rPr>
      <w:rFonts w:ascii="Arial" w:hAnsi="Arial" w:eastAsia="黑体" w:cs="Times New Roman"/>
      <w:sz w:val="24"/>
      <w:szCs w:val="24"/>
    </w:rPr>
  </w:style>
  <w:style w:type="character" w:styleId="1067" w:customStyle="1">
    <w:name w:val="font11"/>
    <w:uiPriority w:val="0"/>
    <w:qFormat/>
    <w:rPr>
      <w:rFonts w:ascii="Calibri" w:hAnsi="Calibri" w:eastAsia="宋体" w:cs="Calibri"/>
      <w:color w:val="000000"/>
      <w:sz w:val="22"/>
      <w:szCs w:val="22"/>
      <w:u w:val="none"/>
    </w:rPr>
  </w:style>
  <w:style w:type="character" w:styleId="1068" w:customStyle="1">
    <w:name w:val="Char Char23"/>
    <w:uiPriority w:val="0"/>
    <w:qFormat/>
    <w:rPr>
      <w:rFonts w:ascii="Arial" w:hAnsi="Arial" w:eastAsia="黑体" w:cs="Times New Roman"/>
      <w:sz w:val="21"/>
      <w:szCs w:val="24"/>
    </w:rPr>
  </w:style>
  <w:style w:type="character" w:styleId="1069" w:customStyle="1">
    <w:name w:val="正文首行缩进 Char1"/>
    <w:uiPriority w:val="99"/>
    <w:qFormat/>
  </w:style>
  <w:style w:type="character" w:styleId="1070" w:customStyle="1">
    <w:name w:val="Char Char13"/>
    <w:uiPriority w:val="0"/>
    <w:qFormat/>
    <w:rPr>
      <w:rFonts w:ascii="仿宋_GB2312" w:hAnsi="Times New Roman" w:eastAsia="宋体" w:cs="Times New Roman"/>
      <w:sz w:val="18"/>
      <w:szCs w:val="18"/>
    </w:rPr>
  </w:style>
  <w:style w:type="character" w:styleId="1071" w:customStyle="1">
    <w:name w:val="称呼 Char1"/>
    <w:uiPriority w:val="99"/>
    <w:qFormat/>
    <w:rPr>
      <w:rFonts w:ascii="Calibri" w:hAnsi="Calibri"/>
      <w:sz w:val="21"/>
      <w:szCs w:val="22"/>
    </w:rPr>
  </w:style>
  <w:style w:type="character" w:styleId="1072" w:customStyle="1">
    <w:name w:val="Char Char28"/>
    <w:uiPriority w:val="0"/>
    <w:qFormat/>
    <w:rPr>
      <w:rFonts w:ascii="黑体" w:hAnsi="Times New Roman" w:eastAsia="黑体" w:cs="Times New Roman"/>
      <w:b/>
      <w:bCs/>
      <w:sz w:val="32"/>
      <w:szCs w:val="32"/>
    </w:rPr>
  </w:style>
  <w:style w:type="character" w:styleId="1073" w:customStyle="1">
    <w:name w:val="Char Char7"/>
    <w:uiPriority w:val="0"/>
    <w:qFormat/>
    <w:rPr>
      <w:rFonts w:ascii="Times New Roman" w:hAnsi="Times New Roman" w:eastAsia="宋体" w:cs="Times New Roman"/>
      <w:b/>
      <w:bCs/>
      <w:szCs w:val="21"/>
    </w:rPr>
  </w:style>
  <w:style w:type="character" w:styleId="1074" w:customStyle="1">
    <w:name w:val="Char Char14"/>
    <w:uiPriority w:val="0"/>
    <w:qFormat/>
    <w:rPr>
      <w:rFonts w:ascii="楷体_GB2312" w:hAnsi="Arial" w:eastAsia="楷体_GB2312" w:cs="Times New Roman"/>
      <w:sz w:val="28"/>
      <w:szCs w:val="24"/>
    </w:rPr>
  </w:style>
  <w:style w:type="character" w:styleId="1075" w:customStyle="1">
    <w:name w:val="more6"/>
    <w:uiPriority w:val="0"/>
    <w:qFormat/>
  </w:style>
  <w:style w:type="character" w:styleId="1076" w:customStyle="1">
    <w:name w:val="结束语 Char1"/>
    <w:uiPriority w:val="99"/>
    <w:qFormat/>
    <w:rPr>
      <w:rFonts w:ascii="Calibri" w:hAnsi="Calibri"/>
      <w:sz w:val="21"/>
      <w:szCs w:val="22"/>
    </w:rPr>
  </w:style>
  <w:style w:type="character" w:styleId="1077" w:customStyle="1">
    <w:name w:val="font21"/>
    <w:uiPriority w:val="0"/>
    <w:qFormat/>
    <w:rPr>
      <w:rFonts w:hint="eastAsia" w:ascii="宋体" w:hAnsi="宋体" w:eastAsia="宋体" w:cs="宋体"/>
      <w:color w:val="000000"/>
      <w:sz w:val="22"/>
      <w:szCs w:val="22"/>
      <w:u w:val="none"/>
    </w:rPr>
  </w:style>
  <w:style w:type="character" w:styleId="1078" w:customStyle="1">
    <w:name w:val="itm1"/>
    <w:uiPriority w:val="0"/>
    <w:qFormat/>
    <w:rPr>
      <w:rFonts w:hint="eastAsia" w:ascii="宋体" w:hAnsi="宋体" w:eastAsia="宋体" w:cs="Times New Roman"/>
      <w:sz w:val="21"/>
      <w:szCs w:val="21"/>
    </w:rPr>
  </w:style>
  <w:style w:type="character" w:styleId="1079" w:customStyle="1">
    <w:name w:val="Char Char9"/>
    <w:uiPriority w:val="0"/>
    <w:qFormat/>
    <w:rPr>
      <w:rFonts w:ascii="Cambria" w:hAnsi="Cambria" w:eastAsia="宋体" w:cs="Times New Roman"/>
      <w:b/>
      <w:bCs/>
      <w:sz w:val="32"/>
      <w:szCs w:val="32"/>
    </w:rPr>
  </w:style>
  <w:style w:type="character" w:styleId="1080" w:customStyle="1">
    <w:name w:val="Char Char26"/>
    <w:uiPriority w:val="0"/>
    <w:qFormat/>
    <w:rPr>
      <w:rFonts w:ascii="Arial" w:hAnsi="Arial" w:eastAsia="黑体" w:cs="Times New Roman"/>
      <w:b/>
      <w:sz w:val="24"/>
      <w:szCs w:val="24"/>
    </w:rPr>
  </w:style>
  <w:style w:type="character" w:styleId="1081" w:customStyle="1">
    <w:name w:val="style331"/>
    <w:uiPriority w:val="0"/>
    <w:qFormat/>
    <w:rPr>
      <w:rFonts w:ascii="Times New Roman" w:hAnsi="Times New Roman" w:eastAsia="宋体" w:cs="Times New Roman"/>
      <w:color w:val="9900ff"/>
      <w:sz w:val="18"/>
      <w:szCs w:val="18"/>
    </w:rPr>
  </w:style>
  <w:style w:type="character" w:styleId="1082" w:customStyle="1">
    <w:name w:val="tw4winTerm"/>
    <w:uiPriority w:val="0"/>
    <w:qFormat/>
    <w:rPr>
      <w:rFonts w:ascii="Times New Roman" w:hAnsi="Times New Roman" w:eastAsia="宋体" w:cs="Times New Roman"/>
      <w:color w:val="0000ff"/>
    </w:rPr>
  </w:style>
  <w:style w:type="character" w:styleId="1083"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84" w:customStyle="1">
    <w:name w:val="批注文字 Char1"/>
    <w:uiPriority w:val="0"/>
    <w:qFormat/>
    <w:rPr>
      <w:sz w:val="21"/>
      <w:szCs w:val="24"/>
    </w:rPr>
  </w:style>
  <w:style w:type="character" w:styleId="1085" w:customStyle="1">
    <w:name w:val="HTML 预设格式 Char1"/>
    <w:uiPriority w:val="99"/>
    <w:qFormat/>
    <w:rPr>
      <w:rFonts w:ascii="Courier New" w:hAnsi="Courier New" w:cs="Courier New"/>
    </w:rPr>
  </w:style>
  <w:style w:type="character" w:styleId="1086" w:customStyle="1">
    <w:name w:val="text_list1"/>
    <w:uiPriority w:val="0"/>
    <w:qFormat/>
    <w:rPr>
      <w:rFonts w:ascii="Arial" w:hAnsi="Arial" w:eastAsia="宋体" w:cs="Arial"/>
      <w:color w:val="000000"/>
      <w:spacing w:val="272"/>
      <w:sz w:val="16"/>
      <w:szCs w:val="16"/>
    </w:rPr>
  </w:style>
  <w:style w:type="character" w:styleId="1087" w:customStyle="1">
    <w:name w:val="批注主题 Char1"/>
    <w:uiPriority w:val="99"/>
    <w:qFormat/>
    <w:rPr>
      <w:b/>
      <w:bCs/>
      <w:sz w:val="21"/>
      <w:szCs w:val="24"/>
    </w:rPr>
  </w:style>
  <w:style w:type="character" w:styleId="1088" w:customStyle="1">
    <w:name w:val="font81"/>
    <w:uiPriority w:val="0"/>
    <w:qFormat/>
    <w:rPr>
      <w:rFonts w:ascii="Calibri" w:hAnsi="Calibri" w:eastAsia="宋体" w:cs="Calibri"/>
      <w:color w:val="000000"/>
      <w:sz w:val="22"/>
      <w:szCs w:val="22"/>
      <w:u w:val="none"/>
    </w:rPr>
  </w:style>
  <w:style w:type="character" w:styleId="1089" w:customStyle="1">
    <w:name w:val="普通正文 Char Char"/>
    <w:link w:val="1090"/>
    <w:uiPriority w:val="0"/>
    <w:qFormat/>
    <w:rPr>
      <w:rFonts w:ascii="Arial" w:hAnsi="Arial" w:eastAsia="宋体" w:cs="Times New Roman"/>
      <w:sz w:val="24"/>
      <w:szCs w:val="24"/>
      <w:lang w:bidi="ar-SA"/>
    </w:rPr>
  </w:style>
  <w:style w:type="paragraph" w:styleId="1090" w:customStyle="1">
    <w:name w:val="普通正文"/>
    <w:basedOn w:val="756"/>
    <w:link w:val="1089"/>
    <w:uiPriority w:val="0"/>
    <w:qFormat/>
    <w:pPr>
      <w:ind w:firstLine="480"/>
      <w:spacing w:before="120" w:after="120" w:line="500" w:lineRule="exact"/>
    </w:pPr>
    <w:rPr>
      <w:rFonts w:ascii="Arial" w:hAnsi="Arial"/>
      <w:sz w:val="24"/>
    </w:rPr>
  </w:style>
  <w:style w:type="character" w:styleId="1091" w:customStyle="1">
    <w:name w:val="apple-style-span"/>
    <w:uiPriority w:val="0"/>
    <w:qFormat/>
    <w:rPr>
      <w:rFonts w:ascii="Times New Roman" w:hAnsi="Times New Roman" w:eastAsia="宋体" w:cs="Times New Roman"/>
    </w:rPr>
  </w:style>
  <w:style w:type="character" w:styleId="1092" w:customStyle="1">
    <w:name w:val="Char Char261"/>
    <w:uiPriority w:val="0"/>
    <w:qFormat/>
    <w:rPr>
      <w:rFonts w:ascii="Arial" w:hAnsi="Arial" w:eastAsia="黑体" w:cs="Times New Roman"/>
      <w:b/>
      <w:sz w:val="24"/>
      <w:szCs w:val="24"/>
    </w:rPr>
  </w:style>
  <w:style w:type="character" w:styleId="1093" w:customStyle="1">
    <w:name w:val="b"/>
    <w:uiPriority w:val="0"/>
    <w:qFormat/>
    <w:rPr>
      <w:rFonts w:ascii="Times New Roman" w:hAnsi="Times New Roman" w:eastAsia="宋体" w:cs="Times New Roman"/>
    </w:rPr>
  </w:style>
  <w:style w:type="character" w:styleId="1094" w:customStyle="1">
    <w:name w:val="脚注文本 Char1"/>
    <w:uiPriority w:val="99"/>
    <w:qFormat/>
    <w:rPr>
      <w:rFonts w:ascii="Calibri" w:hAnsi="Calibri"/>
      <w:sz w:val="18"/>
      <w:szCs w:val="18"/>
    </w:rPr>
  </w:style>
  <w:style w:type="character" w:styleId="1095" w:customStyle="1">
    <w:name w:val="正文文本缩进 Char1"/>
    <w:uiPriority w:val="99"/>
    <w:qFormat/>
    <w:rPr>
      <w:rFonts w:ascii="Calibri" w:hAnsi="Calibri"/>
      <w:sz w:val="21"/>
      <w:szCs w:val="22"/>
    </w:rPr>
  </w:style>
  <w:style w:type="character" w:styleId="1096" w:customStyle="1">
    <w:name w:val="font01"/>
    <w:uiPriority w:val="0"/>
    <w:qFormat/>
    <w:rPr>
      <w:rFonts w:hint="eastAsia" w:ascii="宋体" w:hAnsi="宋体" w:eastAsia="宋体" w:cs="宋体"/>
      <w:color w:val="000000"/>
      <w:sz w:val="22"/>
      <w:szCs w:val="22"/>
      <w:u w:val="none"/>
      <w:vertAlign w:val="subscript"/>
    </w:rPr>
  </w:style>
  <w:style w:type="character" w:styleId="1097" w:customStyle="1">
    <w:name w:val="font31"/>
    <w:uiPriority w:val="0"/>
    <w:qFormat/>
    <w:rPr>
      <w:rFonts w:hint="eastAsia" w:ascii="宋体" w:hAnsi="宋体" w:eastAsia="宋体" w:cs="宋体"/>
      <w:color w:val="000000"/>
      <w:sz w:val="22"/>
      <w:szCs w:val="22"/>
      <w:u w:val="none"/>
      <w:vertAlign w:val="subscript"/>
    </w:rPr>
  </w:style>
  <w:style w:type="character" w:styleId="1098" w:customStyle="1">
    <w:name w:val="Char Char19"/>
    <w:uiPriority w:val="0"/>
    <w:qFormat/>
    <w:rPr>
      <w:rFonts w:ascii="Arial" w:hAnsi="Arial" w:eastAsia="宋体" w:cs="Arial"/>
      <w:b/>
      <w:bCs/>
      <w:sz w:val="32"/>
      <w:szCs w:val="32"/>
    </w:rPr>
  </w:style>
  <w:style w:type="character" w:styleId="1099" w:customStyle="1">
    <w:name w:val="unnamed21"/>
    <w:uiPriority w:val="0"/>
    <w:qFormat/>
    <w:rPr>
      <w:rFonts w:ascii="Times New Roman" w:hAnsi="Times New Roman" w:eastAsia="宋体" w:cs="Times New Roman"/>
      <w:b/>
      <w:bCs/>
      <w:color w:val="ff6600"/>
      <w:sz w:val="21"/>
      <w:szCs w:val="21"/>
      <w:u w:val="none"/>
    </w:rPr>
  </w:style>
  <w:style w:type="character" w:styleId="1100" w:customStyle="1">
    <w:name w:val="标题 Char1"/>
    <w:uiPriority w:val="10"/>
    <w:qFormat/>
    <w:rPr>
      <w:rFonts w:ascii="Cambria" w:hAnsi="Cambria" w:cs="Times New Roman"/>
      <w:b/>
      <w:bCs/>
      <w:sz w:val="32"/>
      <w:szCs w:val="32"/>
    </w:rPr>
  </w:style>
  <w:style w:type="character" w:styleId="1101" w:customStyle="1">
    <w:name w:val="Char Char281"/>
    <w:uiPriority w:val="0"/>
    <w:qFormat/>
    <w:rPr>
      <w:rFonts w:ascii="黑体" w:hAnsi="Times New Roman" w:eastAsia="黑体" w:cs="Times New Roman"/>
      <w:b/>
      <w:bCs/>
      <w:sz w:val="32"/>
      <w:szCs w:val="32"/>
    </w:rPr>
  </w:style>
  <w:style w:type="character" w:styleId="1102" w:customStyle="1">
    <w:name w:val="Char Char241"/>
    <w:uiPriority w:val="0"/>
    <w:qFormat/>
    <w:rPr>
      <w:rFonts w:ascii="Arial" w:hAnsi="Arial" w:eastAsia="黑体" w:cs="Times New Roman"/>
      <w:sz w:val="24"/>
      <w:szCs w:val="24"/>
    </w:rPr>
  </w:style>
  <w:style w:type="character" w:styleId="1103" w:customStyle="1">
    <w:name w:val="Char Char4"/>
    <w:uiPriority w:val="0"/>
    <w:qFormat/>
    <w:rPr>
      <w:rFonts w:ascii="Times New Roman" w:hAnsi="Times New Roman" w:eastAsia="宋体" w:cs="Times New Roman"/>
      <w:sz w:val="18"/>
      <w:szCs w:val="18"/>
    </w:rPr>
  </w:style>
  <w:style w:type="character" w:styleId="1104" w:customStyle="1">
    <w:name w:val="纯文本 Char1"/>
    <w:uiPriority w:val="99"/>
    <w:qFormat/>
    <w:rPr>
      <w:rFonts w:ascii="宋体" w:hAnsi="Courier New" w:cs="Courier New"/>
      <w:sz w:val="21"/>
      <w:szCs w:val="21"/>
    </w:rPr>
  </w:style>
  <w:style w:type="character" w:styleId="1105" w:customStyle="1">
    <w:name w:val="正文文本 2 Char1"/>
    <w:uiPriority w:val="99"/>
    <w:qFormat/>
    <w:rPr>
      <w:rFonts w:ascii="Calibri" w:hAnsi="Calibri"/>
      <w:sz w:val="21"/>
      <w:szCs w:val="22"/>
    </w:rPr>
  </w:style>
  <w:style w:type="character" w:styleId="1106" w:customStyle="1">
    <w:name w:val="Char Char191"/>
    <w:uiPriority w:val="0"/>
    <w:qFormat/>
    <w:rPr>
      <w:rFonts w:ascii="Arial" w:hAnsi="Arial" w:eastAsia="宋体" w:cs="Arial"/>
      <w:b/>
      <w:bCs/>
      <w:sz w:val="32"/>
      <w:szCs w:val="32"/>
    </w:rPr>
  </w:style>
  <w:style w:type="character" w:styleId="1107" w:customStyle="1">
    <w:name w:val="表格 Char Char"/>
    <w:link w:val="1108"/>
    <w:uiPriority w:val="0"/>
    <w:qFormat/>
    <w:rPr>
      <w:rFonts w:ascii="Times New Roman" w:hAnsi="Times New Roman" w:eastAsia="宋体" w:cs="Times New Roman"/>
      <w:sz w:val="21"/>
      <w:szCs w:val="21"/>
      <w:lang w:val="en-US" w:eastAsia="zh-CN" w:bidi="ar-SA"/>
    </w:rPr>
  </w:style>
  <w:style w:type="paragraph" w:styleId="1108" w:customStyle="1">
    <w:name w:val="表格"/>
    <w:basedOn w:val="756"/>
    <w:link w:val="1107"/>
    <w:uiPriority w:val="0"/>
    <w:qFormat/>
    <w:pPr>
      <w:jc w:val="center"/>
    </w:pPr>
    <w:rPr>
      <w:szCs w:val="21"/>
    </w:rPr>
  </w:style>
  <w:style w:type="character" w:styleId="1109" w:customStyle="1">
    <w:name w:val="Char Char8"/>
    <w:uiPriority w:val="0"/>
    <w:qFormat/>
    <w:rPr>
      <w:rFonts w:ascii="Times New Roman" w:hAnsi="Times New Roman" w:eastAsia="宋体" w:cs="Times New Roman"/>
      <w:b/>
      <w:bCs/>
      <w:sz w:val="44"/>
      <w:szCs w:val="44"/>
    </w:rPr>
  </w:style>
  <w:style w:type="character" w:styleId="1110" w:customStyle="1">
    <w:name w:val="Char Char25"/>
    <w:uiPriority w:val="0"/>
    <w:qFormat/>
    <w:rPr>
      <w:rFonts w:ascii="Times New Roman" w:hAnsi="Times New Roman" w:eastAsia="宋体" w:cs="Times New Roman"/>
      <w:b/>
      <w:sz w:val="24"/>
      <w:szCs w:val="24"/>
    </w:rPr>
  </w:style>
  <w:style w:type="character" w:styleId="1111" w:customStyle="1">
    <w:name w:val="Char Char15"/>
    <w:uiPriority w:val="0"/>
    <w:qFormat/>
    <w:rPr>
      <w:rFonts w:ascii="仿宋_GB2312" w:hAnsi="Times New Roman" w:eastAsia="宋体" w:cs="Times New Roman"/>
      <w:sz w:val="24"/>
      <w:szCs w:val="24"/>
      <w:shd w:val="clear" w:color="auto" w:fill="000080"/>
    </w:rPr>
  </w:style>
  <w:style w:type="character" w:styleId="1112" w:customStyle="1">
    <w:name w:val="Char Char251"/>
    <w:uiPriority w:val="0"/>
    <w:qFormat/>
    <w:rPr>
      <w:rFonts w:ascii="Times New Roman" w:hAnsi="Times New Roman" w:eastAsia="宋体" w:cs="Times New Roman"/>
      <w:b/>
      <w:sz w:val="24"/>
      <w:szCs w:val="24"/>
    </w:rPr>
  </w:style>
  <w:style w:type="character" w:styleId="1113" w:customStyle="1">
    <w:name w:val="标题 31"/>
    <w:uiPriority w:val="0"/>
    <w:qFormat/>
    <w:rPr>
      <w:rFonts w:hint="eastAsia" w:ascii="黑体" w:hAnsi="ˎ̥" w:eastAsia="黑体" w:cs="Times New Roman"/>
      <w:sz w:val="28"/>
    </w:rPr>
  </w:style>
  <w:style w:type="character" w:styleId="1114" w:customStyle="1">
    <w:name w:val="文档结构图 Char Char"/>
    <w:uiPriority w:val="0"/>
    <w:qFormat/>
    <w:rPr>
      <w:rFonts w:ascii="宋体" w:hAnsi="Times New Roman" w:eastAsia="宋体" w:cs="Times New Roman"/>
      <w:sz w:val="18"/>
      <w:szCs w:val="18"/>
    </w:rPr>
  </w:style>
  <w:style w:type="character" w:styleId="1115" w:customStyle="1">
    <w:name w:val="font41"/>
    <w:uiPriority w:val="0"/>
    <w:qFormat/>
    <w:rPr>
      <w:rFonts w:hint="eastAsia" w:ascii="宋体" w:hAnsi="宋体" w:eastAsia="宋体" w:cs="宋体"/>
      <w:color w:val="000000"/>
      <w:sz w:val="22"/>
      <w:szCs w:val="22"/>
      <w:u w:val="none"/>
    </w:rPr>
  </w:style>
  <w:style w:type="character" w:styleId="1116" w:customStyle="1">
    <w:name w:val="l15 Char Char"/>
    <w:link w:val="1117"/>
    <w:uiPriority w:val="0"/>
    <w:qFormat/>
    <w:rPr>
      <w:rFonts w:eastAsia="宋体" w:cs="Times New Roman"/>
      <w:color w:val="000000"/>
      <w:sz w:val="23"/>
      <w:szCs w:val="23"/>
    </w:rPr>
  </w:style>
  <w:style w:type="paragraph" w:styleId="1117" w:customStyle="1">
    <w:name w:val="l15"/>
    <w:basedOn w:val="756"/>
    <w:link w:val="1116"/>
    <w:uiPriority w:val="0"/>
    <w:qFormat/>
    <w:pPr>
      <w:jc w:val="left"/>
      <w:spacing w:before="100" w:beforeAutospacing="1" w:after="100" w:afterAutospacing="1" w:line="300" w:lineRule="atLeast"/>
      <w:widowControl/>
    </w:pPr>
    <w:rPr>
      <w:color w:val="000000"/>
      <w:sz w:val="23"/>
      <w:szCs w:val="23"/>
    </w:rPr>
  </w:style>
  <w:style w:type="character" w:styleId="1118" w:customStyle="1">
    <w:name w:val="tit12"/>
    <w:uiPriority w:val="0"/>
    <w:qFormat/>
    <w:rPr>
      <w:color w:val="db2200"/>
    </w:rPr>
  </w:style>
  <w:style w:type="character" w:styleId="1119" w:customStyle="1">
    <w:name w:val="Char Char231"/>
    <w:uiPriority w:val="0"/>
    <w:qFormat/>
    <w:rPr>
      <w:rFonts w:ascii="Arial" w:hAnsi="Arial" w:eastAsia="黑体" w:cs="Times New Roman"/>
      <w:sz w:val="21"/>
      <w:szCs w:val="24"/>
    </w:rPr>
  </w:style>
  <w:style w:type="character" w:styleId="1120" w:customStyle="1">
    <w:name w:val="正文 + 宋体 Char"/>
    <w:link w:val="1121"/>
    <w:uiPriority w:val="0"/>
    <w:qFormat/>
    <w:rPr>
      <w:rFonts w:ascii="新宋体" w:hAnsi="宋体" w:eastAsia="黑体" w:cs="Times New Roman"/>
      <w:b/>
      <w:bCs/>
      <w:sz w:val="28"/>
      <w:szCs w:val="28"/>
      <w:lang w:bidi="ar-SA"/>
    </w:rPr>
  </w:style>
  <w:style w:type="paragraph" w:styleId="1121" w:customStyle="1">
    <w:name w:val="正文 + 宋体"/>
    <w:basedOn w:val="944"/>
    <w:link w:val="1120"/>
    <w:uiPriority w:val="0"/>
    <w:qFormat/>
    <w:pPr>
      <w:ind w:left="-51"/>
      <w:spacing w:before="120" w:after="120" w:line="240" w:lineRule="auto"/>
      <w:widowControl/>
    </w:pPr>
    <w:rPr>
      <w:rFonts w:ascii="新宋体" w:hAnsi="宋体"/>
      <w:sz w:val="28"/>
      <w:szCs w:val="28"/>
    </w:rPr>
  </w:style>
  <w:style w:type="character" w:styleId="1122" w:customStyle="1">
    <w:name w:val="样式 三号 下划线"/>
    <w:uiPriority w:val="0"/>
    <w:qFormat/>
    <w:rPr>
      <w:rFonts w:ascii="Times New Roman" w:hAnsi="Times New Roman" w:eastAsia="宋体" w:cs="Times New Roman"/>
      <w:sz w:val="28"/>
      <w:u w:val="single"/>
    </w:rPr>
  </w:style>
  <w:style w:type="character" w:styleId="1123" w:customStyle="1">
    <w:name w:val="Para head"/>
    <w:uiPriority w:val="0"/>
    <w:qFormat/>
    <w:rPr>
      <w:rFonts w:ascii="Arial" w:hAnsi="Arial" w:eastAsia="Times New Roman" w:cs="Times New Roman"/>
      <w:sz w:val="20"/>
    </w:rPr>
  </w:style>
  <w:style w:type="character" w:styleId="1124" w:customStyle="1">
    <w:name w:val="页眉 Char Char"/>
    <w:uiPriority w:val="0"/>
    <w:qFormat/>
    <w:rPr>
      <w:rFonts w:ascii="Times New Roman" w:hAnsi="Times New Roman" w:eastAsia="宋体" w:cs="Times New Roman"/>
      <w:sz w:val="18"/>
      <w:szCs w:val="18"/>
    </w:rPr>
  </w:style>
  <w:style w:type="character" w:styleId="1125" w:customStyle="1">
    <w:name w:val="一般文字 字元 Char"/>
    <w:uiPriority w:val="0"/>
    <w:qFormat/>
    <w:rPr>
      <w:rFonts w:ascii="宋体" w:hAnsi="Courier New" w:eastAsia="宋体" w:cs="Times New Roman"/>
      <w:sz w:val="21"/>
      <w:lang w:val="en-US" w:eastAsia="zh-CN" w:bidi="ar-SA"/>
    </w:rPr>
  </w:style>
  <w:style w:type="character" w:styleId="1126" w:customStyle="1">
    <w:name w:val="Char Char Char"/>
    <w:link w:val="1127"/>
    <w:uiPriority w:val="0"/>
    <w:qFormat/>
    <w:rPr>
      <w:rFonts w:ascii="仿宋_GB2312" w:eastAsia="仿宋_GB2312"/>
      <w:b/>
      <w:sz w:val="32"/>
      <w:szCs w:val="32"/>
    </w:rPr>
  </w:style>
  <w:style w:type="paragraph" w:styleId="1127" w:customStyle="1">
    <w:name w:val="Char"/>
    <w:basedOn w:val="756"/>
    <w:link w:val="1126"/>
    <w:uiPriority w:val="0"/>
    <w:qFormat/>
    <w:rPr>
      <w:rFonts w:ascii="仿宋_GB2312" w:eastAsia="仿宋_GB2312"/>
      <w:b/>
      <w:sz w:val="32"/>
      <w:szCs w:val="32"/>
    </w:rPr>
  </w:style>
  <w:style w:type="character" w:styleId="1128" w:customStyle="1">
    <w:name w:val="apple-converted-space"/>
    <w:uiPriority w:val="0"/>
    <w:qFormat/>
    <w:rPr>
      <w:rFonts w:ascii="Times New Roman" w:hAnsi="Times New Roman" w:eastAsia="宋体" w:cs="Times New Roman"/>
    </w:rPr>
  </w:style>
  <w:style w:type="character" w:styleId="1129" w:customStyle="1">
    <w:name w:val="NormalCharacter1"/>
    <w:uiPriority w:val="0"/>
    <w:qFormat/>
    <w:rPr>
      <w:rFonts w:ascii="Times New Roman" w:hAnsi="Times New Roman" w:eastAsia="宋体"/>
    </w:rPr>
  </w:style>
  <w:style w:type="character" w:styleId="1130" w:customStyle="1">
    <w:name w:val="批注框文本 Char1"/>
    <w:uiPriority w:val="99"/>
    <w:qFormat/>
    <w:rPr>
      <w:rFonts w:ascii="Calibri" w:hAnsi="Calibri"/>
      <w:sz w:val="18"/>
      <w:szCs w:val="18"/>
    </w:rPr>
  </w:style>
  <w:style w:type="character" w:styleId="1131" w:customStyle="1">
    <w:name w:val="正文文本 Char Char"/>
    <w:uiPriority w:val="0"/>
    <w:qFormat/>
    <w:rPr>
      <w:rFonts w:ascii="楷体_GB2312" w:hAnsi="Arial" w:eastAsia="楷体_GB2312" w:cs="Times New Roman"/>
      <w:sz w:val="28"/>
      <w:szCs w:val="28"/>
    </w:rPr>
  </w:style>
  <w:style w:type="character" w:styleId="1132" w:customStyle="1">
    <w:name w:val="表格正文 Char Char"/>
    <w:link w:val="1133"/>
    <w:uiPriority w:val="0"/>
    <w:qFormat/>
    <w:rPr>
      <w:rFonts w:ascii="Times New Roman" w:hAnsi="Times New Roman" w:eastAsia="宋体" w:cs="Times New Roman"/>
      <w:sz w:val="21"/>
      <w:szCs w:val="24"/>
    </w:rPr>
  </w:style>
  <w:style w:type="paragraph" w:styleId="1133" w:customStyle="1">
    <w:name w:val="表格正文"/>
    <w:basedOn w:val="756"/>
    <w:link w:val="1132"/>
    <w:uiPriority w:val="0"/>
    <w:qFormat/>
  </w:style>
  <w:style w:type="character" w:styleId="1134" w:customStyle="1">
    <w:name w:val="Char Char17"/>
    <w:uiPriority w:val="0"/>
    <w:qFormat/>
    <w:rPr>
      <w:rFonts w:ascii="黑体" w:hAnsi="Courier New" w:eastAsia="黑体" w:cs="Times New Roman"/>
    </w:rPr>
  </w:style>
  <w:style w:type="character" w:styleId="1135" w:customStyle="1">
    <w:name w:val="Char Char171"/>
    <w:uiPriority w:val="0"/>
    <w:qFormat/>
    <w:rPr>
      <w:rFonts w:ascii="黑体" w:hAnsi="Courier New" w:eastAsia="黑体" w:cs="Times New Roman"/>
    </w:rPr>
  </w:style>
  <w:style w:type="character" w:styleId="1136" w:customStyle="1">
    <w:name w:val="+正文 Char3"/>
    <w:link w:val="1137"/>
    <w:uiPriority w:val="0"/>
    <w:qFormat/>
    <w:rPr>
      <w:rFonts w:ascii="Times New Roman" w:hAnsi="Times New Roman" w:eastAsia="宋体" w:cs="Times New Roman"/>
      <w:sz w:val="24"/>
      <w:szCs w:val="28"/>
      <w:lang w:bidi="ar-SA"/>
    </w:rPr>
  </w:style>
  <w:style w:type="paragraph" w:styleId="1137" w:customStyle="1">
    <w:name w:val="+正文"/>
    <w:basedOn w:val="756"/>
    <w:link w:val="1136"/>
    <w:uiPriority w:val="0"/>
    <w:qFormat/>
    <w:pPr>
      <w:ind w:firstLine="200"/>
      <w:spacing w:line="360" w:lineRule="auto"/>
    </w:pPr>
    <w:rPr>
      <w:sz w:val="24"/>
      <w:szCs w:val="28"/>
    </w:rPr>
  </w:style>
  <w:style w:type="character" w:styleId="1138" w:customStyle="1">
    <w:name w:val="Char Char Char1"/>
    <w:link w:val="1139"/>
    <w:uiPriority w:val="0"/>
    <w:qFormat/>
    <w:rPr>
      <w:rFonts w:ascii="Times New Roman" w:hAnsi="Times New Roman" w:eastAsia="宋体" w:cs="Times New Roman"/>
      <w:sz w:val="24"/>
      <w:szCs w:val="24"/>
      <w:lang w:bidi="ar-SA"/>
    </w:rPr>
  </w:style>
  <w:style w:type="paragraph" w:styleId="1139" w:customStyle="1">
    <w:name w:val="Char11"/>
    <w:basedOn w:val="756"/>
    <w:link w:val="1138"/>
    <w:uiPriority w:val="0"/>
    <w:qFormat/>
    <w:pPr>
      <w:numPr>
        <w:ilvl w:val="0"/>
        <w:numId w:val="4"/>
      </w:numPr>
      <w:tabs>
        <w:tab w:val="left" w:pos="1080" w:leader="none"/>
      </w:tabs>
    </w:pPr>
    <w:rPr>
      <w:sz w:val="24"/>
    </w:rPr>
  </w:style>
  <w:style w:type="character" w:styleId="1140"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141" w:customStyle="1">
    <w:name w:val="Char Char Char Char Char Char Char Char Char Char1"/>
    <w:basedOn w:val="756"/>
    <w:uiPriority w:val="0"/>
    <w:qFormat/>
    <w:pPr>
      <w:ind w:left="425" w:hanging="425"/>
      <w:tabs>
        <w:tab w:val="left" w:pos="425" w:leader="none"/>
      </w:tabs>
    </w:pPr>
    <w:rPr>
      <w:sz w:val="28"/>
    </w:rPr>
  </w:style>
  <w:style w:type="paragraph" w:styleId="1142" w:customStyle="1">
    <w:name w:val="xl30"/>
    <w:basedOn w:val="75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43" w:customStyle="1">
    <w:name w:val="xl32"/>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44" w:customStyle="1">
    <w:name w:val="回信地址"/>
    <w:basedOn w:val="756"/>
    <w:uiPriority w:val="0"/>
    <w:qFormat/>
    <w:pPr>
      <w:ind w:right="-120" w:firstLine="420"/>
      <w:jc w:val="left"/>
      <w:keepLines/>
      <w:spacing w:after="20" w:line="200" w:lineRule="atLeast"/>
      <w:widowControl/>
    </w:pPr>
    <w:rPr>
      <w:rFonts w:ascii="Times New Roman"/>
      <w:sz w:val="16"/>
    </w:rPr>
  </w:style>
  <w:style w:type="paragraph" w:styleId="1145" w:customStyle="1">
    <w:name w:val="xl70"/>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6" w:customStyle="1">
    <w:name w:val="xl37"/>
    <w:basedOn w:val="7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147" w:customStyle="1">
    <w:name w:val="Char Char Char Char Char Char"/>
    <w:basedOn w:val="756"/>
    <w:uiPriority w:val="0"/>
    <w:qFormat/>
    <w:pPr>
      <w:jc w:val="left"/>
      <w:spacing w:after="160" w:line="240" w:lineRule="exact"/>
      <w:widowControl/>
    </w:pPr>
    <w:rPr>
      <w:rFonts w:ascii="黑体" w:hAnsi="Verdana" w:eastAsia="黑体"/>
      <w:sz w:val="32"/>
      <w:szCs w:val="32"/>
    </w:rPr>
  </w:style>
  <w:style w:type="paragraph" w:styleId="1148" w:customStyle="1">
    <w:name w:val="xl23"/>
    <w:basedOn w:val="75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49" w:customStyle="1">
    <w:name w:val="Char Char Char Char Char Char Char1 Char"/>
    <w:basedOn w:val="756"/>
    <w:uiPriority w:val="0"/>
    <w:qFormat/>
    <w:rPr>
      <w:rFonts w:ascii="Tahoma" w:hAnsi="Tahoma"/>
      <w:sz w:val="24"/>
    </w:rPr>
  </w:style>
  <w:style w:type="paragraph" w:styleId="1150" w:customStyle="1">
    <w:name w:val="Char Char Char Char Char Char Char Char Char Char11"/>
    <w:basedOn w:val="756"/>
    <w:uiPriority w:val="0"/>
    <w:qFormat/>
    <w:pPr>
      <w:ind w:left="425" w:hanging="425"/>
      <w:tabs>
        <w:tab w:val="left" w:pos="425" w:leader="none"/>
      </w:tabs>
    </w:pPr>
    <w:rPr>
      <w:rFonts w:ascii="Times New Roman"/>
      <w:sz w:val="28"/>
    </w:rPr>
  </w:style>
  <w:style w:type="paragraph" w:styleId="1151" w:customStyle="1">
    <w:name w:val="Preformatted"/>
    <w:basedOn w:val="7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2" w:customStyle="1">
    <w:name w:val="标准文字"/>
    <w:basedOn w:val="756"/>
    <w:uiPriority w:val="0"/>
    <w:qFormat/>
    <w:pPr>
      <w:ind w:firstLine="420"/>
      <w:spacing w:after="20" w:line="360" w:lineRule="auto"/>
    </w:pPr>
    <w:rPr>
      <w:rFonts w:ascii="Times New Roman"/>
    </w:rPr>
  </w:style>
  <w:style w:type="paragraph" w:styleId="1153" w:customStyle="1">
    <w:name w:val="产品型号"/>
    <w:basedOn w:val="75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54" w:customStyle="1">
    <w:name w:val="名词解释11"/>
    <w:basedOn w:val="1155"/>
    <w:uiPriority w:val="0"/>
    <w:qFormat/>
    <w:pPr>
      <w:ind w:firstLine="0"/>
      <w:spacing w:after="0"/>
    </w:pPr>
  </w:style>
  <w:style w:type="paragraph" w:styleId="1155" w:customStyle="1">
    <w:name w:val="名词解释"/>
    <w:basedOn w:val="756"/>
    <w:uiPriority w:val="0"/>
    <w:qFormat/>
    <w:pPr>
      <w:ind w:left="2325" w:hanging="2325"/>
      <w:spacing w:after="20" w:line="288" w:lineRule="auto"/>
    </w:pPr>
    <w:rPr>
      <w:rFonts w:ascii="Times New Roman"/>
    </w:rPr>
  </w:style>
  <w:style w:type="paragraph" w:styleId="1156" w:customStyle="1">
    <w:name w:val="xl71"/>
    <w:basedOn w:val="75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57" w:customStyle="1">
    <w:name w:val="列出段落11"/>
    <w:basedOn w:val="756"/>
    <w:uiPriority w:val="0"/>
    <w:qFormat/>
    <w:pPr>
      <w:ind w:firstLine="420"/>
    </w:pPr>
    <w:rPr>
      <w:rFonts w:ascii="Calibri" w:hAnsi="Calibri"/>
      <w:color w:val="000000"/>
      <w:spacing w:val="-8"/>
      <w:szCs w:val="22"/>
    </w:rPr>
  </w:style>
  <w:style w:type="paragraph" w:styleId="1158" w:customStyle="1">
    <w:name w:val="xl26"/>
    <w:basedOn w:val="75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59" w:customStyle="1">
    <w:name w:val="font0"/>
    <w:basedOn w:val="756"/>
    <w:uiPriority w:val="0"/>
    <w:qFormat/>
    <w:pPr>
      <w:jc w:val="left"/>
      <w:spacing w:before="100" w:beforeAutospacing="1" w:after="100" w:afterAutospacing="1"/>
      <w:widowControl/>
    </w:pPr>
    <w:rPr>
      <w:rFonts w:hint="eastAsia" w:hAnsi="宋体"/>
      <w:sz w:val="18"/>
      <w:szCs w:val="18"/>
    </w:rPr>
  </w:style>
  <w:style w:type="paragraph" w:styleId="1160" w:customStyle="1">
    <w:name w:val="Char Char Char1 Char Char Char"/>
    <w:basedOn w:val="756"/>
    <w:uiPriority w:val="0"/>
    <w:qFormat/>
    <w:pPr>
      <w:ind w:firstLine="200"/>
    </w:pPr>
    <w:rPr>
      <w:rFonts w:ascii="Tahoma" w:hAnsi="Tahoma"/>
      <w:sz w:val="24"/>
    </w:rPr>
  </w:style>
  <w:style w:type="paragraph" w:styleId="1161" w:customStyle="1">
    <w:name w:val="xl63"/>
    <w:basedOn w:val="75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62" w:customStyle="1">
    <w:name w:val="菲页1"/>
    <w:basedOn w:val="945"/>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63" w:customStyle="1">
    <w:name w:val="列出段落1"/>
    <w:basedOn w:val="756"/>
    <w:uiPriority w:val="0"/>
    <w:qFormat/>
    <w:pPr>
      <w:ind w:firstLine="420"/>
    </w:pPr>
    <w:rPr>
      <w:rFonts w:ascii="Calibri" w:hAnsi="Calibri"/>
      <w:color w:val="000000"/>
      <w:spacing w:val="-8"/>
      <w:szCs w:val="22"/>
    </w:rPr>
  </w:style>
  <w:style w:type="paragraph" w:styleId="1164" w:customStyle="1">
    <w:name w:val="xl50"/>
    <w:basedOn w:val="756"/>
    <w:uiPriority w:val="0"/>
    <w:qFormat/>
    <w:pPr>
      <w:jc w:val="center"/>
      <w:spacing w:before="100" w:beforeAutospacing="1" w:after="100" w:afterAutospacing="1"/>
      <w:widowControl/>
    </w:pPr>
    <w:rPr>
      <w:rFonts w:hAnsi="宋体"/>
      <w:b/>
      <w:bCs/>
      <w:sz w:val="40"/>
      <w:szCs w:val="40"/>
    </w:rPr>
  </w:style>
  <w:style w:type="paragraph" w:styleId="1165" w:customStyle="1">
    <w:name w:val="列表_名词"/>
    <w:basedOn w:val="1154"/>
    <w:uiPriority w:val="0"/>
    <w:qFormat/>
    <w:pPr>
      <w:ind w:left="2745" w:hanging="420"/>
      <w:tabs>
        <w:tab w:val="left" w:pos="2745" w:leader="none"/>
      </w:tabs>
    </w:pPr>
  </w:style>
  <w:style w:type="paragraph" w:styleId="1166" w:customStyle="1">
    <w:name w:val="菲页(卷)"/>
    <w:basedOn w:val="944"/>
    <w:next w:val="1167"/>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6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8" w:customStyle="1">
    <w:name w:val="table_lines"/>
    <w:basedOn w:val="756"/>
    <w:uiPriority w:val="0"/>
    <w:qFormat/>
    <w:pPr>
      <w:jc w:val="left"/>
      <w:widowControl/>
    </w:pPr>
    <w:rPr>
      <w:rFonts w:ascii="Times New Roman"/>
      <w:sz w:val="20"/>
      <w:lang w:val="de-DE" w:eastAsia="de-DE"/>
    </w:rPr>
  </w:style>
  <w:style w:type="paragraph" w:styleId="1169" w:customStyle="1">
    <w:name w:val="xl3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70" w:customStyle="1">
    <w:name w:val="列出段落2"/>
    <w:basedOn w:val="756"/>
    <w:uiPriority w:val="0"/>
    <w:qFormat/>
    <w:pPr>
      <w:ind w:firstLine="420"/>
    </w:pPr>
    <w:rPr>
      <w:rFonts w:ascii="Calibri" w:hAnsi="Calibri" w:cs="Calibri"/>
      <w:szCs w:val="21"/>
    </w:rPr>
  </w:style>
  <w:style w:type="paragraph" w:styleId="1171" w:customStyle="1">
    <w:name w:val="whs5"/>
    <w:basedOn w:val="756"/>
    <w:uiPriority w:val="0"/>
    <w:qFormat/>
    <w:pPr>
      <w:ind w:left="115" w:right="130" w:firstLine="448"/>
      <w:widowControl/>
    </w:pPr>
    <w:rPr>
      <w:rFonts w:ascii="Times New Roman" w:hAnsi="宋体"/>
      <w:color w:val="000000"/>
      <w:spacing w:val="-8"/>
      <w:sz w:val="18"/>
      <w:szCs w:val="18"/>
      <w:lang w:eastAsia="en-US"/>
    </w:rPr>
  </w:style>
  <w:style w:type="paragraph" w:styleId="1172" w:customStyle="1">
    <w:name w:val="标题0"/>
    <w:basedOn w:val="1038"/>
    <w:next w:val="1038"/>
    <w:uiPriority w:val="0"/>
    <w:qFormat/>
    <w:rPr>
      <w:rFonts w:ascii="Times New Roman" w:hAnsi="Times New Roman"/>
      <w:sz w:val="52"/>
    </w:rPr>
  </w:style>
  <w:style w:type="paragraph" w:styleId="1173" w:customStyle="1">
    <w:name w:val="程序代码"/>
    <w:basedOn w:val="756"/>
    <w:uiPriority w:val="0"/>
    <w:qFormat/>
    <w:pPr>
      <w:ind w:left="839" w:firstLine="420"/>
      <w:spacing w:after="20" w:line="288" w:lineRule="auto"/>
    </w:pPr>
    <w:rPr>
      <w:rFonts w:ascii="Times New Roman" w:eastAsia="仿宋_GB2312"/>
    </w:rPr>
  </w:style>
  <w:style w:type="paragraph" w:styleId="1174" w:customStyle="1">
    <w:name w:val="Char Char Char Char1"/>
    <w:basedOn w:val="756"/>
    <w:uiPriority w:val="0"/>
    <w:qFormat/>
    <w:rPr>
      <w:rFonts w:ascii="Times New Roman"/>
    </w:rPr>
  </w:style>
  <w:style w:type="paragraph" w:styleId="1175" w:customStyle="1">
    <w:name w:val="标题2"/>
    <w:basedOn w:val="945"/>
    <w:next w:val="756"/>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76" w:customStyle="1">
    <w:name w:val="xl49"/>
    <w:basedOn w:val="756"/>
    <w:uiPriority w:val="0"/>
    <w:qFormat/>
    <w:pPr>
      <w:jc w:val="center"/>
      <w:spacing w:before="100" w:beforeAutospacing="1" w:after="100" w:afterAutospacing="1"/>
      <w:widowControl/>
    </w:pPr>
    <w:rPr>
      <w:rFonts w:hAnsi="宋体"/>
      <w:b/>
      <w:bCs/>
      <w:color w:val="000000"/>
      <w:sz w:val="40"/>
      <w:szCs w:val="40"/>
    </w:rPr>
  </w:style>
  <w:style w:type="paragraph" w:styleId="1177" w:customStyle="1">
    <w:name w:val="xl52"/>
    <w:basedOn w:val="7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8" w:customStyle="1">
    <w:name w:val="样式3"/>
    <w:basedOn w:val="996"/>
    <w:uiPriority w:val="0"/>
    <w:qFormat/>
    <w:pPr>
      <w:ind w:firstLine="448"/>
    </w:pPr>
    <w:rPr>
      <w:rFonts w:ascii="Times New Roman" w:hAnsi="Times New Roman" w:cs="Courier New"/>
      <w:color w:val="000000"/>
      <w:spacing w:val="-8"/>
    </w:rPr>
  </w:style>
  <w:style w:type="paragraph" w:styleId="1179" w:customStyle="1">
    <w:name w:val="xl29"/>
    <w:basedOn w:val="756"/>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80" w:customStyle="1">
    <w:name w:val="样式一"/>
    <w:basedOn w:val="756"/>
    <w:uiPriority w:val="0"/>
    <w:qFormat/>
    <w:pPr>
      <w:numPr>
        <w:ilvl w:val="2"/>
        <w:numId w:val="1"/>
      </w:numPr>
      <w:spacing w:before="100" w:after="100" w:line="360" w:lineRule="exact"/>
    </w:pPr>
    <w:rPr>
      <w:rFonts w:hAnsi="宋体" w:eastAsia="黑体"/>
      <w:sz w:val="24"/>
      <w:lang w:val="en-GB"/>
    </w:rPr>
  </w:style>
  <w:style w:type="paragraph" w:styleId="1181"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2" w:customStyle="1">
    <w:name w:val="标准式样"/>
    <w:basedOn w:val="1023"/>
    <w:uiPriority w:val="0"/>
    <w:qFormat/>
  </w:style>
  <w:style w:type="paragraph" w:styleId="1183" w:customStyle="1">
    <w:name w:val="text"/>
    <w:basedOn w:val="756"/>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184" w:customStyle="1">
    <w:name w:val="文档标签"/>
    <w:next w:val="75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85" w:customStyle="1">
    <w:name w:val="xl3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86" w:customStyle="1">
    <w:name w:val="页眉1"/>
    <w:basedOn w:val="75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eastAsia="仿宋_GB2312"/>
      <w:sz w:val="18"/>
    </w:rPr>
  </w:style>
  <w:style w:type="paragraph" w:styleId="1187" w:customStyle="1">
    <w:name w:val="xl6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8" w:customStyle="1">
    <w:name w:val="表格文字"/>
    <w:basedOn w:val="756"/>
    <w:uiPriority w:val="0"/>
    <w:qFormat/>
    <w:pPr>
      <w:jc w:val="left"/>
      <w:spacing w:line="288" w:lineRule="auto"/>
    </w:pPr>
    <w:rPr>
      <w:rFonts w:ascii="Times New Roman"/>
    </w:rPr>
  </w:style>
  <w:style w:type="paragraph" w:styleId="1189" w:customStyle="1">
    <w:name w:val="样式 标题 3 + (西文) 宋体 黑色"/>
    <w:basedOn w:val="946"/>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190" w:customStyle="1">
    <w:name w:val="办公自动化专用正文"/>
    <w:basedOn w:val="756"/>
    <w:uiPriority w:val="0"/>
    <w:qFormat/>
    <w:pPr>
      <w:ind w:firstLine="624"/>
      <w:spacing w:line="500" w:lineRule="atLeast"/>
    </w:pPr>
    <w:rPr>
      <w:rFonts w:ascii="Times New Roman" w:hAnsi="宋体" w:eastAsia="楷体_GB2312"/>
      <w:color w:val="000000"/>
      <w:spacing w:val="-8"/>
      <w:sz w:val="32"/>
    </w:rPr>
  </w:style>
  <w:style w:type="paragraph" w:styleId="1191" w:customStyle="1">
    <w:name w:val="表格标题"/>
    <w:basedOn w:val="756"/>
    <w:uiPriority w:val="0"/>
    <w:qFormat/>
    <w:pPr>
      <w:jc w:val="center"/>
      <w:spacing w:before="120" w:line="400" w:lineRule="exact"/>
    </w:pPr>
    <w:rPr>
      <w:rFonts w:ascii="Times New Roman" w:eastAsia="文鼎CS中宋"/>
      <w:spacing w:val="8"/>
      <w:sz w:val="24"/>
    </w:rPr>
  </w:style>
  <w:style w:type="paragraph" w:styleId="1192" w:customStyle="1">
    <w:name w:val="xl72"/>
    <w:basedOn w:val="75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93" w:customStyle="1">
    <w:name w:val="正文1)"/>
    <w:basedOn w:val="7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194" w:customStyle="1">
    <w:name w:val="复选框1"/>
    <w:basedOn w:val="756"/>
    <w:uiPriority w:val="0"/>
    <w:qFormat/>
    <w:pPr>
      <w:ind w:firstLine="448"/>
      <w:spacing w:before="360" w:after="360"/>
      <w:widowControl/>
    </w:pPr>
    <w:rPr>
      <w:rFonts w:ascii="Times New Roman" w:hAnsi="宋体"/>
      <w:color w:val="000000"/>
      <w:spacing w:val="-8"/>
      <w:sz w:val="20"/>
    </w:rPr>
  </w:style>
  <w:style w:type="paragraph" w:styleId="1195" w:customStyle="1">
    <w:name w:val="xl6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6" w:customStyle="1">
    <w:name w:val="yyn"/>
    <w:basedOn w:val="756"/>
    <w:uiPriority w:val="0"/>
    <w:qFormat/>
    <w:pPr>
      <w:ind w:right="562" w:firstLine="576"/>
      <w:keepNext/>
      <w:spacing w:line="360" w:lineRule="auto"/>
      <w:widowControl/>
    </w:pPr>
    <w:rPr>
      <w:sz w:val="28"/>
    </w:rPr>
  </w:style>
  <w:style w:type="paragraph" w:styleId="1197" w:customStyle="1">
    <w:name w:val="xl48"/>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98" w:customStyle="1">
    <w:name w:val="xl44"/>
    <w:basedOn w:val="756"/>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99"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0" w:customStyle="1">
    <w:name w:val="xl6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1" w:customStyle="1">
    <w:name w:val="xl39"/>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202" w:customStyle="1">
    <w:name w:val="样式 标题 1 + 加粗"/>
    <w:basedOn w:val="944"/>
    <w:uiPriority w:val="0"/>
    <w:qFormat/>
    <w:pPr>
      <w:spacing w:before="120" w:after="120" w:line="240" w:lineRule="auto"/>
      <w:widowControl/>
    </w:pPr>
    <w:rPr>
      <w:rFonts w:ascii="新宋体" w:hAnsi="宋体" w:eastAsia="宋体"/>
      <w:sz w:val="28"/>
      <w:szCs w:val="28"/>
    </w:rPr>
  </w:style>
  <w:style w:type="paragraph" w:styleId="1203" w:customStyle="1">
    <w:name w:val="附录1层"/>
    <w:basedOn w:val="756"/>
    <w:next w:val="756"/>
    <w:uiPriority w:val="0"/>
    <w:qFormat/>
    <w:pPr>
      <w:ind w:firstLine="448"/>
      <w:jc w:val="center"/>
      <w:spacing w:line="440" w:lineRule="exact"/>
    </w:pPr>
    <w:rPr>
      <w:rFonts w:ascii="黑体" w:hAnsi="宋体" w:eastAsia="黑体"/>
      <w:color w:val="000000"/>
      <w:spacing w:val="-8"/>
      <w:sz w:val="24"/>
    </w:rPr>
  </w:style>
  <w:style w:type="paragraph" w:styleId="1204" w:customStyle="1">
    <w:name w:val="xl33"/>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05" w:customStyle="1">
    <w:name w:val="重点"/>
    <w:basedOn w:val="756"/>
    <w:uiPriority w:val="0"/>
    <w:qFormat/>
    <w:pPr>
      <w:ind w:firstLine="420"/>
      <w:spacing w:after="20" w:line="288" w:lineRule="auto"/>
      <w:shd w:val="pct10" w:color="auto" w:fill="auto"/>
    </w:pPr>
    <w:rPr>
      <w:rFonts w:ascii="Times New Roman" w:eastAsia="黑体"/>
      <w:b/>
    </w:rPr>
  </w:style>
  <w:style w:type="paragraph" w:styleId="1206" w:customStyle="1">
    <w:name w:val="样式1"/>
    <w:basedOn w:val="756"/>
    <w:uiPriority w:val="0"/>
    <w:qFormat/>
    <w:pPr>
      <w:spacing w:before="120" w:after="120" w:line="300" w:lineRule="auto"/>
    </w:pPr>
    <w:rPr>
      <w:rFonts w:hAnsi="宋体"/>
      <w:b/>
      <w:sz w:val="24"/>
    </w:rPr>
  </w:style>
  <w:style w:type="paragraph" w:styleId="1207" w:customStyle="1">
    <w:name w:val="xl24"/>
    <w:basedOn w:val="756"/>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208" w:customStyle="1">
    <w:name w:val="表中"/>
    <w:basedOn w:val="756"/>
    <w:uiPriority w:val="0"/>
    <w:qFormat/>
    <w:pPr>
      <w:jc w:val="center"/>
      <w:spacing w:line="360" w:lineRule="atLeast"/>
    </w:pPr>
    <w:rPr>
      <w:rFonts w:ascii="Times New Roman"/>
    </w:rPr>
  </w:style>
  <w:style w:type="paragraph" w:styleId="1209" w:customStyle="1">
    <w:name w:val="xl67"/>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0" w:customStyle="1">
    <w:name w:val="函数注释2"/>
    <w:basedOn w:val="756"/>
    <w:uiPriority w:val="0"/>
    <w:qFormat/>
    <w:pPr>
      <w:ind w:left="1680" w:firstLine="420"/>
      <w:spacing w:after="20" w:line="288" w:lineRule="auto"/>
    </w:pPr>
    <w:rPr>
      <w:rFonts w:ascii="Times New Roman"/>
    </w:rPr>
  </w:style>
  <w:style w:type="paragraph" w:styleId="1211" w:customStyle="1">
    <w:name w:val="正文(缩进)"/>
    <w:basedOn w:val="756"/>
    <w:uiPriority w:val="0"/>
    <w:qFormat/>
    <w:pPr>
      <w:ind w:firstLine="200"/>
      <w:spacing w:line="360" w:lineRule="auto"/>
      <w:widowControl/>
    </w:pPr>
    <w:rPr>
      <w:rFonts w:ascii="Times New Roman" w:eastAsia="仿宋_GB2312"/>
      <w:sz w:val="24"/>
    </w:rPr>
  </w:style>
  <w:style w:type="paragraph" w:styleId="1212" w:customStyle="1">
    <w:name w:val="样式 标题 2标题 2 Char Char + (西文) 仿宋_GB2312"/>
    <w:basedOn w:val="945"/>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13" w:customStyle="1">
    <w:name w:val="菲页2"/>
    <w:basedOn w:val="946"/>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214" w:customStyle="1">
    <w:name w:val="xl27"/>
    <w:basedOn w:val="75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15" w:customStyle="1">
    <w:name w:val="函数注释1"/>
    <w:basedOn w:val="756"/>
    <w:uiPriority w:val="0"/>
    <w:qFormat/>
    <w:pPr>
      <w:ind w:left="1678" w:right="210" w:hanging="1049"/>
      <w:jc w:val="left"/>
      <w:spacing w:after="20" w:line="320" w:lineRule="exact"/>
    </w:pPr>
    <w:rPr>
      <w:rFonts w:ascii="Times New Roman"/>
    </w:rPr>
  </w:style>
  <w:style w:type="paragraph" w:styleId="1216" w:customStyle="1">
    <w:name w:val="简介正文"/>
    <w:basedOn w:val="756"/>
    <w:uiPriority w:val="0"/>
    <w:qFormat/>
    <w:pPr>
      <w:numPr>
        <w:ilvl w:val="0"/>
        <w:numId w:val="5"/>
      </w:numPr>
      <w:ind w:left="1701" w:hanging="1701"/>
      <w:spacing w:after="20" w:line="520" w:lineRule="exact"/>
      <w:tabs>
        <w:tab w:val="clear" w:pos="425" w:leader="none"/>
      </w:tabs>
    </w:pPr>
    <w:rPr>
      <w:rFonts w:ascii="Times New Roman"/>
      <w:sz w:val="24"/>
    </w:rPr>
  </w:style>
  <w:style w:type="paragraph" w:styleId="1217" w:customStyle="1">
    <w:name w:val="Char Char3 Char Char Char1 Char Char Char Char"/>
    <w:basedOn w:val="756"/>
    <w:uiPriority w:val="0"/>
    <w:qFormat/>
  </w:style>
  <w:style w:type="paragraph" w:styleId="1218" w:customStyle="1">
    <w:name w:val="图形"/>
    <w:basedOn w:val="756"/>
    <w:uiPriority w:val="0"/>
    <w:qFormat/>
    <w:pPr>
      <w:ind w:firstLine="420"/>
      <w:jc w:val="center"/>
      <w:spacing w:after="20" w:line="288" w:lineRule="auto"/>
    </w:pPr>
    <w:rPr>
      <w:rFonts w:ascii="Times New Roman"/>
    </w:rPr>
  </w:style>
  <w:style w:type="paragraph" w:styleId="1219" w:customStyle="1">
    <w:name w:val="xl28"/>
    <w:basedOn w:val="756"/>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20" w:customStyle="1">
    <w:name w:val="目录"/>
    <w:basedOn w:val="756"/>
    <w:next w:val="756"/>
    <w:uiPriority w:val="0"/>
    <w:qFormat/>
    <w:pPr>
      <w:ind w:firstLine="420"/>
      <w:jc w:val="center"/>
      <w:spacing w:before="360" w:after="360" w:line="360" w:lineRule="auto"/>
    </w:pPr>
    <w:rPr>
      <w:rFonts w:ascii="Times New Roman"/>
      <w:b/>
      <w:spacing w:val="200"/>
      <w:sz w:val="36"/>
    </w:rPr>
  </w:style>
  <w:style w:type="paragraph" w:styleId="1221" w:customStyle="1">
    <w:name w:val="xl74"/>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22" w:customStyle="1">
    <w:name w:val="font6"/>
    <w:basedOn w:val="756"/>
    <w:uiPriority w:val="0"/>
    <w:qFormat/>
    <w:pPr>
      <w:ind w:firstLine="420"/>
      <w:jc w:val="left"/>
      <w:spacing w:before="100" w:beforeAutospacing="1" w:after="100" w:afterAutospacing="1" w:line="288" w:lineRule="auto"/>
      <w:widowControl/>
    </w:pPr>
    <w:rPr>
      <w:rFonts w:ascii="Times New Roman"/>
      <w:sz w:val="24"/>
    </w:rPr>
  </w:style>
  <w:style w:type="paragraph" w:styleId="1223" w:customStyle="1">
    <w:name w:val="xl40"/>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224" w:customStyle="1">
    <w:name w:val="Char Char Char Char"/>
    <w:basedOn w:val="756"/>
    <w:uiPriority w:val="0"/>
    <w:qFormat/>
    <w:rPr>
      <w:rFonts w:ascii="Tahoma" w:hAnsi="Tahoma"/>
      <w:sz w:val="24"/>
    </w:rPr>
  </w:style>
  <w:style w:type="paragraph" w:styleId="1225" w:customStyle="1">
    <w:name w:val="Char2"/>
    <w:basedOn w:val="756"/>
    <w:uiPriority w:val="0"/>
    <w:qFormat/>
    <w:rPr>
      <w:rFonts w:ascii="仿宋_GB2312" w:eastAsia="仿宋_GB2312"/>
      <w:b/>
      <w:sz w:val="32"/>
      <w:szCs w:val="32"/>
    </w:rPr>
  </w:style>
  <w:style w:type="paragraph" w:styleId="1226" w:customStyle="1">
    <w:name w:val="xl43"/>
    <w:basedOn w:val="756"/>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227" w:customStyle="1">
    <w:name w:val="xl69"/>
    <w:basedOn w:val="75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28" w:customStyle="1">
    <w:name w:val="章标题"/>
    <w:next w:val="756"/>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229" w:customStyle="1">
    <w:name w:val="xl31"/>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0" w:customStyle="1">
    <w:name w:val="xl42"/>
    <w:basedOn w:val="756"/>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231" w:customStyle="1">
    <w:name w:val="Char Char Char Char11"/>
    <w:basedOn w:val="756"/>
    <w:uiPriority w:val="0"/>
    <w:qFormat/>
  </w:style>
  <w:style w:type="paragraph" w:styleId="1232" w:customStyle="1">
    <w:name w:val="xl35"/>
    <w:basedOn w:val="7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3" w:customStyle="1">
    <w:name w:val="Char1"/>
    <w:basedOn w:val="756"/>
    <w:uiPriority w:val="0"/>
    <w:qFormat/>
    <w:pPr>
      <w:ind w:firstLine="448"/>
    </w:pPr>
    <w:rPr>
      <w:rFonts w:hAnsi="宋体" w:eastAsia="仿宋_GB2312"/>
      <w:b/>
      <w:color w:val="000000"/>
      <w:spacing w:val="-8"/>
      <w:sz w:val="32"/>
      <w:szCs w:val="32"/>
    </w:rPr>
  </w:style>
  <w:style w:type="paragraph" w:styleId="123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35" w:customStyle="1">
    <w:name w:val="xl46"/>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36" w:customStyle="1">
    <w:name w:val="样式2"/>
    <w:basedOn w:val="946"/>
    <w:uiPriority w:val="0"/>
    <w:qFormat/>
    <w:pPr>
      <w:ind w:firstLine="448"/>
      <w:spacing w:before="0" w:after="0"/>
    </w:pPr>
    <w:rPr>
      <w:rFonts w:ascii="Times New Roman" w:hAnsi="宋体" w:eastAsia="宋体"/>
      <w:color w:val="000000"/>
      <w:spacing w:val="-8"/>
      <w:sz w:val="24"/>
    </w:rPr>
  </w:style>
  <w:style w:type="paragraph" w:styleId="1237" w:customStyle="1">
    <w:name w:val="xl45"/>
    <w:basedOn w:val="7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38" w:customStyle="1">
    <w:name w:val="xl73"/>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9" w:customStyle="1">
    <w:name w:val="Char Char Char Char Char Char Char Char Char Char Char"/>
    <w:basedOn w:val="973"/>
    <w:uiPriority w:val="0"/>
    <w:qFormat/>
    <w:pPr>
      <w:ind w:firstLine="420"/>
    </w:pPr>
    <w:rPr>
      <w:rFonts w:ascii="Times New Roman" w:hAnsi="宋体"/>
      <w:color w:val="000000"/>
      <w:spacing w:val="-8"/>
      <w:shd w:val="clear" w:color="auto" w:fill="000080"/>
    </w:rPr>
  </w:style>
  <w:style w:type="paragraph" w:styleId="1240" w:customStyle="1">
    <w:name w:val="列表2"/>
    <w:basedOn w:val="756"/>
    <w:uiPriority w:val="0"/>
    <w:qFormat/>
    <w:pPr>
      <w:ind w:left="1469" w:hanging="420"/>
      <w:spacing w:after="20" w:line="288" w:lineRule="auto"/>
      <w:tabs>
        <w:tab w:val="left" w:pos="1470" w:leader="none"/>
      </w:tabs>
    </w:pPr>
    <w:rPr>
      <w:rFonts w:ascii="Times New Roman"/>
    </w:rPr>
  </w:style>
  <w:style w:type="paragraph" w:styleId="1241" w:customStyle="1">
    <w:name w:val="xl51"/>
    <w:basedOn w:val="7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2" w:customStyle="1">
    <w:name w:val="xl22"/>
    <w:basedOn w:val="756"/>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43" w:customStyle="1">
    <w:name w:val="表蕊"/>
    <w:basedOn w:val="756"/>
    <w:uiPriority w:val="0"/>
    <w:qFormat/>
    <w:pPr>
      <w:jc w:val="left"/>
      <w:spacing w:line="320" w:lineRule="atLeast"/>
    </w:pPr>
    <w:rPr>
      <w:rFonts w:ascii="Times New Roman" w:eastAsia="楷体_GB2312"/>
      <w:spacing w:val="-10"/>
    </w:rPr>
  </w:style>
  <w:style w:type="paragraph" w:styleId="1244" w:customStyle="1">
    <w:name w:val="xl6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customStyle="1">
    <w:name w:val="List Paragraph[858D7CFB-ED40-4347-BF05-701D383B685F][858D7CFB-ED40-4347-BF05-701D383B685F]"/>
    <w:basedOn w:val="756"/>
    <w:uiPriority w:val="0"/>
    <w:qFormat/>
    <w:pPr>
      <w:ind w:firstLine="420"/>
    </w:pPr>
    <w:rPr>
      <w:rFonts w:ascii="Calibri" w:hAnsi="Calibri"/>
      <w:color w:val="000000"/>
      <w:spacing w:val="-8"/>
      <w:szCs w:val="22"/>
    </w:rPr>
  </w:style>
  <w:style w:type="paragraph" w:styleId="1246" w:customStyle="1">
    <w:name w:val="font5"/>
    <w:basedOn w:val="756"/>
    <w:uiPriority w:val="0"/>
    <w:qFormat/>
    <w:pPr>
      <w:jc w:val="left"/>
      <w:spacing w:before="100" w:beforeAutospacing="1" w:after="100" w:afterAutospacing="1"/>
      <w:widowControl/>
    </w:pPr>
    <w:rPr>
      <w:rFonts w:hint="eastAsia" w:hAnsi="宋体"/>
      <w:sz w:val="18"/>
      <w:szCs w:val="18"/>
    </w:rPr>
  </w:style>
  <w:style w:type="paragraph" w:styleId="1247" w:customStyle="1">
    <w:name w:val="xl25"/>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48" w:customStyle="1">
    <w:name w:val="xl38"/>
    <w:basedOn w:val="75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4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50">
    <w:name w:val="List Paragraph"/>
    <w:basedOn w:val="756"/>
    <w:uiPriority w:val="0"/>
    <w:qFormat/>
    <w:pPr>
      <w:ind w:firstLine="420"/>
    </w:pPr>
    <w:rPr>
      <w:rFonts w:ascii="Calibri" w:hAnsi="Calibri" w:cs="Calibri"/>
      <w:szCs w:val="21"/>
    </w:rPr>
  </w:style>
  <w:style w:type="paragraph" w:styleId="1251" w:customStyle="1">
    <w:name w:val="样式 纯文本 + 楷体_GB2312 小四 行距: 固定值 20 磅1"/>
    <w:basedOn w:val="996"/>
    <w:uiPriority w:val="0"/>
    <w:qFormat/>
    <w:pPr>
      <w:ind w:firstLine="200"/>
      <w:spacing w:line="400" w:lineRule="exact"/>
    </w:pPr>
    <w:rPr>
      <w:rFonts w:ascii="楷体_GB2312" w:hAnsi="Times New Roman" w:eastAsia="楷体_GB2312"/>
      <w:sz w:val="24"/>
      <w:szCs w:val="20"/>
    </w:rPr>
  </w:style>
  <w:style w:type="paragraph" w:styleId="1252" w:customStyle="1">
    <w:name w:val="Char Char Char Char Char Char Char Char Char Char Char Char Char Char Char Char"/>
    <w:basedOn w:val="756"/>
    <w:uiPriority w:val="0"/>
    <w:qFormat/>
    <w:pPr>
      <w:tabs>
        <w:tab w:val="left" w:pos="360" w:leader="none"/>
      </w:tabs>
    </w:pPr>
    <w:rPr>
      <w:rFonts w:ascii="Times New Roman"/>
      <w:sz w:val="24"/>
    </w:rPr>
  </w:style>
  <w:style w:type="paragraph" w:styleId="1253" w:customStyle="1">
    <w:name w:val="目录文字"/>
    <w:basedOn w:val="756"/>
    <w:uiPriority w:val="0"/>
    <w:qFormat/>
    <w:pPr>
      <w:jc w:val="left"/>
      <w:spacing w:line="480" w:lineRule="auto"/>
      <w:widowControl/>
    </w:pPr>
    <w:rPr>
      <w:rFonts w:hAnsi="宋体"/>
      <w:sz w:val="24"/>
    </w:rPr>
  </w:style>
  <w:style w:type="paragraph" w:styleId="1254" w:customStyle="1">
    <w:name w:val="font7"/>
    <w:basedOn w:val="756"/>
    <w:uiPriority w:val="0"/>
    <w:qFormat/>
    <w:pPr>
      <w:ind w:firstLine="420"/>
      <w:jc w:val="left"/>
      <w:spacing w:before="100" w:beforeAutospacing="1" w:after="100" w:afterAutospacing="1" w:line="288" w:lineRule="auto"/>
      <w:widowControl/>
    </w:pPr>
    <w:rPr>
      <w:rFonts w:ascii="Times New Roman"/>
      <w:b/>
      <w:bCs/>
      <w:sz w:val="24"/>
    </w:rPr>
  </w:style>
  <w:style w:type="paragraph" w:styleId="1255" w:customStyle="1">
    <w:name w:val="表头"/>
    <w:basedOn w:val="756"/>
    <w:uiPriority w:val="0"/>
    <w:qFormat/>
    <w:pPr>
      <w:jc w:val="center"/>
      <w:spacing w:line="320" w:lineRule="atLeast"/>
    </w:pPr>
    <w:rPr>
      <w:rFonts w:ascii="Times New Roman" w:eastAsia="黑体"/>
      <w:spacing w:val="-10"/>
    </w:rPr>
  </w:style>
  <w:style w:type="paragraph" w:styleId="1256" w:customStyle="1">
    <w:name w:val="Javis"/>
    <w:basedOn w:val="756"/>
    <w:uiPriority w:val="0"/>
    <w:qFormat/>
    <w:pPr>
      <w:ind w:right="210"/>
    </w:pPr>
    <w:rPr>
      <w:rFonts w:ascii="Times New Roman" w:cs="宋体"/>
      <w:sz w:val="24"/>
    </w:rPr>
  </w:style>
  <w:style w:type="paragraph" w:styleId="1257" w:customStyle="1">
    <w:name w:val="xl47"/>
    <w:basedOn w:val="7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258" w:customStyle="1">
    <w:name w:val="样式 小四 段前: 5 磅 段后: 5 磅 首行缩进:  2 字符"/>
    <w:basedOn w:val="756"/>
    <w:uiPriority w:val="0"/>
    <w:qFormat/>
    <w:pPr>
      <w:spacing w:line="360" w:lineRule="auto"/>
    </w:pPr>
    <w:rPr>
      <w:rFonts w:hAnsi="宋体"/>
      <w:szCs w:val="21"/>
    </w:rPr>
  </w:style>
  <w:style w:type="paragraph" w:styleId="1259" w:customStyle="1">
    <w:name w:val="纯文本5"/>
    <w:basedOn w:val="756"/>
    <w:uiPriority w:val="0"/>
    <w:qFormat/>
    <w:rPr>
      <w:rFonts w:hAnsi="Courier New"/>
    </w:rPr>
  </w:style>
  <w:style w:type="paragraph" w:styleId="1260" w:customStyle="1">
    <w:name w:val="xl41"/>
    <w:basedOn w:val="756"/>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61" w:customStyle="1">
    <w:name w:val="并列项-点"/>
    <w:basedOn w:val="756"/>
    <w:uiPriority w:val="0"/>
    <w:qFormat/>
    <w:pPr>
      <w:ind w:left="851" w:hanging="284"/>
      <w:spacing w:before="120" w:line="360" w:lineRule="auto"/>
      <w:widowControl/>
      <w:tabs>
        <w:tab w:val="left" w:pos="851" w:leader="none"/>
        <w:tab w:val="left" w:pos="927" w:leader="none"/>
      </w:tabs>
    </w:pPr>
    <w:rPr>
      <w:rFonts w:ascii="Times New Roman"/>
      <w:sz w:val="24"/>
    </w:rPr>
  </w:style>
  <w:style w:type="character" w:styleId="1262" w:customStyle="1">
    <w:name w:val="font61"/>
    <w:uiPriority w:val="0"/>
    <w:qFormat/>
    <w:rPr>
      <w:rFonts w:hint="eastAsia" w:ascii="宋体" w:hAnsi="宋体" w:eastAsia="宋体" w:cs="宋体"/>
      <w:color w:val="000000"/>
      <w:sz w:val="22"/>
      <w:szCs w:val="22"/>
      <w:u w:val="none"/>
    </w:rPr>
  </w:style>
  <w:style w:type="paragraph" w:styleId="1263" w:customStyle="1">
    <w:name w:val="_Style 1"/>
    <w:basedOn w:val="756"/>
    <w:uiPriority w:val="0"/>
    <w:qFormat/>
    <w:pPr>
      <w:ind w:firstLine="420"/>
      <w:spacing w:line="360" w:lineRule="auto"/>
    </w:pPr>
    <w:rPr>
      <w:rFonts w:ascii="Calibri" w:hAnsi="Calibri"/>
      <w:sz w:val="24"/>
      <w:szCs w:val="22"/>
    </w:rPr>
  </w:style>
  <w:style w:type="paragraph" w:styleId="1264" w:customStyle="1">
    <w:name w:val="标题 312"/>
    <w:basedOn w:val="756"/>
    <w:next w:val="756"/>
    <w:uiPriority w:val="0"/>
    <w:qFormat/>
    <w:pPr>
      <w:keepLines/>
      <w:keepNext/>
      <w:spacing w:before="260" w:after="260" w:line="416" w:lineRule="auto"/>
      <w:outlineLvl w:val="2"/>
    </w:pPr>
    <w:rPr>
      <w:rFonts w:ascii="Times New Roman"/>
      <w:b/>
      <w:bCs/>
      <w:sz w:val="32"/>
      <w:szCs w:val="32"/>
      <w:lang w:eastAsia="en-US"/>
    </w:rPr>
  </w:style>
  <w:style w:type="character" w:styleId="1265" w:customStyle="1">
    <w:name w:val="批注引用1"/>
    <w:uiPriority w:val="0"/>
    <w:semiHidden/>
    <w:qFormat/>
    <w:rPr>
      <w:sz w:val="21"/>
      <w:szCs w:val="24"/>
      <w:lang w:val="en-US" w:eastAsia="zh-CN" w:bidi="ar-SA"/>
    </w:rPr>
  </w:style>
  <w:style w:type="paragraph" w:styleId="1266" w:customStyle="1">
    <w:name w:val="普通文字"/>
    <w:basedOn w:val="756"/>
    <w:next w:val="756"/>
    <w:uiPriority w:val="99"/>
    <w:qFormat/>
    <w:rPr>
      <w:sz w:val="24"/>
    </w:rPr>
  </w:style>
  <w:style w:type="paragraph" w:styleId="1267" w:customStyle="1">
    <w:name w:val="引文目录1"/>
    <w:basedOn w:val="756"/>
    <w:next w:val="756"/>
    <w:uiPriority w:val="0"/>
    <w:qFormat/>
    <w:pPr>
      <w:ind w:left="420"/>
    </w:pPr>
  </w:style>
  <w:style w:type="paragraph" w:styleId="1268" w:customStyle="1">
    <w:name w:val="标题 41"/>
    <w:basedOn w:val="756"/>
    <w:next w:val="756"/>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69" w:customStyle="1">
    <w:name w:val="Body text|1"/>
    <w:basedOn w:val="756"/>
    <w:uiPriority w:val="0"/>
    <w:qFormat/>
    <w:pPr>
      <w:ind w:firstLine="260"/>
      <w:spacing w:line="432" w:lineRule="auto"/>
    </w:pPr>
    <w:rPr>
      <w:rFonts w:hAnsi="宋体" w:cs="宋体"/>
      <w:sz w:val="22"/>
      <w:szCs w:val="22"/>
      <w:lang w:val="zh-TW" w:eastAsia="zh-TW" w:bidi="zh-TW"/>
    </w:rPr>
  </w:style>
  <w:style w:type="paragraph" w:styleId="1270" w:customStyle="1">
    <w:name w:val="msolistparagraph"/>
    <w:basedOn w:val="756"/>
    <w:uiPriority w:val="0"/>
    <w:qFormat/>
    <w:pPr>
      <w:ind w:firstLine="420"/>
    </w:pPr>
    <w:rPr>
      <w:rFonts w:ascii="Calibri" w:hAnsi="Calibri"/>
      <w:sz w:val="21"/>
      <w:szCs w:val="22"/>
    </w:rPr>
  </w:style>
  <w:style w:type="paragraph" w:styleId="1271" w:customStyle="1">
    <w:name w:val="纯文本1"/>
    <w:basedOn w:val="756"/>
    <w:uiPriority w:val="0"/>
    <w:qFormat/>
    <w:rPr>
      <w:rFonts w:hAnsi="Courier New"/>
      <w:szCs w:val="21"/>
    </w:rPr>
  </w:style>
  <w:style w:type="paragraph" w:styleId="1272" w:customStyle="1">
    <w:name w:val="正文文本缩进 21"/>
    <w:basedOn w:val="756"/>
    <w:uiPriority w:val="0"/>
    <w:qFormat/>
    <w:pPr>
      <w:ind w:firstLine="559"/>
      <w:spacing w:line="400" w:lineRule="exact"/>
      <w:tabs>
        <w:tab w:val="left" w:pos="0" w:leader="none"/>
        <w:tab w:val="left" w:pos="1134" w:leader="none"/>
      </w:tabs>
    </w:pPr>
    <w:rPr>
      <w:rFonts w:ascii="楷体_GB2312" w:eastAsia="楷体_GB2312"/>
      <w:sz w:val="24"/>
    </w:rPr>
  </w:style>
  <w:style w:type="paragraph" w:styleId="1273" w:customStyle="1">
    <w:name w:val="正文文本12"/>
    <w:basedOn w:val="756"/>
    <w:next w:val="756"/>
    <w:uiPriority w:val="99"/>
    <w:qFormat/>
    <w:rPr>
      <w:rFonts w:ascii="华文中宋" w:eastAsia="华文中宋"/>
      <w:bCs/>
      <w:sz w:val="28"/>
    </w:rPr>
  </w:style>
  <w:style w:type="paragraph" w:styleId="1274" w:customStyle="1">
    <w:name w:val="索引 41"/>
    <w:basedOn w:val="756"/>
    <w:next w:val="756"/>
    <w:uiPriority w:val="99"/>
    <w:qFormat/>
    <w:pPr>
      <w:ind w:left="600"/>
    </w:pPr>
    <w:rPr>
      <w:szCs w:val="24"/>
    </w:rPr>
  </w:style>
  <w:style w:type="character" w:styleId="1275" w:customStyle="1">
    <w:name w:val="font51"/>
    <w:uiPriority w:val="0"/>
    <w:qFormat/>
    <w:rPr>
      <w:rFonts w:hint="eastAsia" w:ascii="仿宋" w:hAnsi="仿宋" w:eastAsia="仿宋" w:cs="仿宋"/>
      <w:color w:val="000000"/>
      <w:sz w:val="20"/>
      <w:szCs w:val="20"/>
      <w:u w:val="none"/>
    </w:rPr>
  </w:style>
  <w:style w:type="paragraph" w:styleId="1276" w:customStyle="1">
    <w:name w:val="正文文本11"/>
    <w:basedOn w:val="756"/>
    <w:uiPriority w:val="0"/>
    <w:qFormat/>
    <w:rPr>
      <w:rFonts w:ascii="仿宋_GB2312" w:eastAsia="仿宋_GB2312"/>
      <w:sz w:val="28"/>
    </w:rPr>
  </w:style>
  <w:style w:type="character" w:styleId="1277" w:customStyle="1">
    <w:name w:val="NormalCharacter11"/>
    <w:link w:val="1278"/>
    <w:uiPriority w:val="99"/>
    <w:qFormat/>
    <w:rPr>
      <w:sz w:val="20"/>
    </w:rPr>
  </w:style>
  <w:style w:type="paragraph" w:styleId="1278" w:customStyle="1">
    <w:name w:val="UserStyle_4"/>
    <w:basedOn w:val="756"/>
    <w:link w:val="1277"/>
    <w:uiPriority w:val="99"/>
    <w:qFormat/>
    <w:pPr>
      <w:widowControl/>
    </w:pPr>
    <w:rPr>
      <w:sz w:val="20"/>
    </w:rPr>
  </w:style>
  <w:style w:type="paragraph" w:styleId="1279" w:customStyle="1">
    <w:name w:val="p0"/>
    <w:basedOn w:val="756"/>
    <w:uiPriority w:val="0"/>
    <w:qFormat/>
    <w:pPr>
      <w:numPr>
        <w:ilvl w:val="0"/>
        <w:numId w:val="8"/>
      </w:numPr>
      <w:ind w:left="0" w:firstLine="0"/>
      <w:widowControl/>
    </w:pPr>
    <w:rPr>
      <w:szCs w:val="21"/>
    </w:rPr>
  </w:style>
  <w:style w:type="character" w:styleId="1280" w:customStyle="1">
    <w:name w:val="NormalCharacter"/>
    <w:uiPriority w:val="0"/>
    <w:qFormat/>
  </w:style>
  <w:style w:type="paragraph" w:styleId="1281" w:customStyle="1">
    <w:name w:val="BodyText"/>
    <w:basedOn w:val="756"/>
    <w:uiPriority w:val="0"/>
    <w:qFormat/>
    <w:pPr>
      <w:widowControl/>
    </w:pPr>
    <w:rPr>
      <w:rFonts w:ascii="Arial" w:hAnsi="Arial"/>
      <w:sz w:val="20"/>
    </w:rPr>
  </w:style>
  <w:style w:type="paragraph" w:styleId="1282" w:customStyle="1">
    <w:name w:val="行文"/>
    <w:basedOn w:val="756"/>
    <w:uiPriority w:val="0"/>
    <w:qFormat/>
    <w:pPr>
      <w:ind w:firstLine="624"/>
      <w:spacing w:line="480" w:lineRule="exact"/>
    </w:pPr>
    <w:rPr>
      <w:rFonts w:hAnsi="Calibri" w:eastAsia="仿宋_GB2312"/>
      <w:sz w:val="30"/>
    </w:rPr>
  </w:style>
  <w:style w:type="paragraph" w:styleId="1283" w:customStyle="1">
    <w:name w:val="段"/>
    <w:next w:val="75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284" w:customStyle="1">
    <w:name w:val="公文正文"/>
    <w:basedOn w:val="1250"/>
    <w:uiPriority w:val="0"/>
    <w:qFormat/>
    <w:pPr>
      <w:ind w:firstLine="200"/>
      <w:jc w:val="left"/>
      <w:spacing w:line="580" w:lineRule="exact"/>
    </w:pPr>
    <w:rPr>
      <w:rFonts w:ascii="Times New Roman" w:hAnsi="Times New Roman" w:eastAsia="仿宋_GB2312"/>
      <w:sz w:val="32"/>
      <w:szCs w:val="32"/>
    </w:r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丁海铭</cp:lastModifiedBy>
  <cp:revision>17</cp:revision>
  <dcterms:created xsi:type="dcterms:W3CDTF">2020-12-15T06:44:00Z</dcterms:created>
  <dcterms:modified xsi:type="dcterms:W3CDTF">2025-09-29T07:11:58Z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2052-12.1.0.23125</vt:lpwstr>
  </property>
  <property fmtid="{D5CDD505-2E9C-101B-9397-08002B2CF9AE}" pid="4" name="ICV">
    <vt:lpwstr>1793F244375040B28317CEB8A10FD4AD_13</vt:lpwstr>
  </property>
</Properties>
</file>